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120" w:rsidRPr="009331D2" w:rsidRDefault="00461942" w:rsidP="00461942">
      <w:pPr>
        <w:pStyle w:val="PBACHeading1"/>
        <w:tabs>
          <w:tab w:val="left" w:pos="709"/>
          <w:tab w:val="left" w:pos="1701"/>
        </w:tabs>
        <w:ind w:left="0" w:firstLine="0"/>
        <w:rPr>
          <w:sz w:val="36"/>
          <w:szCs w:val="36"/>
        </w:rPr>
      </w:pPr>
      <w:r>
        <w:rPr>
          <w:sz w:val="36"/>
          <w:szCs w:val="36"/>
        </w:rPr>
        <w:t xml:space="preserve">5.14 </w:t>
      </w:r>
      <w:r w:rsidR="009331D2" w:rsidRPr="009331D2">
        <w:rPr>
          <w:sz w:val="36"/>
          <w:szCs w:val="36"/>
        </w:rPr>
        <w:t>TEPOTINIB</w:t>
      </w:r>
    </w:p>
    <w:p w:rsidR="009331D2" w:rsidRPr="009331D2" w:rsidRDefault="00461942" w:rsidP="00461942">
      <w:pPr>
        <w:pStyle w:val="PBACHeading1"/>
        <w:tabs>
          <w:tab w:val="left" w:pos="709"/>
          <w:tab w:val="left" w:pos="1701"/>
        </w:tabs>
        <w:ind w:left="0" w:firstLine="0"/>
        <w:rPr>
          <w:sz w:val="36"/>
          <w:szCs w:val="36"/>
        </w:rPr>
      </w:pPr>
      <w:r>
        <w:rPr>
          <w:sz w:val="36"/>
          <w:szCs w:val="36"/>
        </w:rPr>
        <w:tab/>
      </w:r>
      <w:r w:rsidR="009331D2" w:rsidRPr="009331D2">
        <w:rPr>
          <w:sz w:val="36"/>
          <w:szCs w:val="36"/>
        </w:rPr>
        <w:t>Tablet 225 mg</w:t>
      </w:r>
      <w:r w:rsidR="00A126BD">
        <w:rPr>
          <w:sz w:val="36"/>
          <w:szCs w:val="36"/>
        </w:rPr>
        <w:t xml:space="preserve"> </w:t>
      </w:r>
      <w:r w:rsidR="00A126BD" w:rsidRPr="00A126BD">
        <w:rPr>
          <w:sz w:val="36"/>
          <w:szCs w:val="36"/>
        </w:rPr>
        <w:t>(as hydrochloride monohydrate)</w:t>
      </w:r>
      <w:r w:rsidR="00A126BD">
        <w:rPr>
          <w:sz w:val="36"/>
          <w:szCs w:val="36"/>
        </w:rPr>
        <w:t>,</w:t>
      </w:r>
    </w:p>
    <w:p w:rsidR="009331D2" w:rsidRPr="009331D2" w:rsidRDefault="009331D2" w:rsidP="009331D2">
      <w:pPr>
        <w:pStyle w:val="PBACHeading1"/>
        <w:tabs>
          <w:tab w:val="left" w:pos="1701"/>
        </w:tabs>
        <w:ind w:left="709"/>
        <w:rPr>
          <w:sz w:val="36"/>
          <w:szCs w:val="36"/>
        </w:rPr>
      </w:pPr>
      <w:r w:rsidRPr="009331D2">
        <w:rPr>
          <w:sz w:val="36"/>
          <w:szCs w:val="36"/>
        </w:rPr>
        <w:tab/>
      </w:r>
      <w:proofErr w:type="spellStart"/>
      <w:r w:rsidRPr="009331D2">
        <w:rPr>
          <w:sz w:val="36"/>
          <w:szCs w:val="36"/>
        </w:rPr>
        <w:t>Tepmetko</w:t>
      </w:r>
      <w:proofErr w:type="spellEnd"/>
      <w:r w:rsidR="00F11658">
        <w:rPr>
          <w:sz w:val="36"/>
          <w:szCs w:val="36"/>
        </w:rPr>
        <w:t>®</w:t>
      </w:r>
      <w:r w:rsidR="00A126BD">
        <w:rPr>
          <w:sz w:val="36"/>
          <w:szCs w:val="36"/>
        </w:rPr>
        <w:t>,</w:t>
      </w:r>
    </w:p>
    <w:p w:rsidR="009331D2" w:rsidRDefault="009331D2" w:rsidP="009331D2">
      <w:pPr>
        <w:pStyle w:val="PBACHeading1"/>
        <w:tabs>
          <w:tab w:val="left" w:pos="1701"/>
        </w:tabs>
        <w:ind w:left="709"/>
        <w:rPr>
          <w:sz w:val="36"/>
          <w:szCs w:val="36"/>
        </w:rPr>
      </w:pPr>
      <w:r w:rsidRPr="009331D2">
        <w:rPr>
          <w:sz w:val="36"/>
          <w:szCs w:val="36"/>
        </w:rPr>
        <w:tab/>
        <w:t>Merck Healthcare Pty Ltd</w:t>
      </w:r>
      <w:r w:rsidR="00A126BD">
        <w:rPr>
          <w:sz w:val="36"/>
          <w:szCs w:val="36"/>
        </w:rPr>
        <w:t>.</w:t>
      </w:r>
      <w:r w:rsidRPr="009331D2">
        <w:rPr>
          <w:sz w:val="36"/>
          <w:szCs w:val="36"/>
        </w:rPr>
        <w:t xml:space="preserve"> </w:t>
      </w:r>
    </w:p>
    <w:p w:rsidR="00C317F3" w:rsidRPr="00962499" w:rsidRDefault="00C317F3" w:rsidP="00517363">
      <w:pPr>
        <w:pStyle w:val="PBACESHeading1"/>
        <w:numPr>
          <w:ilvl w:val="0"/>
          <w:numId w:val="12"/>
        </w:numPr>
      </w:pPr>
      <w:bookmarkStart w:id="0" w:name="_Toc413139271"/>
      <w:bookmarkStart w:id="1" w:name="_Toc81873374"/>
      <w:r w:rsidRPr="00962499">
        <w:t xml:space="preserve">Purpose of </w:t>
      </w:r>
      <w:r w:rsidR="00934564" w:rsidRPr="00962499">
        <w:t>submiss</w:t>
      </w:r>
      <w:r w:rsidRPr="00962499">
        <w:t>ion</w:t>
      </w:r>
      <w:bookmarkEnd w:id="0"/>
      <w:bookmarkEnd w:id="1"/>
    </w:p>
    <w:p w:rsidR="00B27719" w:rsidRPr="00962499" w:rsidRDefault="00042933" w:rsidP="00B27719">
      <w:pPr>
        <w:pStyle w:val="ListParagraph"/>
        <w:numPr>
          <w:ilvl w:val="4"/>
          <w:numId w:val="1"/>
        </w:numPr>
      </w:pPr>
      <w:r w:rsidRPr="00962499">
        <w:t xml:space="preserve">The </w:t>
      </w:r>
      <w:r w:rsidR="00940357">
        <w:t xml:space="preserve">Category 1 </w:t>
      </w:r>
      <w:r w:rsidRPr="00962499">
        <w:t xml:space="preserve">submission requested </w:t>
      </w:r>
      <w:r w:rsidR="00B27719" w:rsidRPr="00962499">
        <w:t xml:space="preserve">MBS listing for tumour tissue testing for the purpose of detecting </w:t>
      </w:r>
      <w:r w:rsidR="003B38DF" w:rsidRPr="00962499">
        <w:t xml:space="preserve">MET proto-oncogene, receptor tyrosine kinase </w:t>
      </w:r>
      <w:r w:rsidR="00B27719" w:rsidRPr="00962499">
        <w:t>(</w:t>
      </w:r>
      <w:r w:rsidR="00B27719" w:rsidRPr="00F13980">
        <w:rPr>
          <w:i/>
          <w:iCs/>
        </w:rPr>
        <w:t>MET</w:t>
      </w:r>
      <w:r w:rsidR="00B27719" w:rsidRPr="00962499">
        <w:t xml:space="preserve">) </w:t>
      </w:r>
      <w:r w:rsidR="00B27719" w:rsidRPr="00962499">
        <w:rPr>
          <w:rStyle w:val="InstructionalTextChar"/>
          <w:color w:val="auto"/>
        </w:rPr>
        <w:t>gene alteration that causes skipping of exon 14 (</w:t>
      </w:r>
      <w:r w:rsidR="00B27719" w:rsidRPr="00962499">
        <w:rPr>
          <w:rStyle w:val="InstructionalTextChar"/>
          <w:i/>
          <w:iCs/>
          <w:color w:val="auto"/>
        </w:rPr>
        <w:t>MET</w:t>
      </w:r>
      <w:r w:rsidR="00B27719" w:rsidRPr="00962499">
        <w:rPr>
          <w:rStyle w:val="InstructionalTextChar"/>
          <w:color w:val="auto"/>
        </w:rPr>
        <w:t xml:space="preserve">ex14sk) </w:t>
      </w:r>
      <w:r w:rsidR="00B27719" w:rsidRPr="00962499">
        <w:t xml:space="preserve">status. </w:t>
      </w:r>
      <w:r w:rsidR="00B92088" w:rsidRPr="00962499">
        <w:t>A</w:t>
      </w:r>
      <w:r w:rsidR="00B27719" w:rsidRPr="00962499">
        <w:t xml:space="preserve"> line-agnostic PBS listing</w:t>
      </w:r>
      <w:r w:rsidR="00B92088" w:rsidRPr="00962499">
        <w:t xml:space="preserve"> was sought for </w:t>
      </w:r>
      <w:r w:rsidR="00B27719" w:rsidRPr="00962499">
        <w:t>tepotinib as a targeted therapy for advanced non-small-cell lung cancer (</w:t>
      </w:r>
      <w:proofErr w:type="spellStart"/>
      <w:r w:rsidR="00B27719" w:rsidRPr="00962499">
        <w:t>aNSCLC</w:t>
      </w:r>
      <w:proofErr w:type="spellEnd"/>
      <w:r w:rsidR="00B27719" w:rsidRPr="00962499">
        <w:t xml:space="preserve">) patients who have evidence of </w:t>
      </w:r>
      <w:r w:rsidR="00B27719" w:rsidRPr="00962499">
        <w:rPr>
          <w:i/>
        </w:rPr>
        <w:t>MET</w:t>
      </w:r>
      <w:r w:rsidR="00B27719" w:rsidRPr="00962499">
        <w:t>ex14sk alterations in tumour materials.</w:t>
      </w:r>
    </w:p>
    <w:p w:rsidR="00B27719" w:rsidRPr="00962499" w:rsidRDefault="00B27719" w:rsidP="00B92088">
      <w:pPr>
        <w:pStyle w:val="ListParagraph"/>
      </w:pPr>
      <w:r w:rsidRPr="00962499">
        <w:t>The submission was based on cost minimisation</w:t>
      </w:r>
      <w:r w:rsidR="00F90612">
        <w:t xml:space="preserve"> </w:t>
      </w:r>
      <w:r w:rsidRPr="00962499">
        <w:t xml:space="preserve">of </w:t>
      </w:r>
      <w:r w:rsidRPr="006F1F0C">
        <w:rPr>
          <w:i/>
        </w:rPr>
        <w:t>MET</w:t>
      </w:r>
      <w:r w:rsidRPr="00962499">
        <w:t>ex14</w:t>
      </w:r>
      <w:r w:rsidR="003243D5" w:rsidRPr="00962499">
        <w:t>sk</w:t>
      </w:r>
      <w:r w:rsidRPr="00962499">
        <w:t xml:space="preserve"> testing and tepotinib treatment </w:t>
      </w:r>
      <w:r w:rsidR="00B92088" w:rsidRPr="00962499">
        <w:t xml:space="preserve">for patients with </w:t>
      </w:r>
      <w:r w:rsidR="00B92088" w:rsidRPr="006F1F0C">
        <w:rPr>
          <w:i/>
        </w:rPr>
        <w:t>MET</w:t>
      </w:r>
      <w:r w:rsidR="00B92088" w:rsidRPr="00962499">
        <w:t xml:space="preserve">ex14sk, </w:t>
      </w:r>
      <w:r w:rsidRPr="00962499">
        <w:t xml:space="preserve">compared with no </w:t>
      </w:r>
      <w:r w:rsidRPr="006F1F0C">
        <w:rPr>
          <w:i/>
        </w:rPr>
        <w:t>MET</w:t>
      </w:r>
      <w:r w:rsidRPr="00962499">
        <w:t>ex14</w:t>
      </w:r>
      <w:r w:rsidR="003243D5" w:rsidRPr="00962499">
        <w:t>sk</w:t>
      </w:r>
      <w:r w:rsidRPr="00962499">
        <w:t xml:space="preserve"> testing and patients treated with </w:t>
      </w:r>
      <w:r w:rsidRPr="00962499">
        <w:rPr>
          <w:color w:val="auto"/>
        </w:rPr>
        <w:t>pembrolizumab and/or chemotherapy</w:t>
      </w:r>
      <w:r w:rsidRPr="00962499">
        <w:t>. The key components of the clinical issue addressed by the submission are summarised below.</w:t>
      </w:r>
    </w:p>
    <w:p w:rsidR="00B27719" w:rsidRPr="00962499" w:rsidRDefault="00C85B50" w:rsidP="005D7976">
      <w:pPr>
        <w:pStyle w:val="Caption"/>
      </w:pPr>
      <w:bookmarkStart w:id="2" w:name="_Ref78369980"/>
      <w:r>
        <w:t xml:space="preserve">Table </w:t>
      </w:r>
      <w:r w:rsidR="00C56714">
        <w:rPr>
          <w:noProof/>
        </w:rPr>
        <w:t>1</w:t>
      </w:r>
      <w:bookmarkEnd w:id="2"/>
      <w:r w:rsidR="002B73A4">
        <w:rPr>
          <w:noProof/>
        </w:rPr>
        <w:t>:</w:t>
      </w:r>
      <w:r>
        <w:t xml:space="preserve"> </w:t>
      </w:r>
      <w:r w:rsidR="00B27719" w:rsidRPr="00962499">
        <w:t>Key components of the clinical issue addressed by the submission</w:t>
      </w:r>
    </w:p>
    <w:tbl>
      <w:tblPr>
        <w:tblStyle w:val="PBACTableStyle"/>
        <w:tblW w:w="0" w:type="auto"/>
        <w:tblLook w:val="04A0" w:firstRow="1" w:lastRow="0" w:firstColumn="1" w:lastColumn="0" w:noHBand="0" w:noVBand="1"/>
        <w:tblCaption w:val="Table 1: Key components of the clinical issue addressed by the submission"/>
      </w:tblPr>
      <w:tblGrid>
        <w:gridCol w:w="1184"/>
        <w:gridCol w:w="7832"/>
      </w:tblGrid>
      <w:tr w:rsidR="00B27719" w:rsidRPr="00962499" w:rsidTr="00FD0B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vAlign w:val="bottom"/>
          </w:tcPr>
          <w:p w:rsidR="00B27719" w:rsidRPr="00962499" w:rsidRDefault="00B27719" w:rsidP="00FD2F1C">
            <w:pPr>
              <w:pStyle w:val="TableText"/>
              <w:keepNext/>
              <w:keepLines/>
            </w:pPr>
            <w:r w:rsidRPr="00962499">
              <w:t>Component</w:t>
            </w:r>
          </w:p>
        </w:tc>
        <w:tc>
          <w:tcPr>
            <w:tcW w:w="7887" w:type="dxa"/>
            <w:vAlign w:val="bottom"/>
          </w:tcPr>
          <w:p w:rsidR="00B27719" w:rsidRPr="00962499" w:rsidRDefault="00B27719" w:rsidP="00FD2F1C">
            <w:pPr>
              <w:pStyle w:val="TableText"/>
              <w:keepNext/>
              <w:keepLines/>
              <w:cnfStyle w:val="100000000000" w:firstRow="1" w:lastRow="0" w:firstColumn="0" w:lastColumn="0" w:oddVBand="0" w:evenVBand="0" w:oddHBand="0" w:evenHBand="0" w:firstRowFirstColumn="0" w:firstRowLastColumn="0" w:lastRowFirstColumn="0" w:lastRowLastColumn="0"/>
            </w:pPr>
            <w:r w:rsidRPr="00962499">
              <w:t>Description</w:t>
            </w:r>
          </w:p>
        </w:tc>
      </w:tr>
      <w:tr w:rsidR="00B27719" w:rsidRPr="00962499" w:rsidTr="002B73A4">
        <w:tc>
          <w:tcPr>
            <w:cnfStyle w:val="001000000000" w:firstRow="0" w:lastRow="0" w:firstColumn="1" w:lastColumn="0" w:oddVBand="0" w:evenVBand="0" w:oddHBand="0" w:evenHBand="0" w:firstRowFirstColumn="0" w:firstRowLastColumn="0" w:lastRowFirstColumn="0" w:lastRowLastColumn="0"/>
            <w:tcW w:w="1129" w:type="dxa"/>
          </w:tcPr>
          <w:p w:rsidR="00B27719" w:rsidRPr="00962499" w:rsidRDefault="00B27719" w:rsidP="00FD2F1C">
            <w:pPr>
              <w:pStyle w:val="TableText"/>
              <w:keepNext/>
              <w:keepLines/>
            </w:pPr>
            <w:r w:rsidRPr="00962499">
              <w:t>Population</w:t>
            </w:r>
          </w:p>
        </w:tc>
        <w:tc>
          <w:tcPr>
            <w:tcW w:w="7887" w:type="dxa"/>
          </w:tcPr>
          <w:p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Test: Adults (18 years or older) with histologically and </w:t>
            </w:r>
            <w:proofErr w:type="spellStart"/>
            <w:r w:rsidRPr="00962499">
              <w:t>cytologically</w:t>
            </w:r>
            <w:proofErr w:type="spellEnd"/>
            <w:r w:rsidRPr="00962499">
              <w:t xml:space="preserve"> confirmed locally advanced or metastatic NSCLC, shown to have squamous and non-squamous histology or histology not otherwise specified.</w:t>
            </w:r>
          </w:p>
          <w:p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Medicine: Adults (18 years or older) with histologically and </w:t>
            </w:r>
            <w:proofErr w:type="spellStart"/>
            <w:r w:rsidRPr="00962499">
              <w:t>cytologically</w:t>
            </w:r>
            <w:proofErr w:type="spellEnd"/>
            <w:r w:rsidRPr="00962499">
              <w:t xml:space="preserve"> confirmed locally advanced or metastatic NSCLC, shown to have squamous and non-squamous histology or histology not otherwise specified, with a </w:t>
            </w:r>
            <w:r w:rsidRPr="00962499">
              <w:rPr>
                <w:i/>
              </w:rPr>
              <w:t>MET</w:t>
            </w:r>
            <w:r w:rsidRPr="00962499">
              <w:t>ex14</w:t>
            </w:r>
            <w:r w:rsidR="00176013">
              <w:t>sk</w:t>
            </w:r>
            <w:r w:rsidRPr="00962499">
              <w:t xml:space="preserve"> alteration, who are either treatment naïve or pre-treated with no more than 2 lines of prior therapy.</w:t>
            </w:r>
          </w:p>
        </w:tc>
      </w:tr>
      <w:tr w:rsidR="00B27719" w:rsidRPr="00962499" w:rsidTr="002B73A4">
        <w:tc>
          <w:tcPr>
            <w:cnfStyle w:val="001000000000" w:firstRow="0" w:lastRow="0" w:firstColumn="1" w:lastColumn="0" w:oddVBand="0" w:evenVBand="0" w:oddHBand="0" w:evenHBand="0" w:firstRowFirstColumn="0" w:firstRowLastColumn="0" w:lastRowFirstColumn="0" w:lastRowLastColumn="0"/>
            <w:tcW w:w="1129" w:type="dxa"/>
          </w:tcPr>
          <w:p w:rsidR="00B27719" w:rsidRPr="00962499" w:rsidRDefault="00B27719" w:rsidP="00FD2F1C">
            <w:pPr>
              <w:pStyle w:val="TableText"/>
              <w:keepNext/>
              <w:keepLines/>
            </w:pPr>
            <w:r w:rsidRPr="00962499">
              <w:t>Intervention</w:t>
            </w:r>
          </w:p>
        </w:tc>
        <w:tc>
          <w:tcPr>
            <w:tcW w:w="7887" w:type="dxa"/>
          </w:tcPr>
          <w:p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Test: Genetic testing for </w:t>
            </w:r>
            <w:r w:rsidRPr="00962499">
              <w:rPr>
                <w:i/>
              </w:rPr>
              <w:t>MET</w:t>
            </w:r>
            <w:r w:rsidRPr="00962499">
              <w:t>ex14</w:t>
            </w:r>
            <w:r w:rsidR="008C441A" w:rsidRPr="00962499">
              <w:t>sk</w:t>
            </w:r>
            <w:r w:rsidRPr="00962499">
              <w:t>. Testing may utilise RNA/DNA on tumour tissue using commercially available platforms or laboratory accredited in-house tests (e.g., PCR or NGS).</w:t>
            </w:r>
          </w:p>
          <w:p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Medicine: Tepotinib orally administered in those with </w:t>
            </w:r>
            <w:r w:rsidRPr="00962499">
              <w:rPr>
                <w:i/>
              </w:rPr>
              <w:t>MET</w:t>
            </w:r>
            <w:r w:rsidRPr="00962499">
              <w:t>ex14</w:t>
            </w:r>
            <w:r w:rsidR="00176013">
              <w:t>sk</w:t>
            </w:r>
            <w:r w:rsidRPr="00962499">
              <w:t xml:space="preserve"> alternations until disease progression. The recommended dose of tepotinib is 450mg (two 225mg tablets) orally once daily with food.</w:t>
            </w:r>
          </w:p>
        </w:tc>
      </w:tr>
      <w:tr w:rsidR="00B27719" w:rsidRPr="00962499" w:rsidTr="002B73A4">
        <w:tc>
          <w:tcPr>
            <w:cnfStyle w:val="001000000000" w:firstRow="0" w:lastRow="0" w:firstColumn="1" w:lastColumn="0" w:oddVBand="0" w:evenVBand="0" w:oddHBand="0" w:evenHBand="0" w:firstRowFirstColumn="0" w:firstRowLastColumn="0" w:lastRowFirstColumn="0" w:lastRowLastColumn="0"/>
            <w:tcW w:w="1129" w:type="dxa"/>
          </w:tcPr>
          <w:p w:rsidR="00B27719" w:rsidRPr="00962499" w:rsidRDefault="00B27719" w:rsidP="00FD2F1C">
            <w:pPr>
              <w:pStyle w:val="TableText"/>
              <w:keepNext/>
              <w:keepLines/>
            </w:pPr>
            <w:r w:rsidRPr="00962499">
              <w:t>Comparator</w:t>
            </w:r>
          </w:p>
        </w:tc>
        <w:tc>
          <w:tcPr>
            <w:tcW w:w="7887" w:type="dxa"/>
          </w:tcPr>
          <w:p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Test: No testing for </w:t>
            </w:r>
            <w:r w:rsidRPr="00962499">
              <w:rPr>
                <w:i/>
              </w:rPr>
              <w:t>MET</w:t>
            </w:r>
            <w:r w:rsidRPr="00962499">
              <w:t>ex14</w:t>
            </w:r>
            <w:r w:rsidR="008C441A" w:rsidRPr="00962499">
              <w:t>sk</w:t>
            </w:r>
            <w:r w:rsidRPr="00962499">
              <w:t>.</w:t>
            </w:r>
          </w:p>
          <w:p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Medicine: Immunotherapy (pembrolizumab) and/or platinum doublet chemotherapy</w:t>
            </w:r>
          </w:p>
          <w:p w:rsidR="00C87B47" w:rsidRPr="00962499" w:rsidRDefault="00C87B47" w:rsidP="00FD2F1C">
            <w:pPr>
              <w:keepNext/>
              <w:keepLines/>
              <w:spacing w:before="0"/>
              <w:jc w:val="left"/>
              <w:cnfStyle w:val="000000000000" w:firstRow="0" w:lastRow="0" w:firstColumn="0" w:lastColumn="0" w:oddVBand="0" w:evenVBand="0" w:oddHBand="0" w:evenHBand="0" w:firstRowFirstColumn="0" w:firstRowLastColumn="0" w:lastRowFirstColumn="0" w:lastRowLastColumn="0"/>
              <w:rPr>
                <w:sz w:val="20"/>
              </w:rPr>
            </w:pPr>
            <w:r w:rsidRPr="00962499">
              <w:rPr>
                <w:sz w:val="20"/>
              </w:rPr>
              <w:t>or</w:t>
            </w:r>
          </w:p>
          <w:p w:rsidR="00C87B47" w:rsidRPr="00962499" w:rsidRDefault="00C87B47"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Immunotherapy or mono-chemotherapy (e.g., </w:t>
            </w:r>
            <w:proofErr w:type="spellStart"/>
            <w:r w:rsidRPr="00962499">
              <w:t>pemetrexed</w:t>
            </w:r>
            <w:proofErr w:type="spellEnd"/>
            <w:r w:rsidRPr="00962499">
              <w:t xml:space="preserve"> or docetaxel) after failure of first line treatment</w:t>
            </w:r>
          </w:p>
        </w:tc>
      </w:tr>
      <w:tr w:rsidR="00B27719" w:rsidRPr="00962499" w:rsidTr="002B73A4">
        <w:tc>
          <w:tcPr>
            <w:cnfStyle w:val="001000000000" w:firstRow="0" w:lastRow="0" w:firstColumn="1" w:lastColumn="0" w:oddVBand="0" w:evenVBand="0" w:oddHBand="0" w:evenHBand="0" w:firstRowFirstColumn="0" w:firstRowLastColumn="0" w:lastRowFirstColumn="0" w:lastRowLastColumn="0"/>
            <w:tcW w:w="1129" w:type="dxa"/>
          </w:tcPr>
          <w:p w:rsidR="00B27719" w:rsidRPr="00962499" w:rsidRDefault="00B27719" w:rsidP="00FD2F1C">
            <w:pPr>
              <w:pStyle w:val="TableText"/>
              <w:keepNext/>
              <w:keepLines/>
            </w:pPr>
            <w:r w:rsidRPr="00962499">
              <w:t>Outcomes</w:t>
            </w:r>
          </w:p>
        </w:tc>
        <w:tc>
          <w:tcPr>
            <w:tcW w:w="7887" w:type="dxa"/>
          </w:tcPr>
          <w:p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Test: Analytical performance of </w:t>
            </w:r>
            <w:r w:rsidRPr="00962499">
              <w:rPr>
                <w:i/>
              </w:rPr>
              <w:t>MET</w:t>
            </w:r>
            <w:r w:rsidRPr="00962499">
              <w:t>ex14</w:t>
            </w:r>
            <w:r w:rsidR="008C441A" w:rsidRPr="00962499">
              <w:t>sk</w:t>
            </w:r>
            <w:r w:rsidRPr="00962499">
              <w:t xml:space="preserve"> testing compared to evidentiary standard; comparative prognosis of patients with advanced NSCLC between those whose tumours do and do not have </w:t>
            </w:r>
            <w:r w:rsidRPr="00962499">
              <w:rPr>
                <w:i/>
              </w:rPr>
              <w:t>MET</w:t>
            </w:r>
            <w:r w:rsidRPr="00962499">
              <w:t>ex14</w:t>
            </w:r>
            <w:r w:rsidR="008C441A" w:rsidRPr="00962499">
              <w:t>sk</w:t>
            </w:r>
            <w:r w:rsidRPr="00962499">
              <w:t xml:space="preserve">; and treatment effect modification of </w:t>
            </w:r>
            <w:r w:rsidRPr="00962499">
              <w:rPr>
                <w:i/>
              </w:rPr>
              <w:t>MET</w:t>
            </w:r>
            <w:r w:rsidRPr="00962499">
              <w:t>ex14</w:t>
            </w:r>
            <w:r w:rsidR="008C441A" w:rsidRPr="00962499">
              <w:t>sk</w:t>
            </w:r>
            <w:r w:rsidRPr="00962499">
              <w:t xml:space="preserve"> on response to tepotinib in patients with advanced NSCLC</w:t>
            </w:r>
          </w:p>
          <w:p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Medicine: Safety and tolerability of tepotinib; objective response rate; progression free survival; overall survival, and health related quality of life.</w:t>
            </w:r>
          </w:p>
        </w:tc>
      </w:tr>
      <w:tr w:rsidR="00B27719" w:rsidRPr="00962499" w:rsidTr="002B73A4">
        <w:tc>
          <w:tcPr>
            <w:cnfStyle w:val="001000000000" w:firstRow="0" w:lastRow="0" w:firstColumn="1" w:lastColumn="0" w:oddVBand="0" w:evenVBand="0" w:oddHBand="0" w:evenHBand="0" w:firstRowFirstColumn="0" w:firstRowLastColumn="0" w:lastRowFirstColumn="0" w:lastRowLastColumn="0"/>
            <w:tcW w:w="1129" w:type="dxa"/>
          </w:tcPr>
          <w:p w:rsidR="00B27719" w:rsidRPr="00962499" w:rsidRDefault="00B27719" w:rsidP="00FD2F1C">
            <w:pPr>
              <w:pStyle w:val="TableText"/>
              <w:keepNext/>
              <w:keepLines/>
            </w:pPr>
            <w:r w:rsidRPr="00962499">
              <w:t>Clinical claim</w:t>
            </w:r>
          </w:p>
        </w:tc>
        <w:tc>
          <w:tcPr>
            <w:tcW w:w="7887" w:type="dxa"/>
          </w:tcPr>
          <w:p w:rsidR="00B27719" w:rsidRPr="00962499" w:rsidRDefault="00B27719" w:rsidP="00FD2F1C">
            <w:pPr>
              <w:pStyle w:val="TableText"/>
              <w:keepNext/>
              <w:keepLines/>
              <w:cnfStyle w:val="000000000000" w:firstRow="0" w:lastRow="0" w:firstColumn="0" w:lastColumn="0" w:oddVBand="0" w:evenVBand="0" w:oddHBand="0" w:evenHBand="0" w:firstRowFirstColumn="0" w:firstRowLastColumn="0" w:lastRowFirstColumn="0" w:lastRowLastColumn="0"/>
            </w:pPr>
            <w:r w:rsidRPr="00962499">
              <w:t xml:space="preserve">In adult patients with advanced NSCLC harbouring </w:t>
            </w:r>
            <w:r w:rsidRPr="00962499">
              <w:rPr>
                <w:i/>
              </w:rPr>
              <w:t>MET</w:t>
            </w:r>
            <w:r w:rsidRPr="00962499">
              <w:t>ex14</w:t>
            </w:r>
            <w:r w:rsidR="00176013">
              <w:t>sk</w:t>
            </w:r>
            <w:r w:rsidRPr="00962499">
              <w:t xml:space="preserve"> alterations, tepotinib is non-inferior to pembrolizumab with chemotherapy, and superior to chemotherapy alone.</w:t>
            </w:r>
          </w:p>
        </w:tc>
      </w:tr>
    </w:tbl>
    <w:p w:rsidR="00AF091A" w:rsidRPr="00962499" w:rsidRDefault="00AF091A" w:rsidP="00FD2F1C">
      <w:pPr>
        <w:pStyle w:val="TableFooter"/>
        <w:keepNext/>
        <w:keepLines/>
      </w:pPr>
      <w:r w:rsidRPr="00962499">
        <w:t xml:space="preserve">NGS=next generation sequencing; NSCLC=non-small cell lung cancer; PCR=polymerase chain reaction; MET= </w:t>
      </w:r>
      <w:r w:rsidR="001C3B0D" w:rsidRPr="001C3B0D">
        <w:t>MET proto-oncogene, receptor tyrosine kinase</w:t>
      </w:r>
      <w:r w:rsidRPr="00962499">
        <w:t xml:space="preserve">; </w:t>
      </w:r>
      <w:r w:rsidRPr="00962499">
        <w:rPr>
          <w:i/>
        </w:rPr>
        <w:t>MET</w:t>
      </w:r>
      <w:r w:rsidRPr="00962499">
        <w:t>ex14</w:t>
      </w:r>
      <w:r w:rsidR="008C441A" w:rsidRPr="00962499">
        <w:t>sk</w:t>
      </w:r>
      <w:r w:rsidRPr="00962499">
        <w:t>=</w:t>
      </w:r>
      <w:r w:rsidRPr="008D313B">
        <w:rPr>
          <w:i/>
          <w:iCs/>
        </w:rPr>
        <w:t>MET</w:t>
      </w:r>
      <w:r w:rsidRPr="00962499">
        <w:t xml:space="preserve"> exon 14 skipping alteration.</w:t>
      </w:r>
    </w:p>
    <w:p w:rsidR="00AF091A" w:rsidRPr="00962499" w:rsidRDefault="00AF091A" w:rsidP="00FD2F1C">
      <w:pPr>
        <w:pStyle w:val="TableFooter"/>
        <w:keepNext/>
        <w:keepLines/>
      </w:pPr>
      <w:r w:rsidRPr="00962499">
        <w:t>Source: Table 1-1, pp24-25 of the submission.</w:t>
      </w:r>
    </w:p>
    <w:p w:rsidR="00B27719" w:rsidRPr="000F0026" w:rsidRDefault="00B27719" w:rsidP="00F36BAE">
      <w:pPr>
        <w:pStyle w:val="ListParagraph"/>
        <w:rPr>
          <w:iCs/>
        </w:rPr>
      </w:pPr>
      <w:r w:rsidRPr="00962499">
        <w:t>The submission proposed testing</w:t>
      </w:r>
      <w:r w:rsidR="008C441A" w:rsidRPr="00962499">
        <w:t xml:space="preserve"> for </w:t>
      </w:r>
      <w:r w:rsidR="008C441A" w:rsidRPr="00F33589">
        <w:rPr>
          <w:i/>
        </w:rPr>
        <w:t>MET</w:t>
      </w:r>
      <w:r w:rsidR="008C441A" w:rsidRPr="00962499">
        <w:t>ex14sk</w:t>
      </w:r>
      <w:r w:rsidRPr="00962499">
        <w:t xml:space="preserve"> on diagnosis of locally advanced or metastatic NSCLC patients who have squamous </w:t>
      </w:r>
      <w:r w:rsidR="00740F3C">
        <w:t xml:space="preserve">(SQ) </w:t>
      </w:r>
      <w:r w:rsidRPr="00962499">
        <w:t xml:space="preserve">and non-squamous (NSQ) </w:t>
      </w:r>
      <w:r w:rsidRPr="00962499">
        <w:lastRenderedPageBreak/>
        <w:t xml:space="preserve">histology or histology not otherwise specified (NOS), </w:t>
      </w:r>
      <w:r w:rsidRPr="00F33589">
        <w:rPr>
          <w:color w:val="auto"/>
        </w:rPr>
        <w:t xml:space="preserve">and with documented absence of activating mutations of the epidermal growth factor receptor </w:t>
      </w:r>
      <w:r w:rsidRPr="00461942">
        <w:rPr>
          <w:i/>
          <w:color w:val="auto"/>
        </w:rPr>
        <w:t>(EGFR)</w:t>
      </w:r>
      <w:r w:rsidRPr="00F33589">
        <w:rPr>
          <w:color w:val="auto"/>
        </w:rPr>
        <w:t xml:space="preserve"> gene. </w:t>
      </w:r>
      <w:r w:rsidRPr="00060C65">
        <w:rPr>
          <w:color w:val="auto"/>
        </w:rPr>
        <w:t>However, the MBS item descriptor proposed by the submission was for all NSCLCs, regardless of disease stage.</w:t>
      </w:r>
      <w:r w:rsidR="009F21BA">
        <w:rPr>
          <w:color w:val="auto"/>
        </w:rPr>
        <w:t xml:space="preserve"> </w:t>
      </w:r>
      <w:r w:rsidR="009F21BA" w:rsidRPr="00461942">
        <w:rPr>
          <w:color w:val="auto"/>
        </w:rPr>
        <w:t xml:space="preserve">The </w:t>
      </w:r>
      <w:r w:rsidR="003907BA">
        <w:rPr>
          <w:color w:val="auto"/>
        </w:rPr>
        <w:t>P</w:t>
      </w:r>
      <w:r w:rsidR="009F21BA" w:rsidRPr="00461942">
        <w:rPr>
          <w:color w:val="auto"/>
        </w:rPr>
        <w:t>re-</w:t>
      </w:r>
      <w:r w:rsidR="003907BA">
        <w:rPr>
          <w:color w:val="auto"/>
        </w:rPr>
        <w:t>S</w:t>
      </w:r>
      <w:r w:rsidR="009F21BA" w:rsidRPr="00461942">
        <w:rPr>
          <w:color w:val="auto"/>
        </w:rPr>
        <w:t>ub</w:t>
      </w:r>
      <w:r w:rsidR="003907BA">
        <w:rPr>
          <w:color w:val="auto"/>
        </w:rPr>
        <w:t>-C</w:t>
      </w:r>
      <w:r w:rsidR="009F21BA" w:rsidRPr="00461942">
        <w:rPr>
          <w:color w:val="auto"/>
        </w:rPr>
        <w:t xml:space="preserve">ommittee </w:t>
      </w:r>
      <w:r w:rsidR="003907BA">
        <w:rPr>
          <w:color w:val="auto"/>
        </w:rPr>
        <w:t>R</w:t>
      </w:r>
      <w:r w:rsidR="009F21BA" w:rsidRPr="00461942">
        <w:rPr>
          <w:color w:val="auto"/>
        </w:rPr>
        <w:t xml:space="preserve">esponse (PSCR) provided a revised MBS item descriptor that restricted testing to </w:t>
      </w:r>
      <w:r w:rsidR="002F1642">
        <w:rPr>
          <w:color w:val="auto"/>
        </w:rPr>
        <w:t xml:space="preserve">patients with </w:t>
      </w:r>
      <w:r w:rsidR="009F21BA" w:rsidRPr="00461942">
        <w:rPr>
          <w:color w:val="auto"/>
        </w:rPr>
        <w:t>locally advanced or metastatic NSCLC</w:t>
      </w:r>
      <w:r w:rsidR="002F1642">
        <w:rPr>
          <w:color w:val="auto"/>
        </w:rPr>
        <w:t xml:space="preserve"> and </w:t>
      </w:r>
      <w:r w:rsidR="002F1642" w:rsidRPr="002F1642">
        <w:rPr>
          <w:color w:val="auto"/>
        </w:rPr>
        <w:t xml:space="preserve">a documented </w:t>
      </w:r>
      <w:r w:rsidR="00F36BAE" w:rsidRPr="002F1642">
        <w:rPr>
          <w:color w:val="auto"/>
        </w:rPr>
        <w:t xml:space="preserve">absence </w:t>
      </w:r>
      <w:r w:rsidR="002F1642" w:rsidRPr="002F1642">
        <w:rPr>
          <w:color w:val="auto"/>
        </w:rPr>
        <w:t xml:space="preserve">of </w:t>
      </w:r>
      <w:r w:rsidR="002F1642">
        <w:rPr>
          <w:color w:val="auto"/>
        </w:rPr>
        <w:t xml:space="preserve">activating mutation of the </w:t>
      </w:r>
      <w:r w:rsidR="002F1642" w:rsidRPr="008D313B">
        <w:rPr>
          <w:i/>
          <w:iCs/>
          <w:color w:val="auto"/>
        </w:rPr>
        <w:t>EGFR</w:t>
      </w:r>
      <w:r w:rsidR="002F1642">
        <w:rPr>
          <w:color w:val="auto"/>
        </w:rPr>
        <w:t xml:space="preserve"> gene, </w:t>
      </w:r>
      <w:r w:rsidR="002F1642" w:rsidRPr="002F1642">
        <w:rPr>
          <w:color w:val="auto"/>
        </w:rPr>
        <w:t>a</w:t>
      </w:r>
      <w:r w:rsidR="00F36BAE" w:rsidRPr="002F1642">
        <w:rPr>
          <w:color w:val="auto"/>
        </w:rPr>
        <w:t>naplastic lymphoma kinase (</w:t>
      </w:r>
      <w:r w:rsidR="00F36BAE" w:rsidRPr="008D313B">
        <w:rPr>
          <w:i/>
          <w:iCs/>
          <w:color w:val="auto"/>
        </w:rPr>
        <w:t>ALK</w:t>
      </w:r>
      <w:r w:rsidR="00F36BAE" w:rsidRPr="002F1642">
        <w:rPr>
          <w:color w:val="auto"/>
        </w:rPr>
        <w:t xml:space="preserve">) </w:t>
      </w:r>
      <w:r w:rsidR="001017A0">
        <w:rPr>
          <w:color w:val="auto"/>
        </w:rPr>
        <w:t>gene rearrangemen</w:t>
      </w:r>
      <w:r w:rsidR="001017A0" w:rsidRPr="00523C35">
        <w:rPr>
          <w:color w:val="auto"/>
        </w:rPr>
        <w:t>t or</w:t>
      </w:r>
      <w:r w:rsidR="00F36BAE" w:rsidRPr="002F1642">
        <w:rPr>
          <w:color w:val="auto"/>
        </w:rPr>
        <w:t xml:space="preserve"> a c-ROS proto-oncogene 1 (</w:t>
      </w:r>
      <w:r w:rsidR="00F36BAE" w:rsidRPr="009050FE">
        <w:rPr>
          <w:i/>
          <w:iCs/>
          <w:color w:val="auto"/>
        </w:rPr>
        <w:t>ROS1</w:t>
      </w:r>
      <w:r w:rsidR="00F36BAE" w:rsidRPr="002F1642">
        <w:rPr>
          <w:color w:val="auto"/>
        </w:rPr>
        <w:t>) gene arrangemen</w:t>
      </w:r>
      <w:r w:rsidR="002F1642" w:rsidRPr="002F1642">
        <w:rPr>
          <w:color w:val="auto"/>
        </w:rPr>
        <w:t>t.</w:t>
      </w:r>
      <w:r w:rsidR="002F1642" w:rsidRPr="002F1642">
        <w:rPr>
          <w:i/>
          <w:color w:val="auto"/>
        </w:rPr>
        <w:t xml:space="preserve"> </w:t>
      </w:r>
    </w:p>
    <w:p w:rsidR="00B27719" w:rsidRPr="002F1642" w:rsidRDefault="00B27719" w:rsidP="00517363">
      <w:pPr>
        <w:pStyle w:val="PBACESHeading1"/>
      </w:pPr>
      <w:bookmarkStart w:id="3" w:name="_Toc497226178"/>
      <w:bookmarkStart w:id="4" w:name="_Toc81873375"/>
      <w:r w:rsidRPr="002F1642">
        <w:t>Requested listing</w:t>
      </w:r>
      <w:bookmarkEnd w:id="3"/>
      <w:bookmarkEnd w:id="4"/>
    </w:p>
    <w:p w:rsidR="00FD2F1C" w:rsidRPr="00C63DBB" w:rsidRDefault="002F1642" w:rsidP="00881A84">
      <w:pPr>
        <w:pStyle w:val="ListParagraph"/>
        <w:numPr>
          <w:ilvl w:val="4"/>
          <w:numId w:val="1"/>
        </w:numPr>
        <w:spacing w:before="0" w:line="259" w:lineRule="auto"/>
        <w:jc w:val="left"/>
      </w:pPr>
      <w:r w:rsidRPr="00183B83">
        <w:rPr>
          <w:rFonts w:cstheme="minorHAnsi"/>
          <w:iCs/>
        </w:rPr>
        <w:t>Suggestions and additions proposed by the Secretariat are added in italics and suggested deletions are crossed out with strikethrough.</w:t>
      </w:r>
      <w:r w:rsidRPr="00183B83" w:rsidDel="002F1642">
        <w:rPr>
          <w:i/>
        </w:rPr>
        <w:t xml:space="preserve"> </w:t>
      </w:r>
    </w:p>
    <w:p w:rsidR="00B27719" w:rsidRPr="00962499" w:rsidRDefault="00B27719" w:rsidP="00B27719">
      <w:pPr>
        <w:rPr>
          <w:b/>
        </w:rPr>
      </w:pPr>
      <w:r w:rsidRPr="00962499">
        <w:rPr>
          <w:b/>
        </w:rPr>
        <w:t xml:space="preserve">Proposed PBS </w:t>
      </w:r>
      <w:r w:rsidR="00B74A96" w:rsidRPr="00962499">
        <w:rPr>
          <w:b/>
        </w:rPr>
        <w:t>l</w:t>
      </w:r>
      <w:r w:rsidRPr="00962499">
        <w:rPr>
          <w:b/>
        </w:rPr>
        <w:t>isting</w:t>
      </w:r>
    </w:p>
    <w:tbl>
      <w:tblPr>
        <w:tblW w:w="5000" w:type="pct"/>
        <w:tblCellMar>
          <w:left w:w="28" w:type="dxa"/>
          <w:right w:w="28" w:type="dxa"/>
        </w:tblCellMar>
        <w:tblLook w:val="0000" w:firstRow="0" w:lastRow="0" w:firstColumn="0" w:lastColumn="0" w:noHBand="0" w:noVBand="0"/>
        <w:tblCaption w:val="Proposed PBS listing"/>
      </w:tblPr>
      <w:tblGrid>
        <w:gridCol w:w="3279"/>
        <w:gridCol w:w="730"/>
        <w:gridCol w:w="890"/>
        <w:gridCol w:w="1617"/>
        <w:gridCol w:w="907"/>
        <w:gridCol w:w="1603"/>
      </w:tblGrid>
      <w:tr w:rsidR="00B27719" w:rsidRPr="00962499" w:rsidTr="00E1248E">
        <w:trPr>
          <w:cantSplit/>
          <w:trHeight w:val="463"/>
        </w:trPr>
        <w:tc>
          <w:tcPr>
            <w:tcW w:w="1817" w:type="pct"/>
            <w:tcBorders>
              <w:bottom w:val="single" w:sz="4" w:space="0" w:color="auto"/>
            </w:tcBorders>
            <w:vAlign w:val="center"/>
          </w:tcPr>
          <w:p w:rsidR="00B27719" w:rsidRPr="00962499" w:rsidRDefault="00B27719" w:rsidP="00B27719">
            <w:pPr>
              <w:pStyle w:val="TableText"/>
            </w:pPr>
            <w:r w:rsidRPr="00962499">
              <w:t>Name, Restriction,</w:t>
            </w:r>
          </w:p>
          <w:p w:rsidR="00B27719" w:rsidRPr="00962499" w:rsidRDefault="00B27719" w:rsidP="00B27719">
            <w:pPr>
              <w:pStyle w:val="TableText"/>
            </w:pPr>
            <w:r w:rsidRPr="00962499">
              <w:t>Manner of administration and form</w:t>
            </w:r>
          </w:p>
        </w:tc>
        <w:tc>
          <w:tcPr>
            <w:tcW w:w="405" w:type="pct"/>
            <w:tcBorders>
              <w:bottom w:val="single" w:sz="4" w:space="0" w:color="auto"/>
            </w:tcBorders>
            <w:vAlign w:val="center"/>
          </w:tcPr>
          <w:p w:rsidR="00B27719" w:rsidRPr="00962499" w:rsidRDefault="00B27719" w:rsidP="00B27719">
            <w:pPr>
              <w:pStyle w:val="TableText"/>
            </w:pPr>
            <w:r w:rsidRPr="00962499">
              <w:t>Max.</w:t>
            </w:r>
          </w:p>
          <w:p w:rsidR="00B27719" w:rsidRPr="00962499" w:rsidRDefault="00B27719" w:rsidP="00B27719">
            <w:pPr>
              <w:pStyle w:val="TableText"/>
            </w:pPr>
            <w:proofErr w:type="spellStart"/>
            <w:r w:rsidRPr="00962499">
              <w:t>Qty</w:t>
            </w:r>
            <w:proofErr w:type="spellEnd"/>
            <w:r w:rsidRPr="00962499">
              <w:t xml:space="preserve"> </w:t>
            </w:r>
          </w:p>
        </w:tc>
        <w:tc>
          <w:tcPr>
            <w:tcW w:w="493" w:type="pct"/>
            <w:tcBorders>
              <w:bottom w:val="single" w:sz="4" w:space="0" w:color="auto"/>
            </w:tcBorders>
            <w:vAlign w:val="center"/>
          </w:tcPr>
          <w:p w:rsidR="00B27719" w:rsidRPr="00962499" w:rsidRDefault="00B27719" w:rsidP="00B27719">
            <w:pPr>
              <w:pStyle w:val="TableText"/>
            </w:pPr>
            <w:r w:rsidRPr="00962499">
              <w:t>№.of</w:t>
            </w:r>
          </w:p>
          <w:p w:rsidR="00B27719" w:rsidRPr="00962499" w:rsidRDefault="00B27719" w:rsidP="00B27719">
            <w:pPr>
              <w:pStyle w:val="TableText"/>
            </w:pPr>
            <w:proofErr w:type="spellStart"/>
            <w:r w:rsidRPr="00962499">
              <w:t>Rpts</w:t>
            </w:r>
            <w:proofErr w:type="spellEnd"/>
          </w:p>
        </w:tc>
        <w:tc>
          <w:tcPr>
            <w:tcW w:w="896" w:type="pct"/>
            <w:tcBorders>
              <w:bottom w:val="single" w:sz="4" w:space="0" w:color="auto"/>
            </w:tcBorders>
            <w:vAlign w:val="center"/>
          </w:tcPr>
          <w:p w:rsidR="00B27719" w:rsidRPr="00962499" w:rsidRDefault="00B27719" w:rsidP="00B27719">
            <w:pPr>
              <w:pStyle w:val="TableText"/>
            </w:pPr>
            <w:r w:rsidRPr="00962499">
              <w:t xml:space="preserve">Dispensed Price for Max. </w:t>
            </w:r>
            <w:proofErr w:type="spellStart"/>
            <w:r w:rsidRPr="00962499">
              <w:t>Qty</w:t>
            </w:r>
            <w:proofErr w:type="spellEnd"/>
            <w:r w:rsidRPr="00962499">
              <w:t xml:space="preserve"> </w:t>
            </w:r>
          </w:p>
        </w:tc>
        <w:tc>
          <w:tcPr>
            <w:tcW w:w="1390" w:type="pct"/>
            <w:gridSpan w:val="2"/>
            <w:tcBorders>
              <w:bottom w:val="single" w:sz="4" w:space="0" w:color="auto"/>
            </w:tcBorders>
            <w:vAlign w:val="center"/>
          </w:tcPr>
          <w:p w:rsidR="00B27719" w:rsidRPr="00962499" w:rsidRDefault="00B27719" w:rsidP="00B27719">
            <w:pPr>
              <w:pStyle w:val="TableText"/>
            </w:pPr>
            <w:r w:rsidRPr="00962499">
              <w:t>Proprietary Name and Manufacturer</w:t>
            </w:r>
          </w:p>
        </w:tc>
      </w:tr>
      <w:tr w:rsidR="00B27719" w:rsidRPr="00962499" w:rsidTr="00E1248E">
        <w:trPr>
          <w:cantSplit/>
          <w:trHeight w:val="567"/>
        </w:trPr>
        <w:tc>
          <w:tcPr>
            <w:tcW w:w="1817" w:type="pct"/>
          </w:tcPr>
          <w:p w:rsidR="00B27719" w:rsidRPr="00962499" w:rsidRDefault="00B27719" w:rsidP="00B27719">
            <w:pPr>
              <w:pStyle w:val="TableText"/>
            </w:pPr>
            <w:r w:rsidRPr="00962499">
              <w:t xml:space="preserve">Tepotinib, 225mg </w:t>
            </w:r>
            <w:r w:rsidR="009F21BA" w:rsidRPr="00461942">
              <w:t>tablet</w:t>
            </w:r>
            <w:r w:rsidR="009F21BA" w:rsidRPr="009F21BA">
              <w:rPr>
                <w:i/>
              </w:rPr>
              <w:t xml:space="preserve"> </w:t>
            </w:r>
            <w:r w:rsidRPr="00962499">
              <w:t>, 60</w:t>
            </w:r>
          </w:p>
        </w:tc>
        <w:tc>
          <w:tcPr>
            <w:tcW w:w="405" w:type="pct"/>
          </w:tcPr>
          <w:p w:rsidR="00B27719" w:rsidRPr="00962499" w:rsidRDefault="00B27719" w:rsidP="00B27719">
            <w:pPr>
              <w:pStyle w:val="TableText"/>
            </w:pPr>
            <w:r w:rsidRPr="00962499">
              <w:t>1 pack</w:t>
            </w:r>
          </w:p>
          <w:p w:rsidR="00B27719" w:rsidRPr="00962499" w:rsidRDefault="00B27719" w:rsidP="00B27719">
            <w:pPr>
              <w:pStyle w:val="TableText"/>
            </w:pPr>
            <w:r w:rsidRPr="00962499">
              <w:t>60 units</w:t>
            </w:r>
          </w:p>
        </w:tc>
        <w:tc>
          <w:tcPr>
            <w:tcW w:w="493" w:type="pct"/>
          </w:tcPr>
          <w:p w:rsidR="00B27719" w:rsidRPr="00962499" w:rsidRDefault="00B27719" w:rsidP="00B27719">
            <w:pPr>
              <w:pStyle w:val="TableText"/>
            </w:pPr>
            <w:r w:rsidRPr="00962499">
              <w:t>5</w:t>
            </w:r>
          </w:p>
        </w:tc>
        <w:tc>
          <w:tcPr>
            <w:tcW w:w="896" w:type="pct"/>
          </w:tcPr>
          <w:p w:rsidR="00B27719" w:rsidRPr="00962499" w:rsidRDefault="00B27719" w:rsidP="00B27719">
            <w:pPr>
              <w:pStyle w:val="TableText"/>
            </w:pPr>
            <w:r w:rsidRPr="00962499">
              <w:t>$</w:t>
            </w:r>
            <w:r w:rsidRPr="00573E78">
              <w:t>10,700.43</w:t>
            </w:r>
          </w:p>
        </w:tc>
        <w:tc>
          <w:tcPr>
            <w:tcW w:w="501" w:type="pct"/>
          </w:tcPr>
          <w:p w:rsidR="00B27719" w:rsidRPr="00962499" w:rsidRDefault="00B27719" w:rsidP="00B27719">
            <w:pPr>
              <w:pStyle w:val="TableText"/>
            </w:pPr>
            <w:proofErr w:type="spellStart"/>
            <w:r w:rsidRPr="00962499">
              <w:t>Tepmetko</w:t>
            </w:r>
            <w:proofErr w:type="spellEnd"/>
            <w:r w:rsidRPr="00962499">
              <w:t>®</w:t>
            </w:r>
          </w:p>
        </w:tc>
        <w:tc>
          <w:tcPr>
            <w:tcW w:w="888" w:type="pct"/>
          </w:tcPr>
          <w:p w:rsidR="00B27719" w:rsidRPr="00962499" w:rsidRDefault="00B27719" w:rsidP="00B27719">
            <w:pPr>
              <w:pStyle w:val="TableText"/>
            </w:pPr>
            <w:r w:rsidRPr="00962499">
              <w:t>Merck Healthcare Pty Ltd</w:t>
            </w:r>
          </w:p>
        </w:tc>
      </w:tr>
    </w:tbl>
    <w:tbl>
      <w:tblPr>
        <w:tblStyle w:val="TableGrid10"/>
        <w:tblpPr w:leftFromText="180" w:rightFromText="180" w:vertAnchor="text" w:tblpY="1"/>
        <w:tblOverlap w:val="never"/>
        <w:tblW w:w="5000" w:type="pct"/>
        <w:tblLook w:val="04A0" w:firstRow="1" w:lastRow="0" w:firstColumn="1" w:lastColumn="0" w:noHBand="0" w:noVBand="1"/>
        <w:tblCaption w:val="Proposed PBS listing"/>
      </w:tblPr>
      <w:tblGrid>
        <w:gridCol w:w="2029"/>
        <w:gridCol w:w="6987"/>
      </w:tblGrid>
      <w:tr w:rsidR="00B27719" w:rsidRPr="00962499" w:rsidTr="00FD0BD5">
        <w:trPr>
          <w:trHeight w:val="132"/>
          <w:tblHeader/>
        </w:trPr>
        <w:tc>
          <w:tcPr>
            <w:tcW w:w="1125"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Category/program:</w:t>
            </w:r>
          </w:p>
        </w:tc>
        <w:tc>
          <w:tcPr>
            <w:tcW w:w="3875"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GENERAL – General Schedule (Code GE)</w:t>
            </w:r>
          </w:p>
        </w:tc>
      </w:tr>
      <w:tr w:rsidR="00B27719" w:rsidRPr="00962499" w:rsidTr="00E1248E">
        <w:trPr>
          <w:trHeight w:val="174"/>
        </w:trPr>
        <w:tc>
          <w:tcPr>
            <w:tcW w:w="1125"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Prescriber type:</w:t>
            </w:r>
          </w:p>
        </w:tc>
        <w:tc>
          <w:tcPr>
            <w:tcW w:w="3875" w:type="pct"/>
          </w:tcPr>
          <w:p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183B83">
              <w:rPr>
                <w:rFonts w:ascii="Arial Narrow" w:hAnsi="Arial Narrow"/>
                <w:sz w:val="20"/>
              </w:rPr>
            </w:r>
            <w:r w:rsidR="00183B83">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Medical Practitioners </w:t>
            </w:r>
          </w:p>
        </w:tc>
      </w:tr>
      <w:tr w:rsidR="00B27719" w:rsidRPr="00962499" w:rsidTr="00E1248E">
        <w:trPr>
          <w:trHeight w:val="249"/>
        </w:trPr>
        <w:tc>
          <w:tcPr>
            <w:tcW w:w="1125"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Restriction type:</w:t>
            </w:r>
          </w:p>
        </w:tc>
        <w:tc>
          <w:tcPr>
            <w:tcW w:w="3875" w:type="pct"/>
          </w:tcPr>
          <w:p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183B83">
              <w:rPr>
                <w:rFonts w:ascii="Arial Narrow" w:hAnsi="Arial Narrow"/>
                <w:sz w:val="20"/>
              </w:rPr>
            </w:r>
            <w:r w:rsidR="00183B83">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 Authority Required – STREAMLINED</w:t>
            </w:r>
          </w:p>
        </w:tc>
      </w:tr>
      <w:tr w:rsidR="00B27719" w:rsidRPr="00962499" w:rsidTr="00E1248E">
        <w:trPr>
          <w:trHeight w:val="72"/>
        </w:trPr>
        <w:tc>
          <w:tcPr>
            <w:tcW w:w="1125" w:type="pct"/>
            <w:vAlign w:val="center"/>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Administrative advice</w:t>
            </w:r>
          </w:p>
        </w:tc>
        <w:tc>
          <w:tcPr>
            <w:tcW w:w="3875" w:type="pct"/>
            <w:vAlign w:val="center"/>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 xml:space="preserve">No increase in the maximum quantity or number of units may be </w:t>
            </w:r>
            <w:proofErr w:type="spellStart"/>
            <w:r w:rsidRPr="00962499">
              <w:rPr>
                <w:rFonts w:ascii="Arial Narrow" w:hAnsi="Arial Narrow"/>
                <w:sz w:val="20"/>
              </w:rPr>
              <w:t>authorised</w:t>
            </w:r>
            <w:proofErr w:type="spellEnd"/>
            <w:r w:rsidRPr="00962499">
              <w:rPr>
                <w:rFonts w:ascii="Arial Narrow" w:hAnsi="Arial Narrow"/>
                <w:sz w:val="20"/>
              </w:rPr>
              <w:t>.</w:t>
            </w:r>
          </w:p>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No increase in the maximum number of repeats may be </w:t>
            </w:r>
            <w:proofErr w:type="spellStart"/>
            <w:r w:rsidRPr="00962499">
              <w:rPr>
                <w:rFonts w:ascii="Arial Narrow" w:hAnsi="Arial Narrow"/>
                <w:sz w:val="20"/>
              </w:rPr>
              <w:t>authorised</w:t>
            </w:r>
            <w:proofErr w:type="spellEnd"/>
            <w:r w:rsidRPr="00962499">
              <w:rPr>
                <w:rFonts w:ascii="Arial Narrow" w:hAnsi="Arial Narrow"/>
                <w:sz w:val="20"/>
              </w:rPr>
              <w:t>.</w:t>
            </w:r>
          </w:p>
        </w:tc>
      </w:tr>
      <w:tr w:rsidR="00B27719" w:rsidRPr="00962499" w:rsidTr="00E1248E">
        <w:trPr>
          <w:trHeight w:val="136"/>
        </w:trPr>
        <w:tc>
          <w:tcPr>
            <w:tcW w:w="1125"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Condition:</w:t>
            </w:r>
          </w:p>
        </w:tc>
        <w:tc>
          <w:tcPr>
            <w:tcW w:w="3875"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Non-small cell lung cancer (NSCLC)</w:t>
            </w:r>
          </w:p>
        </w:tc>
      </w:tr>
      <w:tr w:rsidR="00B27719" w:rsidRPr="00962499" w:rsidTr="00E1248E">
        <w:trPr>
          <w:trHeight w:val="136"/>
        </w:trPr>
        <w:tc>
          <w:tcPr>
            <w:tcW w:w="1125"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PBS Indication:</w:t>
            </w:r>
          </w:p>
        </w:tc>
        <w:tc>
          <w:tcPr>
            <w:tcW w:w="3875"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Stage IIIB (locally advanced) or Stage IV (metastatic) non-small cell lung cancer (NSCLC)</w:t>
            </w:r>
          </w:p>
        </w:tc>
      </w:tr>
      <w:tr w:rsidR="00B27719" w:rsidRPr="00962499" w:rsidTr="00E1248E">
        <w:trPr>
          <w:trHeight w:val="167"/>
        </w:trPr>
        <w:tc>
          <w:tcPr>
            <w:tcW w:w="1125"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Treatment phase:</w:t>
            </w:r>
          </w:p>
        </w:tc>
        <w:tc>
          <w:tcPr>
            <w:tcW w:w="3875"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Initial treatment </w:t>
            </w:r>
          </w:p>
        </w:tc>
      </w:tr>
      <w:tr w:rsidR="00B27719" w:rsidRPr="00962499" w:rsidTr="00E1248E">
        <w:trPr>
          <w:trHeight w:val="77"/>
        </w:trPr>
        <w:tc>
          <w:tcPr>
            <w:tcW w:w="1125"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Clinical criteria:</w:t>
            </w:r>
          </w:p>
        </w:tc>
        <w:tc>
          <w:tcPr>
            <w:tcW w:w="3875" w:type="pct"/>
          </w:tcPr>
          <w:p w:rsidR="00B27719" w:rsidRPr="00F13980" w:rsidRDefault="00B27719" w:rsidP="002B73A4">
            <w:pPr>
              <w:spacing w:before="0"/>
              <w:jc w:val="left"/>
              <w:rPr>
                <w:rFonts w:ascii="Arial Narrow" w:hAnsi="Arial Narrow" w:cstheme="minorHAnsi"/>
                <w:sz w:val="20"/>
                <w:lang w:val="en-AU"/>
              </w:rPr>
            </w:pPr>
            <w:r w:rsidRPr="00CD3B90">
              <w:rPr>
                <w:rFonts w:ascii="Arial Narrow" w:hAnsi="Arial Narrow" w:cstheme="minorHAnsi"/>
                <w:strike/>
                <w:sz w:val="20"/>
              </w:rPr>
              <w:t>The treatment must be as monotherapy</w:t>
            </w:r>
            <w:r w:rsidR="00CD3B90">
              <w:t xml:space="preserve"> </w:t>
            </w:r>
            <w:r w:rsidR="00CD3B90" w:rsidRPr="00CD3B90">
              <w:rPr>
                <w:rFonts w:ascii="Arial Narrow" w:hAnsi="Arial Narrow" w:cstheme="minorHAnsi"/>
                <w:i/>
                <w:sz w:val="20"/>
              </w:rPr>
              <w:t>The treatment must be the sole PBS-</w:t>
            </w:r>
            <w:proofErr w:type="spellStart"/>
            <w:r w:rsidR="00CD3B90" w:rsidRPr="00CD3B90">
              <w:rPr>
                <w:rFonts w:ascii="Arial Narrow" w:hAnsi="Arial Narrow" w:cstheme="minorHAnsi"/>
                <w:i/>
                <w:sz w:val="20"/>
              </w:rPr>
              <w:t>subsidised</w:t>
            </w:r>
            <w:proofErr w:type="spellEnd"/>
            <w:r w:rsidR="00CD3B90" w:rsidRPr="00CD3B90">
              <w:rPr>
                <w:rFonts w:ascii="Arial Narrow" w:hAnsi="Arial Narrow" w:cstheme="minorHAnsi"/>
                <w:i/>
                <w:sz w:val="20"/>
              </w:rPr>
              <w:t xml:space="preserve"> therapy for this condition</w:t>
            </w:r>
          </w:p>
          <w:p w:rsidR="00B27719" w:rsidRPr="00F13980" w:rsidRDefault="00B27719" w:rsidP="002B73A4">
            <w:pPr>
              <w:spacing w:before="0"/>
              <w:rPr>
                <w:rFonts w:ascii="Arial Narrow" w:hAnsi="Arial Narrow" w:cstheme="minorHAnsi"/>
                <w:sz w:val="20"/>
                <w:lang w:val="en-AU"/>
              </w:rPr>
            </w:pPr>
            <w:r w:rsidRPr="00962499">
              <w:rPr>
                <w:rFonts w:ascii="Arial Narrow" w:hAnsi="Arial Narrow" w:cstheme="minorHAnsi"/>
                <w:sz w:val="20"/>
              </w:rPr>
              <w:t>AND</w:t>
            </w:r>
          </w:p>
          <w:p w:rsidR="00B27719" w:rsidRPr="00F13980" w:rsidRDefault="00B27719" w:rsidP="002B73A4">
            <w:pPr>
              <w:spacing w:before="0"/>
              <w:jc w:val="left"/>
              <w:rPr>
                <w:rFonts w:ascii="Arial Narrow" w:hAnsi="Arial Narrow" w:cstheme="minorHAnsi"/>
                <w:sz w:val="20"/>
                <w:lang w:val="en-AU"/>
              </w:rPr>
            </w:pPr>
            <w:r w:rsidRPr="00962499">
              <w:rPr>
                <w:rFonts w:ascii="Arial Narrow" w:hAnsi="Arial Narrow" w:cstheme="minorHAnsi"/>
                <w:sz w:val="20"/>
              </w:rPr>
              <w:t>Patient must have a WHO performance status of 2 or less</w:t>
            </w:r>
          </w:p>
          <w:p w:rsidR="00B27719" w:rsidRPr="00F13980" w:rsidRDefault="00B27719" w:rsidP="002B73A4">
            <w:pPr>
              <w:spacing w:before="0"/>
              <w:rPr>
                <w:rFonts w:ascii="Arial Narrow" w:hAnsi="Arial Narrow" w:cstheme="minorHAnsi"/>
                <w:sz w:val="20"/>
                <w:lang w:val="en-AU"/>
              </w:rPr>
            </w:pPr>
            <w:r w:rsidRPr="00962499">
              <w:rPr>
                <w:rFonts w:ascii="Arial Narrow" w:hAnsi="Arial Narrow" w:cstheme="minorHAnsi"/>
                <w:sz w:val="20"/>
              </w:rPr>
              <w:t>AND</w:t>
            </w:r>
          </w:p>
          <w:p w:rsidR="00B27719" w:rsidRPr="00F13980" w:rsidRDefault="00B27719" w:rsidP="002B73A4">
            <w:pPr>
              <w:pStyle w:val="TableLeft"/>
              <w:rPr>
                <w:rFonts w:ascii="Arial Narrow" w:hAnsi="Arial Narrow"/>
                <w:sz w:val="20"/>
                <w:lang w:val="en-AU"/>
              </w:rPr>
            </w:pPr>
            <w:r w:rsidRPr="00962499">
              <w:rPr>
                <w:rFonts w:ascii="Arial Narrow" w:hAnsi="Arial Narrow" w:cstheme="minorHAnsi"/>
                <w:sz w:val="20"/>
              </w:rPr>
              <w:t xml:space="preserve">Patient must have evidence of </w:t>
            </w:r>
            <w:r w:rsidR="001C3B0D" w:rsidRPr="001C3B0D">
              <w:rPr>
                <w:rFonts w:ascii="Arial Narrow" w:hAnsi="Arial Narrow" w:cstheme="minorHAnsi"/>
                <w:sz w:val="20"/>
                <w:lang w:val="en-AU"/>
              </w:rPr>
              <w:t xml:space="preserve">MET proto-oncogene, receptor tyrosine kinase </w:t>
            </w:r>
            <w:r w:rsidRPr="00962499">
              <w:rPr>
                <w:rFonts w:ascii="Arial Narrow" w:hAnsi="Arial Narrow" w:cstheme="minorHAnsi"/>
                <w:sz w:val="20"/>
              </w:rPr>
              <w:t xml:space="preserve">(MET) exon 14 skipping alterations in </w:t>
            </w:r>
            <w:proofErr w:type="spellStart"/>
            <w:r w:rsidRPr="00962499">
              <w:rPr>
                <w:rFonts w:ascii="Arial Narrow" w:hAnsi="Arial Narrow" w:cstheme="minorHAnsi"/>
                <w:sz w:val="20"/>
              </w:rPr>
              <w:t>tumour</w:t>
            </w:r>
            <w:proofErr w:type="spellEnd"/>
            <w:r w:rsidRPr="00962499">
              <w:rPr>
                <w:rFonts w:ascii="Arial Narrow" w:hAnsi="Arial Narrow" w:cstheme="minorHAnsi"/>
                <w:sz w:val="20"/>
              </w:rPr>
              <w:t xml:space="preserve"> material</w:t>
            </w:r>
          </w:p>
        </w:tc>
      </w:tr>
    </w:tbl>
    <w:p w:rsidR="00B27719" w:rsidRPr="00962499" w:rsidRDefault="00B27719" w:rsidP="00B27719">
      <w:pPr>
        <w:pStyle w:val="TableFooter"/>
      </w:pPr>
    </w:p>
    <w:tbl>
      <w:tblPr>
        <w:tblStyle w:val="TableGrid10"/>
        <w:tblpPr w:leftFromText="180" w:rightFromText="180" w:vertAnchor="text" w:tblpY="1"/>
        <w:tblOverlap w:val="never"/>
        <w:tblW w:w="5003" w:type="pct"/>
        <w:tblLook w:val="04A0" w:firstRow="1" w:lastRow="0" w:firstColumn="1" w:lastColumn="0" w:noHBand="0" w:noVBand="1"/>
        <w:tblCaption w:val="Proposed PBS listing"/>
      </w:tblPr>
      <w:tblGrid>
        <w:gridCol w:w="1986"/>
        <w:gridCol w:w="7035"/>
      </w:tblGrid>
      <w:tr w:rsidR="00B27719" w:rsidRPr="00962499" w:rsidTr="00FD0BD5">
        <w:trPr>
          <w:trHeight w:val="130"/>
          <w:tblHeader/>
        </w:trPr>
        <w:tc>
          <w:tcPr>
            <w:tcW w:w="1101"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Category/program:</w:t>
            </w:r>
          </w:p>
        </w:tc>
        <w:tc>
          <w:tcPr>
            <w:tcW w:w="3899"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GENERAL – General Schedule (Code GE)</w:t>
            </w:r>
          </w:p>
        </w:tc>
      </w:tr>
      <w:tr w:rsidR="00B27719" w:rsidRPr="00962499" w:rsidTr="002B73A4">
        <w:trPr>
          <w:trHeight w:val="60"/>
        </w:trPr>
        <w:tc>
          <w:tcPr>
            <w:tcW w:w="1101"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Prescriber type:</w:t>
            </w:r>
          </w:p>
        </w:tc>
        <w:tc>
          <w:tcPr>
            <w:tcW w:w="3899" w:type="pct"/>
          </w:tcPr>
          <w:p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183B83">
              <w:rPr>
                <w:rFonts w:ascii="Arial Narrow" w:hAnsi="Arial Narrow"/>
                <w:sz w:val="20"/>
              </w:rPr>
            </w:r>
            <w:r w:rsidR="00183B83">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Medical Practitioners </w:t>
            </w:r>
          </w:p>
        </w:tc>
      </w:tr>
      <w:tr w:rsidR="00B27719" w:rsidRPr="00962499" w:rsidTr="00B27719">
        <w:trPr>
          <w:trHeight w:val="249"/>
        </w:trPr>
        <w:tc>
          <w:tcPr>
            <w:tcW w:w="1101"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Restriction type:</w:t>
            </w:r>
          </w:p>
        </w:tc>
        <w:tc>
          <w:tcPr>
            <w:tcW w:w="3899" w:type="pct"/>
          </w:tcPr>
          <w:p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183B83">
              <w:rPr>
                <w:rFonts w:ascii="Arial Narrow" w:hAnsi="Arial Narrow"/>
                <w:sz w:val="20"/>
              </w:rPr>
            </w:r>
            <w:r w:rsidR="00183B83">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  Authority Required – STREAMLINED</w:t>
            </w:r>
          </w:p>
        </w:tc>
      </w:tr>
      <w:tr w:rsidR="00B27719" w:rsidRPr="00962499" w:rsidTr="00B27719">
        <w:trPr>
          <w:trHeight w:val="72"/>
        </w:trPr>
        <w:tc>
          <w:tcPr>
            <w:tcW w:w="1101" w:type="pct"/>
            <w:vAlign w:val="center"/>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Administrative advice</w:t>
            </w:r>
          </w:p>
        </w:tc>
        <w:tc>
          <w:tcPr>
            <w:tcW w:w="3899" w:type="pct"/>
            <w:vAlign w:val="center"/>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 xml:space="preserve">No increase in the maximum quantity or number of units may be </w:t>
            </w:r>
            <w:proofErr w:type="spellStart"/>
            <w:r w:rsidRPr="00962499">
              <w:rPr>
                <w:rFonts w:ascii="Arial Narrow" w:hAnsi="Arial Narrow"/>
                <w:sz w:val="20"/>
              </w:rPr>
              <w:t>authorised</w:t>
            </w:r>
            <w:proofErr w:type="spellEnd"/>
            <w:r w:rsidRPr="00962499">
              <w:rPr>
                <w:rFonts w:ascii="Arial Narrow" w:hAnsi="Arial Narrow"/>
                <w:sz w:val="20"/>
              </w:rPr>
              <w:t>.</w:t>
            </w:r>
          </w:p>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No increase in the maximum number of repeats may be </w:t>
            </w:r>
            <w:proofErr w:type="spellStart"/>
            <w:r w:rsidRPr="00962499">
              <w:rPr>
                <w:rFonts w:ascii="Arial Narrow" w:hAnsi="Arial Narrow"/>
                <w:sz w:val="20"/>
              </w:rPr>
              <w:t>authorised</w:t>
            </w:r>
            <w:proofErr w:type="spellEnd"/>
            <w:r w:rsidRPr="00962499">
              <w:rPr>
                <w:rFonts w:ascii="Arial Narrow" w:hAnsi="Arial Narrow"/>
                <w:sz w:val="20"/>
              </w:rPr>
              <w:t>.</w:t>
            </w:r>
          </w:p>
        </w:tc>
      </w:tr>
      <w:tr w:rsidR="00B27719" w:rsidRPr="00962499" w:rsidTr="00B27719">
        <w:trPr>
          <w:trHeight w:val="70"/>
        </w:trPr>
        <w:tc>
          <w:tcPr>
            <w:tcW w:w="1101"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Condition:</w:t>
            </w:r>
          </w:p>
        </w:tc>
        <w:tc>
          <w:tcPr>
            <w:tcW w:w="3899"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Non-small cell lung cancer (NSCLC)</w:t>
            </w:r>
          </w:p>
        </w:tc>
      </w:tr>
      <w:tr w:rsidR="00B27719" w:rsidRPr="00962499" w:rsidTr="00B27719">
        <w:trPr>
          <w:trHeight w:val="136"/>
        </w:trPr>
        <w:tc>
          <w:tcPr>
            <w:tcW w:w="1101"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PBS Indication:</w:t>
            </w:r>
          </w:p>
        </w:tc>
        <w:tc>
          <w:tcPr>
            <w:tcW w:w="3899"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Stage IIIB (locally advanced) or Stage IV (metastatic) non-small cell lung cancer (NSCLC)</w:t>
            </w:r>
          </w:p>
        </w:tc>
      </w:tr>
      <w:tr w:rsidR="00B27719" w:rsidRPr="00962499" w:rsidTr="00B27719">
        <w:trPr>
          <w:trHeight w:val="167"/>
        </w:trPr>
        <w:tc>
          <w:tcPr>
            <w:tcW w:w="1101"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Treatment phase:</w:t>
            </w:r>
          </w:p>
        </w:tc>
        <w:tc>
          <w:tcPr>
            <w:tcW w:w="3899"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Continuing treatment </w:t>
            </w:r>
          </w:p>
        </w:tc>
      </w:tr>
      <w:tr w:rsidR="00B27719" w:rsidRPr="00962499" w:rsidTr="00B27719">
        <w:trPr>
          <w:trHeight w:val="77"/>
        </w:trPr>
        <w:tc>
          <w:tcPr>
            <w:tcW w:w="1101"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Clinical criteria:</w:t>
            </w:r>
          </w:p>
          <w:p w:rsidR="00B27719" w:rsidRPr="00F13980" w:rsidRDefault="00B27719" w:rsidP="002B73A4">
            <w:pPr>
              <w:keepNext/>
              <w:spacing w:before="0"/>
              <w:rPr>
                <w:rFonts w:ascii="Arial Narrow" w:hAnsi="Arial Narrow"/>
                <w:sz w:val="20"/>
                <w:lang w:val="en-AU"/>
              </w:rPr>
            </w:pPr>
          </w:p>
        </w:tc>
        <w:tc>
          <w:tcPr>
            <w:tcW w:w="3899" w:type="pct"/>
          </w:tcPr>
          <w:p w:rsidR="00B27719" w:rsidRPr="00F13980" w:rsidRDefault="00B27719" w:rsidP="002B73A4">
            <w:pPr>
              <w:pStyle w:val="TableLeft"/>
              <w:rPr>
                <w:rFonts w:ascii="Arial Narrow" w:hAnsi="Arial Narrow"/>
                <w:sz w:val="20"/>
                <w:lang w:val="en-AU"/>
              </w:rPr>
            </w:pPr>
            <w:r w:rsidRPr="00962499">
              <w:rPr>
                <w:rFonts w:ascii="Arial Narrow" w:hAnsi="Arial Narrow"/>
                <w:sz w:val="20"/>
              </w:rPr>
              <w:t>Patient must have previously received PBS-</w:t>
            </w:r>
            <w:proofErr w:type="spellStart"/>
            <w:r w:rsidRPr="00962499">
              <w:rPr>
                <w:rFonts w:ascii="Arial Narrow" w:hAnsi="Arial Narrow"/>
                <w:sz w:val="20"/>
              </w:rPr>
              <w:t>subsidised</w:t>
            </w:r>
            <w:proofErr w:type="spellEnd"/>
            <w:r w:rsidRPr="00962499">
              <w:rPr>
                <w:rFonts w:ascii="Arial Narrow" w:hAnsi="Arial Narrow"/>
                <w:sz w:val="20"/>
              </w:rPr>
              <w:t xml:space="preserve"> treatment with this drug for this condition,</w:t>
            </w:r>
          </w:p>
          <w:p w:rsidR="00B27719" w:rsidRPr="00F13980" w:rsidRDefault="00CD3B90" w:rsidP="002B73A4">
            <w:pPr>
              <w:pStyle w:val="TableLeft"/>
              <w:rPr>
                <w:rFonts w:ascii="Arial Narrow" w:hAnsi="Arial Narrow"/>
                <w:sz w:val="20"/>
                <w:lang w:val="en-AU"/>
              </w:rPr>
            </w:pPr>
            <w:r>
              <w:rPr>
                <w:rFonts w:ascii="Arial Narrow" w:hAnsi="Arial Narrow"/>
                <w:sz w:val="20"/>
                <w:lang w:val="en-AU"/>
              </w:rPr>
              <w:t>AND</w:t>
            </w:r>
          </w:p>
          <w:p w:rsidR="00B27719" w:rsidRDefault="00B27719" w:rsidP="002B73A4">
            <w:pPr>
              <w:pStyle w:val="TableLeft"/>
              <w:rPr>
                <w:rFonts w:ascii="Arial Narrow" w:hAnsi="Arial Narrow"/>
                <w:sz w:val="20"/>
              </w:rPr>
            </w:pPr>
            <w:r w:rsidRPr="00962499">
              <w:rPr>
                <w:rFonts w:ascii="Arial Narrow" w:hAnsi="Arial Narrow"/>
                <w:sz w:val="20"/>
              </w:rPr>
              <w:t>Patient must not develop disease progression while receiving PBS-</w:t>
            </w:r>
            <w:proofErr w:type="spellStart"/>
            <w:r w:rsidRPr="00962499">
              <w:rPr>
                <w:rFonts w:ascii="Arial Narrow" w:hAnsi="Arial Narrow"/>
                <w:sz w:val="20"/>
              </w:rPr>
              <w:t>subsidised</w:t>
            </w:r>
            <w:proofErr w:type="spellEnd"/>
            <w:r w:rsidRPr="00962499">
              <w:rPr>
                <w:rFonts w:ascii="Arial Narrow" w:hAnsi="Arial Narrow"/>
                <w:sz w:val="20"/>
              </w:rPr>
              <w:t xml:space="preserve"> treatment with this drug for this condition</w:t>
            </w:r>
          </w:p>
          <w:p w:rsidR="00CD3B90" w:rsidRDefault="00CD3B90" w:rsidP="002B73A4">
            <w:pPr>
              <w:pStyle w:val="TableLeft"/>
              <w:rPr>
                <w:rFonts w:ascii="Arial Narrow" w:hAnsi="Arial Narrow"/>
                <w:sz w:val="20"/>
              </w:rPr>
            </w:pPr>
            <w:r>
              <w:rPr>
                <w:rFonts w:ascii="Arial Narrow" w:hAnsi="Arial Narrow"/>
                <w:sz w:val="20"/>
              </w:rPr>
              <w:t>AND</w:t>
            </w:r>
          </w:p>
          <w:p w:rsidR="00CD3B90" w:rsidRPr="002B73A4" w:rsidRDefault="00CD3B90" w:rsidP="002B73A4">
            <w:pPr>
              <w:spacing w:before="0"/>
              <w:rPr>
                <w:rFonts w:ascii="Arial Narrow" w:hAnsi="Arial Narrow" w:cstheme="minorHAnsi"/>
                <w:i/>
                <w:sz w:val="20"/>
                <w:lang w:val="en-AU"/>
              </w:rPr>
            </w:pPr>
            <w:r w:rsidRPr="000C7FD1">
              <w:rPr>
                <w:rFonts w:ascii="Arial Narrow" w:hAnsi="Arial Narrow" w:cstheme="minorHAnsi"/>
                <w:i/>
                <w:sz w:val="20"/>
              </w:rPr>
              <w:t>The treatment must be the sole PBS-</w:t>
            </w:r>
            <w:proofErr w:type="spellStart"/>
            <w:r w:rsidRPr="000C7FD1">
              <w:rPr>
                <w:rFonts w:ascii="Arial Narrow" w:hAnsi="Arial Narrow" w:cstheme="minorHAnsi"/>
                <w:i/>
                <w:sz w:val="20"/>
              </w:rPr>
              <w:t>subsidised</w:t>
            </w:r>
            <w:proofErr w:type="spellEnd"/>
            <w:r w:rsidRPr="000C7FD1">
              <w:rPr>
                <w:rFonts w:ascii="Arial Narrow" w:hAnsi="Arial Narrow" w:cstheme="minorHAnsi"/>
                <w:i/>
                <w:sz w:val="20"/>
              </w:rPr>
              <w:t xml:space="preserve"> therapy for this condition</w:t>
            </w:r>
            <w:r>
              <w:rPr>
                <w:rFonts w:ascii="Arial Narrow" w:hAnsi="Arial Narrow" w:cstheme="minorHAnsi"/>
                <w:i/>
                <w:sz w:val="20"/>
              </w:rPr>
              <w:t>.</w:t>
            </w:r>
            <w:r w:rsidRPr="000C7FD1">
              <w:rPr>
                <w:rFonts w:ascii="Arial Narrow" w:hAnsi="Arial Narrow" w:cstheme="minorHAnsi"/>
                <w:i/>
                <w:sz w:val="20"/>
              </w:rPr>
              <w:t xml:space="preserve"> </w:t>
            </w:r>
          </w:p>
        </w:tc>
      </w:tr>
      <w:tr w:rsidR="00B27719" w:rsidRPr="00962499" w:rsidTr="00B27719">
        <w:trPr>
          <w:trHeight w:val="77"/>
        </w:trPr>
        <w:tc>
          <w:tcPr>
            <w:tcW w:w="1101"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Treatment criteria:</w:t>
            </w:r>
          </w:p>
        </w:tc>
        <w:tc>
          <w:tcPr>
            <w:tcW w:w="3899" w:type="pct"/>
          </w:tcPr>
          <w:p w:rsidR="00B27719" w:rsidRPr="00F13980" w:rsidRDefault="00B27719" w:rsidP="002B73A4">
            <w:pPr>
              <w:pStyle w:val="TableLeft"/>
              <w:rPr>
                <w:rFonts w:ascii="Arial Narrow" w:hAnsi="Arial Narrow"/>
                <w:sz w:val="20"/>
                <w:lang w:val="en-AU"/>
              </w:rPr>
            </w:pPr>
            <w:r w:rsidRPr="00962499">
              <w:rPr>
                <w:rFonts w:ascii="Arial Narrow" w:hAnsi="Arial Narrow"/>
                <w:sz w:val="20"/>
              </w:rPr>
              <w:t>Patient must have previously received PBS-</w:t>
            </w:r>
            <w:proofErr w:type="spellStart"/>
            <w:r w:rsidRPr="00962499">
              <w:rPr>
                <w:rFonts w:ascii="Arial Narrow" w:hAnsi="Arial Narrow"/>
                <w:sz w:val="20"/>
              </w:rPr>
              <w:t>subsidised</w:t>
            </w:r>
            <w:proofErr w:type="spellEnd"/>
            <w:r w:rsidRPr="00962499">
              <w:rPr>
                <w:rFonts w:ascii="Arial Narrow" w:hAnsi="Arial Narrow"/>
                <w:sz w:val="20"/>
              </w:rPr>
              <w:t xml:space="preserve"> treatment with this drug for this condition</w:t>
            </w:r>
          </w:p>
        </w:tc>
      </w:tr>
    </w:tbl>
    <w:p w:rsidR="00FD0BD5" w:rsidRDefault="00FD0BD5" w:rsidP="00B27719">
      <w:pPr>
        <w:pStyle w:val="TableFooter"/>
      </w:pPr>
    </w:p>
    <w:p w:rsidR="00B27719" w:rsidRPr="00962499" w:rsidRDefault="00B27719" w:rsidP="00183B83">
      <w:pPr>
        <w:spacing w:before="0" w:line="259" w:lineRule="auto"/>
        <w:jc w:val="left"/>
      </w:pPr>
    </w:p>
    <w:tbl>
      <w:tblPr>
        <w:tblStyle w:val="TableGrid10"/>
        <w:tblpPr w:leftFromText="180" w:rightFromText="180" w:vertAnchor="text" w:tblpY="1"/>
        <w:tblOverlap w:val="never"/>
        <w:tblW w:w="5003" w:type="pct"/>
        <w:tblLook w:val="04A0" w:firstRow="1" w:lastRow="0" w:firstColumn="1" w:lastColumn="0" w:noHBand="0" w:noVBand="1"/>
        <w:tblCaption w:val="Proposed PBS listing"/>
      </w:tblPr>
      <w:tblGrid>
        <w:gridCol w:w="1986"/>
        <w:gridCol w:w="7035"/>
      </w:tblGrid>
      <w:tr w:rsidR="00B27719" w:rsidRPr="00962499" w:rsidTr="00FD0BD5">
        <w:trPr>
          <w:trHeight w:val="132"/>
          <w:tblHeader/>
        </w:trPr>
        <w:tc>
          <w:tcPr>
            <w:tcW w:w="1101"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Category/program:</w:t>
            </w:r>
          </w:p>
        </w:tc>
        <w:tc>
          <w:tcPr>
            <w:tcW w:w="3899"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GENERAL – General Schedule (Code GE)</w:t>
            </w:r>
          </w:p>
        </w:tc>
      </w:tr>
      <w:tr w:rsidR="00B27719" w:rsidRPr="00962499" w:rsidTr="002B73A4">
        <w:trPr>
          <w:trHeight w:val="179"/>
        </w:trPr>
        <w:tc>
          <w:tcPr>
            <w:tcW w:w="1101"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Prescriber type:</w:t>
            </w:r>
          </w:p>
        </w:tc>
        <w:tc>
          <w:tcPr>
            <w:tcW w:w="3899" w:type="pct"/>
          </w:tcPr>
          <w:p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183B83">
              <w:rPr>
                <w:rFonts w:ascii="Arial Narrow" w:hAnsi="Arial Narrow"/>
                <w:sz w:val="20"/>
              </w:rPr>
            </w:r>
            <w:r w:rsidR="00183B83">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Medical Practitioners </w:t>
            </w:r>
          </w:p>
        </w:tc>
      </w:tr>
      <w:tr w:rsidR="00B27719" w:rsidRPr="00962499" w:rsidTr="00B27719">
        <w:trPr>
          <w:trHeight w:val="249"/>
        </w:trPr>
        <w:tc>
          <w:tcPr>
            <w:tcW w:w="1101"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Restriction type:</w:t>
            </w:r>
          </w:p>
        </w:tc>
        <w:tc>
          <w:tcPr>
            <w:tcW w:w="3899" w:type="pct"/>
          </w:tcPr>
          <w:p w:rsidR="00B27719" w:rsidRPr="00F13980" w:rsidRDefault="00B27719" w:rsidP="002B73A4">
            <w:pPr>
              <w:keepNext/>
              <w:spacing w:before="0"/>
              <w:rPr>
                <w:rFonts w:ascii="Arial Narrow" w:hAnsi="Arial Narrow"/>
                <w:sz w:val="20"/>
                <w:lang w:val="en-AU"/>
              </w:rPr>
            </w:pPr>
            <w:r w:rsidRPr="00F13980">
              <w:rPr>
                <w:rFonts w:ascii="Arial Narrow" w:hAnsi="Arial Narrow"/>
                <w:sz w:val="20"/>
              </w:rPr>
              <w:fldChar w:fldCharType="begin">
                <w:ffData>
                  <w:name w:val=""/>
                  <w:enabled/>
                  <w:calcOnExit w:val="0"/>
                  <w:checkBox>
                    <w:sizeAuto/>
                    <w:default w:val="1"/>
                  </w:checkBox>
                </w:ffData>
              </w:fldChar>
            </w:r>
            <w:r w:rsidRPr="00962499">
              <w:rPr>
                <w:rFonts w:ascii="Arial Narrow" w:hAnsi="Arial Narrow"/>
                <w:sz w:val="20"/>
              </w:rPr>
              <w:instrText xml:space="preserve"> FORMCHECKBOX </w:instrText>
            </w:r>
            <w:r w:rsidR="00183B83">
              <w:rPr>
                <w:rFonts w:ascii="Arial Narrow" w:hAnsi="Arial Narrow"/>
                <w:sz w:val="20"/>
              </w:rPr>
            </w:r>
            <w:r w:rsidR="00183B83">
              <w:rPr>
                <w:rFonts w:ascii="Arial Narrow" w:hAnsi="Arial Narrow"/>
                <w:sz w:val="20"/>
              </w:rPr>
              <w:fldChar w:fldCharType="separate"/>
            </w:r>
            <w:r w:rsidRPr="00F13980">
              <w:rPr>
                <w:rFonts w:ascii="Arial Narrow" w:hAnsi="Arial Narrow"/>
                <w:sz w:val="20"/>
              </w:rPr>
              <w:fldChar w:fldCharType="end"/>
            </w:r>
            <w:r w:rsidRPr="00962499">
              <w:rPr>
                <w:rFonts w:ascii="Arial Narrow" w:hAnsi="Arial Narrow"/>
                <w:sz w:val="20"/>
              </w:rPr>
              <w:t xml:space="preserve"> Authority Required – STREAMLINED</w:t>
            </w:r>
          </w:p>
        </w:tc>
      </w:tr>
      <w:tr w:rsidR="00B27719" w:rsidRPr="00962499" w:rsidTr="00B27719">
        <w:trPr>
          <w:trHeight w:val="72"/>
        </w:trPr>
        <w:tc>
          <w:tcPr>
            <w:tcW w:w="1101" w:type="pct"/>
            <w:vAlign w:val="center"/>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Administrative advice</w:t>
            </w:r>
          </w:p>
        </w:tc>
        <w:tc>
          <w:tcPr>
            <w:tcW w:w="3899" w:type="pct"/>
            <w:vAlign w:val="center"/>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 xml:space="preserve">No increase in the maximum quantity or number of units may be </w:t>
            </w:r>
            <w:proofErr w:type="spellStart"/>
            <w:r w:rsidRPr="00962499">
              <w:rPr>
                <w:rFonts w:ascii="Arial Narrow" w:hAnsi="Arial Narrow"/>
                <w:sz w:val="20"/>
              </w:rPr>
              <w:t>authorised</w:t>
            </w:r>
            <w:proofErr w:type="spellEnd"/>
            <w:r w:rsidRPr="00962499">
              <w:rPr>
                <w:rFonts w:ascii="Arial Narrow" w:hAnsi="Arial Narrow"/>
                <w:sz w:val="20"/>
              </w:rPr>
              <w:t>.</w:t>
            </w:r>
          </w:p>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 xml:space="preserve">No increase in the maximum number of repeats may be </w:t>
            </w:r>
            <w:proofErr w:type="spellStart"/>
            <w:r w:rsidRPr="00962499">
              <w:rPr>
                <w:rFonts w:ascii="Arial Narrow" w:hAnsi="Arial Narrow"/>
                <w:sz w:val="20"/>
              </w:rPr>
              <w:t>authorised</w:t>
            </w:r>
            <w:proofErr w:type="spellEnd"/>
            <w:r w:rsidRPr="00962499">
              <w:rPr>
                <w:rFonts w:ascii="Arial Narrow" w:hAnsi="Arial Narrow"/>
                <w:sz w:val="20"/>
              </w:rPr>
              <w:t>.</w:t>
            </w:r>
          </w:p>
        </w:tc>
      </w:tr>
      <w:tr w:rsidR="00B27719" w:rsidRPr="00962499" w:rsidTr="00B27719">
        <w:trPr>
          <w:trHeight w:val="136"/>
        </w:trPr>
        <w:tc>
          <w:tcPr>
            <w:tcW w:w="1101"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Condition:</w:t>
            </w:r>
          </w:p>
        </w:tc>
        <w:tc>
          <w:tcPr>
            <w:tcW w:w="3899"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Non-small cell lung cancer (NSCLC)</w:t>
            </w:r>
          </w:p>
        </w:tc>
      </w:tr>
      <w:tr w:rsidR="00B27719" w:rsidRPr="00962499" w:rsidTr="00B27719">
        <w:trPr>
          <w:trHeight w:val="136"/>
        </w:trPr>
        <w:tc>
          <w:tcPr>
            <w:tcW w:w="1101"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PBS Indication:</w:t>
            </w:r>
          </w:p>
        </w:tc>
        <w:tc>
          <w:tcPr>
            <w:tcW w:w="3899"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cstheme="minorHAnsi"/>
                <w:sz w:val="20"/>
              </w:rPr>
              <w:t>Stage IIIB (locally advanced) or Stage IV (metastatic) non-small cell lung cancer (NSCLC)</w:t>
            </w:r>
          </w:p>
        </w:tc>
      </w:tr>
      <w:tr w:rsidR="00B27719" w:rsidRPr="00962499" w:rsidTr="00B27719">
        <w:trPr>
          <w:trHeight w:val="167"/>
        </w:trPr>
        <w:tc>
          <w:tcPr>
            <w:tcW w:w="1101"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Treatment phase:</w:t>
            </w:r>
          </w:p>
        </w:tc>
        <w:tc>
          <w:tcPr>
            <w:tcW w:w="3899" w:type="pct"/>
          </w:tcPr>
          <w:p w:rsidR="00B27719" w:rsidRPr="00F13980" w:rsidRDefault="00B27719" w:rsidP="002B73A4">
            <w:pPr>
              <w:pStyle w:val="TableLeft"/>
              <w:keepNext/>
              <w:rPr>
                <w:rFonts w:ascii="Arial Narrow" w:hAnsi="Arial Narrow"/>
                <w:sz w:val="20"/>
                <w:lang w:val="en-AU"/>
              </w:rPr>
            </w:pPr>
            <w:r w:rsidRPr="00962499">
              <w:rPr>
                <w:rFonts w:ascii="Arial Narrow" w:hAnsi="Arial Narrow"/>
                <w:sz w:val="20"/>
              </w:rPr>
              <w:t>Grandfathering</w:t>
            </w:r>
          </w:p>
        </w:tc>
      </w:tr>
      <w:tr w:rsidR="00B27719" w:rsidRPr="00962499" w:rsidTr="00B27719">
        <w:trPr>
          <w:trHeight w:val="77"/>
        </w:trPr>
        <w:tc>
          <w:tcPr>
            <w:tcW w:w="1101" w:type="pct"/>
          </w:tcPr>
          <w:p w:rsidR="00B27719" w:rsidRPr="00F13980" w:rsidRDefault="00B27719" w:rsidP="002B73A4">
            <w:pPr>
              <w:keepNext/>
              <w:spacing w:before="0"/>
              <w:rPr>
                <w:rFonts w:ascii="Arial Narrow" w:hAnsi="Arial Narrow"/>
                <w:sz w:val="20"/>
                <w:lang w:val="en-AU"/>
              </w:rPr>
            </w:pPr>
            <w:r w:rsidRPr="00962499">
              <w:rPr>
                <w:rFonts w:ascii="Arial Narrow" w:hAnsi="Arial Narrow"/>
                <w:sz w:val="20"/>
              </w:rPr>
              <w:t>Clinical criteria:</w:t>
            </w:r>
          </w:p>
          <w:p w:rsidR="00B27719" w:rsidRPr="00F13980" w:rsidRDefault="00B27719" w:rsidP="002B73A4">
            <w:pPr>
              <w:keepNext/>
              <w:spacing w:before="0"/>
              <w:rPr>
                <w:rFonts w:ascii="Arial Narrow" w:hAnsi="Arial Narrow"/>
                <w:sz w:val="20"/>
                <w:lang w:val="en-AU"/>
              </w:rPr>
            </w:pPr>
          </w:p>
        </w:tc>
        <w:tc>
          <w:tcPr>
            <w:tcW w:w="3899" w:type="pct"/>
          </w:tcPr>
          <w:p w:rsidR="00CD3B90" w:rsidRDefault="00CD3B90" w:rsidP="002B73A4">
            <w:pPr>
              <w:spacing w:before="0"/>
              <w:rPr>
                <w:rFonts w:ascii="Arial Narrow" w:hAnsi="Arial Narrow" w:cstheme="minorHAnsi"/>
                <w:i/>
                <w:sz w:val="20"/>
              </w:rPr>
            </w:pPr>
            <w:r w:rsidRPr="000C7FD1">
              <w:rPr>
                <w:rFonts w:ascii="Arial Narrow" w:hAnsi="Arial Narrow" w:cstheme="minorHAnsi"/>
                <w:i/>
                <w:sz w:val="20"/>
              </w:rPr>
              <w:t xml:space="preserve">Patient must have previously received non-PBS </w:t>
            </w:r>
            <w:proofErr w:type="spellStart"/>
            <w:r w:rsidRPr="000C7FD1">
              <w:rPr>
                <w:rFonts w:ascii="Arial Narrow" w:hAnsi="Arial Narrow" w:cstheme="minorHAnsi"/>
                <w:i/>
                <w:sz w:val="20"/>
              </w:rPr>
              <w:t>subsidised</w:t>
            </w:r>
            <w:proofErr w:type="spellEnd"/>
            <w:r w:rsidRPr="000C7FD1">
              <w:rPr>
                <w:rFonts w:ascii="Arial Narrow" w:hAnsi="Arial Narrow" w:cstheme="minorHAnsi"/>
                <w:i/>
                <w:sz w:val="20"/>
              </w:rPr>
              <w:t xml:space="preserve"> treatment with this drug for this condition prior to [date of PBS listing]</w:t>
            </w:r>
          </w:p>
          <w:p w:rsidR="00CD3B90" w:rsidRPr="000C7FD1" w:rsidRDefault="00CD3B90" w:rsidP="002B73A4">
            <w:pPr>
              <w:spacing w:before="0"/>
              <w:rPr>
                <w:rFonts w:ascii="Arial Narrow" w:hAnsi="Arial Narrow" w:cstheme="minorHAnsi"/>
                <w:i/>
                <w:sz w:val="20"/>
              </w:rPr>
            </w:pPr>
            <w:r>
              <w:rPr>
                <w:rFonts w:ascii="Arial Narrow" w:hAnsi="Arial Narrow" w:cstheme="minorHAnsi"/>
                <w:i/>
                <w:sz w:val="20"/>
              </w:rPr>
              <w:t>AND</w:t>
            </w:r>
          </w:p>
          <w:p w:rsidR="00B27719" w:rsidRPr="00CD3B90" w:rsidRDefault="00B27719" w:rsidP="002B73A4">
            <w:pPr>
              <w:spacing w:before="0"/>
              <w:rPr>
                <w:rFonts w:ascii="Arial Narrow" w:hAnsi="Arial Narrow" w:cstheme="minorHAnsi"/>
                <w:i/>
                <w:sz w:val="20"/>
                <w:lang w:val="en-AU"/>
              </w:rPr>
            </w:pPr>
            <w:r w:rsidRPr="00CD3B90">
              <w:rPr>
                <w:rFonts w:ascii="Arial Narrow" w:hAnsi="Arial Narrow" w:cstheme="minorHAnsi"/>
                <w:strike/>
                <w:sz w:val="20"/>
              </w:rPr>
              <w:t>The treatment must be as monotherapy</w:t>
            </w:r>
            <w:r w:rsidR="00CD3B90" w:rsidRPr="00CD3B90">
              <w:rPr>
                <w:rFonts w:ascii="Arial Narrow" w:hAnsi="Arial Narrow" w:cstheme="minorHAnsi"/>
                <w:strike/>
                <w:sz w:val="20"/>
              </w:rPr>
              <w:t>.</w:t>
            </w:r>
            <w:r w:rsidR="00CD3B90">
              <w:rPr>
                <w:rFonts w:ascii="Arial Narrow" w:hAnsi="Arial Narrow" w:cstheme="minorHAnsi"/>
                <w:sz w:val="20"/>
              </w:rPr>
              <w:t xml:space="preserve"> </w:t>
            </w:r>
            <w:r w:rsidR="00CD3B90" w:rsidRPr="000C7FD1">
              <w:rPr>
                <w:rFonts w:ascii="Arial Narrow" w:hAnsi="Arial Narrow" w:cstheme="minorHAnsi"/>
                <w:i/>
                <w:sz w:val="20"/>
              </w:rPr>
              <w:t>The treatment must be the sole PBS-</w:t>
            </w:r>
            <w:proofErr w:type="spellStart"/>
            <w:r w:rsidR="00CD3B90" w:rsidRPr="000C7FD1">
              <w:rPr>
                <w:rFonts w:ascii="Arial Narrow" w:hAnsi="Arial Narrow" w:cstheme="minorHAnsi"/>
                <w:i/>
                <w:sz w:val="20"/>
              </w:rPr>
              <w:t>subsidised</w:t>
            </w:r>
            <w:proofErr w:type="spellEnd"/>
            <w:r w:rsidR="00CD3B90" w:rsidRPr="000C7FD1">
              <w:rPr>
                <w:rFonts w:ascii="Arial Narrow" w:hAnsi="Arial Narrow" w:cstheme="minorHAnsi"/>
                <w:i/>
                <w:sz w:val="20"/>
              </w:rPr>
              <w:t xml:space="preserve"> therapy for this condition</w:t>
            </w:r>
            <w:r w:rsidR="00CD3B90">
              <w:rPr>
                <w:rFonts w:ascii="Arial Narrow" w:hAnsi="Arial Narrow" w:cstheme="minorHAnsi"/>
                <w:i/>
                <w:sz w:val="20"/>
              </w:rPr>
              <w:t>.</w:t>
            </w:r>
            <w:r w:rsidR="00CD3B90" w:rsidRPr="000C7FD1">
              <w:rPr>
                <w:rFonts w:ascii="Arial Narrow" w:hAnsi="Arial Narrow" w:cstheme="minorHAnsi"/>
                <w:i/>
                <w:sz w:val="20"/>
              </w:rPr>
              <w:t xml:space="preserve"> </w:t>
            </w:r>
          </w:p>
          <w:p w:rsidR="00B27719" w:rsidRPr="00F13980" w:rsidRDefault="00B27719" w:rsidP="002B73A4">
            <w:pPr>
              <w:spacing w:before="0"/>
              <w:rPr>
                <w:rFonts w:ascii="Arial Narrow" w:hAnsi="Arial Narrow" w:cstheme="minorHAnsi"/>
                <w:sz w:val="20"/>
                <w:lang w:val="en-AU"/>
              </w:rPr>
            </w:pPr>
            <w:r w:rsidRPr="00962499">
              <w:rPr>
                <w:rFonts w:ascii="Arial Narrow" w:hAnsi="Arial Narrow" w:cstheme="minorHAnsi"/>
                <w:sz w:val="20"/>
              </w:rPr>
              <w:t>AND</w:t>
            </w:r>
          </w:p>
          <w:p w:rsidR="00B27719" w:rsidRPr="00F13980" w:rsidRDefault="00B27719" w:rsidP="002B73A4">
            <w:pPr>
              <w:spacing w:before="0"/>
              <w:jc w:val="left"/>
              <w:rPr>
                <w:rFonts w:ascii="Arial Narrow" w:hAnsi="Arial Narrow" w:cstheme="minorHAnsi"/>
                <w:sz w:val="20"/>
                <w:lang w:val="en-AU"/>
              </w:rPr>
            </w:pPr>
            <w:r w:rsidRPr="00962499">
              <w:rPr>
                <w:rFonts w:ascii="Arial Narrow" w:hAnsi="Arial Narrow" w:cstheme="minorHAnsi"/>
                <w:sz w:val="20"/>
              </w:rPr>
              <w:t>Patient must have a WHO performance status of 2 or less</w:t>
            </w:r>
            <w:r w:rsidR="00CD3B90">
              <w:rPr>
                <w:rFonts w:ascii="Arial Narrow" w:hAnsi="Arial Narrow" w:cstheme="minorHAnsi"/>
                <w:sz w:val="20"/>
              </w:rPr>
              <w:t xml:space="preserve"> </w:t>
            </w:r>
            <w:r w:rsidR="00CD3B90" w:rsidRPr="000C7FD1">
              <w:rPr>
                <w:rFonts w:ascii="Arial Narrow" w:hAnsi="Arial Narrow" w:cstheme="minorHAnsi"/>
                <w:i/>
                <w:sz w:val="20"/>
              </w:rPr>
              <w:t xml:space="preserve"> prior to initiation of non-PBS </w:t>
            </w:r>
            <w:proofErr w:type="spellStart"/>
            <w:r w:rsidR="00CD3B90" w:rsidRPr="000C7FD1">
              <w:rPr>
                <w:rFonts w:ascii="Arial Narrow" w:hAnsi="Arial Narrow" w:cstheme="minorHAnsi"/>
                <w:i/>
                <w:sz w:val="20"/>
              </w:rPr>
              <w:t>subsidised</w:t>
            </w:r>
            <w:proofErr w:type="spellEnd"/>
            <w:r w:rsidR="00CD3B90" w:rsidRPr="000C7FD1">
              <w:rPr>
                <w:rFonts w:ascii="Arial Narrow" w:hAnsi="Arial Narrow" w:cstheme="minorHAnsi"/>
                <w:i/>
                <w:sz w:val="20"/>
              </w:rPr>
              <w:t xml:space="preserve"> treatment with this drug for this condition</w:t>
            </w:r>
          </w:p>
          <w:p w:rsidR="00B27719" w:rsidRPr="00F13980" w:rsidRDefault="00B27719" w:rsidP="002B73A4">
            <w:pPr>
              <w:spacing w:before="0"/>
              <w:rPr>
                <w:rFonts w:ascii="Arial Narrow" w:hAnsi="Arial Narrow" w:cstheme="minorHAnsi"/>
                <w:sz w:val="20"/>
                <w:lang w:val="en-AU"/>
              </w:rPr>
            </w:pPr>
            <w:r w:rsidRPr="00962499">
              <w:rPr>
                <w:rFonts w:ascii="Arial Narrow" w:hAnsi="Arial Narrow" w:cstheme="minorHAnsi"/>
                <w:sz w:val="20"/>
              </w:rPr>
              <w:t>AND</w:t>
            </w:r>
          </w:p>
          <w:p w:rsidR="00B27719" w:rsidRPr="00F13980" w:rsidRDefault="00B27719" w:rsidP="002B73A4">
            <w:pPr>
              <w:pStyle w:val="TableLeft"/>
              <w:rPr>
                <w:rFonts w:ascii="Arial Narrow" w:hAnsi="Arial Narrow"/>
                <w:sz w:val="20"/>
                <w:lang w:val="en-AU"/>
              </w:rPr>
            </w:pPr>
            <w:r w:rsidRPr="00962499">
              <w:rPr>
                <w:rFonts w:ascii="Arial Narrow" w:hAnsi="Arial Narrow" w:cstheme="minorHAnsi"/>
                <w:sz w:val="20"/>
              </w:rPr>
              <w:t xml:space="preserve">Patient must have evidence of </w:t>
            </w:r>
            <w:r w:rsidR="001C3B0D" w:rsidRPr="001C3B0D">
              <w:rPr>
                <w:rFonts w:ascii="Arial Narrow" w:hAnsi="Arial Narrow" w:cstheme="minorHAnsi"/>
                <w:sz w:val="20"/>
                <w:lang w:val="en-AU"/>
              </w:rPr>
              <w:t xml:space="preserve">MET proto-oncogene, receptor tyrosine kinase </w:t>
            </w:r>
            <w:r w:rsidRPr="00962499">
              <w:rPr>
                <w:rFonts w:ascii="Arial Narrow" w:hAnsi="Arial Narrow" w:cstheme="minorHAnsi"/>
                <w:sz w:val="20"/>
              </w:rPr>
              <w:t xml:space="preserve">(MET) exon 14 skipping alterations in </w:t>
            </w:r>
            <w:proofErr w:type="spellStart"/>
            <w:r w:rsidRPr="00962499">
              <w:rPr>
                <w:rFonts w:ascii="Arial Narrow" w:hAnsi="Arial Narrow" w:cstheme="minorHAnsi"/>
                <w:sz w:val="20"/>
              </w:rPr>
              <w:t>tumour</w:t>
            </w:r>
            <w:proofErr w:type="spellEnd"/>
            <w:r w:rsidRPr="00962499">
              <w:rPr>
                <w:rFonts w:ascii="Arial Narrow" w:hAnsi="Arial Narrow" w:cstheme="minorHAnsi"/>
                <w:sz w:val="20"/>
              </w:rPr>
              <w:t xml:space="preserve"> material</w:t>
            </w:r>
          </w:p>
        </w:tc>
      </w:tr>
      <w:tr w:rsidR="00904967" w:rsidRPr="00962499" w:rsidTr="00B27719">
        <w:trPr>
          <w:trHeight w:val="77"/>
        </w:trPr>
        <w:tc>
          <w:tcPr>
            <w:tcW w:w="1101" w:type="pct"/>
          </w:tcPr>
          <w:p w:rsidR="00904967" w:rsidRPr="00962499" w:rsidRDefault="00904967" w:rsidP="002B73A4">
            <w:pPr>
              <w:keepNext/>
              <w:spacing w:before="0"/>
              <w:rPr>
                <w:rFonts w:ascii="Arial Narrow" w:hAnsi="Arial Narrow"/>
                <w:sz w:val="20"/>
              </w:rPr>
            </w:pPr>
            <w:r w:rsidRPr="000C7FD1">
              <w:rPr>
                <w:rFonts w:ascii="Arial Narrow" w:hAnsi="Arial Narrow"/>
                <w:i/>
                <w:sz w:val="20"/>
              </w:rPr>
              <w:t>Administrative advice:</w:t>
            </w:r>
          </w:p>
        </w:tc>
        <w:tc>
          <w:tcPr>
            <w:tcW w:w="3899" w:type="pct"/>
          </w:tcPr>
          <w:p w:rsidR="00904967" w:rsidRPr="000C7FD1" w:rsidRDefault="00904967" w:rsidP="002B73A4">
            <w:pPr>
              <w:spacing w:before="0"/>
              <w:rPr>
                <w:rFonts w:ascii="Arial Narrow" w:hAnsi="Arial Narrow" w:cstheme="minorHAnsi"/>
                <w:i/>
                <w:sz w:val="20"/>
              </w:rPr>
            </w:pPr>
            <w:r w:rsidRPr="000C7FD1">
              <w:rPr>
                <w:rFonts w:ascii="Arial Narrow" w:hAnsi="Arial Narrow" w:cstheme="minorHAnsi"/>
                <w:i/>
                <w:sz w:val="20"/>
              </w:rPr>
              <w:t>A patient may only qualify for PBS-</w:t>
            </w:r>
            <w:proofErr w:type="spellStart"/>
            <w:r w:rsidRPr="000C7FD1">
              <w:rPr>
                <w:rFonts w:ascii="Arial Narrow" w:hAnsi="Arial Narrow" w:cstheme="minorHAnsi"/>
                <w:i/>
                <w:sz w:val="20"/>
              </w:rPr>
              <w:t>subsidised</w:t>
            </w:r>
            <w:proofErr w:type="spellEnd"/>
            <w:r w:rsidRPr="000C7FD1">
              <w:rPr>
                <w:rFonts w:ascii="Arial Narrow" w:hAnsi="Arial Narrow" w:cstheme="minorHAnsi"/>
                <w:i/>
                <w:sz w:val="20"/>
              </w:rPr>
              <w:t xml:space="preserve"> treatment under this restriction once</w:t>
            </w:r>
          </w:p>
        </w:tc>
      </w:tr>
      <w:tr w:rsidR="00904967" w:rsidRPr="00962499" w:rsidTr="00B27719">
        <w:trPr>
          <w:trHeight w:val="77"/>
        </w:trPr>
        <w:tc>
          <w:tcPr>
            <w:tcW w:w="1101" w:type="pct"/>
          </w:tcPr>
          <w:p w:rsidR="00904967" w:rsidRPr="000C7FD1" w:rsidRDefault="00904967" w:rsidP="002B73A4">
            <w:pPr>
              <w:keepNext/>
              <w:spacing w:before="0"/>
              <w:rPr>
                <w:rFonts w:ascii="Arial Narrow" w:hAnsi="Arial Narrow"/>
                <w:i/>
                <w:sz w:val="20"/>
              </w:rPr>
            </w:pPr>
            <w:r w:rsidRPr="000C7FD1">
              <w:rPr>
                <w:rFonts w:ascii="Arial Narrow" w:hAnsi="Arial Narrow"/>
                <w:i/>
                <w:sz w:val="20"/>
              </w:rPr>
              <w:t>Administrative advice:</w:t>
            </w:r>
          </w:p>
        </w:tc>
        <w:tc>
          <w:tcPr>
            <w:tcW w:w="3899" w:type="pct"/>
          </w:tcPr>
          <w:p w:rsidR="00904967" w:rsidRPr="000C7FD1" w:rsidRDefault="00904967" w:rsidP="002B73A4">
            <w:pPr>
              <w:spacing w:before="0"/>
              <w:rPr>
                <w:rFonts w:ascii="Arial Narrow" w:hAnsi="Arial Narrow" w:cstheme="minorHAnsi"/>
                <w:i/>
                <w:sz w:val="20"/>
              </w:rPr>
            </w:pPr>
            <w:r w:rsidRPr="000C7FD1">
              <w:rPr>
                <w:rFonts w:ascii="Arial Narrow" w:hAnsi="Arial Narrow" w:cs="Arial"/>
                <w:i/>
                <w:color w:val="222222"/>
                <w:sz w:val="20"/>
              </w:rPr>
              <w:t>Following completion of the initial PBS-</w:t>
            </w:r>
            <w:proofErr w:type="spellStart"/>
            <w:r w:rsidRPr="000C7FD1">
              <w:rPr>
                <w:rFonts w:ascii="Arial Narrow" w:hAnsi="Arial Narrow" w:cs="Arial"/>
                <w:i/>
                <w:color w:val="222222"/>
                <w:sz w:val="20"/>
              </w:rPr>
              <w:t>subsidised</w:t>
            </w:r>
            <w:proofErr w:type="spellEnd"/>
            <w:r w:rsidRPr="000C7FD1">
              <w:rPr>
                <w:rFonts w:ascii="Arial Narrow" w:hAnsi="Arial Narrow" w:cs="Arial"/>
                <w:i/>
                <w:color w:val="222222"/>
                <w:sz w:val="20"/>
              </w:rPr>
              <w:t xml:space="preserve"> course, further applications for treatment will be assessed under the continuing treatment restriction.</w:t>
            </w:r>
          </w:p>
        </w:tc>
      </w:tr>
    </w:tbl>
    <w:p w:rsidR="00B27719" w:rsidRPr="004A6CE2" w:rsidRDefault="00B27719" w:rsidP="00B27719">
      <w:pPr>
        <w:pStyle w:val="ListParagraph"/>
        <w:numPr>
          <w:ilvl w:val="4"/>
          <w:numId w:val="1"/>
        </w:numPr>
        <w:rPr>
          <w:color w:val="auto"/>
        </w:rPr>
      </w:pPr>
      <w:r w:rsidRPr="004A6CE2">
        <w:rPr>
          <w:color w:val="auto"/>
        </w:rPr>
        <w:t>The submission proposed that the effective price of tepotinib will be based on the effective price of pembrolizumab, on a cost-minimisation basis.</w:t>
      </w:r>
    </w:p>
    <w:p w:rsidR="00B27719" w:rsidRPr="00C63DBB" w:rsidRDefault="00B27719" w:rsidP="00B27719">
      <w:pPr>
        <w:pStyle w:val="ListParagraph"/>
        <w:numPr>
          <w:ilvl w:val="4"/>
          <w:numId w:val="1"/>
        </w:numPr>
        <w:rPr>
          <w:color w:val="auto"/>
        </w:rPr>
      </w:pPr>
      <w:r w:rsidRPr="004A6CE2">
        <w:rPr>
          <w:color w:val="auto"/>
        </w:rPr>
        <w:t>The key VISION trial for tepotinib restricted patients to an Eastern Cooperative Oncology Group Performance Status (ECOG PS) of 0 or 1</w:t>
      </w:r>
      <w:r w:rsidRPr="00C42299">
        <w:rPr>
          <w:color w:val="auto"/>
        </w:rPr>
        <w:t>. This is equivalent to a World Health Organisation performance status (WHO PS) of 0 or 1, and is lower than the proposed restriction of WHO PS of 2 or less.</w:t>
      </w:r>
      <w:r w:rsidR="00276C97">
        <w:rPr>
          <w:color w:val="auto"/>
        </w:rPr>
        <w:t xml:space="preserve"> </w:t>
      </w:r>
      <w:r w:rsidR="00276C97" w:rsidRPr="00461942">
        <w:rPr>
          <w:color w:val="auto"/>
        </w:rPr>
        <w:t>The ESC considered the proposed restriction was clinically reasonable.</w:t>
      </w:r>
      <w:r w:rsidR="00276C97" w:rsidRPr="00C63DBB">
        <w:rPr>
          <w:color w:val="auto"/>
        </w:rPr>
        <w:t xml:space="preserve"> </w:t>
      </w:r>
    </w:p>
    <w:p w:rsidR="00B27719" w:rsidRPr="006F1F0C" w:rsidRDefault="00B27719" w:rsidP="00B27719">
      <w:pPr>
        <w:pStyle w:val="ListParagraph"/>
        <w:numPr>
          <w:ilvl w:val="4"/>
          <w:numId w:val="1"/>
        </w:numPr>
        <w:rPr>
          <w:color w:val="auto"/>
        </w:rPr>
      </w:pPr>
      <w:r w:rsidRPr="00C42299">
        <w:rPr>
          <w:color w:val="auto"/>
        </w:rPr>
        <w:t>The requested restrictions were for Stage IIIB and Stage IV NSCLC patients</w:t>
      </w:r>
      <w:r w:rsidR="0019205F">
        <w:rPr>
          <w:color w:val="auto"/>
        </w:rPr>
        <w:t xml:space="preserve">. </w:t>
      </w:r>
      <w:r w:rsidR="001F0F9F" w:rsidRPr="00461942">
        <w:rPr>
          <w:color w:val="auto"/>
        </w:rPr>
        <w:t>The ESC</w:t>
      </w:r>
      <w:r w:rsidR="00CD46FE" w:rsidRPr="00461942">
        <w:rPr>
          <w:color w:val="auto"/>
        </w:rPr>
        <w:t>s</w:t>
      </w:r>
      <w:r w:rsidR="001F0F9F" w:rsidRPr="00461942">
        <w:rPr>
          <w:color w:val="auto"/>
        </w:rPr>
        <w:t xml:space="preserve"> noted the</w:t>
      </w:r>
      <w:r w:rsidR="00134711">
        <w:rPr>
          <w:i/>
          <w:color w:val="auto"/>
        </w:rPr>
        <w:t xml:space="preserve"> </w:t>
      </w:r>
      <w:r w:rsidR="00DD242A" w:rsidRPr="00C42299">
        <w:rPr>
          <w:color w:val="auto"/>
        </w:rPr>
        <w:t xml:space="preserve">evidence of the clinical effect of </w:t>
      </w:r>
      <w:r w:rsidRPr="00C42299">
        <w:rPr>
          <w:color w:val="auto"/>
        </w:rPr>
        <w:t xml:space="preserve">tepotinib in patients with Stage IIIB disease was limited, as only three patients (2%) in </w:t>
      </w:r>
      <w:r w:rsidR="00184070" w:rsidRPr="00C42299">
        <w:rPr>
          <w:color w:val="auto"/>
        </w:rPr>
        <w:t xml:space="preserve">the </w:t>
      </w:r>
      <w:r w:rsidRPr="00C42299">
        <w:rPr>
          <w:color w:val="auto"/>
        </w:rPr>
        <w:t>key VISION study had Stage IIIB</w:t>
      </w:r>
      <w:r w:rsidR="00E84D96">
        <w:rPr>
          <w:color w:val="auto"/>
        </w:rPr>
        <w:t xml:space="preserve"> disease</w:t>
      </w:r>
      <w:r w:rsidR="001F0F9F" w:rsidRPr="00461942">
        <w:rPr>
          <w:color w:val="auto"/>
        </w:rPr>
        <w:t>. However, the ESC</w:t>
      </w:r>
      <w:r w:rsidR="00CD46FE" w:rsidRPr="00461942">
        <w:rPr>
          <w:color w:val="auto"/>
        </w:rPr>
        <w:t>s</w:t>
      </w:r>
      <w:r w:rsidR="001F0F9F" w:rsidRPr="00461942">
        <w:rPr>
          <w:color w:val="auto"/>
        </w:rPr>
        <w:t xml:space="preserve"> considered the requested restriction </w:t>
      </w:r>
      <w:r w:rsidR="00985DEE" w:rsidRPr="00461942">
        <w:rPr>
          <w:color w:val="auto"/>
        </w:rPr>
        <w:t>was reas</w:t>
      </w:r>
      <w:r w:rsidR="001F0F9F" w:rsidRPr="00461942">
        <w:rPr>
          <w:color w:val="auto"/>
        </w:rPr>
        <w:t xml:space="preserve">onable as some Stage IIIB patients </w:t>
      </w:r>
      <w:r w:rsidR="00E84D96" w:rsidRPr="00461942">
        <w:rPr>
          <w:color w:val="auto"/>
        </w:rPr>
        <w:t xml:space="preserve">that are not suitable for </w:t>
      </w:r>
      <w:proofErr w:type="spellStart"/>
      <w:r w:rsidR="00E84D96" w:rsidRPr="00461942">
        <w:rPr>
          <w:color w:val="auto"/>
        </w:rPr>
        <w:t>chemoradiation</w:t>
      </w:r>
      <w:proofErr w:type="spellEnd"/>
      <w:r w:rsidR="00E84D96" w:rsidRPr="00461942">
        <w:rPr>
          <w:color w:val="auto"/>
        </w:rPr>
        <w:t xml:space="preserve"> treatment </w:t>
      </w:r>
      <w:r w:rsidR="001F0F9F" w:rsidRPr="00461942">
        <w:rPr>
          <w:color w:val="auto"/>
        </w:rPr>
        <w:t>are more appropriately treated as Stage IV patients.</w:t>
      </w:r>
    </w:p>
    <w:p w:rsidR="006F1F0C" w:rsidRPr="00461942" w:rsidRDefault="006F1F0C" w:rsidP="00B27719">
      <w:pPr>
        <w:pStyle w:val="ListParagraph"/>
        <w:numPr>
          <w:ilvl w:val="4"/>
          <w:numId w:val="1"/>
        </w:numPr>
        <w:rPr>
          <w:color w:val="auto"/>
        </w:rPr>
      </w:pPr>
      <w:r w:rsidRPr="00461942">
        <w:rPr>
          <w:color w:val="auto"/>
        </w:rPr>
        <w:t xml:space="preserve">The ESCs noted the requested restriction did not limit to a specific NSCLC histology and </w:t>
      </w:r>
      <w:r w:rsidR="008D139D" w:rsidRPr="00461942">
        <w:rPr>
          <w:color w:val="auto"/>
        </w:rPr>
        <w:t xml:space="preserve">that </w:t>
      </w:r>
      <w:r w:rsidRPr="00461942">
        <w:rPr>
          <w:color w:val="auto"/>
        </w:rPr>
        <w:t xml:space="preserve">this was inconsistent with the ratified PICO confirmation which </w:t>
      </w:r>
      <w:r w:rsidR="00985DEE" w:rsidRPr="00461942">
        <w:rPr>
          <w:color w:val="auto"/>
        </w:rPr>
        <w:t xml:space="preserve">was </w:t>
      </w:r>
      <w:r w:rsidRPr="00461942">
        <w:rPr>
          <w:color w:val="auto"/>
        </w:rPr>
        <w:t>limited to non-squamo</w:t>
      </w:r>
      <w:r w:rsidR="00985DEE" w:rsidRPr="00461942">
        <w:rPr>
          <w:color w:val="auto"/>
        </w:rPr>
        <w:t xml:space="preserve">us or not otherwise specified. </w:t>
      </w:r>
      <w:r w:rsidRPr="00461942">
        <w:rPr>
          <w:color w:val="auto"/>
        </w:rPr>
        <w:t xml:space="preserve">The ESCs </w:t>
      </w:r>
      <w:r w:rsidR="00985DEE" w:rsidRPr="00461942">
        <w:rPr>
          <w:color w:val="auto"/>
        </w:rPr>
        <w:t>considered the requested restriction was reasonable, despite</w:t>
      </w:r>
      <w:r w:rsidRPr="00461942">
        <w:rPr>
          <w:color w:val="auto"/>
        </w:rPr>
        <w:t xml:space="preserve"> </w:t>
      </w:r>
      <w:r w:rsidR="008D139D" w:rsidRPr="00461942">
        <w:rPr>
          <w:color w:val="auto"/>
        </w:rPr>
        <w:t xml:space="preserve">only a small proportion of </w:t>
      </w:r>
      <w:r w:rsidR="00735378" w:rsidRPr="00461942">
        <w:rPr>
          <w:color w:val="auto"/>
        </w:rPr>
        <w:t>patients in the VISION study having</w:t>
      </w:r>
      <w:r w:rsidR="008D139D" w:rsidRPr="00461942">
        <w:rPr>
          <w:color w:val="auto"/>
        </w:rPr>
        <w:t xml:space="preserve"> a squamous histology (7%).</w:t>
      </w:r>
      <w:r w:rsidR="00985DEE" w:rsidRPr="00461942">
        <w:rPr>
          <w:color w:val="auto"/>
        </w:rPr>
        <w:t xml:space="preserve"> </w:t>
      </w:r>
      <w:r w:rsidR="00CD46FE" w:rsidRPr="00461942">
        <w:rPr>
          <w:color w:val="auto"/>
        </w:rPr>
        <w:t>However, t</w:t>
      </w:r>
      <w:r w:rsidR="00985DEE" w:rsidRPr="00461942">
        <w:rPr>
          <w:color w:val="auto"/>
        </w:rPr>
        <w:t xml:space="preserve">he ESCs </w:t>
      </w:r>
      <w:r w:rsidR="00CD46FE" w:rsidRPr="00461942">
        <w:rPr>
          <w:color w:val="auto"/>
        </w:rPr>
        <w:t xml:space="preserve">also </w:t>
      </w:r>
      <w:r w:rsidR="00985DEE" w:rsidRPr="00461942">
        <w:rPr>
          <w:color w:val="auto"/>
        </w:rPr>
        <w:t xml:space="preserve">noted </w:t>
      </w:r>
      <w:r w:rsidR="00CD46FE" w:rsidRPr="00461942">
        <w:rPr>
          <w:color w:val="auto"/>
        </w:rPr>
        <w:t xml:space="preserve">that </w:t>
      </w:r>
      <w:r w:rsidR="00985DEE" w:rsidRPr="00461942">
        <w:rPr>
          <w:color w:val="auto"/>
        </w:rPr>
        <w:t xml:space="preserve">patients with squamous NSCLC are not currently routinely </w:t>
      </w:r>
      <w:r w:rsidR="00735378" w:rsidRPr="00461942">
        <w:rPr>
          <w:color w:val="auto"/>
        </w:rPr>
        <w:t xml:space="preserve">tested </w:t>
      </w:r>
      <w:r w:rsidR="00985DEE" w:rsidRPr="00461942">
        <w:rPr>
          <w:color w:val="auto"/>
        </w:rPr>
        <w:t xml:space="preserve">for </w:t>
      </w:r>
      <w:r w:rsidR="00CD46FE" w:rsidRPr="00461942">
        <w:rPr>
          <w:color w:val="auto"/>
        </w:rPr>
        <w:t>other existing biomarkers listed in the MBS</w:t>
      </w:r>
      <w:r w:rsidR="00985DEE" w:rsidRPr="00461942">
        <w:rPr>
          <w:color w:val="auto"/>
        </w:rPr>
        <w:t>.</w:t>
      </w:r>
    </w:p>
    <w:p w:rsidR="008D139D" w:rsidRPr="008F3468" w:rsidRDefault="008D139D" w:rsidP="008D139D">
      <w:pPr>
        <w:pStyle w:val="ListParagraph"/>
        <w:rPr>
          <w:iCs/>
          <w:color w:val="auto"/>
        </w:rPr>
      </w:pPr>
      <w:r w:rsidRPr="00461942">
        <w:rPr>
          <w:color w:val="auto"/>
        </w:rPr>
        <w:t xml:space="preserve">The ESCs noted the proposed restriction criteria is line agnostic and that this is not consistent with the ratified PICO confirmation which specified tepotinib was appropriate in patients who were either treatment naïve or </w:t>
      </w:r>
      <w:r w:rsidR="002B73A4" w:rsidRPr="00461942">
        <w:rPr>
          <w:color w:val="auto"/>
        </w:rPr>
        <w:t>pre-treated</w:t>
      </w:r>
      <w:r w:rsidRPr="00461942">
        <w:rPr>
          <w:color w:val="auto"/>
        </w:rPr>
        <w:t xml:space="preserve"> with no more than 2 lines of prior therapy, consistent with the patients included in the VISION study.</w:t>
      </w:r>
      <w:r w:rsidR="00B81B7A" w:rsidRPr="00461942">
        <w:rPr>
          <w:color w:val="auto"/>
        </w:rPr>
        <w:t xml:space="preserve"> </w:t>
      </w:r>
      <w:r w:rsidR="00905F67" w:rsidRPr="00461942">
        <w:rPr>
          <w:color w:val="auto"/>
        </w:rPr>
        <w:t>However, t</w:t>
      </w:r>
      <w:r w:rsidR="00B81B7A" w:rsidRPr="00461942">
        <w:rPr>
          <w:color w:val="auto"/>
        </w:rPr>
        <w:t xml:space="preserve">he ESCs </w:t>
      </w:r>
      <w:r w:rsidR="002D4671" w:rsidRPr="00461942">
        <w:rPr>
          <w:color w:val="auto"/>
        </w:rPr>
        <w:t xml:space="preserve">considered that </w:t>
      </w:r>
      <w:r w:rsidR="00B81B7A" w:rsidRPr="00461942">
        <w:rPr>
          <w:color w:val="auto"/>
        </w:rPr>
        <w:t>th</w:t>
      </w:r>
      <w:r w:rsidR="00905F67" w:rsidRPr="00461942">
        <w:rPr>
          <w:color w:val="auto"/>
        </w:rPr>
        <w:t>e proposed line agnostic restriction was clinically reasonable.</w:t>
      </w:r>
    </w:p>
    <w:p w:rsidR="008F3468" w:rsidRPr="008F3468" w:rsidRDefault="008F3468" w:rsidP="008F3468">
      <w:pPr>
        <w:pStyle w:val="ListParagraph"/>
        <w:numPr>
          <w:ilvl w:val="0"/>
          <w:numId w:val="0"/>
        </w:numPr>
        <w:ind w:left="720"/>
        <w:rPr>
          <w:i/>
          <w:iCs/>
          <w:color w:val="auto"/>
        </w:rPr>
      </w:pPr>
      <w:r w:rsidRPr="008F3468">
        <w:rPr>
          <w:i/>
          <w:iCs/>
          <w:color w:val="auto"/>
        </w:rPr>
        <w:t>For more detail on PBAC’s view, see section 7 PBAC outcome.</w:t>
      </w:r>
    </w:p>
    <w:p w:rsidR="00B27719" w:rsidRPr="00962499" w:rsidRDefault="00B27719" w:rsidP="00517363">
      <w:pPr>
        <w:pStyle w:val="PBACESHeading1"/>
      </w:pPr>
      <w:bookmarkStart w:id="5" w:name="_Toc497226179"/>
      <w:bookmarkStart w:id="6" w:name="_Toc81873376"/>
      <w:r w:rsidRPr="00962499">
        <w:t>Background</w:t>
      </w:r>
      <w:bookmarkEnd w:id="5"/>
      <w:bookmarkEnd w:id="6"/>
    </w:p>
    <w:p w:rsidR="00B27719" w:rsidRPr="00183B83" w:rsidRDefault="00B27719" w:rsidP="00B27719">
      <w:pPr>
        <w:pStyle w:val="PBACESHeading2"/>
        <w:numPr>
          <w:ilvl w:val="2"/>
          <w:numId w:val="1"/>
        </w:numPr>
        <w:rPr>
          <w:rFonts w:asciiTheme="minorHAnsi" w:hAnsiTheme="minorHAnsi" w:cstheme="minorHAnsi"/>
        </w:rPr>
      </w:pPr>
      <w:bookmarkStart w:id="7" w:name="_Toc497226180"/>
      <w:bookmarkStart w:id="8" w:name="_Toc81873377"/>
      <w:r w:rsidRPr="00183B83">
        <w:rPr>
          <w:rFonts w:asciiTheme="minorHAnsi" w:hAnsiTheme="minorHAnsi" w:cstheme="minorHAnsi"/>
        </w:rPr>
        <w:t>Registration status</w:t>
      </w:r>
      <w:bookmarkEnd w:id="7"/>
      <w:bookmarkEnd w:id="8"/>
    </w:p>
    <w:p w:rsidR="00B27719" w:rsidRPr="000F0026" w:rsidRDefault="00606FC6" w:rsidP="00B27719">
      <w:pPr>
        <w:pStyle w:val="ListParagraph"/>
        <w:numPr>
          <w:ilvl w:val="4"/>
          <w:numId w:val="1"/>
        </w:numPr>
        <w:rPr>
          <w:iCs/>
          <w:color w:val="auto"/>
        </w:rPr>
      </w:pPr>
      <w:r w:rsidRPr="00F91542">
        <w:rPr>
          <w:rFonts w:cstheme="minorHAnsi"/>
          <w:b/>
          <w:bCs/>
        </w:rPr>
        <w:t>TGA status at time of PBAC consideration</w:t>
      </w:r>
      <w:r>
        <w:rPr>
          <w:rFonts w:cstheme="minorHAnsi"/>
          <w:b/>
          <w:bCs/>
        </w:rPr>
        <w:t xml:space="preserve">: </w:t>
      </w:r>
      <w:r w:rsidRPr="00606FC6">
        <w:rPr>
          <w:rFonts w:cstheme="minorHAnsi"/>
          <w:bCs/>
        </w:rPr>
        <w:t>not registered.</w:t>
      </w:r>
      <w:r>
        <w:rPr>
          <w:rFonts w:cstheme="minorHAnsi"/>
          <w:b/>
          <w:bCs/>
        </w:rPr>
        <w:t xml:space="preserve"> </w:t>
      </w:r>
      <w:r w:rsidRPr="00962499">
        <w:rPr>
          <w:color w:val="auto"/>
        </w:rPr>
        <w:t xml:space="preserve"> </w:t>
      </w:r>
      <w:r w:rsidR="00B27719" w:rsidRPr="00962499">
        <w:rPr>
          <w:color w:val="auto"/>
        </w:rPr>
        <w:t xml:space="preserve">The submission was made under </w:t>
      </w:r>
      <w:r w:rsidR="00DD242A" w:rsidRPr="00962499">
        <w:rPr>
          <w:color w:val="auto"/>
        </w:rPr>
        <w:t xml:space="preserve">the </w:t>
      </w:r>
      <w:r w:rsidR="00B27719" w:rsidRPr="00962499">
        <w:rPr>
          <w:color w:val="auto"/>
        </w:rPr>
        <w:t>TGA/PBAC parallel process. At the time of PBAC consideration</w:t>
      </w:r>
      <w:r>
        <w:rPr>
          <w:color w:val="auto"/>
        </w:rPr>
        <w:t xml:space="preserve"> the TGA Delegate’s </w:t>
      </w:r>
      <w:r w:rsidR="002B73A4">
        <w:rPr>
          <w:color w:val="auto"/>
        </w:rPr>
        <w:t>Overview</w:t>
      </w:r>
      <w:r>
        <w:rPr>
          <w:color w:val="auto"/>
        </w:rPr>
        <w:t xml:space="preserve"> was available. </w:t>
      </w:r>
    </w:p>
    <w:p w:rsidR="00B27719" w:rsidRPr="00962499" w:rsidRDefault="00B27719" w:rsidP="00B27719">
      <w:pPr>
        <w:pStyle w:val="ListParagraph"/>
        <w:numPr>
          <w:ilvl w:val="4"/>
          <w:numId w:val="1"/>
        </w:numPr>
        <w:rPr>
          <w:color w:val="auto"/>
        </w:rPr>
      </w:pPr>
      <w:r w:rsidRPr="00962499">
        <w:rPr>
          <w:color w:val="auto"/>
        </w:rPr>
        <w:t xml:space="preserve">The </w:t>
      </w:r>
      <w:r w:rsidR="00606FC6">
        <w:rPr>
          <w:color w:val="auto"/>
        </w:rPr>
        <w:t xml:space="preserve">TGA Delegate was supportive of provisional registration for the </w:t>
      </w:r>
      <w:r w:rsidRPr="00962499">
        <w:rPr>
          <w:color w:val="auto"/>
        </w:rPr>
        <w:t>following indication:</w:t>
      </w:r>
    </w:p>
    <w:p w:rsidR="00606FC6" w:rsidRDefault="00B27719" w:rsidP="00606FC6">
      <w:pPr>
        <w:spacing w:before="0" w:after="0"/>
        <w:ind w:left="851"/>
      </w:pPr>
      <w:r w:rsidRPr="00962499">
        <w:t xml:space="preserve">“For the treatment of adult patients with </w:t>
      </w:r>
      <w:r w:rsidR="00606FC6">
        <w:t xml:space="preserve">locally </w:t>
      </w:r>
      <w:r w:rsidRPr="00962499">
        <w:t xml:space="preserve">advanced </w:t>
      </w:r>
      <w:r w:rsidR="00606FC6">
        <w:t xml:space="preserve">or metastatic </w:t>
      </w:r>
      <w:r w:rsidRPr="00962499">
        <w:t>non-small cell lung cancer (NSCLC) harbouring</w:t>
      </w:r>
      <w:r w:rsidR="00606FC6" w:rsidRPr="00606FC6">
        <w:t xml:space="preserve"> </w:t>
      </w:r>
      <w:r w:rsidR="00606FC6">
        <w:t>mesenchymal-epithelial transition (MET)</w:t>
      </w:r>
    </w:p>
    <w:p w:rsidR="00B27719" w:rsidRDefault="00606FC6" w:rsidP="00606FC6">
      <w:pPr>
        <w:spacing w:before="0" w:after="0"/>
        <w:ind w:left="851"/>
      </w:pPr>
      <w:proofErr w:type="gramStart"/>
      <w:r>
        <w:t>exon</w:t>
      </w:r>
      <w:proofErr w:type="gramEnd"/>
      <w:r>
        <w:t xml:space="preserve"> 14 skipping alterations. The decision to approve this indication has been made on</w:t>
      </w:r>
      <w:r w:rsidR="00781802">
        <w:t xml:space="preserve"> </w:t>
      </w:r>
      <w:r>
        <w:t>the basis of overall response rate (ORR) and duration of response (DOR). Continued approval of this indication</w:t>
      </w:r>
      <w:r w:rsidRPr="00606FC6">
        <w:t xml:space="preserve"> </w:t>
      </w:r>
      <w:r>
        <w:t>depends on verification and description of benefit in confirmatory trials.”</w:t>
      </w:r>
    </w:p>
    <w:p w:rsidR="00606FC6" w:rsidRPr="00606FC6" w:rsidRDefault="00606FC6" w:rsidP="00606FC6">
      <w:pPr>
        <w:pStyle w:val="ListParagraph"/>
        <w:numPr>
          <w:ilvl w:val="4"/>
          <w:numId w:val="1"/>
        </w:numPr>
        <w:rPr>
          <w:color w:val="auto"/>
        </w:rPr>
      </w:pPr>
      <w:r w:rsidRPr="00461942">
        <w:rPr>
          <w:color w:val="auto"/>
        </w:rPr>
        <w:t>The</w:t>
      </w:r>
      <w:r>
        <w:rPr>
          <w:color w:val="auto"/>
        </w:rPr>
        <w:t xml:space="preserve"> PBAC</w:t>
      </w:r>
      <w:r w:rsidRPr="00461942">
        <w:rPr>
          <w:color w:val="auto"/>
        </w:rPr>
        <w:t xml:space="preserve"> noted the </w:t>
      </w:r>
      <w:r w:rsidR="00787334">
        <w:rPr>
          <w:color w:val="auto"/>
        </w:rPr>
        <w:t xml:space="preserve">confirmatory </w:t>
      </w:r>
      <w:r w:rsidRPr="00461942">
        <w:rPr>
          <w:color w:val="auto"/>
        </w:rPr>
        <w:t xml:space="preserve">data </w:t>
      </w:r>
      <w:r w:rsidR="00787334" w:rsidRPr="00461942">
        <w:rPr>
          <w:color w:val="auto"/>
        </w:rPr>
        <w:t>for full registration</w:t>
      </w:r>
      <w:r w:rsidR="00787334">
        <w:rPr>
          <w:color w:val="auto"/>
        </w:rPr>
        <w:t xml:space="preserve"> of tepotinib would consist of data from 130 treatment naïve and 143 previously treated patients, after responders have been followed up for at least 12 months and 6 months, </w:t>
      </w:r>
      <w:r w:rsidR="002B73A4">
        <w:rPr>
          <w:color w:val="auto"/>
        </w:rPr>
        <w:t>respectively</w:t>
      </w:r>
      <w:r w:rsidR="00787334">
        <w:rPr>
          <w:color w:val="auto"/>
        </w:rPr>
        <w:t xml:space="preserve">.  </w:t>
      </w:r>
    </w:p>
    <w:p w:rsidR="00B27719" w:rsidRPr="00183B83" w:rsidRDefault="00B27719" w:rsidP="00B27719">
      <w:pPr>
        <w:pStyle w:val="PBACESHeading2"/>
        <w:numPr>
          <w:ilvl w:val="2"/>
          <w:numId w:val="1"/>
        </w:numPr>
        <w:rPr>
          <w:rFonts w:asciiTheme="minorHAnsi" w:hAnsiTheme="minorHAnsi" w:cstheme="minorHAnsi"/>
        </w:rPr>
      </w:pPr>
      <w:bookmarkStart w:id="9" w:name="_Toc497226181"/>
      <w:bookmarkStart w:id="10" w:name="_Toc81873378"/>
      <w:r w:rsidRPr="00183B83">
        <w:rPr>
          <w:rFonts w:asciiTheme="minorHAnsi" w:hAnsiTheme="minorHAnsi" w:cstheme="minorHAnsi"/>
        </w:rPr>
        <w:t>Previous PBAC consideration</w:t>
      </w:r>
      <w:bookmarkEnd w:id="9"/>
      <w:bookmarkEnd w:id="10"/>
    </w:p>
    <w:p w:rsidR="00B27719" w:rsidRDefault="00B27719" w:rsidP="00B27719">
      <w:pPr>
        <w:pStyle w:val="ListParagraph"/>
        <w:numPr>
          <w:ilvl w:val="4"/>
          <w:numId w:val="1"/>
        </w:numPr>
        <w:rPr>
          <w:color w:val="auto"/>
        </w:rPr>
      </w:pPr>
      <w:r w:rsidRPr="007E4DDD">
        <w:rPr>
          <w:color w:val="auto"/>
        </w:rPr>
        <w:t xml:space="preserve">The PBAC has not </w:t>
      </w:r>
      <w:r w:rsidR="004A6CE2" w:rsidRPr="007E4DDD">
        <w:rPr>
          <w:color w:val="auto"/>
        </w:rPr>
        <w:t xml:space="preserve">previously </w:t>
      </w:r>
      <w:r w:rsidRPr="007E4DDD">
        <w:rPr>
          <w:color w:val="auto"/>
        </w:rPr>
        <w:t>considered tepotinib.</w:t>
      </w:r>
    </w:p>
    <w:p w:rsidR="002B73A4" w:rsidRPr="002B73A4" w:rsidRDefault="002B73A4" w:rsidP="002B73A4">
      <w:pPr>
        <w:pStyle w:val="ListParagraph"/>
        <w:numPr>
          <w:ilvl w:val="0"/>
          <w:numId w:val="0"/>
        </w:numPr>
        <w:ind w:left="720"/>
        <w:rPr>
          <w:i/>
          <w:iCs/>
          <w:color w:val="auto"/>
        </w:rPr>
      </w:pPr>
      <w:r w:rsidRPr="002B73A4">
        <w:rPr>
          <w:i/>
          <w:iCs/>
          <w:color w:val="auto"/>
        </w:rPr>
        <w:t>For more detail on PBAC’s view, see section 7 PBAC outcome</w:t>
      </w:r>
      <w:r>
        <w:rPr>
          <w:i/>
          <w:iCs/>
          <w:color w:val="auto"/>
        </w:rPr>
        <w:t>.</w:t>
      </w:r>
    </w:p>
    <w:p w:rsidR="00B27719" w:rsidRPr="00517363" w:rsidRDefault="00B27719" w:rsidP="00517363">
      <w:pPr>
        <w:pStyle w:val="PBACESHeading1"/>
      </w:pPr>
      <w:bookmarkStart w:id="11" w:name="_Toc497226182"/>
      <w:bookmarkStart w:id="12" w:name="_Toc81873379"/>
      <w:r w:rsidRPr="00517363">
        <w:t>Population and disease</w:t>
      </w:r>
      <w:bookmarkEnd w:id="11"/>
      <w:bookmarkEnd w:id="12"/>
    </w:p>
    <w:p w:rsidR="00B27719" w:rsidRPr="00962499" w:rsidRDefault="00B27719" w:rsidP="00B27719">
      <w:pPr>
        <w:pStyle w:val="ListParagraph"/>
        <w:numPr>
          <w:ilvl w:val="4"/>
          <w:numId w:val="1"/>
        </w:numPr>
      </w:pPr>
      <w:r w:rsidRPr="00962499">
        <w:t>Lung cancer is the fifth most common cancer in Australia</w:t>
      </w:r>
      <w:r w:rsidRPr="00962499">
        <w:rPr>
          <w:rStyle w:val="FootnoteReference"/>
          <w:color w:val="auto"/>
        </w:rPr>
        <w:footnoteReference w:id="1"/>
      </w:r>
      <w:r w:rsidRPr="00962499">
        <w:t>, however, it causes more deaths than any other cancer. Lung cancer affects predominantly older Australians, with a median age at diagnosis of 72 years.</w:t>
      </w:r>
      <w:r w:rsidRPr="00962499">
        <w:rPr>
          <w:rStyle w:val="FootnoteReference"/>
          <w:color w:val="auto"/>
        </w:rPr>
        <w:footnoteReference w:id="2"/>
      </w:r>
      <w:r w:rsidRPr="00962499">
        <w:t xml:space="preserve"> </w:t>
      </w:r>
      <w:r w:rsidRPr="00962499">
        <w:rPr>
          <w:color w:val="auto"/>
        </w:rPr>
        <w:t>The prognosis of advanced lung cancer is poor.</w:t>
      </w:r>
    </w:p>
    <w:p w:rsidR="00B27719" w:rsidRPr="00962499" w:rsidRDefault="00B27719" w:rsidP="00B27719">
      <w:pPr>
        <w:pStyle w:val="ListParagraph"/>
        <w:numPr>
          <w:ilvl w:val="4"/>
          <w:numId w:val="1"/>
        </w:numPr>
        <w:rPr>
          <w:color w:val="auto"/>
        </w:rPr>
      </w:pPr>
      <w:r w:rsidRPr="00962499">
        <w:rPr>
          <w:color w:val="auto"/>
        </w:rPr>
        <w:t>The submission sought listing for use in all histological subtypes of NSCLC, which accounts for approximately 85% of all lung cancer cases</w:t>
      </w:r>
      <w:r w:rsidRPr="00962499">
        <w:rPr>
          <w:rStyle w:val="FootnoteReference"/>
          <w:color w:val="auto"/>
        </w:rPr>
        <w:footnoteReference w:id="3"/>
      </w:r>
      <w:r w:rsidRPr="00962499">
        <w:rPr>
          <w:color w:val="auto"/>
        </w:rPr>
        <w:t>. Histologically, non-squamous cell carcinoma (NSQ) and not otherwise specified (NOS) make up approximately three quarters of this population (74.2%, Nivolumab DUSC June 2020 report), with the remainder classified as squamous (SQ) (25.8%).</w:t>
      </w:r>
    </w:p>
    <w:p w:rsidR="00B27719" w:rsidRPr="002B73A4" w:rsidRDefault="00B27719" w:rsidP="00B27719">
      <w:pPr>
        <w:pStyle w:val="ListParagraph"/>
        <w:numPr>
          <w:ilvl w:val="4"/>
          <w:numId w:val="1"/>
        </w:numPr>
        <w:rPr>
          <w:iCs/>
        </w:rPr>
      </w:pPr>
      <w:r w:rsidRPr="00962499">
        <w:t xml:space="preserve">The submission requested tepotinib as a line agnostic listing, but predicted that tepotinib would be predominantly used </w:t>
      </w:r>
      <w:r w:rsidR="00B61540" w:rsidRPr="00962499">
        <w:t xml:space="preserve">as a </w:t>
      </w:r>
      <w:r w:rsidRPr="00962499">
        <w:t>first-line</w:t>
      </w:r>
      <w:r w:rsidR="00B61540" w:rsidRPr="00962499">
        <w:t xml:space="preserve"> treatment</w:t>
      </w:r>
      <w:r w:rsidRPr="00962499">
        <w:t xml:space="preserve">. </w:t>
      </w:r>
      <w:r w:rsidRPr="00962499">
        <w:rPr>
          <w:color w:val="auto"/>
        </w:rPr>
        <w:t>The submission also stated that ESMO guidelines recommend targeted therapy as the preferred first</w:t>
      </w:r>
      <w:r w:rsidR="0060279B" w:rsidRPr="00962499">
        <w:rPr>
          <w:color w:val="auto"/>
        </w:rPr>
        <w:t>-</w:t>
      </w:r>
      <w:r w:rsidRPr="00962499">
        <w:rPr>
          <w:color w:val="auto"/>
        </w:rPr>
        <w:t xml:space="preserve">line therapy for eligible patients. </w:t>
      </w:r>
      <w:r w:rsidR="00DD242A" w:rsidRPr="00C42299">
        <w:rPr>
          <w:color w:val="auto"/>
        </w:rPr>
        <w:t>Th</w:t>
      </w:r>
      <w:r w:rsidR="00B8194A">
        <w:rPr>
          <w:color w:val="auto"/>
        </w:rPr>
        <w:t>e evaluation noted th</w:t>
      </w:r>
      <w:r w:rsidR="00DD242A" w:rsidRPr="00C42299">
        <w:rPr>
          <w:color w:val="auto"/>
        </w:rPr>
        <w:t xml:space="preserve">is is true of treatments targeting </w:t>
      </w:r>
      <w:r w:rsidR="00B74A96">
        <w:rPr>
          <w:color w:val="auto"/>
        </w:rPr>
        <w:t xml:space="preserve">activating </w:t>
      </w:r>
      <w:r w:rsidR="00DD242A" w:rsidRPr="00C42299">
        <w:rPr>
          <w:color w:val="auto"/>
        </w:rPr>
        <w:t>epidermal growth factor receptor (</w:t>
      </w:r>
      <w:r w:rsidR="00DD242A" w:rsidRPr="00B74A96">
        <w:rPr>
          <w:i/>
          <w:iCs/>
          <w:color w:val="auto"/>
        </w:rPr>
        <w:t>EGFR</w:t>
      </w:r>
      <w:r w:rsidR="00DD242A" w:rsidRPr="00C42299">
        <w:rPr>
          <w:color w:val="auto"/>
        </w:rPr>
        <w:t>)</w:t>
      </w:r>
      <w:r w:rsidR="00B74A96">
        <w:rPr>
          <w:color w:val="auto"/>
        </w:rPr>
        <w:t xml:space="preserve"> mutations</w:t>
      </w:r>
      <w:r w:rsidR="00DD242A" w:rsidRPr="00C42299">
        <w:rPr>
          <w:color w:val="auto"/>
        </w:rPr>
        <w:t>, anaplastic lymphoma kinase (</w:t>
      </w:r>
      <w:r w:rsidR="00DD242A" w:rsidRPr="00B74A96">
        <w:rPr>
          <w:i/>
          <w:iCs/>
          <w:color w:val="auto"/>
        </w:rPr>
        <w:t>ALK</w:t>
      </w:r>
      <w:r w:rsidR="00DD242A" w:rsidRPr="00C42299">
        <w:rPr>
          <w:color w:val="auto"/>
        </w:rPr>
        <w:t>) gene rearrangement</w:t>
      </w:r>
      <w:r w:rsidR="00B74A96">
        <w:rPr>
          <w:color w:val="auto"/>
        </w:rPr>
        <w:t>s</w:t>
      </w:r>
      <w:r w:rsidR="00DD242A" w:rsidRPr="00C42299">
        <w:rPr>
          <w:color w:val="auto"/>
        </w:rPr>
        <w:t>, c-ROS proto-oncogene 1 (</w:t>
      </w:r>
      <w:r w:rsidR="00DD242A" w:rsidRPr="00B74A96">
        <w:rPr>
          <w:i/>
          <w:iCs/>
          <w:color w:val="auto"/>
        </w:rPr>
        <w:t>ROS1</w:t>
      </w:r>
      <w:r w:rsidR="00DD242A" w:rsidRPr="00C42299">
        <w:rPr>
          <w:color w:val="auto"/>
        </w:rPr>
        <w:t xml:space="preserve">) gene </w:t>
      </w:r>
      <w:r w:rsidR="00B74A96">
        <w:rPr>
          <w:color w:val="auto"/>
        </w:rPr>
        <w:t>re</w:t>
      </w:r>
      <w:r w:rsidR="00DD242A" w:rsidRPr="00C42299">
        <w:rPr>
          <w:color w:val="auto"/>
        </w:rPr>
        <w:t>arrangement</w:t>
      </w:r>
      <w:r w:rsidR="00B74A96">
        <w:rPr>
          <w:color w:val="auto"/>
        </w:rPr>
        <w:t>s</w:t>
      </w:r>
      <w:r w:rsidR="00DD242A" w:rsidRPr="00C42299">
        <w:rPr>
          <w:color w:val="auto"/>
        </w:rPr>
        <w:t xml:space="preserve">, </w:t>
      </w:r>
      <w:r w:rsidR="00DD242A" w:rsidRPr="00B74A96">
        <w:rPr>
          <w:i/>
          <w:iCs/>
          <w:color w:val="auto"/>
        </w:rPr>
        <w:t>BRAF</w:t>
      </w:r>
      <w:r w:rsidR="00DD242A" w:rsidRPr="00C42299">
        <w:rPr>
          <w:color w:val="auto"/>
        </w:rPr>
        <w:t xml:space="preserve"> mutations and PD-L1 expression, with level III/B evidence</w:t>
      </w:r>
      <w:r w:rsidR="00DD242A" w:rsidRPr="00C42299">
        <w:rPr>
          <w:rStyle w:val="FootnoteReference"/>
          <w:color w:val="auto"/>
        </w:rPr>
        <w:footnoteReference w:id="4"/>
      </w:r>
      <w:r w:rsidR="00DD242A" w:rsidRPr="00C42299">
        <w:rPr>
          <w:color w:val="auto"/>
        </w:rPr>
        <w:t xml:space="preserve">; however treatment with </w:t>
      </w:r>
      <w:proofErr w:type="spellStart"/>
      <w:r w:rsidR="00DD242A" w:rsidRPr="00C42299">
        <w:rPr>
          <w:color w:val="auto"/>
        </w:rPr>
        <w:t>capmatinib</w:t>
      </w:r>
      <w:proofErr w:type="spellEnd"/>
      <w:r w:rsidR="00DD242A" w:rsidRPr="00C42299">
        <w:rPr>
          <w:color w:val="auto"/>
        </w:rPr>
        <w:t xml:space="preserve">/tepotinib targeting </w:t>
      </w:r>
      <w:r w:rsidR="00DD242A" w:rsidRPr="00B74A96">
        <w:rPr>
          <w:i/>
          <w:iCs/>
          <w:color w:val="auto"/>
        </w:rPr>
        <w:t>MET</w:t>
      </w:r>
      <w:r w:rsidR="00DD242A" w:rsidRPr="00C42299">
        <w:rPr>
          <w:color w:val="auto"/>
        </w:rPr>
        <w:t>ex14 mutations was not formally recommended as a first-line treatment.</w:t>
      </w:r>
    </w:p>
    <w:p w:rsidR="002B73A4" w:rsidRPr="002B73A4" w:rsidRDefault="002B73A4" w:rsidP="002B73A4">
      <w:pPr>
        <w:pStyle w:val="ListParagraph"/>
        <w:numPr>
          <w:ilvl w:val="0"/>
          <w:numId w:val="0"/>
        </w:numPr>
        <w:ind w:left="720"/>
        <w:rPr>
          <w:i/>
          <w:iCs/>
        </w:rPr>
      </w:pPr>
      <w:r w:rsidRPr="002B73A4">
        <w:rPr>
          <w:i/>
          <w:iCs/>
        </w:rPr>
        <w:t>For more detail on PBAC’s view, see section 7 PBAC outcome.</w:t>
      </w:r>
    </w:p>
    <w:p w:rsidR="00B27719" w:rsidRPr="00517363" w:rsidRDefault="00B27719" w:rsidP="00517363">
      <w:pPr>
        <w:pStyle w:val="PBACESHeading1"/>
      </w:pPr>
      <w:bookmarkStart w:id="13" w:name="_Toc497226183"/>
      <w:bookmarkStart w:id="14" w:name="_Toc81873380"/>
      <w:r w:rsidRPr="00517363">
        <w:t>Comparator</w:t>
      </w:r>
      <w:bookmarkEnd w:id="13"/>
      <w:bookmarkEnd w:id="14"/>
    </w:p>
    <w:p w:rsidR="00B27719" w:rsidRPr="00C42299" w:rsidRDefault="00B27719" w:rsidP="00B27719">
      <w:pPr>
        <w:pStyle w:val="ListParagraph"/>
        <w:numPr>
          <w:ilvl w:val="4"/>
          <w:numId w:val="1"/>
        </w:numPr>
        <w:rPr>
          <w:color w:val="auto"/>
        </w:rPr>
      </w:pPr>
      <w:r w:rsidRPr="00962499">
        <w:t xml:space="preserve">The submission nominated pembrolizumab in combination with chemotherapy as the main comparator. </w:t>
      </w:r>
      <w:r w:rsidR="00FF45DF" w:rsidRPr="00461942">
        <w:t>The evaluation considered</w:t>
      </w:r>
      <w:r w:rsidR="00FF45DF">
        <w:t xml:space="preserve"> p</w:t>
      </w:r>
      <w:r w:rsidRPr="00C42299">
        <w:t>embrolizumab monotherapy is likely to be a more appropriate comparator</w:t>
      </w:r>
      <w:r w:rsidR="000212A7">
        <w:t xml:space="preserve"> </w:t>
      </w:r>
      <w:r w:rsidRPr="00C42299">
        <w:t>for</w:t>
      </w:r>
      <w:r w:rsidR="00FF45DF">
        <w:t xml:space="preserve"> </w:t>
      </w:r>
      <w:r w:rsidRPr="00C42299">
        <w:t>a</w:t>
      </w:r>
      <w:r w:rsidR="00A346AF" w:rsidRPr="00C42299">
        <w:t xml:space="preserve"> high</w:t>
      </w:r>
      <w:r w:rsidRPr="00C42299">
        <w:t xml:space="preserve"> proportion of patients.</w:t>
      </w:r>
    </w:p>
    <w:p w:rsidR="00BC3150" w:rsidRDefault="00B27719" w:rsidP="002B73A4">
      <w:pPr>
        <w:pStyle w:val="ListParagraph"/>
        <w:numPr>
          <w:ilvl w:val="4"/>
          <w:numId w:val="18"/>
        </w:numPr>
        <w:ind w:left="1077" w:hanging="357"/>
      </w:pPr>
      <w:r w:rsidRPr="00C42299">
        <w:t xml:space="preserve">The proposed target </w:t>
      </w:r>
      <w:r w:rsidRPr="00B74A96">
        <w:rPr>
          <w:i/>
          <w:iCs/>
        </w:rPr>
        <w:t>MET</w:t>
      </w:r>
      <w:r w:rsidRPr="00C42299">
        <w:t>ex14sk population is likely to be older and frailer than baseline NSCLC patients</w:t>
      </w:r>
      <w:r w:rsidR="00675066">
        <w:t xml:space="preserve"> and </w:t>
      </w:r>
      <w:r w:rsidRPr="00C42299">
        <w:t>clinicians may be more likely to prescribe pembrolizumab monotherapy more frequently than anticipated by the submission</w:t>
      </w:r>
      <w:r w:rsidR="00675066">
        <w:t>.</w:t>
      </w:r>
      <w:r w:rsidRPr="00C42299">
        <w:t xml:space="preserve"> This is further reinforced by recent retrospective meta-analyses which suggest there may be little difference in efficacy between pembrolizumab + chemotherapy and pembrolizumab monotherapy</w:t>
      </w:r>
      <w:r w:rsidRPr="00C42299">
        <w:rPr>
          <w:vertAlign w:val="superscript"/>
        </w:rPr>
        <w:footnoteReference w:id="5"/>
      </w:r>
      <w:r w:rsidRPr="00C42299">
        <w:rPr>
          <w:vertAlign w:val="superscript"/>
        </w:rPr>
        <w:t>,</w:t>
      </w:r>
      <w:r w:rsidRPr="00C42299">
        <w:rPr>
          <w:vertAlign w:val="superscript"/>
        </w:rPr>
        <w:footnoteReference w:id="6"/>
      </w:r>
      <w:proofErr w:type="gramStart"/>
      <w:r w:rsidRPr="00C42299">
        <w:t>,</w:t>
      </w:r>
      <w:proofErr w:type="gramEnd"/>
      <w:r w:rsidRPr="00C42299">
        <w:t xml:space="preserve"> however the safety profile favours monotherapy.</w:t>
      </w:r>
      <w:r w:rsidR="00BC3150" w:rsidRPr="00BC3150">
        <w:t xml:space="preserve"> </w:t>
      </w:r>
    </w:p>
    <w:p w:rsidR="00BC3150" w:rsidRPr="00C42299" w:rsidRDefault="00BC3150" w:rsidP="002B73A4">
      <w:pPr>
        <w:pStyle w:val="ListParagraph"/>
        <w:numPr>
          <w:ilvl w:val="4"/>
          <w:numId w:val="18"/>
        </w:numPr>
        <w:ind w:left="1077" w:hanging="357"/>
        <w:rPr>
          <w:color w:val="auto"/>
        </w:rPr>
      </w:pPr>
      <w:r w:rsidRPr="00C42299">
        <w:t xml:space="preserve">The submission stated that </w:t>
      </w:r>
      <w:r>
        <w:t xml:space="preserve">of the 22% of </w:t>
      </w:r>
      <w:r w:rsidRPr="00C42299">
        <w:t>patients with PD-L1 tumour proportion score (TPS) ≥50%</w:t>
      </w:r>
      <w:r>
        <w:t xml:space="preserve">, </w:t>
      </w:r>
      <w:r w:rsidRPr="00C42299">
        <w:t>70% would use pembrolizumab monotherapy and 30% would use pembrolizumab in combination with chemotherapy.</w:t>
      </w:r>
      <w:r w:rsidRPr="00BC3150">
        <w:rPr>
          <w:color w:val="auto"/>
        </w:rPr>
        <w:t xml:space="preserve"> </w:t>
      </w:r>
      <w:r w:rsidRPr="00C42299">
        <w:rPr>
          <w:color w:val="auto"/>
        </w:rPr>
        <w:t>The</w:t>
      </w:r>
      <w:r>
        <w:rPr>
          <w:color w:val="auto"/>
        </w:rPr>
        <w:t xml:space="preserve"> evaluation noted the </w:t>
      </w:r>
      <w:r w:rsidRPr="00C42299">
        <w:rPr>
          <w:color w:val="auto"/>
        </w:rPr>
        <w:t>submission did not present any comparative efficacy and safety data for tepotinib and pembrolizumab monotherapy.</w:t>
      </w:r>
    </w:p>
    <w:p w:rsidR="00FF45DF" w:rsidRPr="00461942" w:rsidRDefault="00FF45DF" w:rsidP="00B27719">
      <w:pPr>
        <w:pStyle w:val="ListParagraph"/>
        <w:numPr>
          <w:ilvl w:val="4"/>
          <w:numId w:val="1"/>
        </w:numPr>
        <w:rPr>
          <w:iCs/>
          <w:color w:val="auto"/>
        </w:rPr>
      </w:pPr>
      <w:bookmarkStart w:id="15" w:name="_Ref84599306"/>
      <w:r w:rsidRPr="00461942">
        <w:rPr>
          <w:color w:val="auto"/>
        </w:rPr>
        <w:t>The ESC</w:t>
      </w:r>
      <w:r w:rsidR="00CD46FE" w:rsidRPr="00461942">
        <w:rPr>
          <w:color w:val="auto"/>
        </w:rPr>
        <w:t>s</w:t>
      </w:r>
      <w:r w:rsidRPr="00461942">
        <w:rPr>
          <w:color w:val="auto"/>
        </w:rPr>
        <w:t xml:space="preserve"> considered</w:t>
      </w:r>
      <w:r w:rsidR="00905F67" w:rsidRPr="00461942">
        <w:rPr>
          <w:color w:val="auto"/>
        </w:rPr>
        <w:t xml:space="preserve"> </w:t>
      </w:r>
      <w:r w:rsidR="00ED591E" w:rsidRPr="00461942">
        <w:rPr>
          <w:color w:val="auto"/>
        </w:rPr>
        <w:t xml:space="preserve">patients eligible for treatment </w:t>
      </w:r>
      <w:r w:rsidRPr="00461942">
        <w:rPr>
          <w:color w:val="auto"/>
        </w:rPr>
        <w:t xml:space="preserve">with pembrolizumab </w:t>
      </w:r>
      <w:r w:rsidR="00ED591E" w:rsidRPr="00461942">
        <w:rPr>
          <w:color w:val="auto"/>
        </w:rPr>
        <w:t xml:space="preserve">are </w:t>
      </w:r>
      <w:r w:rsidR="00905F67" w:rsidRPr="00461942">
        <w:rPr>
          <w:color w:val="auto"/>
        </w:rPr>
        <w:t xml:space="preserve">increasingly </w:t>
      </w:r>
      <w:r w:rsidR="00ED591E" w:rsidRPr="00461942">
        <w:rPr>
          <w:color w:val="auto"/>
        </w:rPr>
        <w:t xml:space="preserve">likely to be treated with it </w:t>
      </w:r>
      <w:r w:rsidRPr="00461942">
        <w:rPr>
          <w:color w:val="auto"/>
        </w:rPr>
        <w:t xml:space="preserve">in combination </w:t>
      </w:r>
      <w:r w:rsidR="00ED591E" w:rsidRPr="00461942">
        <w:rPr>
          <w:color w:val="auto"/>
        </w:rPr>
        <w:t xml:space="preserve">with chemotherapy </w:t>
      </w:r>
      <w:r w:rsidRPr="00461942">
        <w:rPr>
          <w:color w:val="auto"/>
        </w:rPr>
        <w:t>and</w:t>
      </w:r>
      <w:r w:rsidR="001F5D8D" w:rsidRPr="00461942">
        <w:rPr>
          <w:color w:val="auto"/>
        </w:rPr>
        <w:t xml:space="preserve">, overall, </w:t>
      </w:r>
      <w:r w:rsidRPr="00461942">
        <w:rPr>
          <w:color w:val="auto"/>
        </w:rPr>
        <w:t xml:space="preserve">the comparator nominated by the </w:t>
      </w:r>
      <w:r w:rsidR="002534DB" w:rsidRPr="00461942">
        <w:rPr>
          <w:color w:val="auto"/>
        </w:rPr>
        <w:t xml:space="preserve">submission was appropriate. </w:t>
      </w:r>
      <w:bookmarkEnd w:id="15"/>
    </w:p>
    <w:p w:rsidR="00B27719" w:rsidRPr="00C42299" w:rsidRDefault="00B27719" w:rsidP="00B27719">
      <w:pPr>
        <w:pStyle w:val="ListParagraph"/>
        <w:numPr>
          <w:ilvl w:val="4"/>
          <w:numId w:val="1"/>
        </w:numPr>
        <w:rPr>
          <w:color w:val="auto"/>
        </w:rPr>
      </w:pPr>
      <w:r w:rsidRPr="00C42299">
        <w:rPr>
          <w:color w:val="auto"/>
        </w:rPr>
        <w:t xml:space="preserve">Although the submission nominated two secondary comparators: atezolizumab in combination with bevacizumab and chemotherapy (ABCP), and chemotherapy for patients ineligible for immunotherapy (either from receiving durvalumab in Stage III NSCLC, or if contraindicated by having an auto-immune disease or frailty), no comparative evidence was provided for tepotinib and ABCP. </w:t>
      </w:r>
    </w:p>
    <w:p w:rsidR="00B27719" w:rsidRPr="00461942" w:rsidRDefault="00B27719" w:rsidP="00B27719">
      <w:pPr>
        <w:pStyle w:val="ListParagraph"/>
        <w:numPr>
          <w:ilvl w:val="4"/>
          <w:numId w:val="1"/>
        </w:numPr>
        <w:rPr>
          <w:color w:val="auto"/>
        </w:rPr>
      </w:pPr>
      <w:r w:rsidRPr="00962499">
        <w:rPr>
          <w:color w:val="auto"/>
        </w:rPr>
        <w:t xml:space="preserve">The submission stated that </w:t>
      </w:r>
      <w:r w:rsidR="00E65F46">
        <w:rPr>
          <w:color w:val="auto"/>
        </w:rPr>
        <w:t xml:space="preserve">as </w:t>
      </w:r>
      <w:r w:rsidRPr="00962499">
        <w:rPr>
          <w:color w:val="auto"/>
        </w:rPr>
        <w:t xml:space="preserve">tepotinib offers at least the </w:t>
      </w:r>
      <w:r w:rsidR="00476911">
        <w:rPr>
          <w:color w:val="auto"/>
        </w:rPr>
        <w:t xml:space="preserve">same </w:t>
      </w:r>
      <w:r w:rsidRPr="00962499">
        <w:rPr>
          <w:color w:val="auto"/>
        </w:rPr>
        <w:t xml:space="preserve">efficacy </w:t>
      </w:r>
      <w:r w:rsidR="00942ACE">
        <w:rPr>
          <w:color w:val="auto"/>
        </w:rPr>
        <w:t>as</w:t>
      </w:r>
      <w:r w:rsidR="00942ACE" w:rsidRPr="00962499">
        <w:rPr>
          <w:color w:val="auto"/>
        </w:rPr>
        <w:t xml:space="preserve"> </w:t>
      </w:r>
      <w:r w:rsidRPr="00962499">
        <w:rPr>
          <w:color w:val="auto"/>
        </w:rPr>
        <w:t>pembrolizumab with chemotherapy, at no additional cost per patient, then by extension</w:t>
      </w:r>
      <w:r w:rsidR="00107193" w:rsidRPr="00962499">
        <w:rPr>
          <w:color w:val="auto"/>
        </w:rPr>
        <w:t>,</w:t>
      </w:r>
      <w:r w:rsidRPr="00962499">
        <w:rPr>
          <w:color w:val="auto"/>
        </w:rPr>
        <w:t xml:space="preserve"> tepotinib can be considered cost effective vs secondary comparators. </w:t>
      </w:r>
      <w:r w:rsidR="000A3784" w:rsidRPr="00461942">
        <w:rPr>
          <w:color w:val="auto"/>
        </w:rPr>
        <w:t>The evaluation considered t</w:t>
      </w:r>
      <w:r w:rsidRPr="00461942">
        <w:rPr>
          <w:color w:val="auto"/>
        </w:rPr>
        <w:t>his statement may not be reasonable:</w:t>
      </w:r>
    </w:p>
    <w:p w:rsidR="00B27719" w:rsidRPr="00C42299" w:rsidRDefault="00B27719" w:rsidP="002B73A4">
      <w:pPr>
        <w:pStyle w:val="ListParagraph"/>
        <w:numPr>
          <w:ilvl w:val="4"/>
          <w:numId w:val="18"/>
        </w:numPr>
        <w:ind w:left="1077" w:hanging="357"/>
      </w:pPr>
      <w:r w:rsidRPr="00C42299">
        <w:t xml:space="preserve">The PBAC previously considered the naïve indirect comparison between </w:t>
      </w:r>
      <w:proofErr w:type="spellStart"/>
      <w:r w:rsidRPr="00C42299">
        <w:t>pembrolizumab+platinum+pemetrexed</w:t>
      </w:r>
      <w:proofErr w:type="spellEnd"/>
      <w:r w:rsidRPr="00C42299">
        <w:t xml:space="preserve"> and ABCP (KN189 and </w:t>
      </w:r>
      <w:proofErr w:type="spellStart"/>
      <w:r w:rsidRPr="00C42299">
        <w:t>IMpow</w:t>
      </w:r>
      <w:r w:rsidR="00855F13" w:rsidRPr="00C42299">
        <w:t>er</w:t>
      </w:r>
      <w:proofErr w:type="spellEnd"/>
      <w:r w:rsidR="00855F13" w:rsidRPr="00C42299">
        <w:t xml:space="preserve"> 150) largely uninformative (P</w:t>
      </w:r>
      <w:r w:rsidRPr="00C42299">
        <w:t>ara</w:t>
      </w:r>
      <w:r w:rsidR="00855F13" w:rsidRPr="00C42299">
        <w:t>graph</w:t>
      </w:r>
      <w:r w:rsidRPr="00C42299">
        <w:t xml:space="preserve"> 7.9, </w:t>
      </w:r>
      <w:r w:rsidRPr="00C42299">
        <w:rPr>
          <w:color w:val="auto"/>
        </w:rPr>
        <w:t xml:space="preserve">Pembrolizumab </w:t>
      </w:r>
      <w:r w:rsidR="004F21CD">
        <w:rPr>
          <w:color w:val="auto"/>
        </w:rPr>
        <w:t>Public Summary Document (</w:t>
      </w:r>
      <w:r w:rsidRPr="00C42299">
        <w:rPr>
          <w:color w:val="auto"/>
        </w:rPr>
        <w:t>PSD</w:t>
      </w:r>
      <w:r w:rsidR="004F21CD">
        <w:rPr>
          <w:color w:val="auto"/>
        </w:rPr>
        <w:t>)</w:t>
      </w:r>
      <w:r w:rsidRPr="00C42299">
        <w:rPr>
          <w:color w:val="auto"/>
        </w:rPr>
        <w:t>, July 2019 PBAC meeting). Therefore, no inference for the comparative efficacy and safety between tepotinib and ABCP can be made.</w:t>
      </w:r>
    </w:p>
    <w:p w:rsidR="00B27719" w:rsidRPr="00C42299" w:rsidRDefault="00B27719" w:rsidP="002B73A4">
      <w:pPr>
        <w:pStyle w:val="ListParagraph"/>
        <w:numPr>
          <w:ilvl w:val="4"/>
          <w:numId w:val="18"/>
        </w:numPr>
        <w:ind w:left="1077" w:hanging="357"/>
      </w:pPr>
      <w:r w:rsidRPr="00C42299">
        <w:t xml:space="preserve">Patients with Stage IIIB </w:t>
      </w:r>
      <w:r w:rsidR="00107193" w:rsidRPr="00C42299">
        <w:t>NSCLC</w:t>
      </w:r>
      <w:r w:rsidRPr="00C42299">
        <w:t xml:space="preserve"> are ineligible for pembrolizumab. Currently in Australia, patients with Stage III NSCLC typically receive platinum-based chemo-radiotherapy, and in patients who do not progress after this regime</w:t>
      </w:r>
      <w:r w:rsidR="00107193" w:rsidRPr="00C42299">
        <w:t>n</w:t>
      </w:r>
      <w:r w:rsidRPr="00C42299">
        <w:t>, durvalumab (another PD-L1 inhibitor) is PBS-listed. The efficacy and safety of pembrolizumab has not been established in the Stage IIIB population, and therefore, the comparative efficacy and safety between tepotinib and chemo-radiotherapy and durvalumab cannot be assumed.</w:t>
      </w:r>
    </w:p>
    <w:p w:rsidR="00B27719" w:rsidRPr="00C42299" w:rsidRDefault="00B27719" w:rsidP="00B27719">
      <w:pPr>
        <w:pStyle w:val="ListParagraph"/>
        <w:numPr>
          <w:ilvl w:val="4"/>
          <w:numId w:val="1"/>
        </w:numPr>
        <w:rPr>
          <w:color w:val="auto"/>
        </w:rPr>
      </w:pPr>
      <w:r w:rsidRPr="00C42299">
        <w:rPr>
          <w:color w:val="auto"/>
        </w:rPr>
        <w:t>In addition, it is likely that, to some extent, immunotherapy may be displaced to a later line</w:t>
      </w:r>
      <w:r w:rsidR="001C215F" w:rsidRPr="00C42299">
        <w:rPr>
          <w:color w:val="auto"/>
        </w:rPr>
        <w:t xml:space="preserve"> (e.g. atezolizumab or nivolumab monotherapy)</w:t>
      </w:r>
      <w:r w:rsidRPr="00C42299">
        <w:rPr>
          <w:color w:val="auto"/>
        </w:rPr>
        <w:t>, if patients are treated with tepotinib as a first</w:t>
      </w:r>
      <w:r w:rsidR="0060279B" w:rsidRPr="00C42299">
        <w:rPr>
          <w:color w:val="auto"/>
        </w:rPr>
        <w:t>-</w:t>
      </w:r>
      <w:r w:rsidRPr="00C42299">
        <w:rPr>
          <w:color w:val="auto"/>
        </w:rPr>
        <w:t>line therapy and fit enough to receive a later line treatment after progression.</w:t>
      </w:r>
    </w:p>
    <w:p w:rsidR="006D4CF8" w:rsidRDefault="006D4CF8" w:rsidP="008467B6">
      <w:pPr>
        <w:pStyle w:val="ListParagraph"/>
      </w:pPr>
      <w:r w:rsidRPr="00C42299">
        <w:t xml:space="preserve">Finally, the submission’s nomination of comparator assumes that pembrolizumab </w:t>
      </w:r>
      <w:r w:rsidRPr="00C42299">
        <w:rPr>
          <w:rFonts w:cstheme="minorHAnsi"/>
        </w:rPr>
        <w:t>±</w:t>
      </w:r>
      <w:r w:rsidRPr="00C42299">
        <w:t xml:space="preserve"> chemotherapy will be comparably efficacious in the target </w:t>
      </w:r>
      <w:r w:rsidRPr="00D51428">
        <w:rPr>
          <w:i/>
          <w:iCs/>
        </w:rPr>
        <w:t>MET</w:t>
      </w:r>
      <w:r w:rsidRPr="00C42299">
        <w:t>ex14sk population. This may not be the case</w:t>
      </w:r>
      <w:r w:rsidR="002E52F3" w:rsidRPr="00C42299">
        <w:t>, as reflected in the current NCCN guidelines</w:t>
      </w:r>
      <w:r w:rsidR="002E52F3" w:rsidRPr="00C42299">
        <w:rPr>
          <w:rStyle w:val="FootnoteReference"/>
        </w:rPr>
        <w:footnoteReference w:id="7"/>
      </w:r>
      <w:r w:rsidR="00FC7571" w:rsidRPr="00C42299">
        <w:t xml:space="preserve">. </w:t>
      </w:r>
      <w:r w:rsidR="00FC7571" w:rsidRPr="00D42B18">
        <w:rPr>
          <w:i/>
        </w:rPr>
        <w:t>MET</w:t>
      </w:r>
      <w:r w:rsidR="00FC7571" w:rsidRPr="00C42299">
        <w:t xml:space="preserve">ex14sk is a primary oncogenic driver, and understanding of its responsiveness to standard therapies is lacking. The largest study to date (N=337) which examined the effect of </w:t>
      </w:r>
      <w:proofErr w:type="spellStart"/>
      <w:r w:rsidR="00FC7571" w:rsidRPr="00D42B18">
        <w:rPr>
          <w:i/>
        </w:rPr>
        <w:t>MET</w:t>
      </w:r>
      <w:r w:rsidR="00FC7571" w:rsidRPr="00C42299">
        <w:t>amp</w:t>
      </w:r>
      <w:proofErr w:type="spellEnd"/>
      <w:r w:rsidR="00FC7571" w:rsidRPr="00C42299">
        <w:t xml:space="preserve"> and </w:t>
      </w:r>
      <w:r w:rsidR="00FC7571" w:rsidRPr="00D42B18">
        <w:rPr>
          <w:i/>
        </w:rPr>
        <w:t>MET</w:t>
      </w:r>
      <w:r w:rsidR="00FC7571" w:rsidRPr="00C42299">
        <w:t>ex14sk on treatment outcomes</w:t>
      </w:r>
      <w:r w:rsidR="00FC7571" w:rsidRPr="00C42299">
        <w:rPr>
          <w:vertAlign w:val="superscript"/>
        </w:rPr>
        <w:footnoteReference w:id="8"/>
      </w:r>
      <w:r w:rsidR="00FC7571" w:rsidRPr="00C42299">
        <w:t xml:space="preserve"> suggested immune checkpoint inhibitor  therapy, primarily administered as monotherapy, may be effective in </w:t>
      </w:r>
      <w:proofErr w:type="spellStart"/>
      <w:r w:rsidR="00FC7571" w:rsidRPr="00D42B18">
        <w:rPr>
          <w:i/>
        </w:rPr>
        <w:t>MET</w:t>
      </w:r>
      <w:r w:rsidR="00FC7571" w:rsidRPr="00C42299">
        <w:t>amp</w:t>
      </w:r>
      <w:proofErr w:type="spellEnd"/>
      <w:r w:rsidR="00FC7571" w:rsidRPr="00C42299">
        <w:t xml:space="preserve"> tumours compared to chemotherapy (median OS 19 vs 8 months, p &lt;0.0001), but </w:t>
      </w:r>
      <w:r w:rsidR="008467B6" w:rsidRPr="00C42299">
        <w:t>potentially in</w:t>
      </w:r>
      <w:r w:rsidR="00FC7571" w:rsidRPr="00C42299">
        <w:t xml:space="preserve">effective in </w:t>
      </w:r>
      <w:r w:rsidR="00FC7571" w:rsidRPr="00D42B18">
        <w:rPr>
          <w:i/>
        </w:rPr>
        <w:t>MET</w:t>
      </w:r>
      <w:r w:rsidR="00FC7571" w:rsidRPr="00C42299">
        <w:t>ex14sk tumours (median OS 16 vs 10 months, p = 0.147). It also found that tumour PD-L1 scores did not predict magnitude of ICI benefit</w:t>
      </w:r>
      <w:r w:rsidR="0002633F" w:rsidRPr="00C42299">
        <w:t xml:space="preserve">, </w:t>
      </w:r>
      <w:r w:rsidR="00FC7571" w:rsidRPr="00C42299">
        <w:t xml:space="preserve">but the gene copy number (GCN) of the </w:t>
      </w:r>
      <w:proofErr w:type="spellStart"/>
      <w:r w:rsidR="00FC7571" w:rsidRPr="00D42B18">
        <w:rPr>
          <w:i/>
        </w:rPr>
        <w:t>MET</w:t>
      </w:r>
      <w:r w:rsidR="00FC7571" w:rsidRPr="00C42299">
        <w:t>amp</w:t>
      </w:r>
      <w:proofErr w:type="spellEnd"/>
      <w:r w:rsidR="00FC7571" w:rsidRPr="00C42299">
        <w:t xml:space="preserve"> mutations did, with the GCN ≥10 subgroup demonstrating greatest ICI efficacy</w:t>
      </w:r>
      <w:r w:rsidR="00F93A07" w:rsidRPr="00C42299">
        <w:t xml:space="preserve"> over chemotherapy</w:t>
      </w:r>
      <w:r w:rsidR="00FC7571" w:rsidRPr="00C42299">
        <w:t xml:space="preserve"> (median OS 36 vs 4 months, p &lt;0.0001). The study found approximately </w:t>
      </w:r>
      <w:r w:rsidR="009754C1" w:rsidRPr="00C42299">
        <w:t>1/3</w:t>
      </w:r>
      <w:r w:rsidR="00FC7571" w:rsidRPr="00C42299">
        <w:t xml:space="preserve"> of </w:t>
      </w:r>
      <w:r w:rsidR="00FC7571" w:rsidRPr="00D42B18">
        <w:rPr>
          <w:i/>
        </w:rPr>
        <w:t>MET</w:t>
      </w:r>
      <w:r w:rsidR="00FC7571" w:rsidRPr="00C42299">
        <w:t xml:space="preserve">ex14sk tumours harboured co-occurring </w:t>
      </w:r>
      <w:proofErr w:type="spellStart"/>
      <w:r w:rsidR="00FC7571" w:rsidRPr="00D42B18">
        <w:rPr>
          <w:i/>
        </w:rPr>
        <w:t>MET</w:t>
      </w:r>
      <w:r w:rsidR="00FC7571" w:rsidRPr="00C42299">
        <w:t>amp</w:t>
      </w:r>
      <w:proofErr w:type="spellEnd"/>
      <w:r w:rsidR="00FC7571" w:rsidRPr="00C42299">
        <w:t xml:space="preserve">. These findings are hypothesis-generating only, but highlight the possible differential treatment responsiveness </w:t>
      </w:r>
      <w:r w:rsidR="00F93A07" w:rsidRPr="00C42299">
        <w:t>of ICI therapy in</w:t>
      </w:r>
      <w:r w:rsidR="00FC7571" w:rsidRPr="00C42299">
        <w:t xml:space="preserve"> these newly delineated tumour mutations</w:t>
      </w:r>
      <w:r w:rsidR="00F93A07" w:rsidRPr="00C42299">
        <w:t xml:space="preserve"> (</w:t>
      </w:r>
      <w:proofErr w:type="spellStart"/>
      <w:r w:rsidR="00F93A07" w:rsidRPr="00D42B18">
        <w:rPr>
          <w:i/>
        </w:rPr>
        <w:t>MET</w:t>
      </w:r>
      <w:r w:rsidR="00F93A07" w:rsidRPr="00C42299">
        <w:t>amp</w:t>
      </w:r>
      <w:proofErr w:type="spellEnd"/>
      <w:r w:rsidR="00F93A07" w:rsidRPr="00C42299">
        <w:t xml:space="preserve"> and </w:t>
      </w:r>
      <w:r w:rsidR="00F93A07" w:rsidRPr="00D42B18">
        <w:rPr>
          <w:i/>
        </w:rPr>
        <w:t>MET</w:t>
      </w:r>
      <w:r w:rsidR="00F93A07" w:rsidRPr="00C42299">
        <w:t>ex14sk)</w:t>
      </w:r>
      <w:r w:rsidR="006A3A03" w:rsidRPr="00C42299">
        <w:t>.</w:t>
      </w:r>
      <w:r w:rsidR="002E52F3" w:rsidRPr="00C42299">
        <w:t xml:space="preserve"> </w:t>
      </w:r>
      <w:r w:rsidR="00FC7571" w:rsidRPr="00C42299">
        <w:t xml:space="preserve">If the target population do respond differently to ICI ± chemotherapy compared to the general </w:t>
      </w:r>
      <w:r w:rsidR="00FC7571" w:rsidRPr="009050FE">
        <w:rPr>
          <w:i/>
        </w:rPr>
        <w:t>EGFR</w:t>
      </w:r>
      <w:r w:rsidR="00FC7571" w:rsidRPr="00C42299">
        <w:t>/</w:t>
      </w:r>
      <w:r w:rsidR="00FC7571" w:rsidRPr="009050FE">
        <w:rPr>
          <w:i/>
        </w:rPr>
        <w:t>ALK</w:t>
      </w:r>
      <w:r w:rsidR="00FC7571" w:rsidRPr="00C42299">
        <w:t>/</w:t>
      </w:r>
      <w:r w:rsidR="00FC7571" w:rsidRPr="009050FE">
        <w:rPr>
          <w:i/>
        </w:rPr>
        <w:t>ROS1</w:t>
      </w:r>
      <w:r w:rsidR="00FC7571" w:rsidRPr="00C42299">
        <w:t>-negative Stage IV NSCLC population, then any conclusions based on the submission’s</w:t>
      </w:r>
      <w:r w:rsidR="008467B6" w:rsidRPr="00C42299">
        <w:t xml:space="preserve"> </w:t>
      </w:r>
      <w:r w:rsidR="008467B6" w:rsidRPr="00C42299">
        <w:rPr>
          <w:color w:val="auto"/>
        </w:rPr>
        <w:t>match-adjusted indirect treatment comparison</w:t>
      </w:r>
      <w:r w:rsidR="00FC7571" w:rsidRPr="00C42299">
        <w:t xml:space="preserve"> </w:t>
      </w:r>
      <w:r w:rsidR="008467B6" w:rsidRPr="00C42299">
        <w:t>(</w:t>
      </w:r>
      <w:r w:rsidR="00FC7571" w:rsidRPr="00C42299">
        <w:t>MAITC</w:t>
      </w:r>
      <w:r w:rsidR="008467B6" w:rsidRPr="00C42299">
        <w:t>)</w:t>
      </w:r>
      <w:r w:rsidR="00FC7571" w:rsidRPr="00C42299">
        <w:t xml:space="preserve"> would be invalid</w:t>
      </w:r>
      <w:r w:rsidR="003909A9" w:rsidRPr="00C42299">
        <w:t>.</w:t>
      </w:r>
      <w:r w:rsidR="003115F4" w:rsidRPr="00C42299">
        <w:t xml:space="preserve"> </w:t>
      </w:r>
      <w:r w:rsidR="003909A9" w:rsidRPr="00C42299">
        <w:t>I</w:t>
      </w:r>
      <w:r w:rsidR="003115F4" w:rsidRPr="00C42299">
        <w:t xml:space="preserve">t may be more important to differentiate patients who harbour </w:t>
      </w:r>
      <w:r w:rsidR="006A3A03" w:rsidRPr="00D42B18">
        <w:rPr>
          <w:i/>
        </w:rPr>
        <w:t>MET</w:t>
      </w:r>
      <w:r w:rsidR="006A3A03" w:rsidRPr="00C42299">
        <w:t xml:space="preserve">ex14sk and </w:t>
      </w:r>
      <w:proofErr w:type="spellStart"/>
      <w:r w:rsidR="003115F4" w:rsidRPr="00C42299">
        <w:t>METamp</w:t>
      </w:r>
      <w:proofErr w:type="spellEnd"/>
      <w:r w:rsidR="003115F4" w:rsidRPr="00C42299">
        <w:t xml:space="preserve"> mutation</w:t>
      </w:r>
      <w:r w:rsidR="006A3A03" w:rsidRPr="00C42299">
        <w:t>s</w:t>
      </w:r>
      <w:r w:rsidR="004A4F2A" w:rsidRPr="00C42299">
        <w:t xml:space="preserve">, rather than </w:t>
      </w:r>
      <w:r w:rsidR="004A4F2A" w:rsidRPr="00D42B18">
        <w:rPr>
          <w:i/>
        </w:rPr>
        <w:t>MET</w:t>
      </w:r>
      <w:r w:rsidR="004A4F2A" w:rsidRPr="00C42299">
        <w:t>ex14sk and PD-L1 TPS,</w:t>
      </w:r>
      <w:r w:rsidR="003115F4" w:rsidRPr="00C42299">
        <w:t xml:space="preserve"> when determining </w:t>
      </w:r>
      <w:r w:rsidR="004A4F2A" w:rsidRPr="00C42299">
        <w:t xml:space="preserve">which patients </w:t>
      </w:r>
      <w:r w:rsidR="003115F4" w:rsidRPr="00C42299">
        <w:t>will benefit from ICI and/or tepotinib therapy</w:t>
      </w:r>
      <w:r w:rsidR="00734519" w:rsidRPr="00C42299">
        <w:t>.</w:t>
      </w:r>
    </w:p>
    <w:p w:rsidR="008F3468" w:rsidRPr="00C42299" w:rsidRDefault="008F3468" w:rsidP="008F3468">
      <w:pPr>
        <w:pStyle w:val="ListParagraph"/>
        <w:numPr>
          <w:ilvl w:val="0"/>
          <w:numId w:val="0"/>
        </w:numPr>
        <w:ind w:left="720"/>
      </w:pPr>
      <w:r w:rsidRPr="00C33D30">
        <w:rPr>
          <w:i/>
        </w:rPr>
        <w:t>For more detail on PBAC’s view, see section 7 PBAC outcome</w:t>
      </w:r>
      <w:r>
        <w:rPr>
          <w:i/>
        </w:rPr>
        <w:t>.</w:t>
      </w:r>
    </w:p>
    <w:p w:rsidR="00B27719" w:rsidRPr="00517363" w:rsidRDefault="00B27719" w:rsidP="00517363">
      <w:pPr>
        <w:pStyle w:val="PBACESHeading1"/>
      </w:pPr>
      <w:bookmarkStart w:id="16" w:name="_Toc497226184"/>
      <w:bookmarkStart w:id="17" w:name="_Toc81873381"/>
      <w:r w:rsidRPr="00517363">
        <w:t>Consideration of the evidence</w:t>
      </w:r>
      <w:bookmarkEnd w:id="16"/>
      <w:bookmarkEnd w:id="17"/>
    </w:p>
    <w:p w:rsidR="00461942" w:rsidRPr="00183B83" w:rsidRDefault="00461942" w:rsidP="00461942">
      <w:pPr>
        <w:pStyle w:val="PBACESHeading2"/>
        <w:numPr>
          <w:ilvl w:val="2"/>
          <w:numId w:val="1"/>
        </w:numPr>
        <w:rPr>
          <w:rFonts w:asciiTheme="minorHAnsi" w:hAnsiTheme="minorHAnsi" w:cstheme="minorHAnsi"/>
        </w:rPr>
      </w:pPr>
      <w:bookmarkStart w:id="18" w:name="_Toc497226185"/>
      <w:bookmarkStart w:id="19" w:name="_Toc81873382"/>
      <w:r w:rsidRPr="00183B83">
        <w:rPr>
          <w:rFonts w:asciiTheme="minorHAnsi" w:hAnsiTheme="minorHAnsi" w:cstheme="minorHAnsi"/>
        </w:rPr>
        <w:t>Sponsor hearing</w:t>
      </w:r>
    </w:p>
    <w:p w:rsidR="00461942" w:rsidRPr="003E7EFF" w:rsidRDefault="00461942" w:rsidP="00461942">
      <w:pPr>
        <w:pStyle w:val="ListParagraph"/>
        <w:rPr>
          <w:rStyle w:val="InstructionalTextChar"/>
          <w:color w:val="auto"/>
        </w:rPr>
      </w:pPr>
      <w:r w:rsidRPr="003E7EFF">
        <w:rPr>
          <w:rStyle w:val="InstructionalTextChar"/>
          <w:color w:val="auto"/>
        </w:rPr>
        <w:t xml:space="preserve">The sponsor requested a hearing for this item. </w:t>
      </w:r>
      <w:r w:rsidR="003E7EFF" w:rsidRPr="003E7EFF">
        <w:rPr>
          <w:rStyle w:val="InstructionalTextChar"/>
          <w:color w:val="auto"/>
        </w:rPr>
        <w:t xml:space="preserve">The clinician </w:t>
      </w:r>
      <w:r w:rsidR="003E7EFF">
        <w:rPr>
          <w:rStyle w:val="InstructionalTextChar"/>
          <w:color w:val="auto"/>
        </w:rPr>
        <w:t xml:space="preserve">considered tepotinib provided an important additional treatment option for a small population of patients with NSCLC. The clinician acknowledged the lack of a randomised controlled trial but stated clinical experience with other targeted therapies </w:t>
      </w:r>
      <w:r w:rsidR="00E8392F">
        <w:rPr>
          <w:rStyle w:val="InstructionalTextChar"/>
          <w:color w:val="auto"/>
        </w:rPr>
        <w:t xml:space="preserve">and driver mutations </w:t>
      </w:r>
      <w:r w:rsidR="003E7EFF">
        <w:rPr>
          <w:rStyle w:val="InstructionalTextChar"/>
          <w:color w:val="auto"/>
        </w:rPr>
        <w:t>can be extrapolated</w:t>
      </w:r>
      <w:r w:rsidR="00E8392F">
        <w:rPr>
          <w:rStyle w:val="InstructionalTextChar"/>
          <w:color w:val="auto"/>
        </w:rPr>
        <w:t xml:space="preserve"> to tepotinib and </w:t>
      </w:r>
      <w:r w:rsidR="00E8392F" w:rsidRPr="00E8392F">
        <w:rPr>
          <w:rStyle w:val="InstructionalTextChar"/>
          <w:i/>
          <w:color w:val="auto"/>
        </w:rPr>
        <w:t>MET</w:t>
      </w:r>
      <w:r w:rsidR="00E8392F">
        <w:rPr>
          <w:rStyle w:val="InstructionalTextChar"/>
          <w:color w:val="auto"/>
        </w:rPr>
        <w:t xml:space="preserve">ex14sk alteration. </w:t>
      </w:r>
    </w:p>
    <w:p w:rsidR="00461942" w:rsidRPr="00183B83" w:rsidRDefault="00461942" w:rsidP="00B27719">
      <w:pPr>
        <w:pStyle w:val="PBACESHeading2"/>
        <w:numPr>
          <w:ilvl w:val="2"/>
          <w:numId w:val="1"/>
        </w:numPr>
        <w:rPr>
          <w:rFonts w:asciiTheme="minorHAnsi" w:hAnsiTheme="minorHAnsi" w:cstheme="minorHAnsi"/>
        </w:rPr>
      </w:pPr>
      <w:r w:rsidRPr="00183B83">
        <w:rPr>
          <w:rFonts w:asciiTheme="minorHAnsi" w:hAnsiTheme="minorHAnsi" w:cstheme="minorHAnsi"/>
        </w:rPr>
        <w:t>Consumer comments</w:t>
      </w:r>
    </w:p>
    <w:p w:rsidR="005C1E8E" w:rsidRPr="00E8392F" w:rsidRDefault="005C1E8E" w:rsidP="005C1E8E">
      <w:pPr>
        <w:pStyle w:val="ListParagraph"/>
        <w:rPr>
          <w:color w:val="auto"/>
        </w:rPr>
      </w:pPr>
      <w:r w:rsidRPr="00E8392F">
        <w:rPr>
          <w:color w:val="auto"/>
        </w:rPr>
        <w:t>The PBAC noted and welcomed the input from health care professionals (</w:t>
      </w:r>
      <w:r w:rsidR="00020DF6" w:rsidRPr="00E8392F">
        <w:rPr>
          <w:color w:val="auto"/>
        </w:rPr>
        <w:t>2</w:t>
      </w:r>
      <w:r w:rsidRPr="00E8392F">
        <w:rPr>
          <w:color w:val="auto"/>
        </w:rPr>
        <w:t>) and organisations (</w:t>
      </w:r>
      <w:r w:rsidR="00020DF6" w:rsidRPr="00E8392F">
        <w:rPr>
          <w:color w:val="auto"/>
        </w:rPr>
        <w:t>2</w:t>
      </w:r>
      <w:r w:rsidRPr="00E8392F">
        <w:rPr>
          <w:color w:val="auto"/>
        </w:rPr>
        <w:t xml:space="preserve">) via the Consumer Comments facility on the PBS website.  The comments described a range of benefits of treatment with </w:t>
      </w:r>
      <w:r w:rsidR="00E8392F" w:rsidRPr="00E8392F">
        <w:rPr>
          <w:color w:val="auto"/>
        </w:rPr>
        <w:t xml:space="preserve">tepotinib </w:t>
      </w:r>
      <w:r w:rsidR="00E8392F">
        <w:rPr>
          <w:color w:val="auto"/>
        </w:rPr>
        <w:t xml:space="preserve">including disease control in later lines of therapy, maintenance of </w:t>
      </w:r>
      <w:r w:rsidR="00E8392F" w:rsidRPr="00E8392F">
        <w:rPr>
          <w:color w:val="auto"/>
        </w:rPr>
        <w:t xml:space="preserve">qualify of life, ease of administration and manageable </w:t>
      </w:r>
      <w:r w:rsidRPr="00E8392F">
        <w:rPr>
          <w:color w:val="auto"/>
        </w:rPr>
        <w:t>side effects</w:t>
      </w:r>
      <w:r w:rsidR="00E8392F" w:rsidRPr="00E8392F">
        <w:rPr>
          <w:color w:val="auto"/>
        </w:rPr>
        <w:t xml:space="preserve">. </w:t>
      </w:r>
      <w:r w:rsidRPr="00E8392F">
        <w:rPr>
          <w:color w:val="auto"/>
        </w:rPr>
        <w:t xml:space="preserve">  </w:t>
      </w:r>
    </w:p>
    <w:p w:rsidR="00461942" w:rsidRPr="00E8392F" w:rsidRDefault="005C1E8E" w:rsidP="005C1E8E">
      <w:pPr>
        <w:pStyle w:val="ListParagraph"/>
        <w:rPr>
          <w:color w:val="auto"/>
        </w:rPr>
      </w:pPr>
      <w:r w:rsidRPr="00E8392F">
        <w:rPr>
          <w:color w:val="auto"/>
        </w:rPr>
        <w:t xml:space="preserve">The PBAC noted the advice received from </w:t>
      </w:r>
      <w:r w:rsidR="00E8392F" w:rsidRPr="00E8392F">
        <w:rPr>
          <w:color w:val="auto"/>
        </w:rPr>
        <w:t xml:space="preserve">the Lung Foundation of Australia </w:t>
      </w:r>
      <w:r w:rsidR="00C56714">
        <w:rPr>
          <w:color w:val="auto"/>
        </w:rPr>
        <w:t xml:space="preserve">that patients with </w:t>
      </w:r>
      <w:r w:rsidR="00C56714" w:rsidRPr="00C56714">
        <w:rPr>
          <w:i/>
          <w:color w:val="auto"/>
        </w:rPr>
        <w:t>MET</w:t>
      </w:r>
      <w:r w:rsidR="00C56714">
        <w:rPr>
          <w:color w:val="auto"/>
        </w:rPr>
        <w:t xml:space="preserve">ex14sk alterations currently have limited treatment options and listing tepotinib on the PBS will provide clinicians and patients with an additional treatment choice. </w:t>
      </w:r>
    </w:p>
    <w:p w:rsidR="005C1E8E" w:rsidRPr="00034174" w:rsidRDefault="005C1E8E" w:rsidP="005C1E8E">
      <w:pPr>
        <w:pStyle w:val="ListParagraph"/>
        <w:rPr>
          <w:color w:val="auto"/>
        </w:rPr>
      </w:pPr>
      <w:r w:rsidRPr="00E8392F">
        <w:rPr>
          <w:rFonts w:cs="Arial"/>
          <w:bCs/>
          <w:snapToGrid w:val="0"/>
        </w:rPr>
        <w:t>The Medical Oncology Group of Australia (MOGA) also expressed its strong support for the</w:t>
      </w:r>
      <w:r w:rsidR="00020DF6" w:rsidRPr="00E8392F">
        <w:rPr>
          <w:rFonts w:cs="Arial"/>
          <w:bCs/>
          <w:snapToGrid w:val="0"/>
        </w:rPr>
        <w:t xml:space="preserve"> tepotinib</w:t>
      </w:r>
      <w:r w:rsidRPr="00E8392F">
        <w:rPr>
          <w:rFonts w:cs="Arial"/>
          <w:bCs/>
          <w:snapToGrid w:val="0"/>
        </w:rPr>
        <w:t xml:space="preserve"> submission, categorising</w:t>
      </w:r>
      <w:r w:rsidRPr="00034174">
        <w:rPr>
          <w:rFonts w:cs="Arial"/>
          <w:bCs/>
          <w:snapToGrid w:val="0"/>
        </w:rPr>
        <w:t xml:space="preserve"> it as one of the therapies of “highest priority for PBS listing” on the basis of the</w:t>
      </w:r>
      <w:r w:rsidR="00020DF6" w:rsidRPr="00034174">
        <w:rPr>
          <w:rFonts w:cs="Arial"/>
          <w:bCs/>
          <w:snapToGrid w:val="0"/>
        </w:rPr>
        <w:t xml:space="preserve"> VISION</w:t>
      </w:r>
      <w:r w:rsidRPr="00034174">
        <w:rPr>
          <w:rFonts w:cs="Arial"/>
          <w:bCs/>
          <w:snapToGrid w:val="0"/>
        </w:rPr>
        <w:t xml:space="preserve"> trial. The PBAC noted that the MOGA presented a European Society for Medical Oncology Magnitude of Clinical Benefit Scale (ESMO-MCBS) for </w:t>
      </w:r>
      <w:r w:rsidR="00020DF6" w:rsidRPr="00034174">
        <w:rPr>
          <w:rFonts w:cs="Arial"/>
          <w:bCs/>
          <w:snapToGrid w:val="0"/>
        </w:rPr>
        <w:t>tepotinib</w:t>
      </w:r>
      <w:r w:rsidRPr="00034174">
        <w:rPr>
          <w:rFonts w:cs="Arial"/>
          <w:bCs/>
          <w:snapToGrid w:val="0"/>
        </w:rPr>
        <w:t xml:space="preserve">, which was limited to </w:t>
      </w:r>
      <w:r w:rsidR="00020DF6" w:rsidRPr="00034174">
        <w:rPr>
          <w:rFonts w:cs="Arial"/>
          <w:bCs/>
          <w:snapToGrid w:val="0"/>
        </w:rPr>
        <w:t>3</w:t>
      </w:r>
      <w:r w:rsidRPr="00034174">
        <w:rPr>
          <w:rFonts w:cs="Arial"/>
          <w:bCs/>
          <w:snapToGrid w:val="0"/>
        </w:rPr>
        <w:t xml:space="preserve"> (out of a maximum of 5, where 5 and 4 represent the grades with substantial improvement)</w:t>
      </w:r>
      <w:r w:rsidRPr="00034174">
        <w:rPr>
          <w:rFonts w:cs="Arial"/>
          <w:bCs/>
          <w:snapToGrid w:val="0"/>
          <w:vertAlign w:val="superscript"/>
        </w:rPr>
        <w:t>[1]</w:t>
      </w:r>
      <w:r w:rsidRPr="00034174">
        <w:rPr>
          <w:rFonts w:cs="Arial"/>
          <w:bCs/>
          <w:snapToGrid w:val="0"/>
        </w:rPr>
        <w:t>, based on a comparison with</w:t>
      </w:r>
      <w:r w:rsidR="003E7EFF">
        <w:rPr>
          <w:rFonts w:cs="Arial"/>
          <w:bCs/>
          <w:snapToGrid w:val="0"/>
        </w:rPr>
        <w:t xml:space="preserve"> no treatment, in an area of unmet need. </w:t>
      </w:r>
    </w:p>
    <w:p w:rsidR="00B27719" w:rsidRPr="00183B83" w:rsidRDefault="00B27719" w:rsidP="00B27719">
      <w:pPr>
        <w:pStyle w:val="PBACESHeading2"/>
        <w:numPr>
          <w:ilvl w:val="2"/>
          <w:numId w:val="1"/>
        </w:numPr>
        <w:rPr>
          <w:rFonts w:asciiTheme="minorHAnsi" w:hAnsiTheme="minorHAnsi" w:cstheme="minorHAnsi"/>
        </w:rPr>
      </w:pPr>
      <w:r w:rsidRPr="00183B83">
        <w:rPr>
          <w:rFonts w:asciiTheme="minorHAnsi" w:hAnsiTheme="minorHAnsi" w:cstheme="minorHAnsi"/>
        </w:rPr>
        <w:t>Overview of the evidence base</w:t>
      </w:r>
      <w:bookmarkEnd w:id="18"/>
      <w:bookmarkEnd w:id="19"/>
    </w:p>
    <w:p w:rsidR="00B27719" w:rsidRPr="00F13980" w:rsidRDefault="00B27719" w:rsidP="00B27719">
      <w:pPr>
        <w:pStyle w:val="ListParagraph"/>
        <w:numPr>
          <w:ilvl w:val="4"/>
          <w:numId w:val="1"/>
        </w:numPr>
        <w:rPr>
          <w:rStyle w:val="InstructionalTextChar"/>
          <w:color w:val="auto"/>
        </w:rPr>
      </w:pPr>
      <w:r w:rsidRPr="00962499">
        <w:rPr>
          <w:color w:val="auto"/>
        </w:rPr>
        <w:t xml:space="preserve">The approach taken in the submission is to present evidence that has been linked to support the </w:t>
      </w:r>
      <w:r w:rsidR="000A3784">
        <w:rPr>
          <w:color w:val="auto"/>
        </w:rPr>
        <w:t xml:space="preserve">claim </w:t>
      </w:r>
      <w:r w:rsidRPr="00962499">
        <w:rPr>
          <w:color w:val="auto"/>
        </w:rPr>
        <w:t xml:space="preserve">that targeting of </w:t>
      </w:r>
      <w:r w:rsidRPr="00912860">
        <w:rPr>
          <w:i/>
          <w:color w:val="auto"/>
        </w:rPr>
        <w:t>M</w:t>
      </w:r>
      <w:r w:rsidR="00C35467" w:rsidRPr="00912860">
        <w:rPr>
          <w:i/>
          <w:color w:val="auto"/>
        </w:rPr>
        <w:t>ET</w:t>
      </w:r>
      <w:r w:rsidRPr="00962499">
        <w:rPr>
          <w:color w:val="auto"/>
        </w:rPr>
        <w:t xml:space="preserve">ex14sk with tepotinib will be non-inferior to pembrolizumab + chemotherapy in the treatment of </w:t>
      </w:r>
      <w:proofErr w:type="spellStart"/>
      <w:r w:rsidRPr="00962499">
        <w:rPr>
          <w:color w:val="auto"/>
        </w:rPr>
        <w:t>aNSCLC</w:t>
      </w:r>
      <w:proofErr w:type="spellEnd"/>
      <w:r w:rsidRPr="00962499">
        <w:rPr>
          <w:color w:val="auto"/>
        </w:rPr>
        <w:t>.</w:t>
      </w:r>
    </w:p>
    <w:p w:rsidR="00B27719" w:rsidRPr="00962499" w:rsidRDefault="00C85B50" w:rsidP="005D7976">
      <w:pPr>
        <w:pStyle w:val="Caption"/>
      </w:pPr>
      <w:r>
        <w:t xml:space="preserve">Table </w:t>
      </w:r>
      <w:r w:rsidR="00C56714">
        <w:rPr>
          <w:noProof/>
        </w:rPr>
        <w:t>2</w:t>
      </w:r>
      <w:r w:rsidR="00F800E1">
        <w:rPr>
          <w:noProof/>
        </w:rPr>
        <w:t>:</w:t>
      </w:r>
      <w:r>
        <w:t xml:space="preserve"> </w:t>
      </w:r>
      <w:r w:rsidR="00B27719" w:rsidRPr="00962499">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4234"/>
        <w:gridCol w:w="2469"/>
      </w:tblGrid>
      <w:tr w:rsidR="00B27719" w:rsidRPr="00962499" w:rsidTr="00B27719">
        <w:tc>
          <w:tcPr>
            <w:tcW w:w="1283" w:type="pct"/>
            <w:tcBorders>
              <w:top w:val="single" w:sz="4" w:space="0" w:color="auto"/>
              <w:left w:val="single" w:sz="4" w:space="0" w:color="auto"/>
              <w:bottom w:val="single" w:sz="4" w:space="0" w:color="auto"/>
              <w:right w:val="single" w:sz="4" w:space="0" w:color="auto"/>
            </w:tcBorders>
            <w:vAlign w:val="bottom"/>
          </w:tcPr>
          <w:p w:rsidR="00B27719" w:rsidRPr="00962499" w:rsidRDefault="00B27719" w:rsidP="00A2662D">
            <w:pPr>
              <w:pStyle w:val="TableText"/>
              <w:keepNext/>
              <w:keepLines/>
              <w:rPr>
                <w:b/>
              </w:rPr>
            </w:pPr>
          </w:p>
        </w:tc>
        <w:tc>
          <w:tcPr>
            <w:tcW w:w="2348" w:type="pct"/>
            <w:tcBorders>
              <w:top w:val="single" w:sz="4" w:space="0" w:color="auto"/>
              <w:left w:val="single" w:sz="4" w:space="0" w:color="auto"/>
              <w:bottom w:val="single" w:sz="4" w:space="0" w:color="auto"/>
              <w:right w:val="single" w:sz="4" w:space="0" w:color="auto"/>
            </w:tcBorders>
            <w:vAlign w:val="bottom"/>
            <w:hideMark/>
          </w:tcPr>
          <w:p w:rsidR="00B27719" w:rsidRPr="00962499" w:rsidRDefault="00B27719" w:rsidP="00A2662D">
            <w:pPr>
              <w:pStyle w:val="TableText"/>
              <w:keepNext/>
              <w:keepLines/>
              <w:rPr>
                <w:b/>
              </w:rPr>
            </w:pPr>
            <w:r w:rsidRPr="00962499">
              <w:rPr>
                <w:b/>
              </w:rPr>
              <w:t>Type of evidence supplied</w:t>
            </w:r>
          </w:p>
        </w:tc>
        <w:tc>
          <w:tcPr>
            <w:tcW w:w="1369" w:type="pct"/>
            <w:tcBorders>
              <w:top w:val="single" w:sz="4" w:space="0" w:color="auto"/>
              <w:left w:val="single" w:sz="4" w:space="0" w:color="auto"/>
              <w:bottom w:val="single" w:sz="4" w:space="0" w:color="auto"/>
              <w:right w:val="single" w:sz="4" w:space="0" w:color="auto"/>
            </w:tcBorders>
            <w:vAlign w:val="bottom"/>
            <w:hideMark/>
          </w:tcPr>
          <w:p w:rsidR="00B27719" w:rsidRPr="00962499" w:rsidRDefault="00B27719" w:rsidP="00A2662D">
            <w:pPr>
              <w:pStyle w:val="TableText"/>
              <w:keepNext/>
              <w:keepLines/>
              <w:rPr>
                <w:b/>
              </w:rPr>
            </w:pPr>
            <w:r w:rsidRPr="00962499">
              <w:rPr>
                <w:b/>
              </w:rPr>
              <w:t>Extent of evidence supplied</w:t>
            </w:r>
          </w:p>
        </w:tc>
      </w:tr>
      <w:tr w:rsidR="00B27719" w:rsidRPr="00962499" w:rsidTr="00B27719">
        <w:tc>
          <w:tcPr>
            <w:tcW w:w="1283" w:type="pct"/>
            <w:tcBorders>
              <w:top w:val="single" w:sz="4" w:space="0" w:color="auto"/>
              <w:left w:val="single" w:sz="4" w:space="0" w:color="auto"/>
              <w:bottom w:val="single" w:sz="4" w:space="0" w:color="auto"/>
              <w:right w:val="single" w:sz="4" w:space="0" w:color="auto"/>
            </w:tcBorders>
            <w:hideMark/>
          </w:tcPr>
          <w:p w:rsidR="00B27719" w:rsidRPr="00962499" w:rsidRDefault="00B27719" w:rsidP="00A2662D">
            <w:pPr>
              <w:pStyle w:val="TableText"/>
              <w:keepNext/>
              <w:keepLines/>
            </w:pPr>
            <w:r w:rsidRPr="00962499">
              <w:t>Accuracy and performance of the test (analytical validity)</w:t>
            </w:r>
          </w:p>
        </w:tc>
        <w:tc>
          <w:tcPr>
            <w:tcW w:w="2348" w:type="pct"/>
            <w:tcBorders>
              <w:top w:val="single" w:sz="4" w:space="0" w:color="auto"/>
              <w:left w:val="single" w:sz="4" w:space="0" w:color="auto"/>
              <w:bottom w:val="single" w:sz="4" w:space="0" w:color="auto"/>
              <w:right w:val="single" w:sz="4" w:space="0" w:color="auto"/>
            </w:tcBorders>
            <w:hideMark/>
          </w:tcPr>
          <w:p w:rsidR="00B27719" w:rsidRPr="00962499" w:rsidRDefault="00B27719" w:rsidP="00A2662D">
            <w:pPr>
              <w:pStyle w:val="TableText"/>
              <w:keepNext/>
              <w:keepLines/>
            </w:pPr>
            <w:r w:rsidRPr="00962499">
              <w:t>One case-control study (level III-3) and two comparative studies (level III-2)</w:t>
            </w:r>
          </w:p>
        </w:tc>
        <w:tc>
          <w:tcPr>
            <w:tcW w:w="1369" w:type="pct"/>
            <w:tcBorders>
              <w:top w:val="single" w:sz="4" w:space="0" w:color="auto"/>
              <w:left w:val="single" w:sz="4" w:space="0" w:color="auto"/>
              <w:bottom w:val="single" w:sz="4" w:space="0" w:color="auto"/>
              <w:right w:val="single" w:sz="4" w:space="0" w:color="auto"/>
            </w:tcBorders>
            <w:hideMark/>
          </w:tcPr>
          <w:p w:rsidR="00B27719" w:rsidRPr="00962499" w:rsidRDefault="00183B83" w:rsidP="00A2662D">
            <w:pPr>
              <w:pStyle w:val="TableText"/>
              <w:keepNext/>
              <w:keepLines/>
            </w:pPr>
            <w:sdt>
              <w:sdtPr>
                <w:id w:val="-1781945108"/>
                <w14:checkbox>
                  <w14:checked w14:val="1"/>
                  <w14:checkedState w14:val="2612" w14:font="MS Gothic"/>
                  <w14:uncheckedState w14:val="2610" w14:font="MS Gothic"/>
                </w14:checkbox>
              </w:sdtPr>
              <w:sdtEndPr/>
              <w:sdtContent>
                <w:r w:rsidR="00B27719" w:rsidRPr="00962499">
                  <w:rPr>
                    <w:rFonts w:ascii="MS Gothic" w:eastAsia="MS Gothic" w:hAnsi="MS Gothic"/>
                  </w:rPr>
                  <w:t>☒</w:t>
                </w:r>
              </w:sdtContent>
            </w:sdt>
            <w:r w:rsidR="00B27719" w:rsidRPr="00962499">
              <w:tab/>
              <w:t>k=3</w:t>
            </w:r>
            <w:r w:rsidR="00B27719" w:rsidRPr="00962499">
              <w:tab/>
              <w:t>n=387</w:t>
            </w:r>
          </w:p>
        </w:tc>
      </w:tr>
      <w:tr w:rsidR="00B27719" w:rsidRPr="00962499" w:rsidTr="00B27719">
        <w:tc>
          <w:tcPr>
            <w:tcW w:w="1283" w:type="pct"/>
            <w:tcBorders>
              <w:top w:val="single" w:sz="4" w:space="0" w:color="auto"/>
              <w:left w:val="single" w:sz="4" w:space="0" w:color="auto"/>
              <w:bottom w:val="single" w:sz="4" w:space="0" w:color="auto"/>
              <w:right w:val="single" w:sz="4" w:space="0" w:color="auto"/>
            </w:tcBorders>
            <w:hideMark/>
          </w:tcPr>
          <w:p w:rsidR="00B27719" w:rsidRPr="00962499" w:rsidRDefault="00B27719" w:rsidP="00A2662D">
            <w:pPr>
              <w:pStyle w:val="TableText"/>
              <w:keepNext/>
              <w:keepLines/>
            </w:pPr>
            <w:r w:rsidRPr="00962499">
              <w:t>Prognostic evidence</w:t>
            </w:r>
          </w:p>
        </w:tc>
        <w:tc>
          <w:tcPr>
            <w:tcW w:w="2348" w:type="pct"/>
            <w:tcBorders>
              <w:top w:val="single" w:sz="4" w:space="0" w:color="auto"/>
              <w:left w:val="single" w:sz="4" w:space="0" w:color="auto"/>
              <w:bottom w:val="single" w:sz="4" w:space="0" w:color="auto"/>
              <w:right w:val="single" w:sz="4" w:space="0" w:color="auto"/>
            </w:tcBorders>
            <w:hideMark/>
          </w:tcPr>
          <w:p w:rsidR="00B27719" w:rsidRPr="00962499" w:rsidRDefault="00B27719" w:rsidP="00A2662D">
            <w:pPr>
              <w:pStyle w:val="TableText"/>
              <w:keepNext/>
              <w:keepLines/>
            </w:pPr>
            <w:r w:rsidRPr="00962499">
              <w:t xml:space="preserve">Comparison of outcomes in patients receiving </w:t>
            </w:r>
            <w:r w:rsidRPr="00962499">
              <w:rPr>
                <w:u w:val="single"/>
              </w:rPr>
              <w:t>usual care</w:t>
            </w:r>
            <w:r w:rsidRPr="00962499">
              <w:t xml:space="preserve"> conditioned on the presence or absence of biomarker positive status</w:t>
            </w:r>
          </w:p>
        </w:tc>
        <w:tc>
          <w:tcPr>
            <w:tcW w:w="1369" w:type="pct"/>
            <w:tcBorders>
              <w:top w:val="single" w:sz="4" w:space="0" w:color="auto"/>
              <w:left w:val="single" w:sz="4" w:space="0" w:color="auto"/>
              <w:bottom w:val="single" w:sz="4" w:space="0" w:color="auto"/>
              <w:right w:val="single" w:sz="4" w:space="0" w:color="auto"/>
            </w:tcBorders>
            <w:hideMark/>
          </w:tcPr>
          <w:p w:rsidR="00B27719" w:rsidRPr="00962499" w:rsidRDefault="00183B83" w:rsidP="00A2662D">
            <w:pPr>
              <w:pStyle w:val="TableText"/>
              <w:keepNext/>
              <w:keepLines/>
            </w:pPr>
            <w:sdt>
              <w:sdtPr>
                <w:id w:val="906731817"/>
                <w14:checkbox>
                  <w14:checked w14:val="1"/>
                  <w14:checkedState w14:val="2612" w14:font="MS Gothic"/>
                  <w14:uncheckedState w14:val="2610" w14:font="MS Gothic"/>
                </w14:checkbox>
              </w:sdtPr>
              <w:sdtEndPr/>
              <w:sdtContent>
                <w:r w:rsidR="00B27719" w:rsidRPr="00962499">
                  <w:rPr>
                    <w:rFonts w:ascii="MS Gothic" w:eastAsia="MS Gothic" w:hAnsi="MS Gothic"/>
                  </w:rPr>
                  <w:t>☒</w:t>
                </w:r>
              </w:sdtContent>
            </w:sdt>
            <w:r w:rsidR="00B27719" w:rsidRPr="00962499">
              <w:tab/>
              <w:t>k=6</w:t>
            </w:r>
            <w:r w:rsidR="00B27719" w:rsidRPr="00962499">
              <w:tab/>
              <w:t>n=78</w:t>
            </w:r>
          </w:p>
        </w:tc>
      </w:tr>
      <w:tr w:rsidR="00B27719" w:rsidRPr="00962499" w:rsidTr="00B27719">
        <w:tc>
          <w:tcPr>
            <w:tcW w:w="1283" w:type="pct"/>
            <w:tcBorders>
              <w:top w:val="single" w:sz="4" w:space="0" w:color="auto"/>
              <w:left w:val="single" w:sz="4" w:space="0" w:color="auto"/>
              <w:bottom w:val="single" w:sz="4" w:space="0" w:color="auto"/>
              <w:right w:val="single" w:sz="4" w:space="0" w:color="auto"/>
            </w:tcBorders>
            <w:hideMark/>
          </w:tcPr>
          <w:p w:rsidR="00B27719" w:rsidRPr="00962499" w:rsidRDefault="00B27719" w:rsidP="00A2662D">
            <w:pPr>
              <w:pStyle w:val="TableText"/>
              <w:keepNext/>
              <w:keepLines/>
            </w:pPr>
            <w:r w:rsidRPr="00962499">
              <w:t xml:space="preserve">Change in patient management </w:t>
            </w:r>
          </w:p>
        </w:tc>
        <w:tc>
          <w:tcPr>
            <w:tcW w:w="2348" w:type="pct"/>
            <w:tcBorders>
              <w:top w:val="single" w:sz="4" w:space="0" w:color="auto"/>
              <w:left w:val="single" w:sz="4" w:space="0" w:color="auto"/>
              <w:bottom w:val="single" w:sz="4" w:space="0" w:color="auto"/>
              <w:right w:val="single" w:sz="4" w:space="0" w:color="auto"/>
            </w:tcBorders>
            <w:hideMark/>
          </w:tcPr>
          <w:p w:rsidR="00B27719" w:rsidRPr="00962499" w:rsidRDefault="00B27719" w:rsidP="00A2662D">
            <w:pPr>
              <w:pStyle w:val="TableText"/>
              <w:keepNext/>
              <w:keepLines/>
            </w:pPr>
            <w:r w:rsidRPr="00962499">
              <w:t>No evidence provided.</w:t>
            </w:r>
          </w:p>
        </w:tc>
        <w:tc>
          <w:tcPr>
            <w:tcW w:w="1369" w:type="pct"/>
            <w:tcBorders>
              <w:top w:val="single" w:sz="4" w:space="0" w:color="auto"/>
              <w:left w:val="single" w:sz="4" w:space="0" w:color="auto"/>
              <w:bottom w:val="single" w:sz="4" w:space="0" w:color="auto"/>
              <w:right w:val="single" w:sz="4" w:space="0" w:color="auto"/>
            </w:tcBorders>
            <w:hideMark/>
          </w:tcPr>
          <w:p w:rsidR="00B27719" w:rsidRPr="00962499" w:rsidRDefault="00183B83" w:rsidP="00A2662D">
            <w:pPr>
              <w:pStyle w:val="TableText"/>
              <w:keepNext/>
              <w:keepLines/>
            </w:pPr>
            <w:sdt>
              <w:sdtPr>
                <w:id w:val="138534810"/>
                <w14:checkbox>
                  <w14:checked w14:val="0"/>
                  <w14:checkedState w14:val="2612" w14:font="MS Gothic"/>
                  <w14:uncheckedState w14:val="2610" w14:font="MS Gothic"/>
                </w14:checkbox>
              </w:sdtPr>
              <w:sdtEndPr/>
              <w:sdtContent>
                <w:r w:rsidR="00B27719" w:rsidRPr="00F13980">
                  <w:rPr>
                    <w:rFonts w:ascii="MS Gothic" w:eastAsia="MS Gothic" w:hAnsi="MS Gothic"/>
                  </w:rPr>
                  <w:t>☐</w:t>
                </w:r>
              </w:sdtContent>
            </w:sdt>
            <w:r w:rsidR="00B27719" w:rsidRPr="00962499">
              <w:tab/>
              <w:t>k=0</w:t>
            </w:r>
            <w:r w:rsidR="00B27719" w:rsidRPr="00962499">
              <w:tab/>
              <w:t>n=0</w:t>
            </w:r>
          </w:p>
        </w:tc>
      </w:tr>
      <w:tr w:rsidR="00B27719" w:rsidRPr="00962499" w:rsidTr="00B27719">
        <w:tc>
          <w:tcPr>
            <w:tcW w:w="1283" w:type="pct"/>
            <w:tcBorders>
              <w:top w:val="single" w:sz="4" w:space="0" w:color="auto"/>
              <w:left w:val="single" w:sz="4" w:space="0" w:color="auto"/>
              <w:bottom w:val="nil"/>
              <w:right w:val="single" w:sz="4" w:space="0" w:color="auto"/>
            </w:tcBorders>
          </w:tcPr>
          <w:p w:rsidR="00B27719" w:rsidRPr="00962499" w:rsidRDefault="00B27719" w:rsidP="00A2662D">
            <w:pPr>
              <w:pStyle w:val="TableText"/>
              <w:keepNext/>
              <w:keepLines/>
            </w:pPr>
            <w:r w:rsidRPr="00962499">
              <w:t xml:space="preserve">Treatment effectiveness </w:t>
            </w:r>
          </w:p>
        </w:tc>
        <w:tc>
          <w:tcPr>
            <w:tcW w:w="2348" w:type="pct"/>
            <w:tcBorders>
              <w:top w:val="single" w:sz="4" w:space="0" w:color="auto"/>
              <w:left w:val="single" w:sz="4" w:space="0" w:color="auto"/>
              <w:bottom w:val="nil"/>
              <w:right w:val="single" w:sz="4" w:space="0" w:color="auto"/>
            </w:tcBorders>
          </w:tcPr>
          <w:p w:rsidR="00B27719" w:rsidRPr="00962499" w:rsidRDefault="00B27719" w:rsidP="00A2662D">
            <w:pPr>
              <w:pStyle w:val="TableText"/>
              <w:keepNext/>
              <w:keepLines/>
            </w:pPr>
            <w:r w:rsidRPr="00962499">
              <w:t xml:space="preserve">Efficacy data from the first-line treatment subgroup in the key VISION trial, which enrolled patients with </w:t>
            </w:r>
            <w:r w:rsidRPr="00962499">
              <w:rPr>
                <w:i/>
              </w:rPr>
              <w:t>MET</w:t>
            </w:r>
            <w:r w:rsidRPr="00962499">
              <w:t xml:space="preserve">ex14sk, were indirectly compared to the pembrolizumab + chemotherapy arm of KN189, which enrolled patients who were negative for </w:t>
            </w:r>
            <w:r w:rsidRPr="004A4F2A">
              <w:rPr>
                <w:i/>
              </w:rPr>
              <w:t>EGFR</w:t>
            </w:r>
            <w:r w:rsidRPr="00962499">
              <w:t xml:space="preserve"> and </w:t>
            </w:r>
            <w:r w:rsidRPr="004A4F2A">
              <w:rPr>
                <w:i/>
              </w:rPr>
              <w:t>ALK</w:t>
            </w:r>
            <w:r w:rsidRPr="00962499">
              <w:t xml:space="preserve">; it is unknown how many, if any, harboured a </w:t>
            </w:r>
            <w:r w:rsidRPr="00962499">
              <w:rPr>
                <w:i/>
              </w:rPr>
              <w:t>MET</w:t>
            </w:r>
            <w:r w:rsidRPr="00962499">
              <w:t>ex14sk mutation.</w:t>
            </w:r>
          </w:p>
        </w:tc>
        <w:tc>
          <w:tcPr>
            <w:tcW w:w="1369" w:type="pct"/>
            <w:tcBorders>
              <w:top w:val="single" w:sz="4" w:space="0" w:color="auto"/>
              <w:left w:val="single" w:sz="4" w:space="0" w:color="auto"/>
              <w:bottom w:val="nil"/>
              <w:right w:val="single" w:sz="4" w:space="0" w:color="auto"/>
            </w:tcBorders>
          </w:tcPr>
          <w:p w:rsidR="00B27719" w:rsidRPr="00962499" w:rsidRDefault="00183B83" w:rsidP="00A2662D">
            <w:pPr>
              <w:pStyle w:val="TableText"/>
              <w:keepNext/>
              <w:keepLines/>
            </w:pPr>
            <w:sdt>
              <w:sdtPr>
                <w:id w:val="-2130540787"/>
                <w14:checkbox>
                  <w14:checked w14:val="1"/>
                  <w14:checkedState w14:val="2612" w14:font="MS Gothic"/>
                  <w14:uncheckedState w14:val="2610" w14:font="MS Gothic"/>
                </w14:checkbox>
              </w:sdtPr>
              <w:sdtEndPr/>
              <w:sdtContent>
                <w:r w:rsidR="00B27719" w:rsidRPr="00962499">
                  <w:rPr>
                    <w:rFonts w:ascii="Segoe UI Symbol" w:hAnsi="Segoe UI Symbol" w:cs="Segoe UI Symbol"/>
                  </w:rPr>
                  <w:t>☒</w:t>
                </w:r>
              </w:sdtContent>
            </w:sdt>
            <w:r w:rsidR="00B27719" w:rsidRPr="00962499">
              <w:tab/>
              <w:t>k=2</w:t>
            </w:r>
            <w:r w:rsidR="00B27719" w:rsidRPr="00962499">
              <w:tab/>
              <w:t>n=65+410</w:t>
            </w:r>
          </w:p>
        </w:tc>
      </w:tr>
      <w:tr w:rsidR="00B27719" w:rsidRPr="00962499" w:rsidTr="00B27719">
        <w:tc>
          <w:tcPr>
            <w:tcW w:w="1283" w:type="pct"/>
            <w:tcBorders>
              <w:top w:val="nil"/>
              <w:left w:val="single" w:sz="4" w:space="0" w:color="auto"/>
              <w:bottom w:val="nil"/>
              <w:right w:val="single" w:sz="4" w:space="0" w:color="auto"/>
            </w:tcBorders>
          </w:tcPr>
          <w:p w:rsidR="00B27719" w:rsidRPr="00962499" w:rsidRDefault="00B27719" w:rsidP="00A2662D">
            <w:pPr>
              <w:pStyle w:val="TableText"/>
              <w:keepNext/>
              <w:keepLines/>
            </w:pPr>
            <w:r w:rsidRPr="00962499">
              <w:t>Predictive effect</w:t>
            </w:r>
          </w:p>
          <w:p w:rsidR="00B27719" w:rsidRPr="00962499" w:rsidRDefault="00B27719" w:rsidP="00A2662D">
            <w:pPr>
              <w:pStyle w:val="TableText"/>
              <w:keepNext/>
              <w:keepLines/>
            </w:pPr>
            <w:r w:rsidRPr="00962499">
              <w:t>(treatment effect variation)</w:t>
            </w:r>
          </w:p>
        </w:tc>
        <w:tc>
          <w:tcPr>
            <w:tcW w:w="2348" w:type="pct"/>
            <w:tcBorders>
              <w:top w:val="nil"/>
              <w:left w:val="single" w:sz="4" w:space="0" w:color="auto"/>
              <w:bottom w:val="nil"/>
              <w:right w:val="single" w:sz="4" w:space="0" w:color="auto"/>
            </w:tcBorders>
          </w:tcPr>
          <w:p w:rsidR="00B27719" w:rsidRPr="00962499" w:rsidRDefault="00DD242A" w:rsidP="00A2662D">
            <w:pPr>
              <w:pStyle w:val="TableText"/>
              <w:keepNext/>
              <w:keepLines/>
            </w:pPr>
            <w:r w:rsidRPr="00962499">
              <w:t>No studies.</w:t>
            </w:r>
          </w:p>
        </w:tc>
        <w:tc>
          <w:tcPr>
            <w:tcW w:w="1369" w:type="pct"/>
            <w:tcBorders>
              <w:top w:val="nil"/>
              <w:left w:val="single" w:sz="4" w:space="0" w:color="auto"/>
              <w:bottom w:val="nil"/>
              <w:right w:val="single" w:sz="4" w:space="0" w:color="auto"/>
            </w:tcBorders>
          </w:tcPr>
          <w:p w:rsidR="00B27719" w:rsidRPr="00962499" w:rsidRDefault="00B27719" w:rsidP="00A2662D">
            <w:pPr>
              <w:pStyle w:val="TableText"/>
              <w:keepNext/>
              <w:keepLines/>
            </w:pPr>
          </w:p>
        </w:tc>
      </w:tr>
      <w:tr w:rsidR="00B27719" w:rsidRPr="00962499" w:rsidTr="00B27719">
        <w:tc>
          <w:tcPr>
            <w:tcW w:w="1283" w:type="pct"/>
            <w:tcBorders>
              <w:top w:val="nil"/>
              <w:left w:val="single" w:sz="4" w:space="0" w:color="auto"/>
              <w:bottom w:val="single" w:sz="4" w:space="0" w:color="auto"/>
              <w:right w:val="single" w:sz="4" w:space="0" w:color="auto"/>
            </w:tcBorders>
          </w:tcPr>
          <w:p w:rsidR="00B27719" w:rsidRPr="00962499" w:rsidRDefault="00B27719" w:rsidP="00A2662D">
            <w:pPr>
              <w:pStyle w:val="TableText"/>
              <w:keepNext/>
              <w:keepLines/>
            </w:pPr>
            <w:r w:rsidRPr="00962499">
              <w:t>Treatment effect (enriched)</w:t>
            </w:r>
          </w:p>
        </w:tc>
        <w:tc>
          <w:tcPr>
            <w:tcW w:w="2348" w:type="pct"/>
            <w:tcBorders>
              <w:top w:val="nil"/>
              <w:left w:val="single" w:sz="4" w:space="0" w:color="auto"/>
              <w:bottom w:val="single" w:sz="4" w:space="0" w:color="auto"/>
              <w:right w:val="single" w:sz="4" w:space="0" w:color="auto"/>
            </w:tcBorders>
          </w:tcPr>
          <w:p w:rsidR="00B27719" w:rsidRPr="00962499" w:rsidRDefault="00B27719" w:rsidP="00A2662D">
            <w:pPr>
              <w:pStyle w:val="TableText"/>
              <w:keepNext/>
              <w:keepLines/>
            </w:pPr>
            <w:r w:rsidRPr="00962499">
              <w:t>No single randomised controlled trial of tepotinib vs usual care in patients that are test positive in both arms was provided.</w:t>
            </w:r>
          </w:p>
        </w:tc>
        <w:tc>
          <w:tcPr>
            <w:tcW w:w="1369" w:type="pct"/>
            <w:tcBorders>
              <w:top w:val="nil"/>
              <w:left w:val="single" w:sz="4" w:space="0" w:color="auto"/>
              <w:bottom w:val="single" w:sz="4" w:space="0" w:color="auto"/>
              <w:right w:val="single" w:sz="4" w:space="0" w:color="auto"/>
            </w:tcBorders>
          </w:tcPr>
          <w:p w:rsidR="00B27719" w:rsidRPr="00962499" w:rsidRDefault="00183B83" w:rsidP="00A2662D">
            <w:pPr>
              <w:pStyle w:val="TableText"/>
              <w:keepNext/>
              <w:keepLines/>
            </w:pPr>
            <w:sdt>
              <w:sdtPr>
                <w:id w:val="1526751653"/>
                <w14:checkbox>
                  <w14:checked w14:val="0"/>
                  <w14:checkedState w14:val="2612" w14:font="MS Gothic"/>
                  <w14:uncheckedState w14:val="2610" w14:font="MS Gothic"/>
                </w14:checkbox>
              </w:sdtPr>
              <w:sdtEndPr/>
              <w:sdtContent>
                <w:r w:rsidR="00B27719" w:rsidRPr="00F13980">
                  <w:rPr>
                    <w:rFonts w:ascii="MS Gothic" w:eastAsia="MS Gothic" w:hAnsi="MS Gothic"/>
                  </w:rPr>
                  <w:t>☐</w:t>
                </w:r>
              </w:sdtContent>
            </w:sdt>
            <w:r w:rsidR="00B27719" w:rsidRPr="00962499">
              <w:tab/>
              <w:t>k=0</w:t>
            </w:r>
            <w:r w:rsidR="00B27719" w:rsidRPr="00962499">
              <w:tab/>
              <w:t>n=0</w:t>
            </w:r>
          </w:p>
        </w:tc>
      </w:tr>
    </w:tbl>
    <w:p w:rsidR="001D527B" w:rsidRPr="00962499" w:rsidRDefault="00B27719" w:rsidP="000F0026">
      <w:pPr>
        <w:pStyle w:val="TableFooter"/>
      </w:pPr>
      <w:r w:rsidRPr="008D313B">
        <w:rPr>
          <w:i/>
          <w:iCs/>
        </w:rPr>
        <w:t>ALK</w:t>
      </w:r>
      <w:r w:rsidRPr="00962499">
        <w:t xml:space="preserve"> = anaplastic lymphoma kinase; </w:t>
      </w:r>
      <w:r w:rsidRPr="008D313B">
        <w:rPr>
          <w:i/>
          <w:iCs/>
        </w:rPr>
        <w:t>EGFR</w:t>
      </w:r>
      <w:r w:rsidRPr="00962499">
        <w:t xml:space="preserve"> = epidermal growth factor receptor; k = number of studies; KN189 = Keynote 189; </w:t>
      </w:r>
      <w:r w:rsidRPr="00962499">
        <w:rPr>
          <w:i/>
        </w:rPr>
        <w:t>MET</w:t>
      </w:r>
      <w:r w:rsidRPr="00962499">
        <w:t xml:space="preserve">ex14sk = </w:t>
      </w:r>
      <w:r w:rsidR="001C3B0D" w:rsidRPr="008D313B">
        <w:t>MET</w:t>
      </w:r>
      <w:r w:rsidR="001C3B0D" w:rsidRPr="001C3B0D">
        <w:t xml:space="preserve"> proto-oncogene, receptor tyrosine kinase </w:t>
      </w:r>
      <w:r w:rsidRPr="00962499">
        <w:t>gene alteration that causes skipping of exon 14; k=number of studies, n=number of patients.</w:t>
      </w:r>
      <w:r w:rsidR="001D527B" w:rsidRPr="00962499">
        <w:t xml:space="preserve"> </w:t>
      </w:r>
    </w:p>
    <w:p w:rsidR="00B27719" w:rsidRPr="00962499" w:rsidRDefault="001D527B" w:rsidP="000F0026">
      <w:pPr>
        <w:pStyle w:val="TableFooter"/>
      </w:pPr>
      <w:r w:rsidRPr="00962499">
        <w:t xml:space="preserve">Source: </w:t>
      </w:r>
      <w:r w:rsidRPr="001318BD">
        <w:t>Constructed during the evaluation.</w:t>
      </w:r>
    </w:p>
    <w:p w:rsidR="00B27719" w:rsidRPr="00962499" w:rsidRDefault="00B27719" w:rsidP="00912860">
      <w:pPr>
        <w:pStyle w:val="ListParagraph"/>
      </w:pPr>
      <w:r w:rsidRPr="00962499">
        <w:t xml:space="preserve">The submission did not provide any data on the efficacy of pembrolizumab in </w:t>
      </w:r>
      <w:r w:rsidRPr="00962499">
        <w:rPr>
          <w:i/>
        </w:rPr>
        <w:t>MET</w:t>
      </w:r>
      <w:r w:rsidRPr="00962499">
        <w:t>ex14sk positive or negative populations</w:t>
      </w:r>
      <w:r w:rsidR="00DD242A" w:rsidRPr="00962499">
        <w:t xml:space="preserve">, however </w:t>
      </w:r>
      <w:r w:rsidR="00CF7E82">
        <w:t>it</w:t>
      </w:r>
      <w:r w:rsidR="00912860">
        <w:t xml:space="preserve"> proposed the </w:t>
      </w:r>
      <w:r w:rsidR="00912860" w:rsidRPr="00912860">
        <w:rPr>
          <w:color w:val="auto"/>
        </w:rPr>
        <w:t xml:space="preserve">prevalence of </w:t>
      </w:r>
      <w:r w:rsidR="00912860" w:rsidRPr="00912860">
        <w:rPr>
          <w:i/>
          <w:color w:val="auto"/>
        </w:rPr>
        <w:t>MET</w:t>
      </w:r>
      <w:r w:rsidR="00912860" w:rsidRPr="00912860">
        <w:rPr>
          <w:color w:val="auto"/>
        </w:rPr>
        <w:t xml:space="preserve">ex14sk for </w:t>
      </w:r>
      <w:r w:rsidR="00912860" w:rsidRPr="004A4F2A">
        <w:rPr>
          <w:i/>
          <w:color w:val="auto"/>
        </w:rPr>
        <w:t>EGFR</w:t>
      </w:r>
      <w:r w:rsidR="00912860">
        <w:rPr>
          <w:color w:val="auto"/>
        </w:rPr>
        <w:t xml:space="preserve">-negative </w:t>
      </w:r>
      <w:r w:rsidR="0022138E">
        <w:rPr>
          <w:color w:val="auto"/>
        </w:rPr>
        <w:t xml:space="preserve">non-squamous </w:t>
      </w:r>
      <w:r w:rsidR="00912860" w:rsidRPr="00912860">
        <w:rPr>
          <w:color w:val="auto"/>
        </w:rPr>
        <w:t xml:space="preserve">NSCLC </w:t>
      </w:r>
      <w:r w:rsidR="00912860" w:rsidRPr="00523C35">
        <w:rPr>
          <w:color w:val="auto"/>
        </w:rPr>
        <w:t>was 4.4%,</w:t>
      </w:r>
      <w:r w:rsidR="00912860">
        <w:rPr>
          <w:color w:val="auto"/>
        </w:rPr>
        <w:t xml:space="preserve"> which means approximately 95.6% of the KN189 population </w:t>
      </w:r>
      <w:r w:rsidR="004A4F2A">
        <w:rPr>
          <w:color w:val="auto"/>
        </w:rPr>
        <w:t>did not harbour</w:t>
      </w:r>
      <w:r w:rsidR="00912860">
        <w:rPr>
          <w:color w:val="auto"/>
        </w:rPr>
        <w:t xml:space="preserve"> the </w:t>
      </w:r>
      <w:r w:rsidR="00912860" w:rsidRPr="004A4F2A">
        <w:rPr>
          <w:i/>
          <w:color w:val="auto"/>
        </w:rPr>
        <w:t>MET</w:t>
      </w:r>
      <w:r w:rsidR="00912860">
        <w:rPr>
          <w:color w:val="auto"/>
        </w:rPr>
        <w:t>ex14sk mutation.</w:t>
      </w:r>
    </w:p>
    <w:p w:rsidR="00B27719" w:rsidRPr="00962499" w:rsidRDefault="00C85B50" w:rsidP="005D7976">
      <w:pPr>
        <w:pStyle w:val="Caption"/>
      </w:pPr>
      <w:r>
        <w:t xml:space="preserve">Table </w:t>
      </w:r>
      <w:r w:rsidR="00C56714">
        <w:rPr>
          <w:noProof/>
        </w:rPr>
        <w:t>3</w:t>
      </w:r>
      <w:r w:rsidR="00F800E1">
        <w:rPr>
          <w:noProof/>
        </w:rPr>
        <w:t>:</w:t>
      </w:r>
      <w:r>
        <w:t xml:space="preserve"> </w:t>
      </w:r>
      <w:r w:rsidR="00B27719" w:rsidRPr="00962499">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3"/>
        <w:gridCol w:w="3134"/>
        <w:gridCol w:w="3689"/>
      </w:tblGrid>
      <w:tr w:rsidR="00B27719" w:rsidRPr="00962499" w:rsidTr="00B27719">
        <w:tc>
          <w:tcPr>
            <w:tcW w:w="1216" w:type="pct"/>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Proposed test vs alternative test</w:t>
            </w:r>
          </w:p>
        </w:tc>
        <w:tc>
          <w:tcPr>
            <w:tcW w:w="3784" w:type="pct"/>
            <w:gridSpan w:val="2"/>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DNA-NGS vs Hybrid DNA/RNA NGS: 1 case-control study</w:t>
            </w:r>
          </w:p>
          <w:p w:rsidR="00B27719" w:rsidRPr="00962499" w:rsidRDefault="00B27719" w:rsidP="005B21F7">
            <w:pPr>
              <w:pStyle w:val="TableText"/>
              <w:keepNext/>
              <w:keepLines/>
            </w:pPr>
            <w:r w:rsidRPr="00962499">
              <w:t>Sanger sequencing vs Hybrid DNA/RNA NGS: 1 case-control and 1 comparative study</w:t>
            </w:r>
          </w:p>
          <w:p w:rsidR="00B27719" w:rsidRPr="00962499" w:rsidRDefault="00B27719" w:rsidP="005B21F7">
            <w:pPr>
              <w:pStyle w:val="TableText"/>
              <w:keepNext/>
              <w:keepLines/>
            </w:pPr>
            <w:proofErr w:type="spellStart"/>
            <w:r w:rsidRPr="00962499">
              <w:t>qRT</w:t>
            </w:r>
            <w:proofErr w:type="spellEnd"/>
            <w:r w:rsidRPr="00962499">
              <w:t>-PCR vs Hybrid DNA/RNA NGS: 1 case-control and 1 comparative study</w:t>
            </w:r>
          </w:p>
          <w:p w:rsidR="00B27719" w:rsidRPr="00962499" w:rsidRDefault="00B27719" w:rsidP="005B21F7">
            <w:pPr>
              <w:pStyle w:val="TableText"/>
              <w:keepNext/>
              <w:keepLines/>
            </w:pPr>
            <w:proofErr w:type="spellStart"/>
            <w:r w:rsidRPr="00962499">
              <w:t>ArcherDX</w:t>
            </w:r>
            <w:proofErr w:type="spellEnd"/>
            <w:r w:rsidRPr="00962499">
              <w:t xml:space="preserve"> RNA NGS vs Hybrid DNA/RNA NGS: 1 case-control study</w:t>
            </w:r>
          </w:p>
          <w:p w:rsidR="00B27719" w:rsidRPr="00962499" w:rsidRDefault="00B27719" w:rsidP="005B21F7">
            <w:pPr>
              <w:pStyle w:val="TableText"/>
              <w:keepNext/>
              <w:keepLines/>
              <w:rPr>
                <w:b/>
              </w:rPr>
            </w:pPr>
            <w:r w:rsidRPr="00962499">
              <w:t>DNA-NGS vs RNA-NGS: 1 comparative study</w:t>
            </w:r>
          </w:p>
        </w:tc>
      </w:tr>
      <w:tr w:rsidR="00B27719" w:rsidRPr="00962499" w:rsidTr="00B27719">
        <w:tc>
          <w:tcPr>
            <w:tcW w:w="1216" w:type="pct"/>
            <w:tcBorders>
              <w:top w:val="single" w:sz="4" w:space="0" w:color="000000"/>
              <w:left w:val="single" w:sz="4" w:space="0" w:color="000000"/>
              <w:bottom w:val="single" w:sz="4" w:space="0" w:color="000000"/>
              <w:right w:val="single" w:sz="4" w:space="0" w:color="000000"/>
            </w:tcBorders>
          </w:tcPr>
          <w:p w:rsidR="00B27719" w:rsidRPr="00962499" w:rsidRDefault="00B27719" w:rsidP="005B21F7">
            <w:pPr>
              <w:pStyle w:val="TableText"/>
              <w:keepNext/>
              <w:keepLines/>
            </w:pPr>
          </w:p>
        </w:tc>
        <w:tc>
          <w:tcPr>
            <w:tcW w:w="1738" w:type="pct"/>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Tepotinib</w:t>
            </w:r>
          </w:p>
        </w:tc>
        <w:tc>
          <w:tcPr>
            <w:tcW w:w="2046" w:type="pct"/>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Pembrolizumab + chemotherapy</w:t>
            </w:r>
          </w:p>
        </w:tc>
      </w:tr>
      <w:tr w:rsidR="00B27719" w:rsidRPr="00962499" w:rsidTr="00B27719">
        <w:tc>
          <w:tcPr>
            <w:tcW w:w="1216" w:type="pct"/>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Biomarker test positive</w:t>
            </w:r>
          </w:p>
        </w:tc>
        <w:tc>
          <w:tcPr>
            <w:tcW w:w="1738" w:type="pct"/>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VISION trial</w:t>
            </w:r>
          </w:p>
        </w:tc>
        <w:tc>
          <w:tcPr>
            <w:tcW w:w="2046" w:type="pct"/>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NA</w:t>
            </w:r>
          </w:p>
        </w:tc>
      </w:tr>
      <w:tr w:rsidR="00B27719" w:rsidRPr="00962499" w:rsidTr="00B27719">
        <w:tc>
          <w:tcPr>
            <w:tcW w:w="1216" w:type="pct"/>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Biomarker test negative</w:t>
            </w:r>
            <w:r w:rsidRPr="00962499">
              <w:rPr>
                <w:b/>
              </w:rPr>
              <w:t xml:space="preserve"> </w:t>
            </w:r>
          </w:p>
        </w:tc>
        <w:tc>
          <w:tcPr>
            <w:tcW w:w="1738" w:type="pct"/>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NA</w:t>
            </w:r>
          </w:p>
        </w:tc>
        <w:tc>
          <w:tcPr>
            <w:tcW w:w="2046" w:type="pct"/>
            <w:tcBorders>
              <w:top w:val="single" w:sz="4" w:space="0" w:color="000000"/>
              <w:left w:val="single" w:sz="4" w:space="0" w:color="000000"/>
              <w:bottom w:val="single" w:sz="4" w:space="0" w:color="000000"/>
              <w:right w:val="single" w:sz="4" w:space="0" w:color="000000"/>
            </w:tcBorders>
            <w:hideMark/>
          </w:tcPr>
          <w:p w:rsidR="00B27719" w:rsidRPr="00962499" w:rsidRDefault="00B27719" w:rsidP="005B21F7">
            <w:pPr>
              <w:pStyle w:val="TableText"/>
              <w:keepNext/>
              <w:keepLines/>
            </w:pPr>
            <w:r w:rsidRPr="00962499">
              <w:t>NA</w:t>
            </w:r>
          </w:p>
        </w:tc>
      </w:tr>
      <w:tr w:rsidR="00A4606A" w:rsidRPr="00962499" w:rsidTr="00B27719">
        <w:tc>
          <w:tcPr>
            <w:tcW w:w="1216" w:type="pct"/>
            <w:tcBorders>
              <w:top w:val="single" w:sz="4" w:space="0" w:color="000000"/>
              <w:left w:val="single" w:sz="4" w:space="0" w:color="000000"/>
              <w:bottom w:val="single" w:sz="4" w:space="0" w:color="000000"/>
              <w:right w:val="single" w:sz="4" w:space="0" w:color="000000"/>
            </w:tcBorders>
          </w:tcPr>
          <w:p w:rsidR="00A4606A" w:rsidRPr="00962499" w:rsidRDefault="00A4606A" w:rsidP="005B21F7">
            <w:pPr>
              <w:pStyle w:val="TableText"/>
              <w:keepNext/>
              <w:keepLines/>
            </w:pPr>
            <w:r w:rsidRPr="00962499">
              <w:t>Unselected</w:t>
            </w:r>
          </w:p>
        </w:tc>
        <w:tc>
          <w:tcPr>
            <w:tcW w:w="1738" w:type="pct"/>
            <w:tcBorders>
              <w:top w:val="single" w:sz="4" w:space="0" w:color="000000"/>
              <w:left w:val="single" w:sz="4" w:space="0" w:color="000000"/>
              <w:bottom w:val="single" w:sz="4" w:space="0" w:color="000000"/>
              <w:right w:val="single" w:sz="4" w:space="0" w:color="000000"/>
            </w:tcBorders>
          </w:tcPr>
          <w:p w:rsidR="00A4606A" w:rsidRPr="00962499" w:rsidRDefault="00A4606A" w:rsidP="005B21F7">
            <w:pPr>
              <w:pStyle w:val="TableText"/>
              <w:keepNext/>
              <w:keepLines/>
            </w:pPr>
            <w:r w:rsidRPr="00962499">
              <w:t>NA</w:t>
            </w:r>
          </w:p>
        </w:tc>
        <w:tc>
          <w:tcPr>
            <w:tcW w:w="2046" w:type="pct"/>
            <w:tcBorders>
              <w:top w:val="single" w:sz="4" w:space="0" w:color="000000"/>
              <w:left w:val="single" w:sz="4" w:space="0" w:color="000000"/>
              <w:bottom w:val="single" w:sz="4" w:space="0" w:color="000000"/>
              <w:right w:val="single" w:sz="4" w:space="0" w:color="000000"/>
            </w:tcBorders>
          </w:tcPr>
          <w:p w:rsidR="00A4606A" w:rsidRPr="00962499" w:rsidRDefault="00A4606A" w:rsidP="00A86169">
            <w:pPr>
              <w:pStyle w:val="TableText"/>
              <w:keepNext/>
              <w:keepLines/>
            </w:pPr>
            <w:r w:rsidRPr="00962499">
              <w:t xml:space="preserve">Keynote189 ITT population, where approximately </w:t>
            </w:r>
            <w:r w:rsidR="0022138E">
              <w:t>4.4</w:t>
            </w:r>
            <w:r w:rsidRPr="00962499">
              <w:t xml:space="preserve">% may have had </w:t>
            </w:r>
            <w:r w:rsidRPr="00962499">
              <w:rPr>
                <w:i/>
              </w:rPr>
              <w:t>MET</w:t>
            </w:r>
            <w:r w:rsidRPr="00962499">
              <w:t>ex14sk</w:t>
            </w:r>
            <w:r w:rsidR="00B77EFE">
              <w:t>, based on the prevalence reported in the submission</w:t>
            </w:r>
            <w:r w:rsidR="00404C00" w:rsidRPr="00404C00">
              <w:rPr>
                <w:vertAlign w:val="superscript"/>
              </w:rPr>
              <w:t>1</w:t>
            </w:r>
            <w:r w:rsidR="00B77EFE">
              <w:t xml:space="preserve">. </w:t>
            </w:r>
          </w:p>
        </w:tc>
      </w:tr>
    </w:tbl>
    <w:p w:rsidR="00404C00" w:rsidRPr="00034174" w:rsidRDefault="00404C00" w:rsidP="00404C00">
      <w:pPr>
        <w:pStyle w:val="TableFooter"/>
        <w:keepNext/>
        <w:keepLines/>
        <w:numPr>
          <w:ilvl w:val="0"/>
          <w:numId w:val="26"/>
        </w:numPr>
      </w:pPr>
      <w:r w:rsidRPr="00034174">
        <w:t xml:space="preserve">Huang 2020 and </w:t>
      </w:r>
      <w:proofErr w:type="spellStart"/>
      <w:r w:rsidRPr="00034174">
        <w:t>Reungwetwattana</w:t>
      </w:r>
      <w:proofErr w:type="spellEnd"/>
      <w:r w:rsidRPr="00034174">
        <w:t xml:space="preserve"> 2017 reported METex14sk alterations in approximately 3% of non-squamous NSCLC</w:t>
      </w:r>
    </w:p>
    <w:p w:rsidR="001D527B" w:rsidRPr="00962499" w:rsidRDefault="0008637F" w:rsidP="000F0026">
      <w:pPr>
        <w:pStyle w:val="TableFooter"/>
      </w:pPr>
      <w:r w:rsidRPr="00962499">
        <w:rPr>
          <w:i/>
        </w:rPr>
        <w:t>MET</w:t>
      </w:r>
      <w:r w:rsidRPr="00962499">
        <w:t xml:space="preserve">ex14sk = </w:t>
      </w:r>
      <w:r w:rsidR="001C3B0D" w:rsidRPr="001C3B0D">
        <w:t>MET proto-oncogene, receptor tyrosine kinase</w:t>
      </w:r>
      <w:r w:rsidRPr="00962499">
        <w:t xml:space="preserve"> gene alteration that causes skipping of exon 14; </w:t>
      </w:r>
      <w:r w:rsidR="001D527B" w:rsidRPr="00962499">
        <w:t>NA = Not applicable.</w:t>
      </w:r>
    </w:p>
    <w:p w:rsidR="00B27719" w:rsidRPr="00962499" w:rsidRDefault="00B27719" w:rsidP="000F0026">
      <w:pPr>
        <w:pStyle w:val="TableFooter"/>
      </w:pPr>
      <w:r w:rsidRPr="00962499">
        <w:t>Source: Constructed during the evaluation.</w:t>
      </w:r>
    </w:p>
    <w:p w:rsidR="00B27719" w:rsidRPr="00183B83" w:rsidRDefault="00B27719" w:rsidP="00B27719">
      <w:pPr>
        <w:pStyle w:val="PBACESHeading2"/>
        <w:numPr>
          <w:ilvl w:val="0"/>
          <w:numId w:val="0"/>
        </w:numPr>
        <w:rPr>
          <w:rFonts w:asciiTheme="minorHAnsi" w:hAnsiTheme="minorHAnsi" w:cstheme="minorHAnsi"/>
        </w:rPr>
      </w:pPr>
      <w:bookmarkStart w:id="20" w:name="_Toc497226186"/>
      <w:bookmarkStart w:id="21" w:name="_Toc81873383"/>
      <w:r w:rsidRPr="00183B83">
        <w:rPr>
          <w:rFonts w:asciiTheme="minorHAnsi" w:hAnsiTheme="minorHAnsi" w:cstheme="minorHAnsi"/>
        </w:rPr>
        <w:t>Comparative effectiveness (based on linked evidence)</w:t>
      </w:r>
      <w:bookmarkEnd w:id="20"/>
      <w:bookmarkEnd w:id="21"/>
    </w:p>
    <w:p w:rsidR="00B27719" w:rsidRPr="00962499" w:rsidRDefault="00B27719" w:rsidP="00B27719">
      <w:pPr>
        <w:pStyle w:val="ListParagraph"/>
        <w:numPr>
          <w:ilvl w:val="4"/>
          <w:numId w:val="1"/>
        </w:numPr>
        <w:rPr>
          <w:color w:val="auto"/>
        </w:rPr>
      </w:pPr>
      <w:r w:rsidRPr="00962499">
        <w:rPr>
          <w:color w:val="auto"/>
        </w:rPr>
        <w:t>The submission was based on an indirect comparison of tepotinib and pembrolizumab + chemotherapy via two studies:</w:t>
      </w:r>
    </w:p>
    <w:p w:rsidR="00B27719" w:rsidRPr="00962499" w:rsidRDefault="00B27719" w:rsidP="002B73A4">
      <w:pPr>
        <w:pStyle w:val="ListParagraph"/>
        <w:numPr>
          <w:ilvl w:val="4"/>
          <w:numId w:val="18"/>
        </w:numPr>
        <w:ind w:left="1077" w:hanging="357"/>
      </w:pPr>
      <w:r w:rsidRPr="00962499">
        <w:t>VISION: A phase II single-arm study of tepotinib in advanced (locally advanced or metastatic) NSCLC with METex14sk.</w:t>
      </w:r>
    </w:p>
    <w:p w:rsidR="00B27719" w:rsidRPr="00C42299" w:rsidRDefault="00B27719" w:rsidP="002B73A4">
      <w:pPr>
        <w:pStyle w:val="ListParagraph"/>
        <w:numPr>
          <w:ilvl w:val="4"/>
          <w:numId w:val="18"/>
        </w:numPr>
        <w:ind w:left="1077" w:hanging="357"/>
        <w:rPr>
          <w:color w:val="auto"/>
        </w:rPr>
      </w:pPr>
      <w:r w:rsidRPr="00962499">
        <w:t xml:space="preserve">KN189: </w:t>
      </w:r>
      <w:r w:rsidRPr="00962499">
        <w:rPr>
          <w:rFonts w:ascii="Calibri" w:eastAsia="MS Gothic" w:hAnsi="Calibri" w:cs="Times New Roman"/>
          <w:color w:val="auto"/>
          <w:szCs w:val="24"/>
          <w:lang w:bidi="en-US"/>
        </w:rPr>
        <w:t>A double-blind, randomised</w:t>
      </w:r>
      <w:r w:rsidR="00D54968" w:rsidRPr="00962499">
        <w:rPr>
          <w:rFonts w:ascii="Calibri" w:eastAsia="MS Gothic" w:hAnsi="Calibri" w:cs="Times New Roman"/>
          <w:color w:val="auto"/>
          <w:szCs w:val="24"/>
          <w:lang w:bidi="en-US"/>
        </w:rPr>
        <w:t>,</w:t>
      </w:r>
      <w:r w:rsidRPr="00962499">
        <w:rPr>
          <w:rFonts w:ascii="Calibri" w:eastAsia="MS Gothic" w:hAnsi="Calibri" w:cs="Times New Roman"/>
          <w:color w:val="auto"/>
          <w:szCs w:val="24"/>
          <w:lang w:bidi="en-US"/>
        </w:rPr>
        <w:t xml:space="preserve"> controlled, phase III trial comparing </w:t>
      </w:r>
      <w:proofErr w:type="spellStart"/>
      <w:r w:rsidRPr="00962499">
        <w:rPr>
          <w:rFonts w:ascii="Calibri" w:eastAsia="MS Gothic" w:hAnsi="Calibri" w:cs="Times New Roman"/>
          <w:color w:val="auto"/>
          <w:szCs w:val="24"/>
          <w:lang w:bidi="en-US"/>
        </w:rPr>
        <w:t>pemetrexed</w:t>
      </w:r>
      <w:proofErr w:type="spellEnd"/>
      <w:r w:rsidRPr="00962499">
        <w:rPr>
          <w:rFonts w:ascii="Calibri" w:eastAsia="MS Gothic" w:hAnsi="Calibri" w:cs="Times New Roman"/>
          <w:color w:val="auto"/>
          <w:szCs w:val="24"/>
          <w:lang w:bidi="en-US"/>
        </w:rPr>
        <w:t xml:space="preserve"> and a platinum-based drug plus either pembrolizumab or placebo in treatment-naïve patients with metastatic non-squamous NSCLC without sensitising </w:t>
      </w:r>
      <w:r w:rsidRPr="004A4F2A">
        <w:rPr>
          <w:rFonts w:ascii="Calibri" w:eastAsia="MS Gothic" w:hAnsi="Calibri" w:cs="Times New Roman"/>
          <w:i/>
          <w:color w:val="auto"/>
          <w:szCs w:val="24"/>
          <w:lang w:bidi="en-US"/>
        </w:rPr>
        <w:t>EGFR</w:t>
      </w:r>
      <w:r w:rsidRPr="00962499">
        <w:rPr>
          <w:rFonts w:ascii="Calibri" w:eastAsia="MS Gothic" w:hAnsi="Calibri" w:cs="Times New Roman"/>
          <w:color w:val="auto"/>
          <w:szCs w:val="24"/>
          <w:lang w:bidi="en-US"/>
        </w:rPr>
        <w:t xml:space="preserve"> or </w:t>
      </w:r>
      <w:r w:rsidRPr="004A4F2A">
        <w:rPr>
          <w:rFonts w:ascii="Calibri" w:eastAsia="MS Gothic" w:hAnsi="Calibri" w:cs="Times New Roman"/>
          <w:i/>
          <w:color w:val="auto"/>
          <w:szCs w:val="24"/>
          <w:lang w:bidi="en-US"/>
        </w:rPr>
        <w:t>ALK</w:t>
      </w:r>
      <w:r w:rsidRPr="00962499">
        <w:rPr>
          <w:rFonts w:ascii="Calibri" w:eastAsia="MS Gothic" w:hAnsi="Calibri" w:cs="Times New Roman"/>
          <w:color w:val="auto"/>
          <w:szCs w:val="24"/>
          <w:lang w:bidi="en-US"/>
        </w:rPr>
        <w:t xml:space="preserve"> mutations. </w:t>
      </w:r>
      <w:r w:rsidRPr="00C42299">
        <w:rPr>
          <w:rFonts w:ascii="Calibri" w:eastAsia="MS Gothic" w:hAnsi="Calibri" w:cs="Times New Roman"/>
          <w:color w:val="auto"/>
          <w:szCs w:val="24"/>
          <w:lang w:bidi="en-US"/>
        </w:rPr>
        <w:t xml:space="preserve">This trial </w:t>
      </w:r>
      <w:r w:rsidR="00E766CF" w:rsidRPr="00C42299">
        <w:rPr>
          <w:rFonts w:ascii="Calibri" w:eastAsia="MS Gothic" w:hAnsi="Calibri" w:cs="Times New Roman"/>
          <w:color w:val="auto"/>
          <w:szCs w:val="24"/>
          <w:lang w:bidi="en-US"/>
        </w:rPr>
        <w:t>was</w:t>
      </w:r>
      <w:r w:rsidRPr="00C42299">
        <w:rPr>
          <w:rFonts w:ascii="Calibri" w:eastAsia="MS Gothic" w:hAnsi="Calibri" w:cs="Times New Roman"/>
          <w:color w:val="auto"/>
          <w:szCs w:val="24"/>
          <w:lang w:bidi="en-US"/>
        </w:rPr>
        <w:t xml:space="preserve"> considered by PBAC in July 2019 when making the recommendation for pembrolizumab + chemotherapy for metastatic NSCLC.</w:t>
      </w:r>
    </w:p>
    <w:p w:rsidR="00B27719" w:rsidRPr="00962499" w:rsidRDefault="00B27719" w:rsidP="00B27719">
      <w:pPr>
        <w:pStyle w:val="ListParagraph"/>
        <w:numPr>
          <w:ilvl w:val="4"/>
          <w:numId w:val="1"/>
        </w:numPr>
      </w:pPr>
      <w:bookmarkStart w:id="22" w:name="_Ref84506737"/>
      <w:r w:rsidRPr="00962499">
        <w:rPr>
          <w:color w:val="auto"/>
        </w:rPr>
        <w:t xml:space="preserve">VISION enrolled patients based on defined </w:t>
      </w:r>
      <w:r w:rsidRPr="004A4F2A">
        <w:rPr>
          <w:i/>
          <w:color w:val="auto"/>
        </w:rPr>
        <w:t>MET</w:t>
      </w:r>
      <w:r w:rsidRPr="00962499">
        <w:rPr>
          <w:color w:val="auto"/>
        </w:rPr>
        <w:t xml:space="preserve"> alterations identified in tumour tissue and/or in circulating DNA (</w:t>
      </w:r>
      <w:proofErr w:type="spellStart"/>
      <w:r w:rsidRPr="00962499">
        <w:rPr>
          <w:color w:val="auto"/>
        </w:rPr>
        <w:t>ctDNA</w:t>
      </w:r>
      <w:proofErr w:type="spellEnd"/>
      <w:r w:rsidRPr="00962499">
        <w:rPr>
          <w:color w:val="auto"/>
        </w:rPr>
        <w:t>) derived from plasma, and then subdivided into three cohorts.</w:t>
      </w:r>
      <w:bookmarkEnd w:id="22"/>
    </w:p>
    <w:p w:rsidR="00B27719" w:rsidRPr="00962499" w:rsidRDefault="00B27719" w:rsidP="002B73A4">
      <w:pPr>
        <w:pStyle w:val="ListParagraph"/>
        <w:numPr>
          <w:ilvl w:val="4"/>
          <w:numId w:val="18"/>
        </w:numPr>
        <w:ind w:left="1077" w:hanging="357"/>
      </w:pPr>
      <w:r w:rsidRPr="00962499">
        <w:t xml:space="preserve">Cohort A: </w:t>
      </w:r>
      <w:r w:rsidR="009F3A62" w:rsidRPr="009F3A62">
        <w:t xml:space="preserve">Efficacy assessment was based on data from Cohort A, at the 01 July 2020 data cut-off date; the data presented referred to patients who had received their first dose of tepotinib before 02 October 2019, which ensured at least 9 months of follow-up data from the start of treatment. The cohort consisted of 147 patients, 95 who tested positive from the plasma </w:t>
      </w:r>
      <w:proofErr w:type="spellStart"/>
      <w:r w:rsidR="009F3A62" w:rsidRPr="009F3A62">
        <w:t>ctDNA</w:t>
      </w:r>
      <w:proofErr w:type="spellEnd"/>
      <w:r w:rsidR="009F3A62" w:rsidRPr="009F3A62">
        <w:t>, and 84 from tumour tissue.</w:t>
      </w:r>
    </w:p>
    <w:p w:rsidR="00B27719" w:rsidRPr="00962499" w:rsidRDefault="00B27719" w:rsidP="002B73A4">
      <w:pPr>
        <w:pStyle w:val="ListParagraph"/>
        <w:numPr>
          <w:ilvl w:val="4"/>
          <w:numId w:val="18"/>
        </w:numPr>
        <w:ind w:left="1077" w:hanging="357"/>
      </w:pPr>
      <w:r w:rsidRPr="00962499">
        <w:t xml:space="preserve">Cohort B: enrolled patients with NSCLC harbouring </w:t>
      </w:r>
      <w:r w:rsidRPr="00962499">
        <w:rPr>
          <w:i/>
          <w:iCs/>
        </w:rPr>
        <w:t>MET</w:t>
      </w:r>
      <w:r w:rsidRPr="00962499">
        <w:t xml:space="preserve"> amplification</w:t>
      </w:r>
      <w:r w:rsidR="00E766CF" w:rsidRPr="00962499">
        <w:t xml:space="preserve"> (</w:t>
      </w:r>
      <w:proofErr w:type="spellStart"/>
      <w:r w:rsidR="00E766CF" w:rsidRPr="00962499">
        <w:rPr>
          <w:i/>
          <w:iCs/>
        </w:rPr>
        <w:t>MET</w:t>
      </w:r>
      <w:r w:rsidR="00E766CF" w:rsidRPr="00962499">
        <w:t>amp</w:t>
      </w:r>
      <w:proofErr w:type="spellEnd"/>
      <w:r w:rsidR="00E766CF" w:rsidRPr="00962499">
        <w:t>)</w:t>
      </w:r>
      <w:r w:rsidRPr="00962499">
        <w:t>. This cohort was halted following t</w:t>
      </w:r>
      <w:r w:rsidR="00437A81">
        <w:t>he pre-planned interim analysis.</w:t>
      </w:r>
      <w:r w:rsidRPr="00962499">
        <w:t xml:space="preserve"> </w:t>
      </w:r>
      <w:r w:rsidRPr="00023862">
        <w:t xml:space="preserve">This cohort </w:t>
      </w:r>
      <w:r w:rsidRPr="00023862">
        <w:rPr>
          <w:iCs/>
        </w:rPr>
        <w:t>was not included for evaluation as this represented a different target population.</w:t>
      </w:r>
    </w:p>
    <w:p w:rsidR="00B27719" w:rsidRPr="007E4DDD" w:rsidRDefault="00B27719" w:rsidP="002B73A4">
      <w:pPr>
        <w:pStyle w:val="ListParagraph"/>
        <w:numPr>
          <w:ilvl w:val="4"/>
          <w:numId w:val="18"/>
        </w:numPr>
        <w:ind w:left="1077" w:hanging="357"/>
      </w:pPr>
      <w:r w:rsidRPr="00962499">
        <w:t xml:space="preserve">Cohort C: confirmatory part for tepotinib for </w:t>
      </w:r>
      <w:r w:rsidRPr="00DC4B10">
        <w:rPr>
          <w:i/>
        </w:rPr>
        <w:t>MET</w:t>
      </w:r>
      <w:r w:rsidRPr="00962499">
        <w:t>ex14sk, it began enrolling on 1</w:t>
      </w:r>
      <w:r w:rsidR="008F6791" w:rsidRPr="00962499">
        <w:t> </w:t>
      </w:r>
      <w:r w:rsidRPr="00962499">
        <w:t xml:space="preserve">January 2020 and efficacy data remains immature for efficacy evaluation, with </w:t>
      </w:r>
      <w:r w:rsidRPr="007E4DDD">
        <w:t>its final report expected in April 2023.</w:t>
      </w:r>
    </w:p>
    <w:p w:rsidR="00B27719" w:rsidRPr="007E4DDD" w:rsidRDefault="00B27719" w:rsidP="00B27719">
      <w:pPr>
        <w:pStyle w:val="ListParagraph"/>
        <w:numPr>
          <w:ilvl w:val="0"/>
          <w:numId w:val="0"/>
        </w:numPr>
        <w:ind w:left="720"/>
        <w:rPr>
          <w:iCs/>
        </w:rPr>
      </w:pPr>
      <w:r w:rsidRPr="007E4DDD">
        <w:t>Safety data were pooled from Cohorts A and C.</w:t>
      </w:r>
      <w:r w:rsidRPr="007E4DDD">
        <w:rPr>
          <w:iCs/>
        </w:rPr>
        <w:t xml:space="preserve"> Evaluating safety data from Cohort C whilst it is immature may underestimate adverse events, which may require time on treatment to emerge.</w:t>
      </w:r>
    </w:p>
    <w:p w:rsidR="00B27719" w:rsidRPr="00962499" w:rsidRDefault="00B27719" w:rsidP="00B27719">
      <w:pPr>
        <w:pStyle w:val="ListParagraph"/>
        <w:numPr>
          <w:ilvl w:val="4"/>
          <w:numId w:val="1"/>
        </w:numPr>
      </w:pPr>
      <w:r w:rsidRPr="00962499">
        <w:t>Details of the trials presented in the submission are provided in the table below.</w:t>
      </w:r>
    </w:p>
    <w:p w:rsidR="00B27719" w:rsidRPr="00962499" w:rsidRDefault="00C85B50" w:rsidP="005D7976">
      <w:pPr>
        <w:pStyle w:val="Caption"/>
      </w:pPr>
      <w:r>
        <w:t xml:space="preserve">Table </w:t>
      </w:r>
      <w:r w:rsidR="00C56714">
        <w:rPr>
          <w:noProof/>
        </w:rPr>
        <w:t>4</w:t>
      </w:r>
      <w:r w:rsidR="00F800E1">
        <w:rPr>
          <w:noProof/>
        </w:rPr>
        <w:t>:</w:t>
      </w:r>
      <w:r>
        <w:t xml:space="preserve"> </w:t>
      </w:r>
      <w:r w:rsidR="00B27719" w:rsidRPr="00962499">
        <w:t>Trials and associated reports presented in the submission</w:t>
      </w:r>
    </w:p>
    <w:tbl>
      <w:tblPr>
        <w:tblStyle w:val="TableGrid13"/>
        <w:tblW w:w="5000" w:type="pct"/>
        <w:tblLayout w:type="fixed"/>
        <w:tblLook w:val="0020" w:firstRow="1" w:lastRow="0" w:firstColumn="0" w:lastColumn="0" w:noHBand="0" w:noVBand="0"/>
        <w:tblCaption w:val="Table 4: Trials and associated reports presented in the submission"/>
      </w:tblPr>
      <w:tblGrid>
        <w:gridCol w:w="1323"/>
        <w:gridCol w:w="5444"/>
        <w:gridCol w:w="2249"/>
      </w:tblGrid>
      <w:tr w:rsidR="00B27719" w:rsidRPr="00962499" w:rsidTr="00FD0BD5">
        <w:trPr>
          <w:tblHeader/>
        </w:trPr>
        <w:tc>
          <w:tcPr>
            <w:tcW w:w="734" w:type="pct"/>
            <w:shd w:val="clear" w:color="auto" w:fill="auto"/>
          </w:tcPr>
          <w:p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Trial ID</w:t>
            </w:r>
          </w:p>
        </w:tc>
        <w:tc>
          <w:tcPr>
            <w:tcW w:w="3019" w:type="pct"/>
            <w:shd w:val="clear" w:color="auto" w:fill="auto"/>
          </w:tcPr>
          <w:p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Protocol title / Publication title</w:t>
            </w:r>
          </w:p>
        </w:tc>
        <w:tc>
          <w:tcPr>
            <w:tcW w:w="1247" w:type="pct"/>
            <w:shd w:val="clear" w:color="auto" w:fill="auto"/>
          </w:tcPr>
          <w:p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Publication date</w:t>
            </w:r>
          </w:p>
        </w:tc>
      </w:tr>
      <w:tr w:rsidR="00B27719" w:rsidRPr="00962499" w:rsidTr="008F6791">
        <w:trPr>
          <w:trHeight w:val="135"/>
        </w:trPr>
        <w:tc>
          <w:tcPr>
            <w:tcW w:w="3753" w:type="pct"/>
            <w:gridSpan w:val="2"/>
            <w:shd w:val="clear" w:color="auto" w:fill="auto"/>
          </w:tcPr>
          <w:p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Tepotinib</w:t>
            </w:r>
          </w:p>
        </w:tc>
        <w:tc>
          <w:tcPr>
            <w:tcW w:w="1247" w:type="pct"/>
            <w:shd w:val="clear" w:color="auto" w:fill="auto"/>
          </w:tcPr>
          <w:p w:rsidR="00B27719" w:rsidRPr="00F13980" w:rsidRDefault="00B27719" w:rsidP="00940357">
            <w:pPr>
              <w:keepNext/>
              <w:keepLines/>
              <w:rPr>
                <w:rFonts w:ascii="Arial Narrow" w:hAnsi="Arial Narrow"/>
                <w:b/>
                <w:bCs/>
                <w:sz w:val="20"/>
                <w:lang w:val="en-AU"/>
              </w:rPr>
            </w:pPr>
          </w:p>
        </w:tc>
      </w:tr>
      <w:tr w:rsidR="00B27719" w:rsidRPr="00962499" w:rsidTr="008F6791">
        <w:tc>
          <w:tcPr>
            <w:tcW w:w="734" w:type="pct"/>
            <w:vMerge w:val="restart"/>
            <w:shd w:val="clear" w:color="auto" w:fill="auto"/>
          </w:tcPr>
          <w:p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VISION/</w:t>
            </w:r>
            <w:r w:rsidRPr="00962499">
              <w:rPr>
                <w:rFonts w:ascii="Arial Narrow" w:hAnsi="Arial Narrow"/>
                <w:sz w:val="20"/>
              </w:rPr>
              <w:t xml:space="preserve"> </w:t>
            </w:r>
            <w:r w:rsidRPr="00962499">
              <w:rPr>
                <w:rFonts w:ascii="Arial Narrow" w:hAnsi="Arial Narrow"/>
                <w:b/>
                <w:bCs/>
                <w:sz w:val="20"/>
              </w:rPr>
              <w:t>NCT02864992</w:t>
            </w:r>
          </w:p>
        </w:tc>
        <w:tc>
          <w:tcPr>
            <w:tcW w:w="3019" w:type="pct"/>
            <w:shd w:val="clear" w:color="auto" w:fill="auto"/>
          </w:tcPr>
          <w:p w:rsidR="00B27719" w:rsidRPr="00F13980" w:rsidRDefault="00B27719" w:rsidP="00940357">
            <w:pPr>
              <w:keepNext/>
              <w:keepLines/>
              <w:rPr>
                <w:rFonts w:ascii="Arial Narrow" w:hAnsi="Arial Narrow"/>
                <w:sz w:val="20"/>
                <w:lang w:val="en-AU"/>
              </w:rPr>
            </w:pPr>
            <w:r w:rsidRPr="00962499">
              <w:rPr>
                <w:rFonts w:ascii="Arial Narrow" w:hAnsi="Arial Narrow"/>
                <w:sz w:val="20"/>
              </w:rPr>
              <w:t>Tepotinib Phase II in NSCLC Harboring MET Alterations (VISION)</w:t>
            </w:r>
          </w:p>
          <w:p w:rsidR="00B27719" w:rsidRDefault="00B27719" w:rsidP="00940357">
            <w:pPr>
              <w:keepNext/>
              <w:keepLines/>
              <w:rPr>
                <w:rFonts w:ascii="Arial Narrow" w:hAnsi="Arial Narrow"/>
                <w:sz w:val="20"/>
              </w:rPr>
            </w:pPr>
            <w:r w:rsidRPr="00F13980">
              <w:rPr>
                <w:rFonts w:ascii="Arial Narrow" w:hAnsi="Arial Narrow"/>
                <w:sz w:val="20"/>
                <w:lang w:val="en-AU"/>
              </w:rPr>
              <w:t xml:space="preserve">Paik PK, </w:t>
            </w:r>
            <w:proofErr w:type="spellStart"/>
            <w:r w:rsidRPr="00F13980">
              <w:rPr>
                <w:rFonts w:ascii="Arial Narrow" w:hAnsi="Arial Narrow"/>
                <w:sz w:val="20"/>
                <w:lang w:val="en-AU"/>
              </w:rPr>
              <w:t>Felip</w:t>
            </w:r>
            <w:proofErr w:type="spellEnd"/>
            <w:r w:rsidRPr="00F13980">
              <w:rPr>
                <w:rFonts w:ascii="Arial Narrow" w:hAnsi="Arial Narrow"/>
                <w:sz w:val="20"/>
                <w:lang w:val="en-AU"/>
              </w:rPr>
              <w:t xml:space="preserve"> E, </w:t>
            </w:r>
            <w:proofErr w:type="spellStart"/>
            <w:r w:rsidRPr="00F13980">
              <w:rPr>
                <w:rFonts w:ascii="Arial Narrow" w:hAnsi="Arial Narrow"/>
                <w:sz w:val="20"/>
                <w:lang w:val="en-AU"/>
              </w:rPr>
              <w:t>Veillon</w:t>
            </w:r>
            <w:proofErr w:type="spellEnd"/>
            <w:r w:rsidRPr="00F13980">
              <w:rPr>
                <w:rFonts w:ascii="Arial Narrow" w:hAnsi="Arial Narrow"/>
                <w:sz w:val="20"/>
                <w:lang w:val="en-AU"/>
              </w:rPr>
              <w:t xml:space="preserve"> R, et al. </w:t>
            </w:r>
            <w:r w:rsidRPr="00962499">
              <w:rPr>
                <w:rFonts w:ascii="Arial Narrow" w:hAnsi="Arial Narrow"/>
                <w:sz w:val="20"/>
              </w:rPr>
              <w:t xml:space="preserve">Phase II trial of the c-Met inhibitor tepotinib in advanced lung adenocarcinoma with MET exon 14 skipping mutations </w:t>
            </w:r>
            <w:r w:rsidRPr="00962499">
              <w:rPr>
                <w:rFonts w:ascii="Arial Narrow" w:hAnsi="Arial Narrow"/>
                <w:noProof/>
                <w:sz w:val="20"/>
              </w:rPr>
              <w:t>(Paik et al., 2017)</w:t>
            </w:r>
          </w:p>
          <w:p w:rsidR="00034174" w:rsidRPr="00F13980" w:rsidRDefault="00E81402" w:rsidP="00940357">
            <w:pPr>
              <w:keepNext/>
              <w:keepLines/>
              <w:rPr>
                <w:rFonts w:ascii="Arial Narrow" w:hAnsi="Arial Narrow"/>
                <w:sz w:val="20"/>
                <w:lang w:val="en-AU"/>
              </w:rPr>
            </w:pPr>
            <w:r>
              <w:rPr>
                <w:rFonts w:ascii="Arial Narrow" w:hAnsi="Arial Narrow"/>
                <w:sz w:val="20"/>
              </w:rPr>
              <w:t xml:space="preserve">Paik PK, </w:t>
            </w:r>
            <w:proofErr w:type="spellStart"/>
            <w:r>
              <w:rPr>
                <w:rFonts w:ascii="Arial Narrow" w:hAnsi="Arial Narrow"/>
                <w:sz w:val="20"/>
              </w:rPr>
              <w:t>Felip</w:t>
            </w:r>
            <w:proofErr w:type="spellEnd"/>
            <w:r>
              <w:rPr>
                <w:rFonts w:ascii="Arial Narrow" w:hAnsi="Arial Narrow"/>
                <w:sz w:val="20"/>
              </w:rPr>
              <w:t xml:space="preserve"> E, </w:t>
            </w:r>
            <w:proofErr w:type="spellStart"/>
            <w:r>
              <w:rPr>
                <w:rFonts w:ascii="Arial Narrow" w:hAnsi="Arial Narrow"/>
                <w:sz w:val="20"/>
              </w:rPr>
              <w:t>Veillon</w:t>
            </w:r>
            <w:proofErr w:type="spellEnd"/>
            <w:r>
              <w:rPr>
                <w:rFonts w:ascii="Arial Narrow" w:hAnsi="Arial Narrow"/>
                <w:sz w:val="20"/>
              </w:rPr>
              <w:t xml:space="preserve"> R, et al. Tepotinib in non-small cell lung cancer with MET exon 14 skipping mutations (Paik et al., 2020)</w:t>
            </w:r>
          </w:p>
        </w:tc>
        <w:tc>
          <w:tcPr>
            <w:tcW w:w="1247" w:type="pct"/>
            <w:shd w:val="clear" w:color="auto" w:fill="auto"/>
          </w:tcPr>
          <w:p w:rsidR="00B27719" w:rsidRPr="00F13980" w:rsidRDefault="00B27719" w:rsidP="00940357">
            <w:pPr>
              <w:keepNext/>
              <w:keepLines/>
              <w:rPr>
                <w:rFonts w:ascii="Arial Narrow" w:hAnsi="Arial Narrow"/>
                <w:sz w:val="20"/>
                <w:lang w:val="en-AU"/>
              </w:rPr>
            </w:pPr>
            <w:r w:rsidRPr="00962499">
              <w:rPr>
                <w:rFonts w:ascii="Arial Narrow" w:hAnsi="Arial Narrow"/>
                <w:sz w:val="20"/>
              </w:rPr>
              <w:t>13 September 2016</w:t>
            </w:r>
          </w:p>
          <w:p w:rsidR="00E81402" w:rsidRDefault="00B27719" w:rsidP="00940357">
            <w:pPr>
              <w:keepNext/>
              <w:keepLines/>
              <w:rPr>
                <w:rFonts w:ascii="Arial Narrow" w:hAnsi="Arial Narrow"/>
                <w:sz w:val="20"/>
              </w:rPr>
            </w:pPr>
            <w:r w:rsidRPr="00962499">
              <w:rPr>
                <w:rFonts w:ascii="Arial Narrow" w:hAnsi="Arial Narrow"/>
                <w:i/>
                <w:sz w:val="20"/>
              </w:rPr>
              <w:t>Journal of Clinical Oncology</w:t>
            </w:r>
            <w:r w:rsidRPr="00962499">
              <w:rPr>
                <w:rFonts w:ascii="Arial Narrow" w:hAnsi="Arial Narrow"/>
                <w:sz w:val="20"/>
              </w:rPr>
              <w:t xml:space="preserve"> </w:t>
            </w:r>
            <w:r w:rsidR="001D527B" w:rsidRPr="00962499">
              <w:rPr>
                <w:rFonts w:ascii="Arial Narrow" w:hAnsi="Arial Narrow"/>
                <w:sz w:val="20"/>
              </w:rPr>
              <w:t xml:space="preserve">2017; </w:t>
            </w:r>
            <w:r w:rsidRPr="00962499">
              <w:rPr>
                <w:rFonts w:ascii="Arial Narrow" w:hAnsi="Arial Narrow"/>
                <w:sz w:val="20"/>
              </w:rPr>
              <w:t>35, no. 15_suppl</w:t>
            </w:r>
          </w:p>
          <w:p w:rsidR="00E81402" w:rsidRPr="00E81402" w:rsidRDefault="00E81402" w:rsidP="00940357">
            <w:pPr>
              <w:keepNext/>
              <w:keepLines/>
              <w:rPr>
                <w:rFonts w:ascii="Arial Narrow" w:hAnsi="Arial Narrow"/>
                <w:i/>
                <w:sz w:val="20"/>
                <w:lang w:val="en-AU"/>
              </w:rPr>
            </w:pPr>
            <w:r w:rsidRPr="00E81402">
              <w:rPr>
                <w:rFonts w:ascii="Arial Narrow" w:hAnsi="Arial Narrow"/>
                <w:i/>
                <w:sz w:val="20"/>
                <w:lang w:val="en-AU"/>
              </w:rPr>
              <w:t xml:space="preserve">N </w:t>
            </w:r>
            <w:proofErr w:type="spellStart"/>
            <w:r w:rsidRPr="00E81402">
              <w:rPr>
                <w:rFonts w:ascii="Arial Narrow" w:hAnsi="Arial Narrow"/>
                <w:i/>
                <w:sz w:val="20"/>
                <w:lang w:val="en-AU"/>
              </w:rPr>
              <w:t>Engl</w:t>
            </w:r>
            <w:proofErr w:type="spellEnd"/>
            <w:r w:rsidRPr="00E81402">
              <w:rPr>
                <w:rFonts w:ascii="Arial Narrow" w:hAnsi="Arial Narrow"/>
                <w:i/>
                <w:sz w:val="20"/>
                <w:lang w:val="en-AU"/>
              </w:rPr>
              <w:t xml:space="preserve"> J Med </w:t>
            </w:r>
            <w:r w:rsidRPr="00E81402">
              <w:rPr>
                <w:rFonts w:ascii="Arial Narrow" w:hAnsi="Arial Narrow"/>
                <w:sz w:val="20"/>
                <w:lang w:val="en-AU"/>
              </w:rPr>
              <w:t>2020; 383: 931-943</w:t>
            </w:r>
          </w:p>
        </w:tc>
      </w:tr>
      <w:tr w:rsidR="00B27719" w:rsidRPr="00962499" w:rsidTr="008F6791">
        <w:tc>
          <w:tcPr>
            <w:tcW w:w="734" w:type="pct"/>
            <w:vMerge/>
            <w:shd w:val="clear" w:color="auto" w:fill="auto"/>
          </w:tcPr>
          <w:p w:rsidR="00B27719" w:rsidRPr="00F13980" w:rsidRDefault="00B27719" w:rsidP="00940357">
            <w:pPr>
              <w:keepNext/>
              <w:keepLines/>
              <w:rPr>
                <w:rFonts w:ascii="Arial Narrow" w:hAnsi="Arial Narrow"/>
                <w:b/>
                <w:bCs/>
                <w:sz w:val="20"/>
                <w:lang w:val="en-AU"/>
              </w:rPr>
            </w:pPr>
          </w:p>
        </w:tc>
        <w:tc>
          <w:tcPr>
            <w:tcW w:w="3019" w:type="pct"/>
            <w:shd w:val="clear" w:color="auto" w:fill="auto"/>
          </w:tcPr>
          <w:p w:rsidR="00B27719" w:rsidRPr="00F13980" w:rsidRDefault="00B27719" w:rsidP="00940357">
            <w:pPr>
              <w:keepNext/>
              <w:keepLines/>
              <w:rPr>
                <w:rFonts w:ascii="Arial Narrow" w:hAnsi="Arial Narrow" w:cstheme="minorHAnsi"/>
                <w:sz w:val="20"/>
                <w:lang w:val="en-AU"/>
              </w:rPr>
            </w:pPr>
            <w:r w:rsidRPr="00962499">
              <w:rPr>
                <w:rFonts w:ascii="Arial Narrow" w:hAnsi="Arial Narrow" w:cstheme="minorHAnsi"/>
                <w:sz w:val="20"/>
              </w:rPr>
              <w:t xml:space="preserve">Tepotinib Phase II in NSCLC harboring MET alterations r(CSR: MS200095-0022) </w:t>
            </w:r>
            <w:r w:rsidRPr="00962499">
              <w:rPr>
                <w:rFonts w:ascii="Arial Narrow" w:hAnsi="Arial Narrow" w:cstheme="minorHAnsi"/>
                <w:noProof/>
                <w:sz w:val="20"/>
              </w:rPr>
              <w:t>(Merck KGaA, 2016)</w:t>
            </w:r>
          </w:p>
        </w:tc>
        <w:tc>
          <w:tcPr>
            <w:tcW w:w="1247" w:type="pct"/>
            <w:shd w:val="clear" w:color="auto" w:fill="auto"/>
          </w:tcPr>
          <w:p w:rsidR="00B27719" w:rsidRPr="00F13980" w:rsidRDefault="00B27719" w:rsidP="00940357">
            <w:pPr>
              <w:keepNext/>
              <w:keepLines/>
              <w:rPr>
                <w:rFonts w:ascii="Arial Narrow" w:hAnsi="Arial Narrow"/>
                <w:sz w:val="20"/>
                <w:lang w:val="en-AU"/>
              </w:rPr>
            </w:pPr>
            <w:r w:rsidRPr="00962499">
              <w:rPr>
                <w:rFonts w:ascii="Arial Narrow" w:hAnsi="Arial Narrow"/>
                <w:sz w:val="20"/>
              </w:rPr>
              <w:t>06 September 2016</w:t>
            </w:r>
          </w:p>
        </w:tc>
      </w:tr>
      <w:tr w:rsidR="00B27719" w:rsidRPr="00962499" w:rsidTr="008F6791">
        <w:trPr>
          <w:trHeight w:val="135"/>
        </w:trPr>
        <w:tc>
          <w:tcPr>
            <w:tcW w:w="3753" w:type="pct"/>
            <w:gridSpan w:val="2"/>
            <w:shd w:val="clear" w:color="auto" w:fill="auto"/>
          </w:tcPr>
          <w:p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Pembrolizumab + platinum chemotherapy</w:t>
            </w:r>
          </w:p>
        </w:tc>
        <w:tc>
          <w:tcPr>
            <w:tcW w:w="1247" w:type="pct"/>
            <w:shd w:val="clear" w:color="auto" w:fill="auto"/>
          </w:tcPr>
          <w:p w:rsidR="00B27719" w:rsidRPr="00F13980" w:rsidRDefault="00B27719" w:rsidP="00940357">
            <w:pPr>
              <w:keepNext/>
              <w:keepLines/>
              <w:rPr>
                <w:rFonts w:ascii="Arial Narrow" w:hAnsi="Arial Narrow"/>
                <w:sz w:val="20"/>
                <w:lang w:val="en-AU"/>
              </w:rPr>
            </w:pPr>
          </w:p>
        </w:tc>
      </w:tr>
      <w:tr w:rsidR="00B27719" w:rsidRPr="00962499" w:rsidTr="008F6791">
        <w:tc>
          <w:tcPr>
            <w:tcW w:w="734" w:type="pct"/>
            <w:vMerge w:val="restart"/>
            <w:shd w:val="clear" w:color="auto" w:fill="auto"/>
          </w:tcPr>
          <w:p w:rsidR="00B27719" w:rsidRPr="00F13980" w:rsidRDefault="00B27719" w:rsidP="00940357">
            <w:pPr>
              <w:keepNext/>
              <w:keepLines/>
              <w:rPr>
                <w:rFonts w:ascii="Arial Narrow" w:hAnsi="Arial Narrow"/>
                <w:b/>
                <w:bCs/>
                <w:sz w:val="20"/>
                <w:lang w:val="en-AU"/>
              </w:rPr>
            </w:pPr>
            <w:r w:rsidRPr="00962499">
              <w:rPr>
                <w:rFonts w:ascii="Arial Narrow" w:hAnsi="Arial Narrow"/>
                <w:b/>
                <w:bCs/>
                <w:sz w:val="20"/>
              </w:rPr>
              <w:t>Keynote 189/NCT02578680</w:t>
            </w:r>
          </w:p>
        </w:tc>
        <w:tc>
          <w:tcPr>
            <w:tcW w:w="3019" w:type="pct"/>
            <w:shd w:val="clear" w:color="auto" w:fill="auto"/>
          </w:tcPr>
          <w:p w:rsidR="00B27719" w:rsidRPr="00F13980" w:rsidRDefault="00B27719" w:rsidP="00940357">
            <w:pPr>
              <w:keepNext/>
              <w:keepLines/>
              <w:rPr>
                <w:rFonts w:ascii="Arial Narrow" w:hAnsi="Arial Narrow"/>
                <w:sz w:val="20"/>
                <w:lang w:val="en-AU"/>
              </w:rPr>
            </w:pPr>
            <w:r w:rsidRPr="00962499">
              <w:rPr>
                <w:rFonts w:ascii="Arial Narrow" w:hAnsi="Arial Narrow"/>
                <w:sz w:val="20"/>
              </w:rPr>
              <w:t xml:space="preserve">Study of </w:t>
            </w:r>
            <w:proofErr w:type="spellStart"/>
            <w:r w:rsidRPr="00962499">
              <w:rPr>
                <w:rFonts w:ascii="Arial Narrow" w:hAnsi="Arial Narrow"/>
                <w:sz w:val="20"/>
              </w:rPr>
              <w:t>Pemetrexed+Platinum</w:t>
            </w:r>
            <w:proofErr w:type="spellEnd"/>
            <w:r w:rsidRPr="00962499">
              <w:rPr>
                <w:rFonts w:ascii="Arial Narrow" w:hAnsi="Arial Narrow"/>
                <w:sz w:val="20"/>
              </w:rPr>
              <w:t xml:space="preserve"> Chemotherapy With or Without Pembrolizumab (MK-3475) in Participants With First Line Metastatic </w:t>
            </w:r>
            <w:proofErr w:type="spellStart"/>
            <w:r w:rsidRPr="00962499">
              <w:rPr>
                <w:rFonts w:ascii="Arial Narrow" w:hAnsi="Arial Narrow"/>
                <w:sz w:val="20"/>
              </w:rPr>
              <w:t>Nonsquamous</w:t>
            </w:r>
            <w:proofErr w:type="spellEnd"/>
            <w:r w:rsidRPr="00962499">
              <w:rPr>
                <w:rFonts w:ascii="Arial Narrow" w:hAnsi="Arial Narrow"/>
                <w:sz w:val="20"/>
              </w:rPr>
              <w:t xml:space="preserve"> Non-small Cell Lung Cancer (MK-3475-189/KEYNOTE-189) </w:t>
            </w:r>
          </w:p>
          <w:p w:rsidR="00B27719" w:rsidRPr="00F13980" w:rsidRDefault="00B27719" w:rsidP="00940357">
            <w:pPr>
              <w:keepNext/>
              <w:keepLines/>
              <w:rPr>
                <w:rFonts w:ascii="Arial Narrow" w:hAnsi="Arial Narrow"/>
                <w:sz w:val="20"/>
                <w:lang w:val="en-AU"/>
              </w:rPr>
            </w:pPr>
            <w:r w:rsidRPr="00962499">
              <w:rPr>
                <w:rFonts w:ascii="Arial Narrow" w:hAnsi="Arial Narrow"/>
                <w:sz w:val="20"/>
              </w:rPr>
              <w:t xml:space="preserve">Gandhi L, Rodríguez-Abreu D, </w:t>
            </w:r>
            <w:proofErr w:type="spellStart"/>
            <w:r w:rsidRPr="00962499">
              <w:rPr>
                <w:rFonts w:ascii="Arial Narrow" w:hAnsi="Arial Narrow"/>
                <w:sz w:val="20"/>
              </w:rPr>
              <w:t>Gadgeel</w:t>
            </w:r>
            <w:proofErr w:type="spellEnd"/>
            <w:r w:rsidRPr="00962499">
              <w:rPr>
                <w:rFonts w:ascii="Arial Narrow" w:hAnsi="Arial Narrow"/>
                <w:sz w:val="20"/>
              </w:rPr>
              <w:t xml:space="preserve"> S, et al. Pembrolizumab plus Chemotherapy in Metastatic Non–Small-Cell Lung Cancer. </w:t>
            </w:r>
            <w:r w:rsidRPr="00962499">
              <w:rPr>
                <w:rFonts w:ascii="Arial Narrow" w:hAnsi="Arial Narrow"/>
                <w:noProof/>
                <w:sz w:val="20"/>
              </w:rPr>
              <w:t>(Gandhi et al., 2018a)</w:t>
            </w:r>
            <w:r w:rsidRPr="00962499">
              <w:rPr>
                <w:rFonts w:ascii="Arial Narrow" w:eastAsiaTheme="minorHAnsi" w:hAnsi="Arial Narrow" w:cstheme="minorBidi"/>
                <w:sz w:val="20"/>
                <w:szCs w:val="22"/>
                <w:lang w:val="en-AU"/>
              </w:rPr>
              <w:t xml:space="preserve"> </w:t>
            </w:r>
          </w:p>
        </w:tc>
        <w:tc>
          <w:tcPr>
            <w:tcW w:w="1247" w:type="pct"/>
            <w:shd w:val="clear" w:color="auto" w:fill="auto"/>
          </w:tcPr>
          <w:p w:rsidR="00B27719" w:rsidRPr="00F13980" w:rsidRDefault="00B27719" w:rsidP="00940357">
            <w:pPr>
              <w:keepNext/>
              <w:keepLines/>
              <w:rPr>
                <w:rFonts w:ascii="Arial Narrow" w:hAnsi="Arial Narrow"/>
                <w:sz w:val="20"/>
                <w:lang w:val="en-AU"/>
              </w:rPr>
            </w:pPr>
            <w:r w:rsidRPr="00962499">
              <w:rPr>
                <w:rFonts w:ascii="Arial Narrow" w:hAnsi="Arial Narrow"/>
                <w:sz w:val="20"/>
              </w:rPr>
              <w:t>15 January 2016</w:t>
            </w:r>
          </w:p>
          <w:p w:rsidR="00B27719" w:rsidRPr="00F13980" w:rsidRDefault="00B27719" w:rsidP="00940357">
            <w:pPr>
              <w:keepNext/>
              <w:keepLines/>
              <w:rPr>
                <w:rFonts w:ascii="Arial Narrow" w:hAnsi="Arial Narrow"/>
                <w:sz w:val="20"/>
                <w:lang w:val="en-AU"/>
              </w:rPr>
            </w:pPr>
          </w:p>
          <w:p w:rsidR="00B27719" w:rsidRPr="00F13980" w:rsidRDefault="00B27719" w:rsidP="00940357">
            <w:pPr>
              <w:keepNext/>
              <w:keepLines/>
              <w:rPr>
                <w:rFonts w:ascii="Arial Narrow" w:hAnsi="Arial Narrow"/>
                <w:sz w:val="20"/>
                <w:lang w:val="en-AU"/>
              </w:rPr>
            </w:pPr>
          </w:p>
          <w:p w:rsidR="00B27719" w:rsidRPr="00F13980" w:rsidRDefault="00B27719" w:rsidP="00940357">
            <w:pPr>
              <w:keepNext/>
              <w:keepLines/>
              <w:rPr>
                <w:rFonts w:ascii="Arial Narrow" w:hAnsi="Arial Narrow"/>
                <w:sz w:val="20"/>
                <w:lang w:val="en-AU"/>
              </w:rPr>
            </w:pPr>
          </w:p>
          <w:p w:rsidR="00B27719" w:rsidRPr="00F13980" w:rsidRDefault="00B27719" w:rsidP="00940357">
            <w:pPr>
              <w:keepNext/>
              <w:keepLines/>
              <w:rPr>
                <w:rFonts w:ascii="Arial Narrow" w:hAnsi="Arial Narrow"/>
                <w:sz w:val="20"/>
                <w:lang w:val="en-AU"/>
              </w:rPr>
            </w:pPr>
            <w:r w:rsidRPr="00962499">
              <w:rPr>
                <w:rFonts w:ascii="Arial Narrow" w:hAnsi="Arial Narrow"/>
                <w:i/>
                <w:sz w:val="20"/>
              </w:rPr>
              <w:t xml:space="preserve">N </w:t>
            </w:r>
            <w:proofErr w:type="spellStart"/>
            <w:r w:rsidRPr="00962499">
              <w:rPr>
                <w:rFonts w:ascii="Arial Narrow" w:hAnsi="Arial Narrow"/>
                <w:i/>
                <w:sz w:val="20"/>
              </w:rPr>
              <w:t>Engl</w:t>
            </w:r>
            <w:proofErr w:type="spellEnd"/>
            <w:r w:rsidRPr="00962499">
              <w:rPr>
                <w:rFonts w:ascii="Arial Narrow" w:hAnsi="Arial Narrow"/>
                <w:i/>
                <w:sz w:val="20"/>
              </w:rPr>
              <w:t xml:space="preserve"> J Med</w:t>
            </w:r>
            <w:r w:rsidRPr="00962499">
              <w:rPr>
                <w:rFonts w:ascii="Arial Narrow" w:hAnsi="Arial Narrow"/>
                <w:sz w:val="20"/>
              </w:rPr>
              <w:t xml:space="preserve"> 2018; 378:2078-2092</w:t>
            </w:r>
          </w:p>
        </w:tc>
      </w:tr>
      <w:tr w:rsidR="00B27719" w:rsidRPr="00962499" w:rsidTr="008F6791">
        <w:tc>
          <w:tcPr>
            <w:tcW w:w="734" w:type="pct"/>
            <w:vMerge/>
            <w:shd w:val="clear" w:color="auto" w:fill="auto"/>
          </w:tcPr>
          <w:p w:rsidR="00B27719" w:rsidRPr="00F13980" w:rsidRDefault="00B27719" w:rsidP="00940357">
            <w:pPr>
              <w:keepNext/>
              <w:keepLines/>
              <w:rPr>
                <w:rFonts w:ascii="Arial Narrow" w:hAnsi="Arial Narrow"/>
                <w:sz w:val="20"/>
                <w:lang w:val="en-AU"/>
              </w:rPr>
            </w:pPr>
          </w:p>
        </w:tc>
        <w:tc>
          <w:tcPr>
            <w:tcW w:w="3019" w:type="pct"/>
            <w:shd w:val="clear" w:color="auto" w:fill="auto"/>
          </w:tcPr>
          <w:p w:rsidR="00B27719" w:rsidRPr="00F13980" w:rsidRDefault="00B27719" w:rsidP="00940357">
            <w:pPr>
              <w:keepNext/>
              <w:keepLines/>
              <w:rPr>
                <w:rFonts w:ascii="Arial Narrow" w:hAnsi="Arial Narrow"/>
                <w:sz w:val="20"/>
                <w:lang w:val="en-AU"/>
              </w:rPr>
            </w:pPr>
            <w:r w:rsidRPr="00962499">
              <w:rPr>
                <w:rFonts w:ascii="Arial Narrow" w:hAnsi="Arial Narrow"/>
                <w:sz w:val="20"/>
              </w:rPr>
              <w:t xml:space="preserve">Study of </w:t>
            </w:r>
            <w:proofErr w:type="spellStart"/>
            <w:r w:rsidRPr="00962499">
              <w:rPr>
                <w:rFonts w:ascii="Arial Narrow" w:hAnsi="Arial Narrow"/>
                <w:sz w:val="20"/>
              </w:rPr>
              <w:t>Pemetrexed+Platinum</w:t>
            </w:r>
            <w:proofErr w:type="spellEnd"/>
            <w:r w:rsidRPr="00962499">
              <w:rPr>
                <w:rFonts w:ascii="Arial Narrow" w:hAnsi="Arial Narrow"/>
                <w:sz w:val="20"/>
              </w:rPr>
              <w:t xml:space="preserve"> Chemotherapy With or Without Pembrolizumab (MK-3475) in Participants With First Line Metastatic </w:t>
            </w:r>
            <w:proofErr w:type="spellStart"/>
            <w:r w:rsidRPr="00962499">
              <w:rPr>
                <w:rFonts w:ascii="Arial Narrow" w:hAnsi="Arial Narrow"/>
                <w:sz w:val="20"/>
              </w:rPr>
              <w:t>Nonsquamous</w:t>
            </w:r>
            <w:proofErr w:type="spellEnd"/>
            <w:r w:rsidRPr="00962499">
              <w:rPr>
                <w:rFonts w:ascii="Arial Narrow" w:hAnsi="Arial Narrow"/>
                <w:sz w:val="20"/>
              </w:rPr>
              <w:t xml:space="preserve"> Non-small Cell Lung Cancer (MK-3475-189/KEYNOTE-189) (updated analysis)</w:t>
            </w:r>
          </w:p>
          <w:p w:rsidR="00B27719" w:rsidRPr="00F13980" w:rsidRDefault="00B27719" w:rsidP="00940357">
            <w:pPr>
              <w:keepNext/>
              <w:keepLines/>
              <w:rPr>
                <w:rFonts w:ascii="Arial Narrow" w:hAnsi="Arial Narrow"/>
                <w:sz w:val="20"/>
                <w:lang w:val="en-AU"/>
              </w:rPr>
            </w:pPr>
            <w:proofErr w:type="spellStart"/>
            <w:r w:rsidRPr="00962499">
              <w:rPr>
                <w:rFonts w:ascii="Arial Narrow" w:hAnsi="Arial Narrow"/>
                <w:sz w:val="20"/>
              </w:rPr>
              <w:t>Gadgeel</w:t>
            </w:r>
            <w:proofErr w:type="spellEnd"/>
            <w:r w:rsidRPr="00962499">
              <w:rPr>
                <w:rFonts w:ascii="Arial Narrow" w:hAnsi="Arial Narrow"/>
                <w:sz w:val="20"/>
              </w:rPr>
              <w:t xml:space="preserve"> S, Rodríguez-Abreu D, </w:t>
            </w:r>
            <w:proofErr w:type="spellStart"/>
            <w:r w:rsidRPr="00962499">
              <w:rPr>
                <w:rFonts w:ascii="Arial Narrow" w:hAnsi="Arial Narrow"/>
                <w:sz w:val="20"/>
              </w:rPr>
              <w:t>Speranza</w:t>
            </w:r>
            <w:proofErr w:type="spellEnd"/>
            <w:r w:rsidRPr="00962499">
              <w:rPr>
                <w:rFonts w:ascii="Arial Narrow" w:hAnsi="Arial Narrow"/>
                <w:sz w:val="20"/>
              </w:rPr>
              <w:t xml:space="preserve"> G, et al. Updated Analysis From KEYNOTE-189: Pembrolizumab or Placebo Plus </w:t>
            </w:r>
            <w:proofErr w:type="spellStart"/>
            <w:r w:rsidRPr="00962499">
              <w:rPr>
                <w:rFonts w:ascii="Arial Narrow" w:hAnsi="Arial Narrow"/>
                <w:sz w:val="20"/>
              </w:rPr>
              <w:t>Pemetrexed</w:t>
            </w:r>
            <w:proofErr w:type="spellEnd"/>
            <w:r w:rsidRPr="00962499">
              <w:rPr>
                <w:rFonts w:ascii="Arial Narrow" w:hAnsi="Arial Narrow"/>
                <w:sz w:val="20"/>
              </w:rPr>
              <w:t xml:space="preserve"> and Platinum for Previously Untreated Metastatic </w:t>
            </w:r>
            <w:proofErr w:type="spellStart"/>
            <w:r w:rsidRPr="00962499">
              <w:rPr>
                <w:rFonts w:ascii="Arial Narrow" w:hAnsi="Arial Narrow"/>
                <w:sz w:val="20"/>
              </w:rPr>
              <w:t>Nonsquamous</w:t>
            </w:r>
            <w:proofErr w:type="spellEnd"/>
            <w:r w:rsidRPr="00962499">
              <w:rPr>
                <w:rFonts w:ascii="Arial Narrow" w:hAnsi="Arial Narrow"/>
                <w:sz w:val="20"/>
              </w:rPr>
              <w:t xml:space="preserve"> Non-Small-Cell Lung Cancer. </w:t>
            </w:r>
            <w:r w:rsidRPr="00962499">
              <w:rPr>
                <w:rFonts w:ascii="Arial Narrow" w:hAnsi="Arial Narrow"/>
                <w:noProof/>
                <w:sz w:val="20"/>
              </w:rPr>
              <w:t>(Gadgeel et al., 2020)</w:t>
            </w:r>
          </w:p>
        </w:tc>
        <w:tc>
          <w:tcPr>
            <w:tcW w:w="1247" w:type="pct"/>
            <w:shd w:val="clear" w:color="auto" w:fill="auto"/>
          </w:tcPr>
          <w:p w:rsidR="00B27719" w:rsidRPr="00F13980" w:rsidRDefault="00B27719" w:rsidP="00940357">
            <w:pPr>
              <w:keepNext/>
              <w:keepLines/>
              <w:rPr>
                <w:rFonts w:ascii="Arial Narrow" w:hAnsi="Arial Narrow"/>
                <w:sz w:val="20"/>
                <w:lang w:val="en-AU"/>
              </w:rPr>
            </w:pPr>
            <w:r w:rsidRPr="00962499">
              <w:rPr>
                <w:rFonts w:ascii="Arial Narrow" w:hAnsi="Arial Narrow"/>
                <w:sz w:val="20"/>
              </w:rPr>
              <w:t>9 March 2020</w:t>
            </w:r>
          </w:p>
          <w:p w:rsidR="00B27719" w:rsidRPr="00F13980" w:rsidRDefault="00B27719" w:rsidP="00940357">
            <w:pPr>
              <w:keepNext/>
              <w:keepLines/>
              <w:rPr>
                <w:rFonts w:ascii="Arial Narrow" w:hAnsi="Arial Narrow"/>
                <w:sz w:val="20"/>
                <w:lang w:val="en-AU"/>
              </w:rPr>
            </w:pPr>
          </w:p>
          <w:p w:rsidR="00B27719" w:rsidRPr="00F13980" w:rsidRDefault="00B27719" w:rsidP="00940357">
            <w:pPr>
              <w:keepNext/>
              <w:keepLines/>
              <w:rPr>
                <w:rFonts w:ascii="Arial Narrow" w:hAnsi="Arial Narrow"/>
                <w:sz w:val="20"/>
                <w:lang w:val="en-AU"/>
              </w:rPr>
            </w:pPr>
          </w:p>
          <w:p w:rsidR="00B27719" w:rsidRPr="00F13980" w:rsidRDefault="00B27719" w:rsidP="00940357">
            <w:pPr>
              <w:keepNext/>
              <w:keepLines/>
              <w:rPr>
                <w:rFonts w:ascii="Arial Narrow" w:hAnsi="Arial Narrow"/>
                <w:sz w:val="20"/>
                <w:lang w:val="en-AU"/>
              </w:rPr>
            </w:pPr>
          </w:p>
          <w:p w:rsidR="00B27719" w:rsidRPr="00F13980" w:rsidRDefault="001D527B" w:rsidP="00940357">
            <w:pPr>
              <w:keepNext/>
              <w:keepLines/>
              <w:rPr>
                <w:rFonts w:ascii="Arial Narrow" w:hAnsi="Arial Narrow"/>
                <w:sz w:val="20"/>
                <w:lang w:val="en-AU"/>
              </w:rPr>
            </w:pPr>
            <w:r w:rsidRPr="00962499">
              <w:rPr>
                <w:rFonts w:ascii="Arial Narrow" w:hAnsi="Arial Narrow"/>
                <w:i/>
                <w:sz w:val="20"/>
              </w:rPr>
              <w:t xml:space="preserve">J </w:t>
            </w:r>
            <w:proofErr w:type="spellStart"/>
            <w:r w:rsidRPr="00962499">
              <w:rPr>
                <w:rFonts w:ascii="Arial Narrow" w:hAnsi="Arial Narrow"/>
                <w:i/>
                <w:sz w:val="20"/>
              </w:rPr>
              <w:t>Clin</w:t>
            </w:r>
            <w:proofErr w:type="spellEnd"/>
            <w:r w:rsidRPr="00962499">
              <w:rPr>
                <w:rFonts w:ascii="Arial Narrow" w:hAnsi="Arial Narrow"/>
                <w:i/>
                <w:sz w:val="20"/>
              </w:rPr>
              <w:t xml:space="preserve"> </w:t>
            </w:r>
            <w:proofErr w:type="spellStart"/>
            <w:r w:rsidRPr="00962499">
              <w:rPr>
                <w:rFonts w:ascii="Arial Narrow" w:hAnsi="Arial Narrow"/>
                <w:i/>
                <w:sz w:val="20"/>
              </w:rPr>
              <w:t>Oncol</w:t>
            </w:r>
            <w:proofErr w:type="spellEnd"/>
            <w:r w:rsidR="00B27719" w:rsidRPr="00962499">
              <w:rPr>
                <w:rFonts w:ascii="Arial Narrow" w:hAnsi="Arial Narrow"/>
                <w:sz w:val="20"/>
              </w:rPr>
              <w:t xml:space="preserve"> 2020 May 10</w:t>
            </w:r>
            <w:proofErr w:type="gramStart"/>
            <w:r w:rsidR="00B27719" w:rsidRPr="00962499">
              <w:rPr>
                <w:rFonts w:ascii="Arial Narrow" w:hAnsi="Arial Narrow"/>
                <w:sz w:val="20"/>
              </w:rPr>
              <w:t>;38</w:t>
            </w:r>
            <w:proofErr w:type="gramEnd"/>
            <w:r w:rsidR="00B27719" w:rsidRPr="00962499">
              <w:rPr>
                <w:rFonts w:ascii="Arial Narrow" w:hAnsi="Arial Narrow"/>
                <w:sz w:val="20"/>
              </w:rPr>
              <w:t>(14):1505-1517.</w:t>
            </w:r>
          </w:p>
        </w:tc>
      </w:tr>
      <w:tr w:rsidR="00B27719" w:rsidRPr="00962499" w:rsidTr="008F6791">
        <w:tc>
          <w:tcPr>
            <w:tcW w:w="734" w:type="pct"/>
            <w:vMerge/>
            <w:shd w:val="clear" w:color="auto" w:fill="auto"/>
          </w:tcPr>
          <w:p w:rsidR="00B27719" w:rsidRPr="00F13980" w:rsidRDefault="00B27719" w:rsidP="00940357">
            <w:pPr>
              <w:keepNext/>
              <w:keepLines/>
              <w:rPr>
                <w:rFonts w:ascii="Arial Narrow" w:hAnsi="Arial Narrow" w:cstheme="minorHAnsi"/>
                <w:b/>
                <w:sz w:val="20"/>
                <w:lang w:val="en-AU"/>
              </w:rPr>
            </w:pPr>
          </w:p>
        </w:tc>
        <w:tc>
          <w:tcPr>
            <w:tcW w:w="3019" w:type="pct"/>
            <w:shd w:val="clear" w:color="auto" w:fill="auto"/>
          </w:tcPr>
          <w:p w:rsidR="00B27719" w:rsidRPr="00F13980" w:rsidRDefault="00B27719" w:rsidP="00940357">
            <w:pPr>
              <w:keepNext/>
              <w:keepLines/>
              <w:rPr>
                <w:rFonts w:ascii="Arial Narrow" w:hAnsi="Arial Narrow" w:cstheme="minorHAnsi"/>
                <w:sz w:val="20"/>
                <w:lang w:val="en-AU"/>
              </w:rPr>
            </w:pPr>
            <w:r w:rsidRPr="00962499">
              <w:rPr>
                <w:rFonts w:ascii="Arial Narrow" w:hAnsi="Arial Narrow" w:cstheme="minorHAnsi"/>
                <w:sz w:val="20"/>
              </w:rPr>
              <w:t>Final analysis of the phase III KEYNOTE-042 study: pembrolizumab (</w:t>
            </w:r>
            <w:proofErr w:type="spellStart"/>
            <w:r w:rsidRPr="00962499">
              <w:rPr>
                <w:rFonts w:ascii="Arial Narrow" w:hAnsi="Arial Narrow" w:cstheme="minorHAnsi"/>
                <w:sz w:val="20"/>
              </w:rPr>
              <w:t>Pembro</w:t>
            </w:r>
            <w:proofErr w:type="spellEnd"/>
            <w:r w:rsidRPr="00962499">
              <w:rPr>
                <w:rFonts w:ascii="Arial Narrow" w:hAnsi="Arial Narrow" w:cstheme="minorHAnsi"/>
                <w:sz w:val="20"/>
              </w:rPr>
              <w:t>) versus platinum-based chemotherapy (Chemo) as first-line therapy for patients (Pts) with PD-L1-positive locally advanced/metastatic NSCLC</w:t>
            </w:r>
          </w:p>
          <w:p w:rsidR="00B27719" w:rsidRPr="00F13980" w:rsidRDefault="00B27719" w:rsidP="00940357">
            <w:pPr>
              <w:keepNext/>
              <w:keepLines/>
              <w:rPr>
                <w:rFonts w:ascii="Arial Narrow" w:hAnsi="Arial Narrow" w:cstheme="minorHAnsi"/>
                <w:sz w:val="20"/>
                <w:lang w:val="en-AU"/>
              </w:rPr>
            </w:pPr>
            <w:proofErr w:type="spellStart"/>
            <w:r w:rsidRPr="00962499">
              <w:rPr>
                <w:rFonts w:ascii="Arial Narrow" w:hAnsi="Arial Narrow" w:cstheme="minorHAnsi"/>
                <w:sz w:val="20"/>
              </w:rPr>
              <w:t>Mok</w:t>
            </w:r>
            <w:proofErr w:type="spellEnd"/>
            <w:r w:rsidRPr="00962499">
              <w:rPr>
                <w:rFonts w:ascii="Arial Narrow" w:hAnsi="Arial Narrow" w:cstheme="minorHAnsi"/>
                <w:sz w:val="20"/>
              </w:rPr>
              <w:t xml:space="preserve"> TSK, Wu Y</w:t>
            </w:r>
            <w:r w:rsidRPr="00962499">
              <w:rPr>
                <w:rFonts w:ascii="Cambria Math" w:hAnsi="Cambria Math" w:cs="Cambria Math"/>
                <w:sz w:val="20"/>
              </w:rPr>
              <w:t>‐</w:t>
            </w:r>
            <w:r w:rsidRPr="00962499">
              <w:rPr>
                <w:rFonts w:ascii="Arial Narrow" w:hAnsi="Arial Narrow" w:cstheme="minorHAnsi"/>
                <w:sz w:val="20"/>
              </w:rPr>
              <w:t xml:space="preserve">L, </w:t>
            </w:r>
            <w:proofErr w:type="spellStart"/>
            <w:r w:rsidRPr="00962499">
              <w:rPr>
                <w:rFonts w:ascii="Arial Narrow" w:hAnsi="Arial Narrow" w:cstheme="minorHAnsi"/>
                <w:sz w:val="20"/>
              </w:rPr>
              <w:t>Kudaba</w:t>
            </w:r>
            <w:proofErr w:type="spellEnd"/>
            <w:r w:rsidRPr="00962499">
              <w:rPr>
                <w:rFonts w:ascii="Arial Narrow" w:hAnsi="Arial Narrow" w:cstheme="minorHAnsi"/>
                <w:sz w:val="20"/>
              </w:rPr>
              <w:t xml:space="preserve"> I, et al. </w:t>
            </w:r>
            <w:r w:rsidRPr="00962499">
              <w:rPr>
                <w:rFonts w:ascii="Arial Narrow" w:hAnsi="Arial Narrow" w:cstheme="minorHAnsi"/>
                <w:noProof/>
                <w:sz w:val="20"/>
              </w:rPr>
              <w:t>(T.S.K Mok et al., 2019)</w:t>
            </w:r>
          </w:p>
        </w:tc>
        <w:tc>
          <w:tcPr>
            <w:tcW w:w="1247" w:type="pct"/>
            <w:shd w:val="clear" w:color="auto" w:fill="auto"/>
          </w:tcPr>
          <w:p w:rsidR="00B27719" w:rsidRPr="00F13980" w:rsidRDefault="00B27719" w:rsidP="00940357">
            <w:pPr>
              <w:keepNext/>
              <w:keepLines/>
              <w:rPr>
                <w:rFonts w:ascii="Arial Narrow" w:hAnsi="Arial Narrow" w:cstheme="minorHAnsi"/>
                <w:sz w:val="20"/>
                <w:lang w:val="en-AU"/>
              </w:rPr>
            </w:pPr>
            <w:r w:rsidRPr="00962499">
              <w:rPr>
                <w:rFonts w:ascii="Arial Narrow" w:hAnsi="Arial Narrow" w:cstheme="minorHAnsi"/>
                <w:sz w:val="20"/>
              </w:rPr>
              <w:t>31 August 2019</w:t>
            </w:r>
          </w:p>
          <w:p w:rsidR="00B27719" w:rsidRPr="00F13980" w:rsidRDefault="00B27719" w:rsidP="00940357">
            <w:pPr>
              <w:keepNext/>
              <w:keepLines/>
              <w:rPr>
                <w:rFonts w:ascii="Arial Narrow" w:hAnsi="Arial Narrow" w:cstheme="minorHAnsi"/>
                <w:sz w:val="20"/>
                <w:lang w:val="en-AU"/>
              </w:rPr>
            </w:pPr>
          </w:p>
          <w:p w:rsidR="00B27719" w:rsidRPr="00F13980" w:rsidRDefault="00B27719" w:rsidP="00940357">
            <w:pPr>
              <w:keepNext/>
              <w:keepLines/>
              <w:rPr>
                <w:rFonts w:ascii="Arial Narrow" w:hAnsi="Arial Narrow" w:cstheme="minorHAnsi"/>
                <w:sz w:val="20"/>
                <w:lang w:val="en-AU"/>
              </w:rPr>
            </w:pPr>
          </w:p>
          <w:p w:rsidR="00B27719" w:rsidRPr="00F13980" w:rsidRDefault="00B27719" w:rsidP="00940357">
            <w:pPr>
              <w:keepNext/>
              <w:keepLines/>
              <w:rPr>
                <w:rFonts w:ascii="Arial Narrow" w:hAnsi="Arial Narrow" w:cstheme="minorHAnsi"/>
                <w:sz w:val="20"/>
                <w:lang w:val="en-AU"/>
              </w:rPr>
            </w:pPr>
            <w:r w:rsidRPr="00962499">
              <w:rPr>
                <w:rFonts w:ascii="Arial Narrow" w:hAnsi="Arial Narrow" w:cstheme="minorHAnsi"/>
                <w:i/>
                <w:sz w:val="20"/>
              </w:rPr>
              <w:t>Annals of oncology</w:t>
            </w:r>
            <w:r w:rsidRPr="00962499">
              <w:rPr>
                <w:rFonts w:ascii="Arial Narrow" w:hAnsi="Arial Narrow" w:cstheme="minorHAnsi"/>
                <w:sz w:val="20"/>
              </w:rPr>
              <w:t xml:space="preserve"> 2019, 30, ii38</w:t>
            </w:r>
          </w:p>
        </w:tc>
      </w:tr>
    </w:tbl>
    <w:p w:rsidR="00B27719" w:rsidRPr="00962499" w:rsidRDefault="00B27719" w:rsidP="000F0026">
      <w:pPr>
        <w:pStyle w:val="TableFooter"/>
      </w:pPr>
      <w:r w:rsidRPr="00962499">
        <w:t>Source: Table 2-16, pp 72-73 of the submission.</w:t>
      </w:r>
    </w:p>
    <w:p w:rsidR="00B27719" w:rsidRPr="00962499" w:rsidRDefault="00B27719" w:rsidP="00B27719">
      <w:pPr>
        <w:pStyle w:val="ListParagraph"/>
        <w:numPr>
          <w:ilvl w:val="4"/>
          <w:numId w:val="1"/>
        </w:numPr>
      </w:pPr>
      <w:r w:rsidRPr="00962499">
        <w:t>The key features of the included evidence are summarised below.</w:t>
      </w:r>
    </w:p>
    <w:p w:rsidR="00B27719" w:rsidRPr="00962499" w:rsidRDefault="00C85B50" w:rsidP="005D7976">
      <w:pPr>
        <w:pStyle w:val="Caption"/>
      </w:pPr>
      <w:r>
        <w:t xml:space="preserve">Table </w:t>
      </w:r>
      <w:r w:rsidR="00C56714">
        <w:rPr>
          <w:noProof/>
        </w:rPr>
        <w:t>5</w:t>
      </w:r>
      <w:r w:rsidR="00F800E1">
        <w:rPr>
          <w:noProof/>
        </w:rPr>
        <w:t>:</w:t>
      </w:r>
      <w:r>
        <w:t xml:space="preserve"> </w:t>
      </w:r>
      <w:r w:rsidR="00B27719" w:rsidRPr="00962499">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5"/>
        <w:gridCol w:w="748"/>
        <w:gridCol w:w="1911"/>
        <w:gridCol w:w="2622"/>
        <w:gridCol w:w="1205"/>
        <w:gridCol w:w="1325"/>
      </w:tblGrid>
      <w:tr w:rsidR="00B27719" w:rsidRPr="00962499" w:rsidTr="00B27719">
        <w:tc>
          <w:tcPr>
            <w:tcW w:w="668" w:type="pct"/>
            <w:vAlign w:val="bottom"/>
            <w:hideMark/>
          </w:tcPr>
          <w:p w:rsidR="00B27719" w:rsidRPr="00962499" w:rsidRDefault="00B27719" w:rsidP="00940357">
            <w:pPr>
              <w:pStyle w:val="TableText"/>
              <w:keepNext/>
              <w:keepLines/>
              <w:rPr>
                <w:b/>
              </w:rPr>
            </w:pPr>
            <w:r w:rsidRPr="00962499">
              <w:rPr>
                <w:b/>
              </w:rPr>
              <w:t>Trial</w:t>
            </w:r>
          </w:p>
        </w:tc>
        <w:tc>
          <w:tcPr>
            <w:tcW w:w="415" w:type="pct"/>
            <w:vAlign w:val="bottom"/>
            <w:hideMark/>
          </w:tcPr>
          <w:p w:rsidR="00B27719" w:rsidRPr="00962499" w:rsidRDefault="00B27719" w:rsidP="00940357">
            <w:pPr>
              <w:pStyle w:val="TableText"/>
              <w:keepNext/>
              <w:keepLines/>
              <w:rPr>
                <w:b/>
              </w:rPr>
            </w:pPr>
            <w:r w:rsidRPr="00962499">
              <w:rPr>
                <w:b/>
              </w:rPr>
              <w:t>N</w:t>
            </w:r>
          </w:p>
        </w:tc>
        <w:tc>
          <w:tcPr>
            <w:tcW w:w="1060" w:type="pct"/>
            <w:vAlign w:val="bottom"/>
            <w:hideMark/>
          </w:tcPr>
          <w:p w:rsidR="00B27719" w:rsidRPr="00962499" w:rsidRDefault="00B27719" w:rsidP="00940357">
            <w:pPr>
              <w:pStyle w:val="TableText"/>
              <w:keepNext/>
              <w:keepLines/>
              <w:rPr>
                <w:b/>
              </w:rPr>
            </w:pPr>
            <w:r w:rsidRPr="00962499">
              <w:rPr>
                <w:b/>
              </w:rPr>
              <w:t>Design/ duration</w:t>
            </w:r>
          </w:p>
        </w:tc>
        <w:tc>
          <w:tcPr>
            <w:tcW w:w="1454" w:type="pct"/>
            <w:vAlign w:val="bottom"/>
            <w:hideMark/>
          </w:tcPr>
          <w:p w:rsidR="00B27719" w:rsidRPr="00962499" w:rsidRDefault="00B27719" w:rsidP="00940357">
            <w:pPr>
              <w:pStyle w:val="TableText"/>
              <w:keepNext/>
              <w:keepLines/>
              <w:rPr>
                <w:b/>
              </w:rPr>
            </w:pPr>
            <w:r w:rsidRPr="00962499">
              <w:rPr>
                <w:b/>
              </w:rPr>
              <w:t>Patient population</w:t>
            </w:r>
          </w:p>
        </w:tc>
        <w:tc>
          <w:tcPr>
            <w:tcW w:w="668" w:type="pct"/>
            <w:vAlign w:val="bottom"/>
            <w:hideMark/>
          </w:tcPr>
          <w:p w:rsidR="00B27719" w:rsidRPr="00962499" w:rsidRDefault="00B27719" w:rsidP="00940357">
            <w:pPr>
              <w:pStyle w:val="TableText"/>
              <w:keepNext/>
              <w:keepLines/>
              <w:rPr>
                <w:b/>
              </w:rPr>
            </w:pPr>
            <w:r w:rsidRPr="00962499">
              <w:rPr>
                <w:b/>
              </w:rPr>
              <w:t>Outcome(s)</w:t>
            </w:r>
          </w:p>
        </w:tc>
        <w:tc>
          <w:tcPr>
            <w:tcW w:w="735" w:type="pct"/>
            <w:vAlign w:val="bottom"/>
            <w:hideMark/>
          </w:tcPr>
          <w:p w:rsidR="00B27719" w:rsidRPr="00962499" w:rsidRDefault="00B27719" w:rsidP="00940357">
            <w:pPr>
              <w:pStyle w:val="TableText"/>
              <w:keepNext/>
              <w:keepLines/>
              <w:rPr>
                <w:b/>
              </w:rPr>
            </w:pPr>
            <w:r w:rsidRPr="00962499">
              <w:rPr>
                <w:b/>
              </w:rPr>
              <w:t>Use in modelled evaluation</w:t>
            </w:r>
          </w:p>
        </w:tc>
      </w:tr>
      <w:tr w:rsidR="00B27719" w:rsidRPr="00962499" w:rsidTr="00B27719">
        <w:tc>
          <w:tcPr>
            <w:tcW w:w="5000" w:type="pct"/>
            <w:gridSpan w:val="6"/>
            <w:vAlign w:val="center"/>
            <w:hideMark/>
          </w:tcPr>
          <w:p w:rsidR="00B27719" w:rsidRPr="00962499" w:rsidRDefault="00B27719" w:rsidP="00940357">
            <w:pPr>
              <w:pStyle w:val="TableText"/>
              <w:keepNext/>
              <w:keepLines/>
              <w:rPr>
                <w:b/>
                <w:bCs/>
              </w:rPr>
            </w:pPr>
            <w:r w:rsidRPr="00962499">
              <w:rPr>
                <w:b/>
                <w:bCs/>
              </w:rPr>
              <w:t>Tepotinib</w:t>
            </w:r>
          </w:p>
        </w:tc>
      </w:tr>
      <w:tr w:rsidR="00B27719" w:rsidRPr="00962499" w:rsidTr="00B27719">
        <w:tc>
          <w:tcPr>
            <w:tcW w:w="668" w:type="pct"/>
            <w:vAlign w:val="center"/>
            <w:hideMark/>
          </w:tcPr>
          <w:p w:rsidR="00B27719" w:rsidRPr="00962499" w:rsidRDefault="00B27719" w:rsidP="00940357">
            <w:pPr>
              <w:pStyle w:val="TableText"/>
              <w:keepNext/>
              <w:keepLines/>
            </w:pPr>
            <w:r w:rsidRPr="00962499">
              <w:t>VISION</w:t>
            </w:r>
          </w:p>
        </w:tc>
        <w:tc>
          <w:tcPr>
            <w:tcW w:w="415" w:type="pct"/>
            <w:vAlign w:val="center"/>
            <w:hideMark/>
          </w:tcPr>
          <w:p w:rsidR="00B27719" w:rsidRPr="00962499" w:rsidRDefault="00B27719" w:rsidP="00940357">
            <w:pPr>
              <w:pStyle w:val="TableText"/>
              <w:keepNext/>
              <w:keepLines/>
            </w:pPr>
            <w:r w:rsidRPr="00962499">
              <w:t>147</w:t>
            </w:r>
          </w:p>
        </w:tc>
        <w:tc>
          <w:tcPr>
            <w:tcW w:w="1060" w:type="pct"/>
            <w:vAlign w:val="center"/>
            <w:hideMark/>
          </w:tcPr>
          <w:p w:rsidR="00B27719" w:rsidRPr="00962499" w:rsidRDefault="00B27719" w:rsidP="00940357">
            <w:pPr>
              <w:pStyle w:val="TableText"/>
              <w:keepNext/>
              <w:keepLines/>
            </w:pPr>
            <w:r w:rsidRPr="00962499">
              <w:t>Single arm, OL</w:t>
            </w:r>
          </w:p>
          <w:p w:rsidR="00B27719" w:rsidRPr="00962499" w:rsidRDefault="00B27719" w:rsidP="00940357">
            <w:pPr>
              <w:pStyle w:val="TableText"/>
              <w:keepNext/>
              <w:keepLines/>
            </w:pPr>
            <w:r w:rsidRPr="00962499">
              <w:t>Median 11.2 m</w:t>
            </w:r>
            <w:r w:rsidR="002B73A4">
              <w:t>on</w:t>
            </w:r>
            <w:r w:rsidRPr="00962499">
              <w:t>ths</w:t>
            </w:r>
          </w:p>
        </w:tc>
        <w:tc>
          <w:tcPr>
            <w:tcW w:w="1454" w:type="pct"/>
            <w:vAlign w:val="center"/>
            <w:hideMark/>
          </w:tcPr>
          <w:p w:rsidR="00B27719" w:rsidRPr="00962499" w:rsidRDefault="00B27719" w:rsidP="00940357">
            <w:pPr>
              <w:pStyle w:val="TableText"/>
              <w:keepNext/>
              <w:keepLines/>
            </w:pPr>
            <w:r w:rsidRPr="00962499">
              <w:t xml:space="preserve">Stage IIIB or Stage IV NSCLC patients with </w:t>
            </w:r>
            <w:r w:rsidRPr="00962499">
              <w:rPr>
                <w:i/>
              </w:rPr>
              <w:t>MET</w:t>
            </w:r>
            <w:r w:rsidRPr="00962499">
              <w:t>ex14sk</w:t>
            </w:r>
          </w:p>
        </w:tc>
        <w:tc>
          <w:tcPr>
            <w:tcW w:w="668" w:type="pct"/>
            <w:vAlign w:val="center"/>
            <w:hideMark/>
          </w:tcPr>
          <w:p w:rsidR="00B27719" w:rsidRPr="00962499" w:rsidRDefault="00B27719" w:rsidP="00940357">
            <w:pPr>
              <w:pStyle w:val="TableText"/>
              <w:keepNext/>
              <w:keepLines/>
            </w:pPr>
            <w:r w:rsidRPr="00962499">
              <w:t>ORR, PFS,OS</w:t>
            </w:r>
          </w:p>
        </w:tc>
        <w:tc>
          <w:tcPr>
            <w:tcW w:w="735" w:type="pct"/>
            <w:vAlign w:val="center"/>
            <w:hideMark/>
          </w:tcPr>
          <w:p w:rsidR="00B27719" w:rsidRPr="00962499" w:rsidRDefault="00B27719" w:rsidP="00940357">
            <w:pPr>
              <w:pStyle w:val="TableText"/>
              <w:keepNext/>
              <w:keepLines/>
            </w:pPr>
            <w:r w:rsidRPr="00962499">
              <w:t>TTD used to model the treatment duration</w:t>
            </w:r>
          </w:p>
        </w:tc>
      </w:tr>
      <w:tr w:rsidR="00B27719" w:rsidRPr="00962499" w:rsidTr="00B27719">
        <w:tc>
          <w:tcPr>
            <w:tcW w:w="5000" w:type="pct"/>
            <w:gridSpan w:val="6"/>
            <w:vAlign w:val="center"/>
            <w:hideMark/>
          </w:tcPr>
          <w:p w:rsidR="00B27719" w:rsidRPr="00962499" w:rsidRDefault="00B27719" w:rsidP="00940357">
            <w:pPr>
              <w:pStyle w:val="TableText"/>
              <w:keepNext/>
              <w:keepLines/>
              <w:rPr>
                <w:b/>
                <w:bCs/>
              </w:rPr>
            </w:pPr>
            <w:r w:rsidRPr="00962499">
              <w:rPr>
                <w:b/>
                <w:bCs/>
              </w:rPr>
              <w:t>Pembrolizumab + chemotherapy vs placebo + chemotherapy</w:t>
            </w:r>
          </w:p>
        </w:tc>
      </w:tr>
      <w:tr w:rsidR="00B27719" w:rsidRPr="00962499" w:rsidTr="00F800E1">
        <w:tc>
          <w:tcPr>
            <w:tcW w:w="668" w:type="pct"/>
            <w:vAlign w:val="center"/>
            <w:hideMark/>
          </w:tcPr>
          <w:p w:rsidR="00B27719" w:rsidRPr="00962499" w:rsidRDefault="00B27719" w:rsidP="00940357">
            <w:pPr>
              <w:pStyle w:val="TableText"/>
              <w:keepNext/>
              <w:keepLines/>
            </w:pPr>
            <w:r w:rsidRPr="00962499">
              <w:t>KN189</w:t>
            </w:r>
          </w:p>
        </w:tc>
        <w:tc>
          <w:tcPr>
            <w:tcW w:w="415" w:type="pct"/>
            <w:vAlign w:val="center"/>
          </w:tcPr>
          <w:p w:rsidR="00B27719" w:rsidRPr="00962499" w:rsidRDefault="00B27719" w:rsidP="00F800E1">
            <w:pPr>
              <w:pStyle w:val="Default"/>
              <w:keepNext/>
              <w:keepLines/>
              <w:rPr>
                <w:rFonts w:ascii="Arial Narrow" w:hAnsi="Arial Narrow"/>
                <w:sz w:val="20"/>
                <w:szCs w:val="20"/>
              </w:rPr>
            </w:pPr>
            <w:r w:rsidRPr="00962499">
              <w:rPr>
                <w:rFonts w:ascii="Arial Narrow" w:hAnsi="Arial Narrow"/>
                <w:sz w:val="20"/>
                <w:szCs w:val="20"/>
              </w:rPr>
              <w:t>616</w:t>
            </w:r>
          </w:p>
        </w:tc>
        <w:tc>
          <w:tcPr>
            <w:tcW w:w="1060" w:type="pct"/>
            <w:vAlign w:val="center"/>
          </w:tcPr>
          <w:p w:rsidR="00B27719" w:rsidRPr="00962499" w:rsidRDefault="00B27719" w:rsidP="00F800E1">
            <w:pPr>
              <w:pStyle w:val="Default"/>
              <w:keepNext/>
              <w:keepLines/>
              <w:rPr>
                <w:rFonts w:ascii="Arial Narrow" w:hAnsi="Arial Narrow"/>
                <w:sz w:val="20"/>
                <w:szCs w:val="20"/>
              </w:rPr>
            </w:pPr>
            <w:r w:rsidRPr="00962499">
              <w:rPr>
                <w:rFonts w:ascii="Arial Narrow" w:hAnsi="Arial Narrow"/>
                <w:sz w:val="20"/>
                <w:szCs w:val="20"/>
              </w:rPr>
              <w:t>R, DB</w:t>
            </w:r>
          </w:p>
          <w:p w:rsidR="00B27719" w:rsidRPr="00962499" w:rsidRDefault="00B27719" w:rsidP="00F800E1">
            <w:pPr>
              <w:pStyle w:val="Default"/>
              <w:keepNext/>
              <w:keepLines/>
              <w:rPr>
                <w:rFonts w:ascii="Arial Narrow" w:hAnsi="Arial Narrow"/>
                <w:sz w:val="20"/>
                <w:szCs w:val="20"/>
              </w:rPr>
            </w:pPr>
            <w:r w:rsidRPr="00962499">
              <w:rPr>
                <w:rFonts w:ascii="Arial Narrow" w:hAnsi="Arial Narrow"/>
                <w:sz w:val="20"/>
                <w:szCs w:val="20"/>
              </w:rPr>
              <w:t>Median 23.1 m</w:t>
            </w:r>
            <w:r w:rsidR="002B73A4">
              <w:rPr>
                <w:rFonts w:ascii="Arial Narrow" w:hAnsi="Arial Narrow"/>
                <w:sz w:val="20"/>
                <w:szCs w:val="20"/>
              </w:rPr>
              <w:t>on</w:t>
            </w:r>
            <w:r w:rsidRPr="00962499">
              <w:rPr>
                <w:rFonts w:ascii="Arial Narrow" w:hAnsi="Arial Narrow"/>
                <w:sz w:val="20"/>
                <w:szCs w:val="20"/>
              </w:rPr>
              <w:t>ths</w:t>
            </w:r>
          </w:p>
        </w:tc>
        <w:tc>
          <w:tcPr>
            <w:tcW w:w="1454" w:type="pct"/>
            <w:vAlign w:val="center"/>
          </w:tcPr>
          <w:p w:rsidR="00B27719" w:rsidRPr="00962499" w:rsidRDefault="00B27719" w:rsidP="00F800E1">
            <w:pPr>
              <w:pStyle w:val="TableText"/>
              <w:keepNext/>
              <w:keepLines/>
            </w:pPr>
            <w:r w:rsidRPr="00962499">
              <w:rPr>
                <w:szCs w:val="20"/>
              </w:rPr>
              <w:t xml:space="preserve">Untreated NSQ Stage IV NSCLC, </w:t>
            </w:r>
            <w:r w:rsidRPr="004A4F2A">
              <w:rPr>
                <w:i/>
                <w:szCs w:val="20"/>
              </w:rPr>
              <w:t>EGFR</w:t>
            </w:r>
            <w:r w:rsidRPr="00962499">
              <w:rPr>
                <w:szCs w:val="20"/>
              </w:rPr>
              <w:t xml:space="preserve"> and </w:t>
            </w:r>
            <w:r w:rsidRPr="004A4F2A">
              <w:rPr>
                <w:i/>
                <w:szCs w:val="20"/>
              </w:rPr>
              <w:t>ALK</w:t>
            </w:r>
            <w:r w:rsidRPr="00962499">
              <w:rPr>
                <w:szCs w:val="20"/>
              </w:rPr>
              <w:t xml:space="preserve"> negative</w:t>
            </w:r>
          </w:p>
        </w:tc>
        <w:tc>
          <w:tcPr>
            <w:tcW w:w="668" w:type="pct"/>
            <w:vAlign w:val="center"/>
          </w:tcPr>
          <w:p w:rsidR="00B27719" w:rsidRPr="00962499" w:rsidRDefault="00B27719" w:rsidP="00F800E1">
            <w:pPr>
              <w:pStyle w:val="TableText"/>
              <w:keepNext/>
              <w:keepLines/>
            </w:pPr>
            <w:r w:rsidRPr="00962499">
              <w:t>PFS, OS</w:t>
            </w:r>
          </w:p>
        </w:tc>
        <w:tc>
          <w:tcPr>
            <w:tcW w:w="735" w:type="pct"/>
            <w:vAlign w:val="center"/>
          </w:tcPr>
          <w:p w:rsidR="00B27719" w:rsidRPr="00962499" w:rsidRDefault="00B27719" w:rsidP="00F800E1">
            <w:pPr>
              <w:pStyle w:val="TableText"/>
              <w:keepNext/>
              <w:keepLines/>
            </w:pPr>
            <w:r w:rsidRPr="00962499">
              <w:t>Not used</w:t>
            </w:r>
          </w:p>
        </w:tc>
      </w:tr>
    </w:tbl>
    <w:p w:rsidR="001D527B" w:rsidRPr="00962499" w:rsidRDefault="001D527B" w:rsidP="00940357">
      <w:pPr>
        <w:pStyle w:val="TableFooter"/>
        <w:keepNext/>
        <w:keepLines/>
      </w:pPr>
      <w:r w:rsidRPr="00962499">
        <w:t>OL=</w:t>
      </w:r>
      <w:r w:rsidR="002B73A4">
        <w:t xml:space="preserve"> </w:t>
      </w:r>
      <w:r w:rsidRPr="00962499">
        <w:t>open label; R = randomised; DB</w:t>
      </w:r>
      <w:r w:rsidR="002B73A4">
        <w:t xml:space="preserve"> </w:t>
      </w:r>
      <w:r w:rsidRPr="00962499">
        <w:t>=</w:t>
      </w:r>
      <w:r w:rsidR="002B73A4">
        <w:t xml:space="preserve"> </w:t>
      </w:r>
      <w:r w:rsidRPr="00962499">
        <w:t xml:space="preserve">double blind; NSQ = non-squamous; NSCLC = non-small cell lung cancer; </w:t>
      </w:r>
      <w:r w:rsidRPr="00962499">
        <w:rPr>
          <w:i/>
        </w:rPr>
        <w:t>MET</w:t>
      </w:r>
      <w:r w:rsidRPr="00962499">
        <w:t xml:space="preserve">ex14sk = </w:t>
      </w:r>
      <w:r w:rsidR="001C3B0D" w:rsidRPr="000152E5">
        <w:t xml:space="preserve">MET </w:t>
      </w:r>
      <w:r w:rsidR="001C3B0D" w:rsidRPr="001C3B0D">
        <w:t xml:space="preserve">proto-oncogene, receptor tyrosine kinase </w:t>
      </w:r>
      <w:r w:rsidRPr="00962499">
        <w:t xml:space="preserve">exon 14 skipping alterations; </w:t>
      </w:r>
      <w:r w:rsidRPr="008D313B">
        <w:rPr>
          <w:i/>
          <w:iCs/>
        </w:rPr>
        <w:t>EGFR</w:t>
      </w:r>
      <w:r w:rsidRPr="00962499">
        <w:t xml:space="preserve"> = epidermal growth factor receptor; </w:t>
      </w:r>
      <w:r w:rsidRPr="000152E5">
        <w:rPr>
          <w:i/>
          <w:iCs/>
        </w:rPr>
        <w:t>ALK</w:t>
      </w:r>
      <w:r w:rsidRPr="00962499">
        <w:t xml:space="preserve"> = anaplastic lymphoma kinase; ECOG = Eastern Cooperative Oncology Group; </w:t>
      </w:r>
      <w:r w:rsidRPr="00F13980">
        <w:t>ORR = overall/objective response rate;</w:t>
      </w:r>
      <w:r w:rsidRPr="00962499">
        <w:t xml:space="preserve"> PFS = progression free survival; OS = overall survival</w:t>
      </w:r>
      <w:r w:rsidR="004A62EF" w:rsidRPr="00962499">
        <w:t>; TTD = time to treatment discontinuation</w:t>
      </w:r>
      <w:r w:rsidRPr="00962499">
        <w:t>.</w:t>
      </w:r>
    </w:p>
    <w:p w:rsidR="00B27719" w:rsidRPr="00962499" w:rsidRDefault="00B27719" w:rsidP="000F0026">
      <w:pPr>
        <w:pStyle w:val="TableFooter"/>
      </w:pPr>
      <w:r w:rsidRPr="00962499">
        <w:t>Source: Section 2.3-2.4, pp74-93 of the submission.</w:t>
      </w:r>
    </w:p>
    <w:p w:rsidR="008570E9" w:rsidRPr="000F0026" w:rsidRDefault="00B27719" w:rsidP="008570E9">
      <w:pPr>
        <w:pStyle w:val="ListParagraph"/>
        <w:rPr>
          <w:iCs/>
          <w:color w:val="auto"/>
        </w:rPr>
      </w:pPr>
      <w:r w:rsidRPr="00962499">
        <w:t xml:space="preserve">The submission </w:t>
      </w:r>
      <w:r w:rsidRPr="00E31328">
        <w:t>presented a match-adjusted indirect treatment comparison (MAITC)</w:t>
      </w:r>
      <w:r w:rsidRPr="00962499">
        <w:t xml:space="preserve"> between the key VISION study and the KN189 trial. The MAITC adjusted the prognostic factors of age, gender and histology (squamous and non-squamous) as these baseline characteristic across VISION and KN189 were not balanced</w:t>
      </w:r>
      <w:r w:rsidR="001C29AA">
        <w:t xml:space="preserve"> </w:t>
      </w:r>
      <w:r w:rsidR="001C29AA" w:rsidRPr="00461942">
        <w:t>(HR adjustment summarised in the table below)</w:t>
      </w:r>
      <w:r w:rsidRPr="00962499">
        <w:t xml:space="preserve">. </w:t>
      </w:r>
      <w:r w:rsidRPr="007E4DDD">
        <w:t>It is reasonable to adjust baseline characteristics for which the distributions are not balanced across the studies and that are known prognostic factors</w:t>
      </w:r>
      <w:r w:rsidR="008E17AE">
        <w:t xml:space="preserve"> (</w:t>
      </w:r>
      <w:r w:rsidR="008E17AE" w:rsidRPr="001C29AA">
        <w:t>however, the ESC noted no confidence intervals were provided for the adjustments</w:t>
      </w:r>
      <w:r w:rsidR="008E17AE">
        <w:t>)</w:t>
      </w:r>
      <w:r w:rsidRPr="007E4DDD">
        <w:t xml:space="preserve">. However, the adjustment did/could not include all prognostic factors, some of which may be unknown. In particular, </w:t>
      </w:r>
      <w:r w:rsidRPr="001C29AA">
        <w:rPr>
          <w:i/>
        </w:rPr>
        <w:t>MET</w:t>
      </w:r>
      <w:r w:rsidRPr="007E4DDD">
        <w:t xml:space="preserve">ex14sk status could not be adjusted in the MAITC. All patients in VISION were </w:t>
      </w:r>
      <w:r w:rsidRPr="001C29AA">
        <w:rPr>
          <w:i/>
        </w:rPr>
        <w:t>MET</w:t>
      </w:r>
      <w:r w:rsidRPr="007E4DDD">
        <w:t xml:space="preserve">ex14sk positive, while patients in KN189 had unknown </w:t>
      </w:r>
      <w:r w:rsidRPr="001C29AA">
        <w:rPr>
          <w:i/>
        </w:rPr>
        <w:t>MET</w:t>
      </w:r>
      <w:r w:rsidRPr="007E4DDD">
        <w:t>ex14sk status. It is also noted that there</w:t>
      </w:r>
      <w:r w:rsidRPr="007E4DDD">
        <w:rPr>
          <w:iCs/>
        </w:rPr>
        <w:t xml:space="preserve"> were almost twice as many patients in KN189 with brain metastases compared to VISION (17.8% vs 9.6%). The presence of brain metastases increase</w:t>
      </w:r>
      <w:r w:rsidR="008F6791" w:rsidRPr="007E4DDD">
        <w:rPr>
          <w:iCs/>
        </w:rPr>
        <w:t>s</w:t>
      </w:r>
      <w:r w:rsidRPr="007E4DDD">
        <w:rPr>
          <w:iCs/>
        </w:rPr>
        <w:t xml:space="preserve"> the risk of death and significantly impair</w:t>
      </w:r>
      <w:r w:rsidR="008F6791" w:rsidRPr="007E4DDD">
        <w:rPr>
          <w:iCs/>
        </w:rPr>
        <w:t>s</w:t>
      </w:r>
      <w:r w:rsidRPr="007E4DDD">
        <w:rPr>
          <w:iCs/>
        </w:rPr>
        <w:t xml:space="preserve"> the quality of life by a factor of 4</w:t>
      </w:r>
      <w:r w:rsidRPr="007E4DDD">
        <w:rPr>
          <w:rStyle w:val="FootnoteReference"/>
          <w:iCs/>
        </w:rPr>
        <w:footnoteReference w:id="9"/>
      </w:r>
      <w:r w:rsidRPr="007E4DDD">
        <w:rPr>
          <w:iCs/>
        </w:rPr>
        <w:t>, and patients with brain metastases have recently been reported to have a median OS of 12 months</w:t>
      </w:r>
      <w:r w:rsidRPr="007E4DDD">
        <w:rPr>
          <w:rStyle w:val="FootnoteReference"/>
          <w:iCs/>
        </w:rPr>
        <w:footnoteReference w:id="10"/>
      </w:r>
      <w:r w:rsidRPr="007E4DDD">
        <w:rPr>
          <w:iCs/>
        </w:rPr>
        <w:t>. The submission did not adjust the presence of brain metastases in the MAITC, which was not reasonable and biased the result in favour of tepotinib.</w:t>
      </w:r>
      <w:r w:rsidR="004E7D8A">
        <w:rPr>
          <w:iCs/>
        </w:rPr>
        <w:t xml:space="preserve"> </w:t>
      </w:r>
      <w:r w:rsidR="00933640" w:rsidRPr="00461942">
        <w:rPr>
          <w:iCs/>
        </w:rPr>
        <w:t>The PSCR stated an analysis of 46,030 patients in the SEER database demonstrated an OS HR for metastatic lung adenocarcinoma patients with brain metastases versus patients without brain metastases of 1.18 (95% CI: 1.15, 1.21, p &lt; 0.001) using multivariate Cox regression analysis</w:t>
      </w:r>
      <w:r w:rsidR="00453247" w:rsidRPr="00461942">
        <w:rPr>
          <w:rStyle w:val="FootnoteReference"/>
          <w:iCs/>
        </w:rPr>
        <w:footnoteReference w:id="11"/>
      </w:r>
      <w:r w:rsidR="00933640" w:rsidRPr="00461942">
        <w:rPr>
          <w:iCs/>
        </w:rPr>
        <w:t>.</w:t>
      </w:r>
      <w:r w:rsidR="00933640" w:rsidRPr="00461942">
        <w:t xml:space="preserve"> </w:t>
      </w:r>
      <w:r w:rsidR="00933640" w:rsidRPr="00461942">
        <w:rPr>
          <w:iCs/>
        </w:rPr>
        <w:t>The PSCR provided a revised MAITC to include brain metastases as a prognostic factor and concluded the change to the KM curve was marginal.</w:t>
      </w:r>
    </w:p>
    <w:p w:rsidR="008570E9" w:rsidRPr="00FD2F1C" w:rsidRDefault="00C85B50" w:rsidP="005D7976">
      <w:pPr>
        <w:pStyle w:val="Caption"/>
      </w:pPr>
      <w:r>
        <w:t xml:space="preserve">Table </w:t>
      </w:r>
      <w:r w:rsidR="00C56714">
        <w:rPr>
          <w:noProof/>
        </w:rPr>
        <w:t>6</w:t>
      </w:r>
      <w:r w:rsidR="00F800E1">
        <w:rPr>
          <w:noProof/>
        </w:rPr>
        <w:t>:</w:t>
      </w:r>
      <w:r w:rsidR="00DC4B10" w:rsidRPr="00FD2F1C">
        <w:rPr>
          <w:noProof/>
        </w:rPr>
        <w:t xml:space="preserve"> </w:t>
      </w:r>
      <w:r w:rsidR="008570E9" w:rsidRPr="00FD2F1C">
        <w:t>Keynote-189 prognostic adjustment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794"/>
        <w:gridCol w:w="3222"/>
      </w:tblGrid>
      <w:tr w:rsidR="008570E9" w:rsidRPr="00461942" w:rsidTr="008570E9">
        <w:tc>
          <w:tcPr>
            <w:tcW w:w="3213" w:type="pct"/>
            <w:shd w:val="clear" w:color="auto" w:fill="FFFFFF" w:themeFill="background1"/>
            <w:noWrap/>
            <w:vAlign w:val="bottom"/>
            <w:hideMark/>
          </w:tcPr>
          <w:p w:rsidR="008570E9" w:rsidRPr="00461942" w:rsidRDefault="008570E9" w:rsidP="00174822">
            <w:pPr>
              <w:keepNext/>
              <w:keepLines/>
              <w:spacing w:before="0" w:after="0"/>
              <w:jc w:val="left"/>
              <w:rPr>
                <w:rFonts w:ascii="Arial Narrow" w:eastAsiaTheme="minorEastAsia" w:hAnsi="Arial Narrow"/>
                <w:b/>
                <w:color w:val="000000"/>
                <w:sz w:val="20"/>
                <w:szCs w:val="20"/>
                <w:lang w:eastAsia="en-AU"/>
              </w:rPr>
            </w:pPr>
            <w:r w:rsidRPr="00461942">
              <w:rPr>
                <w:rFonts w:ascii="Arial Narrow" w:eastAsiaTheme="minorEastAsia" w:hAnsi="Arial Narrow"/>
                <w:b/>
                <w:color w:val="000000"/>
                <w:sz w:val="20"/>
                <w:szCs w:val="20"/>
                <w:lang w:eastAsia="en-AU"/>
              </w:rPr>
              <w:t>Prognostic adjustment</w:t>
            </w:r>
          </w:p>
        </w:tc>
        <w:tc>
          <w:tcPr>
            <w:tcW w:w="1787" w:type="pct"/>
            <w:shd w:val="clear" w:color="auto" w:fill="FFFFFF" w:themeFill="background1"/>
            <w:noWrap/>
            <w:vAlign w:val="bottom"/>
            <w:hideMark/>
          </w:tcPr>
          <w:p w:rsidR="008570E9" w:rsidRPr="00461942" w:rsidRDefault="008570E9" w:rsidP="00174822">
            <w:pPr>
              <w:keepNext/>
              <w:keepLines/>
              <w:spacing w:before="0" w:after="0"/>
              <w:jc w:val="center"/>
              <w:rPr>
                <w:rFonts w:ascii="Arial Narrow" w:eastAsiaTheme="minorEastAsia" w:hAnsi="Arial Narrow"/>
                <w:b/>
                <w:color w:val="000000"/>
                <w:sz w:val="20"/>
                <w:szCs w:val="20"/>
                <w:lang w:eastAsia="en-AU"/>
              </w:rPr>
            </w:pPr>
            <w:r w:rsidRPr="00461942">
              <w:rPr>
                <w:rFonts w:ascii="Arial Narrow" w:eastAsiaTheme="minorEastAsia" w:hAnsi="Arial Narrow"/>
                <w:b/>
                <w:color w:val="000000"/>
                <w:sz w:val="20"/>
                <w:szCs w:val="20"/>
                <w:lang w:eastAsia="en-AU"/>
              </w:rPr>
              <w:t xml:space="preserve">Hazard </w:t>
            </w:r>
            <w:r w:rsidR="00D51428" w:rsidRPr="00461942">
              <w:rPr>
                <w:rFonts w:ascii="Arial Narrow" w:eastAsiaTheme="minorEastAsia" w:hAnsi="Arial Narrow"/>
                <w:b/>
                <w:color w:val="000000"/>
                <w:sz w:val="20"/>
                <w:szCs w:val="20"/>
                <w:lang w:eastAsia="en-AU"/>
              </w:rPr>
              <w:t>r</w:t>
            </w:r>
            <w:r w:rsidRPr="00461942">
              <w:rPr>
                <w:rFonts w:ascii="Arial Narrow" w:eastAsiaTheme="minorEastAsia" w:hAnsi="Arial Narrow"/>
                <w:b/>
                <w:color w:val="000000"/>
                <w:sz w:val="20"/>
                <w:szCs w:val="20"/>
                <w:lang w:eastAsia="en-AU"/>
              </w:rPr>
              <w:t>atio</w:t>
            </w:r>
          </w:p>
        </w:tc>
      </w:tr>
      <w:tr w:rsidR="008570E9" w:rsidRPr="00461942" w:rsidTr="008570E9">
        <w:tc>
          <w:tcPr>
            <w:tcW w:w="3213" w:type="pct"/>
            <w:shd w:val="clear" w:color="auto" w:fill="FFFFFF" w:themeFill="background1"/>
            <w:noWrap/>
            <w:vAlign w:val="bottom"/>
            <w:hideMark/>
          </w:tcPr>
          <w:p w:rsidR="008570E9" w:rsidRPr="00461942" w:rsidRDefault="008570E9" w:rsidP="00174822">
            <w:pPr>
              <w:keepNext/>
              <w:keepLines/>
              <w:spacing w:before="0" w:after="0"/>
              <w:jc w:val="left"/>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Male vs female</w:t>
            </w:r>
          </w:p>
        </w:tc>
        <w:tc>
          <w:tcPr>
            <w:tcW w:w="1787" w:type="pct"/>
            <w:shd w:val="clear" w:color="auto" w:fill="FFFFFF" w:themeFill="background1"/>
            <w:vAlign w:val="bottom"/>
            <w:hideMark/>
          </w:tcPr>
          <w:p w:rsidR="008570E9" w:rsidRPr="00461942" w:rsidRDefault="008570E9" w:rsidP="00174822">
            <w:pPr>
              <w:keepNext/>
              <w:keepLines/>
              <w:spacing w:before="0" w:after="0"/>
              <w:jc w:val="center"/>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0.982</w:t>
            </w:r>
          </w:p>
        </w:tc>
      </w:tr>
      <w:tr w:rsidR="008570E9" w:rsidRPr="00461942" w:rsidTr="008570E9">
        <w:tc>
          <w:tcPr>
            <w:tcW w:w="3213" w:type="pct"/>
            <w:shd w:val="clear" w:color="auto" w:fill="FFFFFF" w:themeFill="background1"/>
            <w:noWrap/>
            <w:vAlign w:val="bottom"/>
            <w:hideMark/>
          </w:tcPr>
          <w:p w:rsidR="008570E9" w:rsidRPr="00461942" w:rsidRDefault="008570E9" w:rsidP="00174822">
            <w:pPr>
              <w:keepNext/>
              <w:keepLines/>
              <w:spacing w:before="0" w:after="0"/>
              <w:jc w:val="left"/>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Squamous vs non-squamous</w:t>
            </w:r>
          </w:p>
        </w:tc>
        <w:tc>
          <w:tcPr>
            <w:tcW w:w="1787" w:type="pct"/>
            <w:shd w:val="clear" w:color="auto" w:fill="FFFFFF" w:themeFill="background1"/>
            <w:vAlign w:val="bottom"/>
            <w:hideMark/>
          </w:tcPr>
          <w:p w:rsidR="008570E9" w:rsidRPr="00461942" w:rsidRDefault="008570E9" w:rsidP="00174822">
            <w:pPr>
              <w:keepNext/>
              <w:keepLines/>
              <w:spacing w:before="0" w:after="0"/>
              <w:jc w:val="center"/>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1.012</w:t>
            </w:r>
          </w:p>
        </w:tc>
      </w:tr>
      <w:tr w:rsidR="008570E9" w:rsidRPr="00461942" w:rsidTr="008570E9">
        <w:tc>
          <w:tcPr>
            <w:tcW w:w="3213" w:type="pct"/>
            <w:shd w:val="clear" w:color="auto" w:fill="FFFFFF" w:themeFill="background1"/>
            <w:noWrap/>
            <w:vAlign w:val="bottom"/>
            <w:hideMark/>
          </w:tcPr>
          <w:p w:rsidR="008570E9" w:rsidRPr="00461942" w:rsidRDefault="008570E9" w:rsidP="00174822">
            <w:pPr>
              <w:keepNext/>
              <w:keepLines/>
              <w:spacing w:before="0" w:after="0"/>
              <w:jc w:val="left"/>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Median age 74.5 vs 65</w:t>
            </w:r>
          </w:p>
        </w:tc>
        <w:tc>
          <w:tcPr>
            <w:tcW w:w="1787" w:type="pct"/>
            <w:shd w:val="clear" w:color="auto" w:fill="FFFFFF" w:themeFill="background1"/>
            <w:vAlign w:val="bottom"/>
            <w:hideMark/>
          </w:tcPr>
          <w:p w:rsidR="008570E9" w:rsidRPr="00461942" w:rsidRDefault="008570E9" w:rsidP="00174822">
            <w:pPr>
              <w:keepNext/>
              <w:keepLines/>
              <w:spacing w:before="0" w:after="0"/>
              <w:jc w:val="center"/>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1.164</w:t>
            </w:r>
          </w:p>
        </w:tc>
      </w:tr>
      <w:tr w:rsidR="008570E9" w:rsidRPr="00461942" w:rsidTr="008570E9">
        <w:tc>
          <w:tcPr>
            <w:tcW w:w="3213" w:type="pct"/>
            <w:shd w:val="clear" w:color="auto" w:fill="FFFFFF" w:themeFill="background1"/>
            <w:noWrap/>
            <w:vAlign w:val="bottom"/>
            <w:hideMark/>
          </w:tcPr>
          <w:p w:rsidR="008570E9" w:rsidRPr="00461942" w:rsidRDefault="008570E9" w:rsidP="00174822">
            <w:pPr>
              <w:keepNext/>
              <w:keepLines/>
              <w:spacing w:before="0" w:after="0"/>
              <w:jc w:val="left"/>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 xml:space="preserve">Total </w:t>
            </w:r>
            <w:r w:rsidR="00D51428" w:rsidRPr="00461942">
              <w:rPr>
                <w:rFonts w:ascii="Arial Narrow" w:eastAsiaTheme="minorEastAsia" w:hAnsi="Arial Narrow"/>
                <w:color w:val="000000"/>
                <w:sz w:val="20"/>
                <w:szCs w:val="20"/>
                <w:lang w:eastAsia="en-AU"/>
              </w:rPr>
              <w:t>p</w:t>
            </w:r>
            <w:r w:rsidRPr="00461942">
              <w:rPr>
                <w:rFonts w:ascii="Arial Narrow" w:eastAsiaTheme="minorEastAsia" w:hAnsi="Arial Narrow"/>
                <w:color w:val="000000"/>
                <w:sz w:val="20"/>
                <w:szCs w:val="20"/>
                <w:lang w:eastAsia="en-AU"/>
              </w:rPr>
              <w:t>rognostic factor</w:t>
            </w:r>
          </w:p>
        </w:tc>
        <w:tc>
          <w:tcPr>
            <w:tcW w:w="1787" w:type="pct"/>
            <w:shd w:val="clear" w:color="auto" w:fill="FFFFFF" w:themeFill="background1"/>
            <w:vAlign w:val="bottom"/>
            <w:hideMark/>
          </w:tcPr>
          <w:p w:rsidR="008570E9" w:rsidRPr="00461942" w:rsidRDefault="008570E9" w:rsidP="00174822">
            <w:pPr>
              <w:keepNext/>
              <w:keepLines/>
              <w:spacing w:before="0" w:after="0"/>
              <w:jc w:val="center"/>
              <w:rPr>
                <w:rFonts w:ascii="Arial Narrow" w:eastAsiaTheme="minorEastAsia" w:hAnsi="Arial Narrow"/>
                <w:color w:val="000000"/>
                <w:sz w:val="20"/>
                <w:szCs w:val="20"/>
                <w:lang w:eastAsia="en-AU"/>
              </w:rPr>
            </w:pPr>
            <w:r w:rsidRPr="00461942">
              <w:rPr>
                <w:rFonts w:ascii="Arial Narrow" w:eastAsiaTheme="minorEastAsia" w:hAnsi="Arial Narrow"/>
                <w:color w:val="000000"/>
                <w:sz w:val="20"/>
                <w:szCs w:val="20"/>
                <w:lang w:eastAsia="en-AU"/>
              </w:rPr>
              <w:t>1.157</w:t>
            </w:r>
          </w:p>
        </w:tc>
      </w:tr>
    </w:tbl>
    <w:p w:rsidR="008570E9" w:rsidRPr="00461942" w:rsidRDefault="008570E9" w:rsidP="000F0026">
      <w:pPr>
        <w:pStyle w:val="TableFooter"/>
      </w:pPr>
      <w:r w:rsidRPr="00461942">
        <w:t>Source: Table</w:t>
      </w:r>
      <w:r w:rsidR="00890ADC" w:rsidRPr="00461942">
        <w:t xml:space="preserve"> 2-45, p 114 of the submission.</w:t>
      </w:r>
    </w:p>
    <w:p w:rsidR="00B27719" w:rsidRPr="00962499" w:rsidRDefault="00B27719" w:rsidP="00B27719">
      <w:pPr>
        <w:pStyle w:val="ListParagraph"/>
        <w:numPr>
          <w:ilvl w:val="4"/>
          <w:numId w:val="1"/>
        </w:numPr>
        <w:rPr>
          <w:iCs/>
          <w:color w:val="auto"/>
        </w:rPr>
      </w:pPr>
      <w:bookmarkStart w:id="23" w:name="_Ref85127904"/>
      <w:r w:rsidRPr="00962499">
        <w:t xml:space="preserve">The submission further adjusted the efficacy data of pembrolizumab + chemotherapy in KN189, based on a claim that the TPS </w:t>
      </w:r>
      <w:r w:rsidRPr="00962499">
        <w:rPr>
          <w:rFonts w:cstheme="minorHAnsi"/>
        </w:rPr>
        <w:t>≥</w:t>
      </w:r>
      <w:r w:rsidRPr="00962499">
        <w:t xml:space="preserve">50% subgroup of KN189, which demonstrated the greatest benefit of pembrolizumab therapy compared to placebo, was </w:t>
      </w:r>
      <w:r w:rsidR="00B02B51" w:rsidRPr="00962499">
        <w:t>over</w:t>
      </w:r>
      <w:r w:rsidR="00B02B51">
        <w:t>represented,</w:t>
      </w:r>
      <w:r w:rsidR="00B02B51" w:rsidRPr="00962499">
        <w:t xml:space="preserve"> </w:t>
      </w:r>
      <w:r w:rsidRPr="00962499">
        <w:t>and not representative of the ‘real world’. The submission identified a publication (</w:t>
      </w:r>
      <w:proofErr w:type="spellStart"/>
      <w:r w:rsidRPr="00962499">
        <w:t>Dietel</w:t>
      </w:r>
      <w:proofErr w:type="spellEnd"/>
      <w:r w:rsidRPr="00962499">
        <w:t xml:space="preserve"> et al., 2018)</w:t>
      </w:r>
      <w:r w:rsidRPr="00962499">
        <w:rPr>
          <w:rStyle w:val="FootnoteReference"/>
        </w:rPr>
        <w:footnoteReference w:id="12"/>
      </w:r>
      <w:r w:rsidRPr="00962499">
        <w:t xml:space="preserve"> which retrospectively analysed PD-L1 status of 2,368 patients from 45 centres in 18 countries around the world. This study found that the TPS prevalence in all NSCLC cases was lower than in KN189</w:t>
      </w:r>
      <w:r w:rsidR="00AD72B1">
        <w:t xml:space="preserve">, and used this to increase the TPS &lt;1% group to 47.97%, and TPS 1-49% to 29.65%, as described in </w:t>
      </w:r>
      <w:r w:rsidR="00C56714">
        <w:t xml:space="preserve">Table </w:t>
      </w:r>
      <w:r w:rsidR="00C56714">
        <w:rPr>
          <w:noProof/>
        </w:rPr>
        <w:t>7</w:t>
      </w:r>
      <w:r w:rsidR="00AD72B1">
        <w:t xml:space="preserve"> below</w:t>
      </w:r>
      <w:r w:rsidR="001904E8">
        <w:t xml:space="preserve"> in what </w:t>
      </w:r>
      <w:r w:rsidR="00174822">
        <w:t xml:space="preserve">the submission </w:t>
      </w:r>
      <w:r w:rsidR="001904E8">
        <w:t>defined as the ‘real world’</w:t>
      </w:r>
      <w:r w:rsidR="00B10E84">
        <w:t xml:space="preserve"> pooled TPS</w:t>
      </w:r>
      <w:r w:rsidR="00AD72B1">
        <w:t>.</w:t>
      </w:r>
      <w:bookmarkEnd w:id="23"/>
      <w:r w:rsidR="000A3784">
        <w:t xml:space="preserve"> </w:t>
      </w:r>
    </w:p>
    <w:p w:rsidR="00B27719" w:rsidRPr="007E4DDD" w:rsidRDefault="00B27719" w:rsidP="00B27719">
      <w:pPr>
        <w:pStyle w:val="ListParagraph"/>
        <w:numPr>
          <w:ilvl w:val="4"/>
          <w:numId w:val="1"/>
        </w:numPr>
        <w:rPr>
          <w:color w:val="auto"/>
        </w:rPr>
      </w:pPr>
      <w:r w:rsidRPr="007E4DDD">
        <w:rPr>
          <w:iCs/>
        </w:rPr>
        <w:t xml:space="preserve">The publication of </w:t>
      </w:r>
      <w:proofErr w:type="spellStart"/>
      <w:r w:rsidRPr="007E4DDD">
        <w:rPr>
          <w:iCs/>
        </w:rPr>
        <w:t>Dietel</w:t>
      </w:r>
      <w:proofErr w:type="spellEnd"/>
      <w:r w:rsidRPr="007E4DDD">
        <w:rPr>
          <w:iCs/>
        </w:rPr>
        <w:t xml:space="preserve"> et al. (2019)</w:t>
      </w:r>
      <w:r w:rsidRPr="007E4DDD">
        <w:rPr>
          <w:rStyle w:val="FootnoteReference"/>
          <w:iCs/>
        </w:rPr>
        <w:footnoteReference w:id="13"/>
      </w:r>
      <w:r w:rsidRPr="007E4DDD">
        <w:rPr>
          <w:iCs/>
        </w:rPr>
        <w:t xml:space="preserve"> also provided PD-L1 distributions in NSCLC cases who tested negative for both </w:t>
      </w:r>
      <w:r w:rsidRPr="008D313B">
        <w:rPr>
          <w:i/>
          <w:iCs/>
        </w:rPr>
        <w:t>EGFR</w:t>
      </w:r>
      <w:r w:rsidRPr="007E4DDD">
        <w:rPr>
          <w:iCs/>
        </w:rPr>
        <w:t xml:space="preserve"> mutation and </w:t>
      </w:r>
      <w:r w:rsidRPr="008D313B">
        <w:rPr>
          <w:i/>
          <w:iCs/>
        </w:rPr>
        <w:t>ALK</w:t>
      </w:r>
      <w:r w:rsidRPr="007E4DDD">
        <w:rPr>
          <w:iCs/>
        </w:rPr>
        <w:t xml:space="preserve"> alteration, which is a more accurate representation of the proposed target population.</w:t>
      </w:r>
      <w:r w:rsidR="000A3784" w:rsidRPr="000A3784">
        <w:rPr>
          <w:i/>
          <w:iCs/>
        </w:rPr>
        <w:t xml:space="preserve"> </w:t>
      </w:r>
      <w:r w:rsidR="000A3784">
        <w:rPr>
          <w:iCs/>
        </w:rPr>
        <w:t xml:space="preserve"> </w:t>
      </w:r>
      <w:r w:rsidRPr="007E4DDD">
        <w:rPr>
          <w:iCs/>
        </w:rPr>
        <w:t>In addition, Kron et al. (2020)</w:t>
      </w:r>
      <w:r w:rsidRPr="007E4DDD">
        <w:rPr>
          <w:rStyle w:val="FootnoteReference"/>
          <w:iCs/>
        </w:rPr>
        <w:footnoteReference w:id="14"/>
      </w:r>
      <w:r w:rsidRPr="007E4DDD">
        <w:rPr>
          <w:iCs/>
        </w:rPr>
        <w:t xml:space="preserve"> assessed the PD-L1 positivity in 337 tumour specimens that had </w:t>
      </w:r>
      <w:r w:rsidRPr="001C29AA">
        <w:rPr>
          <w:i/>
        </w:rPr>
        <w:t>MET</w:t>
      </w:r>
      <w:r w:rsidRPr="007E4DDD">
        <w:rPr>
          <w:iCs/>
        </w:rPr>
        <w:t>ex14 mutations and found these tumours had a higher PD-L1 expression than the general population, with about a third of patients having PD-L1 TPS</w:t>
      </w:r>
      <w:r w:rsidR="00082321">
        <w:rPr>
          <w:iCs/>
        </w:rPr>
        <w:t xml:space="preserve"> </w:t>
      </w:r>
      <w:r w:rsidRPr="007E4DDD">
        <w:rPr>
          <w:iCs/>
        </w:rPr>
        <w:t>≥50%.</w:t>
      </w:r>
      <w:r w:rsidR="00F515FA">
        <w:rPr>
          <w:iCs/>
        </w:rPr>
        <w:t xml:space="preserve">  </w:t>
      </w:r>
      <w:r w:rsidRPr="007E4DDD">
        <w:rPr>
          <w:iCs/>
        </w:rPr>
        <w:t xml:space="preserve">These distributions are summarised below. </w:t>
      </w:r>
      <w:r w:rsidR="003C359A" w:rsidRPr="007E4DDD">
        <w:rPr>
          <w:iCs/>
        </w:rPr>
        <w:t>As the submission sought to match the population of KN189 to the target METex14sk population, these higher rates of PD-L1</w:t>
      </w:r>
      <w:r w:rsidR="00C6498A" w:rsidRPr="007E4DDD">
        <w:rPr>
          <w:iCs/>
        </w:rPr>
        <w:t xml:space="preserve"> positivity</w:t>
      </w:r>
      <w:r w:rsidR="003C359A" w:rsidRPr="007E4DDD">
        <w:rPr>
          <w:iCs/>
        </w:rPr>
        <w:t xml:space="preserve"> provide a more accurate </w:t>
      </w:r>
      <w:r w:rsidR="00297B37" w:rsidRPr="007E4DDD">
        <w:rPr>
          <w:iCs/>
        </w:rPr>
        <w:t>representation</w:t>
      </w:r>
      <w:r w:rsidR="003C359A" w:rsidRPr="007E4DDD">
        <w:rPr>
          <w:iCs/>
        </w:rPr>
        <w:t xml:space="preserve">. </w:t>
      </w:r>
      <w:r w:rsidRPr="007E4DDD">
        <w:rPr>
          <w:iCs/>
        </w:rPr>
        <w:t xml:space="preserve">The </w:t>
      </w:r>
      <w:r w:rsidR="00174822" w:rsidRPr="00461942">
        <w:rPr>
          <w:iCs/>
        </w:rPr>
        <w:t>evaluation considered the</w:t>
      </w:r>
      <w:r w:rsidR="00174822">
        <w:rPr>
          <w:iCs/>
        </w:rPr>
        <w:t xml:space="preserve"> </w:t>
      </w:r>
      <w:r w:rsidRPr="007E4DDD">
        <w:rPr>
          <w:iCs/>
        </w:rPr>
        <w:t>submission’s adjustment of the efficacy of pembrolizumab + chemotherapy may have underestimated the benefit of pembrolizumab + chemotherapy, and biased the result of</w:t>
      </w:r>
      <w:r w:rsidR="003C359A" w:rsidRPr="007E4DDD">
        <w:rPr>
          <w:iCs/>
        </w:rPr>
        <w:t xml:space="preserve"> the</w:t>
      </w:r>
      <w:r w:rsidRPr="007E4DDD">
        <w:rPr>
          <w:iCs/>
        </w:rPr>
        <w:t xml:space="preserve"> indirect comparison in favour of tepotinib.</w:t>
      </w:r>
      <w:r w:rsidR="000A3784" w:rsidRPr="000A3784">
        <w:rPr>
          <w:i/>
          <w:iCs/>
        </w:rPr>
        <w:t xml:space="preserve"> </w:t>
      </w:r>
      <w:r w:rsidR="000A3784" w:rsidRPr="00461942">
        <w:rPr>
          <w:iCs/>
        </w:rPr>
        <w:t xml:space="preserve">The PSCR agreed with the evaluation that the PD-L1 distributions in </w:t>
      </w:r>
      <w:proofErr w:type="spellStart"/>
      <w:r w:rsidR="000A3784" w:rsidRPr="00461942">
        <w:rPr>
          <w:iCs/>
        </w:rPr>
        <w:t>Dietel</w:t>
      </w:r>
      <w:proofErr w:type="spellEnd"/>
      <w:r w:rsidR="000A3784" w:rsidRPr="00461942">
        <w:rPr>
          <w:iCs/>
        </w:rPr>
        <w:t xml:space="preserve"> 2019 in patients negative for </w:t>
      </w:r>
      <w:r w:rsidR="000A3784" w:rsidRPr="008D313B">
        <w:rPr>
          <w:i/>
        </w:rPr>
        <w:t>EGFR</w:t>
      </w:r>
      <w:r w:rsidR="00933640" w:rsidRPr="00461942">
        <w:rPr>
          <w:iCs/>
        </w:rPr>
        <w:t xml:space="preserve"> pathogenic variants </w:t>
      </w:r>
      <w:r w:rsidR="000A3784" w:rsidRPr="00461942">
        <w:rPr>
          <w:iCs/>
        </w:rPr>
        <w:t xml:space="preserve">and </w:t>
      </w:r>
      <w:r w:rsidR="000A3784" w:rsidRPr="008D313B">
        <w:rPr>
          <w:i/>
        </w:rPr>
        <w:t>ALK</w:t>
      </w:r>
      <w:r w:rsidR="000A3784" w:rsidRPr="00461942">
        <w:rPr>
          <w:iCs/>
        </w:rPr>
        <w:t xml:space="preserve"> alteration were more relevant and provided revised KM curves. The PSCR stated the </w:t>
      </w:r>
      <w:r w:rsidR="000A3784" w:rsidRPr="001C29AA">
        <w:rPr>
          <w:i/>
          <w:iCs/>
        </w:rPr>
        <w:t>MET</w:t>
      </w:r>
      <w:r w:rsidR="000A3784" w:rsidRPr="00461942">
        <w:rPr>
          <w:iCs/>
        </w:rPr>
        <w:t xml:space="preserve">ex14 cohort in the Kron paper only included 59 patients which is a small sample size to conclude that </w:t>
      </w:r>
      <w:r w:rsidR="001C29AA">
        <w:rPr>
          <w:iCs/>
        </w:rPr>
        <w:t xml:space="preserve">the proportion of patients with </w:t>
      </w:r>
      <w:r w:rsidR="000A3784" w:rsidRPr="00461942">
        <w:rPr>
          <w:iCs/>
        </w:rPr>
        <w:t xml:space="preserve">PD-L1 </w:t>
      </w:r>
      <w:r w:rsidR="00EB60F5" w:rsidRPr="00461942">
        <w:rPr>
          <w:iCs/>
        </w:rPr>
        <w:t>TPS</w:t>
      </w:r>
      <w:r w:rsidR="000A3784" w:rsidRPr="00461942">
        <w:rPr>
          <w:iCs/>
        </w:rPr>
        <w:t xml:space="preserve"> </w:t>
      </w:r>
      <w:r w:rsidR="001C29AA">
        <w:rPr>
          <w:rFonts w:cstheme="minorHAnsi"/>
          <w:iCs/>
        </w:rPr>
        <w:t>≥</w:t>
      </w:r>
      <w:r w:rsidR="001C29AA">
        <w:rPr>
          <w:iCs/>
        </w:rPr>
        <w:t xml:space="preserve">50% </w:t>
      </w:r>
      <w:r w:rsidR="000A3784" w:rsidRPr="00461942">
        <w:rPr>
          <w:iCs/>
        </w:rPr>
        <w:t xml:space="preserve">is greater in </w:t>
      </w:r>
      <w:r w:rsidR="000A3784" w:rsidRPr="001C29AA">
        <w:rPr>
          <w:i/>
          <w:iCs/>
        </w:rPr>
        <w:t>MET</w:t>
      </w:r>
      <w:r w:rsidR="000A3784" w:rsidRPr="00461942">
        <w:rPr>
          <w:iCs/>
        </w:rPr>
        <w:t>ex14 patients than the general population.</w:t>
      </w:r>
    </w:p>
    <w:p w:rsidR="00B27719" w:rsidRPr="007E4DDD" w:rsidRDefault="00C85B50" w:rsidP="005D7976">
      <w:pPr>
        <w:pStyle w:val="Caption"/>
      </w:pPr>
      <w:bookmarkStart w:id="24" w:name="_Ref81561154"/>
      <w:r>
        <w:t xml:space="preserve">Table </w:t>
      </w:r>
      <w:r w:rsidR="00C56714">
        <w:rPr>
          <w:noProof/>
        </w:rPr>
        <w:t>7</w:t>
      </w:r>
      <w:bookmarkEnd w:id="24"/>
      <w:r w:rsidR="00F800E1">
        <w:rPr>
          <w:noProof/>
        </w:rPr>
        <w:t>:</w:t>
      </w:r>
      <w:r>
        <w:t xml:space="preserve"> </w:t>
      </w:r>
      <w:r w:rsidR="00B27719" w:rsidRPr="007E4DDD">
        <w:t>Comparison of PD-L1 distribution from KN189, submission’s adjustment, and literature reported estimates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Comparison of PD-L1 distribution from KN189, submission’s adjustment, and literature reported estimates"/>
      </w:tblPr>
      <w:tblGrid>
        <w:gridCol w:w="4106"/>
        <w:gridCol w:w="1559"/>
        <w:gridCol w:w="1701"/>
        <w:gridCol w:w="1650"/>
      </w:tblGrid>
      <w:tr w:rsidR="00B27719" w:rsidRPr="00962499" w:rsidTr="00FD0BD5">
        <w:trPr>
          <w:cnfStyle w:val="100000000000" w:firstRow="1" w:lastRow="0" w:firstColumn="0" w:lastColumn="0" w:oddVBand="0" w:evenVBand="0" w:oddHBand="0" w:evenHBand="0" w:firstRowFirstColumn="0" w:firstRowLastColumn="0" w:lastRowFirstColumn="0" w:lastRowLastColumn="0"/>
          <w:tblHeader/>
        </w:trPr>
        <w:tc>
          <w:tcPr>
            <w:tcW w:w="4106" w:type="dxa"/>
            <w:shd w:val="clear" w:color="auto" w:fill="auto"/>
          </w:tcPr>
          <w:p w:rsidR="00B27719" w:rsidRPr="00F13980" w:rsidRDefault="00B27719" w:rsidP="00FD2F1C">
            <w:pPr>
              <w:pStyle w:val="TableText"/>
              <w:keepNext/>
              <w:keepLines/>
              <w:rPr>
                <w:lang w:val="en-AU"/>
              </w:rPr>
            </w:pPr>
            <w:r w:rsidRPr="00962499">
              <w:t>Source</w:t>
            </w:r>
          </w:p>
        </w:tc>
        <w:tc>
          <w:tcPr>
            <w:tcW w:w="1559" w:type="dxa"/>
            <w:shd w:val="clear" w:color="auto" w:fill="auto"/>
          </w:tcPr>
          <w:p w:rsidR="00B27719" w:rsidRPr="00F13980" w:rsidRDefault="00B27719" w:rsidP="00FD2F1C">
            <w:pPr>
              <w:pStyle w:val="TableText"/>
              <w:keepNext/>
              <w:keepLines/>
              <w:jc w:val="center"/>
              <w:rPr>
                <w:lang w:val="en-AU"/>
              </w:rPr>
            </w:pPr>
            <w:r w:rsidRPr="00962499">
              <w:t>PD-L1 TPS &lt;1%</w:t>
            </w:r>
          </w:p>
        </w:tc>
        <w:tc>
          <w:tcPr>
            <w:tcW w:w="1701" w:type="dxa"/>
            <w:shd w:val="clear" w:color="auto" w:fill="auto"/>
          </w:tcPr>
          <w:p w:rsidR="00B27719" w:rsidRPr="00F13980" w:rsidRDefault="00B27719" w:rsidP="00FD2F1C">
            <w:pPr>
              <w:pStyle w:val="TableText"/>
              <w:keepNext/>
              <w:keepLines/>
              <w:jc w:val="center"/>
              <w:rPr>
                <w:lang w:val="en-AU"/>
              </w:rPr>
            </w:pPr>
            <w:r w:rsidRPr="00962499">
              <w:t>PD-L1 TPS 1-49%</w:t>
            </w:r>
          </w:p>
        </w:tc>
        <w:tc>
          <w:tcPr>
            <w:tcW w:w="1650" w:type="dxa"/>
            <w:shd w:val="clear" w:color="auto" w:fill="auto"/>
          </w:tcPr>
          <w:p w:rsidR="00B27719" w:rsidRPr="00F13980" w:rsidRDefault="00B27719" w:rsidP="00FD2F1C">
            <w:pPr>
              <w:pStyle w:val="TableText"/>
              <w:keepNext/>
              <w:keepLines/>
              <w:jc w:val="center"/>
              <w:rPr>
                <w:lang w:val="en-AU"/>
              </w:rPr>
            </w:pPr>
            <w:r w:rsidRPr="00962499">
              <w:t>PD-L1 TPS ≥50%</w:t>
            </w:r>
          </w:p>
        </w:tc>
      </w:tr>
      <w:tr w:rsidR="00B27719" w:rsidRPr="00962499" w:rsidTr="00B27719">
        <w:tc>
          <w:tcPr>
            <w:tcW w:w="4106" w:type="dxa"/>
          </w:tcPr>
          <w:p w:rsidR="00B27719" w:rsidRPr="00F13980" w:rsidRDefault="00B27719" w:rsidP="00FD2F1C">
            <w:pPr>
              <w:pStyle w:val="TableText"/>
              <w:keepNext/>
              <w:keepLines/>
              <w:rPr>
                <w:lang w:val="en-AU"/>
              </w:rPr>
            </w:pPr>
            <w:r w:rsidRPr="00962499">
              <w:t>KN189</w:t>
            </w:r>
          </w:p>
        </w:tc>
        <w:tc>
          <w:tcPr>
            <w:tcW w:w="1559" w:type="dxa"/>
          </w:tcPr>
          <w:p w:rsidR="00B27719" w:rsidRPr="00F13980" w:rsidRDefault="00B27719" w:rsidP="00FD2F1C">
            <w:pPr>
              <w:pStyle w:val="TableText"/>
              <w:keepNext/>
              <w:keepLines/>
              <w:jc w:val="center"/>
              <w:rPr>
                <w:lang w:val="en-AU"/>
              </w:rPr>
            </w:pPr>
            <w:r w:rsidRPr="00962499">
              <w:t>31.0%</w:t>
            </w:r>
          </w:p>
        </w:tc>
        <w:tc>
          <w:tcPr>
            <w:tcW w:w="1701" w:type="dxa"/>
          </w:tcPr>
          <w:p w:rsidR="00B27719" w:rsidRPr="00F13980" w:rsidRDefault="00B27719" w:rsidP="00FD2F1C">
            <w:pPr>
              <w:pStyle w:val="TableText"/>
              <w:keepNext/>
              <w:keepLines/>
              <w:jc w:val="center"/>
              <w:rPr>
                <w:lang w:val="en-AU"/>
              </w:rPr>
            </w:pPr>
            <w:r w:rsidRPr="00962499">
              <w:t>31.2%</w:t>
            </w:r>
          </w:p>
        </w:tc>
        <w:tc>
          <w:tcPr>
            <w:tcW w:w="1650" w:type="dxa"/>
          </w:tcPr>
          <w:p w:rsidR="00B27719" w:rsidRPr="00F13980" w:rsidRDefault="00B27719" w:rsidP="00FD2F1C">
            <w:pPr>
              <w:pStyle w:val="TableText"/>
              <w:keepNext/>
              <w:keepLines/>
              <w:jc w:val="center"/>
              <w:rPr>
                <w:lang w:val="en-AU"/>
              </w:rPr>
            </w:pPr>
            <w:r w:rsidRPr="00962499">
              <w:t>32.2%</w:t>
            </w:r>
          </w:p>
        </w:tc>
      </w:tr>
      <w:tr w:rsidR="00B27719" w:rsidRPr="00962499" w:rsidTr="00B27719">
        <w:tc>
          <w:tcPr>
            <w:tcW w:w="4106" w:type="dxa"/>
          </w:tcPr>
          <w:p w:rsidR="00B27719" w:rsidRPr="00F13980" w:rsidRDefault="00B27719" w:rsidP="001C29AA">
            <w:pPr>
              <w:pStyle w:val="TableText"/>
              <w:keepNext/>
              <w:keepLines/>
              <w:rPr>
                <w:lang w:val="en-AU"/>
              </w:rPr>
            </w:pPr>
            <w:r w:rsidRPr="00962499">
              <w:t xml:space="preserve">Estimate based on all Stage IIIB/IV NSCLC </w:t>
            </w:r>
            <w:proofErr w:type="spellStart"/>
            <w:r w:rsidRPr="00962499">
              <w:t>tumours</w:t>
            </w:r>
            <w:proofErr w:type="spellEnd"/>
            <w:r w:rsidRPr="00962499">
              <w:t xml:space="preserve">, </w:t>
            </w:r>
            <w:proofErr w:type="spellStart"/>
            <w:r w:rsidRPr="00962499">
              <w:t>Dietel</w:t>
            </w:r>
            <w:proofErr w:type="spellEnd"/>
            <w:r w:rsidRPr="00962499">
              <w:t xml:space="preserve"> et al., 2018</w:t>
            </w:r>
            <w:r w:rsidR="001C29AA">
              <w:t xml:space="preserve"> (submission assumption)</w:t>
            </w:r>
          </w:p>
        </w:tc>
        <w:tc>
          <w:tcPr>
            <w:tcW w:w="1559" w:type="dxa"/>
          </w:tcPr>
          <w:p w:rsidR="00B27719" w:rsidRPr="00F13980" w:rsidRDefault="00B27719" w:rsidP="00FD2F1C">
            <w:pPr>
              <w:pStyle w:val="TableText"/>
              <w:keepNext/>
              <w:keepLines/>
              <w:jc w:val="center"/>
              <w:rPr>
                <w:lang w:val="en-AU"/>
              </w:rPr>
            </w:pPr>
            <w:r w:rsidRPr="00962499">
              <w:t>47.97%</w:t>
            </w:r>
          </w:p>
        </w:tc>
        <w:tc>
          <w:tcPr>
            <w:tcW w:w="1701" w:type="dxa"/>
          </w:tcPr>
          <w:p w:rsidR="00B27719" w:rsidRPr="00F13980" w:rsidRDefault="00B27719" w:rsidP="00FD2F1C">
            <w:pPr>
              <w:pStyle w:val="TableText"/>
              <w:keepNext/>
              <w:keepLines/>
              <w:jc w:val="center"/>
              <w:rPr>
                <w:lang w:val="en-AU"/>
              </w:rPr>
            </w:pPr>
            <w:r w:rsidRPr="00962499">
              <w:t>29.65%</w:t>
            </w:r>
          </w:p>
        </w:tc>
        <w:tc>
          <w:tcPr>
            <w:tcW w:w="1650" w:type="dxa"/>
          </w:tcPr>
          <w:p w:rsidR="00B27719" w:rsidRPr="00F13980" w:rsidRDefault="00B27719" w:rsidP="00FD2F1C">
            <w:pPr>
              <w:pStyle w:val="TableText"/>
              <w:keepNext/>
              <w:keepLines/>
              <w:jc w:val="center"/>
              <w:rPr>
                <w:lang w:val="en-AU"/>
              </w:rPr>
            </w:pPr>
            <w:r w:rsidRPr="00962499">
              <w:t>22.38%</w:t>
            </w:r>
          </w:p>
        </w:tc>
      </w:tr>
      <w:tr w:rsidR="00B27719" w:rsidRPr="00962499" w:rsidTr="00B27719">
        <w:tc>
          <w:tcPr>
            <w:tcW w:w="4106" w:type="dxa"/>
          </w:tcPr>
          <w:p w:rsidR="00B27719" w:rsidRPr="00F13980" w:rsidRDefault="00B27719" w:rsidP="001C29AA">
            <w:pPr>
              <w:pStyle w:val="TableText"/>
              <w:keepNext/>
              <w:keepLines/>
              <w:rPr>
                <w:lang w:val="en-AU"/>
              </w:rPr>
            </w:pPr>
            <w:r w:rsidRPr="00962499">
              <w:t xml:space="preserve">Estimate based on </w:t>
            </w:r>
            <w:proofErr w:type="spellStart"/>
            <w:r w:rsidRPr="00962499">
              <w:t>tumours</w:t>
            </w:r>
            <w:proofErr w:type="spellEnd"/>
            <w:r w:rsidRPr="00962499">
              <w:t xml:space="preserve"> which tested negative for both </w:t>
            </w:r>
            <w:r w:rsidRPr="004A4F2A">
              <w:rPr>
                <w:i/>
              </w:rPr>
              <w:t>EGFR</w:t>
            </w:r>
            <w:r w:rsidRPr="00962499">
              <w:t xml:space="preserve"> mutation and </w:t>
            </w:r>
            <w:r w:rsidRPr="004A4F2A">
              <w:rPr>
                <w:i/>
              </w:rPr>
              <w:t>ALK</w:t>
            </w:r>
            <w:r w:rsidRPr="00962499">
              <w:t xml:space="preserve"> alteration, </w:t>
            </w:r>
            <w:proofErr w:type="spellStart"/>
            <w:r w:rsidRPr="00962499">
              <w:t>Dietel</w:t>
            </w:r>
            <w:proofErr w:type="spellEnd"/>
            <w:r w:rsidRPr="00962499">
              <w:t xml:space="preserve"> et al., 201</w:t>
            </w:r>
            <w:r w:rsidR="001C29AA">
              <w:t xml:space="preserve">9 </w:t>
            </w:r>
          </w:p>
        </w:tc>
        <w:tc>
          <w:tcPr>
            <w:tcW w:w="1559" w:type="dxa"/>
          </w:tcPr>
          <w:p w:rsidR="00B27719" w:rsidRPr="00F13980" w:rsidRDefault="00B27719" w:rsidP="00FD2F1C">
            <w:pPr>
              <w:pStyle w:val="TableText"/>
              <w:keepNext/>
              <w:keepLines/>
              <w:jc w:val="center"/>
              <w:rPr>
                <w:lang w:val="en-AU"/>
              </w:rPr>
            </w:pPr>
            <w:r w:rsidRPr="00962499">
              <w:t>46.5%</w:t>
            </w:r>
          </w:p>
        </w:tc>
        <w:tc>
          <w:tcPr>
            <w:tcW w:w="1701" w:type="dxa"/>
          </w:tcPr>
          <w:p w:rsidR="00B27719" w:rsidRPr="00F13980" w:rsidRDefault="00B27719" w:rsidP="00FD2F1C">
            <w:pPr>
              <w:pStyle w:val="TableText"/>
              <w:keepNext/>
              <w:keepLines/>
              <w:jc w:val="center"/>
              <w:rPr>
                <w:lang w:val="en-AU"/>
              </w:rPr>
            </w:pPr>
            <w:r w:rsidRPr="00962499">
              <w:t>26.9%</w:t>
            </w:r>
          </w:p>
        </w:tc>
        <w:tc>
          <w:tcPr>
            <w:tcW w:w="1650" w:type="dxa"/>
          </w:tcPr>
          <w:p w:rsidR="00B27719" w:rsidRPr="00F13980" w:rsidRDefault="00B27719" w:rsidP="00FD2F1C">
            <w:pPr>
              <w:pStyle w:val="TableText"/>
              <w:keepNext/>
              <w:keepLines/>
              <w:jc w:val="center"/>
              <w:rPr>
                <w:lang w:val="en-AU"/>
              </w:rPr>
            </w:pPr>
            <w:r w:rsidRPr="00962499">
              <w:t>26.6%</w:t>
            </w:r>
          </w:p>
        </w:tc>
      </w:tr>
      <w:tr w:rsidR="00B27719" w:rsidRPr="00962499" w:rsidTr="00B27719">
        <w:tc>
          <w:tcPr>
            <w:tcW w:w="4106" w:type="dxa"/>
          </w:tcPr>
          <w:p w:rsidR="00B27719" w:rsidRPr="00F13980" w:rsidRDefault="00B27719" w:rsidP="00FD2F1C">
            <w:pPr>
              <w:pStyle w:val="TableText"/>
              <w:keepNext/>
              <w:keepLines/>
              <w:rPr>
                <w:lang w:val="en-AU"/>
              </w:rPr>
            </w:pPr>
            <w:r w:rsidRPr="00962499">
              <w:t xml:space="preserve">PD-L1 positivity recorded in patients with </w:t>
            </w:r>
            <w:r w:rsidRPr="000A75A8">
              <w:rPr>
                <w:i/>
              </w:rPr>
              <w:t>MET</w:t>
            </w:r>
            <w:r w:rsidRPr="00962499">
              <w:t>ex14</w:t>
            </w:r>
            <w:r w:rsidR="000A75A8">
              <w:t>sk</w:t>
            </w:r>
            <w:r w:rsidRPr="00962499">
              <w:t xml:space="preserve"> mutations, Kron et al. 2020.</w:t>
            </w:r>
          </w:p>
        </w:tc>
        <w:tc>
          <w:tcPr>
            <w:tcW w:w="1559" w:type="dxa"/>
          </w:tcPr>
          <w:p w:rsidR="00B27719" w:rsidRPr="00F13980" w:rsidRDefault="00B27719" w:rsidP="00FD2F1C">
            <w:pPr>
              <w:pStyle w:val="TableText"/>
              <w:keepNext/>
              <w:keepLines/>
              <w:jc w:val="center"/>
              <w:rPr>
                <w:lang w:val="en-AU"/>
              </w:rPr>
            </w:pPr>
            <w:r w:rsidRPr="00962499">
              <w:t>27.8%</w:t>
            </w:r>
          </w:p>
        </w:tc>
        <w:tc>
          <w:tcPr>
            <w:tcW w:w="1701" w:type="dxa"/>
          </w:tcPr>
          <w:p w:rsidR="00B27719" w:rsidRPr="00F13980" w:rsidRDefault="00B27719" w:rsidP="00FD2F1C">
            <w:pPr>
              <w:pStyle w:val="TableText"/>
              <w:keepNext/>
              <w:keepLines/>
              <w:jc w:val="center"/>
              <w:rPr>
                <w:lang w:val="en-AU"/>
              </w:rPr>
            </w:pPr>
            <w:r w:rsidRPr="00962499">
              <w:t>36.1%</w:t>
            </w:r>
          </w:p>
        </w:tc>
        <w:tc>
          <w:tcPr>
            <w:tcW w:w="1650" w:type="dxa"/>
          </w:tcPr>
          <w:p w:rsidR="00B27719" w:rsidRPr="00F13980" w:rsidRDefault="00B27719" w:rsidP="00FD2F1C">
            <w:pPr>
              <w:pStyle w:val="TableText"/>
              <w:keepNext/>
              <w:keepLines/>
              <w:jc w:val="center"/>
              <w:rPr>
                <w:lang w:val="en-AU"/>
              </w:rPr>
            </w:pPr>
            <w:r w:rsidRPr="00962499">
              <w:t>36.1%</w:t>
            </w:r>
          </w:p>
        </w:tc>
      </w:tr>
    </w:tbl>
    <w:p w:rsidR="001D527B" w:rsidRPr="00962499" w:rsidRDefault="001D527B" w:rsidP="00FD2F1C">
      <w:pPr>
        <w:pStyle w:val="TableFooter"/>
        <w:keepNext/>
        <w:keepLines/>
      </w:pPr>
      <w:r w:rsidRPr="00962499">
        <w:t xml:space="preserve">KN189 = Keynote 189; PD-L1 = programmed death ligand 1; TPS = tumour proportion score; NSCLC= non-small cell lung cancer; </w:t>
      </w:r>
      <w:r w:rsidRPr="008D313B">
        <w:rPr>
          <w:i/>
          <w:iCs/>
        </w:rPr>
        <w:t>EGFR</w:t>
      </w:r>
      <w:r w:rsidRPr="00962499">
        <w:t xml:space="preserve"> = epidermal growth factor receptor; </w:t>
      </w:r>
      <w:r w:rsidRPr="008D313B">
        <w:rPr>
          <w:i/>
          <w:iCs/>
        </w:rPr>
        <w:t>ALK</w:t>
      </w:r>
      <w:r w:rsidRPr="00962499">
        <w:t xml:space="preserve"> = anaplastic lymphoma kinase;</w:t>
      </w:r>
      <w:r w:rsidR="008D313B">
        <w:t xml:space="preserve"> </w:t>
      </w:r>
      <w:r w:rsidRPr="00962499">
        <w:rPr>
          <w:i/>
        </w:rPr>
        <w:t>MET</w:t>
      </w:r>
      <w:r w:rsidRPr="00962499">
        <w:t xml:space="preserve">ex14sk = </w:t>
      </w:r>
      <w:r w:rsidR="001C3B0D" w:rsidRPr="000152E5">
        <w:t xml:space="preserve">MET </w:t>
      </w:r>
      <w:r w:rsidR="001C3B0D" w:rsidRPr="001C3B0D">
        <w:t xml:space="preserve">proto-oncogene, receptor tyrosine kinase </w:t>
      </w:r>
      <w:r w:rsidRPr="00962499">
        <w:t xml:space="preserve">exon 14 skipping alterations. </w:t>
      </w:r>
    </w:p>
    <w:p w:rsidR="00B27719" w:rsidRPr="00962499" w:rsidRDefault="00B27719" w:rsidP="00FD2F1C">
      <w:pPr>
        <w:pStyle w:val="TableFooter"/>
        <w:keepNext/>
        <w:keepLines/>
      </w:pPr>
      <w:r w:rsidRPr="00962499">
        <w:t xml:space="preserve">Source: Constructed during the evaluation, based on data from Table 1, </w:t>
      </w:r>
      <w:r w:rsidR="001668BC" w:rsidRPr="00962499">
        <w:t xml:space="preserve">p 1507 of </w:t>
      </w:r>
      <w:proofErr w:type="spellStart"/>
      <w:r w:rsidR="001668BC" w:rsidRPr="00962499">
        <w:t>Gadgeel</w:t>
      </w:r>
      <w:proofErr w:type="spellEnd"/>
      <w:r w:rsidR="001668BC" w:rsidRPr="00962499">
        <w:t xml:space="preserve"> </w:t>
      </w:r>
      <w:proofErr w:type="gramStart"/>
      <w:r w:rsidR="001668BC" w:rsidRPr="00962499">
        <w:t>et</w:t>
      </w:r>
      <w:proofErr w:type="gramEnd"/>
      <w:r w:rsidR="001668BC" w:rsidRPr="00962499">
        <w:t>. al. 2020</w:t>
      </w:r>
      <w:r w:rsidRPr="00962499">
        <w:t xml:space="preserve">, Table 1, p 177 of </w:t>
      </w:r>
      <w:proofErr w:type="spellStart"/>
      <w:r w:rsidRPr="00962499">
        <w:t>Dietel</w:t>
      </w:r>
      <w:proofErr w:type="spellEnd"/>
      <w:r w:rsidRPr="00962499">
        <w:t xml:space="preserve"> et al. 2019, Figure 4, p 579 of Kron et al. 2020, and data from the submission’s excel spreadsheet “20210603 KM Curve Comparison Dashboard v3.xlsm”</w:t>
      </w:r>
    </w:p>
    <w:p w:rsidR="00B27719" w:rsidRPr="00FF29B7" w:rsidRDefault="00B27719" w:rsidP="00FF29B7">
      <w:pPr>
        <w:pStyle w:val="ListParagraph"/>
        <w:rPr>
          <w:color w:val="auto"/>
        </w:rPr>
      </w:pPr>
      <w:r w:rsidRPr="00962499">
        <w:rPr>
          <w:color w:val="auto"/>
        </w:rPr>
        <w:t xml:space="preserve">The key results of tepotinib, in terms of </w:t>
      </w:r>
      <w:r w:rsidR="001C29AA">
        <w:rPr>
          <w:color w:val="auto"/>
        </w:rPr>
        <w:t>objective response rate (</w:t>
      </w:r>
      <w:r w:rsidRPr="00962499">
        <w:rPr>
          <w:color w:val="auto"/>
        </w:rPr>
        <w:t>ORR</w:t>
      </w:r>
      <w:r w:rsidR="001C29AA">
        <w:rPr>
          <w:color w:val="auto"/>
        </w:rPr>
        <w:t>)</w:t>
      </w:r>
      <w:r w:rsidRPr="00962499">
        <w:rPr>
          <w:color w:val="auto"/>
        </w:rPr>
        <w:t xml:space="preserve">, </w:t>
      </w:r>
      <w:r w:rsidR="001C29AA">
        <w:rPr>
          <w:color w:val="auto"/>
        </w:rPr>
        <w:t>progression-free survival (</w:t>
      </w:r>
      <w:r w:rsidRPr="00962499">
        <w:rPr>
          <w:color w:val="auto"/>
        </w:rPr>
        <w:t>PFS</w:t>
      </w:r>
      <w:r w:rsidR="001C29AA">
        <w:rPr>
          <w:color w:val="auto"/>
        </w:rPr>
        <w:t>)</w:t>
      </w:r>
      <w:r w:rsidRPr="00962499">
        <w:rPr>
          <w:color w:val="auto"/>
        </w:rPr>
        <w:t xml:space="preserve"> and </w:t>
      </w:r>
      <w:r w:rsidR="001C29AA">
        <w:rPr>
          <w:color w:val="auto"/>
        </w:rPr>
        <w:t>overall survival (</w:t>
      </w:r>
      <w:r w:rsidRPr="00962499">
        <w:rPr>
          <w:color w:val="auto"/>
        </w:rPr>
        <w:t>OS</w:t>
      </w:r>
      <w:r w:rsidR="001C29AA">
        <w:rPr>
          <w:color w:val="auto"/>
        </w:rPr>
        <w:t>)</w:t>
      </w:r>
      <w:r w:rsidRPr="00962499">
        <w:rPr>
          <w:color w:val="auto"/>
        </w:rPr>
        <w:t xml:space="preserve"> are summarised below.</w:t>
      </w:r>
      <w:r w:rsidR="00FF29B7">
        <w:rPr>
          <w:color w:val="auto"/>
        </w:rPr>
        <w:t xml:space="preserve"> The PBAC noted the ORR for</w:t>
      </w:r>
      <w:r w:rsidR="00860E7D">
        <w:rPr>
          <w:color w:val="auto"/>
        </w:rPr>
        <w:t xml:space="preserve"> previously untreated patients </w:t>
      </w:r>
      <w:r w:rsidR="00FF29B7">
        <w:rPr>
          <w:color w:val="auto"/>
        </w:rPr>
        <w:t>(n=65)</w:t>
      </w:r>
      <w:r w:rsidR="008A4DC0">
        <w:rPr>
          <w:color w:val="auto"/>
        </w:rPr>
        <w:t xml:space="preserve"> was 45</w:t>
      </w:r>
      <w:r w:rsidR="00FF29B7">
        <w:rPr>
          <w:color w:val="auto"/>
        </w:rPr>
        <w:t>% (95%CI: 32%</w:t>
      </w:r>
      <w:r w:rsidR="008A4DC0">
        <w:rPr>
          <w:color w:val="auto"/>
        </w:rPr>
        <w:t>, 57.5</w:t>
      </w:r>
      <w:r w:rsidR="00FF29B7">
        <w:rPr>
          <w:color w:val="auto"/>
        </w:rPr>
        <w:t xml:space="preserve">%). </w:t>
      </w:r>
    </w:p>
    <w:p w:rsidR="00B27719" w:rsidRPr="00962499" w:rsidRDefault="00E459D6" w:rsidP="005D7976">
      <w:pPr>
        <w:pStyle w:val="Caption"/>
      </w:pPr>
      <w:bookmarkStart w:id="25" w:name="_Ref88491885"/>
      <w:r>
        <w:t xml:space="preserve">Table </w:t>
      </w:r>
      <w:r w:rsidR="00C56714">
        <w:rPr>
          <w:noProof/>
        </w:rPr>
        <w:t>8</w:t>
      </w:r>
      <w:bookmarkEnd w:id="25"/>
      <w:r w:rsidR="00F800E1">
        <w:rPr>
          <w:noProof/>
        </w:rPr>
        <w:t>:</w:t>
      </w:r>
      <w:r>
        <w:t xml:space="preserve"> </w:t>
      </w:r>
      <w:r w:rsidR="00B27719" w:rsidRPr="00962499">
        <w:t xml:space="preserve">Key results of tepotinib from VISION, </w:t>
      </w:r>
      <w:r w:rsidR="00B27719" w:rsidRPr="00962499">
        <w:rPr>
          <w:rFonts w:ascii="Calibri" w:eastAsia="MS Gothic" w:hAnsi="Calibri" w:cs="Times New Roman"/>
          <w:bCs/>
          <w:lang w:bidi="en-US"/>
        </w:rPr>
        <w:t>Cohort A (ITT-02 Oct 2019)</w:t>
      </w:r>
      <w:r w:rsidR="00103E20" w:rsidRPr="00962499">
        <w:rPr>
          <w:rFonts w:ascii="Calibri" w:eastAsia="MS Gothic" w:hAnsi="Calibri" w:cs="Times New Roman"/>
          <w:bCs/>
          <w:lang w:bidi="en-US"/>
        </w:rPr>
        <w:t>, by biopsy technique</w:t>
      </w:r>
    </w:p>
    <w:tbl>
      <w:tblPr>
        <w:tblStyle w:val="ASDTable2"/>
        <w:tblW w:w="5000" w:type="pct"/>
        <w:tblLook w:val="04A0" w:firstRow="1" w:lastRow="0" w:firstColumn="1" w:lastColumn="0" w:noHBand="0" w:noVBand="1"/>
        <w:tblCaption w:val="Table 8: Key results of tepotinib from VISION, Cohort A (ITT-02 Oct 2019), by biopsy technique"/>
      </w:tblPr>
      <w:tblGrid>
        <w:gridCol w:w="4957"/>
        <w:gridCol w:w="1417"/>
        <w:gridCol w:w="1276"/>
        <w:gridCol w:w="1366"/>
      </w:tblGrid>
      <w:tr w:rsidR="00F800E1" w:rsidRPr="00962499" w:rsidTr="00FD0BD5">
        <w:trPr>
          <w:trHeight w:val="339"/>
          <w:tblHeader/>
        </w:trPr>
        <w:tc>
          <w:tcPr>
            <w:tcW w:w="4957" w:type="dxa"/>
            <w:vMerge w:val="restart"/>
            <w:shd w:val="clear" w:color="auto" w:fill="auto"/>
          </w:tcPr>
          <w:p w:rsidR="00F800E1" w:rsidRPr="00962499" w:rsidRDefault="00F800E1" w:rsidP="004825CC">
            <w:pPr>
              <w:pStyle w:val="TableText"/>
              <w:keepNext/>
              <w:keepLines/>
              <w:spacing w:before="0" w:after="0"/>
              <w:rPr>
                <w:rFonts w:eastAsiaTheme="minorHAnsi" w:cstheme="minorBidi"/>
                <w:szCs w:val="20"/>
                <w:lang w:val="en-AU" w:bidi="ar-SA"/>
              </w:rPr>
            </w:pPr>
          </w:p>
        </w:tc>
        <w:tc>
          <w:tcPr>
            <w:tcW w:w="1417" w:type="dxa"/>
            <w:shd w:val="clear" w:color="auto" w:fill="auto"/>
          </w:tcPr>
          <w:p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L+</w:t>
            </w:r>
          </w:p>
        </w:tc>
        <w:tc>
          <w:tcPr>
            <w:tcW w:w="1276" w:type="dxa"/>
            <w:shd w:val="clear" w:color="auto" w:fill="auto"/>
          </w:tcPr>
          <w:p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T+</w:t>
            </w:r>
          </w:p>
        </w:tc>
        <w:tc>
          <w:tcPr>
            <w:tcW w:w="1366" w:type="dxa"/>
            <w:shd w:val="clear" w:color="auto" w:fill="auto"/>
          </w:tcPr>
          <w:p w:rsidR="00F800E1" w:rsidRPr="00962499" w:rsidRDefault="00F800E1" w:rsidP="004825CC">
            <w:pPr>
              <w:pStyle w:val="TableText"/>
              <w:keepNext/>
              <w:keepLines/>
              <w:spacing w:before="0" w:after="0"/>
              <w:jc w:val="center"/>
              <w:rPr>
                <w:rFonts w:eastAsiaTheme="minorHAnsi" w:cstheme="minorBidi"/>
                <w:szCs w:val="20"/>
                <w:lang w:val="en-AU" w:bidi="ar-SA"/>
              </w:rPr>
            </w:pPr>
            <w:proofErr w:type="spellStart"/>
            <w:r w:rsidRPr="00962499">
              <w:rPr>
                <w:szCs w:val="20"/>
              </w:rPr>
              <w:t>Combined</w:t>
            </w:r>
            <w:r w:rsidRPr="00962499">
              <w:rPr>
                <w:szCs w:val="20"/>
                <w:vertAlign w:val="superscript"/>
              </w:rPr>
              <w:t>a</w:t>
            </w:r>
            <w:proofErr w:type="spellEnd"/>
          </w:p>
        </w:tc>
      </w:tr>
      <w:tr w:rsidR="00F800E1" w:rsidRPr="00962499" w:rsidTr="00FD0BD5">
        <w:trPr>
          <w:trHeight w:val="302"/>
          <w:tblHeader/>
        </w:trPr>
        <w:tc>
          <w:tcPr>
            <w:tcW w:w="4957" w:type="dxa"/>
            <w:vMerge/>
            <w:shd w:val="clear" w:color="auto" w:fill="auto"/>
          </w:tcPr>
          <w:p w:rsidR="00F800E1" w:rsidRPr="00962499" w:rsidRDefault="00F800E1" w:rsidP="004825CC">
            <w:pPr>
              <w:pStyle w:val="TableText"/>
              <w:keepNext/>
              <w:keepLines/>
              <w:spacing w:before="0" w:after="0"/>
              <w:rPr>
                <w:rFonts w:eastAsiaTheme="minorHAnsi" w:cstheme="minorBidi"/>
                <w:szCs w:val="20"/>
                <w:lang w:val="en-AU" w:bidi="ar-SA"/>
              </w:rPr>
            </w:pPr>
          </w:p>
        </w:tc>
        <w:tc>
          <w:tcPr>
            <w:tcW w:w="1417" w:type="dxa"/>
            <w:shd w:val="clear" w:color="auto" w:fill="auto"/>
          </w:tcPr>
          <w:p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N = 95</w:t>
            </w:r>
          </w:p>
        </w:tc>
        <w:tc>
          <w:tcPr>
            <w:tcW w:w="1276" w:type="dxa"/>
            <w:shd w:val="clear" w:color="auto" w:fill="auto"/>
          </w:tcPr>
          <w:p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N = 84</w:t>
            </w:r>
          </w:p>
        </w:tc>
        <w:tc>
          <w:tcPr>
            <w:tcW w:w="1366" w:type="dxa"/>
            <w:shd w:val="clear" w:color="auto" w:fill="auto"/>
          </w:tcPr>
          <w:p w:rsidR="00F800E1" w:rsidRPr="00962499" w:rsidRDefault="00F800E1" w:rsidP="004825CC">
            <w:pPr>
              <w:pStyle w:val="TableText"/>
              <w:keepNext/>
              <w:keepLines/>
              <w:spacing w:before="0" w:after="0"/>
              <w:jc w:val="center"/>
              <w:rPr>
                <w:rFonts w:eastAsiaTheme="minorHAnsi" w:cstheme="minorBidi"/>
                <w:szCs w:val="20"/>
                <w:lang w:val="en-AU" w:bidi="ar-SA"/>
              </w:rPr>
            </w:pPr>
            <w:r w:rsidRPr="00962499">
              <w:rPr>
                <w:szCs w:val="20"/>
              </w:rPr>
              <w:t>N = 146</w:t>
            </w:r>
          </w:p>
        </w:tc>
      </w:tr>
      <w:tr w:rsidR="00B27719" w:rsidRPr="00962499" w:rsidTr="001D527B">
        <w:trPr>
          <w:trHeight w:val="227"/>
        </w:trPr>
        <w:tc>
          <w:tcPr>
            <w:tcW w:w="9016" w:type="dxa"/>
            <w:gridSpan w:val="4"/>
            <w:tcBorders>
              <w:bottom w:val="single" w:sz="4" w:space="0" w:color="000000"/>
            </w:tcBorders>
            <w:shd w:val="clear" w:color="auto" w:fill="auto"/>
          </w:tcPr>
          <w:p w:rsidR="00B27719" w:rsidRPr="00962499" w:rsidRDefault="00B27719" w:rsidP="004825CC">
            <w:pPr>
              <w:pStyle w:val="TableText"/>
              <w:keepNext/>
              <w:keepLines/>
              <w:spacing w:before="0" w:after="0"/>
              <w:rPr>
                <w:rFonts w:eastAsiaTheme="minorHAnsi" w:cstheme="minorBidi"/>
                <w:b/>
                <w:szCs w:val="20"/>
                <w:lang w:val="en-AU" w:bidi="ar-SA"/>
              </w:rPr>
            </w:pPr>
            <w:r w:rsidRPr="00962499">
              <w:rPr>
                <w:b/>
                <w:szCs w:val="20"/>
              </w:rPr>
              <w:t>Primary outcome - ORR</w:t>
            </w:r>
          </w:p>
        </w:tc>
      </w:tr>
      <w:tr w:rsidR="00B27719" w:rsidRPr="00962499" w:rsidTr="008F6791">
        <w:trPr>
          <w:trHeight w:val="223"/>
        </w:trPr>
        <w:tc>
          <w:tcPr>
            <w:tcW w:w="4957" w:type="dxa"/>
            <w:tcBorders>
              <w:bottom w:val="nil"/>
            </w:tcBorders>
          </w:tcPr>
          <w:p w:rsidR="00B27719" w:rsidRPr="00962499" w:rsidRDefault="00B27719" w:rsidP="004825CC">
            <w:pPr>
              <w:pStyle w:val="TableText"/>
              <w:keepNext/>
              <w:keepLines/>
              <w:spacing w:before="0" w:after="0"/>
              <w:rPr>
                <w:rFonts w:eastAsiaTheme="minorHAnsi" w:cstheme="minorBidi"/>
                <w:szCs w:val="20"/>
                <w:lang w:val="en-AU" w:bidi="ar-SA"/>
              </w:rPr>
            </w:pPr>
            <w:r w:rsidRPr="00962499">
              <w:rPr>
                <w:szCs w:val="20"/>
              </w:rPr>
              <w:t>ORR (confirmed CR/PR), n (%)</w:t>
            </w:r>
          </w:p>
        </w:tc>
        <w:tc>
          <w:tcPr>
            <w:tcW w:w="1417" w:type="dxa"/>
            <w:tcBorders>
              <w:bottom w:val="nil"/>
            </w:tcBorders>
          </w:tcPr>
          <w:p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45 (47.4)</w:t>
            </w:r>
          </w:p>
        </w:tc>
        <w:tc>
          <w:tcPr>
            <w:tcW w:w="1276" w:type="dxa"/>
            <w:tcBorders>
              <w:bottom w:val="nil"/>
            </w:tcBorders>
          </w:tcPr>
          <w:p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39 (46.4)</w:t>
            </w:r>
          </w:p>
        </w:tc>
        <w:tc>
          <w:tcPr>
            <w:tcW w:w="1366" w:type="dxa"/>
            <w:tcBorders>
              <w:bottom w:val="nil"/>
            </w:tcBorders>
            <w:vAlign w:val="center"/>
          </w:tcPr>
          <w:p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66 (45.2)</w:t>
            </w:r>
          </w:p>
        </w:tc>
      </w:tr>
      <w:tr w:rsidR="00B27719" w:rsidRPr="00962499" w:rsidTr="008F6791">
        <w:trPr>
          <w:trHeight w:val="223"/>
        </w:trPr>
        <w:tc>
          <w:tcPr>
            <w:tcW w:w="4957" w:type="dxa"/>
            <w:tcBorders>
              <w:top w:val="nil"/>
              <w:bottom w:val="single" w:sz="4" w:space="0" w:color="000000"/>
            </w:tcBorders>
          </w:tcPr>
          <w:p w:rsidR="00B27719" w:rsidRPr="00962499" w:rsidRDefault="00B27719" w:rsidP="004825CC">
            <w:pPr>
              <w:pStyle w:val="TableText"/>
              <w:keepNext/>
              <w:keepLines/>
              <w:spacing w:before="0" w:after="0"/>
              <w:rPr>
                <w:rFonts w:eastAsiaTheme="minorHAnsi" w:cstheme="minorBidi"/>
                <w:szCs w:val="20"/>
                <w:lang w:val="en-AU" w:bidi="ar-SA"/>
              </w:rPr>
            </w:pPr>
            <w:r w:rsidRPr="00962499">
              <w:rPr>
                <w:szCs w:val="20"/>
              </w:rPr>
              <w:t>95% CI (exact)</w:t>
            </w:r>
            <w:r w:rsidRPr="00962499">
              <w:rPr>
                <w:szCs w:val="20"/>
                <w:vertAlign w:val="superscript"/>
              </w:rPr>
              <w:t>b</w:t>
            </w:r>
          </w:p>
        </w:tc>
        <w:tc>
          <w:tcPr>
            <w:tcW w:w="1417" w:type="dxa"/>
            <w:tcBorders>
              <w:top w:val="nil"/>
              <w:bottom w:val="single" w:sz="4" w:space="0" w:color="000000"/>
            </w:tcBorders>
          </w:tcPr>
          <w:p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37.0, 57.9</w:t>
            </w:r>
          </w:p>
        </w:tc>
        <w:tc>
          <w:tcPr>
            <w:tcW w:w="1276" w:type="dxa"/>
            <w:tcBorders>
              <w:top w:val="nil"/>
              <w:bottom w:val="single" w:sz="4" w:space="0" w:color="000000"/>
            </w:tcBorders>
          </w:tcPr>
          <w:p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35.5, 57.6</w:t>
            </w:r>
          </w:p>
        </w:tc>
        <w:tc>
          <w:tcPr>
            <w:tcW w:w="1366" w:type="dxa"/>
            <w:tcBorders>
              <w:top w:val="nil"/>
              <w:bottom w:val="single" w:sz="4" w:space="0" w:color="000000"/>
            </w:tcBorders>
            <w:vAlign w:val="center"/>
          </w:tcPr>
          <w:p w:rsidR="00B27719" w:rsidRPr="00962499" w:rsidRDefault="00B27719" w:rsidP="004825CC">
            <w:pPr>
              <w:pStyle w:val="TableText"/>
              <w:keepNext/>
              <w:keepLines/>
              <w:spacing w:before="0" w:after="0"/>
              <w:jc w:val="center"/>
              <w:rPr>
                <w:rFonts w:eastAsiaTheme="minorHAnsi" w:cstheme="minorBidi"/>
                <w:szCs w:val="20"/>
                <w:lang w:val="en-AU" w:bidi="ar-SA"/>
              </w:rPr>
            </w:pPr>
            <w:r w:rsidRPr="00962499">
              <w:rPr>
                <w:szCs w:val="20"/>
              </w:rPr>
              <w:t>37.0, 53.6</w:t>
            </w:r>
          </w:p>
        </w:tc>
      </w:tr>
      <w:tr w:rsidR="00B27719" w:rsidRPr="00962499" w:rsidTr="001D527B">
        <w:trPr>
          <w:trHeight w:val="223"/>
        </w:trPr>
        <w:tc>
          <w:tcPr>
            <w:tcW w:w="9016" w:type="dxa"/>
            <w:gridSpan w:val="4"/>
            <w:tcBorders>
              <w:top w:val="single" w:sz="4" w:space="0" w:color="000000"/>
              <w:bottom w:val="single" w:sz="4" w:space="0" w:color="000000"/>
            </w:tcBorders>
          </w:tcPr>
          <w:p w:rsidR="00B27719" w:rsidRPr="00F13980" w:rsidRDefault="00B27719" w:rsidP="004825CC">
            <w:pPr>
              <w:pStyle w:val="TableText"/>
              <w:keepNext/>
              <w:keepLines/>
              <w:spacing w:before="0" w:after="0"/>
              <w:rPr>
                <w:b/>
                <w:szCs w:val="20"/>
                <w:lang w:val="en-AU"/>
              </w:rPr>
            </w:pPr>
            <w:r w:rsidRPr="00962499">
              <w:rPr>
                <w:b/>
                <w:szCs w:val="20"/>
              </w:rPr>
              <w:t>OS</w:t>
            </w:r>
          </w:p>
        </w:tc>
      </w:tr>
      <w:tr w:rsidR="00B27719" w:rsidRPr="00962499" w:rsidTr="008F6791">
        <w:trPr>
          <w:trHeight w:val="223"/>
        </w:trPr>
        <w:tc>
          <w:tcPr>
            <w:tcW w:w="4957" w:type="dxa"/>
            <w:tcBorders>
              <w:bottom w:val="nil"/>
            </w:tcBorders>
          </w:tcPr>
          <w:p w:rsidR="00B27719" w:rsidRPr="00F13980" w:rsidRDefault="00B27719" w:rsidP="004825CC">
            <w:pPr>
              <w:pStyle w:val="TableText"/>
              <w:keepNext/>
              <w:keepLines/>
              <w:spacing w:before="0" w:after="0"/>
              <w:rPr>
                <w:szCs w:val="20"/>
                <w:lang w:val="en-AU"/>
              </w:rPr>
            </w:pPr>
            <w:r w:rsidRPr="00962499">
              <w:rPr>
                <w:rFonts w:cs="Calibri"/>
                <w:szCs w:val="20"/>
              </w:rPr>
              <w:t>Median OS time (months)</w:t>
            </w:r>
          </w:p>
        </w:tc>
        <w:tc>
          <w:tcPr>
            <w:tcW w:w="1417" w:type="dxa"/>
            <w:tcBorders>
              <w:bottom w:val="nil"/>
            </w:tcBorders>
          </w:tcPr>
          <w:p w:rsidR="00B27719" w:rsidRPr="00F13980" w:rsidRDefault="00B27719" w:rsidP="004825CC">
            <w:pPr>
              <w:pStyle w:val="TableText"/>
              <w:keepNext/>
              <w:keepLines/>
              <w:spacing w:before="0" w:after="0"/>
              <w:jc w:val="center"/>
              <w:rPr>
                <w:szCs w:val="20"/>
                <w:lang w:val="en-AU"/>
              </w:rPr>
            </w:pPr>
            <w:r w:rsidRPr="00962499">
              <w:rPr>
                <w:rFonts w:cs="Calibri"/>
                <w:szCs w:val="20"/>
              </w:rPr>
              <w:t>16.3</w:t>
            </w:r>
          </w:p>
        </w:tc>
        <w:tc>
          <w:tcPr>
            <w:tcW w:w="1276" w:type="dxa"/>
            <w:tcBorders>
              <w:bottom w:val="nil"/>
            </w:tcBorders>
          </w:tcPr>
          <w:p w:rsidR="00B27719" w:rsidRPr="00F13980" w:rsidRDefault="00B27719" w:rsidP="004825CC">
            <w:pPr>
              <w:pStyle w:val="TableText"/>
              <w:keepNext/>
              <w:keepLines/>
              <w:spacing w:before="0" w:after="0"/>
              <w:jc w:val="center"/>
              <w:rPr>
                <w:szCs w:val="20"/>
                <w:lang w:val="en-AU"/>
              </w:rPr>
            </w:pPr>
            <w:r w:rsidRPr="00962499">
              <w:rPr>
                <w:rFonts w:cs="Calibri"/>
                <w:szCs w:val="20"/>
              </w:rPr>
              <w:t>20.4</w:t>
            </w:r>
          </w:p>
        </w:tc>
        <w:tc>
          <w:tcPr>
            <w:tcW w:w="1366" w:type="dxa"/>
            <w:tcBorders>
              <w:bottom w:val="nil"/>
            </w:tcBorders>
          </w:tcPr>
          <w:p w:rsidR="00B27719" w:rsidRPr="00F13980" w:rsidRDefault="00B27719" w:rsidP="004825CC">
            <w:pPr>
              <w:pStyle w:val="TableText"/>
              <w:keepNext/>
              <w:keepLines/>
              <w:spacing w:before="0" w:after="0"/>
              <w:jc w:val="center"/>
              <w:rPr>
                <w:szCs w:val="20"/>
                <w:lang w:val="en-AU"/>
              </w:rPr>
            </w:pPr>
            <w:r w:rsidRPr="00962499">
              <w:rPr>
                <w:rFonts w:cs="Calibri"/>
                <w:szCs w:val="20"/>
              </w:rPr>
              <w:t>17.6</w:t>
            </w:r>
          </w:p>
        </w:tc>
      </w:tr>
      <w:tr w:rsidR="00B27719" w:rsidRPr="00962499" w:rsidTr="008F6791">
        <w:trPr>
          <w:trHeight w:val="223"/>
        </w:trPr>
        <w:tc>
          <w:tcPr>
            <w:tcW w:w="4957" w:type="dxa"/>
            <w:tcBorders>
              <w:top w:val="nil"/>
            </w:tcBorders>
          </w:tcPr>
          <w:p w:rsidR="00B27719" w:rsidRPr="00F13980" w:rsidRDefault="00B27719" w:rsidP="004825CC">
            <w:pPr>
              <w:pStyle w:val="TableText"/>
              <w:keepNext/>
              <w:keepLines/>
              <w:spacing w:before="0" w:after="0"/>
              <w:rPr>
                <w:szCs w:val="20"/>
                <w:lang w:val="en-AU"/>
              </w:rPr>
            </w:pPr>
            <w:r w:rsidRPr="00962499">
              <w:rPr>
                <w:rFonts w:cs="Calibri"/>
                <w:szCs w:val="20"/>
              </w:rPr>
              <w:t xml:space="preserve">95% </w:t>
            </w:r>
            <w:proofErr w:type="spellStart"/>
            <w:r w:rsidRPr="00962499">
              <w:rPr>
                <w:rFonts w:cs="Calibri"/>
                <w:szCs w:val="20"/>
              </w:rPr>
              <w:t>CI</w:t>
            </w:r>
            <w:r w:rsidRPr="00962499">
              <w:rPr>
                <w:rFonts w:cs="Calibri"/>
                <w:szCs w:val="20"/>
                <w:vertAlign w:val="superscript"/>
              </w:rPr>
              <w:t>c</w:t>
            </w:r>
            <w:proofErr w:type="spellEnd"/>
            <w:r w:rsidRPr="00962499">
              <w:rPr>
                <w:rFonts w:cs="Calibri"/>
                <w:szCs w:val="20"/>
                <w:vertAlign w:val="superscript"/>
              </w:rPr>
              <w:t xml:space="preserve"> </w:t>
            </w:r>
          </w:p>
        </w:tc>
        <w:tc>
          <w:tcPr>
            <w:tcW w:w="1417" w:type="dxa"/>
            <w:tcBorders>
              <w:top w:val="nil"/>
            </w:tcBorders>
          </w:tcPr>
          <w:p w:rsidR="00B27719" w:rsidRPr="00F13980" w:rsidRDefault="00B27719" w:rsidP="004825CC">
            <w:pPr>
              <w:pStyle w:val="TableText"/>
              <w:keepNext/>
              <w:keepLines/>
              <w:spacing w:before="0" w:after="0"/>
              <w:jc w:val="center"/>
              <w:rPr>
                <w:szCs w:val="20"/>
                <w:lang w:val="en-AU"/>
              </w:rPr>
            </w:pPr>
            <w:r w:rsidRPr="00962499">
              <w:rPr>
                <w:rFonts w:cs="Calibri"/>
                <w:szCs w:val="20"/>
              </w:rPr>
              <w:t>10.9, 21.0</w:t>
            </w:r>
          </w:p>
        </w:tc>
        <w:tc>
          <w:tcPr>
            <w:tcW w:w="1276" w:type="dxa"/>
            <w:tcBorders>
              <w:top w:val="nil"/>
            </w:tcBorders>
          </w:tcPr>
          <w:p w:rsidR="00B27719" w:rsidRPr="00F13980" w:rsidRDefault="00B27719" w:rsidP="004825CC">
            <w:pPr>
              <w:pStyle w:val="TableText"/>
              <w:keepNext/>
              <w:keepLines/>
              <w:spacing w:before="0" w:after="0"/>
              <w:jc w:val="center"/>
              <w:rPr>
                <w:szCs w:val="20"/>
                <w:lang w:val="en-AU"/>
              </w:rPr>
            </w:pPr>
            <w:r w:rsidRPr="00962499">
              <w:rPr>
                <w:rFonts w:cs="Calibri"/>
                <w:szCs w:val="20"/>
              </w:rPr>
              <w:t>15.3, 29.7</w:t>
            </w:r>
          </w:p>
        </w:tc>
        <w:tc>
          <w:tcPr>
            <w:tcW w:w="1366" w:type="dxa"/>
            <w:tcBorders>
              <w:top w:val="nil"/>
            </w:tcBorders>
          </w:tcPr>
          <w:p w:rsidR="00B27719" w:rsidRPr="00F13980" w:rsidRDefault="00B27719" w:rsidP="004825CC">
            <w:pPr>
              <w:pStyle w:val="TableText"/>
              <w:keepNext/>
              <w:keepLines/>
              <w:spacing w:before="0" w:after="0"/>
              <w:jc w:val="center"/>
              <w:rPr>
                <w:szCs w:val="20"/>
                <w:lang w:val="en-AU"/>
              </w:rPr>
            </w:pPr>
            <w:r w:rsidRPr="00962499">
              <w:rPr>
                <w:rFonts w:cs="Calibri"/>
                <w:szCs w:val="20"/>
              </w:rPr>
              <w:t>15.0, 21.0</w:t>
            </w:r>
          </w:p>
        </w:tc>
      </w:tr>
      <w:tr w:rsidR="00B27719" w:rsidRPr="00962499" w:rsidTr="008F6791">
        <w:trPr>
          <w:trHeight w:val="223"/>
        </w:trPr>
        <w:tc>
          <w:tcPr>
            <w:tcW w:w="4957" w:type="dxa"/>
          </w:tcPr>
          <w:p w:rsidR="00B27719" w:rsidRPr="00F13980" w:rsidRDefault="00B27719" w:rsidP="004825CC">
            <w:pPr>
              <w:pStyle w:val="TableText"/>
              <w:keepNext/>
              <w:keepLines/>
              <w:spacing w:before="0" w:after="0"/>
              <w:rPr>
                <w:rFonts w:cs="Calibri"/>
                <w:szCs w:val="20"/>
                <w:lang w:val="en-AU"/>
              </w:rPr>
            </w:pPr>
            <w:r w:rsidRPr="00962499">
              <w:rPr>
                <w:rFonts w:cs="Calibri"/>
                <w:szCs w:val="20"/>
              </w:rPr>
              <w:t>Number of subjects who died</w:t>
            </w:r>
          </w:p>
        </w:tc>
        <w:tc>
          <w:tcPr>
            <w:tcW w:w="1417" w:type="dxa"/>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53 (55.8)</w:t>
            </w:r>
          </w:p>
        </w:tc>
        <w:tc>
          <w:tcPr>
            <w:tcW w:w="1276" w:type="dxa"/>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39 (46.4)</w:t>
            </w:r>
          </w:p>
        </w:tc>
        <w:tc>
          <w:tcPr>
            <w:tcW w:w="1366" w:type="dxa"/>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75 (51.4)</w:t>
            </w:r>
          </w:p>
        </w:tc>
      </w:tr>
      <w:tr w:rsidR="00B27719" w:rsidRPr="00962499" w:rsidTr="001D527B">
        <w:trPr>
          <w:trHeight w:val="223"/>
        </w:trPr>
        <w:tc>
          <w:tcPr>
            <w:tcW w:w="9016" w:type="dxa"/>
            <w:gridSpan w:val="4"/>
            <w:tcBorders>
              <w:bottom w:val="single" w:sz="4" w:space="0" w:color="000000"/>
            </w:tcBorders>
          </w:tcPr>
          <w:p w:rsidR="00B27719" w:rsidRPr="00F13980" w:rsidRDefault="00B27719" w:rsidP="004825CC">
            <w:pPr>
              <w:pStyle w:val="TableText"/>
              <w:keepNext/>
              <w:keepLines/>
              <w:spacing w:before="0" w:after="0"/>
              <w:rPr>
                <w:rFonts w:cs="Calibri"/>
                <w:b/>
                <w:szCs w:val="20"/>
                <w:lang w:val="en-AU"/>
              </w:rPr>
            </w:pPr>
            <w:r w:rsidRPr="00962499">
              <w:rPr>
                <w:rFonts w:cs="Calibri"/>
                <w:b/>
                <w:szCs w:val="20"/>
              </w:rPr>
              <w:t>PFS</w:t>
            </w:r>
          </w:p>
        </w:tc>
      </w:tr>
      <w:tr w:rsidR="00B27719" w:rsidRPr="00962499" w:rsidTr="008F6791">
        <w:trPr>
          <w:trHeight w:val="223"/>
        </w:trPr>
        <w:tc>
          <w:tcPr>
            <w:tcW w:w="4957" w:type="dxa"/>
            <w:tcBorders>
              <w:bottom w:val="nil"/>
            </w:tcBorders>
          </w:tcPr>
          <w:p w:rsidR="00B27719" w:rsidRPr="00F13980" w:rsidRDefault="00B27719" w:rsidP="004825CC">
            <w:pPr>
              <w:pStyle w:val="TableText"/>
              <w:keepNext/>
              <w:keepLines/>
              <w:spacing w:before="0" w:after="0"/>
              <w:rPr>
                <w:rFonts w:cs="Calibri"/>
                <w:szCs w:val="20"/>
                <w:lang w:val="en-AU"/>
              </w:rPr>
            </w:pPr>
            <w:r w:rsidRPr="00962499">
              <w:rPr>
                <w:rFonts w:cs="Calibri"/>
                <w:szCs w:val="20"/>
              </w:rPr>
              <w:t>Median PFS time (months)</w:t>
            </w:r>
          </w:p>
        </w:tc>
        <w:tc>
          <w:tcPr>
            <w:tcW w:w="1417" w:type="dxa"/>
            <w:tcBorders>
              <w:bottom w:val="nil"/>
            </w:tcBorders>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8.5</w:t>
            </w:r>
          </w:p>
        </w:tc>
        <w:tc>
          <w:tcPr>
            <w:tcW w:w="1276" w:type="dxa"/>
            <w:tcBorders>
              <w:bottom w:val="nil"/>
            </w:tcBorders>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11.0</w:t>
            </w:r>
          </w:p>
        </w:tc>
        <w:tc>
          <w:tcPr>
            <w:tcW w:w="1366" w:type="dxa"/>
            <w:tcBorders>
              <w:bottom w:val="nil"/>
            </w:tcBorders>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8.9</w:t>
            </w:r>
          </w:p>
        </w:tc>
      </w:tr>
      <w:tr w:rsidR="00B27719" w:rsidRPr="00962499" w:rsidTr="008F6791">
        <w:trPr>
          <w:trHeight w:val="223"/>
        </w:trPr>
        <w:tc>
          <w:tcPr>
            <w:tcW w:w="4957" w:type="dxa"/>
            <w:tcBorders>
              <w:top w:val="nil"/>
            </w:tcBorders>
          </w:tcPr>
          <w:p w:rsidR="00B27719" w:rsidRPr="00F13980" w:rsidRDefault="00B27719" w:rsidP="004825CC">
            <w:pPr>
              <w:pStyle w:val="TableText"/>
              <w:keepNext/>
              <w:keepLines/>
              <w:spacing w:before="0" w:after="0"/>
              <w:rPr>
                <w:rFonts w:cs="Calibri"/>
                <w:szCs w:val="20"/>
                <w:lang w:val="en-AU"/>
              </w:rPr>
            </w:pPr>
            <w:r w:rsidRPr="00962499">
              <w:rPr>
                <w:rFonts w:cs="Calibri"/>
                <w:szCs w:val="20"/>
              </w:rPr>
              <w:t xml:space="preserve">95% </w:t>
            </w:r>
            <w:proofErr w:type="spellStart"/>
            <w:r w:rsidRPr="00962499">
              <w:rPr>
                <w:rFonts w:cs="Calibri"/>
                <w:szCs w:val="20"/>
              </w:rPr>
              <w:t>CI</w:t>
            </w:r>
            <w:r w:rsidRPr="00962499">
              <w:rPr>
                <w:rFonts w:cs="Calibri"/>
                <w:szCs w:val="20"/>
                <w:vertAlign w:val="superscript"/>
              </w:rPr>
              <w:t>c</w:t>
            </w:r>
            <w:proofErr w:type="spellEnd"/>
            <w:r w:rsidRPr="00962499">
              <w:rPr>
                <w:rFonts w:cs="Calibri"/>
                <w:szCs w:val="20"/>
                <w:vertAlign w:val="superscript"/>
              </w:rPr>
              <w:t xml:space="preserve"> </w:t>
            </w:r>
          </w:p>
        </w:tc>
        <w:tc>
          <w:tcPr>
            <w:tcW w:w="1417" w:type="dxa"/>
            <w:tcBorders>
              <w:top w:val="nil"/>
            </w:tcBorders>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6.7, 10.9</w:t>
            </w:r>
          </w:p>
        </w:tc>
        <w:tc>
          <w:tcPr>
            <w:tcW w:w="1276" w:type="dxa"/>
            <w:tcBorders>
              <w:top w:val="nil"/>
            </w:tcBorders>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8.2, 13.7</w:t>
            </w:r>
          </w:p>
        </w:tc>
        <w:tc>
          <w:tcPr>
            <w:tcW w:w="1366" w:type="dxa"/>
            <w:tcBorders>
              <w:top w:val="nil"/>
            </w:tcBorders>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8.2, 11.0</w:t>
            </w:r>
          </w:p>
        </w:tc>
      </w:tr>
      <w:tr w:rsidR="00B27719" w:rsidRPr="00962499" w:rsidTr="008F6791">
        <w:trPr>
          <w:trHeight w:val="223"/>
        </w:trPr>
        <w:tc>
          <w:tcPr>
            <w:tcW w:w="4957" w:type="dxa"/>
          </w:tcPr>
          <w:p w:rsidR="00B27719" w:rsidRPr="00F13980" w:rsidRDefault="00B27719" w:rsidP="004825CC">
            <w:pPr>
              <w:pStyle w:val="TableText"/>
              <w:keepNext/>
              <w:keepLines/>
              <w:spacing w:before="0" w:after="0"/>
              <w:rPr>
                <w:rFonts w:cs="Calibri"/>
                <w:szCs w:val="20"/>
                <w:lang w:val="en-AU"/>
              </w:rPr>
            </w:pPr>
            <w:r w:rsidRPr="00962499">
              <w:rPr>
                <w:rFonts w:cs="Calibri"/>
                <w:szCs w:val="20"/>
              </w:rPr>
              <w:t>Number of subjects with an event of progression or death, n (%)</w:t>
            </w:r>
          </w:p>
        </w:tc>
        <w:tc>
          <w:tcPr>
            <w:tcW w:w="1417" w:type="dxa"/>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64 (67.4)</w:t>
            </w:r>
          </w:p>
        </w:tc>
        <w:tc>
          <w:tcPr>
            <w:tcW w:w="1276" w:type="dxa"/>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45 (53.6)</w:t>
            </w:r>
          </w:p>
        </w:tc>
        <w:tc>
          <w:tcPr>
            <w:tcW w:w="1366" w:type="dxa"/>
          </w:tcPr>
          <w:p w:rsidR="00B27719" w:rsidRPr="00F13980" w:rsidRDefault="00B27719" w:rsidP="004825CC">
            <w:pPr>
              <w:pStyle w:val="TableText"/>
              <w:keepNext/>
              <w:keepLines/>
              <w:spacing w:before="0" w:after="0"/>
              <w:jc w:val="center"/>
              <w:rPr>
                <w:rFonts w:cs="Calibri"/>
                <w:szCs w:val="20"/>
                <w:lang w:val="en-AU"/>
              </w:rPr>
            </w:pPr>
            <w:r w:rsidRPr="00962499">
              <w:rPr>
                <w:rFonts w:cs="Calibri"/>
                <w:szCs w:val="20"/>
              </w:rPr>
              <w:t>86 (58.9)</w:t>
            </w:r>
          </w:p>
        </w:tc>
      </w:tr>
    </w:tbl>
    <w:p w:rsidR="001D527B" w:rsidRPr="00962499" w:rsidRDefault="001D527B" w:rsidP="00174822">
      <w:pPr>
        <w:pStyle w:val="TableFooter"/>
        <w:keepNext/>
        <w:keepLines/>
        <w:rPr>
          <w:rFonts w:eastAsia="MS Gothic"/>
        </w:rPr>
      </w:pPr>
      <w:r w:rsidRPr="00962499">
        <w:rPr>
          <w:rFonts w:eastAsia="MS Gothic"/>
        </w:rPr>
        <w:t>ITT-02 Oct 2019=Intention-to-Treat analysis set restricted to subjects who received a first dose of tepotinib before 02 October 2019, L+=liquid biopsy positive, T+=tumour tissue biopsy positive;</w:t>
      </w:r>
      <w:r w:rsidRPr="00962499">
        <w:t xml:space="preserve"> </w:t>
      </w:r>
      <w:r w:rsidRPr="00962499">
        <w:rPr>
          <w:rFonts w:eastAsia="MS Gothic"/>
        </w:rPr>
        <w:t>ORR=objective response rate, CR=complete response, PR=partial response, CI = confidence interval.</w:t>
      </w:r>
    </w:p>
    <w:p w:rsidR="001D527B" w:rsidRPr="00962499" w:rsidRDefault="001D527B" w:rsidP="00174822">
      <w:pPr>
        <w:pStyle w:val="TableFooter"/>
        <w:keepNext/>
        <w:keepLines/>
        <w:rPr>
          <w:rFonts w:eastAsia="MS Gothic"/>
        </w:rPr>
      </w:pPr>
      <w:proofErr w:type="gramStart"/>
      <w:r w:rsidRPr="00962499">
        <w:rPr>
          <w:rFonts w:eastAsia="MS Gothic"/>
          <w:vertAlign w:val="superscript"/>
        </w:rPr>
        <w:t>a</w:t>
      </w:r>
      <w:proofErr w:type="gramEnd"/>
      <w:r w:rsidRPr="00962499">
        <w:rPr>
          <w:rFonts w:eastAsia="MS Gothic"/>
        </w:rPr>
        <w:t xml:space="preserve"> </w:t>
      </w:r>
      <w:r w:rsidRPr="00962499">
        <w:rPr>
          <w:iCs/>
        </w:rPr>
        <w:t>There were 33 patients who had both L+ and T+</w:t>
      </w:r>
    </w:p>
    <w:p w:rsidR="001D527B" w:rsidRPr="00962499" w:rsidRDefault="001D527B" w:rsidP="00174822">
      <w:pPr>
        <w:pStyle w:val="TableFooter"/>
        <w:keepNext/>
        <w:keepLines/>
        <w:rPr>
          <w:rFonts w:eastAsia="MS Gothic"/>
          <w:lang w:bidi="en-US"/>
        </w:rPr>
      </w:pPr>
      <w:proofErr w:type="gramStart"/>
      <w:r w:rsidRPr="00962499">
        <w:rPr>
          <w:rFonts w:eastAsia="MS Gothic"/>
          <w:vertAlign w:val="superscript"/>
        </w:rPr>
        <w:t>b</w:t>
      </w:r>
      <w:r w:rsidRPr="00962499">
        <w:rPr>
          <w:rFonts w:eastAsia="MS Gothic"/>
          <w:lang w:bidi="en-US"/>
        </w:rPr>
        <w:t>. 95</w:t>
      </w:r>
      <w:proofErr w:type="gramEnd"/>
      <w:r w:rsidRPr="00962499">
        <w:rPr>
          <w:rFonts w:eastAsia="MS Gothic"/>
          <w:lang w:bidi="en-US"/>
        </w:rPr>
        <w:t xml:space="preserve">% exact CI using the </w:t>
      </w:r>
      <w:proofErr w:type="spellStart"/>
      <w:r w:rsidRPr="00962499">
        <w:rPr>
          <w:rFonts w:eastAsia="MS Gothic"/>
          <w:lang w:bidi="en-US"/>
        </w:rPr>
        <w:t>Clopper</w:t>
      </w:r>
      <w:proofErr w:type="spellEnd"/>
      <w:r w:rsidRPr="00962499">
        <w:rPr>
          <w:rFonts w:eastAsia="MS Gothic"/>
          <w:lang w:bidi="en-US"/>
        </w:rPr>
        <w:t>-Pearson method.</w:t>
      </w:r>
    </w:p>
    <w:p w:rsidR="001D527B" w:rsidRPr="00962499" w:rsidRDefault="001D527B" w:rsidP="00174822">
      <w:pPr>
        <w:pStyle w:val="TableFooter"/>
        <w:keepNext/>
        <w:keepLines/>
        <w:rPr>
          <w:rFonts w:eastAsia="MS Gothic"/>
          <w:lang w:bidi="en-US"/>
        </w:rPr>
      </w:pPr>
      <w:proofErr w:type="gramStart"/>
      <w:r w:rsidRPr="00962499">
        <w:rPr>
          <w:rFonts w:eastAsia="MS Gothic"/>
          <w:vertAlign w:val="superscript"/>
          <w:lang w:bidi="en-US"/>
        </w:rPr>
        <w:t>c</w:t>
      </w:r>
      <w:proofErr w:type="gramEnd"/>
      <w:r w:rsidRPr="00962499">
        <w:rPr>
          <w:rFonts w:eastAsia="MS Gothic"/>
          <w:vertAlign w:val="superscript"/>
          <w:lang w:bidi="en-US"/>
        </w:rPr>
        <w:t xml:space="preserve"> </w:t>
      </w:r>
      <w:r w:rsidRPr="00962499">
        <w:rPr>
          <w:rFonts w:eastAsia="MS Gothic"/>
          <w:lang w:bidi="en-US"/>
        </w:rPr>
        <w:t>95% CI for the median using the Brookmeyer and Crowley method.</w:t>
      </w:r>
    </w:p>
    <w:p w:rsidR="00B27719" w:rsidRDefault="00B27719" w:rsidP="00174822">
      <w:pPr>
        <w:pStyle w:val="TableFooter"/>
        <w:keepNext/>
        <w:keepLines/>
        <w:rPr>
          <w:rFonts w:eastAsia="MS Gothic"/>
        </w:rPr>
      </w:pPr>
      <w:r w:rsidRPr="00962499">
        <w:rPr>
          <w:rFonts w:eastAsia="MS Gothic"/>
        </w:rPr>
        <w:t>Source: Table 2-33, p</w:t>
      </w:r>
      <w:r w:rsidRPr="00962499">
        <w:rPr>
          <w:rFonts w:eastAsia="MS Gothic"/>
          <w:lang w:bidi="en-US"/>
        </w:rPr>
        <w:t>94</w:t>
      </w:r>
      <w:r w:rsidRPr="00962499">
        <w:rPr>
          <w:rFonts w:eastAsia="MS Gothic"/>
        </w:rPr>
        <w:t>, Table 2-38, p 101 of the submission, and Table 132 Clinical Study Report.</w:t>
      </w:r>
    </w:p>
    <w:p w:rsidR="00033854" w:rsidRDefault="00033854" w:rsidP="00D51428">
      <w:pPr>
        <w:pStyle w:val="TableFooter"/>
        <w:rPr>
          <w:rFonts w:eastAsia="MS Gothic"/>
        </w:rPr>
      </w:pPr>
    </w:p>
    <w:p w:rsidR="00033854" w:rsidRPr="00461942" w:rsidRDefault="00461942" w:rsidP="00940357">
      <w:pPr>
        <w:pStyle w:val="TableFooter"/>
        <w:keepNext/>
        <w:keepLines/>
        <w:rPr>
          <w:rFonts w:eastAsiaTheme="minorHAnsi" w:cstheme="minorBidi"/>
          <w:b/>
          <w:iCs/>
          <w:snapToGrid/>
          <w:sz w:val="20"/>
          <w:szCs w:val="18"/>
        </w:rPr>
      </w:pPr>
      <w:r w:rsidRPr="00461942">
        <w:rPr>
          <w:rFonts w:eastAsiaTheme="minorHAnsi" w:cstheme="minorBidi"/>
          <w:b/>
          <w:iCs/>
          <w:snapToGrid/>
          <w:sz w:val="20"/>
          <w:szCs w:val="18"/>
        </w:rPr>
        <w:t xml:space="preserve">Figure </w:t>
      </w:r>
      <w:r w:rsidR="00C56714">
        <w:rPr>
          <w:rFonts w:eastAsiaTheme="minorHAnsi" w:cstheme="minorBidi"/>
          <w:b/>
          <w:iCs/>
          <w:noProof/>
          <w:snapToGrid/>
          <w:sz w:val="20"/>
          <w:szCs w:val="18"/>
        </w:rPr>
        <w:t>1</w:t>
      </w:r>
      <w:r w:rsidR="00F800E1">
        <w:rPr>
          <w:rFonts w:eastAsiaTheme="minorHAnsi" w:cstheme="minorBidi"/>
          <w:b/>
          <w:iCs/>
          <w:snapToGrid/>
          <w:sz w:val="20"/>
          <w:szCs w:val="18"/>
        </w:rPr>
        <w:t>:</w:t>
      </w:r>
      <w:r w:rsidR="00033854" w:rsidRPr="00461942">
        <w:rPr>
          <w:rFonts w:eastAsiaTheme="minorHAnsi" w:cstheme="minorBidi"/>
          <w:b/>
          <w:iCs/>
          <w:snapToGrid/>
          <w:sz w:val="20"/>
          <w:szCs w:val="18"/>
        </w:rPr>
        <w:t xml:space="preserve"> Kaplan-Meier Curve Showing PFS, Cohort A (ITT-02 Oct 2019</w:t>
      </w:r>
    </w:p>
    <w:p w:rsidR="00033854" w:rsidRDefault="00033854" w:rsidP="00940357">
      <w:pPr>
        <w:pStyle w:val="TableFooter"/>
        <w:keepNext/>
        <w:keepLines/>
        <w:rPr>
          <w:rFonts w:eastAsia="MS Gothic"/>
        </w:rPr>
      </w:pPr>
    </w:p>
    <w:p w:rsidR="00033854" w:rsidRDefault="00033854" w:rsidP="00940357">
      <w:pPr>
        <w:pStyle w:val="TableFooter"/>
        <w:keepNext/>
        <w:keepLines/>
        <w:rPr>
          <w:rFonts w:eastAsia="MS Gothic"/>
        </w:rPr>
      </w:pPr>
      <w:r w:rsidRPr="00753B90">
        <w:rPr>
          <w:rFonts w:ascii="Calibri" w:eastAsia="MS Gothic" w:hAnsi="Calibri" w:cs="Times New Roman"/>
          <w:noProof/>
          <w:sz w:val="22"/>
          <w:lang w:eastAsia="en-AU"/>
        </w:rPr>
        <w:drawing>
          <wp:inline distT="0" distB="0" distL="0" distR="0" wp14:anchorId="65963597" wp14:editId="13D65FF5">
            <wp:extent cx="5730010" cy="2033516"/>
            <wp:effectExtent l="0" t="0" r="4445" b="5080"/>
            <wp:docPr id="41" name="Picture 41" title="Figure 1: Kaplan-Meier Curve Showing PFS, Cohort A (ITT-02 Oc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rotWithShape="1">
                    <a:blip r:embed="rId8" cstate="print">
                      <a:extLst>
                        <a:ext uri="{BEBA8EAE-BF5A-486C-A8C5-ECC9F3942E4B}">
                          <a14:imgProps xmlns:a14="http://schemas.microsoft.com/office/drawing/2010/main">
                            <a14:imgLayer r:embed="rId9">
                              <a14:imgEffect>
                                <a14:sharpenSoften amount="40000"/>
                              </a14:imgEffect>
                            </a14:imgLayer>
                          </a14:imgProps>
                        </a:ext>
                        <a:ext uri="{28A0092B-C50C-407E-A947-70E740481C1C}">
                          <a14:useLocalDpi xmlns:a14="http://schemas.microsoft.com/office/drawing/2010/main" val="0"/>
                        </a:ext>
                      </a:extLst>
                    </a:blip>
                    <a:srcRect/>
                    <a:stretch/>
                  </pic:blipFill>
                  <pic:spPr bwMode="auto">
                    <a:xfrm>
                      <a:off x="0" y="0"/>
                      <a:ext cx="5731510" cy="2034048"/>
                    </a:xfrm>
                    <a:prstGeom prst="rect">
                      <a:avLst/>
                    </a:prstGeom>
                    <a:ln>
                      <a:noFill/>
                    </a:ln>
                    <a:extLst>
                      <a:ext uri="{53640926-AAD7-44D8-BBD7-CCE9431645EC}">
                        <a14:shadowObscured xmlns:a14="http://schemas.microsoft.com/office/drawing/2010/main"/>
                      </a:ext>
                    </a:extLst>
                  </pic:spPr>
                </pic:pic>
              </a:graphicData>
            </a:graphic>
          </wp:inline>
        </w:drawing>
      </w:r>
    </w:p>
    <w:p w:rsidR="00BF3723" w:rsidRDefault="00BF3723" w:rsidP="0019205F">
      <w:pPr>
        <w:pStyle w:val="TableFooter"/>
        <w:rPr>
          <w:rFonts w:eastAsia="MS Gothic"/>
        </w:rPr>
      </w:pPr>
    </w:p>
    <w:p w:rsidR="00BF3723" w:rsidRPr="005D7976" w:rsidRDefault="00461942" w:rsidP="005D7976">
      <w:pPr>
        <w:pStyle w:val="Caption"/>
      </w:pPr>
      <w:r>
        <w:t xml:space="preserve">Figure </w:t>
      </w:r>
      <w:r w:rsidR="00C56714">
        <w:rPr>
          <w:noProof/>
        </w:rPr>
        <w:t>2</w:t>
      </w:r>
      <w:r w:rsidR="00F800E1">
        <w:rPr>
          <w:noProof/>
        </w:rPr>
        <w:t>:</w:t>
      </w:r>
      <w:r w:rsidR="00417C2C" w:rsidRPr="005D7976">
        <w:rPr>
          <w:noProof/>
        </w:rPr>
        <w:t xml:space="preserve"> </w:t>
      </w:r>
      <w:r w:rsidR="00BF3723" w:rsidRPr="005D7976">
        <w:t>Kaplan-Meier Curve Showing Overall Survival, Cohort A (ITT-02 Oct 2019)</w:t>
      </w:r>
    </w:p>
    <w:p w:rsidR="00BF3723" w:rsidRDefault="00BF3723" w:rsidP="00940357">
      <w:pPr>
        <w:pStyle w:val="TableFooter"/>
        <w:keepNext/>
        <w:keepLines/>
        <w:rPr>
          <w:rFonts w:eastAsia="MS Gothic"/>
        </w:rPr>
      </w:pPr>
    </w:p>
    <w:p w:rsidR="00417C2C" w:rsidRPr="00962499" w:rsidRDefault="00417C2C" w:rsidP="00940357">
      <w:pPr>
        <w:pStyle w:val="TableFooter"/>
        <w:keepNext/>
        <w:keepLines/>
        <w:rPr>
          <w:rFonts w:eastAsia="MS Gothic"/>
        </w:rPr>
      </w:pPr>
      <w:r>
        <w:rPr>
          <w:noProof/>
          <w:lang w:eastAsia="en-AU"/>
        </w:rPr>
        <w:drawing>
          <wp:inline distT="0" distB="0" distL="0" distR="0" wp14:anchorId="43059253" wp14:editId="13557F41">
            <wp:extent cx="5731510" cy="2696845"/>
            <wp:effectExtent l="0" t="0" r="2540" b="8255"/>
            <wp:docPr id="34" name="Picture 34" title="Figure 2: Kaplan-Meier Curve Showing Overall Survival, Cohort A (ITT-02 Oc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0">
                      <a:extLst>
                        <a:ext uri="{BEBA8EAE-BF5A-486C-A8C5-ECC9F3942E4B}">
                          <a14:imgProps xmlns:a14="http://schemas.microsoft.com/office/drawing/2010/main">
                            <a14:imgLayer r:embed="rId11">
                              <a14:imgEffect>
                                <a14:sharpenSoften amount="20000"/>
                              </a14:imgEffect>
                            </a14:imgLayer>
                          </a14:imgProps>
                        </a:ext>
                        <a:ext uri="{28A0092B-C50C-407E-A947-70E740481C1C}">
                          <a14:useLocalDpi xmlns:a14="http://schemas.microsoft.com/office/drawing/2010/main" val="0"/>
                        </a:ext>
                      </a:extLst>
                    </a:blip>
                    <a:stretch>
                      <a:fillRect/>
                    </a:stretch>
                  </pic:blipFill>
                  <pic:spPr>
                    <a:xfrm>
                      <a:off x="0" y="0"/>
                      <a:ext cx="5731510" cy="2696845"/>
                    </a:xfrm>
                    <a:prstGeom prst="rect">
                      <a:avLst/>
                    </a:prstGeom>
                  </pic:spPr>
                </pic:pic>
              </a:graphicData>
            </a:graphic>
          </wp:inline>
        </w:drawing>
      </w:r>
    </w:p>
    <w:p w:rsidR="008A4DC0" w:rsidRPr="008A4DC0" w:rsidRDefault="008A4DC0" w:rsidP="00BF3723">
      <w:pPr>
        <w:pStyle w:val="ListParagraph"/>
        <w:rPr>
          <w:color w:val="auto"/>
        </w:rPr>
      </w:pPr>
      <w:r>
        <w:rPr>
          <w:color w:val="auto"/>
        </w:rPr>
        <w:t xml:space="preserve">The pre-PBAC </w:t>
      </w:r>
      <w:r w:rsidR="00207E7C">
        <w:rPr>
          <w:color w:val="auto"/>
        </w:rPr>
        <w:t xml:space="preserve">response provided updated clinical data </w:t>
      </w:r>
      <w:r>
        <w:rPr>
          <w:color w:val="auto"/>
        </w:rPr>
        <w:t xml:space="preserve">from </w:t>
      </w:r>
      <w:r w:rsidR="00207E7C">
        <w:rPr>
          <w:color w:val="auto"/>
        </w:rPr>
        <w:t xml:space="preserve">the VISION study which was presented at the World Conference on Lung Cancer in September 2021. The PBAC noted the updated analysis combined data for Cohort A </w:t>
      </w:r>
      <w:r w:rsidR="001447C5">
        <w:rPr>
          <w:color w:val="auto"/>
        </w:rPr>
        <w:t xml:space="preserve">(n=152) </w:t>
      </w:r>
      <w:r w:rsidR="00207E7C">
        <w:rPr>
          <w:color w:val="auto"/>
        </w:rPr>
        <w:t xml:space="preserve">and Cohort C </w:t>
      </w:r>
      <w:r w:rsidR="001447C5">
        <w:rPr>
          <w:color w:val="auto"/>
        </w:rPr>
        <w:t>(n=123). The PBAC noted the ORR</w:t>
      </w:r>
      <w:r w:rsidR="0004702A">
        <w:rPr>
          <w:color w:val="auto"/>
        </w:rPr>
        <w:t xml:space="preserve"> for patients with a tissue biopsy was 51.1% (compared to 46% in </w:t>
      </w:r>
      <w:r w:rsidR="00C56714">
        <w:t xml:space="preserve">Table </w:t>
      </w:r>
      <w:r w:rsidR="00C56714">
        <w:rPr>
          <w:noProof/>
        </w:rPr>
        <w:t>8</w:t>
      </w:r>
      <w:r w:rsidR="0004702A">
        <w:rPr>
          <w:color w:val="auto"/>
        </w:rPr>
        <w:t>)</w:t>
      </w:r>
      <w:r w:rsidR="001447C5">
        <w:rPr>
          <w:color w:val="auto"/>
        </w:rPr>
        <w:t xml:space="preserve">, median OS </w:t>
      </w:r>
      <w:r w:rsidR="0004702A">
        <w:rPr>
          <w:color w:val="auto"/>
        </w:rPr>
        <w:t xml:space="preserve">was 22.3 months (compared to 20.4 months in </w:t>
      </w:r>
      <w:r w:rsidR="00C56714">
        <w:t xml:space="preserve">Table </w:t>
      </w:r>
      <w:r w:rsidR="00C56714">
        <w:rPr>
          <w:noProof/>
        </w:rPr>
        <w:t>8</w:t>
      </w:r>
      <w:r w:rsidR="0004702A">
        <w:rPr>
          <w:color w:val="auto"/>
        </w:rPr>
        <w:t xml:space="preserve">) </w:t>
      </w:r>
      <w:r w:rsidR="001447C5">
        <w:rPr>
          <w:color w:val="auto"/>
        </w:rPr>
        <w:t xml:space="preserve">and median PFS </w:t>
      </w:r>
      <w:r w:rsidR="0004702A">
        <w:rPr>
          <w:color w:val="auto"/>
        </w:rPr>
        <w:t xml:space="preserve">was 12.4 months (compared to 11.0 months in </w:t>
      </w:r>
      <w:r w:rsidR="00C56714">
        <w:t xml:space="preserve">Table </w:t>
      </w:r>
      <w:r w:rsidR="00C56714">
        <w:rPr>
          <w:noProof/>
        </w:rPr>
        <w:t>8</w:t>
      </w:r>
      <w:r w:rsidR="0004702A">
        <w:rPr>
          <w:color w:val="auto"/>
        </w:rPr>
        <w:t xml:space="preserve">). </w:t>
      </w:r>
    </w:p>
    <w:p w:rsidR="00B27719" w:rsidRPr="00BF3723" w:rsidRDefault="00B27719" w:rsidP="00BF3723">
      <w:pPr>
        <w:pStyle w:val="ListParagraph"/>
        <w:rPr>
          <w:color w:val="auto"/>
        </w:rPr>
      </w:pPr>
      <w:r w:rsidRPr="00962499">
        <w:t>The PFS and OS results of pembrolizumab from KN189 are summarised below. All results are based on the updated cut-off data of September 21, 2018.</w:t>
      </w:r>
    </w:p>
    <w:p w:rsidR="00B27719" w:rsidRPr="005D7976" w:rsidRDefault="00461942" w:rsidP="005D7976">
      <w:pPr>
        <w:pStyle w:val="Caption"/>
      </w:pPr>
      <w:r>
        <w:t xml:space="preserve">Figure </w:t>
      </w:r>
      <w:r w:rsidR="00C56714">
        <w:rPr>
          <w:noProof/>
        </w:rPr>
        <w:t>3</w:t>
      </w:r>
      <w:r w:rsidR="00F800E1">
        <w:rPr>
          <w:noProof/>
        </w:rPr>
        <w:t xml:space="preserve">: </w:t>
      </w:r>
      <w:r w:rsidR="00B27719" w:rsidRPr="005D7976">
        <w:t>Kaplan-Meier analysis of progression-free survival, KN189, September 2018 data cut</w:t>
      </w:r>
    </w:p>
    <w:p w:rsidR="00B27719" w:rsidRPr="00962499" w:rsidRDefault="00B27719" w:rsidP="00B27719">
      <w:r w:rsidRPr="007A0920">
        <w:rPr>
          <w:noProof/>
          <w:lang w:eastAsia="en-AU"/>
        </w:rPr>
        <w:drawing>
          <wp:inline distT="0" distB="0" distL="0" distR="0" wp14:anchorId="093D627A" wp14:editId="2BE64A58">
            <wp:extent cx="5730875" cy="4468495"/>
            <wp:effectExtent l="0" t="0" r="3175" b="8255"/>
            <wp:docPr id="32" name="Picture 32" title="Figure 3: Kaplan-Meier analysis of progression-free survival, KN189, September 2018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4468495"/>
                    </a:xfrm>
                    <a:prstGeom prst="rect">
                      <a:avLst/>
                    </a:prstGeom>
                    <a:noFill/>
                  </pic:spPr>
                </pic:pic>
              </a:graphicData>
            </a:graphic>
          </wp:inline>
        </w:drawing>
      </w:r>
    </w:p>
    <w:p w:rsidR="001D527B" w:rsidRPr="00962499" w:rsidRDefault="001D527B" w:rsidP="001D527B">
      <w:pPr>
        <w:pStyle w:val="TableFooter"/>
      </w:pPr>
      <w:r w:rsidRPr="00962499">
        <w:t xml:space="preserve">HR = hazard ratio; </w:t>
      </w:r>
      <w:proofErr w:type="spellStart"/>
      <w:r w:rsidRPr="00962499">
        <w:t>pembro</w:t>
      </w:r>
      <w:proofErr w:type="spellEnd"/>
      <w:r w:rsidRPr="00962499">
        <w:t xml:space="preserve"> = pembrolizumab; TPS = tumour proportion score</w:t>
      </w:r>
    </w:p>
    <w:p w:rsidR="00B27719" w:rsidRPr="00962499" w:rsidRDefault="00B27719" w:rsidP="00B27719">
      <w:pPr>
        <w:pStyle w:val="TableFooter"/>
      </w:pPr>
      <w:r w:rsidRPr="00962499">
        <w:t xml:space="preserve">Source: Figure 3, p 1510 of </w:t>
      </w:r>
      <w:proofErr w:type="spellStart"/>
      <w:r w:rsidRPr="00962499">
        <w:t>Gadgeel</w:t>
      </w:r>
      <w:proofErr w:type="spellEnd"/>
      <w:r w:rsidRPr="00962499">
        <w:t xml:space="preserve"> </w:t>
      </w:r>
      <w:proofErr w:type="gramStart"/>
      <w:r w:rsidRPr="00962499">
        <w:t>et</w:t>
      </w:r>
      <w:proofErr w:type="gramEnd"/>
      <w:r w:rsidRPr="00962499">
        <w:t>. al. 2020</w:t>
      </w:r>
    </w:p>
    <w:p w:rsidR="00B27719" w:rsidRPr="00962499" w:rsidRDefault="00461942" w:rsidP="005D7976">
      <w:pPr>
        <w:pStyle w:val="Caption"/>
      </w:pPr>
      <w:r>
        <w:t xml:space="preserve">Figure </w:t>
      </w:r>
      <w:r w:rsidR="00C56714">
        <w:rPr>
          <w:noProof/>
        </w:rPr>
        <w:t>4</w:t>
      </w:r>
      <w:r w:rsidR="00F800E1">
        <w:rPr>
          <w:noProof/>
        </w:rPr>
        <w:t xml:space="preserve">: </w:t>
      </w:r>
      <w:r w:rsidR="00B27719" w:rsidRPr="00962499">
        <w:t>Kaplan-Meier analysis of overall survival, KN189, September 2018 data cut</w:t>
      </w:r>
    </w:p>
    <w:p w:rsidR="00B27719" w:rsidRPr="00962499" w:rsidRDefault="00B27719" w:rsidP="00B27719">
      <w:r w:rsidRPr="007A0920">
        <w:rPr>
          <w:noProof/>
          <w:lang w:eastAsia="en-AU"/>
        </w:rPr>
        <w:drawing>
          <wp:inline distT="0" distB="0" distL="0" distR="0" wp14:anchorId="422E82C5" wp14:editId="50509DD7">
            <wp:extent cx="5730875" cy="4413885"/>
            <wp:effectExtent l="0" t="0" r="3175" b="5715"/>
            <wp:docPr id="33" name="Picture 33" title="Figure 4: Kaplan-Meier analysis of overall survival, KN189, September 2018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4413885"/>
                    </a:xfrm>
                    <a:prstGeom prst="rect">
                      <a:avLst/>
                    </a:prstGeom>
                    <a:noFill/>
                  </pic:spPr>
                </pic:pic>
              </a:graphicData>
            </a:graphic>
          </wp:inline>
        </w:drawing>
      </w:r>
    </w:p>
    <w:p w:rsidR="001D527B" w:rsidRPr="00962499" w:rsidRDefault="001D527B" w:rsidP="001D527B">
      <w:pPr>
        <w:pStyle w:val="TableFooter"/>
      </w:pPr>
      <w:r w:rsidRPr="00962499">
        <w:t xml:space="preserve">HR = hazard ratio; NR = not reached; </w:t>
      </w:r>
      <w:proofErr w:type="spellStart"/>
      <w:r w:rsidRPr="00962499">
        <w:t>pembro</w:t>
      </w:r>
      <w:proofErr w:type="spellEnd"/>
      <w:r w:rsidRPr="00962499">
        <w:t xml:space="preserve"> = pembrolizumab; TPS = tumour proportion score</w:t>
      </w:r>
    </w:p>
    <w:p w:rsidR="00CA0C3B" w:rsidRPr="00962499" w:rsidRDefault="00B27719" w:rsidP="00B27719">
      <w:pPr>
        <w:pStyle w:val="TableFooter"/>
      </w:pPr>
      <w:r w:rsidRPr="00962499">
        <w:t xml:space="preserve">Source: Figure 2, p 1509 of </w:t>
      </w:r>
      <w:proofErr w:type="spellStart"/>
      <w:r w:rsidRPr="00962499">
        <w:t>Gadgeel</w:t>
      </w:r>
      <w:proofErr w:type="spellEnd"/>
      <w:r w:rsidRPr="00962499">
        <w:t xml:space="preserve"> </w:t>
      </w:r>
      <w:proofErr w:type="gramStart"/>
      <w:r w:rsidRPr="00962499">
        <w:t>et</w:t>
      </w:r>
      <w:proofErr w:type="gramEnd"/>
      <w:r w:rsidRPr="00962499">
        <w:t>. al. 2020</w:t>
      </w:r>
    </w:p>
    <w:p w:rsidR="00CA0C3B" w:rsidRPr="00C63DBB" w:rsidRDefault="00CA0C3B" w:rsidP="00CA0C3B">
      <w:pPr>
        <w:pStyle w:val="ListParagraph"/>
      </w:pPr>
      <w:r w:rsidRPr="00962499">
        <w:t xml:space="preserve">The PFS Kaplan-Meier curves from KN189 adjusted TPS &lt;50% and ‘real world’ pooled TPS </w:t>
      </w:r>
      <w:r w:rsidR="0022138E">
        <w:t xml:space="preserve">(defined in </w:t>
      </w:r>
      <w:r w:rsidR="00E90B22">
        <w:t xml:space="preserve">paragraph </w:t>
      </w:r>
      <w:r w:rsidR="00C56714">
        <w:t>6.12</w:t>
      </w:r>
      <w:r w:rsidR="0022138E">
        <w:t xml:space="preserve">) </w:t>
      </w:r>
      <w:r w:rsidRPr="00962499">
        <w:t>are compared to the VISION 1L cohort in the figure below.</w:t>
      </w:r>
      <w:r w:rsidR="008E17AE">
        <w:t xml:space="preserve"> </w:t>
      </w:r>
      <w:r w:rsidR="008E17AE" w:rsidRPr="00461942">
        <w:t>The ESC noted the number of patients at risk was not provided in the submission for a number of analyses and considered it would have been informative to include this information in Figures 5 to 8.</w:t>
      </w:r>
      <w:r w:rsidR="008E17AE" w:rsidRPr="008E17AE">
        <w:rPr>
          <w:i/>
        </w:rPr>
        <w:t xml:space="preserve"> </w:t>
      </w:r>
    </w:p>
    <w:p w:rsidR="00CA0C3B" w:rsidRPr="00962499" w:rsidRDefault="00461942" w:rsidP="005D7976">
      <w:pPr>
        <w:pStyle w:val="Caption"/>
      </w:pPr>
      <w:r>
        <w:t xml:space="preserve">Figure </w:t>
      </w:r>
      <w:r w:rsidR="00C56714">
        <w:rPr>
          <w:noProof/>
        </w:rPr>
        <w:t>5</w:t>
      </w:r>
      <w:r w:rsidR="00F800E1">
        <w:rPr>
          <w:noProof/>
        </w:rPr>
        <w:t xml:space="preserve">: </w:t>
      </w:r>
      <w:r w:rsidR="00CA0C3B" w:rsidRPr="00962499">
        <w:t>PFS KM curves for VISION 1L and Keynote 189 TPS &lt;50 and TPS agnostic populations</w:t>
      </w:r>
    </w:p>
    <w:p w:rsidR="00CA0C3B" w:rsidRPr="00962499" w:rsidRDefault="00CA0C3B" w:rsidP="00CA0C3B">
      <w:pPr>
        <w:spacing w:after="0"/>
        <w:rPr>
          <w:rFonts w:cstheme="minorHAnsi"/>
        </w:rPr>
      </w:pPr>
      <w:r w:rsidRPr="007A0920">
        <w:rPr>
          <w:noProof/>
          <w:lang w:eastAsia="en-AU"/>
        </w:rPr>
        <w:drawing>
          <wp:inline distT="0" distB="0" distL="0" distR="0" wp14:anchorId="57A43CBD" wp14:editId="185BD0DA">
            <wp:extent cx="5781152" cy="3306725"/>
            <wp:effectExtent l="0" t="0" r="0" b="8255"/>
            <wp:docPr id="39" name="Picture 39" title="Figure 5: PFS KM curves for VISION 1L and Keynote 189 TPS &lt;50 and TPS agnostic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cstate="print">
                      <a:extLst>
                        <a:ext uri="{BEBA8EAE-BF5A-486C-A8C5-ECC9F3942E4B}">
                          <a14:imgProps xmlns:a14="http://schemas.microsoft.com/office/drawing/2010/main">
                            <a14:imgLayer r:embed="rId15">
                              <a14:imgEffect>
                                <a14:sharpenSoften amount="40000"/>
                              </a14:imgEffect>
                            </a14:imgLayer>
                          </a14:imgProps>
                        </a:ext>
                        <a:ext uri="{28A0092B-C50C-407E-A947-70E740481C1C}">
                          <a14:useLocalDpi xmlns:a14="http://schemas.microsoft.com/office/drawing/2010/main" val="0"/>
                        </a:ext>
                      </a:extLst>
                    </a:blip>
                    <a:stretch>
                      <a:fillRect/>
                    </a:stretch>
                  </pic:blipFill>
                  <pic:spPr>
                    <a:xfrm>
                      <a:off x="0" y="0"/>
                      <a:ext cx="5781152" cy="3306725"/>
                    </a:xfrm>
                    <a:prstGeom prst="rect">
                      <a:avLst/>
                    </a:prstGeom>
                  </pic:spPr>
                </pic:pic>
              </a:graphicData>
            </a:graphic>
          </wp:inline>
        </w:drawing>
      </w:r>
    </w:p>
    <w:p w:rsidR="00CA0C3B" w:rsidRPr="00962499" w:rsidRDefault="00CA0C3B" w:rsidP="00CA0C3B">
      <w:pPr>
        <w:pStyle w:val="TableFooter"/>
      </w:pPr>
      <w:r w:rsidRPr="00962499">
        <w:t>1L = first-line treatment subgroup; TPS = programmed death ligand-1 tumour proportion score.</w:t>
      </w:r>
    </w:p>
    <w:p w:rsidR="00CA0C3B" w:rsidRPr="00962499" w:rsidRDefault="00CA0C3B" w:rsidP="00CA0C3B">
      <w:pPr>
        <w:pStyle w:val="TableFooter"/>
      </w:pPr>
      <w:r w:rsidRPr="00962499">
        <w:t>Source: Figure 2-26, p 117 of the submission.</w:t>
      </w:r>
    </w:p>
    <w:p w:rsidR="00B27719" w:rsidRPr="00962499" w:rsidRDefault="00B27719" w:rsidP="00B27719">
      <w:pPr>
        <w:pStyle w:val="ListParagraph"/>
        <w:numPr>
          <w:ilvl w:val="4"/>
          <w:numId w:val="1"/>
        </w:numPr>
        <w:rPr>
          <w:color w:val="auto"/>
        </w:rPr>
      </w:pPr>
      <w:r w:rsidRPr="00962499">
        <w:t xml:space="preserve">The OS Kaplan-Meier curves adjusted using ‘real-world pooled’ PD-L1 prevalence for pembrolizumab + chemotherapy, both unadjusted and adjusted for prognostic factors, along with the OS curve for tepotinib observed from a subgroup of patients treated with first-line tepotinib in VISION, are presented below. </w:t>
      </w:r>
      <w:r w:rsidRPr="007E4DDD">
        <w:rPr>
          <w:iCs/>
          <w:color w:val="auto"/>
        </w:rPr>
        <w:t>The sample size of patients treated with 1</w:t>
      </w:r>
      <w:r w:rsidRPr="007E4DDD">
        <w:rPr>
          <w:iCs/>
          <w:color w:val="auto"/>
          <w:vertAlign w:val="superscript"/>
        </w:rPr>
        <w:t>st</w:t>
      </w:r>
      <w:r w:rsidRPr="007E4DDD">
        <w:rPr>
          <w:iCs/>
          <w:color w:val="auto"/>
        </w:rPr>
        <w:t xml:space="preserve"> line tepotinib in VISION study is small (65 patients), any results from such subgroup are likely to be subject to high uncertainty.</w:t>
      </w:r>
      <w:r w:rsidR="0046200E" w:rsidRPr="007E4DDD">
        <w:t xml:space="preserve"> </w:t>
      </w:r>
      <w:r w:rsidR="0046200E" w:rsidRPr="007E4DDD">
        <w:rPr>
          <w:iCs/>
          <w:color w:val="auto"/>
        </w:rPr>
        <w:t>The TPS ≥50% subgroup demonstrated the greatest efficacy of pembrolizumab, in terms of both PFS and OS</w:t>
      </w:r>
      <w:r w:rsidR="00D0773E">
        <w:rPr>
          <w:iCs/>
          <w:color w:val="auto"/>
        </w:rPr>
        <w:t xml:space="preserve"> (Figure 1 and Figure 2) and t</w:t>
      </w:r>
      <w:r w:rsidR="0046200E" w:rsidRPr="007E4DDD">
        <w:rPr>
          <w:iCs/>
          <w:color w:val="auto"/>
        </w:rPr>
        <w:t>his subgroup was not represented in the matching adjusted indirect comparison with tepotinib presented in the submissio</w:t>
      </w:r>
      <w:r w:rsidR="00D0773E">
        <w:rPr>
          <w:iCs/>
          <w:color w:val="auto"/>
        </w:rPr>
        <w:t>n</w:t>
      </w:r>
      <w:r w:rsidR="0046200E" w:rsidRPr="007E4DDD">
        <w:rPr>
          <w:iCs/>
          <w:color w:val="auto"/>
        </w:rPr>
        <w:t>.</w:t>
      </w:r>
    </w:p>
    <w:p w:rsidR="00B27719" w:rsidRPr="00962499" w:rsidRDefault="00461942" w:rsidP="005D7976">
      <w:pPr>
        <w:pStyle w:val="Caption"/>
        <w:rPr>
          <w:color w:val="auto"/>
        </w:rPr>
      </w:pPr>
      <w:bookmarkStart w:id="26" w:name="_Ref80021157"/>
      <w:r>
        <w:t xml:space="preserve">Figure </w:t>
      </w:r>
      <w:r w:rsidR="00C56714">
        <w:rPr>
          <w:noProof/>
        </w:rPr>
        <w:t>6</w:t>
      </w:r>
      <w:bookmarkEnd w:id="26"/>
      <w:r w:rsidR="00F800E1">
        <w:rPr>
          <w:noProof/>
        </w:rPr>
        <w:t xml:space="preserve">: </w:t>
      </w:r>
      <w:r w:rsidR="00B27719" w:rsidRPr="00962499">
        <w:t xml:space="preserve">OS Vision 1L vs Keynote 189 results pooled based on real-world TPS prevalence </w:t>
      </w:r>
      <w:r w:rsidR="00B27719" w:rsidRPr="00962499">
        <w:rPr>
          <w:u w:val="single"/>
        </w:rPr>
        <w:t>unadjusted</w:t>
      </w:r>
      <w:r w:rsidR="00B27719" w:rsidRPr="00962499">
        <w:t xml:space="preserve"> for prognostic factors</w:t>
      </w:r>
    </w:p>
    <w:p w:rsidR="00B27719" w:rsidRPr="00962499" w:rsidRDefault="00B27719" w:rsidP="00B27719">
      <w:pPr>
        <w:pStyle w:val="ListParagraph"/>
        <w:numPr>
          <w:ilvl w:val="0"/>
          <w:numId w:val="0"/>
        </w:numPr>
        <w:ind w:left="720"/>
        <w:rPr>
          <w:color w:val="0070C0"/>
        </w:rPr>
      </w:pPr>
      <w:r w:rsidRPr="007A0920">
        <w:rPr>
          <w:noProof/>
          <w:color w:val="0070C0"/>
          <w:lang w:eastAsia="en-AU"/>
        </w:rPr>
        <w:drawing>
          <wp:inline distT="0" distB="0" distL="0" distR="0" wp14:anchorId="0C94EDEA" wp14:editId="6EFCCE05">
            <wp:extent cx="5293030" cy="2798445"/>
            <wp:effectExtent l="0" t="0" r="3175" b="1905"/>
            <wp:docPr id="35" name="Picture 35" title="Figure 6: OS Vision 1L vs Keynote 189 results pooled based on real-world TPS prevalence unadjusted for prognostic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2021" cy="2803198"/>
                    </a:xfrm>
                    <a:prstGeom prst="rect">
                      <a:avLst/>
                    </a:prstGeom>
                    <a:noFill/>
                  </pic:spPr>
                </pic:pic>
              </a:graphicData>
            </a:graphic>
          </wp:inline>
        </w:drawing>
      </w:r>
    </w:p>
    <w:p w:rsidR="001D527B" w:rsidRPr="00962499" w:rsidRDefault="001D527B" w:rsidP="001D527B">
      <w:pPr>
        <w:pStyle w:val="TableFooter"/>
      </w:pPr>
      <w:r w:rsidRPr="00962499">
        <w:t>1L = first-line treatment subgroup; OS = overall survival; TPS = programmed death ligand-1 tumour proportion score</w:t>
      </w:r>
    </w:p>
    <w:p w:rsidR="00B27719" w:rsidRPr="00962499" w:rsidRDefault="00B27719" w:rsidP="00B27719">
      <w:pPr>
        <w:pStyle w:val="TableFooter"/>
      </w:pPr>
      <w:r w:rsidRPr="00962499">
        <w:t>Source: Figure 2-24, p 116 of the submission</w:t>
      </w:r>
    </w:p>
    <w:p w:rsidR="00B27719" w:rsidRPr="00962499" w:rsidRDefault="00461942" w:rsidP="005D7976">
      <w:pPr>
        <w:pStyle w:val="Caption"/>
      </w:pPr>
      <w:bookmarkStart w:id="27" w:name="_Ref80021161"/>
      <w:r>
        <w:t xml:space="preserve">Figure </w:t>
      </w:r>
      <w:r w:rsidR="00C56714">
        <w:rPr>
          <w:noProof/>
        </w:rPr>
        <w:t>7</w:t>
      </w:r>
      <w:bookmarkEnd w:id="27"/>
      <w:r w:rsidR="00F800E1">
        <w:rPr>
          <w:noProof/>
        </w:rPr>
        <w:t xml:space="preserve">: </w:t>
      </w:r>
      <w:r w:rsidR="00B27719" w:rsidRPr="00962499">
        <w:t xml:space="preserve">OS in VISION 1L vs Keynote 189 results pooled based on real-world TPS prevalence and </w:t>
      </w:r>
      <w:r w:rsidR="00B27719" w:rsidRPr="00962499">
        <w:rPr>
          <w:u w:val="single"/>
        </w:rPr>
        <w:t>adjusted</w:t>
      </w:r>
      <w:r w:rsidR="00B27719" w:rsidRPr="00962499">
        <w:t xml:space="preserve"> for prognostic factors</w:t>
      </w:r>
    </w:p>
    <w:p w:rsidR="00B27719" w:rsidRPr="00962499" w:rsidRDefault="00B27719" w:rsidP="00B27719">
      <w:r w:rsidRPr="007A0920">
        <w:rPr>
          <w:noProof/>
          <w:lang w:eastAsia="en-AU"/>
        </w:rPr>
        <w:drawing>
          <wp:inline distT="0" distB="0" distL="0" distR="0" wp14:anchorId="3C4A2F42" wp14:editId="5DE5D830">
            <wp:extent cx="5700395" cy="3101009"/>
            <wp:effectExtent l="0" t="0" r="0" b="4445"/>
            <wp:docPr id="36" name="Picture 36" title="Figure 7: OS in VISION 1L vs Keynote 189 results pooled based on real-world TPS prevalence and adjusted for prognostic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0395" cy="3101009"/>
                    </a:xfrm>
                    <a:prstGeom prst="rect">
                      <a:avLst/>
                    </a:prstGeom>
                    <a:noFill/>
                  </pic:spPr>
                </pic:pic>
              </a:graphicData>
            </a:graphic>
          </wp:inline>
        </w:drawing>
      </w:r>
    </w:p>
    <w:p w:rsidR="001D527B" w:rsidRPr="00962499" w:rsidRDefault="001D527B" w:rsidP="001D527B">
      <w:pPr>
        <w:pStyle w:val="TableFooter"/>
      </w:pPr>
      <w:r w:rsidRPr="00962499">
        <w:t>1L = first-line treatment subgroup; OS = overall survival;</w:t>
      </w:r>
      <w:r w:rsidRPr="00F13980">
        <w:rPr>
          <w:rFonts w:ascii="Calibri" w:hAnsi="Calibri" w:cs="Calibri"/>
          <w:kern w:val="28"/>
          <w:sz w:val="16"/>
          <w:szCs w:val="16"/>
          <w:lang w:eastAsia="en-GB"/>
        </w:rPr>
        <w:t xml:space="preserve"> </w:t>
      </w:r>
      <w:r w:rsidRPr="00962499">
        <w:t>TPS = programmed death ligand-1 tumour proportion score.</w:t>
      </w:r>
    </w:p>
    <w:p w:rsidR="00B27719" w:rsidRPr="00962499" w:rsidRDefault="00B27719" w:rsidP="00B27719">
      <w:pPr>
        <w:pStyle w:val="TableFooter"/>
      </w:pPr>
      <w:r w:rsidRPr="00962499">
        <w:t>Source: Figure 2-25, p 117 of the submission.</w:t>
      </w:r>
    </w:p>
    <w:p w:rsidR="00B27719" w:rsidRPr="007E4DDD" w:rsidRDefault="00B27719" w:rsidP="00B27719">
      <w:pPr>
        <w:pStyle w:val="ListParagraph"/>
        <w:numPr>
          <w:ilvl w:val="4"/>
          <w:numId w:val="1"/>
        </w:numPr>
        <w:rPr>
          <w:color w:val="auto"/>
        </w:rPr>
      </w:pPr>
      <w:r w:rsidRPr="007E4DDD">
        <w:rPr>
          <w:iCs/>
          <w:color w:val="auto"/>
        </w:rPr>
        <w:t>These graphs show that even after prognostic factors and the TPS prevalence were adjusted for, the OS curve of pembrolizumab + chemotherapy for all patients was above the OS curve for tepotinib in the 1</w:t>
      </w:r>
      <w:r w:rsidRPr="007E4DDD">
        <w:rPr>
          <w:iCs/>
          <w:color w:val="auto"/>
          <w:vertAlign w:val="superscript"/>
        </w:rPr>
        <w:t>st</w:t>
      </w:r>
      <w:r w:rsidRPr="007E4DDD">
        <w:rPr>
          <w:iCs/>
          <w:color w:val="auto"/>
        </w:rPr>
        <w:t xml:space="preserve"> line population in VISION. As noted above, the OS benefit of pembrolizumab + chemotherapy may have been underestimated, given that the prevalence of PD-L1 expression in the proposed PBS population may be higher than the submission’s estimate. In addition, the estimated incremental benefit</w:t>
      </w:r>
      <w:r w:rsidRPr="00962499">
        <w:rPr>
          <w:i/>
          <w:iCs/>
          <w:color w:val="auto"/>
        </w:rPr>
        <w:t xml:space="preserve"> </w:t>
      </w:r>
      <w:r w:rsidRPr="007E4DDD">
        <w:rPr>
          <w:iCs/>
          <w:color w:val="auto"/>
        </w:rPr>
        <w:t>of tepotinib versus pembrolizumab + chemotherapy may have been biased in favour of tepotinib given that the adjusted indirect comparison did not consider the imbalanced distribution of brain metastasis across the two studies.</w:t>
      </w:r>
      <w:r w:rsidR="00CA0C3B" w:rsidRPr="007E4DDD">
        <w:rPr>
          <w:iCs/>
          <w:color w:val="auto"/>
        </w:rPr>
        <w:t xml:space="preserve"> Finally, the adjustment did not account for </w:t>
      </w:r>
      <w:r w:rsidR="00CA0C3B" w:rsidRPr="009A1144">
        <w:rPr>
          <w:i/>
          <w:iCs/>
          <w:color w:val="auto"/>
        </w:rPr>
        <w:t>MET</w:t>
      </w:r>
      <w:r w:rsidR="00CA0C3B" w:rsidRPr="007E4DDD">
        <w:rPr>
          <w:iCs/>
          <w:color w:val="auto"/>
        </w:rPr>
        <w:t>ex14sk status and, as it is likely that</w:t>
      </w:r>
      <w:r w:rsidR="00B9799D" w:rsidRPr="007E4DDD">
        <w:rPr>
          <w:iCs/>
          <w:color w:val="auto"/>
        </w:rPr>
        <w:t xml:space="preserve"> approximately </w:t>
      </w:r>
      <w:r w:rsidR="00CA0C3B" w:rsidRPr="007E4DDD">
        <w:rPr>
          <w:iCs/>
          <w:color w:val="auto"/>
        </w:rPr>
        <w:t xml:space="preserve">97% of patients in KN189 were not </w:t>
      </w:r>
      <w:r w:rsidR="00CA0C3B" w:rsidRPr="009A1144">
        <w:rPr>
          <w:i/>
          <w:iCs/>
          <w:color w:val="auto"/>
        </w:rPr>
        <w:t>MET</w:t>
      </w:r>
      <w:r w:rsidR="00CA0C3B" w:rsidRPr="007E4DDD">
        <w:rPr>
          <w:iCs/>
          <w:color w:val="auto"/>
        </w:rPr>
        <w:t xml:space="preserve">ex14sk positive, any treatment effect modification from pembrolizumab + chemotherapy or by level of PD-L1 expression (see </w:t>
      </w:r>
      <w:r w:rsidR="00821215" w:rsidRPr="007E4DDD">
        <w:rPr>
          <w:iCs/>
          <w:color w:val="auto"/>
        </w:rPr>
        <w:t>previous paragraph</w:t>
      </w:r>
      <w:r w:rsidR="00CA0C3B" w:rsidRPr="007E4DDD">
        <w:rPr>
          <w:iCs/>
          <w:color w:val="auto"/>
        </w:rPr>
        <w:t>) would not have been captured in the adjustment or in the overall survival results.</w:t>
      </w:r>
    </w:p>
    <w:p w:rsidR="00B27719" w:rsidRPr="00B41E91" w:rsidRDefault="00B27719" w:rsidP="00B27719">
      <w:pPr>
        <w:pStyle w:val="ListParagraph"/>
        <w:numPr>
          <w:ilvl w:val="4"/>
          <w:numId w:val="1"/>
        </w:numPr>
        <w:rPr>
          <w:color w:val="auto"/>
        </w:rPr>
      </w:pPr>
      <w:r w:rsidRPr="007E4DDD">
        <w:rPr>
          <w:iCs/>
          <w:color w:val="auto"/>
        </w:rPr>
        <w:t xml:space="preserve">The submission did not present the OS curve of patients with TPS ≥50% in KN189 (either adjusted or not adjusted for prognostic factors), in comparison with the PD-L1 prevalence adjusted OS curve for all patients in KN189 and that from </w:t>
      </w:r>
      <w:r w:rsidR="00EB60F5">
        <w:rPr>
          <w:iCs/>
          <w:color w:val="auto"/>
        </w:rPr>
        <w:t>first-</w:t>
      </w:r>
      <w:r w:rsidRPr="007E4DDD">
        <w:rPr>
          <w:iCs/>
          <w:color w:val="auto"/>
        </w:rPr>
        <w:t xml:space="preserve">line patients in VISION. </w:t>
      </w:r>
      <w:r w:rsidR="00A95C8D" w:rsidRPr="002F4227">
        <w:rPr>
          <w:iCs/>
          <w:color w:val="auto"/>
        </w:rPr>
        <w:t xml:space="preserve">However, a </w:t>
      </w:r>
      <w:r w:rsidR="007C4577" w:rsidRPr="002F4227">
        <w:rPr>
          <w:iCs/>
          <w:color w:val="auto"/>
        </w:rPr>
        <w:t xml:space="preserve">comparison </w:t>
      </w:r>
      <w:r w:rsidR="00362928" w:rsidRPr="002F4227">
        <w:rPr>
          <w:iCs/>
          <w:color w:val="auto"/>
        </w:rPr>
        <w:t xml:space="preserve">adjusted for prognostic factors </w:t>
      </w:r>
      <w:r w:rsidR="00A95C8D" w:rsidRPr="002F4227">
        <w:rPr>
          <w:iCs/>
          <w:color w:val="auto"/>
        </w:rPr>
        <w:t xml:space="preserve">was constructed during </w:t>
      </w:r>
      <w:r w:rsidR="00EB60F5" w:rsidRPr="002F4227">
        <w:rPr>
          <w:iCs/>
          <w:color w:val="auto"/>
        </w:rPr>
        <w:t xml:space="preserve">the </w:t>
      </w:r>
      <w:r w:rsidR="00A95C8D" w:rsidRPr="002F4227">
        <w:rPr>
          <w:iCs/>
          <w:color w:val="auto"/>
        </w:rPr>
        <w:t xml:space="preserve">evaluation (see Figure below). </w:t>
      </w:r>
      <w:r w:rsidR="00362928">
        <w:rPr>
          <w:iCs/>
          <w:color w:val="auto"/>
        </w:rPr>
        <w:t xml:space="preserve">The evaluation noted </w:t>
      </w:r>
      <w:r w:rsidRPr="007E4DDD">
        <w:rPr>
          <w:iCs/>
          <w:color w:val="auto"/>
        </w:rPr>
        <w:t>pembrolizumab + chemotherapy provided a superior survival curve to tepotinib in the patients with PD-L1</w:t>
      </w:r>
      <w:r w:rsidR="00082321">
        <w:rPr>
          <w:iCs/>
          <w:color w:val="auto"/>
        </w:rPr>
        <w:t xml:space="preserve"> TPS</w:t>
      </w:r>
      <w:r w:rsidR="00086752" w:rsidRPr="007E4DDD">
        <w:rPr>
          <w:iCs/>
          <w:color w:val="auto"/>
        </w:rPr>
        <w:t xml:space="preserve"> </w:t>
      </w:r>
      <w:r w:rsidRPr="007E4DDD">
        <w:rPr>
          <w:iCs/>
          <w:color w:val="auto"/>
        </w:rPr>
        <w:t>≥50%. Patients with PD L1</w:t>
      </w:r>
      <w:r w:rsidR="00082321">
        <w:rPr>
          <w:iCs/>
          <w:color w:val="auto"/>
        </w:rPr>
        <w:t xml:space="preserve"> TPS</w:t>
      </w:r>
      <w:r w:rsidR="00086752" w:rsidRPr="007E4DDD">
        <w:rPr>
          <w:iCs/>
          <w:color w:val="auto"/>
        </w:rPr>
        <w:t xml:space="preserve"> </w:t>
      </w:r>
      <w:r w:rsidRPr="007E4DDD">
        <w:rPr>
          <w:iCs/>
          <w:color w:val="auto"/>
        </w:rPr>
        <w:t>≥50% had not reached their median OS after 24 months of follow-up in the base case, and wh</w:t>
      </w:r>
      <w:r w:rsidR="00FE1AA3">
        <w:rPr>
          <w:iCs/>
          <w:color w:val="auto"/>
        </w:rPr>
        <w:t>en</w:t>
      </w:r>
      <w:r w:rsidRPr="007E4DDD">
        <w:rPr>
          <w:iCs/>
          <w:color w:val="auto"/>
        </w:rPr>
        <w:t xml:space="preserve"> the OS was adjusted for prognostic factors, they had a median OS of approximately 25 months. In contrast, patients treated with 1</w:t>
      </w:r>
      <w:r w:rsidRPr="007E4DDD">
        <w:rPr>
          <w:iCs/>
          <w:color w:val="auto"/>
          <w:vertAlign w:val="superscript"/>
        </w:rPr>
        <w:t>st</w:t>
      </w:r>
      <w:r w:rsidRPr="007E4DDD">
        <w:rPr>
          <w:iCs/>
          <w:color w:val="auto"/>
        </w:rPr>
        <w:t xml:space="preserve"> line tepotinib in VISION had a median OS 16.3 months.</w:t>
      </w:r>
      <w:r w:rsidR="00F515FA">
        <w:rPr>
          <w:iCs/>
          <w:color w:val="auto"/>
        </w:rPr>
        <w:t xml:space="preserve"> </w:t>
      </w:r>
      <w:r w:rsidR="00F515FA" w:rsidRPr="009A1144">
        <w:rPr>
          <w:iCs/>
          <w:color w:val="auto"/>
        </w:rPr>
        <w:t xml:space="preserve">The PSCR stated </w:t>
      </w:r>
      <w:r w:rsidR="004813DE" w:rsidRPr="009A1144">
        <w:rPr>
          <w:iCs/>
          <w:color w:val="auto"/>
        </w:rPr>
        <w:t xml:space="preserve">that as immunotherapy does not work well in </w:t>
      </w:r>
      <w:r w:rsidR="004813DE" w:rsidRPr="009A1144">
        <w:rPr>
          <w:i/>
          <w:iCs/>
          <w:color w:val="auto"/>
        </w:rPr>
        <w:t>MET</w:t>
      </w:r>
      <w:r w:rsidR="004813DE" w:rsidRPr="009A1144">
        <w:rPr>
          <w:iCs/>
          <w:color w:val="auto"/>
        </w:rPr>
        <w:t xml:space="preserve">ex14sk altered tumours and PD-L1 TPS level is not predictive of immunotherapy efficacy in these patients, it </w:t>
      </w:r>
      <w:r w:rsidR="007819AA" w:rsidRPr="009A1144">
        <w:rPr>
          <w:iCs/>
          <w:color w:val="auto"/>
        </w:rPr>
        <w:t xml:space="preserve">may </w:t>
      </w:r>
      <w:r w:rsidR="004813DE" w:rsidRPr="009A1144">
        <w:rPr>
          <w:iCs/>
          <w:color w:val="auto"/>
        </w:rPr>
        <w:t xml:space="preserve">not </w:t>
      </w:r>
      <w:r w:rsidR="007819AA" w:rsidRPr="009A1144">
        <w:rPr>
          <w:iCs/>
          <w:color w:val="auto"/>
        </w:rPr>
        <w:t xml:space="preserve">be </w:t>
      </w:r>
      <w:r w:rsidR="004813DE" w:rsidRPr="009A1144">
        <w:rPr>
          <w:iCs/>
          <w:color w:val="auto"/>
        </w:rPr>
        <w:t xml:space="preserve">reasonable to compare the tepotinib KM curves to the PD-L1 TPS </w:t>
      </w:r>
      <w:r w:rsidR="004813DE" w:rsidRPr="009A1144">
        <w:rPr>
          <w:rFonts w:cstheme="minorHAnsi"/>
          <w:iCs/>
          <w:color w:val="auto"/>
        </w:rPr>
        <w:t>≥</w:t>
      </w:r>
      <w:r w:rsidR="004813DE" w:rsidRPr="009A1144">
        <w:rPr>
          <w:iCs/>
          <w:color w:val="auto"/>
        </w:rPr>
        <w:t>50% KM curves from KN189.</w:t>
      </w:r>
    </w:p>
    <w:p w:rsidR="00B41E91" w:rsidRDefault="00461942" w:rsidP="005D7976">
      <w:pPr>
        <w:pStyle w:val="Caption"/>
      </w:pPr>
      <w:r>
        <w:t xml:space="preserve">Figure </w:t>
      </w:r>
      <w:r w:rsidR="00C56714">
        <w:rPr>
          <w:noProof/>
        </w:rPr>
        <w:t>8</w:t>
      </w:r>
      <w:r w:rsidR="00F800E1">
        <w:rPr>
          <w:noProof/>
        </w:rPr>
        <w:t xml:space="preserve">: </w:t>
      </w:r>
      <w:r w:rsidR="00B41E91" w:rsidRPr="00D73838">
        <w:t>Kaplan Meier curve of overall survival, comparing VISION (1L) to Keynote 189 adjusted for prognostic factors, TPS ≥50% subgroup</w:t>
      </w:r>
    </w:p>
    <w:p w:rsidR="00B41E91" w:rsidRDefault="00B41E91" w:rsidP="00B41E91">
      <w:pPr>
        <w:spacing w:before="0" w:after="0"/>
        <w:rPr>
          <w:rFonts w:ascii="Calibri" w:eastAsia="Times New Roman" w:hAnsi="Calibri" w:cs="Calibri"/>
          <w:kern w:val="28"/>
          <w:sz w:val="16"/>
          <w:szCs w:val="16"/>
          <w:lang w:val="en-US" w:eastAsia="en-GB"/>
        </w:rPr>
      </w:pPr>
      <w:r>
        <w:rPr>
          <w:noProof/>
          <w:lang w:eastAsia="en-AU"/>
        </w:rPr>
        <w:drawing>
          <wp:inline distT="0" distB="0" distL="0" distR="0" wp14:anchorId="70343EFD" wp14:editId="77A20426">
            <wp:extent cx="5460763" cy="3649382"/>
            <wp:effectExtent l="0" t="0" r="6985" b="8255"/>
            <wp:docPr id="14" name="Picture 14" title="Figure 8: Kaplan Meier curve of overall survival, comparing VISION (1L) to Keynote 189 adjusted for prognostic factors, TPS ≥50%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72377" cy="3657143"/>
                    </a:xfrm>
                    <a:prstGeom prst="rect">
                      <a:avLst/>
                    </a:prstGeom>
                  </pic:spPr>
                </pic:pic>
              </a:graphicData>
            </a:graphic>
          </wp:inline>
        </w:drawing>
      </w:r>
    </w:p>
    <w:p w:rsidR="00B41E91" w:rsidRDefault="00B41E91" w:rsidP="00B41E91">
      <w:pPr>
        <w:spacing w:before="0" w:after="0"/>
        <w:rPr>
          <w:rFonts w:ascii="Calibri" w:eastAsia="Times New Roman" w:hAnsi="Calibri" w:cs="Calibri"/>
          <w:kern w:val="28"/>
          <w:sz w:val="16"/>
          <w:szCs w:val="16"/>
          <w:lang w:val="en-US" w:eastAsia="en-GB"/>
        </w:rPr>
      </w:pPr>
      <w:r>
        <w:rPr>
          <w:rFonts w:ascii="Calibri" w:eastAsia="Times New Roman" w:hAnsi="Calibri" w:cs="Calibri"/>
          <w:kern w:val="28"/>
          <w:sz w:val="16"/>
          <w:szCs w:val="16"/>
          <w:lang w:val="en-US" w:eastAsia="en-GB"/>
        </w:rPr>
        <w:t xml:space="preserve">1L = first-line treatment subgroup; TPS = programmed death ligand-1 </w:t>
      </w:r>
      <w:proofErr w:type="spellStart"/>
      <w:r>
        <w:rPr>
          <w:rFonts w:ascii="Calibri" w:eastAsia="Times New Roman" w:hAnsi="Calibri" w:cs="Calibri"/>
          <w:kern w:val="28"/>
          <w:sz w:val="16"/>
          <w:szCs w:val="16"/>
          <w:lang w:val="en-US" w:eastAsia="en-GB"/>
        </w:rPr>
        <w:t>tumour</w:t>
      </w:r>
      <w:proofErr w:type="spellEnd"/>
      <w:r>
        <w:rPr>
          <w:rFonts w:ascii="Calibri" w:eastAsia="Times New Roman" w:hAnsi="Calibri" w:cs="Calibri"/>
          <w:kern w:val="28"/>
          <w:sz w:val="16"/>
          <w:szCs w:val="16"/>
          <w:lang w:val="en-US" w:eastAsia="en-GB"/>
        </w:rPr>
        <w:t xml:space="preserve"> proportion score.</w:t>
      </w:r>
    </w:p>
    <w:p w:rsidR="00B41E91" w:rsidRPr="00AA4F19" w:rsidRDefault="00B41E91" w:rsidP="00B41E91">
      <w:pPr>
        <w:spacing w:before="0" w:after="0"/>
        <w:rPr>
          <w:rFonts w:ascii="Calibri" w:eastAsia="Times New Roman" w:hAnsi="Calibri" w:cs="Calibri"/>
          <w:kern w:val="28"/>
          <w:sz w:val="16"/>
          <w:szCs w:val="16"/>
          <w:lang w:val="en-US" w:eastAsia="en-GB"/>
        </w:rPr>
      </w:pPr>
      <w:r w:rsidRPr="00AA4F19">
        <w:rPr>
          <w:rFonts w:ascii="Calibri" w:eastAsia="Times New Roman" w:hAnsi="Calibri" w:cs="Calibri"/>
          <w:kern w:val="28"/>
          <w:sz w:val="16"/>
          <w:szCs w:val="16"/>
          <w:lang w:val="en-US" w:eastAsia="en-GB"/>
        </w:rPr>
        <w:t>Source: Constructed during the evaluation using the file ‘20210603 KM Curve Comparison Dashboard v3.xlsm’.</w:t>
      </w:r>
    </w:p>
    <w:p w:rsidR="00B27719" w:rsidRPr="00183B83" w:rsidRDefault="00B27719" w:rsidP="00B27719">
      <w:pPr>
        <w:pStyle w:val="PBACESHeading2"/>
        <w:numPr>
          <w:ilvl w:val="2"/>
          <w:numId w:val="1"/>
        </w:numPr>
        <w:rPr>
          <w:rFonts w:asciiTheme="minorHAnsi" w:hAnsiTheme="minorHAnsi" w:cstheme="minorHAnsi"/>
        </w:rPr>
      </w:pPr>
      <w:bookmarkStart w:id="28" w:name="_Toc497226187"/>
      <w:bookmarkStart w:id="29" w:name="_Toc81873384"/>
      <w:r w:rsidRPr="00183B83">
        <w:rPr>
          <w:rFonts w:asciiTheme="minorHAnsi" w:hAnsiTheme="minorHAnsi" w:cstheme="minorHAnsi"/>
        </w:rPr>
        <w:t>Comparative harms</w:t>
      </w:r>
      <w:bookmarkEnd w:id="28"/>
      <w:bookmarkEnd w:id="29"/>
    </w:p>
    <w:p w:rsidR="00B27719" w:rsidRPr="00962499" w:rsidRDefault="00B27719" w:rsidP="00B27719">
      <w:pPr>
        <w:pStyle w:val="ListParagraph"/>
        <w:numPr>
          <w:ilvl w:val="4"/>
          <w:numId w:val="1"/>
        </w:numPr>
        <w:rPr>
          <w:color w:val="auto"/>
        </w:rPr>
      </w:pPr>
      <w:r w:rsidRPr="007E4DDD">
        <w:rPr>
          <w:color w:val="auto"/>
        </w:rPr>
        <w:t xml:space="preserve">The submission pooled safety data from Cohorts A + C from the VISION study. The median duration of exposure to tepotinib was 5.13 months in the combined analysis set. </w:t>
      </w:r>
      <w:r w:rsidRPr="007E4DDD">
        <w:rPr>
          <w:iCs/>
          <w:color w:val="auto"/>
        </w:rPr>
        <w:t>Cohort C was immature, and the median duration of exposure was less than half that of Cohort A, which was 11.62 months. This means the pooled safety data may underestimate the true adverse event rates that would be experienced by the target population.</w:t>
      </w:r>
      <w:r w:rsidRPr="007E4DDD">
        <w:rPr>
          <w:rFonts w:cstheme="minorHAnsi"/>
          <w:iCs/>
          <w:color w:val="auto"/>
        </w:rPr>
        <w:t xml:space="preserve"> </w:t>
      </w:r>
      <w:r w:rsidRPr="007E4DDD">
        <w:rPr>
          <w:iCs/>
          <w:color w:val="auto"/>
        </w:rPr>
        <w:t xml:space="preserve">Separate safety data for Cohort </w:t>
      </w:r>
      <w:proofErr w:type="gramStart"/>
      <w:r w:rsidRPr="007E4DDD">
        <w:rPr>
          <w:iCs/>
          <w:color w:val="auto"/>
        </w:rPr>
        <w:t>A</w:t>
      </w:r>
      <w:proofErr w:type="gramEnd"/>
      <w:r w:rsidRPr="007E4DDD">
        <w:rPr>
          <w:iCs/>
          <w:color w:val="auto"/>
        </w:rPr>
        <w:t xml:space="preserve"> alone could not be located in the submission. The treatment-emergent adverse events (TEAEs) are presented below</w:t>
      </w:r>
      <w:r w:rsidRPr="00962499">
        <w:rPr>
          <w:iCs/>
          <w:color w:val="auto"/>
        </w:rPr>
        <w:t>.</w:t>
      </w:r>
    </w:p>
    <w:p w:rsidR="00B27719" w:rsidRPr="008E17AE" w:rsidRDefault="00C56714" w:rsidP="005D7976">
      <w:pPr>
        <w:pStyle w:val="Caption"/>
      </w:pPr>
      <w:r>
        <w:t xml:space="preserve">Table </w:t>
      </w:r>
      <w:r>
        <w:rPr>
          <w:noProof/>
        </w:rPr>
        <w:t>9</w:t>
      </w:r>
      <w:r w:rsidR="00F800E1">
        <w:rPr>
          <w:noProof/>
        </w:rPr>
        <w:t>:</w:t>
      </w:r>
      <w:r>
        <w:t xml:space="preserve"> </w:t>
      </w:r>
      <w:r w:rsidR="00B27719" w:rsidRPr="008E17AE">
        <w:t>Treatment-</w:t>
      </w:r>
      <w:r w:rsidR="006A2589" w:rsidRPr="008E17AE">
        <w:t>emergent adverse ev</w:t>
      </w:r>
      <w:r w:rsidR="00B27719" w:rsidRPr="008E17AE">
        <w:t>ents of tepotinib, VISION Cohorts A + C, Safety Analysis Set</w:t>
      </w:r>
    </w:p>
    <w:tbl>
      <w:tblPr>
        <w:tblStyle w:val="ASDTable6"/>
        <w:tblW w:w="5000" w:type="pct"/>
        <w:tblLook w:val="04A0" w:firstRow="1" w:lastRow="0" w:firstColumn="1" w:lastColumn="0" w:noHBand="0" w:noVBand="1"/>
        <w:tblCaption w:val="Table 9: Treatment-emergent adverse events of tepotinib, VISION Cohorts A + C, Safety Analysis Set"/>
      </w:tblPr>
      <w:tblGrid>
        <w:gridCol w:w="7304"/>
        <w:gridCol w:w="1712"/>
      </w:tblGrid>
      <w:tr w:rsidR="00B27719" w:rsidRPr="00962499" w:rsidTr="00FD0BD5">
        <w:trPr>
          <w:trHeight w:val="400"/>
          <w:tblHeader/>
        </w:trPr>
        <w:tc>
          <w:tcPr>
            <w:tcW w:w="7304" w:type="dxa"/>
            <w:shd w:val="clear" w:color="auto" w:fill="auto"/>
          </w:tcPr>
          <w:p w:rsidR="00B27719" w:rsidRPr="00F13980" w:rsidRDefault="00B27719" w:rsidP="00265F9B">
            <w:pPr>
              <w:keepNext/>
              <w:keepLines/>
              <w:spacing w:before="0"/>
              <w:jc w:val="center"/>
              <w:rPr>
                <w:rFonts w:cs="Calibri"/>
                <w:b/>
                <w:sz w:val="20"/>
                <w:szCs w:val="20"/>
                <w:lang w:val="en-AU"/>
              </w:rPr>
            </w:pPr>
          </w:p>
        </w:tc>
        <w:tc>
          <w:tcPr>
            <w:tcW w:w="1712" w:type="dxa"/>
            <w:shd w:val="clear" w:color="auto" w:fill="auto"/>
          </w:tcPr>
          <w:p w:rsidR="00B27719" w:rsidRPr="00F13980" w:rsidRDefault="00B27719" w:rsidP="00265F9B">
            <w:pPr>
              <w:keepNext/>
              <w:keepLines/>
              <w:spacing w:before="0"/>
              <w:jc w:val="center"/>
              <w:rPr>
                <w:rFonts w:cs="Calibri"/>
                <w:b/>
                <w:sz w:val="20"/>
                <w:szCs w:val="20"/>
                <w:vertAlign w:val="superscript"/>
                <w:lang w:val="en-AU"/>
              </w:rPr>
            </w:pPr>
            <w:proofErr w:type="spellStart"/>
            <w:r w:rsidRPr="00962499">
              <w:rPr>
                <w:rFonts w:cs="Calibri"/>
                <w:b/>
                <w:sz w:val="20"/>
                <w:szCs w:val="20"/>
              </w:rPr>
              <w:t>Combined</w:t>
            </w:r>
            <w:r w:rsidRPr="00962499">
              <w:rPr>
                <w:rFonts w:cs="Calibri"/>
                <w:b/>
                <w:sz w:val="20"/>
                <w:szCs w:val="20"/>
                <w:vertAlign w:val="superscript"/>
              </w:rPr>
              <w:t>a</w:t>
            </w:r>
            <w:proofErr w:type="spellEnd"/>
          </w:p>
          <w:p w:rsidR="00B27719" w:rsidRPr="00F13980" w:rsidRDefault="00B27719" w:rsidP="00265F9B">
            <w:pPr>
              <w:keepNext/>
              <w:keepLines/>
              <w:spacing w:before="0"/>
              <w:jc w:val="center"/>
              <w:rPr>
                <w:rFonts w:cs="Calibri"/>
                <w:b/>
                <w:sz w:val="20"/>
                <w:szCs w:val="20"/>
                <w:lang w:val="en-AU"/>
              </w:rPr>
            </w:pPr>
            <w:r w:rsidRPr="00962499">
              <w:rPr>
                <w:rFonts w:cs="Calibri"/>
                <w:b/>
                <w:sz w:val="20"/>
                <w:szCs w:val="20"/>
              </w:rPr>
              <w:t>N = 255</w:t>
            </w:r>
          </w:p>
        </w:tc>
      </w:tr>
      <w:tr w:rsidR="00B27719" w:rsidRPr="00962499" w:rsidTr="001D527B">
        <w:trPr>
          <w:trHeight w:val="269"/>
        </w:trPr>
        <w:tc>
          <w:tcPr>
            <w:tcW w:w="7304" w:type="dxa"/>
            <w:shd w:val="clear" w:color="auto" w:fill="auto"/>
          </w:tcPr>
          <w:p w:rsidR="00B27719" w:rsidRPr="00F13980" w:rsidRDefault="00B27719" w:rsidP="00265F9B">
            <w:pPr>
              <w:keepNext/>
              <w:keepLines/>
              <w:spacing w:before="0"/>
              <w:rPr>
                <w:rFonts w:cs="Calibri"/>
                <w:b/>
                <w:sz w:val="20"/>
                <w:szCs w:val="20"/>
                <w:lang w:val="en-AU"/>
              </w:rPr>
            </w:pPr>
            <w:r w:rsidRPr="00962499">
              <w:rPr>
                <w:rFonts w:cs="Calibri"/>
                <w:b/>
                <w:bCs/>
                <w:sz w:val="20"/>
                <w:szCs w:val="20"/>
              </w:rPr>
              <w:t xml:space="preserve">Number of </w:t>
            </w:r>
            <w:r w:rsidR="00BF3130" w:rsidRPr="00962499">
              <w:rPr>
                <w:rFonts w:cs="Calibri"/>
                <w:b/>
                <w:bCs/>
                <w:sz w:val="20"/>
                <w:szCs w:val="20"/>
              </w:rPr>
              <w:t>s</w:t>
            </w:r>
            <w:r w:rsidRPr="00962499">
              <w:rPr>
                <w:rFonts w:cs="Calibri"/>
                <w:b/>
                <w:bCs/>
                <w:sz w:val="20"/>
                <w:szCs w:val="20"/>
              </w:rPr>
              <w:t>ubjects with:</w:t>
            </w:r>
          </w:p>
        </w:tc>
        <w:tc>
          <w:tcPr>
            <w:tcW w:w="1712" w:type="dxa"/>
            <w:shd w:val="clear" w:color="auto" w:fill="auto"/>
          </w:tcPr>
          <w:p w:rsidR="00B27719" w:rsidRPr="00F13980" w:rsidRDefault="00B27719" w:rsidP="00265F9B">
            <w:pPr>
              <w:keepNext/>
              <w:keepLines/>
              <w:spacing w:before="0"/>
              <w:jc w:val="center"/>
              <w:rPr>
                <w:rFonts w:cs="Calibri"/>
                <w:b/>
                <w:sz w:val="20"/>
                <w:szCs w:val="20"/>
                <w:lang w:val="en-AU"/>
              </w:rPr>
            </w:pPr>
            <w:proofErr w:type="gramStart"/>
            <w:r w:rsidRPr="00962499">
              <w:rPr>
                <w:rFonts w:cs="Calibri"/>
                <w:b/>
                <w:sz w:val="20"/>
                <w:szCs w:val="20"/>
              </w:rPr>
              <w:t>n</w:t>
            </w:r>
            <w:proofErr w:type="gramEnd"/>
            <w:r w:rsidRPr="00962499">
              <w:rPr>
                <w:rFonts w:cs="Calibri"/>
                <w:b/>
                <w:sz w:val="20"/>
                <w:szCs w:val="20"/>
              </w:rPr>
              <w:t xml:space="preserve"> (%)</w:t>
            </w:r>
          </w:p>
        </w:tc>
      </w:tr>
      <w:tr w:rsidR="00B27719" w:rsidRPr="00962499" w:rsidTr="001D527B">
        <w:trPr>
          <w:trHeight w:val="216"/>
        </w:trPr>
        <w:tc>
          <w:tcPr>
            <w:tcW w:w="7304" w:type="dxa"/>
          </w:tcPr>
          <w:p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Any TEAE </w:t>
            </w:r>
          </w:p>
        </w:tc>
        <w:tc>
          <w:tcPr>
            <w:tcW w:w="1712" w:type="dxa"/>
          </w:tcPr>
          <w:p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246 (96.5)</w:t>
            </w:r>
          </w:p>
        </w:tc>
      </w:tr>
      <w:tr w:rsidR="00B27719" w:rsidRPr="00962499" w:rsidTr="001D527B">
        <w:trPr>
          <w:trHeight w:val="216"/>
        </w:trPr>
        <w:tc>
          <w:tcPr>
            <w:tcW w:w="7304" w:type="dxa"/>
          </w:tcPr>
          <w:p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Any study treatment-related TEAE </w:t>
            </w:r>
          </w:p>
        </w:tc>
        <w:tc>
          <w:tcPr>
            <w:tcW w:w="1712" w:type="dxa"/>
          </w:tcPr>
          <w:p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220 (86.3)</w:t>
            </w:r>
          </w:p>
        </w:tc>
      </w:tr>
      <w:tr w:rsidR="00B27719" w:rsidRPr="00962499" w:rsidTr="001D527B">
        <w:trPr>
          <w:trHeight w:val="216"/>
        </w:trPr>
        <w:tc>
          <w:tcPr>
            <w:tcW w:w="7304" w:type="dxa"/>
          </w:tcPr>
          <w:p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Any serious TEAE </w:t>
            </w:r>
          </w:p>
        </w:tc>
        <w:tc>
          <w:tcPr>
            <w:tcW w:w="1712" w:type="dxa"/>
          </w:tcPr>
          <w:p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115 (45.1)</w:t>
            </w:r>
          </w:p>
        </w:tc>
      </w:tr>
      <w:tr w:rsidR="00B27719" w:rsidRPr="00962499" w:rsidTr="001D527B">
        <w:trPr>
          <w:trHeight w:val="216"/>
        </w:trPr>
        <w:tc>
          <w:tcPr>
            <w:tcW w:w="7304" w:type="dxa"/>
          </w:tcPr>
          <w:p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Any study treatment-related serious TEAE </w:t>
            </w:r>
          </w:p>
        </w:tc>
        <w:tc>
          <w:tcPr>
            <w:tcW w:w="1712" w:type="dxa"/>
          </w:tcPr>
          <w:p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31 (12.2)</w:t>
            </w:r>
          </w:p>
        </w:tc>
      </w:tr>
      <w:tr w:rsidR="00B27719" w:rsidRPr="00962499" w:rsidTr="001D527B">
        <w:trPr>
          <w:trHeight w:val="216"/>
        </w:trPr>
        <w:tc>
          <w:tcPr>
            <w:tcW w:w="7304" w:type="dxa"/>
            <w:shd w:val="clear" w:color="auto" w:fill="F2F2F2"/>
          </w:tcPr>
          <w:p w:rsidR="00B27719" w:rsidRPr="00F13980" w:rsidRDefault="00B27719" w:rsidP="00265F9B">
            <w:pPr>
              <w:keepNext/>
              <w:keepLines/>
              <w:spacing w:before="0"/>
              <w:rPr>
                <w:rFonts w:cs="Calibri"/>
                <w:b/>
                <w:sz w:val="20"/>
                <w:szCs w:val="20"/>
                <w:lang w:val="en-AU"/>
              </w:rPr>
            </w:pPr>
            <w:r w:rsidRPr="00962499">
              <w:rPr>
                <w:rFonts w:cs="Calibri"/>
                <w:b/>
                <w:bCs/>
                <w:sz w:val="20"/>
                <w:szCs w:val="20"/>
              </w:rPr>
              <w:t>Any TEAE by worst NCI-CTCAE severity</w:t>
            </w:r>
          </w:p>
        </w:tc>
        <w:tc>
          <w:tcPr>
            <w:tcW w:w="1712" w:type="dxa"/>
            <w:shd w:val="clear" w:color="auto" w:fill="F2F2F2"/>
          </w:tcPr>
          <w:p w:rsidR="00B27719" w:rsidRPr="00F13980" w:rsidRDefault="00B27719" w:rsidP="00265F9B">
            <w:pPr>
              <w:keepNext/>
              <w:keepLines/>
              <w:spacing w:before="0"/>
              <w:rPr>
                <w:rFonts w:cs="Calibri"/>
                <w:b/>
                <w:sz w:val="20"/>
                <w:szCs w:val="20"/>
                <w:lang w:val="en-AU"/>
              </w:rPr>
            </w:pPr>
          </w:p>
        </w:tc>
      </w:tr>
      <w:tr w:rsidR="00B27719" w:rsidRPr="00962499" w:rsidTr="001D527B">
        <w:trPr>
          <w:trHeight w:val="205"/>
        </w:trPr>
        <w:tc>
          <w:tcPr>
            <w:tcW w:w="7304" w:type="dxa"/>
          </w:tcPr>
          <w:p w:rsidR="00B27719" w:rsidRPr="00F13980" w:rsidRDefault="00B27719" w:rsidP="00265F9B">
            <w:pPr>
              <w:keepNext/>
              <w:keepLines/>
              <w:spacing w:before="0"/>
              <w:rPr>
                <w:rFonts w:cs="Calibri"/>
                <w:b/>
                <w:sz w:val="20"/>
                <w:szCs w:val="20"/>
                <w:lang w:val="en-AU"/>
              </w:rPr>
            </w:pPr>
            <w:r w:rsidRPr="00962499">
              <w:rPr>
                <w:rFonts w:cs="Calibri"/>
                <w:sz w:val="20"/>
                <w:szCs w:val="20"/>
              </w:rPr>
              <w:t xml:space="preserve">Grade ≥ 3 </w:t>
            </w:r>
          </w:p>
        </w:tc>
        <w:tc>
          <w:tcPr>
            <w:tcW w:w="1712" w:type="dxa"/>
          </w:tcPr>
          <w:p w:rsidR="00B27719" w:rsidRPr="00F13980" w:rsidRDefault="00B27719" w:rsidP="00265F9B">
            <w:pPr>
              <w:keepNext/>
              <w:keepLines/>
              <w:spacing w:before="0"/>
              <w:jc w:val="center"/>
              <w:rPr>
                <w:rFonts w:cs="Calibri"/>
                <w:b/>
                <w:sz w:val="20"/>
                <w:szCs w:val="20"/>
                <w:lang w:val="en-AU"/>
              </w:rPr>
            </w:pPr>
            <w:r w:rsidRPr="00962499">
              <w:rPr>
                <w:rFonts w:cs="Calibri"/>
                <w:sz w:val="20"/>
                <w:szCs w:val="20"/>
              </w:rPr>
              <w:t>135 (52.9)</w:t>
            </w:r>
          </w:p>
        </w:tc>
      </w:tr>
      <w:tr w:rsidR="00B27719" w:rsidRPr="00962499" w:rsidTr="001D527B">
        <w:trPr>
          <w:trHeight w:val="205"/>
        </w:trPr>
        <w:tc>
          <w:tcPr>
            <w:tcW w:w="7304" w:type="dxa"/>
          </w:tcPr>
          <w:p w:rsidR="00B27719" w:rsidRPr="00F13980" w:rsidRDefault="00B27719" w:rsidP="00265F9B">
            <w:pPr>
              <w:keepNext/>
              <w:keepLines/>
              <w:spacing w:before="0"/>
              <w:rPr>
                <w:rFonts w:cs="Calibri"/>
                <w:sz w:val="20"/>
                <w:szCs w:val="20"/>
                <w:lang w:val="en-AU"/>
              </w:rPr>
            </w:pPr>
            <w:r w:rsidRPr="00962499">
              <w:rPr>
                <w:rFonts w:cs="Calibri"/>
                <w:sz w:val="20"/>
                <w:szCs w:val="20"/>
              </w:rPr>
              <w:t xml:space="preserve">Grade ≥ 4 </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41 (16.1)</w:t>
            </w:r>
          </w:p>
        </w:tc>
      </w:tr>
      <w:tr w:rsidR="00B27719" w:rsidRPr="00962499" w:rsidTr="001D527B">
        <w:trPr>
          <w:trHeight w:val="205"/>
        </w:trPr>
        <w:tc>
          <w:tcPr>
            <w:tcW w:w="7304" w:type="dxa"/>
            <w:shd w:val="clear" w:color="auto" w:fill="F2F2F2"/>
          </w:tcPr>
          <w:p w:rsidR="00B27719" w:rsidRPr="00F13980" w:rsidRDefault="00B27719" w:rsidP="00265F9B">
            <w:pPr>
              <w:keepNext/>
              <w:keepLines/>
              <w:autoSpaceDE w:val="0"/>
              <w:autoSpaceDN w:val="0"/>
              <w:adjustRightInd w:val="0"/>
              <w:spacing w:before="0"/>
              <w:rPr>
                <w:rFonts w:cs="Calibri"/>
                <w:b/>
                <w:sz w:val="20"/>
                <w:szCs w:val="20"/>
                <w:lang w:val="en-AU"/>
              </w:rPr>
            </w:pPr>
            <w:r w:rsidRPr="00962499">
              <w:rPr>
                <w:rFonts w:cs="Calibri"/>
                <w:b/>
                <w:bCs/>
                <w:sz w:val="20"/>
                <w:szCs w:val="20"/>
              </w:rPr>
              <w:t>Study treatment-related TEAE by worst NCI-CTCAE severity grade</w:t>
            </w:r>
          </w:p>
        </w:tc>
        <w:tc>
          <w:tcPr>
            <w:tcW w:w="1712" w:type="dxa"/>
            <w:shd w:val="clear" w:color="auto" w:fill="F2F2F2"/>
          </w:tcPr>
          <w:p w:rsidR="00B27719" w:rsidRPr="00F13980" w:rsidRDefault="00B27719" w:rsidP="00265F9B">
            <w:pPr>
              <w:keepNext/>
              <w:keepLines/>
              <w:autoSpaceDE w:val="0"/>
              <w:autoSpaceDN w:val="0"/>
              <w:adjustRightInd w:val="0"/>
              <w:spacing w:before="0"/>
              <w:rPr>
                <w:rFonts w:cs="Calibri"/>
                <w:b/>
                <w:sz w:val="20"/>
                <w:szCs w:val="20"/>
                <w:lang w:val="en-AU"/>
              </w:rPr>
            </w:pPr>
          </w:p>
        </w:tc>
      </w:tr>
      <w:tr w:rsidR="00B27719" w:rsidRPr="00962499" w:rsidTr="001D527B">
        <w:trPr>
          <w:trHeight w:val="205"/>
        </w:trPr>
        <w:tc>
          <w:tcPr>
            <w:tcW w:w="7304" w:type="dxa"/>
          </w:tcPr>
          <w:p w:rsidR="00B27719" w:rsidRPr="00F13980" w:rsidRDefault="00B27719" w:rsidP="00265F9B">
            <w:pPr>
              <w:keepNext/>
              <w:keepLines/>
              <w:spacing w:before="0"/>
              <w:rPr>
                <w:rFonts w:cs="Calibri"/>
                <w:sz w:val="20"/>
                <w:szCs w:val="20"/>
                <w:lang w:val="en-AU"/>
              </w:rPr>
            </w:pPr>
            <w:r w:rsidRPr="00962499">
              <w:rPr>
                <w:rFonts w:cs="Calibri"/>
                <w:sz w:val="20"/>
                <w:szCs w:val="20"/>
              </w:rPr>
              <w:t xml:space="preserve">Grade ≥ 3 </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64 (25.1)</w:t>
            </w:r>
          </w:p>
        </w:tc>
      </w:tr>
      <w:tr w:rsidR="00B27719" w:rsidRPr="00962499" w:rsidTr="001D527B">
        <w:trPr>
          <w:trHeight w:val="205"/>
        </w:trPr>
        <w:tc>
          <w:tcPr>
            <w:tcW w:w="7304" w:type="dxa"/>
          </w:tcPr>
          <w:p w:rsidR="00B27719" w:rsidRPr="00F13980" w:rsidRDefault="00B27719" w:rsidP="00265F9B">
            <w:pPr>
              <w:keepNext/>
              <w:keepLines/>
              <w:spacing w:before="0"/>
              <w:rPr>
                <w:rFonts w:cs="Calibri"/>
                <w:sz w:val="20"/>
                <w:szCs w:val="20"/>
                <w:lang w:val="en-AU"/>
              </w:rPr>
            </w:pPr>
            <w:r w:rsidRPr="00962499">
              <w:rPr>
                <w:rFonts w:cs="Calibri"/>
                <w:sz w:val="20"/>
                <w:szCs w:val="20"/>
              </w:rPr>
              <w:t xml:space="preserve">Grade ≥ 4 </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9 (3.5)</w:t>
            </w:r>
          </w:p>
        </w:tc>
      </w:tr>
      <w:tr w:rsidR="00B27719" w:rsidRPr="00962499" w:rsidTr="001D527B">
        <w:trPr>
          <w:trHeight w:val="205"/>
        </w:trPr>
        <w:tc>
          <w:tcPr>
            <w:tcW w:w="7304" w:type="dxa"/>
          </w:tcPr>
          <w:p w:rsidR="00B27719" w:rsidRPr="00F13980" w:rsidRDefault="00B27719" w:rsidP="00265F9B">
            <w:pPr>
              <w:keepNext/>
              <w:keepLines/>
              <w:spacing w:before="0"/>
              <w:rPr>
                <w:rFonts w:cs="Calibri"/>
                <w:sz w:val="20"/>
                <w:szCs w:val="20"/>
                <w:lang w:val="en-AU"/>
              </w:rPr>
            </w:pPr>
            <w:r w:rsidRPr="00962499">
              <w:rPr>
                <w:rFonts w:cs="Calibri"/>
                <w:sz w:val="20"/>
                <w:szCs w:val="20"/>
              </w:rPr>
              <w:t xml:space="preserve">Any TEAE leading to death </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30 (11.8)</w:t>
            </w:r>
          </w:p>
        </w:tc>
      </w:tr>
      <w:tr w:rsidR="00B27719" w:rsidRPr="00962499" w:rsidTr="001D527B">
        <w:trPr>
          <w:trHeight w:val="205"/>
        </w:trPr>
        <w:tc>
          <w:tcPr>
            <w:tcW w:w="7304" w:type="dxa"/>
          </w:tcPr>
          <w:p w:rsidR="00B27719" w:rsidRPr="00F13980" w:rsidRDefault="00B27719" w:rsidP="00265F9B">
            <w:pPr>
              <w:keepNext/>
              <w:keepLines/>
              <w:spacing w:before="0"/>
              <w:rPr>
                <w:rFonts w:cs="Calibri"/>
                <w:sz w:val="20"/>
                <w:szCs w:val="20"/>
                <w:lang w:val="en-AU"/>
              </w:rPr>
            </w:pPr>
            <w:r w:rsidRPr="00962499">
              <w:rPr>
                <w:rFonts w:cs="Calibri"/>
                <w:sz w:val="20"/>
                <w:szCs w:val="20"/>
              </w:rPr>
              <w:t xml:space="preserve">Any study treatment-related TEAE leading to death </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2 (0.8)</w:t>
            </w:r>
          </w:p>
        </w:tc>
      </w:tr>
      <w:tr w:rsidR="00B27719" w:rsidRPr="00962499" w:rsidTr="001D527B">
        <w:trPr>
          <w:trHeight w:val="205"/>
        </w:trPr>
        <w:tc>
          <w:tcPr>
            <w:tcW w:w="7304" w:type="dxa"/>
          </w:tcPr>
          <w:p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Any TEAE leading to temporary discontinuation of study treatment</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112 (43.9)</w:t>
            </w:r>
          </w:p>
        </w:tc>
      </w:tr>
      <w:tr w:rsidR="00B27719" w:rsidRPr="00962499" w:rsidTr="001D527B">
        <w:trPr>
          <w:trHeight w:val="205"/>
        </w:trPr>
        <w:tc>
          <w:tcPr>
            <w:tcW w:w="7304" w:type="dxa"/>
          </w:tcPr>
          <w:p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Any study treatment-related TEAE leading to</w:t>
            </w:r>
          </w:p>
          <w:p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temporary discontinuation of study treatment</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90 (35.3)</w:t>
            </w:r>
          </w:p>
        </w:tc>
      </w:tr>
      <w:tr w:rsidR="00B27719" w:rsidRPr="00962499" w:rsidTr="001D527B">
        <w:trPr>
          <w:trHeight w:val="205"/>
        </w:trPr>
        <w:tc>
          <w:tcPr>
            <w:tcW w:w="7304" w:type="dxa"/>
          </w:tcPr>
          <w:p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Any TEAE leading to permanent discontinuation of study treatment</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52 (20.4)</w:t>
            </w:r>
          </w:p>
        </w:tc>
      </w:tr>
      <w:tr w:rsidR="00B27719" w:rsidRPr="00962499" w:rsidTr="001D527B">
        <w:trPr>
          <w:trHeight w:val="205"/>
        </w:trPr>
        <w:tc>
          <w:tcPr>
            <w:tcW w:w="7304" w:type="dxa"/>
          </w:tcPr>
          <w:p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Any study treatment-related TEAE leading to</w:t>
            </w:r>
          </w:p>
          <w:p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permanent discontinuation of study treatment</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27 (10.6)</w:t>
            </w:r>
          </w:p>
        </w:tc>
      </w:tr>
      <w:tr w:rsidR="00B27719" w:rsidRPr="00962499" w:rsidTr="001D527B">
        <w:trPr>
          <w:trHeight w:val="205"/>
        </w:trPr>
        <w:tc>
          <w:tcPr>
            <w:tcW w:w="7304" w:type="dxa"/>
          </w:tcPr>
          <w:p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 xml:space="preserve">Any TEAE leading to dose reduction of study treatment  </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76 (29.8)</w:t>
            </w:r>
          </w:p>
        </w:tc>
      </w:tr>
      <w:tr w:rsidR="00B27719" w:rsidRPr="00962499" w:rsidTr="001D527B">
        <w:trPr>
          <w:trHeight w:val="205"/>
        </w:trPr>
        <w:tc>
          <w:tcPr>
            <w:tcW w:w="7304" w:type="dxa"/>
          </w:tcPr>
          <w:p w:rsidR="00B27719" w:rsidRPr="00F13980" w:rsidRDefault="00B27719" w:rsidP="00265F9B">
            <w:pPr>
              <w:keepNext/>
              <w:keepLines/>
              <w:autoSpaceDE w:val="0"/>
              <w:autoSpaceDN w:val="0"/>
              <w:adjustRightInd w:val="0"/>
              <w:spacing w:before="0"/>
              <w:rPr>
                <w:rFonts w:cs="Calibri"/>
                <w:sz w:val="20"/>
                <w:szCs w:val="20"/>
                <w:lang w:val="en-AU"/>
              </w:rPr>
            </w:pPr>
            <w:r w:rsidRPr="00962499">
              <w:rPr>
                <w:rFonts w:cs="Calibri"/>
                <w:sz w:val="20"/>
                <w:szCs w:val="20"/>
              </w:rPr>
              <w:t>Any study treatment-related TEAE leading to dose reduction of study treatment</w:t>
            </w:r>
          </w:p>
        </w:tc>
        <w:tc>
          <w:tcPr>
            <w:tcW w:w="1712" w:type="dxa"/>
          </w:tcPr>
          <w:p w:rsidR="00B27719" w:rsidRPr="00F13980" w:rsidRDefault="00B27719" w:rsidP="00265F9B">
            <w:pPr>
              <w:keepNext/>
              <w:keepLines/>
              <w:spacing w:before="0"/>
              <w:jc w:val="center"/>
              <w:rPr>
                <w:rFonts w:cs="Calibri"/>
                <w:sz w:val="20"/>
                <w:szCs w:val="20"/>
                <w:lang w:val="en-AU"/>
              </w:rPr>
            </w:pPr>
            <w:r w:rsidRPr="00962499">
              <w:rPr>
                <w:rFonts w:cs="Calibri"/>
                <w:sz w:val="20"/>
                <w:szCs w:val="20"/>
              </w:rPr>
              <w:t>71 (27.8)</w:t>
            </w:r>
          </w:p>
        </w:tc>
      </w:tr>
    </w:tbl>
    <w:p w:rsidR="001D527B" w:rsidRPr="00F13980" w:rsidRDefault="001D527B" w:rsidP="00265F9B">
      <w:pPr>
        <w:pStyle w:val="TableFooter"/>
        <w:keepNext/>
        <w:keepLines/>
        <w:rPr>
          <w:lang w:eastAsia="en-GB"/>
        </w:rPr>
      </w:pPr>
      <w:r w:rsidRPr="00F13980">
        <w:rPr>
          <w:lang w:eastAsia="en-GB"/>
        </w:rPr>
        <w:t xml:space="preserve">TEAE=treatment-emergent adverse event; NCI-CTCAE=National Cancer Institute-Common Terminology Criteria for Adverse Events, NCI-CTCAE Version 4.03. </w:t>
      </w:r>
    </w:p>
    <w:p w:rsidR="001D527B" w:rsidRPr="00962499" w:rsidRDefault="001D527B" w:rsidP="00265F9B">
      <w:pPr>
        <w:pStyle w:val="TableFooter"/>
        <w:keepNext/>
        <w:keepLines/>
      </w:pPr>
      <w:r w:rsidRPr="00F13980">
        <w:rPr>
          <w:lang w:eastAsia="en-GB"/>
        </w:rPr>
        <w:t>Note: Treatment-emergent AEs were defined as events that started within the day of the first dose of study treatment until 30 days after the last dose of treatment, or started prior to the first dose but worsened during the treatment period.</w:t>
      </w:r>
    </w:p>
    <w:p w:rsidR="00B27719" w:rsidRPr="00F13980" w:rsidRDefault="00B27719" w:rsidP="000F0026">
      <w:pPr>
        <w:pStyle w:val="TableFooter"/>
        <w:rPr>
          <w:lang w:eastAsia="en-GB"/>
        </w:rPr>
      </w:pPr>
      <w:r w:rsidRPr="00F13980">
        <w:rPr>
          <w:lang w:eastAsia="en-GB"/>
        </w:rPr>
        <w:t>Source: Table 2-41, p 108 of the submission.</w:t>
      </w:r>
    </w:p>
    <w:p w:rsidR="00B27719" w:rsidRPr="000F0026" w:rsidRDefault="00B27719" w:rsidP="00B27719">
      <w:pPr>
        <w:pStyle w:val="ListParagraph"/>
        <w:numPr>
          <w:ilvl w:val="4"/>
          <w:numId w:val="1"/>
        </w:numPr>
        <w:rPr>
          <w:color w:val="auto"/>
        </w:rPr>
      </w:pPr>
      <w:r w:rsidRPr="00962499">
        <w:rPr>
          <w:color w:val="auto"/>
        </w:rPr>
        <w:t xml:space="preserve">The most common TEAE </w:t>
      </w:r>
      <w:r w:rsidR="00452296" w:rsidRPr="00962499">
        <w:rPr>
          <w:color w:val="auto"/>
        </w:rPr>
        <w:t>for</w:t>
      </w:r>
      <w:r w:rsidRPr="00962499">
        <w:rPr>
          <w:color w:val="auto"/>
        </w:rPr>
        <w:t xml:space="preserve"> tepotinib was peripheral oedema (54.1%), followed by nausea (20%), diarrhoea (19.6%), increased creatinine (17.6%) and </w:t>
      </w:r>
      <w:proofErr w:type="spellStart"/>
      <w:r w:rsidRPr="00962499">
        <w:rPr>
          <w:color w:val="auto"/>
        </w:rPr>
        <w:t>hypoalbuminaemia</w:t>
      </w:r>
      <w:proofErr w:type="spellEnd"/>
      <w:r w:rsidRPr="00962499">
        <w:rPr>
          <w:color w:val="auto"/>
        </w:rPr>
        <w:t xml:space="preserve"> (14.5%). The most common TEAE of Grade ≥ 3 severity, was peripheral oedema, reported in 20 patients (7.8%). Other frequently reported TEAEs of Grade ≥ 3 severity were </w:t>
      </w:r>
      <w:proofErr w:type="spellStart"/>
      <w:r w:rsidRPr="00962499">
        <w:rPr>
          <w:color w:val="auto"/>
        </w:rPr>
        <w:t>hypoalbuminaemia</w:t>
      </w:r>
      <w:proofErr w:type="spellEnd"/>
      <w:r w:rsidRPr="00962499">
        <w:rPr>
          <w:color w:val="auto"/>
        </w:rPr>
        <w:t xml:space="preserve"> (14 patients; 5.5%), pleural effusion (13 patients; 5.1%), disease progression (12 patients; 4.7%), and pneumonia (11 patients; 4.3%). Treatment-emergent AEs of Grade ≥ 4 severity were reported in 41 patients (16.1%). Of these, 30 patients (11.8%) had a TEAE which led to death.</w:t>
      </w:r>
    </w:p>
    <w:p w:rsidR="00B27719" w:rsidRPr="00962499" w:rsidRDefault="00B27719" w:rsidP="00B27719">
      <w:pPr>
        <w:pStyle w:val="ListParagraph"/>
        <w:numPr>
          <w:ilvl w:val="4"/>
          <w:numId w:val="1"/>
        </w:numPr>
        <w:rPr>
          <w:color w:val="auto"/>
        </w:rPr>
      </w:pPr>
      <w:r w:rsidRPr="00962499">
        <w:rPr>
          <w:color w:val="auto"/>
        </w:rPr>
        <w:t>The submission performed a</w:t>
      </w:r>
      <w:r w:rsidR="00E31328">
        <w:rPr>
          <w:color w:val="auto"/>
        </w:rPr>
        <w:t xml:space="preserve"> </w:t>
      </w:r>
      <w:r w:rsidRPr="00962499">
        <w:rPr>
          <w:color w:val="auto"/>
        </w:rPr>
        <w:t xml:space="preserve">comparison of VISION Cohort A + C (n=255) and the KN189 safety population (n=405), presented below. </w:t>
      </w:r>
      <w:r w:rsidRPr="007E4DDD">
        <w:rPr>
          <w:iCs/>
          <w:color w:val="auto"/>
        </w:rPr>
        <w:t>As previously discussed, the inclusion of Cohort C may bias the safety profile in favour of tepotinib, as this cohort is immature, with a median exposure which was less than half that of Cohort A.</w:t>
      </w:r>
    </w:p>
    <w:p w:rsidR="00B27719" w:rsidRPr="00FD2F1C" w:rsidRDefault="00C56714" w:rsidP="005D7976">
      <w:pPr>
        <w:pStyle w:val="Caption"/>
      </w:pPr>
      <w:r>
        <w:t xml:space="preserve">Table </w:t>
      </w:r>
      <w:r>
        <w:rPr>
          <w:noProof/>
        </w:rPr>
        <w:t>10</w:t>
      </w:r>
      <w:r w:rsidR="00F800E1">
        <w:rPr>
          <w:noProof/>
        </w:rPr>
        <w:t>:</w:t>
      </w:r>
      <w:r>
        <w:t xml:space="preserve"> </w:t>
      </w:r>
      <w:r w:rsidR="00B27719" w:rsidRPr="00FD2F1C">
        <w:t>Naive comparison of adverse events in VISION Cohort A+C and Keynote 189</w:t>
      </w:r>
    </w:p>
    <w:tbl>
      <w:tblPr>
        <w:tblW w:w="5028" w:type="pct"/>
        <w:tblLayout w:type="fixed"/>
        <w:tblLook w:val="04A0" w:firstRow="1" w:lastRow="0" w:firstColumn="1" w:lastColumn="0" w:noHBand="0" w:noVBand="1"/>
      </w:tblPr>
      <w:tblGrid>
        <w:gridCol w:w="1837"/>
        <w:gridCol w:w="1134"/>
        <w:gridCol w:w="1134"/>
        <w:gridCol w:w="1134"/>
        <w:gridCol w:w="1985"/>
        <w:gridCol w:w="1842"/>
      </w:tblGrid>
      <w:tr w:rsidR="00B27719" w:rsidRPr="00962499" w:rsidTr="00086752">
        <w:trPr>
          <w:trHeight w:val="447"/>
        </w:trPr>
        <w:tc>
          <w:tcPr>
            <w:tcW w:w="1838" w:type="dxa"/>
            <w:tcBorders>
              <w:top w:val="single" w:sz="4" w:space="0" w:color="auto"/>
              <w:left w:val="single" w:sz="4" w:space="0" w:color="auto"/>
              <w:bottom w:val="single" w:sz="4" w:space="0" w:color="auto"/>
              <w:right w:val="single" w:sz="4" w:space="0" w:color="auto"/>
            </w:tcBorders>
            <w:shd w:val="clear" w:color="000000" w:fill="auto"/>
            <w:hideMark/>
          </w:tcPr>
          <w:p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Adverse event, n (%)</w:t>
            </w:r>
          </w:p>
        </w:tc>
        <w:tc>
          <w:tcPr>
            <w:tcW w:w="1134" w:type="dxa"/>
            <w:tcBorders>
              <w:top w:val="single" w:sz="4" w:space="0" w:color="auto"/>
              <w:left w:val="nil"/>
              <w:bottom w:val="single" w:sz="4" w:space="0" w:color="auto"/>
              <w:right w:val="single" w:sz="4" w:space="0" w:color="auto"/>
            </w:tcBorders>
            <w:shd w:val="clear" w:color="000000" w:fill="auto"/>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VISION Cohort A+C</w:t>
            </w:r>
          </w:p>
        </w:tc>
        <w:tc>
          <w:tcPr>
            <w:tcW w:w="1134" w:type="dxa"/>
            <w:tcBorders>
              <w:top w:val="single" w:sz="4" w:space="0" w:color="auto"/>
              <w:left w:val="nil"/>
              <w:bottom w:val="single" w:sz="4" w:space="0" w:color="auto"/>
              <w:right w:val="single" w:sz="4" w:space="0" w:color="auto"/>
            </w:tcBorders>
            <w:shd w:val="clear" w:color="000000" w:fill="auto"/>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Keynote 189</w:t>
            </w:r>
            <w:r w:rsidR="001D527B" w:rsidRPr="00962499">
              <w:rPr>
                <w:rFonts w:ascii="Arial Narrow" w:eastAsia="Arial Bold" w:hAnsi="Arial Narrow" w:cs="Calibri"/>
                <w:b/>
                <w:color w:val="000000"/>
                <w:sz w:val="20"/>
                <w:szCs w:val="20"/>
                <w:vertAlign w:val="superscript"/>
                <w:lang w:eastAsia="en-AU" w:bidi="en-US"/>
              </w:rPr>
              <w:t>c</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auto"/>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vertAlign w:val="superscript"/>
                <w:lang w:eastAsia="en-AU" w:bidi="en-US"/>
              </w:rPr>
            </w:pPr>
            <w:r w:rsidRPr="00962499">
              <w:rPr>
                <w:rFonts w:ascii="Arial Narrow" w:eastAsia="Arial Bold" w:hAnsi="Arial Narrow" w:cs="Calibri"/>
                <w:b/>
                <w:color w:val="000000"/>
                <w:sz w:val="20"/>
                <w:szCs w:val="20"/>
                <w:lang w:eastAsia="en-AU" w:bidi="en-US"/>
              </w:rPr>
              <w:t>p-value</w:t>
            </w:r>
            <w:r w:rsidR="001D527B" w:rsidRPr="00962499">
              <w:rPr>
                <w:rFonts w:ascii="Arial Narrow" w:eastAsia="Arial Bold" w:hAnsi="Arial Narrow" w:cs="Calibri"/>
                <w:b/>
                <w:color w:val="000000"/>
                <w:sz w:val="20"/>
                <w:szCs w:val="20"/>
                <w:lang w:eastAsia="en-AU" w:bidi="en-US"/>
              </w:rPr>
              <w:t xml:space="preserve"> </w:t>
            </w:r>
            <w:r w:rsidR="001D527B" w:rsidRPr="00962499">
              <w:rPr>
                <w:rFonts w:ascii="Arial Narrow" w:eastAsia="Arial Bold" w:hAnsi="Arial Narrow" w:cs="Calibri"/>
                <w:b/>
                <w:color w:val="000000"/>
                <w:sz w:val="20"/>
                <w:szCs w:val="20"/>
                <w:vertAlign w:val="superscript"/>
                <w:lang w:eastAsia="en-AU" w:bidi="en-US"/>
              </w:rPr>
              <w:t>a</w:t>
            </w:r>
          </w:p>
        </w:tc>
        <w:tc>
          <w:tcPr>
            <w:tcW w:w="1985" w:type="dxa"/>
            <w:vMerge w:val="restart"/>
            <w:tcBorders>
              <w:top w:val="single" w:sz="4" w:space="0" w:color="auto"/>
              <w:left w:val="single" w:sz="4" w:space="0" w:color="auto"/>
              <w:bottom w:val="single" w:sz="4" w:space="0" w:color="000000"/>
              <w:right w:val="single" w:sz="4" w:space="0" w:color="auto"/>
            </w:tcBorders>
            <w:shd w:val="clear" w:color="000000" w:fill="auto"/>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RR (95% CI)</w:t>
            </w:r>
          </w:p>
        </w:tc>
        <w:tc>
          <w:tcPr>
            <w:tcW w:w="1842" w:type="dxa"/>
            <w:vMerge w:val="restart"/>
            <w:tcBorders>
              <w:top w:val="single" w:sz="4" w:space="0" w:color="auto"/>
              <w:left w:val="single" w:sz="4" w:space="0" w:color="auto"/>
              <w:bottom w:val="single" w:sz="4" w:space="0" w:color="000000"/>
              <w:right w:val="single" w:sz="4" w:space="0" w:color="auto"/>
            </w:tcBorders>
            <w:shd w:val="clear" w:color="000000" w:fill="auto"/>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RD (95% CI)</w:t>
            </w:r>
          </w:p>
        </w:tc>
      </w:tr>
      <w:tr w:rsidR="00B27719" w:rsidRPr="00962499"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000000" w:fill="auto"/>
            <w:hideMark/>
          </w:tcPr>
          <w:p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N</w:t>
            </w:r>
          </w:p>
        </w:tc>
        <w:tc>
          <w:tcPr>
            <w:tcW w:w="1134" w:type="dxa"/>
            <w:tcBorders>
              <w:top w:val="single" w:sz="4" w:space="0" w:color="auto"/>
              <w:left w:val="nil"/>
              <w:bottom w:val="single" w:sz="4" w:space="0" w:color="auto"/>
              <w:right w:val="single" w:sz="4" w:space="0" w:color="auto"/>
            </w:tcBorders>
            <w:shd w:val="clear" w:color="000000" w:fill="auto"/>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255</w:t>
            </w:r>
          </w:p>
        </w:tc>
        <w:tc>
          <w:tcPr>
            <w:tcW w:w="1134" w:type="dxa"/>
            <w:tcBorders>
              <w:top w:val="single" w:sz="4" w:space="0" w:color="auto"/>
              <w:left w:val="nil"/>
              <w:bottom w:val="single" w:sz="4" w:space="0" w:color="auto"/>
              <w:right w:val="single" w:sz="4" w:space="0" w:color="auto"/>
            </w:tcBorders>
            <w:shd w:val="clear" w:color="000000" w:fill="auto"/>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405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B27719" w:rsidRPr="00962499" w:rsidRDefault="00B27719" w:rsidP="00265F9B">
            <w:pPr>
              <w:keepNext/>
              <w:keepLines/>
              <w:spacing w:before="0" w:after="0"/>
              <w:rPr>
                <w:rFonts w:ascii="Arial Narrow" w:eastAsia="Arial Bold" w:hAnsi="Arial Narrow" w:cs="Calibri"/>
                <w:b/>
                <w:color w:val="000000"/>
                <w:sz w:val="20"/>
                <w:szCs w:val="20"/>
                <w:lang w:eastAsia="en-AU" w:bidi="en-US"/>
              </w:rPr>
            </w:pP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Any grade AE</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246 (96.5)</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404 (99.8)</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0.967 (0.944, 0.991)</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-3.3% (-5.6, -1.0)</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Led to discontinuation of any treatment component</w:t>
            </w:r>
          </w:p>
        </w:tc>
        <w:tc>
          <w:tcPr>
            <w:tcW w:w="1134" w:type="dxa"/>
            <w:tcBorders>
              <w:top w:val="nil"/>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52 (20.4)</w:t>
            </w:r>
          </w:p>
        </w:tc>
        <w:tc>
          <w:tcPr>
            <w:tcW w:w="1134" w:type="dxa"/>
            <w:tcBorders>
              <w:top w:val="nil"/>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136 (33.6)</w:t>
            </w:r>
          </w:p>
        </w:tc>
        <w:tc>
          <w:tcPr>
            <w:tcW w:w="1134" w:type="dxa"/>
            <w:tcBorders>
              <w:top w:val="nil"/>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&lt;0.001</w:t>
            </w:r>
          </w:p>
        </w:tc>
        <w:tc>
          <w:tcPr>
            <w:tcW w:w="1985" w:type="dxa"/>
            <w:tcBorders>
              <w:top w:val="nil"/>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MS Gothic" w:hAnsi="Arial Narrow" w:cs="Calibri"/>
                <w:b/>
                <w:color w:val="000000"/>
                <w:sz w:val="20"/>
                <w:szCs w:val="20"/>
                <w:lang w:bidi="en-US"/>
              </w:rPr>
              <w:t>0.607 (0.46, 0.802)</w:t>
            </w:r>
          </w:p>
        </w:tc>
        <w:tc>
          <w:tcPr>
            <w:tcW w:w="1842" w:type="dxa"/>
            <w:tcBorders>
              <w:top w:val="nil"/>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-13.2% (-19.9, -6.4)</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AE leading to death</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30 (11.8)</w:t>
            </w:r>
            <w:r w:rsidR="001D527B" w:rsidRPr="00962499">
              <w:rPr>
                <w:rFonts w:ascii="Arial Narrow" w:eastAsia="Arial Bold" w:hAnsi="Arial Narrow" w:cs="Calibri"/>
                <w:color w:val="000000"/>
                <w:sz w:val="20"/>
                <w:szCs w:val="20"/>
                <w:vertAlign w:val="superscript"/>
                <w:lang w:eastAsia="en-AU" w:bidi="en-US"/>
              </w:rPr>
              <w:t>b</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29 (7.2)</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0.044</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1.643 (1.011, 2.671)</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4.6% (-0.1, 9.3)</w:t>
            </w:r>
          </w:p>
        </w:tc>
      </w:tr>
      <w:tr w:rsidR="00B27719" w:rsidRPr="00962499"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rPr>
                <w:rFonts w:ascii="Arial Narrow" w:eastAsia="Arial Bold" w:hAnsi="Arial Narrow" w:cs="Calibri"/>
                <w:b/>
                <w:bCs/>
                <w:color w:val="000000"/>
                <w:sz w:val="20"/>
                <w:szCs w:val="20"/>
                <w:lang w:eastAsia="en-AU" w:bidi="en-US"/>
              </w:rPr>
            </w:pPr>
            <w:r w:rsidRPr="00962499">
              <w:rPr>
                <w:rFonts w:ascii="Arial Narrow" w:eastAsia="Arial Bold" w:hAnsi="Arial Narrow" w:cs="Calibri"/>
                <w:color w:val="000000"/>
                <w:sz w:val="20"/>
                <w:szCs w:val="20"/>
                <w:lang w:eastAsia="en-AU" w:bidi="en-US"/>
              </w:rPr>
              <w:t>Grade ≥ 3 AE</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135 (52.9)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291 (71.9)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0.737 (0.646, 0.84)</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-18.9% (-26.4, -11.4)</w:t>
            </w:r>
          </w:p>
        </w:tc>
      </w:tr>
      <w:tr w:rsidR="00B27719" w:rsidRPr="00962499" w:rsidTr="00086752">
        <w:trPr>
          <w:trHeight w:val="300"/>
        </w:trPr>
        <w:tc>
          <w:tcPr>
            <w:tcW w:w="906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left"/>
              <w:rPr>
                <w:rFonts w:ascii="Arial Narrow" w:eastAsia="Arial Bold" w:hAnsi="Arial Narrow" w:cs="Calibri"/>
                <w:b/>
                <w:bCs/>
                <w:color w:val="000000"/>
                <w:sz w:val="20"/>
                <w:szCs w:val="20"/>
                <w:lang w:eastAsia="en-AU" w:bidi="en-US"/>
              </w:rPr>
            </w:pPr>
            <w:r w:rsidRPr="00962499">
              <w:rPr>
                <w:rFonts w:ascii="Arial Narrow" w:eastAsia="Arial Bold" w:hAnsi="Arial Narrow" w:cs="Calibri"/>
                <w:b/>
                <w:bCs/>
                <w:color w:val="000000"/>
                <w:sz w:val="20"/>
                <w:szCs w:val="20"/>
                <w:lang w:eastAsia="en-AU" w:bidi="en-US"/>
              </w:rPr>
              <w:t>Grade ≥ 3 AEs of interest</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Peripheral oedema </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20 (7.8)</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 (0.5)</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15.882 (3.744, 67.378)</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7.3% (4.0, 10.7)</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Dyspnoea</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7 (2.7)</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17 (4.2)</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0.332</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0.654 (0.275, 1.555)</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-1.5% (-4.3, 1.3)</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Decreased appetite </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 (1.2)</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5 (1.2)</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0.947</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0.953 (0.23, 3.953)</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-0.1% (-1.8, 1.6)</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Vomiting</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 (1.2)</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16 (4.0)</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0.038</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0.298 (0.088, 1.012)</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-2.8% (-5.1, -0.5)</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Asthenia </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 (1.2)</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27 (6.7)</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0.176 (0.054, 0.576)</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-5.5% (-8.3, -2.7)</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Nausea </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 (0.8)</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14 (3.5)</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0.030</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0.227 (0.052, 0.99)</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-2.7% (-4.8, -0.6)</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 xml:space="preserve">Back pain </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 (0.8)</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6 (1.5)</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0.425</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0.529 (0.108, 2.603)</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-0.7% (-2.3, 0.9)</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Diarrhoea</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 (0.4)</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21 (5.2)</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0.076 (0.01, 0.559)</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-4.8% (-7.1, -2.5)</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Fatigue</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 (0.4)</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28 (6.9)</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&lt;0.001</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Arial Bold" w:hAnsi="Arial Narrow" w:cs="Calibri"/>
                <w:b/>
                <w:color w:val="000000"/>
                <w:sz w:val="20"/>
                <w:szCs w:val="20"/>
                <w:lang w:eastAsia="en-AU" w:bidi="en-US"/>
              </w:rPr>
              <w:t>0.057 (0.008, 0.414)</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-6.5% (-9.1, -3.9)</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Cough</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 (0.4)</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 (0.0)</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0.207</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3.176 (0.107, 94.346)</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0.4% (-0.4, 1.2)</w:t>
            </w:r>
          </w:p>
        </w:tc>
      </w:tr>
      <w:tr w:rsidR="00B27719" w:rsidRPr="00962499" w:rsidTr="00086752">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Constipation</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 (0.0)</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4 (1.0)</w:t>
            </w:r>
          </w:p>
        </w:tc>
        <w:tc>
          <w:tcPr>
            <w:tcW w:w="1134"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0.111</w:t>
            </w:r>
          </w:p>
        </w:tc>
        <w:tc>
          <w:tcPr>
            <w:tcW w:w="1985"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0.199 (0.011, 3.74)</w:t>
            </w:r>
          </w:p>
        </w:tc>
        <w:tc>
          <w:tcPr>
            <w:tcW w:w="1842" w:type="dxa"/>
            <w:tcBorders>
              <w:top w:val="nil"/>
              <w:left w:val="nil"/>
              <w:bottom w:val="single" w:sz="4" w:space="0" w:color="auto"/>
              <w:right w:val="single" w:sz="4" w:space="0" w:color="auto"/>
            </w:tcBorders>
            <w:shd w:val="clear" w:color="auto" w:fill="auto"/>
            <w:noWrap/>
            <w:vAlign w:val="center"/>
            <w:hideMark/>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Arial Bold" w:hAnsi="Arial Narrow" w:cs="Calibri"/>
                <w:color w:val="000000"/>
                <w:sz w:val="20"/>
                <w:szCs w:val="20"/>
                <w:lang w:eastAsia="en-AU" w:bidi="en-US"/>
              </w:rPr>
              <w:t>-1.0% (-2.0, 0.0)</w:t>
            </w:r>
          </w:p>
        </w:tc>
      </w:tr>
      <w:tr w:rsidR="00B27719" w:rsidRPr="00962499"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Neutropenia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 (0.4)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65 (16.0)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MS Gothic" w:hAnsi="Arial Narrow" w:cs="Calibri"/>
                <w:b/>
                <w:color w:val="000000"/>
                <w:sz w:val="20"/>
                <w:szCs w:val="20"/>
                <w:lang w:bidi="en-US"/>
              </w:rPr>
              <w:t>0.024 (0.003, 0.175)</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-15.7% (-19.3, -12.0)</w:t>
            </w:r>
          </w:p>
        </w:tc>
      </w:tr>
      <w:tr w:rsidR="00B27719" w:rsidRPr="00962499"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Anaemia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7 (2.7)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74 (18.3)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MS Gothic" w:hAnsi="Arial Narrow" w:cs="Calibri"/>
                <w:b/>
                <w:color w:val="000000"/>
                <w:sz w:val="20"/>
                <w:szCs w:val="20"/>
                <w:lang w:bidi="en-US"/>
              </w:rPr>
              <w:t>0.15 (0.07, 0.321)</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-15.5% (-19.8, -11.3)</w:t>
            </w:r>
          </w:p>
        </w:tc>
      </w:tr>
      <w:tr w:rsidR="00B27719" w:rsidRPr="00962499"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left"/>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Thrombocytopenia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0 (0.0)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34 (8.4)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color w:val="000000"/>
                <w:sz w:val="20"/>
                <w:szCs w:val="20"/>
                <w:lang w:eastAsia="en-AU" w:bidi="en-US"/>
              </w:rPr>
            </w:pPr>
            <w:r w:rsidRPr="00962499">
              <w:rPr>
                <w:rFonts w:ascii="Arial Narrow" w:eastAsia="MS Gothic" w:hAnsi="Arial Narrow" w:cs="Calibri"/>
                <w:b/>
                <w:color w:val="000000"/>
                <w:sz w:val="20"/>
                <w:szCs w:val="20"/>
                <w:lang w:bidi="en-US"/>
              </w:rPr>
              <w:t>0.023 (0.001, 0.379)</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color w:val="000000"/>
                <w:sz w:val="20"/>
                <w:szCs w:val="20"/>
                <w:lang w:eastAsia="en-AU" w:bidi="en-US"/>
              </w:rPr>
            </w:pPr>
            <w:r w:rsidRPr="00962499">
              <w:rPr>
                <w:rFonts w:ascii="Arial Narrow" w:eastAsia="MS Gothic" w:hAnsi="Arial Narrow" w:cs="Calibri"/>
                <w:color w:val="000000"/>
                <w:sz w:val="20"/>
                <w:szCs w:val="20"/>
                <w:lang w:bidi="en-US"/>
              </w:rPr>
              <w:t>-8.4% (-11.1, -5.7)</w:t>
            </w:r>
          </w:p>
        </w:tc>
      </w:tr>
      <w:tr w:rsidR="00B27719" w:rsidRPr="00962499" w:rsidTr="00086752">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7719" w:rsidRPr="00634B49" w:rsidRDefault="00B27719" w:rsidP="00265F9B">
            <w:pPr>
              <w:keepNext/>
              <w:keepLines/>
              <w:spacing w:before="0" w:after="0"/>
              <w:jc w:val="left"/>
              <w:rPr>
                <w:rFonts w:ascii="Arial Narrow" w:eastAsia="Arial Bold" w:hAnsi="Arial Narrow" w:cs="Calibri"/>
                <w:bCs/>
                <w:color w:val="000000"/>
                <w:sz w:val="20"/>
                <w:szCs w:val="20"/>
                <w:lang w:eastAsia="en-AU" w:bidi="en-US"/>
              </w:rPr>
            </w:pPr>
            <w:r w:rsidRPr="00634B49">
              <w:rPr>
                <w:rFonts w:ascii="Arial Narrow" w:eastAsia="MS Gothic" w:hAnsi="Arial Narrow" w:cs="Calibri"/>
                <w:bCs/>
                <w:color w:val="000000"/>
                <w:sz w:val="20"/>
                <w:szCs w:val="20"/>
                <w:lang w:bidi="en-US"/>
              </w:rPr>
              <w:t>Immune-mediated adverse events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0 (0.0)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44 (10.9)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&lt;0.001</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0.018 (0.001, 0.292)</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B27719" w:rsidRPr="00962499" w:rsidRDefault="00B27719" w:rsidP="00265F9B">
            <w:pPr>
              <w:keepNext/>
              <w:keepLines/>
              <w:spacing w:before="0" w:after="0"/>
              <w:jc w:val="center"/>
              <w:rPr>
                <w:rFonts w:ascii="Arial Narrow" w:eastAsia="Arial Bold" w:hAnsi="Arial Narrow" w:cs="Calibri"/>
                <w:b/>
                <w:bCs/>
                <w:color w:val="000000"/>
                <w:sz w:val="20"/>
                <w:szCs w:val="20"/>
                <w:lang w:eastAsia="en-AU" w:bidi="en-US"/>
              </w:rPr>
            </w:pPr>
            <w:r w:rsidRPr="00962499">
              <w:rPr>
                <w:rFonts w:ascii="Arial Narrow" w:eastAsia="MS Gothic" w:hAnsi="Arial Narrow" w:cs="Calibri"/>
                <w:b/>
                <w:bCs/>
                <w:color w:val="000000"/>
                <w:sz w:val="20"/>
                <w:szCs w:val="20"/>
                <w:lang w:bidi="en-US"/>
              </w:rPr>
              <w:t>-10.9% (-13.9, -7.8)</w:t>
            </w:r>
          </w:p>
        </w:tc>
      </w:tr>
    </w:tbl>
    <w:p w:rsidR="001D527B" w:rsidRPr="00962499" w:rsidRDefault="001D527B" w:rsidP="00265F9B">
      <w:pPr>
        <w:pStyle w:val="TableFooter"/>
        <w:keepNext/>
        <w:keepLines/>
        <w:rPr>
          <w:rFonts w:eastAsia="MS Gothic"/>
          <w:lang w:bidi="en-US"/>
        </w:rPr>
      </w:pPr>
      <w:r w:rsidRPr="00962499">
        <w:rPr>
          <w:rFonts w:eastAsia="MS Gothic"/>
          <w:lang w:bidi="en-US"/>
        </w:rPr>
        <w:t>AE = adverse event; CI = confidence interval; RR = risk ratio; RD = risk difference.</w:t>
      </w:r>
    </w:p>
    <w:p w:rsidR="001D527B" w:rsidRPr="00962499" w:rsidRDefault="001D527B" w:rsidP="00265F9B">
      <w:pPr>
        <w:pStyle w:val="TableFooter"/>
        <w:keepNext/>
        <w:keepLines/>
        <w:rPr>
          <w:rFonts w:eastAsia="MS Gothic"/>
          <w:lang w:bidi="en-US"/>
        </w:rPr>
      </w:pPr>
      <w:proofErr w:type="gramStart"/>
      <w:r w:rsidRPr="00962499">
        <w:rPr>
          <w:rFonts w:eastAsia="MS Gothic"/>
          <w:vertAlign w:val="superscript"/>
          <w:lang w:bidi="en-US"/>
        </w:rPr>
        <w:t>a</w:t>
      </w:r>
      <w:proofErr w:type="gramEnd"/>
      <w:r w:rsidRPr="00962499">
        <w:rPr>
          <w:rFonts w:eastAsia="MS Gothic"/>
          <w:lang w:bidi="en-US"/>
        </w:rPr>
        <w:t xml:space="preserve"> Pearson’s Chi-squared test.</w:t>
      </w:r>
    </w:p>
    <w:p w:rsidR="001D527B" w:rsidRPr="00962499" w:rsidRDefault="001D527B" w:rsidP="00265F9B">
      <w:pPr>
        <w:pStyle w:val="TableFooter"/>
        <w:keepNext/>
        <w:keepLines/>
        <w:rPr>
          <w:rFonts w:eastAsia="MS Gothic"/>
          <w:lang w:bidi="en-US"/>
        </w:rPr>
      </w:pPr>
      <w:proofErr w:type="gramStart"/>
      <w:r w:rsidRPr="00962499">
        <w:rPr>
          <w:rFonts w:eastAsia="MS Gothic"/>
          <w:vertAlign w:val="superscript"/>
          <w:lang w:bidi="en-US"/>
        </w:rPr>
        <w:t>b</w:t>
      </w:r>
      <w:proofErr w:type="gramEnd"/>
      <w:r w:rsidRPr="00962499">
        <w:rPr>
          <w:rFonts w:eastAsia="MS Gothic"/>
          <w:lang w:bidi="en-US"/>
        </w:rPr>
        <w:t xml:space="preserve"> Reasons for deaths were mostly disease progression, with two related to tepotinib treatment.</w:t>
      </w:r>
    </w:p>
    <w:p w:rsidR="001D527B" w:rsidRPr="00962499" w:rsidRDefault="001D527B" w:rsidP="00265F9B">
      <w:pPr>
        <w:pStyle w:val="TableFooter"/>
        <w:keepNext/>
        <w:keepLines/>
        <w:rPr>
          <w:rFonts w:eastAsia="MS Gothic"/>
          <w:lang w:bidi="en-US"/>
        </w:rPr>
      </w:pPr>
      <w:proofErr w:type="gramStart"/>
      <w:r w:rsidRPr="00962499">
        <w:rPr>
          <w:rFonts w:eastAsia="MS Gothic"/>
          <w:vertAlign w:val="superscript"/>
          <w:lang w:bidi="en-US"/>
        </w:rPr>
        <w:t>c</w:t>
      </w:r>
      <w:proofErr w:type="gramEnd"/>
      <w:r w:rsidRPr="00962499">
        <w:rPr>
          <w:rFonts w:eastAsia="MS Gothic"/>
          <w:lang w:bidi="en-US"/>
        </w:rPr>
        <w:t xml:space="preserve"> </w:t>
      </w:r>
      <w:proofErr w:type="spellStart"/>
      <w:r w:rsidRPr="00962499">
        <w:rPr>
          <w:rFonts w:eastAsia="MS Gothic"/>
          <w:lang w:bidi="en-US"/>
        </w:rPr>
        <w:t>Gadgeel</w:t>
      </w:r>
      <w:proofErr w:type="spellEnd"/>
      <w:r w:rsidRPr="00962499">
        <w:rPr>
          <w:rFonts w:eastAsia="MS Gothic"/>
          <w:lang w:bidi="en-US"/>
        </w:rPr>
        <w:t>, 2020</w:t>
      </w:r>
    </w:p>
    <w:p w:rsidR="00B9799D" w:rsidRPr="00962499" w:rsidRDefault="00B9799D" w:rsidP="00265F9B">
      <w:pPr>
        <w:pStyle w:val="TableFooter"/>
        <w:keepNext/>
        <w:keepLines/>
        <w:rPr>
          <w:rFonts w:eastAsia="MS Gothic"/>
          <w:lang w:bidi="en-US"/>
        </w:rPr>
      </w:pPr>
      <w:r w:rsidRPr="00962499">
        <w:rPr>
          <w:rFonts w:eastAsia="MS Gothic"/>
          <w:b/>
          <w:lang w:bidi="en-US"/>
        </w:rPr>
        <w:t>Bold</w:t>
      </w:r>
      <w:r w:rsidRPr="00962499">
        <w:rPr>
          <w:rFonts w:eastAsia="MS Gothic"/>
          <w:lang w:bidi="en-US"/>
        </w:rPr>
        <w:t xml:space="preserve"> = statistically significant differences.</w:t>
      </w:r>
    </w:p>
    <w:p w:rsidR="00B27719" w:rsidRPr="00962499" w:rsidRDefault="00B27719" w:rsidP="000F0026">
      <w:pPr>
        <w:pStyle w:val="TableFooter"/>
        <w:rPr>
          <w:rFonts w:eastAsia="MS Gothic"/>
          <w:lang w:bidi="en-US"/>
        </w:rPr>
      </w:pPr>
      <w:r w:rsidRPr="00962499">
        <w:rPr>
          <w:rFonts w:eastAsia="MS Gothic"/>
          <w:lang w:bidi="en-US"/>
        </w:rPr>
        <w:t>Source: Table 2-48, p 119 of the submission.</w:t>
      </w:r>
    </w:p>
    <w:p w:rsidR="00B27719" w:rsidRPr="007E4DDD" w:rsidRDefault="00B27719" w:rsidP="00B27719">
      <w:pPr>
        <w:pStyle w:val="ListParagraph"/>
        <w:numPr>
          <w:ilvl w:val="4"/>
          <w:numId w:val="1"/>
        </w:numPr>
        <w:rPr>
          <w:color w:val="auto"/>
        </w:rPr>
      </w:pPr>
      <w:r w:rsidRPr="007E4DDD">
        <w:rPr>
          <w:color w:val="auto"/>
        </w:rPr>
        <w:t xml:space="preserve">Apart from peripheral oedema, most Grade ≥ 3 AEs were more frequently reported in the pembrolizumab + chemotherapy arm of KN189. In particular, anaemia, and </w:t>
      </w:r>
      <w:proofErr w:type="spellStart"/>
      <w:r w:rsidRPr="007E4DDD">
        <w:rPr>
          <w:color w:val="auto"/>
        </w:rPr>
        <w:t>neutropaenia</w:t>
      </w:r>
      <w:proofErr w:type="spellEnd"/>
      <w:r w:rsidRPr="007E4DDD">
        <w:rPr>
          <w:color w:val="auto"/>
        </w:rPr>
        <w:t xml:space="preserve"> were substantially more common in the KN189 cohort. Immune-related AEs occurred in about 11% of patients treated with pembrolizumab + chemotherapy.</w:t>
      </w:r>
    </w:p>
    <w:p w:rsidR="00B27719" w:rsidRPr="007E4DDD" w:rsidRDefault="00A61ED6" w:rsidP="00B27719">
      <w:pPr>
        <w:pStyle w:val="ListParagraph"/>
        <w:numPr>
          <w:ilvl w:val="4"/>
          <w:numId w:val="1"/>
        </w:numPr>
        <w:rPr>
          <w:color w:val="auto"/>
        </w:rPr>
      </w:pPr>
      <w:r w:rsidRPr="00063A68">
        <w:rPr>
          <w:color w:val="auto"/>
        </w:rPr>
        <w:t>The evaluation noted</w:t>
      </w:r>
      <w:r>
        <w:rPr>
          <w:color w:val="auto"/>
        </w:rPr>
        <w:t xml:space="preserve"> that</w:t>
      </w:r>
      <w:r w:rsidR="006A2589">
        <w:rPr>
          <w:color w:val="auto"/>
        </w:rPr>
        <w:t>,</w:t>
      </w:r>
      <w:r>
        <w:rPr>
          <w:color w:val="auto"/>
        </w:rPr>
        <w:t xml:space="preserve"> for </w:t>
      </w:r>
      <w:r w:rsidR="00B27719" w:rsidRPr="007E4DDD">
        <w:rPr>
          <w:color w:val="auto"/>
        </w:rPr>
        <w:t>patients with TPS</w:t>
      </w:r>
      <w:r w:rsidR="00082321">
        <w:rPr>
          <w:color w:val="auto"/>
        </w:rPr>
        <w:t xml:space="preserve"> </w:t>
      </w:r>
      <w:r w:rsidR="00B27719" w:rsidRPr="007E4DDD">
        <w:rPr>
          <w:color w:val="auto"/>
        </w:rPr>
        <w:t>≥50%</w:t>
      </w:r>
      <w:r>
        <w:rPr>
          <w:color w:val="auto"/>
        </w:rPr>
        <w:t xml:space="preserve"> treated with </w:t>
      </w:r>
      <w:r w:rsidR="00B27719" w:rsidRPr="007E4DDD">
        <w:rPr>
          <w:color w:val="auto"/>
        </w:rPr>
        <w:t>pembrolizumab monotherapy</w:t>
      </w:r>
      <w:r w:rsidR="006A2589">
        <w:rPr>
          <w:color w:val="auto"/>
        </w:rPr>
        <w:t>,</w:t>
      </w:r>
      <w:r w:rsidR="00B27719" w:rsidRPr="007E4DDD">
        <w:rPr>
          <w:color w:val="auto"/>
        </w:rPr>
        <w:t xml:space="preserve"> the relative safety profile would be more favourable than </w:t>
      </w:r>
      <w:r w:rsidR="006A2589">
        <w:rPr>
          <w:color w:val="auto"/>
        </w:rPr>
        <w:t xml:space="preserve">for patients treated with </w:t>
      </w:r>
      <w:r w:rsidR="00B27719" w:rsidRPr="007E4DDD">
        <w:rPr>
          <w:color w:val="auto"/>
        </w:rPr>
        <w:t>the combination therapy.</w:t>
      </w:r>
    </w:p>
    <w:p w:rsidR="00B27719" w:rsidRPr="00183B83" w:rsidRDefault="00B27719" w:rsidP="00B27719">
      <w:pPr>
        <w:pStyle w:val="PBACESHeading2"/>
        <w:numPr>
          <w:ilvl w:val="2"/>
          <w:numId w:val="1"/>
        </w:numPr>
        <w:rPr>
          <w:rFonts w:asciiTheme="minorHAnsi" w:hAnsiTheme="minorHAnsi" w:cstheme="minorHAnsi"/>
        </w:rPr>
      </w:pPr>
      <w:bookmarkStart w:id="30" w:name="_Toc497226189"/>
      <w:bookmarkStart w:id="31" w:name="_Toc81873385"/>
      <w:r w:rsidRPr="00183B83">
        <w:rPr>
          <w:rFonts w:asciiTheme="minorHAnsi" w:hAnsiTheme="minorHAnsi" w:cstheme="minorHAnsi"/>
        </w:rPr>
        <w:t>Interpretation of clinical evidence</w:t>
      </w:r>
      <w:bookmarkEnd w:id="30"/>
      <w:bookmarkEnd w:id="31"/>
    </w:p>
    <w:p w:rsidR="00B27719" w:rsidRPr="00962499" w:rsidRDefault="00B27719" w:rsidP="00B27719">
      <w:pPr>
        <w:pStyle w:val="ListParagraph"/>
        <w:numPr>
          <w:ilvl w:val="4"/>
          <w:numId w:val="1"/>
        </w:numPr>
        <w:rPr>
          <w:color w:val="auto"/>
        </w:rPr>
      </w:pPr>
      <w:r w:rsidRPr="00962499">
        <w:rPr>
          <w:color w:val="auto"/>
        </w:rPr>
        <w:t xml:space="preserve">The submission claimed that tepotinib is non-inferior to pembrolizumab + chemotherapy in terms both efficacy and safety, and tepotinib is superior to chemotherapy in terms of both efficacy and safety. </w:t>
      </w:r>
      <w:r w:rsidRPr="007E4DDD">
        <w:rPr>
          <w:color w:val="auto"/>
        </w:rPr>
        <w:t>The submission did not nominate a non-inferiority margin to make this claim.</w:t>
      </w:r>
    </w:p>
    <w:p w:rsidR="00B27719" w:rsidRPr="007E4DDD" w:rsidRDefault="00B27719" w:rsidP="00B27719">
      <w:pPr>
        <w:pStyle w:val="ListParagraph"/>
        <w:numPr>
          <w:ilvl w:val="4"/>
          <w:numId w:val="1"/>
        </w:numPr>
      </w:pPr>
      <w:bookmarkStart w:id="32" w:name="_Ref88569296"/>
      <w:r w:rsidRPr="007E4DDD">
        <w:t xml:space="preserve">The </w:t>
      </w:r>
      <w:r w:rsidR="009B28B4" w:rsidRPr="004825CC">
        <w:t>eval</w:t>
      </w:r>
      <w:r w:rsidR="00875D10" w:rsidRPr="004825CC">
        <w:t>uation conside</w:t>
      </w:r>
      <w:r w:rsidR="009B28B4" w:rsidRPr="004825CC">
        <w:t>red the claim of non</w:t>
      </w:r>
      <w:r w:rsidRPr="004825CC">
        <w:t>-inferiority</w:t>
      </w:r>
      <w:r w:rsidRPr="007E4DDD">
        <w:t xml:space="preserve"> of tepotinib to pembrolizumab + chemotherapy </w:t>
      </w:r>
      <w:r w:rsidR="003521A6" w:rsidRPr="007E4DDD">
        <w:t xml:space="preserve">in terms of efficacy </w:t>
      </w:r>
      <w:r w:rsidR="009B28B4">
        <w:t>was</w:t>
      </w:r>
      <w:r w:rsidRPr="007E4DDD">
        <w:t xml:space="preserve"> not adequately supported. The MAITC may have</w:t>
      </w:r>
      <w:r w:rsidR="006D4CF8" w:rsidRPr="007E4DDD">
        <w:t xml:space="preserve"> been</w:t>
      </w:r>
      <w:r w:rsidRPr="007E4DDD">
        <w:t xml:space="preserve"> biased in favour of tepotinib by not adjusting the distribution of brain metastasis across VISION and KN189, and by using PD-L1 TPS prevalence data observed from </w:t>
      </w:r>
      <w:r w:rsidRPr="007E4DDD">
        <w:rPr>
          <w:color w:val="auto"/>
        </w:rPr>
        <w:t xml:space="preserve">all Stage IIIB/IV NSCLC patients in </w:t>
      </w:r>
      <w:proofErr w:type="spellStart"/>
      <w:r w:rsidRPr="007E4DDD">
        <w:rPr>
          <w:color w:val="auto"/>
        </w:rPr>
        <w:t>Dietel</w:t>
      </w:r>
      <w:proofErr w:type="spellEnd"/>
      <w:r w:rsidRPr="007E4DDD">
        <w:rPr>
          <w:color w:val="auto"/>
        </w:rPr>
        <w:t xml:space="preserve"> et al., 2018. Studies suggest that PD-L1 TPS</w:t>
      </w:r>
      <w:r w:rsidR="00082321">
        <w:rPr>
          <w:color w:val="auto"/>
        </w:rPr>
        <w:t xml:space="preserve"> </w:t>
      </w:r>
      <w:r w:rsidRPr="007E4DDD">
        <w:rPr>
          <w:color w:val="auto"/>
        </w:rPr>
        <w:t>≥50% prevalence may be higher among those Stage IIIB/IV NSCLC patients who do</w:t>
      </w:r>
      <w:r w:rsidR="006D4CF8" w:rsidRPr="007E4DDD">
        <w:rPr>
          <w:color w:val="auto"/>
        </w:rPr>
        <w:t xml:space="preserve"> </w:t>
      </w:r>
      <w:r w:rsidRPr="007E4DDD">
        <w:rPr>
          <w:color w:val="auto"/>
        </w:rPr>
        <w:t>n</w:t>
      </w:r>
      <w:r w:rsidR="006D4CF8" w:rsidRPr="007E4DDD">
        <w:rPr>
          <w:color w:val="auto"/>
        </w:rPr>
        <w:t>o</w:t>
      </w:r>
      <w:r w:rsidRPr="007E4DDD">
        <w:rPr>
          <w:color w:val="auto"/>
        </w:rPr>
        <w:t xml:space="preserve">t have </w:t>
      </w:r>
      <w:r w:rsidRPr="008D313B">
        <w:rPr>
          <w:i/>
          <w:iCs/>
          <w:color w:val="auto"/>
        </w:rPr>
        <w:t>EGFR</w:t>
      </w:r>
      <w:r w:rsidRPr="007E4DDD">
        <w:rPr>
          <w:color w:val="auto"/>
        </w:rPr>
        <w:t xml:space="preserve"> mutation or </w:t>
      </w:r>
      <w:r w:rsidRPr="008D313B">
        <w:rPr>
          <w:i/>
          <w:iCs/>
          <w:color w:val="auto"/>
        </w:rPr>
        <w:t>ALK</w:t>
      </w:r>
      <w:r w:rsidRPr="007E4DDD">
        <w:rPr>
          <w:color w:val="auto"/>
        </w:rPr>
        <w:t xml:space="preserve"> alterations, and among those who have </w:t>
      </w:r>
      <w:r w:rsidRPr="00063A68">
        <w:rPr>
          <w:i/>
          <w:color w:val="auto"/>
        </w:rPr>
        <w:t>MET</w:t>
      </w:r>
      <w:r w:rsidRPr="007E4DDD">
        <w:rPr>
          <w:color w:val="auto"/>
        </w:rPr>
        <w:t>ex14 mutations. Underestimating the prevalence of PD-L1 TPS</w:t>
      </w:r>
      <w:r w:rsidR="00082321">
        <w:rPr>
          <w:color w:val="auto"/>
        </w:rPr>
        <w:t xml:space="preserve"> </w:t>
      </w:r>
      <w:r w:rsidRPr="007E4DDD">
        <w:rPr>
          <w:color w:val="auto"/>
        </w:rPr>
        <w:t xml:space="preserve">≥50% in the </w:t>
      </w:r>
      <w:r w:rsidR="00FF008D" w:rsidRPr="007E4DDD">
        <w:rPr>
          <w:color w:val="auto"/>
        </w:rPr>
        <w:t xml:space="preserve">MAITC </w:t>
      </w:r>
      <w:r w:rsidR="006D4CF8" w:rsidRPr="007E4DDD">
        <w:rPr>
          <w:color w:val="auto"/>
        </w:rPr>
        <w:t>may</w:t>
      </w:r>
      <w:r w:rsidRPr="007E4DDD">
        <w:rPr>
          <w:color w:val="auto"/>
        </w:rPr>
        <w:t xml:space="preserve"> underestimate the overall benefit of pembrolizumab.</w:t>
      </w:r>
      <w:bookmarkEnd w:id="32"/>
    </w:p>
    <w:p w:rsidR="00B27719" w:rsidRPr="00962499" w:rsidRDefault="00B27719" w:rsidP="006D4CF8">
      <w:pPr>
        <w:pStyle w:val="ListParagraph"/>
      </w:pPr>
      <w:r w:rsidRPr="00962499">
        <w:t>For patients with PD-L1 TPS</w:t>
      </w:r>
      <w:r w:rsidR="00082321">
        <w:t xml:space="preserve"> </w:t>
      </w:r>
      <w:r w:rsidRPr="00962499">
        <w:t>≥50%, tepotinib may be an inferior treatment to pembrolizumab + chem</w:t>
      </w:r>
      <w:r w:rsidR="006D4CF8" w:rsidRPr="00962499">
        <w:t xml:space="preserve">otherapy in terms of OS benefit, although the isolated effect in patients with </w:t>
      </w:r>
      <w:r w:rsidR="006D4CF8" w:rsidRPr="004A4F2A">
        <w:rPr>
          <w:i/>
        </w:rPr>
        <w:t>MET</w:t>
      </w:r>
      <w:r w:rsidR="004A4F2A">
        <w:t>e</w:t>
      </w:r>
      <w:r w:rsidR="006D4CF8" w:rsidRPr="00962499">
        <w:t>x14sk is unknown.</w:t>
      </w:r>
    </w:p>
    <w:p w:rsidR="00B27719" w:rsidRPr="007E4DDD" w:rsidRDefault="00B27719" w:rsidP="00B27719">
      <w:pPr>
        <w:pStyle w:val="ListParagraph"/>
        <w:numPr>
          <w:ilvl w:val="4"/>
          <w:numId w:val="1"/>
        </w:numPr>
      </w:pPr>
      <w:r w:rsidRPr="007E4DDD">
        <w:t xml:space="preserve">The </w:t>
      </w:r>
      <w:r w:rsidR="00FB4DAA" w:rsidRPr="004825CC">
        <w:t>evaluation considered the claim</w:t>
      </w:r>
      <w:r w:rsidR="00FB4DAA">
        <w:t xml:space="preserve"> </w:t>
      </w:r>
      <w:r w:rsidR="00AE13A0">
        <w:t xml:space="preserve">of </w:t>
      </w:r>
      <w:r w:rsidRPr="007E4DDD">
        <w:t xml:space="preserve">non-inferiority of tepotinib to pembrolizumab + chemotherapy </w:t>
      </w:r>
      <w:r w:rsidR="003521A6" w:rsidRPr="007E4DDD">
        <w:t xml:space="preserve">in terms of safety </w:t>
      </w:r>
      <w:r w:rsidRPr="007E4DDD">
        <w:t>appears reasonable.</w:t>
      </w:r>
    </w:p>
    <w:p w:rsidR="00B27719" w:rsidRPr="007E4DDD" w:rsidRDefault="00B27719" w:rsidP="00B27719">
      <w:pPr>
        <w:pStyle w:val="ListParagraph"/>
        <w:numPr>
          <w:ilvl w:val="4"/>
          <w:numId w:val="1"/>
        </w:numPr>
      </w:pPr>
      <w:r w:rsidRPr="007E4DDD">
        <w:t xml:space="preserve">The </w:t>
      </w:r>
      <w:r w:rsidR="00FB4DAA" w:rsidRPr="004825CC">
        <w:t xml:space="preserve">evaluation considered the claim of </w:t>
      </w:r>
      <w:r w:rsidRPr="004825CC">
        <w:t>superiority</w:t>
      </w:r>
      <w:r w:rsidRPr="007E4DDD">
        <w:t xml:space="preserve"> of tepotinib to chemotherapy is not adequately supported. Non-inferiority of tepotinib to pembrolizumab + chemotherapy and superiority of pembrolizumab + chemotherapy to chemotherapy alone may imply that tepotinib is superior to chemotherapy alone in those who are eligible for pembrolizumab + chemotherapy treatment. </w:t>
      </w:r>
    </w:p>
    <w:p w:rsidR="00B27719" w:rsidRPr="007E4DDD" w:rsidRDefault="00B27719" w:rsidP="0036470D">
      <w:pPr>
        <w:pStyle w:val="ListParagraph"/>
        <w:numPr>
          <w:ilvl w:val="4"/>
          <w:numId w:val="1"/>
        </w:numPr>
        <w:rPr>
          <w:color w:val="auto"/>
        </w:rPr>
      </w:pPr>
      <w:r w:rsidRPr="007E4DDD">
        <w:rPr>
          <w:color w:val="auto"/>
        </w:rPr>
        <w:t xml:space="preserve">The submission stated that </w:t>
      </w:r>
      <w:r w:rsidRPr="00E90B22">
        <w:rPr>
          <w:i/>
          <w:color w:val="auto"/>
        </w:rPr>
        <w:t>MET</w:t>
      </w:r>
      <w:r w:rsidRPr="007E4DDD">
        <w:rPr>
          <w:color w:val="auto"/>
        </w:rPr>
        <w:t>ex14sk is a negative OS prognostic factor, and therefore the indirect comparison presented a conservative estimate of the relative benefit of tepotinib to pembrolizumab + chemotherapy. This statement has not been substantiated by evidence; a meta-analysis performed during the evaluation</w:t>
      </w:r>
      <w:r w:rsidR="007666BC" w:rsidRPr="007E4DDD">
        <w:rPr>
          <w:color w:val="auto"/>
        </w:rPr>
        <w:t xml:space="preserve"> of 6 relevant studies</w:t>
      </w:r>
      <w:r w:rsidRPr="007E4DDD">
        <w:rPr>
          <w:color w:val="auto"/>
        </w:rPr>
        <w:t xml:space="preserve">, which adjusted for prognostic factors, failed to demonstrate a statistically significant negative prognostic value for OS in </w:t>
      </w:r>
      <w:r w:rsidRPr="00E90B22">
        <w:rPr>
          <w:i/>
          <w:color w:val="auto"/>
        </w:rPr>
        <w:t>MET</w:t>
      </w:r>
      <w:r w:rsidRPr="007E4DDD">
        <w:rPr>
          <w:color w:val="auto"/>
        </w:rPr>
        <w:t xml:space="preserve">ex14sk patients. </w:t>
      </w:r>
      <w:r w:rsidR="0036470D" w:rsidRPr="007E4DDD">
        <w:rPr>
          <w:color w:val="auto"/>
        </w:rPr>
        <w:t xml:space="preserve">The overall pooled result for </w:t>
      </w:r>
      <w:r w:rsidR="00476B98" w:rsidRPr="007E4DDD">
        <w:rPr>
          <w:color w:val="auto"/>
        </w:rPr>
        <w:t>all</w:t>
      </w:r>
      <w:r w:rsidR="0036470D" w:rsidRPr="007E4DDD">
        <w:rPr>
          <w:color w:val="auto"/>
        </w:rPr>
        <w:t xml:space="preserve"> included studies was not statistically significant, but there was a trend suggesting that those with </w:t>
      </w:r>
      <w:r w:rsidR="0036470D" w:rsidRPr="00E90B22">
        <w:rPr>
          <w:i/>
          <w:color w:val="auto"/>
        </w:rPr>
        <w:t>MET</w:t>
      </w:r>
      <w:r w:rsidR="0036470D" w:rsidRPr="007E4DDD">
        <w:rPr>
          <w:color w:val="auto"/>
        </w:rPr>
        <w:t xml:space="preserve">ex14sk alterations have worse prognosis than those without variants (HR = 1.38, 95%CI 0.81, 2.34). When the two studies were pooled that only included patients with advanced disease, no prognostic effect of </w:t>
      </w:r>
      <w:r w:rsidR="0036470D" w:rsidRPr="00E90B22">
        <w:rPr>
          <w:i/>
          <w:color w:val="auto"/>
        </w:rPr>
        <w:t>MET</w:t>
      </w:r>
      <w:r w:rsidR="0036470D" w:rsidRPr="007E4DDD">
        <w:rPr>
          <w:color w:val="auto"/>
        </w:rPr>
        <w:t>ex14sk was observed (HR = 1.02, 95%CI 0.67, 1.54).</w:t>
      </w:r>
      <w:r w:rsidR="00B859DD">
        <w:rPr>
          <w:color w:val="auto"/>
        </w:rPr>
        <w:t xml:space="preserve"> The PBAC noted that </w:t>
      </w:r>
      <w:r w:rsidR="004A1B95">
        <w:rPr>
          <w:color w:val="auto"/>
        </w:rPr>
        <w:t xml:space="preserve">patients </w:t>
      </w:r>
      <w:r w:rsidR="00B859DD">
        <w:rPr>
          <w:color w:val="auto"/>
        </w:rPr>
        <w:t xml:space="preserve">with </w:t>
      </w:r>
      <w:r w:rsidR="004A1B95">
        <w:rPr>
          <w:color w:val="auto"/>
        </w:rPr>
        <w:t xml:space="preserve">a </w:t>
      </w:r>
      <w:r w:rsidR="00B859DD" w:rsidRPr="00CE75D1">
        <w:rPr>
          <w:i/>
          <w:color w:val="auto"/>
        </w:rPr>
        <w:t>MET</w:t>
      </w:r>
      <w:r w:rsidR="00B859DD">
        <w:rPr>
          <w:color w:val="auto"/>
        </w:rPr>
        <w:t xml:space="preserve">ex14sk alteration </w:t>
      </w:r>
      <w:r w:rsidR="004A1B95">
        <w:rPr>
          <w:color w:val="auto"/>
        </w:rPr>
        <w:t xml:space="preserve">were </w:t>
      </w:r>
      <w:r w:rsidR="00B859DD">
        <w:rPr>
          <w:color w:val="auto"/>
        </w:rPr>
        <w:t>older</w:t>
      </w:r>
      <w:r w:rsidR="004A1B95">
        <w:rPr>
          <w:color w:val="auto"/>
        </w:rPr>
        <w:t xml:space="preserve">, and older patients with NSCLC tended to have worse prognosis and be less likely to respond </w:t>
      </w:r>
      <w:r w:rsidR="00CE75D1">
        <w:rPr>
          <w:color w:val="auto"/>
        </w:rPr>
        <w:t xml:space="preserve">to immunotherapy. The PBAC considered </w:t>
      </w:r>
      <w:r w:rsidR="004A1B95">
        <w:rPr>
          <w:color w:val="auto"/>
        </w:rPr>
        <w:t xml:space="preserve">the prognosis of patients with a </w:t>
      </w:r>
      <w:r w:rsidR="00CE75D1" w:rsidRPr="004A1B95">
        <w:rPr>
          <w:i/>
          <w:color w:val="auto"/>
        </w:rPr>
        <w:t>MET</w:t>
      </w:r>
      <w:r w:rsidR="00CE75D1">
        <w:rPr>
          <w:color w:val="auto"/>
        </w:rPr>
        <w:t xml:space="preserve">ex14sk alteration may </w:t>
      </w:r>
      <w:r w:rsidR="004A1B95">
        <w:rPr>
          <w:color w:val="auto"/>
        </w:rPr>
        <w:t xml:space="preserve">be marginally worse but that may be accounted for by the adverse prognostic factors (such as age) associated with </w:t>
      </w:r>
      <w:r w:rsidR="004A1B95" w:rsidRPr="004A1B95">
        <w:rPr>
          <w:i/>
          <w:color w:val="auto"/>
        </w:rPr>
        <w:t>MET</w:t>
      </w:r>
      <w:r w:rsidR="004A1B95">
        <w:rPr>
          <w:color w:val="auto"/>
        </w:rPr>
        <w:t xml:space="preserve">ex14sk alterations. </w:t>
      </w:r>
    </w:p>
    <w:p w:rsidR="00B27719" w:rsidRDefault="00B27719" w:rsidP="00B27719">
      <w:pPr>
        <w:pStyle w:val="ListParagraph"/>
        <w:numPr>
          <w:ilvl w:val="4"/>
          <w:numId w:val="1"/>
        </w:numPr>
      </w:pPr>
      <w:r w:rsidRPr="00962499">
        <w:t xml:space="preserve">The submission’s claims about clinical efficacy are predicated on the assumption that </w:t>
      </w:r>
      <w:r w:rsidR="00BD48E4" w:rsidRPr="00962499">
        <w:t xml:space="preserve">the combination of </w:t>
      </w:r>
      <w:r w:rsidRPr="00962499">
        <w:t xml:space="preserve">pembrolizumab + chemotherapy </w:t>
      </w:r>
      <w:r w:rsidR="00BD48E4" w:rsidRPr="00962499">
        <w:t xml:space="preserve">is </w:t>
      </w:r>
      <w:r w:rsidR="009319A0">
        <w:t>equally</w:t>
      </w:r>
      <w:r w:rsidR="009319A0" w:rsidRPr="00962499">
        <w:t xml:space="preserve"> </w:t>
      </w:r>
      <w:r w:rsidRPr="00962499">
        <w:t xml:space="preserve">effective in treating tumours with a </w:t>
      </w:r>
      <w:r w:rsidRPr="00962499">
        <w:rPr>
          <w:i/>
        </w:rPr>
        <w:t>MET</w:t>
      </w:r>
      <w:r w:rsidRPr="00962499">
        <w:t xml:space="preserve">ex14sk mutation as </w:t>
      </w:r>
      <w:r w:rsidR="00592360" w:rsidRPr="00962499">
        <w:t xml:space="preserve">in </w:t>
      </w:r>
      <w:r w:rsidRPr="00962499">
        <w:t>the general</w:t>
      </w:r>
      <w:r w:rsidR="004A4F2A">
        <w:t xml:space="preserve"> </w:t>
      </w:r>
      <w:r w:rsidR="004A4F2A" w:rsidRPr="004A4F2A">
        <w:rPr>
          <w:i/>
        </w:rPr>
        <w:t>EGFR/ALK</w:t>
      </w:r>
      <w:r w:rsidR="004A4F2A">
        <w:t>-negative</w:t>
      </w:r>
      <w:r w:rsidRPr="00962499">
        <w:t xml:space="preserve"> population used in KN189.</w:t>
      </w:r>
      <w:r w:rsidR="00FC7571">
        <w:t xml:space="preserve"> </w:t>
      </w:r>
      <w:r w:rsidR="00FC7571" w:rsidRPr="007E4DDD">
        <w:t>Available data suggest this is unlikely to be the case, as discussed in Section 5 above.</w:t>
      </w:r>
      <w:r w:rsidRPr="007E4DDD">
        <w:t xml:space="preserve"> </w:t>
      </w:r>
    </w:p>
    <w:p w:rsidR="00D81D6B" w:rsidRPr="00A451E1" w:rsidRDefault="00D81D6B" w:rsidP="00486EEE">
      <w:pPr>
        <w:pStyle w:val="ListParagraph"/>
        <w:rPr>
          <w:iCs/>
        </w:rPr>
      </w:pPr>
      <w:r w:rsidRPr="00AC2D52">
        <w:t xml:space="preserve">The </w:t>
      </w:r>
      <w:r w:rsidR="00486EEE" w:rsidRPr="00AC2D52">
        <w:t>ESC</w:t>
      </w:r>
      <w:r w:rsidR="00CD46FE" w:rsidRPr="00AC2D52">
        <w:t>s</w:t>
      </w:r>
      <w:r w:rsidR="00486EEE" w:rsidRPr="00AC2D52">
        <w:t xml:space="preserve"> considered the claim</w:t>
      </w:r>
      <w:r w:rsidR="006A2589" w:rsidRPr="00AC2D52">
        <w:t>s</w:t>
      </w:r>
      <w:r w:rsidR="00486EEE" w:rsidRPr="00AC2D52">
        <w:t xml:space="preserve"> that tepotinib is non-inferior to pembrolizumab with chemotherapy, and superior to chemotherapy alone in terms of efficacy </w:t>
      </w:r>
      <w:r w:rsidR="00DC22A0" w:rsidRPr="00AC2D52">
        <w:t xml:space="preserve">was </w:t>
      </w:r>
      <w:r w:rsidR="00E6750E" w:rsidRPr="00AC2D52">
        <w:t xml:space="preserve">uncertain. </w:t>
      </w:r>
      <w:r w:rsidR="00486EEE" w:rsidRPr="00AC2D52">
        <w:t>The ESC</w:t>
      </w:r>
      <w:r w:rsidR="00CD46FE" w:rsidRPr="00AC2D52">
        <w:t>s</w:t>
      </w:r>
      <w:r w:rsidR="00486EEE" w:rsidRPr="00AC2D52">
        <w:t xml:space="preserve"> noted the additional analyses provided in the PSCR but considered they </w:t>
      </w:r>
      <w:r w:rsidR="00E6750E" w:rsidRPr="00AC2D52">
        <w:t>were also</w:t>
      </w:r>
      <w:r w:rsidR="00DF0216" w:rsidRPr="00AC2D52">
        <w:t xml:space="preserve"> likely to be</w:t>
      </w:r>
      <w:r w:rsidR="00E6750E" w:rsidRPr="00AC2D52">
        <w:t xml:space="preserve"> associated with significant </w:t>
      </w:r>
      <w:r w:rsidR="00486EEE" w:rsidRPr="00AC2D52">
        <w:t>uncertainty.</w:t>
      </w:r>
      <w:r w:rsidR="00DC22A0" w:rsidRPr="00AC2D52">
        <w:t xml:space="preserve"> O</w:t>
      </w:r>
      <w:r w:rsidR="00905F67" w:rsidRPr="00AC2D52">
        <w:t xml:space="preserve">n the balance of </w:t>
      </w:r>
      <w:r w:rsidR="0019205F" w:rsidRPr="00AC2D52">
        <w:t xml:space="preserve">the </w:t>
      </w:r>
      <w:r w:rsidR="00905F67" w:rsidRPr="00AC2D52">
        <w:t xml:space="preserve">evidence provided, </w:t>
      </w:r>
      <w:r w:rsidR="00C04410" w:rsidRPr="00AC2D52">
        <w:t xml:space="preserve">the ESCs were of a view that </w:t>
      </w:r>
      <w:r w:rsidR="00905F67" w:rsidRPr="00AC2D52">
        <w:t xml:space="preserve">there were no </w:t>
      </w:r>
      <w:r w:rsidR="00C04410" w:rsidRPr="00AC2D52">
        <w:t>major</w:t>
      </w:r>
      <w:r w:rsidR="00905F67" w:rsidRPr="00AC2D52">
        <w:t xml:space="preserve"> signals </w:t>
      </w:r>
      <w:r w:rsidR="00C04410" w:rsidRPr="00AC2D52">
        <w:t>to</w:t>
      </w:r>
      <w:r w:rsidR="00905F67" w:rsidRPr="00AC2D52">
        <w:t xml:space="preserve"> suggest tepotinib ha</w:t>
      </w:r>
      <w:r w:rsidR="004E5F8A" w:rsidRPr="00AC2D52">
        <w:t>d</w:t>
      </w:r>
      <w:r w:rsidR="00905F67" w:rsidRPr="00AC2D52">
        <w:t xml:space="preserve"> an inferior safety profile to either pembrolizumab with chemotherap</w:t>
      </w:r>
      <w:r w:rsidR="00DC22A0" w:rsidRPr="00AC2D52">
        <w:t xml:space="preserve">y or chemotherapy alone, so a </w:t>
      </w:r>
      <w:r w:rsidR="00905F67" w:rsidRPr="00AC2D52">
        <w:t xml:space="preserve">claim </w:t>
      </w:r>
      <w:r w:rsidR="00DC22A0" w:rsidRPr="00AC2D52">
        <w:t xml:space="preserve">of non-inferiority in terms of safety </w:t>
      </w:r>
      <w:r w:rsidR="00905F67" w:rsidRPr="00AC2D52">
        <w:t>may</w:t>
      </w:r>
      <w:r w:rsidR="00C04410" w:rsidRPr="00AC2D52">
        <w:t>, on balance,</w:t>
      </w:r>
      <w:r w:rsidR="00905F67" w:rsidRPr="00AC2D52">
        <w:t xml:space="preserve"> be reasonable.</w:t>
      </w:r>
    </w:p>
    <w:p w:rsidR="00A451E1" w:rsidRPr="000F2281" w:rsidRDefault="00A451E1" w:rsidP="00486EEE">
      <w:pPr>
        <w:pStyle w:val="ListParagraph"/>
        <w:rPr>
          <w:iCs/>
        </w:rPr>
      </w:pPr>
      <w:r>
        <w:t xml:space="preserve">The PBAC considered that, overall, the claim </w:t>
      </w:r>
      <w:r w:rsidR="009626A7">
        <w:t xml:space="preserve">that tepotinib is </w:t>
      </w:r>
      <w:r>
        <w:t xml:space="preserve">non-inferior </w:t>
      </w:r>
      <w:r w:rsidR="009626A7">
        <w:t xml:space="preserve">to pembrolizumab in terms of </w:t>
      </w:r>
      <w:r>
        <w:t>effectiveness and safety was reasonable</w:t>
      </w:r>
      <w:r w:rsidR="009626A7">
        <w:t xml:space="preserve"> and the claim that tepotinib is superior in terms of effectiveness and safety compared to chemotherapy was reasonable</w:t>
      </w:r>
      <w:r>
        <w:t xml:space="preserve">.  </w:t>
      </w:r>
    </w:p>
    <w:p w:rsidR="00B27719" w:rsidRPr="00183B83" w:rsidRDefault="00B27719" w:rsidP="00B27719">
      <w:pPr>
        <w:pStyle w:val="PBACESHeading2"/>
        <w:numPr>
          <w:ilvl w:val="2"/>
          <w:numId w:val="1"/>
        </w:numPr>
        <w:rPr>
          <w:rFonts w:asciiTheme="minorHAnsi" w:hAnsiTheme="minorHAnsi" w:cstheme="minorHAnsi"/>
        </w:rPr>
      </w:pPr>
      <w:bookmarkStart w:id="33" w:name="_Toc497226190"/>
      <w:bookmarkStart w:id="34" w:name="_Toc81873386"/>
      <w:r w:rsidRPr="00183B83">
        <w:rPr>
          <w:rFonts w:asciiTheme="minorHAnsi" w:hAnsiTheme="minorHAnsi" w:cstheme="minorHAnsi"/>
        </w:rPr>
        <w:t xml:space="preserve">Claim of </w:t>
      </w:r>
      <w:proofErr w:type="spellStart"/>
      <w:r w:rsidRPr="00183B83">
        <w:rPr>
          <w:rFonts w:asciiTheme="minorHAnsi" w:hAnsiTheme="minorHAnsi" w:cstheme="minorHAnsi"/>
        </w:rPr>
        <w:t>codependence</w:t>
      </w:r>
      <w:bookmarkEnd w:id="33"/>
      <w:bookmarkEnd w:id="34"/>
      <w:proofErr w:type="spellEnd"/>
    </w:p>
    <w:p w:rsidR="00AC2D52" w:rsidRDefault="00AC2D52" w:rsidP="00AC2D52">
      <w:pPr>
        <w:pStyle w:val="ListParagraph"/>
      </w:pPr>
      <w:r>
        <w:t xml:space="preserve">NSCLC is </w:t>
      </w:r>
      <w:proofErr w:type="spellStart"/>
      <w:r>
        <w:t>genomically</w:t>
      </w:r>
      <w:proofErr w:type="spellEnd"/>
      <w:r>
        <w:t xml:space="preserve"> diverse and offers the potential to define molecular subsets of patients treated with personalised therapies. Most adenocarcinoma can be classified based on molecular testing for predictive biomarkers in oncogenic drivers such as </w:t>
      </w:r>
      <w:r w:rsidRPr="008D313B">
        <w:rPr>
          <w:i/>
          <w:iCs/>
        </w:rPr>
        <w:t>EGFR</w:t>
      </w:r>
      <w:r>
        <w:t xml:space="preserve">, </w:t>
      </w:r>
      <w:r w:rsidRPr="008D313B">
        <w:rPr>
          <w:i/>
          <w:iCs/>
        </w:rPr>
        <w:t>ROS1</w:t>
      </w:r>
      <w:r>
        <w:t xml:space="preserve">, </w:t>
      </w:r>
      <w:r w:rsidRPr="008D313B">
        <w:rPr>
          <w:i/>
          <w:iCs/>
        </w:rPr>
        <w:t>ALK</w:t>
      </w:r>
      <w:r>
        <w:t xml:space="preserve">, </w:t>
      </w:r>
      <w:r w:rsidRPr="008D313B">
        <w:rPr>
          <w:i/>
          <w:iCs/>
        </w:rPr>
        <w:t>BRAF</w:t>
      </w:r>
      <w:r>
        <w:t xml:space="preserve">, and </w:t>
      </w:r>
      <w:r w:rsidRPr="008D313B">
        <w:rPr>
          <w:i/>
          <w:iCs/>
        </w:rPr>
        <w:t>MET</w:t>
      </w:r>
      <w:r>
        <w:t>.</w:t>
      </w:r>
    </w:p>
    <w:p w:rsidR="00AC2D52" w:rsidRDefault="00AC2D52" w:rsidP="00AC2D52">
      <w:pPr>
        <w:pStyle w:val="ListParagraph"/>
      </w:pPr>
      <w:r>
        <w:t xml:space="preserve">Oncogenic </w:t>
      </w:r>
      <w:r w:rsidRPr="000152E5">
        <w:rPr>
          <w:i/>
          <w:iCs/>
        </w:rPr>
        <w:t>MET</w:t>
      </w:r>
      <w:r>
        <w:t xml:space="preserve"> gene alterations identified in NSCLC affect the splice sites of exon 14 of the </w:t>
      </w:r>
      <w:r w:rsidRPr="000152E5">
        <w:rPr>
          <w:i/>
          <w:iCs/>
        </w:rPr>
        <w:t>MET</w:t>
      </w:r>
      <w:r>
        <w:t xml:space="preserve"> gene (</w:t>
      </w:r>
      <w:r w:rsidRPr="00AC2D52">
        <w:rPr>
          <w:i/>
        </w:rPr>
        <w:t>MET</w:t>
      </w:r>
      <w:r>
        <w:t xml:space="preserve">ex14). </w:t>
      </w:r>
      <w:r w:rsidRPr="00AC2D52">
        <w:rPr>
          <w:i/>
        </w:rPr>
        <w:t>MET</w:t>
      </w:r>
      <w:r>
        <w:t>ex14</w:t>
      </w:r>
      <w:r w:rsidR="00176013">
        <w:t>sk</w:t>
      </w:r>
      <w:r>
        <w:t xml:space="preserve"> alterations appear to be mutually exclusive with other established driver mutations in NSCLC such as </w:t>
      </w:r>
      <w:r w:rsidRPr="008D313B">
        <w:rPr>
          <w:i/>
          <w:iCs/>
        </w:rPr>
        <w:t>EGFR</w:t>
      </w:r>
      <w:r>
        <w:t xml:space="preserve">, </w:t>
      </w:r>
      <w:r w:rsidRPr="008D313B">
        <w:rPr>
          <w:i/>
          <w:iCs/>
        </w:rPr>
        <w:t>KRAS</w:t>
      </w:r>
      <w:r>
        <w:t xml:space="preserve">, </w:t>
      </w:r>
      <w:r w:rsidRPr="008D313B">
        <w:rPr>
          <w:i/>
          <w:iCs/>
        </w:rPr>
        <w:t>ALK</w:t>
      </w:r>
      <w:r>
        <w:t xml:space="preserve"> or </w:t>
      </w:r>
      <w:r w:rsidRPr="008D313B">
        <w:rPr>
          <w:i/>
          <w:iCs/>
        </w:rPr>
        <w:t>ROS1</w:t>
      </w:r>
      <w:r>
        <w:t xml:space="preserve">. </w:t>
      </w:r>
      <w:r w:rsidRPr="00AC2D52">
        <w:rPr>
          <w:i/>
        </w:rPr>
        <w:t>MET</w:t>
      </w:r>
      <w:r>
        <w:t>ex14</w:t>
      </w:r>
      <w:r w:rsidR="00176013">
        <w:t>sk</w:t>
      </w:r>
      <w:r>
        <w:t xml:space="preserve"> alterations are regarded as a primary oncogenic driver in NSCLC, and are sufficient to promote carcinogenesis and tumour progression.</w:t>
      </w:r>
    </w:p>
    <w:p w:rsidR="00B27719" w:rsidRDefault="00AC2D52" w:rsidP="00AC2D52">
      <w:pPr>
        <w:pStyle w:val="ListParagraph"/>
      </w:pPr>
      <w:r>
        <w:t xml:space="preserve">The submission stated that tepotinib is an orally administered, highly selective, ATP-competitive, Type 1b tyrosine kinase inhibitor (TKI) that is highly specific for the c-MET receptor with fewer off target effects as compared with a type 1a TKI. It further stated that identification of patients suitable for tepotinib requires a test currently not covered by the MBS. As such tepotinib </w:t>
      </w:r>
      <w:r w:rsidR="00523C35">
        <w:t xml:space="preserve">was </w:t>
      </w:r>
      <w:r>
        <w:t xml:space="preserve">appraised as a </w:t>
      </w:r>
      <w:proofErr w:type="spellStart"/>
      <w:r>
        <w:t>codependent</w:t>
      </w:r>
      <w:proofErr w:type="spellEnd"/>
      <w:r>
        <w:t xml:space="preserve"> submission by MSAC/PBAC </w:t>
      </w:r>
      <w:r w:rsidR="000152E5">
        <w:t xml:space="preserve">addressing </w:t>
      </w:r>
      <w:r>
        <w:t xml:space="preserve">both the test </w:t>
      </w:r>
      <w:r w:rsidR="000152E5">
        <w:t>and</w:t>
      </w:r>
      <w:r>
        <w:t xml:space="preserve"> the drug.</w:t>
      </w:r>
    </w:p>
    <w:p w:rsidR="00B01000" w:rsidRPr="007E4DDD" w:rsidRDefault="00B01000" w:rsidP="00AC2D52">
      <w:pPr>
        <w:pStyle w:val="ListParagraph"/>
      </w:pPr>
      <w:r w:rsidRPr="00B01000">
        <w:t xml:space="preserve">The PBAC noted the ESCs considered that it was difficult to distinguish between the prognostic value (clinical validity) and predictive value (clinical utility) of </w:t>
      </w:r>
      <w:r w:rsidRPr="00590743">
        <w:rPr>
          <w:i/>
        </w:rPr>
        <w:t>MET</w:t>
      </w:r>
      <w:r w:rsidRPr="00B01000">
        <w:t>ex14sk alterations</w:t>
      </w:r>
      <w:r w:rsidR="000F2281">
        <w:t xml:space="preserve"> </w:t>
      </w:r>
      <w:r w:rsidR="000F2281" w:rsidRPr="00B01000">
        <w:t>based on the available evidence</w:t>
      </w:r>
      <w:r w:rsidRPr="00B01000">
        <w:t>.</w:t>
      </w:r>
    </w:p>
    <w:p w:rsidR="00C317F3" w:rsidRPr="00183B83" w:rsidRDefault="00C317F3" w:rsidP="007E2F09">
      <w:pPr>
        <w:pStyle w:val="PBACESHeading2"/>
        <w:rPr>
          <w:rFonts w:asciiTheme="minorHAnsi" w:hAnsiTheme="minorHAnsi" w:cstheme="minorHAnsi"/>
        </w:rPr>
      </w:pPr>
      <w:bookmarkStart w:id="35" w:name="_Toc413139282"/>
      <w:bookmarkStart w:id="36" w:name="_Toc81873387"/>
      <w:r w:rsidRPr="00183B83">
        <w:rPr>
          <w:rFonts w:asciiTheme="minorHAnsi" w:hAnsiTheme="minorHAnsi" w:cstheme="minorHAnsi"/>
        </w:rPr>
        <w:t>Economic analysis</w:t>
      </w:r>
      <w:bookmarkEnd w:id="35"/>
      <w:bookmarkEnd w:id="36"/>
    </w:p>
    <w:p w:rsidR="0059661C" w:rsidRPr="00B92D96" w:rsidRDefault="0059661C" w:rsidP="0059661C">
      <w:pPr>
        <w:pStyle w:val="ListParagraph"/>
        <w:numPr>
          <w:ilvl w:val="4"/>
          <w:numId w:val="1"/>
        </w:numPr>
        <w:rPr>
          <w:color w:val="auto"/>
        </w:rPr>
      </w:pPr>
      <w:r w:rsidRPr="00962499">
        <w:t xml:space="preserve">The submission presented a cost-minimisation </w:t>
      </w:r>
      <w:r w:rsidR="0019205F">
        <w:t>approach</w:t>
      </w:r>
      <w:r w:rsidRPr="00962499">
        <w:t xml:space="preserve"> (CMA) for tepotinib compared with pembrolizumab in combination with chemotherapy, based on the claimed non-inferiority of tepotinib t</w:t>
      </w:r>
      <w:r w:rsidRPr="00B92D96">
        <w:t xml:space="preserve">o pembrolizumab in combination with chemotherapy. The </w:t>
      </w:r>
      <w:proofErr w:type="spellStart"/>
      <w:r w:rsidRPr="00B92D96">
        <w:t>equi</w:t>
      </w:r>
      <w:proofErr w:type="spellEnd"/>
      <w:r w:rsidRPr="00B92D96">
        <w:t>-effective doses assumed in the base case CMA were:</w:t>
      </w:r>
    </w:p>
    <w:p w:rsidR="0059661C" w:rsidRPr="00B92D96" w:rsidRDefault="0059661C" w:rsidP="00F800E1">
      <w:pPr>
        <w:pStyle w:val="ListParagraph"/>
        <w:numPr>
          <w:ilvl w:val="4"/>
          <w:numId w:val="18"/>
        </w:numPr>
        <w:ind w:left="1077" w:hanging="357"/>
        <w:rPr>
          <w:color w:val="auto"/>
        </w:rPr>
      </w:pPr>
      <w:r w:rsidRPr="00B92D96">
        <w:rPr>
          <w:color w:val="auto"/>
        </w:rPr>
        <w:t xml:space="preserve">Tepotinib 392.78 mg </w:t>
      </w:r>
      <w:r w:rsidR="004A62EF" w:rsidRPr="00B92D96">
        <w:rPr>
          <w:color w:val="auto"/>
        </w:rPr>
        <w:t xml:space="preserve">orally administered </w:t>
      </w:r>
      <w:r w:rsidRPr="00B92D96">
        <w:rPr>
          <w:color w:val="auto"/>
        </w:rPr>
        <w:t>once daily over 13.35 months; and</w:t>
      </w:r>
    </w:p>
    <w:p w:rsidR="0059661C" w:rsidRPr="00B92D96" w:rsidRDefault="0059661C" w:rsidP="00F800E1">
      <w:pPr>
        <w:pStyle w:val="ListParagraph"/>
        <w:numPr>
          <w:ilvl w:val="4"/>
          <w:numId w:val="18"/>
        </w:numPr>
        <w:ind w:left="1077" w:hanging="357"/>
        <w:rPr>
          <w:color w:val="auto"/>
        </w:rPr>
      </w:pPr>
      <w:r w:rsidRPr="00B92D96">
        <w:rPr>
          <w:color w:val="auto"/>
        </w:rPr>
        <w:t xml:space="preserve">Pembrolizumab administered intravenously at 200 mg every 3 weeks (Q3W) in combination with </w:t>
      </w:r>
      <w:proofErr w:type="spellStart"/>
      <w:r w:rsidRPr="00B92D96">
        <w:rPr>
          <w:color w:val="auto"/>
        </w:rPr>
        <w:t>pemetrexed</w:t>
      </w:r>
      <w:proofErr w:type="spellEnd"/>
      <w:r w:rsidRPr="00B92D96">
        <w:rPr>
          <w:color w:val="auto"/>
        </w:rPr>
        <w:t xml:space="preserve"> administered intravenously at 865.0 mg Q3W for </w:t>
      </w:r>
      <w:r w:rsidR="00970C1A" w:rsidRPr="00B92D96">
        <w:rPr>
          <w:color w:val="auto"/>
        </w:rPr>
        <w:t xml:space="preserve">11.38 months </w:t>
      </w:r>
      <w:r w:rsidRPr="00B92D96">
        <w:rPr>
          <w:color w:val="auto"/>
        </w:rPr>
        <w:t xml:space="preserve">and 129.75 mg cisplatin or 477.1 mg carboplatin administered intravenously Q3W for </w:t>
      </w:r>
      <w:r w:rsidR="00970C1A" w:rsidRPr="00B92D96">
        <w:rPr>
          <w:color w:val="auto"/>
        </w:rPr>
        <w:t>2.58 months</w:t>
      </w:r>
      <w:r w:rsidRPr="00B92D96">
        <w:rPr>
          <w:color w:val="auto"/>
        </w:rPr>
        <w:t>.</w:t>
      </w:r>
    </w:p>
    <w:p w:rsidR="005A0EED" w:rsidRPr="00F13980" w:rsidRDefault="004A62EF" w:rsidP="00B92D96">
      <w:pPr>
        <w:pStyle w:val="ListParagraph"/>
        <w:numPr>
          <w:ilvl w:val="4"/>
          <w:numId w:val="1"/>
        </w:numPr>
      </w:pPr>
      <w:r w:rsidRPr="00B92D96">
        <w:t xml:space="preserve">The comparator therapies considered in the base case of the CMA were pembrolizumab + cisplatin/carboplatin + </w:t>
      </w:r>
      <w:proofErr w:type="spellStart"/>
      <w:r w:rsidRPr="00B92D96">
        <w:t>pemetrexed</w:t>
      </w:r>
      <w:proofErr w:type="spellEnd"/>
      <w:r w:rsidRPr="00B92D96">
        <w:t>.</w:t>
      </w:r>
      <w:r w:rsidRPr="007E4DDD">
        <w:t xml:space="preserve"> The </w:t>
      </w:r>
      <w:r w:rsidR="0070258A" w:rsidRPr="00B31B3C">
        <w:t>evaluation considered the</w:t>
      </w:r>
      <w:r w:rsidR="0070258A">
        <w:t xml:space="preserve"> </w:t>
      </w:r>
      <w:r w:rsidRPr="007E4DDD">
        <w:t xml:space="preserve">assumption that 100% patients would receive pembrolizumab combination therapy favoured tepotinib, as patients with NSCLC expressing PD-L1 (TPS ≥1%) are TGA-indicated for pembrolizumab monotherapy (pembrolizumab PI), at a lower treatment cost than pembrolizumab + platinum doublet. </w:t>
      </w:r>
      <w:r w:rsidR="00A941D8" w:rsidRPr="002363FC">
        <w:rPr>
          <w:color w:val="auto"/>
        </w:rPr>
        <w:t xml:space="preserve">As noted in paragraph </w:t>
      </w:r>
      <w:r w:rsidR="00C56714">
        <w:rPr>
          <w:color w:val="auto"/>
        </w:rPr>
        <w:t>5.2</w:t>
      </w:r>
      <w:r w:rsidR="00A941D8" w:rsidRPr="002363FC">
        <w:rPr>
          <w:color w:val="auto"/>
        </w:rPr>
        <w:t>, t</w:t>
      </w:r>
      <w:r w:rsidR="009F1430" w:rsidRPr="002363FC">
        <w:rPr>
          <w:color w:val="auto"/>
        </w:rPr>
        <w:t>he ESC</w:t>
      </w:r>
      <w:r w:rsidR="00EB60F5" w:rsidRPr="002363FC">
        <w:rPr>
          <w:color w:val="auto"/>
        </w:rPr>
        <w:t>s</w:t>
      </w:r>
      <w:r w:rsidR="009F1430" w:rsidRPr="002363FC">
        <w:rPr>
          <w:color w:val="auto"/>
        </w:rPr>
        <w:t xml:space="preserve"> </w:t>
      </w:r>
      <w:r w:rsidR="00A941D8" w:rsidRPr="002363FC">
        <w:rPr>
          <w:color w:val="auto"/>
        </w:rPr>
        <w:t xml:space="preserve">considered </w:t>
      </w:r>
      <w:r w:rsidR="00EB60F5" w:rsidRPr="002363FC">
        <w:rPr>
          <w:color w:val="auto"/>
        </w:rPr>
        <w:t xml:space="preserve">most patients eligible for pembrolizumab would be treated </w:t>
      </w:r>
      <w:r w:rsidR="00A941D8" w:rsidRPr="002363FC">
        <w:rPr>
          <w:color w:val="auto"/>
        </w:rPr>
        <w:t>in combination with</w:t>
      </w:r>
      <w:r w:rsidR="00EB60F5" w:rsidRPr="002363FC">
        <w:rPr>
          <w:color w:val="auto"/>
        </w:rPr>
        <w:t xml:space="preserve"> chemotherapy</w:t>
      </w:r>
      <w:r w:rsidR="00A941D8" w:rsidRPr="002363FC">
        <w:rPr>
          <w:color w:val="auto"/>
        </w:rPr>
        <w:t xml:space="preserve">. </w:t>
      </w:r>
    </w:p>
    <w:p w:rsidR="004A62EF" w:rsidRPr="007E4DDD" w:rsidRDefault="000D3B20" w:rsidP="000D3B20">
      <w:pPr>
        <w:pStyle w:val="ListParagraph"/>
      </w:pPr>
      <w:r w:rsidRPr="007E4DDD">
        <w:t xml:space="preserve">No </w:t>
      </w:r>
      <w:proofErr w:type="spellStart"/>
      <w:r w:rsidRPr="007E4DDD">
        <w:t>equi</w:t>
      </w:r>
      <w:proofErr w:type="spellEnd"/>
      <w:r w:rsidRPr="007E4DDD">
        <w:t>-effective doses for patients with Stage IV squamous NSCLC have been proposed in the submission. The comparator treatment regimen for this population would be pembrolizumab + platinum + (nab-</w:t>
      </w:r>
      <w:proofErr w:type="gramStart"/>
      <w:r w:rsidRPr="007E4DDD">
        <w:t>)paclitaxel</w:t>
      </w:r>
      <w:proofErr w:type="gramEnd"/>
      <w:r w:rsidRPr="007E4DDD">
        <w:t xml:space="preserve"> (instead of </w:t>
      </w:r>
      <w:proofErr w:type="spellStart"/>
      <w:r w:rsidRPr="007E4DDD">
        <w:t>pemetrexed</w:t>
      </w:r>
      <w:proofErr w:type="spellEnd"/>
      <w:r w:rsidRPr="007E4DDD">
        <w:t xml:space="preserve">). The treatment duration for paclitaxel would be shorter than </w:t>
      </w:r>
      <w:proofErr w:type="spellStart"/>
      <w:r w:rsidRPr="007E4DDD">
        <w:t>pemetrexed</w:t>
      </w:r>
      <w:proofErr w:type="spellEnd"/>
      <w:r w:rsidRPr="007E4DDD">
        <w:t>, as the maximum treatment duration for paclitaxel is four cycles (i.e. no maintenance therapy). Therefore, pembrolizumab + chemotherapy in squamous NSCLC patients is likely to be less than the comparator drug cost as estimated in the CMA (for non-squamous NSCLC).</w:t>
      </w:r>
      <w:r w:rsidR="00CC5375" w:rsidRPr="007E4DDD">
        <w:rPr>
          <w:color w:val="auto"/>
        </w:rPr>
        <w:t xml:space="preserve"> </w:t>
      </w:r>
      <w:r w:rsidR="0070258A" w:rsidRPr="002363FC">
        <w:rPr>
          <w:color w:val="auto"/>
        </w:rPr>
        <w:t xml:space="preserve">The PSCR provided an updated CMA that assumed 25.8% of patients </w:t>
      </w:r>
      <w:r w:rsidR="00495F04" w:rsidRPr="002363FC">
        <w:rPr>
          <w:color w:val="auto"/>
        </w:rPr>
        <w:t xml:space="preserve">have squamous NSCLC and would </w:t>
      </w:r>
      <w:r w:rsidR="0070258A" w:rsidRPr="002363FC">
        <w:rPr>
          <w:color w:val="auto"/>
        </w:rPr>
        <w:t xml:space="preserve">be treated with </w:t>
      </w:r>
      <w:r w:rsidR="00590D49" w:rsidRPr="002363FC">
        <w:rPr>
          <w:color w:val="auto"/>
        </w:rPr>
        <w:t>pembrolizumab + platinum + paclitaxel.</w:t>
      </w:r>
    </w:p>
    <w:p w:rsidR="004A62EF" w:rsidRPr="00B92D96" w:rsidRDefault="004A62EF" w:rsidP="004A62EF">
      <w:pPr>
        <w:pStyle w:val="ListParagraph"/>
        <w:numPr>
          <w:ilvl w:val="4"/>
          <w:numId w:val="1"/>
        </w:numPr>
      </w:pPr>
      <w:r w:rsidRPr="00B92D96">
        <w:t>Cost of subsequent PD-(L</w:t>
      </w:r>
      <w:proofErr w:type="gramStart"/>
      <w:r w:rsidRPr="00B92D96">
        <w:t>)1</w:t>
      </w:r>
      <w:proofErr w:type="gramEnd"/>
      <w:r w:rsidRPr="00B92D96">
        <w:t xml:space="preserve"> inhibitor use after first-line tepotinib was not considered in the CMA. </w:t>
      </w:r>
      <w:r w:rsidRPr="007E4DDD">
        <w:t>Among 146 patients in VISION cohort A, 44 (30.1%) patients received subsequent anti-cancer therapy and 23 (15.8%) were treated with pembrolizumab, nivolumab or atezolizumab. Of note, the study data of 15.8% was a likely underestimate of the extent of use of later-line PD-(L)1 inhibitor following first-line tepotinib in clinical practice, as 41.1% of subjects in VISION Cohort A were free of disease progression/death event at the data cut-off (July 2020). The OS results reported in VISION, which were compared against the OS results from the pembrolizumab combination therapy trial KN189 in the indirect comparison, have incorporated survival benefits from later-line PD-(L)1 inhibitor use following tepotinib.</w:t>
      </w:r>
      <w:r w:rsidRPr="00B92D96">
        <w:rPr>
          <w:i/>
        </w:rPr>
        <w:t xml:space="preserve"> </w:t>
      </w:r>
      <w:r w:rsidRPr="007E4DDD">
        <w:t>It appeared unreasonable for a CMA to remove the cost of subsequent immunotherapy whilst the clinical benefits of such later-line use has been taken into account in the clinical non-inferiority basis of the CMA.</w:t>
      </w:r>
      <w:r w:rsidR="00512786">
        <w:t xml:space="preserve"> </w:t>
      </w:r>
      <w:r w:rsidR="00D05EA8" w:rsidRPr="002363FC">
        <w:t xml:space="preserve">The ESCs considered inclusion of the cost of second line treatments in the tepotinib arm but not the pembrolizumab arm biased </w:t>
      </w:r>
      <w:r w:rsidR="00437A81" w:rsidRPr="002363FC">
        <w:t>against</w:t>
      </w:r>
      <w:r w:rsidR="00D05EA8" w:rsidRPr="002363FC">
        <w:t xml:space="preserve"> tepotinib.</w:t>
      </w:r>
    </w:p>
    <w:p w:rsidR="0059661C" w:rsidRPr="00B92D96" w:rsidRDefault="0059661C" w:rsidP="00A10B2E">
      <w:pPr>
        <w:pStyle w:val="ListParagraph"/>
        <w:numPr>
          <w:ilvl w:val="4"/>
          <w:numId w:val="1"/>
        </w:numPr>
        <w:rPr>
          <w:color w:val="auto"/>
        </w:rPr>
      </w:pPr>
      <w:r w:rsidRPr="00B92D96">
        <w:t xml:space="preserve">The </w:t>
      </w:r>
      <w:proofErr w:type="spellStart"/>
      <w:r w:rsidRPr="00B92D96">
        <w:t>equi</w:t>
      </w:r>
      <w:proofErr w:type="spellEnd"/>
      <w:r w:rsidRPr="00B92D96">
        <w:t xml:space="preserve">-effective doses of tepotinib and pembrolizumab + carboplatin/cisplatin + </w:t>
      </w:r>
      <w:proofErr w:type="spellStart"/>
      <w:r w:rsidRPr="00B92D96">
        <w:t>pemetrexed</w:t>
      </w:r>
      <w:proofErr w:type="spellEnd"/>
      <w:r w:rsidRPr="00B92D96">
        <w:t xml:space="preserve"> were based on the key clinical trials and Product Information (PI) for each respective medicine. </w:t>
      </w:r>
      <w:r w:rsidRPr="00B92D96">
        <w:rPr>
          <w:color w:val="auto"/>
        </w:rPr>
        <w:t xml:space="preserve">The PI-recommended daily dose of tepotinib is 450 mg. The relative dose intensity (RDI) (87.3%) in Cohort A </w:t>
      </w:r>
      <w:r w:rsidR="00190F44" w:rsidRPr="00B92D96">
        <w:rPr>
          <w:color w:val="auto"/>
        </w:rPr>
        <w:t>intention-to-treat (</w:t>
      </w:r>
      <w:r w:rsidRPr="00B92D96">
        <w:rPr>
          <w:color w:val="auto"/>
        </w:rPr>
        <w:t>ITT</w:t>
      </w:r>
      <w:r w:rsidR="00190F44" w:rsidRPr="00B92D96">
        <w:rPr>
          <w:color w:val="auto"/>
        </w:rPr>
        <w:t>)</w:t>
      </w:r>
      <w:r w:rsidRPr="00B92D96">
        <w:rPr>
          <w:color w:val="auto"/>
        </w:rPr>
        <w:t xml:space="preserve"> population of the VISION study was used to estimate the daily dose of tepotinib, which was 392.78</w:t>
      </w:r>
      <w:r w:rsidR="00592360" w:rsidRPr="00B92D96">
        <w:rPr>
          <w:color w:val="auto"/>
        </w:rPr>
        <w:t> </w:t>
      </w:r>
      <w:r w:rsidRPr="00B92D96">
        <w:rPr>
          <w:color w:val="auto"/>
        </w:rPr>
        <w:t>mg (= 450</w:t>
      </w:r>
      <w:r w:rsidR="00592360" w:rsidRPr="00B92D96">
        <w:rPr>
          <w:color w:val="auto"/>
        </w:rPr>
        <w:t> mg</w:t>
      </w:r>
      <w:r w:rsidRPr="00B92D96">
        <w:rPr>
          <w:color w:val="auto"/>
        </w:rPr>
        <w:t xml:space="preserve"> x 87.3%).</w:t>
      </w:r>
      <w:r w:rsidR="004A62EF" w:rsidRPr="00B92D96">
        <w:rPr>
          <w:color w:val="auto"/>
        </w:rPr>
        <w:t xml:space="preserve"> </w:t>
      </w:r>
      <w:r w:rsidRPr="00B92D96">
        <w:rPr>
          <w:color w:val="auto"/>
        </w:rPr>
        <w:t xml:space="preserve">In KN189, </w:t>
      </w:r>
      <w:proofErr w:type="spellStart"/>
      <w:r w:rsidRPr="00B92D96">
        <w:rPr>
          <w:color w:val="auto"/>
        </w:rPr>
        <w:t>pemetrexed</w:t>
      </w:r>
      <w:proofErr w:type="spellEnd"/>
      <w:r w:rsidRPr="00B92D96">
        <w:rPr>
          <w:color w:val="auto"/>
        </w:rPr>
        <w:t>, cisplatin and carboplatin were dosed 500 mg/m</w:t>
      </w:r>
      <w:r w:rsidRPr="00B92D96">
        <w:rPr>
          <w:color w:val="auto"/>
          <w:vertAlign w:val="superscript"/>
        </w:rPr>
        <w:t>2</w:t>
      </w:r>
      <w:r w:rsidRPr="00B92D96">
        <w:rPr>
          <w:color w:val="auto"/>
        </w:rPr>
        <w:t>, 75 mg/m</w:t>
      </w:r>
      <w:r w:rsidRPr="00B92D96">
        <w:rPr>
          <w:color w:val="auto"/>
          <w:vertAlign w:val="superscript"/>
        </w:rPr>
        <w:t>2</w:t>
      </w:r>
      <w:r w:rsidRPr="00B92D96">
        <w:rPr>
          <w:color w:val="auto"/>
        </w:rPr>
        <w:t>, and area under the plasma concentration/time curve (AUC) of 5, respectively, Q3W, on the same day as pembrolizumab. Using the patient baseline characteristics of the study population (</w:t>
      </w:r>
      <w:r w:rsidRPr="00B92D96">
        <w:rPr>
          <w:i/>
          <w:color w:val="auto"/>
        </w:rPr>
        <w:t xml:space="preserve">e.g. </w:t>
      </w:r>
      <w:r w:rsidRPr="00B92D96">
        <w:rPr>
          <w:color w:val="auto"/>
        </w:rPr>
        <w:t>mean body surface area (BSA) of 1.73</w:t>
      </w:r>
      <w:r w:rsidR="00592360" w:rsidRPr="00B92D96">
        <w:rPr>
          <w:color w:val="auto"/>
        </w:rPr>
        <w:t> </w:t>
      </w:r>
      <w:r w:rsidRPr="00B92D96">
        <w:rPr>
          <w:color w:val="auto"/>
        </w:rPr>
        <w:t>m</w:t>
      </w:r>
      <w:r w:rsidRPr="00B92D96">
        <w:rPr>
          <w:color w:val="auto"/>
          <w:vertAlign w:val="superscript"/>
        </w:rPr>
        <w:t>2</w:t>
      </w:r>
      <w:r w:rsidRPr="00B92D96">
        <w:rPr>
          <w:color w:val="auto"/>
        </w:rPr>
        <w:t xml:space="preserve">), the estimated average doses were 865.0 mg for </w:t>
      </w:r>
      <w:proofErr w:type="spellStart"/>
      <w:r w:rsidRPr="00B92D96">
        <w:rPr>
          <w:color w:val="auto"/>
        </w:rPr>
        <w:t>pemetrexed</w:t>
      </w:r>
      <w:proofErr w:type="spellEnd"/>
      <w:r w:rsidRPr="00B92D96">
        <w:rPr>
          <w:color w:val="auto"/>
        </w:rPr>
        <w:t xml:space="preserve">, 129.8 mg for cisplatin and 477.1 mg for carboplatin. The relative use of carboplatin and cisplatin (66.5% </w:t>
      </w:r>
      <w:r w:rsidRPr="00B92D96">
        <w:rPr>
          <w:i/>
          <w:color w:val="auto"/>
        </w:rPr>
        <w:t xml:space="preserve">vs. </w:t>
      </w:r>
      <w:r w:rsidRPr="00B92D96">
        <w:rPr>
          <w:color w:val="auto"/>
        </w:rPr>
        <w:t xml:space="preserve">33.5%) for treatment of NSCLC was estimated based on the PBS utilisation data </w:t>
      </w:r>
      <w:r w:rsidR="00523B95" w:rsidRPr="00B92D96">
        <w:rPr>
          <w:color w:val="auto"/>
        </w:rPr>
        <w:t xml:space="preserve">of these two agents (for all cancer indications) </w:t>
      </w:r>
      <w:r w:rsidRPr="00B92D96">
        <w:rPr>
          <w:color w:val="auto"/>
        </w:rPr>
        <w:t>in the 2020 calendar year.</w:t>
      </w:r>
    </w:p>
    <w:p w:rsidR="0059661C" w:rsidRPr="00B92D96" w:rsidRDefault="0059661C" w:rsidP="0059661C">
      <w:pPr>
        <w:pStyle w:val="ListParagraph"/>
        <w:numPr>
          <w:ilvl w:val="4"/>
          <w:numId w:val="1"/>
        </w:numPr>
      </w:pPr>
      <w:bookmarkStart w:id="37" w:name="_Ref84599671"/>
      <w:r w:rsidRPr="00B92D96">
        <w:t xml:space="preserve">The submission extrapolated trial-based time to treatment discontinuation (TTD) and PFS data to determine the mean treatment duration of tepotinib. Six parametric distributions, exponential, Weibull, </w:t>
      </w:r>
      <w:proofErr w:type="spellStart"/>
      <w:r w:rsidRPr="00B92D96">
        <w:t>Gompertz</w:t>
      </w:r>
      <w:proofErr w:type="spellEnd"/>
      <w:r w:rsidRPr="00B92D96">
        <w:t>, log-normal, log-logistic and generalised gamma, were fitted to the TTD and PFS curves in the first-line population (data cut-off: July 2020; patients treated with tepotinib before 2</w:t>
      </w:r>
      <w:r w:rsidRPr="00B92D96">
        <w:rPr>
          <w:vertAlign w:val="superscript"/>
        </w:rPr>
        <w:t>nd</w:t>
      </w:r>
      <w:r w:rsidRPr="00B92D96">
        <w:t xml:space="preserve"> October 2019) in </w:t>
      </w:r>
      <w:r w:rsidR="002363FC">
        <w:t xml:space="preserve">the </w:t>
      </w:r>
      <w:r w:rsidRPr="00B92D96">
        <w:t>VISION</w:t>
      </w:r>
      <w:r w:rsidR="002363FC">
        <w:t xml:space="preserve"> study</w:t>
      </w:r>
      <w:r w:rsidRPr="00B92D96">
        <w:t xml:space="preserve">. </w:t>
      </w:r>
      <w:r w:rsidRPr="00B92D96">
        <w:rPr>
          <w:color w:val="auto"/>
        </w:rPr>
        <w:t xml:space="preserve">The submission stated that an exponential parametric distribution was chosen for tepotinib TTD and PFS, since it had the best visual fit to the trial data and reflected the clinical association between TTD and PFS, </w:t>
      </w:r>
      <w:r w:rsidRPr="001E3E78">
        <w:rPr>
          <w:color w:val="auto"/>
        </w:rPr>
        <w:t>e.g.</w:t>
      </w:r>
      <w:r w:rsidRPr="00B92D96">
        <w:rPr>
          <w:color w:val="auto"/>
        </w:rPr>
        <w:t xml:space="preserve"> TTD curve lies below the PFS curve all the time, with no crossover. </w:t>
      </w:r>
      <w:r w:rsidRPr="007E4DDD">
        <w:rPr>
          <w:color w:val="auto"/>
        </w:rPr>
        <w:t>The submission’s justification for the chosen exponential distribution was not convincing:</w:t>
      </w:r>
      <w:bookmarkEnd w:id="37"/>
    </w:p>
    <w:p w:rsidR="0059661C" w:rsidRPr="007E4DDD" w:rsidRDefault="0059661C" w:rsidP="00F800E1">
      <w:pPr>
        <w:pStyle w:val="ListParagraph"/>
        <w:numPr>
          <w:ilvl w:val="4"/>
          <w:numId w:val="18"/>
        </w:numPr>
        <w:ind w:left="1077" w:hanging="357"/>
      </w:pPr>
      <w:r w:rsidRPr="007E4DDD">
        <w:t xml:space="preserve">By visual inspection, the log-normal and log-logistic distributions fitted the trial TTD </w:t>
      </w:r>
      <w:r w:rsidR="00523B95" w:rsidRPr="007E4DDD">
        <w:t xml:space="preserve">data </w:t>
      </w:r>
      <w:r w:rsidRPr="007E4DDD">
        <w:t>better than the exponential model;</w:t>
      </w:r>
    </w:p>
    <w:p w:rsidR="0059661C" w:rsidRPr="00B96DB1" w:rsidRDefault="0059661C" w:rsidP="00F800E1">
      <w:pPr>
        <w:pStyle w:val="ListParagraph"/>
        <w:numPr>
          <w:ilvl w:val="4"/>
          <w:numId w:val="18"/>
        </w:numPr>
        <w:ind w:left="1077" w:hanging="357"/>
        <w:rPr>
          <w:iCs/>
        </w:rPr>
      </w:pPr>
      <w:r w:rsidRPr="007E4DDD">
        <w:t xml:space="preserve">The </w:t>
      </w:r>
      <w:r w:rsidR="003548C1">
        <w:t>draft</w:t>
      </w:r>
      <w:r w:rsidR="003548C1" w:rsidRPr="007E4DDD">
        <w:t xml:space="preserve"> </w:t>
      </w:r>
      <w:r w:rsidRPr="007E4DDD">
        <w:t xml:space="preserve">tepotinib PI recommends that tepotinib therapy should continue as long as clinical benefit is observed, without stipulating treatment discontinuation upon </w:t>
      </w:r>
      <w:r w:rsidR="00523B95" w:rsidRPr="007E4DDD">
        <w:t>disease progression per Response Evaluation Criteria in Solid Tumours (</w:t>
      </w:r>
      <w:r w:rsidRPr="007E4DDD">
        <w:t>RECIST</w:t>
      </w:r>
      <w:r w:rsidR="00523B95" w:rsidRPr="007E4DDD">
        <w:t>)</w:t>
      </w:r>
      <w:r w:rsidRPr="007E4DDD">
        <w:t>. In the VISION study, the trial-based TTD was above the PFS Kaplan-Meier curve in earlier time points, suggesting that some study subjects continued treatment beyond RECIST progression (</w:t>
      </w:r>
      <w:r w:rsidR="00C56714">
        <w:t>Figure 9</w:t>
      </w:r>
      <w:r w:rsidRPr="007E4DDD">
        <w:t>). Blumenthal et al (2019</w:t>
      </w:r>
      <w:r w:rsidRPr="007E4DDD">
        <w:rPr>
          <w:rStyle w:val="FootnoteReference"/>
        </w:rPr>
        <w:footnoteReference w:id="15"/>
      </w:r>
      <w:r w:rsidRPr="007E4DDD">
        <w:t>) studied a total 18 randomised trials of patients with metastatic NSCLC and found median TTD (13.4 and 14.1 months) exceeding median PFS (11.4 and 11.3 months) in NSCLC oncogene-targeted subgroups (</w:t>
      </w:r>
      <w:r w:rsidRPr="008D313B">
        <w:rPr>
          <w:i/>
          <w:iCs/>
        </w:rPr>
        <w:t>EGFR</w:t>
      </w:r>
      <w:r w:rsidRPr="007E4DDD">
        <w:t xml:space="preserve">+ and </w:t>
      </w:r>
      <w:r w:rsidRPr="008D313B">
        <w:rPr>
          <w:i/>
          <w:iCs/>
        </w:rPr>
        <w:t>ALK</w:t>
      </w:r>
      <w:r w:rsidRPr="007E4DDD">
        <w:t>+, respectively). The authors indicated that some NSCLC patients were able to safely continue treatment well beyond RECIST progression might have been reflective of the underlying biology of oncogene-addicted lung cancer, where continued suppression of the driver mutation may</w:t>
      </w:r>
      <w:r w:rsidRPr="00B92D96">
        <w:rPr>
          <w:i/>
        </w:rPr>
        <w:t xml:space="preserve"> </w:t>
      </w:r>
      <w:r w:rsidRPr="007E4DDD">
        <w:t>be needed despite the emergence of alternate resistance mechanism. Therefore, a crossover of modelled TTD and modelled PFS curves reflected what occurred in the VISION study and, possibly, in clinical practice as well. The exclusion of parametric models solely on this basis was not fully justified in the submission.</w:t>
      </w:r>
    </w:p>
    <w:p w:rsidR="0059661C" w:rsidRPr="00B92D96" w:rsidRDefault="00461942" w:rsidP="005D7976">
      <w:pPr>
        <w:pStyle w:val="Caption"/>
      </w:pPr>
      <w:bookmarkStart w:id="38" w:name="_Ref78295056"/>
      <w:r>
        <w:t xml:space="preserve">Figure </w:t>
      </w:r>
      <w:r w:rsidR="00200461">
        <w:rPr>
          <w:noProof/>
        </w:rPr>
        <w:t>9</w:t>
      </w:r>
      <w:bookmarkEnd w:id="38"/>
      <w:r w:rsidR="00F800E1">
        <w:rPr>
          <w:noProof/>
        </w:rPr>
        <w:t xml:space="preserve">: </w:t>
      </w:r>
      <w:r w:rsidR="0059661C" w:rsidRPr="00B92D96">
        <w:t>PFS and TTD Kaplan Meier curves from VISION (first-line) and fitted exponential parametric models</w:t>
      </w:r>
    </w:p>
    <w:p w:rsidR="0059661C" w:rsidRPr="00B92D96" w:rsidRDefault="0059661C" w:rsidP="0059661C">
      <w:r w:rsidRPr="00B92D96">
        <w:rPr>
          <w:noProof/>
          <w:lang w:eastAsia="en-AU"/>
        </w:rPr>
        <w:drawing>
          <wp:inline distT="0" distB="0" distL="0" distR="0" wp14:anchorId="6A18EE61" wp14:editId="17220855">
            <wp:extent cx="5675630" cy="3438525"/>
            <wp:effectExtent l="0" t="0" r="1270" b="9525"/>
            <wp:docPr id="37" name="Picture 37" title="Figure 9: PFS and TTD Kaplan Meier curves from VISION (first-line) and fitted exponential parametric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5630" cy="3438525"/>
                    </a:xfrm>
                    <a:prstGeom prst="rect">
                      <a:avLst/>
                    </a:prstGeom>
                    <a:noFill/>
                  </pic:spPr>
                </pic:pic>
              </a:graphicData>
            </a:graphic>
          </wp:inline>
        </w:drawing>
      </w:r>
    </w:p>
    <w:p w:rsidR="0059661C" w:rsidRPr="00B92D96" w:rsidRDefault="0059661C" w:rsidP="0059661C">
      <w:pPr>
        <w:pStyle w:val="TableFooter"/>
      </w:pPr>
      <w:r w:rsidRPr="00B92D96">
        <w:t>PFS = progression-free survival; TTD = time to treatment discontinuation</w:t>
      </w:r>
    </w:p>
    <w:p w:rsidR="0059661C" w:rsidRPr="00B92D96" w:rsidRDefault="0059661C" w:rsidP="0059661C">
      <w:pPr>
        <w:pStyle w:val="TableFooter"/>
      </w:pPr>
      <w:r w:rsidRPr="00B92D96">
        <w:rPr>
          <w:rFonts w:eastAsiaTheme="minorEastAsia"/>
        </w:rPr>
        <w:t>Source: Figure 3-2, p133 of the submission</w:t>
      </w:r>
    </w:p>
    <w:p w:rsidR="0059661C" w:rsidRPr="00B92D96" w:rsidRDefault="0059661C" w:rsidP="0059661C">
      <w:pPr>
        <w:pStyle w:val="ListParagraph"/>
        <w:numPr>
          <w:ilvl w:val="4"/>
          <w:numId w:val="1"/>
        </w:numPr>
      </w:pPr>
      <w:bookmarkStart w:id="39" w:name="_Ref84599739"/>
      <w:r w:rsidRPr="00B92D96">
        <w:t>The proportion of patients remaining on tepotinib therapy each month was determined from the exponential distribution for TTD from Month 0 to Month 60, resulting in a</w:t>
      </w:r>
      <w:r w:rsidR="00004D00" w:rsidRPr="00B92D96">
        <w:t xml:space="preserve"> mea</w:t>
      </w:r>
      <w:r w:rsidRPr="00B92D96">
        <w:t xml:space="preserve">n treatment duration of 13.35 months. </w:t>
      </w:r>
      <w:r w:rsidRPr="007E4DDD">
        <w:t xml:space="preserve">It is unknown why the submission chose to use the parametric distribution for TTD for the entire time horizon, not the trial-based data up to the time point when the trial estimates became unstable and extrapolating the TTD curve using a parametric function thereafter. </w:t>
      </w:r>
      <w:r w:rsidR="007D65CE" w:rsidRPr="00B31B3C">
        <w:t xml:space="preserve">The PSCR provided a revised CMA with the extrapolation for TTD from the time at which 20% of patients remained at risk. </w:t>
      </w:r>
      <w:r w:rsidRPr="007E4DDD">
        <w:t xml:space="preserve">From the visual inspection, the log-normal provided the best fit to the trial-based TTD data; and it also had the lowest </w:t>
      </w:r>
      <w:proofErr w:type="spellStart"/>
      <w:r w:rsidRPr="007E4DDD">
        <w:t>Akaike</w:t>
      </w:r>
      <w:proofErr w:type="spellEnd"/>
      <w:r w:rsidRPr="007E4DDD">
        <w:t xml:space="preserve"> information criteria and Bayesian information criteria statistics for VISION TTD among all parametric functions. </w:t>
      </w:r>
      <w:bookmarkEnd w:id="39"/>
    </w:p>
    <w:p w:rsidR="0059661C" w:rsidRPr="00B92D96" w:rsidRDefault="0059661C" w:rsidP="001572D7">
      <w:pPr>
        <w:pStyle w:val="ListParagraph"/>
      </w:pPr>
      <w:r w:rsidRPr="00B92D96">
        <w:t xml:space="preserve">The TTD curve of pembrolizumab + chemotherapy in KN189 was not reported. In the base case analysis, the TTD curve of pembrolizumab combination therapy was assumed to be identical to that of tepotinib until 24 months; thereafter, the proportion of patients receiving pembrolizumab therapy dropped to 0%, corresponding to the maximum treatment duration of pembrolizumab (35 x 3-week cycles). The maximum treatment duration for </w:t>
      </w:r>
      <w:proofErr w:type="spellStart"/>
      <w:r w:rsidRPr="00B92D96">
        <w:t>pemetrexed</w:t>
      </w:r>
      <w:proofErr w:type="spellEnd"/>
      <w:r w:rsidRPr="00B92D96">
        <w:t xml:space="preserve"> and platinum was set to be 35 cycles and 4 cycles, respectively. The resulting mean treatment durations were 11.38 months (equivalent to 16.5 cycles) for pembrolizumab and </w:t>
      </w:r>
      <w:proofErr w:type="spellStart"/>
      <w:r w:rsidRPr="00B92D96">
        <w:t>pemetrexed</w:t>
      </w:r>
      <w:proofErr w:type="spellEnd"/>
      <w:r w:rsidRPr="00B92D96">
        <w:t xml:space="preserve">, and 2.58 months for carboplatin/cisplatin. </w:t>
      </w:r>
      <w:r w:rsidR="008F5A36" w:rsidRPr="007E4DDD">
        <w:t>T</w:t>
      </w:r>
      <w:r w:rsidRPr="007E4DDD">
        <w:t xml:space="preserve">he assumption of a similar TTD for tepotinib and pembrolizumab + platinum doublet therapy before the maximum treatment duration for pembrolizumab is reached would be appropriate, </w:t>
      </w:r>
      <w:r w:rsidRPr="001614A0">
        <w:t>only if</w:t>
      </w:r>
      <w:r w:rsidRPr="007E4DDD">
        <w:t xml:space="preserve"> the claimed non-inferiority, in terms of both PFS and safety, is accepted.</w:t>
      </w:r>
    </w:p>
    <w:p w:rsidR="0059661C" w:rsidRPr="00C63DBB" w:rsidRDefault="0059661C" w:rsidP="00FD3E7D">
      <w:pPr>
        <w:pStyle w:val="ListParagraph"/>
        <w:rPr>
          <w:iCs/>
        </w:rPr>
      </w:pPr>
      <w:r w:rsidRPr="007E4DDD">
        <w:t>Although dose reduction is not recommended for pembrolizumab therapy, temporary interruption of therapy is allowed to manage immune-mediated adverse reactions, per pembrolizumab PI, and was not uncommon in pembrolizumab trials. Pembrolizumab dose interruptions were not considered in the CMA.</w:t>
      </w:r>
      <w:r w:rsidR="00437A81">
        <w:t xml:space="preserve"> </w:t>
      </w:r>
      <w:r w:rsidR="001614A0">
        <w:t>T</w:t>
      </w:r>
      <w:r w:rsidRPr="007E4DDD">
        <w:t>he RDI of tepotinib, calculated by the actual dose received divided by the standard calculated dose during a set period, has taken into account dose interruptions. This resulted in a cost-minimising price in favour of tepotinib. A sensitivity analysis was performed during the evaluation by reducing the treatment duration of pembrolizumab by 0.5 cycle from the base case (16 cycles vs. 16.5 cycles).</w:t>
      </w:r>
      <w:r w:rsidR="00DC22A0">
        <w:t xml:space="preserve"> </w:t>
      </w:r>
      <w:r w:rsidR="00DC22A0" w:rsidRPr="002363FC">
        <w:t xml:space="preserve">The ESC considered it was reasonable to include dose </w:t>
      </w:r>
      <w:r w:rsidR="00437A81" w:rsidRPr="002363FC">
        <w:t>interruptions</w:t>
      </w:r>
      <w:r w:rsidR="00DC22A0" w:rsidRPr="002363FC">
        <w:t xml:space="preserve"> for pembrolizumab in the CMA; however, considered a reduction of 0.5 cycles may be an underestimate.</w:t>
      </w:r>
      <w:r w:rsidR="00DC22A0" w:rsidRPr="00C63DBB">
        <w:t xml:space="preserve">  </w:t>
      </w:r>
    </w:p>
    <w:p w:rsidR="004675C0" w:rsidRPr="004675C0" w:rsidRDefault="0059661C" w:rsidP="00834758">
      <w:pPr>
        <w:pStyle w:val="ListParagraph"/>
        <w:rPr>
          <w:iCs/>
        </w:rPr>
      </w:pPr>
      <w:r w:rsidRPr="00B92D96">
        <w:t xml:space="preserve">The submission estimated the number of patients needed to be tested per positive case, by estimating the </w:t>
      </w:r>
      <w:r w:rsidRPr="00B92D96">
        <w:rPr>
          <w:i/>
        </w:rPr>
        <w:t>MET</w:t>
      </w:r>
      <w:r w:rsidRPr="00B92D96">
        <w:t xml:space="preserve">ex14sk prevalence in squamous NSCLC </w:t>
      </w:r>
      <w:r w:rsidR="002B5338">
        <w:t xml:space="preserve">(1.6%) </w:t>
      </w:r>
      <w:r w:rsidRPr="00B92D96">
        <w:t xml:space="preserve">and </w:t>
      </w:r>
      <w:r w:rsidRPr="00B92D96">
        <w:rPr>
          <w:i/>
        </w:rPr>
        <w:t>MET</w:t>
      </w:r>
      <w:r w:rsidRPr="00B92D96">
        <w:t xml:space="preserve">ex14sk prevalence in </w:t>
      </w:r>
      <w:r w:rsidRPr="004A4F2A">
        <w:rPr>
          <w:i/>
        </w:rPr>
        <w:t>EGFR</w:t>
      </w:r>
      <w:r w:rsidRPr="00B92D96">
        <w:t xml:space="preserve"> wild-type non-squamous NSCLC</w:t>
      </w:r>
      <w:r w:rsidR="002B5338">
        <w:t xml:space="preserve"> (</w:t>
      </w:r>
      <w:r w:rsidR="001A452B">
        <w:t>4.6%</w:t>
      </w:r>
      <w:r w:rsidR="002B5338">
        <w:t>)</w:t>
      </w:r>
      <w:r w:rsidRPr="00B92D96">
        <w:t xml:space="preserve">. The weighted average number of NSCLC patients needed to be tested to identify one patient with </w:t>
      </w:r>
      <w:r w:rsidRPr="00B92D96">
        <w:rPr>
          <w:i/>
        </w:rPr>
        <w:t>MET</w:t>
      </w:r>
      <w:r w:rsidRPr="00B92D96">
        <w:t>ex14sk was estimated to be 32.</w:t>
      </w:r>
      <w:r w:rsidR="001A452B">
        <w:t>2</w:t>
      </w:r>
      <w:r w:rsidRPr="00B92D96">
        <w:t xml:space="preserve"> patients.</w:t>
      </w:r>
      <w:r w:rsidR="004675C0">
        <w:t xml:space="preserve"> The calculations </w:t>
      </w:r>
      <w:r w:rsidR="0086125C">
        <w:t xml:space="preserve">of METex14sk </w:t>
      </w:r>
      <w:r w:rsidR="002B73A4">
        <w:t>prevalence</w:t>
      </w:r>
      <w:r w:rsidR="0086125C">
        <w:t xml:space="preserve"> provided in the submission and in the PSCR </w:t>
      </w:r>
      <w:r w:rsidR="004675C0">
        <w:t xml:space="preserve">are summarised in </w:t>
      </w:r>
      <w:r w:rsidR="0086125C" w:rsidRPr="0086125C">
        <w:t>Table 11</w:t>
      </w:r>
      <w:r w:rsidR="007F7201">
        <w:t xml:space="preserve">. </w:t>
      </w:r>
      <w:r w:rsidR="00394285">
        <w:t>The PBAC noted the number needed to be tested for squamous NSCLC is 62.5 (assuming a prevalence of 1.6%) and for non-squamous NSCLC is 2</w:t>
      </w:r>
      <w:r w:rsidR="001A452B">
        <w:t>0</w:t>
      </w:r>
      <w:r w:rsidR="00394285">
        <w:t xml:space="preserve">.5 (assuming a prevalence of 4.6% as proposed in the PSCR).  </w:t>
      </w:r>
    </w:p>
    <w:p w:rsidR="004675C0" w:rsidRPr="004675C0" w:rsidRDefault="0059661C" w:rsidP="00F800E1">
      <w:pPr>
        <w:spacing w:after="0"/>
        <w:rPr>
          <w:rFonts w:ascii="Arial Narrow" w:hAnsi="Arial Narrow"/>
          <w:b/>
          <w:iCs/>
          <w:sz w:val="20"/>
          <w:szCs w:val="18"/>
        </w:rPr>
      </w:pPr>
      <w:r w:rsidRPr="004675C0">
        <w:rPr>
          <w:rFonts w:ascii="Arial Narrow" w:hAnsi="Arial Narrow"/>
          <w:b/>
          <w:iCs/>
          <w:sz w:val="20"/>
          <w:szCs w:val="18"/>
        </w:rPr>
        <w:t xml:space="preserve"> </w:t>
      </w:r>
      <w:bookmarkStart w:id="40" w:name="_Ref89181076"/>
      <w:r w:rsidR="00C56714" w:rsidRPr="00C56714">
        <w:rPr>
          <w:rFonts w:ascii="Arial Narrow" w:hAnsi="Arial Narrow"/>
          <w:b/>
          <w:iCs/>
          <w:sz w:val="20"/>
          <w:szCs w:val="18"/>
        </w:rPr>
        <w:t xml:space="preserve">Table </w:t>
      </w:r>
      <w:r w:rsidR="00200461">
        <w:rPr>
          <w:rFonts w:ascii="Arial Narrow" w:hAnsi="Arial Narrow"/>
          <w:b/>
          <w:iCs/>
          <w:noProof/>
          <w:sz w:val="20"/>
          <w:szCs w:val="18"/>
        </w:rPr>
        <w:t>11</w:t>
      </w:r>
      <w:bookmarkEnd w:id="40"/>
      <w:r w:rsidR="00F800E1">
        <w:rPr>
          <w:rFonts w:ascii="Arial Narrow" w:hAnsi="Arial Narrow"/>
          <w:b/>
          <w:iCs/>
          <w:sz w:val="20"/>
          <w:szCs w:val="18"/>
        </w:rPr>
        <w:t>:</w:t>
      </w:r>
      <w:r w:rsidR="00C56714">
        <w:rPr>
          <w:rFonts w:ascii="Arial Narrow" w:hAnsi="Arial Narrow"/>
          <w:b/>
          <w:iCs/>
          <w:sz w:val="20"/>
          <w:szCs w:val="18"/>
        </w:rPr>
        <w:t xml:space="preserve"> </w:t>
      </w:r>
      <w:r w:rsidR="0086125C">
        <w:rPr>
          <w:rFonts w:ascii="Arial Narrow" w:hAnsi="Arial Narrow"/>
          <w:b/>
          <w:iCs/>
          <w:sz w:val="20"/>
          <w:szCs w:val="18"/>
        </w:rPr>
        <w:t>Prevalence of METex14sk alteration in NSCLC</w:t>
      </w:r>
    </w:p>
    <w:tbl>
      <w:tblPr>
        <w:tblStyle w:val="ASDTable13"/>
        <w:tblW w:w="5000" w:type="pct"/>
        <w:tblLook w:val="04A0" w:firstRow="1" w:lastRow="0" w:firstColumn="1" w:lastColumn="0" w:noHBand="0" w:noVBand="1"/>
        <w:tblCaption w:val="Table 11: Prevalence of METex14sk alteration in NSCLC"/>
      </w:tblPr>
      <w:tblGrid>
        <w:gridCol w:w="3966"/>
        <w:gridCol w:w="1263"/>
        <w:gridCol w:w="1263"/>
        <w:gridCol w:w="1262"/>
        <w:gridCol w:w="1262"/>
      </w:tblGrid>
      <w:tr w:rsidR="00DD39B6" w:rsidTr="00FD0BD5">
        <w:trPr>
          <w:tblHeader/>
        </w:trPr>
        <w:tc>
          <w:tcPr>
            <w:tcW w:w="2198" w:type="pct"/>
          </w:tcPr>
          <w:p w:rsidR="00DD39B6" w:rsidRPr="004675C0" w:rsidRDefault="00DD39B6" w:rsidP="004675C0">
            <w:pPr>
              <w:spacing w:before="0"/>
              <w:rPr>
                <w:sz w:val="20"/>
              </w:rPr>
            </w:pPr>
          </w:p>
        </w:tc>
        <w:tc>
          <w:tcPr>
            <w:tcW w:w="700" w:type="pct"/>
          </w:tcPr>
          <w:p w:rsidR="00DD39B6" w:rsidRPr="00200461" w:rsidRDefault="00DD39B6" w:rsidP="004675C0">
            <w:pPr>
              <w:spacing w:before="0"/>
              <w:rPr>
                <w:b/>
                <w:sz w:val="20"/>
              </w:rPr>
            </w:pPr>
            <w:r w:rsidRPr="00200461">
              <w:rPr>
                <w:b/>
                <w:sz w:val="20"/>
              </w:rPr>
              <w:t>All NSCLC</w:t>
            </w:r>
          </w:p>
        </w:tc>
        <w:tc>
          <w:tcPr>
            <w:tcW w:w="700" w:type="pct"/>
          </w:tcPr>
          <w:p w:rsidR="00DD39B6" w:rsidRPr="00200461" w:rsidRDefault="00394285" w:rsidP="004675C0">
            <w:pPr>
              <w:spacing w:before="0"/>
              <w:rPr>
                <w:b/>
                <w:sz w:val="20"/>
              </w:rPr>
            </w:pPr>
            <w:r w:rsidRPr="00200461">
              <w:rPr>
                <w:b/>
                <w:sz w:val="20"/>
              </w:rPr>
              <w:t xml:space="preserve">SQ </w:t>
            </w:r>
            <w:r w:rsidR="00DD39B6" w:rsidRPr="00200461">
              <w:rPr>
                <w:b/>
                <w:sz w:val="20"/>
              </w:rPr>
              <w:t>NSCLC (25.8%)</w:t>
            </w:r>
          </w:p>
        </w:tc>
        <w:tc>
          <w:tcPr>
            <w:tcW w:w="700" w:type="pct"/>
          </w:tcPr>
          <w:p w:rsidR="00DD39B6" w:rsidRPr="00200461" w:rsidRDefault="00394285" w:rsidP="004675C0">
            <w:pPr>
              <w:spacing w:before="0"/>
              <w:rPr>
                <w:b/>
                <w:sz w:val="20"/>
              </w:rPr>
            </w:pPr>
            <w:r w:rsidRPr="00200461">
              <w:rPr>
                <w:b/>
                <w:sz w:val="20"/>
              </w:rPr>
              <w:t>NSQ</w:t>
            </w:r>
            <w:r w:rsidR="00DD39B6" w:rsidRPr="00200461">
              <w:rPr>
                <w:b/>
                <w:sz w:val="20"/>
              </w:rPr>
              <w:t xml:space="preserve"> NSCLC (74.2%)</w:t>
            </w:r>
          </w:p>
        </w:tc>
        <w:tc>
          <w:tcPr>
            <w:tcW w:w="700" w:type="pct"/>
          </w:tcPr>
          <w:p w:rsidR="00DD39B6" w:rsidRPr="00200461" w:rsidRDefault="00DD39B6" w:rsidP="004675C0">
            <w:pPr>
              <w:spacing w:before="0"/>
              <w:rPr>
                <w:b/>
                <w:sz w:val="20"/>
              </w:rPr>
            </w:pPr>
            <w:r w:rsidRPr="00200461">
              <w:rPr>
                <w:b/>
                <w:sz w:val="20"/>
              </w:rPr>
              <w:t>NNT</w:t>
            </w:r>
          </w:p>
        </w:tc>
      </w:tr>
      <w:tr w:rsidR="00DD39B6" w:rsidTr="00200461">
        <w:tc>
          <w:tcPr>
            <w:tcW w:w="2198" w:type="pct"/>
          </w:tcPr>
          <w:p w:rsidR="00DD39B6" w:rsidRPr="004675C0" w:rsidRDefault="00DD39B6" w:rsidP="004675C0">
            <w:pPr>
              <w:spacing w:before="0"/>
              <w:rPr>
                <w:sz w:val="20"/>
              </w:rPr>
            </w:pPr>
            <w:r>
              <w:rPr>
                <w:sz w:val="20"/>
              </w:rPr>
              <w:t>All patients</w:t>
            </w:r>
          </w:p>
        </w:tc>
        <w:tc>
          <w:tcPr>
            <w:tcW w:w="700" w:type="pct"/>
          </w:tcPr>
          <w:p w:rsidR="00DD39B6" w:rsidRPr="004675C0" w:rsidRDefault="00DD39B6" w:rsidP="004675C0">
            <w:pPr>
              <w:spacing w:before="0"/>
              <w:rPr>
                <w:sz w:val="20"/>
              </w:rPr>
            </w:pPr>
            <w:r>
              <w:rPr>
                <w:sz w:val="20"/>
              </w:rPr>
              <w:t>3.1%</w:t>
            </w:r>
          </w:p>
        </w:tc>
        <w:tc>
          <w:tcPr>
            <w:tcW w:w="700" w:type="pct"/>
          </w:tcPr>
          <w:p w:rsidR="00DD39B6" w:rsidRPr="004675C0" w:rsidRDefault="00DD39B6" w:rsidP="004675C0">
            <w:pPr>
              <w:spacing w:before="0"/>
              <w:rPr>
                <w:sz w:val="20"/>
              </w:rPr>
            </w:pPr>
            <w:r>
              <w:rPr>
                <w:sz w:val="20"/>
              </w:rPr>
              <w:t>1.6%</w:t>
            </w:r>
          </w:p>
        </w:tc>
        <w:tc>
          <w:tcPr>
            <w:tcW w:w="700" w:type="pct"/>
          </w:tcPr>
          <w:p w:rsidR="00DD39B6" w:rsidRPr="004675C0" w:rsidRDefault="00DD39B6" w:rsidP="004675C0">
            <w:pPr>
              <w:spacing w:before="0"/>
              <w:rPr>
                <w:sz w:val="20"/>
              </w:rPr>
            </w:pPr>
            <w:r>
              <w:rPr>
                <w:sz w:val="20"/>
              </w:rPr>
              <w:t>3.6%</w:t>
            </w:r>
          </w:p>
        </w:tc>
        <w:tc>
          <w:tcPr>
            <w:tcW w:w="700" w:type="pct"/>
          </w:tcPr>
          <w:p w:rsidR="00DD39B6" w:rsidRDefault="001A452B" w:rsidP="004675C0">
            <w:pPr>
              <w:spacing w:before="0"/>
              <w:rPr>
                <w:sz w:val="20"/>
              </w:rPr>
            </w:pPr>
            <w:r>
              <w:rPr>
                <w:sz w:val="20"/>
              </w:rPr>
              <w:t>32.3</w:t>
            </w:r>
          </w:p>
        </w:tc>
      </w:tr>
      <w:tr w:rsidR="00DD39B6" w:rsidTr="00200461">
        <w:tc>
          <w:tcPr>
            <w:tcW w:w="2198" w:type="pct"/>
          </w:tcPr>
          <w:p w:rsidR="00DD39B6" w:rsidRPr="004675C0" w:rsidRDefault="00DD39B6" w:rsidP="004675C0">
            <w:pPr>
              <w:spacing w:before="0"/>
              <w:rPr>
                <w:sz w:val="20"/>
              </w:rPr>
            </w:pPr>
            <w:r>
              <w:rPr>
                <w:sz w:val="20"/>
              </w:rPr>
              <w:t xml:space="preserve">Removing </w:t>
            </w:r>
            <w:r w:rsidR="0086125C">
              <w:rPr>
                <w:sz w:val="20"/>
              </w:rPr>
              <w:t xml:space="preserve">patients with </w:t>
            </w:r>
            <w:r w:rsidRPr="008D313B">
              <w:rPr>
                <w:i/>
                <w:iCs/>
                <w:sz w:val="20"/>
              </w:rPr>
              <w:t>EGFR</w:t>
            </w:r>
            <w:r>
              <w:rPr>
                <w:sz w:val="20"/>
              </w:rPr>
              <w:t xml:space="preserve"> </w:t>
            </w:r>
            <w:r w:rsidR="0086125C">
              <w:rPr>
                <w:sz w:val="20"/>
              </w:rPr>
              <w:t>pathog</w:t>
            </w:r>
            <w:r w:rsidR="008D313B">
              <w:rPr>
                <w:sz w:val="20"/>
              </w:rPr>
              <w:t>en</w:t>
            </w:r>
            <w:r w:rsidR="0086125C">
              <w:rPr>
                <w:sz w:val="20"/>
              </w:rPr>
              <w:t>ic variants</w:t>
            </w:r>
            <w:r w:rsidR="00394285" w:rsidRPr="00DD39B6">
              <w:rPr>
                <w:sz w:val="20"/>
                <w:vertAlign w:val="superscript"/>
              </w:rPr>
              <w:t>1</w:t>
            </w:r>
          </w:p>
        </w:tc>
        <w:tc>
          <w:tcPr>
            <w:tcW w:w="700" w:type="pct"/>
          </w:tcPr>
          <w:p w:rsidR="00DD39B6" w:rsidRPr="004675C0" w:rsidRDefault="00DD39B6" w:rsidP="004675C0">
            <w:pPr>
              <w:spacing w:before="0"/>
              <w:rPr>
                <w:sz w:val="20"/>
              </w:rPr>
            </w:pPr>
            <w:r>
              <w:rPr>
                <w:sz w:val="20"/>
              </w:rPr>
              <w:t>-</w:t>
            </w:r>
          </w:p>
        </w:tc>
        <w:tc>
          <w:tcPr>
            <w:tcW w:w="700" w:type="pct"/>
          </w:tcPr>
          <w:p w:rsidR="00DD39B6" w:rsidRPr="004675C0" w:rsidRDefault="00DD39B6" w:rsidP="004675C0">
            <w:pPr>
              <w:spacing w:before="0"/>
              <w:rPr>
                <w:sz w:val="20"/>
              </w:rPr>
            </w:pPr>
            <w:r>
              <w:rPr>
                <w:sz w:val="20"/>
              </w:rPr>
              <w:t>1.6%</w:t>
            </w:r>
          </w:p>
        </w:tc>
        <w:tc>
          <w:tcPr>
            <w:tcW w:w="700" w:type="pct"/>
          </w:tcPr>
          <w:p w:rsidR="00DD39B6" w:rsidRPr="004675C0" w:rsidRDefault="00DD39B6" w:rsidP="001A452B">
            <w:pPr>
              <w:spacing w:before="0"/>
              <w:rPr>
                <w:sz w:val="20"/>
              </w:rPr>
            </w:pPr>
            <w:r>
              <w:rPr>
                <w:sz w:val="20"/>
              </w:rPr>
              <w:t>4.</w:t>
            </w:r>
            <w:r w:rsidR="001A452B">
              <w:rPr>
                <w:sz w:val="20"/>
              </w:rPr>
              <w:t>6</w:t>
            </w:r>
            <w:r>
              <w:rPr>
                <w:sz w:val="20"/>
              </w:rPr>
              <w:t>%</w:t>
            </w:r>
          </w:p>
        </w:tc>
        <w:tc>
          <w:tcPr>
            <w:tcW w:w="700" w:type="pct"/>
          </w:tcPr>
          <w:p w:rsidR="00DD39B6" w:rsidRDefault="00DD39B6" w:rsidP="004675C0">
            <w:pPr>
              <w:spacing w:before="0"/>
              <w:rPr>
                <w:sz w:val="20"/>
              </w:rPr>
            </w:pPr>
            <w:r>
              <w:rPr>
                <w:sz w:val="20"/>
              </w:rPr>
              <w:t>3</w:t>
            </w:r>
            <w:r w:rsidR="001A452B">
              <w:rPr>
                <w:sz w:val="20"/>
              </w:rPr>
              <w:t>2.2</w:t>
            </w:r>
          </w:p>
        </w:tc>
      </w:tr>
      <w:tr w:rsidR="00DD39B6" w:rsidTr="00200461">
        <w:tc>
          <w:tcPr>
            <w:tcW w:w="2198" w:type="pct"/>
          </w:tcPr>
          <w:p w:rsidR="00DD39B6" w:rsidRDefault="00DD39B6" w:rsidP="0086125C">
            <w:pPr>
              <w:spacing w:before="0"/>
              <w:rPr>
                <w:sz w:val="20"/>
              </w:rPr>
            </w:pPr>
            <w:r>
              <w:rPr>
                <w:sz w:val="20"/>
              </w:rPr>
              <w:t xml:space="preserve">Removing </w:t>
            </w:r>
            <w:r w:rsidR="0086125C">
              <w:rPr>
                <w:sz w:val="20"/>
              </w:rPr>
              <w:t xml:space="preserve">patients with </w:t>
            </w:r>
            <w:r w:rsidRPr="008D313B">
              <w:rPr>
                <w:i/>
                <w:iCs/>
                <w:sz w:val="20"/>
              </w:rPr>
              <w:t>ALK</w:t>
            </w:r>
            <w:r w:rsidR="008D313B">
              <w:rPr>
                <w:sz w:val="20"/>
              </w:rPr>
              <w:t xml:space="preserve"> or</w:t>
            </w:r>
            <w:r w:rsidR="0086125C">
              <w:rPr>
                <w:sz w:val="20"/>
              </w:rPr>
              <w:t xml:space="preserve"> </w:t>
            </w:r>
            <w:r w:rsidRPr="008D313B">
              <w:rPr>
                <w:i/>
                <w:iCs/>
                <w:sz w:val="20"/>
              </w:rPr>
              <w:t>ROS</w:t>
            </w:r>
            <w:r w:rsidR="0086125C" w:rsidRPr="008D313B">
              <w:rPr>
                <w:i/>
                <w:iCs/>
                <w:sz w:val="20"/>
              </w:rPr>
              <w:t>1</w:t>
            </w:r>
            <w:r w:rsidR="0086125C">
              <w:rPr>
                <w:sz w:val="20"/>
              </w:rPr>
              <w:t xml:space="preserve"> gene rearrangements </w:t>
            </w:r>
            <w:r>
              <w:rPr>
                <w:sz w:val="20"/>
              </w:rPr>
              <w:t xml:space="preserve"> in PSCR</w:t>
            </w:r>
            <w:r w:rsidR="00394285" w:rsidRPr="00DD39B6">
              <w:rPr>
                <w:sz w:val="20"/>
                <w:vertAlign w:val="superscript"/>
              </w:rPr>
              <w:t>2</w:t>
            </w:r>
          </w:p>
        </w:tc>
        <w:tc>
          <w:tcPr>
            <w:tcW w:w="700" w:type="pct"/>
          </w:tcPr>
          <w:p w:rsidR="00DD39B6" w:rsidRDefault="00DD39B6" w:rsidP="004675C0">
            <w:pPr>
              <w:spacing w:before="0"/>
              <w:rPr>
                <w:sz w:val="20"/>
              </w:rPr>
            </w:pPr>
            <w:r>
              <w:rPr>
                <w:sz w:val="20"/>
              </w:rPr>
              <w:t>-</w:t>
            </w:r>
          </w:p>
        </w:tc>
        <w:tc>
          <w:tcPr>
            <w:tcW w:w="700" w:type="pct"/>
          </w:tcPr>
          <w:p w:rsidR="00DD39B6" w:rsidRDefault="00DD39B6" w:rsidP="004675C0">
            <w:pPr>
              <w:spacing w:before="0"/>
              <w:rPr>
                <w:sz w:val="20"/>
              </w:rPr>
            </w:pPr>
            <w:r>
              <w:rPr>
                <w:sz w:val="20"/>
              </w:rPr>
              <w:t>1.6%</w:t>
            </w:r>
          </w:p>
        </w:tc>
        <w:tc>
          <w:tcPr>
            <w:tcW w:w="700" w:type="pct"/>
          </w:tcPr>
          <w:p w:rsidR="00DD39B6" w:rsidRDefault="001A452B" w:rsidP="001A452B">
            <w:pPr>
              <w:spacing w:before="0"/>
              <w:rPr>
                <w:sz w:val="20"/>
              </w:rPr>
            </w:pPr>
            <w:r>
              <w:rPr>
                <w:sz w:val="20"/>
              </w:rPr>
              <w:t>4.9</w:t>
            </w:r>
            <w:r w:rsidR="00DD39B6">
              <w:rPr>
                <w:sz w:val="20"/>
              </w:rPr>
              <w:t>%</w:t>
            </w:r>
          </w:p>
        </w:tc>
        <w:tc>
          <w:tcPr>
            <w:tcW w:w="700" w:type="pct"/>
          </w:tcPr>
          <w:p w:rsidR="00DD39B6" w:rsidRDefault="00DD39B6" w:rsidP="00DD39B6">
            <w:pPr>
              <w:spacing w:before="0"/>
              <w:jc w:val="left"/>
              <w:rPr>
                <w:sz w:val="20"/>
              </w:rPr>
            </w:pPr>
            <w:r>
              <w:rPr>
                <w:sz w:val="20"/>
              </w:rPr>
              <w:t>3</w:t>
            </w:r>
            <w:r w:rsidR="001A452B">
              <w:rPr>
                <w:sz w:val="20"/>
              </w:rPr>
              <w:t>1.3</w:t>
            </w:r>
          </w:p>
        </w:tc>
      </w:tr>
    </w:tbl>
    <w:p w:rsidR="0086125C" w:rsidRPr="0086125C" w:rsidRDefault="0086125C" w:rsidP="0086125C">
      <w:pPr>
        <w:spacing w:before="0" w:after="0"/>
        <w:ind w:hanging="11"/>
        <w:rPr>
          <w:rFonts w:ascii="Arial Narrow" w:hAnsi="Arial Narrow"/>
          <w:sz w:val="18"/>
        </w:rPr>
      </w:pPr>
      <w:r w:rsidRPr="008D313B">
        <w:rPr>
          <w:rFonts w:ascii="Arial Narrow" w:hAnsi="Arial Narrow"/>
          <w:i/>
          <w:iCs/>
          <w:sz w:val="18"/>
        </w:rPr>
        <w:t>ALK</w:t>
      </w:r>
      <w:r>
        <w:rPr>
          <w:rFonts w:ascii="Arial Narrow" w:hAnsi="Arial Narrow"/>
          <w:sz w:val="18"/>
        </w:rPr>
        <w:t xml:space="preserve"> = anaplastic lymphoma kinase; </w:t>
      </w:r>
      <w:r w:rsidRPr="008D313B">
        <w:rPr>
          <w:rFonts w:ascii="Arial Narrow" w:hAnsi="Arial Narrow"/>
          <w:i/>
          <w:iCs/>
          <w:sz w:val="18"/>
        </w:rPr>
        <w:t>EGFR</w:t>
      </w:r>
      <w:r w:rsidR="008D313B">
        <w:rPr>
          <w:rFonts w:ascii="Arial Narrow" w:hAnsi="Arial Narrow"/>
          <w:sz w:val="18"/>
        </w:rPr>
        <w:t xml:space="preserve"> </w:t>
      </w:r>
      <w:r>
        <w:rPr>
          <w:rFonts w:ascii="Arial Narrow" w:hAnsi="Arial Narrow"/>
          <w:sz w:val="18"/>
        </w:rPr>
        <w:t>=</w:t>
      </w:r>
      <w:r w:rsidRPr="0086125C">
        <w:rPr>
          <w:rFonts w:ascii="Arial Narrow" w:hAnsi="Arial Narrow"/>
          <w:sz w:val="18"/>
        </w:rPr>
        <w:t xml:space="preserve"> epidermal growth factor receptor</w:t>
      </w:r>
      <w:r>
        <w:rPr>
          <w:rFonts w:ascii="Arial Narrow" w:hAnsi="Arial Narrow"/>
          <w:sz w:val="18"/>
        </w:rPr>
        <w:t xml:space="preserve">; </w:t>
      </w:r>
      <w:r w:rsidR="00394285">
        <w:rPr>
          <w:rFonts w:ascii="Arial Narrow" w:hAnsi="Arial Narrow"/>
          <w:sz w:val="18"/>
        </w:rPr>
        <w:t xml:space="preserve">NSCLC=non-small cell lung cancer; NSQ=non-squamous; </w:t>
      </w:r>
      <w:r>
        <w:rPr>
          <w:rFonts w:ascii="Arial Narrow" w:hAnsi="Arial Narrow"/>
          <w:sz w:val="18"/>
        </w:rPr>
        <w:t xml:space="preserve">NNT= number needed to test; </w:t>
      </w:r>
      <w:r w:rsidRPr="008D313B">
        <w:rPr>
          <w:rFonts w:ascii="Arial Narrow" w:hAnsi="Arial Narrow"/>
          <w:i/>
          <w:iCs/>
          <w:sz w:val="18"/>
        </w:rPr>
        <w:t>ROS</w:t>
      </w:r>
      <w:r w:rsidR="008D313B" w:rsidRPr="008D313B">
        <w:rPr>
          <w:rFonts w:ascii="Arial Narrow" w:hAnsi="Arial Narrow"/>
          <w:i/>
          <w:iCs/>
          <w:sz w:val="18"/>
        </w:rPr>
        <w:t>1</w:t>
      </w:r>
      <w:r w:rsidR="008D313B">
        <w:rPr>
          <w:rFonts w:ascii="Arial Narrow" w:hAnsi="Arial Narrow"/>
          <w:sz w:val="18"/>
        </w:rPr>
        <w:t xml:space="preserve"> </w:t>
      </w:r>
      <w:r>
        <w:rPr>
          <w:rFonts w:ascii="Arial Narrow" w:hAnsi="Arial Narrow"/>
          <w:sz w:val="18"/>
        </w:rPr>
        <w:t>=</w:t>
      </w:r>
      <w:r w:rsidR="008D313B">
        <w:rPr>
          <w:rFonts w:ascii="Arial Narrow" w:hAnsi="Arial Narrow"/>
          <w:sz w:val="18"/>
        </w:rPr>
        <w:t xml:space="preserve"> </w:t>
      </w:r>
      <w:r w:rsidRPr="0086125C">
        <w:rPr>
          <w:rFonts w:ascii="Arial Narrow" w:hAnsi="Arial Narrow"/>
          <w:sz w:val="18"/>
        </w:rPr>
        <w:t xml:space="preserve">ROS proto-oncogene 1; </w:t>
      </w:r>
      <w:r>
        <w:rPr>
          <w:rFonts w:ascii="Arial Narrow" w:hAnsi="Arial Narrow"/>
          <w:sz w:val="18"/>
        </w:rPr>
        <w:t xml:space="preserve">PSCR=pre-subcommittee </w:t>
      </w:r>
      <w:r w:rsidR="00394285">
        <w:rPr>
          <w:rFonts w:ascii="Arial Narrow" w:hAnsi="Arial Narrow"/>
          <w:sz w:val="18"/>
        </w:rPr>
        <w:t>response; SQ=squamous</w:t>
      </w:r>
    </w:p>
    <w:p w:rsidR="004675C0" w:rsidRPr="00DD39B6" w:rsidRDefault="00DD39B6" w:rsidP="00DD39B6">
      <w:pPr>
        <w:pStyle w:val="ListParagraph"/>
        <w:numPr>
          <w:ilvl w:val="0"/>
          <w:numId w:val="37"/>
        </w:numPr>
        <w:spacing w:before="0" w:after="0"/>
        <w:rPr>
          <w:rFonts w:ascii="Arial Narrow" w:hAnsi="Arial Narrow"/>
          <w:sz w:val="18"/>
        </w:rPr>
      </w:pPr>
      <w:r w:rsidRPr="00DD39B6">
        <w:rPr>
          <w:rFonts w:ascii="Arial Narrow" w:hAnsi="Arial Narrow"/>
          <w:sz w:val="18"/>
        </w:rPr>
        <w:t xml:space="preserve">Assuming 17.9% </w:t>
      </w:r>
      <w:r w:rsidRPr="008D313B">
        <w:rPr>
          <w:rFonts w:ascii="Arial Narrow" w:hAnsi="Arial Narrow"/>
          <w:i/>
          <w:iCs/>
          <w:sz w:val="18"/>
        </w:rPr>
        <w:t>EGFR</w:t>
      </w:r>
      <w:r w:rsidR="0086125C">
        <w:rPr>
          <w:rFonts w:ascii="Arial Narrow" w:hAnsi="Arial Narrow"/>
          <w:sz w:val="18"/>
        </w:rPr>
        <w:t xml:space="preserve"> pathog</w:t>
      </w:r>
      <w:r w:rsidR="008D313B">
        <w:rPr>
          <w:rFonts w:ascii="Arial Narrow" w:hAnsi="Arial Narrow"/>
          <w:sz w:val="18"/>
        </w:rPr>
        <w:t>en</w:t>
      </w:r>
      <w:r w:rsidR="0086125C">
        <w:rPr>
          <w:rFonts w:ascii="Arial Narrow" w:hAnsi="Arial Narrow"/>
          <w:sz w:val="18"/>
        </w:rPr>
        <w:t>ic variants</w:t>
      </w:r>
    </w:p>
    <w:p w:rsidR="00DD39B6" w:rsidRPr="00DD39B6" w:rsidRDefault="00DD39B6" w:rsidP="00DD39B6">
      <w:pPr>
        <w:pStyle w:val="ListParagraph"/>
        <w:numPr>
          <w:ilvl w:val="0"/>
          <w:numId w:val="37"/>
        </w:numPr>
        <w:spacing w:before="0" w:after="0"/>
        <w:rPr>
          <w:rFonts w:ascii="Arial Narrow" w:hAnsi="Arial Narrow"/>
          <w:sz w:val="18"/>
        </w:rPr>
      </w:pPr>
      <w:r w:rsidRPr="00DD39B6">
        <w:rPr>
          <w:rFonts w:ascii="Arial Narrow" w:hAnsi="Arial Narrow"/>
          <w:sz w:val="18"/>
        </w:rPr>
        <w:t xml:space="preserve">Assuming 3% </w:t>
      </w:r>
      <w:r w:rsidRPr="008D313B">
        <w:rPr>
          <w:rFonts w:ascii="Arial Narrow" w:hAnsi="Arial Narrow"/>
          <w:i/>
          <w:iCs/>
          <w:sz w:val="18"/>
        </w:rPr>
        <w:t>ALK</w:t>
      </w:r>
      <w:r w:rsidR="0086125C">
        <w:rPr>
          <w:rFonts w:ascii="Arial Narrow" w:hAnsi="Arial Narrow"/>
          <w:sz w:val="18"/>
        </w:rPr>
        <w:t xml:space="preserve"> gene rearrangements</w:t>
      </w:r>
      <w:r w:rsidRPr="00DD39B6">
        <w:rPr>
          <w:rFonts w:ascii="Arial Narrow" w:hAnsi="Arial Narrow"/>
          <w:sz w:val="18"/>
        </w:rPr>
        <w:t xml:space="preserve">, 1.2% </w:t>
      </w:r>
      <w:r w:rsidRPr="008D313B">
        <w:rPr>
          <w:rFonts w:ascii="Arial Narrow" w:hAnsi="Arial Narrow"/>
          <w:i/>
          <w:iCs/>
          <w:sz w:val="18"/>
        </w:rPr>
        <w:t>ROS</w:t>
      </w:r>
      <w:r w:rsidR="0086125C" w:rsidRPr="008D313B">
        <w:rPr>
          <w:rFonts w:ascii="Arial Narrow" w:hAnsi="Arial Narrow"/>
          <w:i/>
          <w:iCs/>
          <w:sz w:val="18"/>
        </w:rPr>
        <w:t>1</w:t>
      </w:r>
      <w:r w:rsidR="0086125C">
        <w:rPr>
          <w:rFonts w:ascii="Arial Narrow" w:hAnsi="Arial Narrow"/>
          <w:sz w:val="18"/>
        </w:rPr>
        <w:t xml:space="preserve"> gene rearrangements</w:t>
      </w:r>
    </w:p>
    <w:p w:rsidR="004675C0" w:rsidRPr="004675C0" w:rsidRDefault="004675C0" w:rsidP="00834758">
      <w:pPr>
        <w:pStyle w:val="ListParagraph"/>
        <w:rPr>
          <w:iCs/>
        </w:rPr>
      </w:pPr>
      <w:r>
        <w:t>Th</w:t>
      </w:r>
      <w:r w:rsidR="00394285">
        <w:t>e</w:t>
      </w:r>
      <w:r>
        <w:t xml:space="preserve"> evaluation noted the </w:t>
      </w:r>
      <w:r w:rsidR="0059661C" w:rsidRPr="007E4DDD">
        <w:t xml:space="preserve">calculation of </w:t>
      </w:r>
      <w:r w:rsidR="0059661C" w:rsidRPr="004675C0">
        <w:rPr>
          <w:i/>
        </w:rPr>
        <w:t>MET</w:t>
      </w:r>
      <w:r w:rsidR="0059661C" w:rsidRPr="007E4DDD">
        <w:t>ex14sk prevalence by NSCLC histology, c</w:t>
      </w:r>
      <w:r>
        <w:t xml:space="preserve">ould not </w:t>
      </w:r>
      <w:r w:rsidR="0059661C" w:rsidRPr="007E4DDD">
        <w:t>be verified</w:t>
      </w:r>
      <w:r>
        <w:t xml:space="preserve"> during evaluation</w:t>
      </w:r>
      <w:r w:rsidR="0059661C" w:rsidRPr="007E4DDD">
        <w:t xml:space="preserve">. </w:t>
      </w:r>
    </w:p>
    <w:p w:rsidR="0059661C" w:rsidRPr="0019205F" w:rsidRDefault="00970CB2" w:rsidP="00834758">
      <w:pPr>
        <w:pStyle w:val="ListParagraph"/>
        <w:rPr>
          <w:iCs/>
        </w:rPr>
      </w:pPr>
      <w:r>
        <w:t>T</w:t>
      </w:r>
      <w:r w:rsidR="0059661C" w:rsidRPr="007E4DDD">
        <w:t xml:space="preserve">he MBS item descriptor proposed by the submission was for all NSCLC patients, regardless of disease stage. In contrast, first-line tepotinib would be given to those with locally advanced and metastatic disease according to the requested PBS listing. Therefore, the CMA should also consider the cost </w:t>
      </w:r>
      <w:r w:rsidR="008F5A36" w:rsidRPr="007E4DDD">
        <w:t>for</w:t>
      </w:r>
      <w:r w:rsidR="0059661C" w:rsidRPr="007E4DDD">
        <w:t xml:space="preserve"> testing of patients with Stage I-IIIA NSCLC</w:t>
      </w:r>
      <w:r w:rsidR="00834758" w:rsidRPr="007E4DDD">
        <w:t xml:space="preserve"> who do not progress into Stage IIIB/IV (ineligible for tepotinib therapy)</w:t>
      </w:r>
      <w:r w:rsidR="0059661C" w:rsidRPr="007E4DDD">
        <w:t xml:space="preserve">. In addition, retesting was not considered in the CMA. A sensitivity analysis was performed during the evaluation, by increasing the number of tested patients to around 50 for every </w:t>
      </w:r>
      <w:r w:rsidR="0059661C" w:rsidRPr="00B31B3C">
        <w:rPr>
          <w:i/>
        </w:rPr>
        <w:t>MET</w:t>
      </w:r>
      <w:r w:rsidR="0059661C" w:rsidRPr="007E4DDD">
        <w:t>ex14sk patient to account for retesting and inconsisten</w:t>
      </w:r>
      <w:r w:rsidR="008F5A36" w:rsidRPr="007E4DDD">
        <w:t>t</w:t>
      </w:r>
      <w:r w:rsidR="0059661C" w:rsidRPr="007E4DDD">
        <w:t xml:space="preserve"> MBS listing for </w:t>
      </w:r>
      <w:r w:rsidR="0059661C" w:rsidRPr="00B31B3C">
        <w:rPr>
          <w:i/>
        </w:rPr>
        <w:t>MET</w:t>
      </w:r>
      <w:r w:rsidR="0059661C" w:rsidRPr="007E4DDD">
        <w:t>ex14sk testing and PBS restriction for tepotinib in terms disease stage.</w:t>
      </w:r>
      <w:r w:rsidR="00133D80">
        <w:t xml:space="preserve"> </w:t>
      </w:r>
      <w:r w:rsidR="00133D80" w:rsidRPr="002363FC">
        <w:t>The PSCR amended the MBS item descriptor to test patients diagnosed with locally advanced or metastatic NSCLC</w:t>
      </w:r>
      <w:r w:rsidR="00133D80" w:rsidRPr="00133D80">
        <w:rPr>
          <w:i/>
        </w:rPr>
        <w:t>.</w:t>
      </w:r>
    </w:p>
    <w:p w:rsidR="0059661C" w:rsidRPr="00B92D96" w:rsidRDefault="0059661C" w:rsidP="00807DFD">
      <w:pPr>
        <w:pStyle w:val="ListParagraph"/>
        <w:rPr>
          <w:color w:val="auto"/>
        </w:rPr>
      </w:pPr>
      <w:r w:rsidRPr="00B92D96">
        <w:rPr>
          <w:color w:val="auto"/>
        </w:rPr>
        <w:t xml:space="preserve">The submission’s CMA </w:t>
      </w:r>
      <w:r w:rsidR="00C04410">
        <w:rPr>
          <w:color w:val="auto"/>
        </w:rPr>
        <w:t>is</w:t>
      </w:r>
      <w:r w:rsidR="00C04410" w:rsidRPr="00B92D96">
        <w:rPr>
          <w:color w:val="auto"/>
        </w:rPr>
        <w:t xml:space="preserve"> </w:t>
      </w:r>
      <w:r w:rsidRPr="00B92D96">
        <w:rPr>
          <w:color w:val="auto"/>
        </w:rPr>
        <w:t xml:space="preserve">summarised below. </w:t>
      </w:r>
      <w:r w:rsidR="00807DFD" w:rsidRPr="00B92D96">
        <w:rPr>
          <w:color w:val="auto"/>
        </w:rPr>
        <w:t xml:space="preserve">As the effective price of pembrolizumab is </w:t>
      </w:r>
      <w:r w:rsidR="001939B6">
        <w:rPr>
          <w:color w:val="auto"/>
        </w:rPr>
        <w:t>confidential</w:t>
      </w:r>
      <w:r w:rsidR="00807DFD" w:rsidRPr="00B92D96">
        <w:rPr>
          <w:color w:val="auto"/>
        </w:rPr>
        <w:t xml:space="preserve">, the CMA was based on the published price of pembrolizumab prior to its statutory price reduction in April 2021. </w:t>
      </w:r>
      <w:r w:rsidRPr="00B92D96">
        <w:rPr>
          <w:color w:val="auto"/>
        </w:rPr>
        <w:t>The calculated ex-manufacturer price for tepotinib was $</w:t>
      </w:r>
      <w:r w:rsidRPr="009B0DA4">
        <w:rPr>
          <w:color w:val="auto"/>
        </w:rPr>
        <w:t>10,543.32</w:t>
      </w:r>
      <w:r w:rsidRPr="00B92D96">
        <w:rPr>
          <w:color w:val="auto"/>
        </w:rPr>
        <w:t xml:space="preserve"> per pack of 225</w:t>
      </w:r>
      <w:r w:rsidR="00A355EE" w:rsidRPr="00B92D96">
        <w:rPr>
          <w:color w:val="auto"/>
        </w:rPr>
        <w:t xml:space="preserve"> </w:t>
      </w:r>
      <w:r w:rsidRPr="00B92D96">
        <w:rPr>
          <w:color w:val="auto"/>
        </w:rPr>
        <w:t>mg x 60 tablets</w:t>
      </w:r>
      <w:r w:rsidRPr="00B92D96">
        <w:rPr>
          <w:i/>
          <w:color w:val="auto"/>
        </w:rPr>
        <w:t xml:space="preserve">. </w:t>
      </w:r>
    </w:p>
    <w:p w:rsidR="0059661C" w:rsidRPr="00FD3E7D" w:rsidRDefault="00837378" w:rsidP="005D7976">
      <w:pPr>
        <w:pStyle w:val="Caption"/>
      </w:pPr>
      <w:r w:rsidRPr="00837378">
        <w:t xml:space="preserve">Table </w:t>
      </w:r>
      <w:r>
        <w:rPr>
          <w:noProof/>
        </w:rPr>
        <w:t>12</w:t>
      </w:r>
      <w:r w:rsidR="00F800E1">
        <w:rPr>
          <w:noProof/>
        </w:rPr>
        <w:t>:</w:t>
      </w:r>
      <w:r>
        <w:rPr>
          <w:b w:val="0"/>
          <w:iCs w:val="0"/>
        </w:rPr>
        <w:t xml:space="preserve"> </w:t>
      </w:r>
      <w:r w:rsidR="0059661C" w:rsidRPr="00FD3E7D">
        <w:t xml:space="preserve">Results of cost-minimisation </w:t>
      </w:r>
      <w:r w:rsidR="0019205F">
        <w:t>approach</w:t>
      </w:r>
      <w:r w:rsidR="0059661C" w:rsidRPr="00FD3E7D">
        <w:t xml:space="preserve"> presented in the submission</w:t>
      </w:r>
      <w:r w:rsidR="00690D44">
        <w:t xml:space="preserve"> </w:t>
      </w:r>
    </w:p>
    <w:tbl>
      <w:tblPr>
        <w:tblStyle w:val="PBACTableStyle1"/>
        <w:tblW w:w="9090" w:type="dxa"/>
        <w:tblLook w:val="04A0" w:firstRow="1" w:lastRow="0" w:firstColumn="1" w:lastColumn="0" w:noHBand="0" w:noVBand="1"/>
        <w:tblCaption w:val="Table 12: Results of cost-minimisation approach presented in the submission "/>
      </w:tblPr>
      <w:tblGrid>
        <w:gridCol w:w="1980"/>
        <w:gridCol w:w="1276"/>
        <w:gridCol w:w="1495"/>
        <w:gridCol w:w="1255"/>
        <w:gridCol w:w="1276"/>
        <w:gridCol w:w="1865"/>
      </w:tblGrid>
      <w:tr w:rsidR="0059661C" w:rsidRPr="00B92D96" w:rsidTr="00FD0B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vMerge w:val="restart"/>
            <w:noWrap/>
          </w:tcPr>
          <w:p w:rsidR="0059661C" w:rsidRPr="00B92D96" w:rsidRDefault="0059661C" w:rsidP="00265F9B">
            <w:pPr>
              <w:keepNext/>
              <w:keepLines/>
              <w:spacing w:before="0"/>
              <w:ind w:right="-57"/>
              <w:jc w:val="left"/>
              <w:rPr>
                <w:color w:val="auto"/>
                <w:sz w:val="20"/>
                <w:lang w:eastAsia="zh-CN"/>
              </w:rPr>
            </w:pPr>
          </w:p>
        </w:tc>
        <w:tc>
          <w:tcPr>
            <w:tcW w:w="1276" w:type="dxa"/>
            <w:vMerge w:val="restart"/>
            <w:noWrap/>
            <w:vAlign w:val="top"/>
          </w:tcPr>
          <w:p w:rsidR="0059661C" w:rsidRPr="00B92D96"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Tepotinib</w:t>
            </w:r>
          </w:p>
        </w:tc>
        <w:tc>
          <w:tcPr>
            <w:tcW w:w="5834" w:type="dxa"/>
            <w:gridSpan w:val="4"/>
            <w:noWrap/>
            <w:vAlign w:val="top"/>
          </w:tcPr>
          <w:p w:rsidR="0059661C" w:rsidRPr="00B92D96"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 xml:space="preserve">Pembrolizumab + </w:t>
            </w:r>
            <w:proofErr w:type="spellStart"/>
            <w:r w:rsidRPr="00B92D96">
              <w:rPr>
                <w:color w:val="auto"/>
                <w:sz w:val="20"/>
                <w:lang w:eastAsia="zh-CN"/>
              </w:rPr>
              <w:t>pemetrexed</w:t>
            </w:r>
            <w:proofErr w:type="spellEnd"/>
            <w:r w:rsidRPr="00B92D96">
              <w:rPr>
                <w:color w:val="auto"/>
                <w:sz w:val="20"/>
                <w:lang w:eastAsia="zh-CN"/>
              </w:rPr>
              <w:t xml:space="preserve"> + cisplatin/carboplatin</w:t>
            </w:r>
          </w:p>
        </w:tc>
      </w:tr>
      <w:tr w:rsidR="0059661C" w:rsidRPr="00B92D96" w:rsidTr="00FD0B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vMerge/>
            <w:noWrap/>
            <w:hideMark/>
          </w:tcPr>
          <w:p w:rsidR="0059661C" w:rsidRPr="00B92D96" w:rsidRDefault="0059661C" w:rsidP="00265F9B">
            <w:pPr>
              <w:keepNext/>
              <w:keepLines/>
              <w:spacing w:before="0"/>
              <w:ind w:right="-57"/>
              <w:jc w:val="left"/>
              <w:rPr>
                <w:color w:val="auto"/>
                <w:sz w:val="20"/>
                <w:lang w:eastAsia="zh-CN"/>
              </w:rPr>
            </w:pPr>
          </w:p>
        </w:tc>
        <w:tc>
          <w:tcPr>
            <w:tcW w:w="1276" w:type="dxa"/>
            <w:vMerge/>
            <w:noWrap/>
            <w:vAlign w:val="top"/>
            <w:hideMark/>
          </w:tcPr>
          <w:p w:rsidR="0059661C" w:rsidRPr="00B92D96"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color w:val="auto"/>
                <w:sz w:val="20"/>
                <w:lang w:eastAsia="zh-CN"/>
              </w:rPr>
            </w:pPr>
          </w:p>
        </w:tc>
        <w:tc>
          <w:tcPr>
            <w:tcW w:w="1438" w:type="dxa"/>
            <w:noWrap/>
            <w:vAlign w:val="top"/>
            <w:hideMark/>
          </w:tcPr>
          <w:p w:rsidR="0059661C" w:rsidRPr="00B92D96"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b w:val="0"/>
                <w:color w:val="auto"/>
                <w:sz w:val="20"/>
                <w:lang w:eastAsia="zh-CN"/>
              </w:rPr>
            </w:pPr>
            <w:r w:rsidRPr="00B92D96">
              <w:rPr>
                <w:color w:val="auto"/>
                <w:sz w:val="20"/>
                <w:lang w:eastAsia="zh-CN"/>
              </w:rPr>
              <w:t>Pembrolizumab</w:t>
            </w:r>
          </w:p>
        </w:tc>
        <w:tc>
          <w:tcPr>
            <w:tcW w:w="1255" w:type="dxa"/>
            <w:noWrap/>
            <w:vAlign w:val="top"/>
            <w:hideMark/>
          </w:tcPr>
          <w:p w:rsidR="0059661C" w:rsidRPr="00B92D96"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b w:val="0"/>
                <w:color w:val="auto"/>
                <w:sz w:val="20"/>
                <w:lang w:eastAsia="zh-CN"/>
              </w:rPr>
            </w:pPr>
            <w:proofErr w:type="spellStart"/>
            <w:r w:rsidRPr="00B92D96">
              <w:rPr>
                <w:color w:val="auto"/>
                <w:sz w:val="20"/>
                <w:lang w:eastAsia="zh-CN"/>
              </w:rPr>
              <w:t>Pemetrexed</w:t>
            </w:r>
            <w:proofErr w:type="spellEnd"/>
          </w:p>
        </w:tc>
        <w:tc>
          <w:tcPr>
            <w:tcW w:w="1276" w:type="dxa"/>
            <w:noWrap/>
            <w:vAlign w:val="top"/>
            <w:hideMark/>
          </w:tcPr>
          <w:p w:rsidR="0059661C" w:rsidRPr="00B92D96"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b w:val="0"/>
                <w:color w:val="auto"/>
                <w:sz w:val="20"/>
                <w:lang w:eastAsia="zh-CN"/>
              </w:rPr>
            </w:pPr>
            <w:r w:rsidRPr="00B92D96">
              <w:rPr>
                <w:color w:val="auto"/>
                <w:sz w:val="20"/>
                <w:lang w:eastAsia="zh-CN"/>
              </w:rPr>
              <w:t>Carboplatin</w:t>
            </w:r>
          </w:p>
        </w:tc>
        <w:tc>
          <w:tcPr>
            <w:tcW w:w="1865" w:type="dxa"/>
            <w:noWrap/>
            <w:vAlign w:val="top"/>
            <w:hideMark/>
          </w:tcPr>
          <w:p w:rsidR="0059661C" w:rsidRPr="00B92D96" w:rsidRDefault="0059661C" w:rsidP="00265F9B">
            <w:pPr>
              <w:keepNext/>
              <w:keepLines/>
              <w:spacing w:before="0"/>
              <w:jc w:val="center"/>
              <w:cnfStyle w:val="100000000000" w:firstRow="1" w:lastRow="0" w:firstColumn="0" w:lastColumn="0" w:oddVBand="0" w:evenVBand="0" w:oddHBand="0" w:evenHBand="0" w:firstRowFirstColumn="0" w:firstRowLastColumn="0" w:lastRowFirstColumn="0" w:lastRowLastColumn="0"/>
              <w:rPr>
                <w:b w:val="0"/>
                <w:color w:val="auto"/>
                <w:sz w:val="20"/>
                <w:lang w:eastAsia="zh-CN"/>
              </w:rPr>
            </w:pPr>
            <w:r w:rsidRPr="00B92D96">
              <w:rPr>
                <w:color w:val="auto"/>
                <w:sz w:val="20"/>
                <w:lang w:eastAsia="zh-CN"/>
              </w:rPr>
              <w:t>Cisplatin</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rsidR="0059661C" w:rsidRPr="00B92D96" w:rsidRDefault="0059661C" w:rsidP="00265F9B">
            <w:pPr>
              <w:keepNext/>
              <w:keepLines/>
              <w:spacing w:before="0"/>
              <w:ind w:right="-57"/>
              <w:jc w:val="left"/>
              <w:rPr>
                <w:color w:val="auto"/>
                <w:sz w:val="20"/>
                <w:lang w:eastAsia="zh-CN"/>
              </w:rPr>
            </w:pPr>
            <w:r w:rsidRPr="00B92D96">
              <w:rPr>
                <w:color w:val="auto"/>
                <w:sz w:val="20"/>
                <w:lang w:eastAsia="zh-CN"/>
              </w:rPr>
              <w:t>Ex-manufacturer price per unit</w:t>
            </w:r>
          </w:p>
        </w:tc>
        <w:tc>
          <w:tcPr>
            <w:tcW w:w="1276" w:type="dxa"/>
            <w:noWrap/>
            <w:hideMark/>
          </w:tcPr>
          <w:p w:rsidR="0059661C"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B92D96">
              <w:rPr>
                <w:color w:val="auto"/>
                <w:sz w:val="20"/>
                <w:lang w:eastAsia="zh-CN"/>
              </w:rPr>
              <w:t>$</w:t>
            </w:r>
            <w:r w:rsidRPr="00573E78">
              <w:rPr>
                <w:color w:val="auto"/>
                <w:sz w:val="20"/>
                <w:lang w:eastAsia="zh-CN"/>
              </w:rPr>
              <w:t>175.72</w:t>
            </w:r>
            <w:r w:rsidRPr="00B92D96">
              <w:rPr>
                <w:color w:val="auto"/>
                <w:sz w:val="20"/>
                <w:lang w:eastAsia="zh-CN"/>
              </w:rPr>
              <w:t xml:space="preserve"> per 225</w:t>
            </w:r>
            <w:r w:rsidR="00A355EE" w:rsidRPr="00B92D96">
              <w:rPr>
                <w:color w:val="auto"/>
                <w:sz w:val="20"/>
                <w:lang w:eastAsia="zh-CN"/>
              </w:rPr>
              <w:t> </w:t>
            </w:r>
            <w:r w:rsidRPr="00B92D96">
              <w:rPr>
                <w:color w:val="auto"/>
                <w:sz w:val="20"/>
                <w:lang w:eastAsia="zh-CN"/>
              </w:rPr>
              <w:t xml:space="preserve">mg </w:t>
            </w:r>
            <w:proofErr w:type="spellStart"/>
            <w:r w:rsidRPr="00B92D96">
              <w:rPr>
                <w:color w:val="auto"/>
                <w:sz w:val="20"/>
                <w:lang w:eastAsia="zh-CN"/>
              </w:rPr>
              <w:t>tablet</w:t>
            </w:r>
            <w:r w:rsidRPr="00B92D96">
              <w:rPr>
                <w:color w:val="auto"/>
                <w:sz w:val="20"/>
                <w:vertAlign w:val="superscript"/>
                <w:lang w:eastAsia="zh-CN"/>
              </w:rPr>
              <w:t>a</w:t>
            </w:r>
            <w:proofErr w:type="spellEnd"/>
          </w:p>
          <w:p w:rsidR="00EB336E" w:rsidRPr="00B92D96" w:rsidRDefault="00EB336E"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EB336E">
              <w:rPr>
                <w:color w:val="auto"/>
                <w:sz w:val="20"/>
                <w:lang w:eastAsia="zh-CN"/>
              </w:rPr>
              <w:t>($</w:t>
            </w:r>
            <w:r w:rsidRPr="00573E78">
              <w:rPr>
                <w:color w:val="auto"/>
                <w:sz w:val="20"/>
                <w:lang w:eastAsia="zh-CN"/>
              </w:rPr>
              <w:t>10,543.32</w:t>
            </w:r>
            <w:r w:rsidRPr="00EB336E">
              <w:rPr>
                <w:color w:val="auto"/>
                <w:sz w:val="20"/>
                <w:lang w:eastAsia="zh-CN"/>
              </w:rPr>
              <w:t xml:space="preserve"> per pack)</w:t>
            </w:r>
          </w:p>
        </w:tc>
        <w:tc>
          <w:tcPr>
            <w:tcW w:w="1438" w:type="dxa"/>
            <w:noWrap/>
            <w:hideMark/>
          </w:tcPr>
          <w:p w:rsidR="0059661C" w:rsidRPr="00B92D96"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 xml:space="preserve">$4,025.00 per 100mg </w:t>
            </w:r>
            <w:proofErr w:type="spellStart"/>
            <w:r w:rsidRPr="00B92D96">
              <w:rPr>
                <w:color w:val="auto"/>
                <w:sz w:val="20"/>
                <w:lang w:eastAsia="zh-CN"/>
              </w:rPr>
              <w:t>vial</w:t>
            </w:r>
            <w:r w:rsidR="00BD3970" w:rsidRPr="00B92D96">
              <w:rPr>
                <w:color w:val="auto"/>
                <w:sz w:val="20"/>
                <w:vertAlign w:val="superscript"/>
                <w:lang w:eastAsia="zh-CN"/>
              </w:rPr>
              <w:t>g</w:t>
            </w:r>
            <w:proofErr w:type="spellEnd"/>
          </w:p>
        </w:tc>
        <w:tc>
          <w:tcPr>
            <w:tcW w:w="1255" w:type="dxa"/>
            <w:noWrap/>
            <w:hideMark/>
          </w:tcPr>
          <w:p w:rsidR="0059661C" w:rsidRPr="00B92D96"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$45.98 per 500mg vial</w:t>
            </w:r>
          </w:p>
        </w:tc>
        <w:tc>
          <w:tcPr>
            <w:tcW w:w="1276" w:type="dxa"/>
            <w:noWrap/>
            <w:hideMark/>
          </w:tcPr>
          <w:p w:rsidR="0059661C" w:rsidRPr="00B92D96"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$13.43 per 150mg vial</w:t>
            </w:r>
          </w:p>
        </w:tc>
        <w:tc>
          <w:tcPr>
            <w:tcW w:w="1865" w:type="dxa"/>
            <w:noWrap/>
            <w:hideMark/>
          </w:tcPr>
          <w:p w:rsidR="0059661C" w:rsidRPr="00B92D96"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$19.28 per 100</w:t>
            </w:r>
            <w:r w:rsidR="00A355EE" w:rsidRPr="00B92D96">
              <w:rPr>
                <w:color w:val="auto"/>
                <w:sz w:val="20"/>
                <w:lang w:eastAsia="zh-CN"/>
              </w:rPr>
              <w:t> </w:t>
            </w:r>
            <w:r w:rsidRPr="00B92D96">
              <w:rPr>
                <w:color w:val="auto"/>
                <w:sz w:val="20"/>
                <w:lang w:eastAsia="zh-CN"/>
              </w:rPr>
              <w:t>mg vial</w:t>
            </w:r>
          </w:p>
          <w:p w:rsidR="0059661C" w:rsidRPr="00B92D96"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$10.41 per 50</w:t>
            </w:r>
            <w:r w:rsidR="00A355EE" w:rsidRPr="00B92D96">
              <w:rPr>
                <w:color w:val="auto"/>
                <w:sz w:val="20"/>
                <w:lang w:eastAsia="zh-CN"/>
              </w:rPr>
              <w:t> </w:t>
            </w:r>
            <w:r w:rsidRPr="00B92D96">
              <w:rPr>
                <w:color w:val="auto"/>
                <w:sz w:val="20"/>
                <w:lang w:eastAsia="zh-CN"/>
              </w:rPr>
              <w:t>mg vial</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rsidR="0059661C" w:rsidRPr="0018502E" w:rsidRDefault="0059661C" w:rsidP="00265F9B">
            <w:pPr>
              <w:keepNext/>
              <w:keepLines/>
              <w:spacing w:before="0"/>
              <w:ind w:right="-57"/>
              <w:jc w:val="left"/>
              <w:rPr>
                <w:color w:val="auto"/>
                <w:sz w:val="20"/>
                <w:lang w:eastAsia="zh-CN"/>
              </w:rPr>
            </w:pPr>
            <w:r w:rsidRPr="0018502E">
              <w:rPr>
                <w:color w:val="auto"/>
                <w:sz w:val="20"/>
                <w:lang w:eastAsia="zh-CN"/>
              </w:rPr>
              <w:t xml:space="preserve">Dose per administration </w:t>
            </w:r>
          </w:p>
        </w:tc>
        <w:tc>
          <w:tcPr>
            <w:tcW w:w="1276"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392.8</w:t>
            </w:r>
            <w:r w:rsidR="00A355EE" w:rsidRPr="0018502E">
              <w:rPr>
                <w:color w:val="auto"/>
                <w:sz w:val="20"/>
                <w:lang w:eastAsia="zh-CN"/>
              </w:rPr>
              <w:t> </w:t>
            </w:r>
            <w:r w:rsidRPr="0018502E">
              <w:rPr>
                <w:color w:val="auto"/>
                <w:sz w:val="20"/>
                <w:lang w:eastAsia="zh-CN"/>
              </w:rPr>
              <w:t>mg</w:t>
            </w:r>
          </w:p>
        </w:tc>
        <w:tc>
          <w:tcPr>
            <w:tcW w:w="1438"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200</w:t>
            </w:r>
            <w:r w:rsidR="00A355EE" w:rsidRPr="0018502E">
              <w:rPr>
                <w:color w:val="auto"/>
                <w:sz w:val="20"/>
                <w:lang w:eastAsia="zh-CN"/>
              </w:rPr>
              <w:t> </w:t>
            </w:r>
            <w:r w:rsidRPr="0018502E">
              <w:rPr>
                <w:color w:val="auto"/>
                <w:sz w:val="20"/>
                <w:lang w:eastAsia="zh-CN"/>
              </w:rPr>
              <w:t>mg</w:t>
            </w:r>
          </w:p>
        </w:tc>
        <w:tc>
          <w:tcPr>
            <w:tcW w:w="1255"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865.0</w:t>
            </w:r>
            <w:r w:rsidR="00A355EE" w:rsidRPr="0018502E">
              <w:rPr>
                <w:color w:val="auto"/>
                <w:sz w:val="20"/>
                <w:lang w:eastAsia="zh-CN"/>
              </w:rPr>
              <w:t> </w:t>
            </w:r>
            <w:r w:rsidRPr="0018502E">
              <w:rPr>
                <w:color w:val="auto"/>
                <w:sz w:val="20"/>
                <w:lang w:eastAsia="zh-CN"/>
              </w:rPr>
              <w:t>mg</w:t>
            </w:r>
          </w:p>
        </w:tc>
        <w:tc>
          <w:tcPr>
            <w:tcW w:w="1276"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477.1</w:t>
            </w:r>
            <w:r w:rsidR="00A355EE" w:rsidRPr="0018502E">
              <w:rPr>
                <w:color w:val="auto"/>
                <w:sz w:val="20"/>
                <w:lang w:eastAsia="zh-CN"/>
              </w:rPr>
              <w:t> </w:t>
            </w:r>
            <w:r w:rsidRPr="0018502E">
              <w:rPr>
                <w:color w:val="auto"/>
                <w:sz w:val="20"/>
                <w:lang w:eastAsia="zh-CN"/>
              </w:rPr>
              <w:t>mg</w:t>
            </w:r>
          </w:p>
        </w:tc>
        <w:tc>
          <w:tcPr>
            <w:tcW w:w="1865"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129.8</w:t>
            </w:r>
            <w:r w:rsidR="00A355EE" w:rsidRPr="0018502E">
              <w:rPr>
                <w:color w:val="auto"/>
                <w:sz w:val="20"/>
                <w:lang w:eastAsia="zh-CN"/>
              </w:rPr>
              <w:t> </w:t>
            </w:r>
            <w:r w:rsidRPr="0018502E">
              <w:rPr>
                <w:color w:val="auto"/>
                <w:sz w:val="20"/>
                <w:lang w:eastAsia="zh-CN"/>
              </w:rPr>
              <w:t>mg</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rsidR="0059661C" w:rsidRPr="0018502E" w:rsidRDefault="0059661C" w:rsidP="00265F9B">
            <w:pPr>
              <w:keepNext/>
              <w:keepLines/>
              <w:spacing w:before="0"/>
              <w:ind w:right="-57"/>
              <w:jc w:val="left"/>
              <w:rPr>
                <w:color w:val="auto"/>
                <w:sz w:val="20"/>
                <w:lang w:eastAsia="zh-CN"/>
              </w:rPr>
            </w:pPr>
            <w:r w:rsidRPr="0018502E">
              <w:rPr>
                <w:color w:val="auto"/>
                <w:sz w:val="20"/>
                <w:lang w:eastAsia="zh-CN"/>
              </w:rPr>
              <w:t>Units per dose</w:t>
            </w:r>
          </w:p>
        </w:tc>
        <w:tc>
          <w:tcPr>
            <w:tcW w:w="1276"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1.75 x 225</w:t>
            </w:r>
            <w:r w:rsidR="00A355EE" w:rsidRPr="0018502E">
              <w:rPr>
                <w:color w:val="auto"/>
                <w:sz w:val="20"/>
                <w:lang w:eastAsia="zh-CN"/>
              </w:rPr>
              <w:t> </w:t>
            </w:r>
            <w:r w:rsidRPr="0018502E">
              <w:rPr>
                <w:color w:val="auto"/>
                <w:sz w:val="20"/>
                <w:lang w:eastAsia="zh-CN"/>
              </w:rPr>
              <w:t>mg tablets</w:t>
            </w:r>
          </w:p>
        </w:tc>
        <w:tc>
          <w:tcPr>
            <w:tcW w:w="1438"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2 x 100</w:t>
            </w:r>
            <w:r w:rsidR="00A355EE" w:rsidRPr="0018502E">
              <w:rPr>
                <w:color w:val="auto"/>
                <w:sz w:val="20"/>
                <w:lang w:eastAsia="zh-CN"/>
              </w:rPr>
              <w:t> </w:t>
            </w:r>
            <w:r w:rsidRPr="0018502E">
              <w:rPr>
                <w:color w:val="auto"/>
                <w:sz w:val="20"/>
                <w:lang w:eastAsia="zh-CN"/>
              </w:rPr>
              <w:t>mg vials</w:t>
            </w:r>
          </w:p>
        </w:tc>
        <w:tc>
          <w:tcPr>
            <w:tcW w:w="1255"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2 x 500</w:t>
            </w:r>
            <w:r w:rsidR="00A355EE" w:rsidRPr="0018502E">
              <w:rPr>
                <w:color w:val="auto"/>
                <w:sz w:val="20"/>
                <w:lang w:eastAsia="zh-CN"/>
              </w:rPr>
              <w:t> </w:t>
            </w:r>
            <w:r w:rsidRPr="0018502E">
              <w:rPr>
                <w:color w:val="auto"/>
                <w:sz w:val="20"/>
                <w:lang w:eastAsia="zh-CN"/>
              </w:rPr>
              <w:t>mg vials</w:t>
            </w:r>
          </w:p>
        </w:tc>
        <w:tc>
          <w:tcPr>
            <w:tcW w:w="1276"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4 x 150</w:t>
            </w:r>
            <w:r w:rsidR="00A355EE" w:rsidRPr="0018502E">
              <w:rPr>
                <w:color w:val="auto"/>
                <w:sz w:val="20"/>
                <w:lang w:eastAsia="zh-CN"/>
              </w:rPr>
              <w:t> </w:t>
            </w:r>
            <w:r w:rsidRPr="0018502E">
              <w:rPr>
                <w:color w:val="auto"/>
                <w:sz w:val="20"/>
                <w:lang w:eastAsia="zh-CN"/>
              </w:rPr>
              <w:t>mg vials</w:t>
            </w:r>
          </w:p>
        </w:tc>
        <w:tc>
          <w:tcPr>
            <w:tcW w:w="1865"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1 x 100</w:t>
            </w:r>
            <w:r w:rsidR="00A355EE" w:rsidRPr="0018502E">
              <w:rPr>
                <w:color w:val="auto"/>
                <w:sz w:val="20"/>
                <w:lang w:eastAsia="zh-CN"/>
              </w:rPr>
              <w:t> </w:t>
            </w:r>
            <w:r w:rsidRPr="0018502E">
              <w:rPr>
                <w:color w:val="auto"/>
                <w:sz w:val="20"/>
                <w:lang w:eastAsia="zh-CN"/>
              </w:rPr>
              <w:t>mg vial + 1 x 50</w:t>
            </w:r>
            <w:r w:rsidR="00A355EE" w:rsidRPr="0018502E">
              <w:rPr>
                <w:color w:val="auto"/>
                <w:sz w:val="20"/>
                <w:lang w:eastAsia="zh-CN"/>
              </w:rPr>
              <w:t> </w:t>
            </w:r>
            <w:r w:rsidRPr="0018502E">
              <w:rPr>
                <w:color w:val="auto"/>
                <w:sz w:val="20"/>
                <w:lang w:eastAsia="zh-CN"/>
              </w:rPr>
              <w:t>mg vial</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rsidR="0059661C" w:rsidRPr="0018502E" w:rsidRDefault="0059661C" w:rsidP="00265F9B">
            <w:pPr>
              <w:keepNext/>
              <w:keepLines/>
              <w:spacing w:before="0"/>
              <w:ind w:right="-57"/>
              <w:jc w:val="left"/>
              <w:rPr>
                <w:color w:val="auto"/>
                <w:sz w:val="20"/>
                <w:lang w:eastAsia="zh-CN"/>
              </w:rPr>
            </w:pPr>
            <w:r w:rsidRPr="0018502E">
              <w:rPr>
                <w:color w:val="auto"/>
                <w:sz w:val="20"/>
                <w:lang w:eastAsia="zh-CN"/>
              </w:rPr>
              <w:t>Drug cost per dose</w:t>
            </w:r>
          </w:p>
        </w:tc>
        <w:tc>
          <w:tcPr>
            <w:tcW w:w="1276"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w:t>
            </w:r>
            <w:r w:rsidRPr="00573E78">
              <w:rPr>
                <w:color w:val="auto"/>
                <w:sz w:val="20"/>
                <w:lang w:eastAsia="zh-CN"/>
              </w:rPr>
              <w:t>306.76</w:t>
            </w:r>
          </w:p>
        </w:tc>
        <w:tc>
          <w:tcPr>
            <w:tcW w:w="1438"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$8,050.00</w:t>
            </w:r>
          </w:p>
        </w:tc>
        <w:tc>
          <w:tcPr>
            <w:tcW w:w="1255"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$91.96</w:t>
            </w:r>
          </w:p>
        </w:tc>
        <w:tc>
          <w:tcPr>
            <w:tcW w:w="1276"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$53.72</w:t>
            </w:r>
          </w:p>
        </w:tc>
        <w:tc>
          <w:tcPr>
            <w:tcW w:w="1865"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color w:val="auto"/>
                <w:sz w:val="20"/>
                <w:lang w:eastAsia="zh-CN"/>
              </w:rPr>
              <w:t>$29.69</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rsidR="0059661C" w:rsidRPr="0018502E" w:rsidRDefault="0059661C" w:rsidP="00265F9B">
            <w:pPr>
              <w:keepNext/>
              <w:keepLines/>
              <w:spacing w:before="0"/>
              <w:ind w:right="-57"/>
              <w:jc w:val="left"/>
              <w:rPr>
                <w:color w:val="auto"/>
                <w:sz w:val="20"/>
                <w:lang w:eastAsia="zh-CN"/>
              </w:rPr>
            </w:pPr>
            <w:r w:rsidRPr="0018502E">
              <w:rPr>
                <w:color w:val="auto"/>
                <w:sz w:val="20"/>
                <w:lang w:eastAsia="zh-CN"/>
              </w:rPr>
              <w:t>Doses per month</w:t>
            </w:r>
          </w:p>
        </w:tc>
        <w:tc>
          <w:tcPr>
            <w:tcW w:w="1276"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18502E">
              <w:rPr>
                <w:color w:val="auto"/>
                <w:sz w:val="20"/>
                <w:lang w:eastAsia="zh-CN"/>
              </w:rPr>
              <w:t>30.4</w:t>
            </w:r>
            <w:r w:rsidRPr="0018502E">
              <w:rPr>
                <w:color w:val="auto"/>
                <w:sz w:val="20"/>
                <w:vertAlign w:val="superscript"/>
                <w:lang w:eastAsia="zh-CN"/>
              </w:rPr>
              <w:t>b</w:t>
            </w:r>
          </w:p>
        </w:tc>
        <w:tc>
          <w:tcPr>
            <w:tcW w:w="1438"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18502E">
              <w:rPr>
                <w:color w:val="auto"/>
                <w:sz w:val="20"/>
                <w:lang w:eastAsia="zh-CN"/>
              </w:rPr>
              <w:t>1.4</w:t>
            </w:r>
            <w:r w:rsidRPr="0018502E">
              <w:rPr>
                <w:color w:val="auto"/>
                <w:sz w:val="20"/>
                <w:vertAlign w:val="superscript"/>
                <w:lang w:eastAsia="zh-CN"/>
              </w:rPr>
              <w:t>c</w:t>
            </w:r>
          </w:p>
        </w:tc>
        <w:tc>
          <w:tcPr>
            <w:tcW w:w="1255"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18502E">
              <w:rPr>
                <w:color w:val="auto"/>
                <w:sz w:val="20"/>
                <w:lang w:eastAsia="zh-CN"/>
              </w:rPr>
              <w:t>1.4</w:t>
            </w:r>
            <w:r w:rsidRPr="0018502E">
              <w:rPr>
                <w:color w:val="auto"/>
                <w:sz w:val="20"/>
                <w:vertAlign w:val="superscript"/>
                <w:lang w:eastAsia="zh-CN"/>
              </w:rPr>
              <w:t>c</w:t>
            </w:r>
          </w:p>
        </w:tc>
        <w:tc>
          <w:tcPr>
            <w:tcW w:w="1276"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18502E">
              <w:rPr>
                <w:color w:val="auto"/>
                <w:sz w:val="20"/>
                <w:lang w:eastAsia="zh-CN"/>
              </w:rPr>
              <w:t>1.4</w:t>
            </w:r>
            <w:r w:rsidRPr="0018502E">
              <w:rPr>
                <w:color w:val="auto"/>
                <w:sz w:val="20"/>
                <w:vertAlign w:val="superscript"/>
                <w:lang w:eastAsia="zh-CN"/>
              </w:rPr>
              <w:t>c</w:t>
            </w:r>
          </w:p>
        </w:tc>
        <w:tc>
          <w:tcPr>
            <w:tcW w:w="1865" w:type="dxa"/>
            <w:noWrap/>
            <w:hideMark/>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18502E">
              <w:rPr>
                <w:color w:val="auto"/>
                <w:sz w:val="20"/>
                <w:lang w:eastAsia="zh-CN"/>
              </w:rPr>
              <w:t>1.4</w:t>
            </w:r>
            <w:r w:rsidRPr="0018502E">
              <w:rPr>
                <w:color w:val="auto"/>
                <w:sz w:val="20"/>
                <w:vertAlign w:val="superscript"/>
                <w:lang w:eastAsia="zh-CN"/>
              </w:rPr>
              <w:t>c</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rsidR="0059661C" w:rsidRPr="0018502E" w:rsidRDefault="0059661C" w:rsidP="00265F9B">
            <w:pPr>
              <w:keepNext/>
              <w:keepLines/>
              <w:spacing w:before="0"/>
              <w:ind w:right="-57"/>
              <w:jc w:val="left"/>
              <w:rPr>
                <w:color w:val="auto"/>
                <w:sz w:val="20"/>
                <w:lang w:eastAsia="zh-CN"/>
              </w:rPr>
            </w:pPr>
            <w:r w:rsidRPr="0018502E">
              <w:rPr>
                <w:color w:val="auto"/>
                <w:sz w:val="20"/>
                <w:lang w:eastAsia="zh-CN"/>
              </w:rPr>
              <w:t>Drug cost per month</w:t>
            </w:r>
          </w:p>
        </w:tc>
        <w:tc>
          <w:tcPr>
            <w:tcW w:w="1276" w:type="dxa"/>
            <w:noWrap/>
            <w:vAlign w:val="top"/>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sz w:val="20"/>
              </w:rPr>
              <w:t>$</w:t>
            </w:r>
            <w:r w:rsidRPr="00573E78">
              <w:rPr>
                <w:sz w:val="20"/>
              </w:rPr>
              <w:t>9,336.88</w:t>
            </w:r>
          </w:p>
        </w:tc>
        <w:tc>
          <w:tcPr>
            <w:tcW w:w="1438" w:type="dxa"/>
            <w:noWrap/>
            <w:vAlign w:val="top"/>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sz w:val="20"/>
              </w:rPr>
              <w:t>$11,667.71</w:t>
            </w:r>
          </w:p>
        </w:tc>
        <w:tc>
          <w:tcPr>
            <w:tcW w:w="1255" w:type="dxa"/>
            <w:noWrap/>
            <w:vAlign w:val="top"/>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sz w:val="20"/>
              </w:rPr>
              <w:t>$133.29</w:t>
            </w:r>
          </w:p>
        </w:tc>
        <w:tc>
          <w:tcPr>
            <w:tcW w:w="1276" w:type="dxa"/>
            <w:noWrap/>
            <w:vAlign w:val="top"/>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sz w:val="20"/>
              </w:rPr>
              <w:t>$77.86</w:t>
            </w:r>
          </w:p>
        </w:tc>
        <w:tc>
          <w:tcPr>
            <w:tcW w:w="1865" w:type="dxa"/>
            <w:noWrap/>
            <w:vAlign w:val="top"/>
          </w:tcPr>
          <w:p w:rsidR="0059661C" w:rsidRPr="0018502E"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18502E">
              <w:rPr>
                <w:sz w:val="20"/>
              </w:rPr>
              <w:t>$43.03</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tcPr>
          <w:p w:rsidR="0059661C" w:rsidRPr="00974E11" w:rsidRDefault="0059661C" w:rsidP="00265F9B">
            <w:pPr>
              <w:keepNext/>
              <w:keepLines/>
              <w:spacing w:before="0"/>
              <w:ind w:right="-57"/>
              <w:jc w:val="left"/>
              <w:rPr>
                <w:sz w:val="20"/>
                <w:lang w:eastAsia="zh-CN"/>
              </w:rPr>
            </w:pPr>
            <w:r w:rsidRPr="00974E11">
              <w:rPr>
                <w:sz w:val="20"/>
                <w:lang w:eastAsia="zh-CN"/>
              </w:rPr>
              <w:t>Treatment duration</w:t>
            </w:r>
          </w:p>
        </w:tc>
        <w:tc>
          <w:tcPr>
            <w:tcW w:w="1276" w:type="dxa"/>
            <w:noWrap/>
          </w:tcPr>
          <w:p w:rsidR="0059661C" w:rsidRPr="00974E11"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974E11">
              <w:rPr>
                <w:sz w:val="20"/>
                <w:lang w:eastAsia="zh-CN"/>
              </w:rPr>
              <w:t>13.4 months</w:t>
            </w:r>
          </w:p>
        </w:tc>
        <w:tc>
          <w:tcPr>
            <w:tcW w:w="1438" w:type="dxa"/>
            <w:noWrap/>
          </w:tcPr>
          <w:p w:rsidR="0059661C" w:rsidRPr="00974E11"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974E11">
              <w:rPr>
                <w:sz w:val="20"/>
                <w:lang w:eastAsia="zh-CN"/>
              </w:rPr>
              <w:t>11.4 months</w:t>
            </w:r>
          </w:p>
        </w:tc>
        <w:tc>
          <w:tcPr>
            <w:tcW w:w="1255" w:type="dxa"/>
            <w:noWrap/>
          </w:tcPr>
          <w:p w:rsidR="0059661C" w:rsidRPr="00974E11"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974E11">
              <w:rPr>
                <w:sz w:val="20"/>
                <w:lang w:eastAsia="zh-CN"/>
              </w:rPr>
              <w:t>11.4 months</w:t>
            </w:r>
          </w:p>
        </w:tc>
        <w:tc>
          <w:tcPr>
            <w:tcW w:w="1276" w:type="dxa"/>
            <w:noWrap/>
          </w:tcPr>
          <w:p w:rsidR="0059661C" w:rsidRPr="00974E11"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974E11">
              <w:rPr>
                <w:sz w:val="20"/>
                <w:lang w:eastAsia="zh-CN"/>
              </w:rPr>
              <w:t>2.6 months</w:t>
            </w:r>
          </w:p>
        </w:tc>
        <w:tc>
          <w:tcPr>
            <w:tcW w:w="1865" w:type="dxa"/>
            <w:noWrap/>
          </w:tcPr>
          <w:p w:rsidR="0059661C" w:rsidRPr="00974E11" w:rsidRDefault="0059661C" w:rsidP="00265F9B">
            <w:pPr>
              <w:keepNext/>
              <w:keepLines/>
              <w:spacing w:before="0"/>
              <w:ind w:right="-57"/>
              <w:jc w:val="left"/>
              <w:cnfStyle w:val="000000000000" w:firstRow="0" w:lastRow="0" w:firstColumn="0" w:lastColumn="0" w:oddVBand="0" w:evenVBand="0" w:oddHBand="0" w:evenHBand="0" w:firstRowFirstColumn="0" w:firstRowLastColumn="0" w:lastRowFirstColumn="0" w:lastRowLastColumn="0"/>
              <w:rPr>
                <w:sz w:val="20"/>
                <w:lang w:eastAsia="zh-CN"/>
              </w:rPr>
            </w:pPr>
            <w:r w:rsidRPr="00974E11">
              <w:rPr>
                <w:sz w:val="20"/>
                <w:lang w:eastAsia="zh-CN"/>
              </w:rPr>
              <w:t>2.6 months</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rsidR="0059661C" w:rsidRPr="00B92D96" w:rsidRDefault="0059661C" w:rsidP="00265F9B">
            <w:pPr>
              <w:keepNext/>
              <w:keepLines/>
              <w:spacing w:before="0"/>
              <w:ind w:right="-57"/>
              <w:jc w:val="left"/>
              <w:rPr>
                <w:color w:val="auto"/>
                <w:sz w:val="20"/>
                <w:lang w:eastAsia="zh-CN"/>
              </w:rPr>
            </w:pPr>
            <w:r w:rsidRPr="00B92D96">
              <w:rPr>
                <w:color w:val="auto"/>
                <w:sz w:val="20"/>
                <w:lang w:eastAsia="zh-CN"/>
              </w:rPr>
              <w:t>Drug cost</w:t>
            </w:r>
          </w:p>
        </w:tc>
        <w:tc>
          <w:tcPr>
            <w:tcW w:w="1276" w:type="dxa"/>
            <w:noWrap/>
            <w:hideMark/>
          </w:tcPr>
          <w:p w:rsidR="0059661C" w:rsidRPr="00B92D96"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w:t>
            </w:r>
            <w:r w:rsidRPr="00573E78">
              <w:rPr>
                <w:color w:val="auto"/>
                <w:sz w:val="20"/>
                <w:lang w:eastAsia="zh-CN"/>
              </w:rPr>
              <w:t>124,671.06</w:t>
            </w:r>
          </w:p>
        </w:tc>
        <w:tc>
          <w:tcPr>
            <w:tcW w:w="1438" w:type="dxa"/>
            <w:noWrap/>
            <w:hideMark/>
          </w:tcPr>
          <w:p w:rsidR="0059661C" w:rsidRPr="00B92D96"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$132,554.37</w:t>
            </w:r>
          </w:p>
        </w:tc>
        <w:tc>
          <w:tcPr>
            <w:tcW w:w="1255" w:type="dxa"/>
            <w:noWrap/>
            <w:hideMark/>
          </w:tcPr>
          <w:p w:rsidR="0059661C" w:rsidRPr="00B92D96"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color w:val="auto"/>
                <w:sz w:val="20"/>
                <w:lang w:eastAsia="zh-CN"/>
              </w:rPr>
            </w:pPr>
            <w:r w:rsidRPr="00B92D96">
              <w:rPr>
                <w:color w:val="auto"/>
                <w:sz w:val="20"/>
                <w:lang w:eastAsia="zh-CN"/>
              </w:rPr>
              <w:t>$1,514.25</w:t>
            </w:r>
          </w:p>
        </w:tc>
        <w:tc>
          <w:tcPr>
            <w:tcW w:w="3141" w:type="dxa"/>
            <w:gridSpan w:val="2"/>
            <w:noWrap/>
            <w:hideMark/>
          </w:tcPr>
          <w:p w:rsidR="0059661C" w:rsidRPr="00B92D96"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vertAlign w:val="superscript"/>
                <w:lang w:eastAsia="zh-CN"/>
              </w:rPr>
            </w:pPr>
            <w:r w:rsidRPr="00B92D96">
              <w:rPr>
                <w:color w:val="auto"/>
                <w:sz w:val="20"/>
                <w:lang w:eastAsia="zh-CN"/>
              </w:rPr>
              <w:t>$170.58</w:t>
            </w:r>
            <w:r w:rsidRPr="00B92D96">
              <w:rPr>
                <w:color w:val="auto"/>
                <w:sz w:val="20"/>
                <w:vertAlign w:val="superscript"/>
                <w:lang w:eastAsia="zh-CN"/>
              </w:rPr>
              <w:t>d</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tcPr>
          <w:p w:rsidR="0059661C" w:rsidRPr="00B92D96" w:rsidRDefault="0059661C" w:rsidP="00265F9B">
            <w:pPr>
              <w:keepNext/>
              <w:keepLines/>
              <w:spacing w:before="0"/>
              <w:ind w:right="-57"/>
              <w:jc w:val="left"/>
              <w:rPr>
                <w:sz w:val="20"/>
                <w:lang w:eastAsia="zh-CN"/>
              </w:rPr>
            </w:pPr>
            <w:r w:rsidRPr="00B92D96">
              <w:rPr>
                <w:sz w:val="20"/>
                <w:lang w:eastAsia="zh-CN"/>
              </w:rPr>
              <w:t>Total drug acquisition cost</w:t>
            </w:r>
          </w:p>
        </w:tc>
        <w:tc>
          <w:tcPr>
            <w:tcW w:w="1276" w:type="dxa"/>
            <w:noWrap/>
          </w:tcPr>
          <w:p w:rsidR="0059661C" w:rsidRPr="00B92D96"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sz w:val="20"/>
                <w:lang w:eastAsia="zh-CN"/>
              </w:rPr>
            </w:pPr>
            <w:r w:rsidRPr="00B92D96">
              <w:rPr>
                <w:sz w:val="20"/>
                <w:lang w:eastAsia="zh-CN"/>
              </w:rPr>
              <w:t>$</w:t>
            </w:r>
            <w:r w:rsidRPr="00573E78">
              <w:rPr>
                <w:sz w:val="20"/>
                <w:lang w:eastAsia="zh-CN"/>
              </w:rPr>
              <w:t>124,671.06</w:t>
            </w:r>
          </w:p>
        </w:tc>
        <w:tc>
          <w:tcPr>
            <w:tcW w:w="5834" w:type="dxa"/>
            <w:gridSpan w:val="4"/>
            <w:noWrap/>
          </w:tcPr>
          <w:p w:rsidR="0059661C" w:rsidRPr="00B92D96"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sz w:val="20"/>
                <w:lang w:eastAsia="zh-CN"/>
              </w:rPr>
            </w:pPr>
            <w:r w:rsidRPr="00B92D96">
              <w:rPr>
                <w:sz w:val="20"/>
                <w:lang w:eastAsia="zh-CN"/>
              </w:rPr>
              <w:t>$134,239.20</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tcPr>
          <w:p w:rsidR="0059661C" w:rsidRPr="00B92D96" w:rsidRDefault="0059661C" w:rsidP="00265F9B">
            <w:pPr>
              <w:keepNext/>
              <w:keepLines/>
              <w:spacing w:before="0"/>
              <w:ind w:right="-57"/>
              <w:jc w:val="left"/>
              <w:rPr>
                <w:sz w:val="20"/>
                <w:lang w:eastAsia="zh-CN"/>
              </w:rPr>
            </w:pPr>
            <w:r w:rsidRPr="00B92D96">
              <w:rPr>
                <w:sz w:val="20"/>
                <w:lang w:eastAsia="zh-CN"/>
              </w:rPr>
              <w:t>Administration cost</w:t>
            </w:r>
          </w:p>
        </w:tc>
        <w:tc>
          <w:tcPr>
            <w:tcW w:w="1276" w:type="dxa"/>
            <w:noWrap/>
          </w:tcPr>
          <w:p w:rsidR="0059661C" w:rsidRPr="00B92D96"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sz w:val="20"/>
                <w:lang w:eastAsia="zh-CN"/>
              </w:rPr>
            </w:pPr>
            <w:r w:rsidRPr="00B92D96">
              <w:rPr>
                <w:sz w:val="20"/>
                <w:lang w:eastAsia="zh-CN"/>
              </w:rPr>
              <w:t>$0.00</w:t>
            </w:r>
          </w:p>
        </w:tc>
        <w:tc>
          <w:tcPr>
            <w:tcW w:w="5834" w:type="dxa"/>
            <w:gridSpan w:val="4"/>
            <w:noWrap/>
          </w:tcPr>
          <w:p w:rsidR="0059661C" w:rsidRPr="00B92D96"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sz w:val="20"/>
                <w:vertAlign w:val="superscript"/>
                <w:lang w:eastAsia="zh-CN"/>
              </w:rPr>
            </w:pPr>
            <w:r w:rsidRPr="00B92D96">
              <w:rPr>
                <w:sz w:val="20"/>
                <w:lang w:eastAsia="zh-CN"/>
              </w:rPr>
              <w:t>$1,599.37</w:t>
            </w:r>
            <w:r w:rsidRPr="00B92D96">
              <w:rPr>
                <w:sz w:val="20"/>
                <w:vertAlign w:val="superscript"/>
                <w:lang w:eastAsia="zh-CN"/>
              </w:rPr>
              <w:t>e</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rsidR="0059661C" w:rsidRPr="00B92D96" w:rsidRDefault="0059661C" w:rsidP="00265F9B">
            <w:pPr>
              <w:keepNext/>
              <w:keepLines/>
              <w:spacing w:before="0"/>
              <w:ind w:right="-57"/>
              <w:jc w:val="left"/>
              <w:rPr>
                <w:color w:val="auto"/>
                <w:sz w:val="20"/>
                <w:lang w:eastAsia="zh-CN"/>
              </w:rPr>
            </w:pPr>
            <w:r w:rsidRPr="00B92D96">
              <w:rPr>
                <w:color w:val="auto"/>
                <w:sz w:val="20"/>
                <w:lang w:eastAsia="zh-CN"/>
              </w:rPr>
              <w:t xml:space="preserve">Cost for </w:t>
            </w:r>
            <w:r w:rsidRPr="00B92D96">
              <w:rPr>
                <w:i/>
                <w:color w:val="auto"/>
                <w:sz w:val="20"/>
                <w:lang w:eastAsia="zh-CN"/>
              </w:rPr>
              <w:t>MET</w:t>
            </w:r>
            <w:r w:rsidRPr="00B92D96">
              <w:rPr>
                <w:color w:val="auto"/>
                <w:sz w:val="20"/>
                <w:lang w:eastAsia="zh-CN"/>
              </w:rPr>
              <w:t>ex14sk test</w:t>
            </w:r>
          </w:p>
        </w:tc>
        <w:tc>
          <w:tcPr>
            <w:tcW w:w="1276" w:type="dxa"/>
            <w:noWrap/>
            <w:hideMark/>
          </w:tcPr>
          <w:p w:rsidR="0059661C" w:rsidRPr="00B92D96"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color w:val="auto"/>
                <w:sz w:val="20"/>
                <w:vertAlign w:val="superscript"/>
                <w:lang w:eastAsia="zh-CN"/>
              </w:rPr>
            </w:pPr>
            <w:r w:rsidRPr="00B92D96">
              <w:rPr>
                <w:color w:val="auto"/>
                <w:sz w:val="20"/>
                <w:lang w:eastAsia="zh-CN"/>
              </w:rPr>
              <w:t>$11,127.50</w:t>
            </w:r>
            <w:r w:rsidRPr="00B92D96">
              <w:rPr>
                <w:color w:val="auto"/>
                <w:sz w:val="20"/>
                <w:vertAlign w:val="superscript"/>
                <w:lang w:eastAsia="zh-CN"/>
              </w:rPr>
              <w:t>f</w:t>
            </w:r>
          </w:p>
        </w:tc>
        <w:tc>
          <w:tcPr>
            <w:tcW w:w="5834" w:type="dxa"/>
            <w:gridSpan w:val="4"/>
            <w:noWrap/>
            <w:hideMark/>
          </w:tcPr>
          <w:p w:rsidR="0059661C" w:rsidRPr="00B92D96"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lang w:eastAsia="zh-CN"/>
              </w:rPr>
            </w:pPr>
            <w:r w:rsidRPr="00B92D96">
              <w:rPr>
                <w:color w:val="auto"/>
                <w:sz w:val="20"/>
                <w:lang w:eastAsia="zh-CN"/>
              </w:rPr>
              <w:t>$0.00</w:t>
            </w:r>
          </w:p>
        </w:tc>
      </w:tr>
      <w:tr w:rsidR="0059661C" w:rsidRPr="00B92D96" w:rsidTr="00A355EE">
        <w:tc>
          <w:tcPr>
            <w:cnfStyle w:val="001000000000" w:firstRow="0" w:lastRow="0" w:firstColumn="1" w:lastColumn="0" w:oddVBand="0" w:evenVBand="0" w:oddHBand="0" w:evenHBand="0" w:firstRowFirstColumn="0" w:firstRowLastColumn="0" w:lastRowFirstColumn="0" w:lastRowLastColumn="0"/>
            <w:tcW w:w="1980" w:type="dxa"/>
            <w:noWrap/>
            <w:hideMark/>
          </w:tcPr>
          <w:p w:rsidR="0059661C" w:rsidRPr="00B92D96" w:rsidRDefault="0059661C" w:rsidP="00265F9B">
            <w:pPr>
              <w:keepNext/>
              <w:keepLines/>
              <w:spacing w:before="0"/>
              <w:ind w:right="-57"/>
              <w:jc w:val="left"/>
              <w:rPr>
                <w:b/>
                <w:color w:val="auto"/>
                <w:sz w:val="20"/>
                <w:lang w:eastAsia="zh-CN"/>
              </w:rPr>
            </w:pPr>
            <w:r w:rsidRPr="00B92D96">
              <w:rPr>
                <w:b/>
                <w:color w:val="auto"/>
                <w:sz w:val="20"/>
                <w:lang w:eastAsia="zh-CN"/>
              </w:rPr>
              <w:t>Total treatment cost</w:t>
            </w:r>
          </w:p>
        </w:tc>
        <w:tc>
          <w:tcPr>
            <w:tcW w:w="1276" w:type="dxa"/>
            <w:noWrap/>
            <w:hideMark/>
          </w:tcPr>
          <w:p w:rsidR="0059661C" w:rsidRPr="00B92D96" w:rsidRDefault="0059661C" w:rsidP="00265F9B">
            <w:pPr>
              <w:keepNext/>
              <w:keepLines/>
              <w:spacing w:before="0"/>
              <w:jc w:val="left"/>
              <w:cnfStyle w:val="000000000000" w:firstRow="0" w:lastRow="0" w:firstColumn="0" w:lastColumn="0" w:oddVBand="0" w:evenVBand="0" w:oddHBand="0" w:evenHBand="0" w:firstRowFirstColumn="0" w:firstRowLastColumn="0" w:lastRowFirstColumn="0" w:lastRowLastColumn="0"/>
              <w:rPr>
                <w:b/>
                <w:color w:val="auto"/>
                <w:sz w:val="20"/>
                <w:lang w:eastAsia="zh-CN"/>
              </w:rPr>
            </w:pPr>
            <w:r w:rsidRPr="00B92D96">
              <w:rPr>
                <w:b/>
                <w:color w:val="auto"/>
                <w:sz w:val="20"/>
                <w:lang w:eastAsia="zh-CN"/>
              </w:rPr>
              <w:t>$</w:t>
            </w:r>
            <w:r w:rsidRPr="00573E78">
              <w:rPr>
                <w:b/>
                <w:color w:val="auto"/>
                <w:sz w:val="20"/>
                <w:lang w:eastAsia="zh-CN"/>
              </w:rPr>
              <w:t>135,798.56</w:t>
            </w:r>
          </w:p>
        </w:tc>
        <w:tc>
          <w:tcPr>
            <w:tcW w:w="5834" w:type="dxa"/>
            <w:gridSpan w:val="4"/>
            <w:noWrap/>
            <w:hideMark/>
          </w:tcPr>
          <w:p w:rsidR="0059661C" w:rsidRPr="00B92D96" w:rsidRDefault="0059661C" w:rsidP="00265F9B">
            <w:pPr>
              <w:keepNext/>
              <w:keepLine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lang w:eastAsia="zh-CN"/>
              </w:rPr>
            </w:pPr>
            <w:r w:rsidRPr="00B92D96">
              <w:rPr>
                <w:b/>
                <w:color w:val="auto"/>
                <w:sz w:val="20"/>
                <w:lang w:eastAsia="zh-CN"/>
              </w:rPr>
              <w:t>$135,798.56</w:t>
            </w:r>
          </w:p>
        </w:tc>
      </w:tr>
    </w:tbl>
    <w:p w:rsidR="0059661C" w:rsidRPr="00B92D96" w:rsidRDefault="0059661C" w:rsidP="00265F9B">
      <w:pPr>
        <w:pStyle w:val="TableFooter"/>
        <w:keepNext/>
        <w:keepLines/>
      </w:pPr>
      <w:r w:rsidRPr="00B92D96">
        <w:rPr>
          <w:i/>
        </w:rPr>
        <w:t>MET</w:t>
      </w:r>
      <w:r w:rsidRPr="00B92D96">
        <w:t xml:space="preserve">ex14sk = </w:t>
      </w:r>
      <w:r w:rsidR="001C3B0D" w:rsidRPr="001C3B0D">
        <w:t xml:space="preserve">MET proto-oncogene, receptor tyrosine kinase </w:t>
      </w:r>
      <w:r w:rsidRPr="00B92D96">
        <w:t>exon 14 skipping alterations</w:t>
      </w:r>
    </w:p>
    <w:p w:rsidR="0059661C" w:rsidRPr="00B92D96" w:rsidRDefault="0059661C" w:rsidP="00265F9B">
      <w:pPr>
        <w:pStyle w:val="TableFooter"/>
        <w:keepNext/>
        <w:keepLines/>
        <w:tabs>
          <w:tab w:val="left" w:pos="426"/>
        </w:tabs>
      </w:pPr>
      <w:proofErr w:type="spellStart"/>
      <w:proofErr w:type="gramStart"/>
      <w:r w:rsidRPr="00B92D96">
        <w:rPr>
          <w:vertAlign w:val="superscript"/>
        </w:rPr>
        <w:t>a</w:t>
      </w:r>
      <w:proofErr w:type="spellEnd"/>
      <w:proofErr w:type="gramEnd"/>
      <w:r w:rsidRPr="00B92D96">
        <w:rPr>
          <w:vertAlign w:val="superscript"/>
        </w:rPr>
        <w:t xml:space="preserve"> </w:t>
      </w:r>
      <w:r w:rsidRPr="00B92D96">
        <w:t>The calculated ex-manufacturer price for tepotinib was $</w:t>
      </w:r>
      <w:r w:rsidRPr="00573E78">
        <w:t>10,543.32</w:t>
      </w:r>
      <w:r w:rsidRPr="00B92D96">
        <w:t xml:space="preserve"> per pack of 225mg x 60 tablets. Per tablet cost of $</w:t>
      </w:r>
      <w:r w:rsidRPr="00573E78">
        <w:t>175.72</w:t>
      </w:r>
      <w:r w:rsidRPr="00B92D96">
        <w:t xml:space="preserve"> = $</w:t>
      </w:r>
      <w:r w:rsidRPr="00573E78">
        <w:t>10,543.32</w:t>
      </w:r>
      <w:r w:rsidRPr="00B92D96">
        <w:t>/60.</w:t>
      </w:r>
    </w:p>
    <w:p w:rsidR="0059661C" w:rsidRPr="00B92D96" w:rsidRDefault="0059661C" w:rsidP="00265F9B">
      <w:pPr>
        <w:pStyle w:val="TableFooter"/>
        <w:keepNext/>
        <w:keepLines/>
      </w:pPr>
      <w:proofErr w:type="gramStart"/>
      <w:r w:rsidRPr="00B92D96">
        <w:rPr>
          <w:vertAlign w:val="superscript"/>
        </w:rPr>
        <w:t>b</w:t>
      </w:r>
      <w:proofErr w:type="gramEnd"/>
      <w:r w:rsidRPr="00B92D96">
        <w:t xml:space="preserve"> The dose frequency for tepotinib is once daily. Number of doses per month (30.4) = 365.25/12.</w:t>
      </w:r>
    </w:p>
    <w:p w:rsidR="0059661C" w:rsidRPr="00B92D96" w:rsidRDefault="0059661C" w:rsidP="00265F9B">
      <w:pPr>
        <w:pStyle w:val="TableFooter"/>
        <w:keepNext/>
        <w:keepLines/>
      </w:pPr>
      <w:proofErr w:type="gramStart"/>
      <w:r w:rsidRPr="00B92D96">
        <w:rPr>
          <w:vertAlign w:val="superscript"/>
        </w:rPr>
        <w:t>c</w:t>
      </w:r>
      <w:proofErr w:type="gramEnd"/>
      <w:r w:rsidRPr="00B92D96">
        <w:t xml:space="preserve"> The dose frequency for pembrolizumab, </w:t>
      </w:r>
      <w:proofErr w:type="spellStart"/>
      <w:r w:rsidRPr="00B92D96">
        <w:t>pemetrexed</w:t>
      </w:r>
      <w:proofErr w:type="spellEnd"/>
      <w:r w:rsidRPr="00B92D96">
        <w:t>, cisplatin and carboplatin is once every 21 days. Number of doses per month (1.4) = 365.25/21/12.</w:t>
      </w:r>
    </w:p>
    <w:p w:rsidR="0059661C" w:rsidRPr="00B92D96" w:rsidRDefault="0059661C" w:rsidP="00265F9B">
      <w:pPr>
        <w:pStyle w:val="TableFooter"/>
        <w:keepNext/>
        <w:keepLines/>
      </w:pPr>
      <w:proofErr w:type="gramStart"/>
      <w:r w:rsidRPr="00B92D96">
        <w:rPr>
          <w:vertAlign w:val="superscript"/>
        </w:rPr>
        <w:t>d</w:t>
      </w:r>
      <w:proofErr w:type="gramEnd"/>
      <w:r w:rsidRPr="00B92D96">
        <w:rPr>
          <w:vertAlign w:val="superscript"/>
        </w:rPr>
        <w:t xml:space="preserve"> </w:t>
      </w:r>
      <w:r w:rsidRPr="00B92D96">
        <w:t>Weighted by assuming 66.5% patients on carboplatin and 33.5% on cisplatin.</w:t>
      </w:r>
    </w:p>
    <w:p w:rsidR="0059661C" w:rsidRPr="00B92D96" w:rsidRDefault="0059661C" w:rsidP="00265F9B">
      <w:pPr>
        <w:pStyle w:val="TableFooter"/>
        <w:keepNext/>
        <w:keepLines/>
      </w:pPr>
      <w:r w:rsidRPr="00B92D96">
        <w:rPr>
          <w:vertAlign w:val="superscript"/>
        </w:rPr>
        <w:t xml:space="preserve">e </w:t>
      </w:r>
      <w:r w:rsidRPr="00B92D96">
        <w:t>$1,599.37 = $94.70 x 1.4 x 11.4, where $94.70 is the 85% Benefit of MBS fee for chemotherapy administration (item 13950), 1.4 is the number of doses per month and 11.4 is the treatment duration in months.</w:t>
      </w:r>
    </w:p>
    <w:p w:rsidR="0059661C" w:rsidRPr="00B92D96" w:rsidRDefault="0059661C" w:rsidP="00265F9B">
      <w:pPr>
        <w:pStyle w:val="TableFooter"/>
        <w:keepNext/>
        <w:keepLines/>
      </w:pPr>
      <w:r w:rsidRPr="00B92D96">
        <w:rPr>
          <w:vertAlign w:val="superscript"/>
        </w:rPr>
        <w:t xml:space="preserve">f </w:t>
      </w:r>
      <w:r w:rsidRPr="00B92D96">
        <w:t xml:space="preserve">$11,127.50 = $337.75 x 32.9, where $337.75 is the 85% Benefit of MBS Schedule fee for </w:t>
      </w:r>
      <w:r w:rsidRPr="00B92D96">
        <w:rPr>
          <w:i/>
        </w:rPr>
        <w:t>MET</w:t>
      </w:r>
      <w:r w:rsidRPr="00B92D96">
        <w:t>ex14sk testing and 32.9 is the number of patients needed to be tested to identify one mutation positive case.</w:t>
      </w:r>
    </w:p>
    <w:p w:rsidR="00BD3970" w:rsidRPr="00B92D96" w:rsidRDefault="00BD3970" w:rsidP="00265F9B">
      <w:pPr>
        <w:pStyle w:val="TableFooter"/>
        <w:keepNext/>
        <w:keepLines/>
      </w:pPr>
      <w:proofErr w:type="gramStart"/>
      <w:r w:rsidRPr="00B92D96">
        <w:rPr>
          <w:vertAlign w:val="superscript"/>
        </w:rPr>
        <w:t>g</w:t>
      </w:r>
      <w:proofErr w:type="gramEnd"/>
      <w:r w:rsidRPr="00B92D96">
        <w:rPr>
          <w:vertAlign w:val="superscript"/>
        </w:rPr>
        <w:t xml:space="preserve"> </w:t>
      </w:r>
      <w:r w:rsidRPr="00F13980">
        <w:t xml:space="preserve">The </w:t>
      </w:r>
      <w:r w:rsidRPr="00B92D96">
        <w:t xml:space="preserve">cost-minimisation </w:t>
      </w:r>
      <w:r w:rsidR="0019205F">
        <w:t xml:space="preserve">approach </w:t>
      </w:r>
      <w:r w:rsidRPr="00B92D96">
        <w:t>used the published ex-manufacturer price of</w:t>
      </w:r>
      <w:r w:rsidRPr="00F13980">
        <w:t xml:space="preserve"> pembrolizumab prior to its statutory price reduction in April 2021.</w:t>
      </w:r>
    </w:p>
    <w:p w:rsidR="0059661C" w:rsidRPr="00B92D96" w:rsidRDefault="008F5A36" w:rsidP="000F0026">
      <w:pPr>
        <w:pStyle w:val="TableFooter"/>
      </w:pPr>
      <w:r w:rsidRPr="00B92D96">
        <w:rPr>
          <w:rFonts w:eastAsiaTheme="minorEastAsia"/>
        </w:rPr>
        <w:t xml:space="preserve">Source: </w:t>
      </w:r>
      <w:r w:rsidRPr="00523C35">
        <w:rPr>
          <w:rFonts w:eastAsiaTheme="minorEastAsia"/>
        </w:rPr>
        <w:t>Table compiled during the evaluation</w:t>
      </w:r>
      <w:r w:rsidRPr="00B92D96">
        <w:rPr>
          <w:rFonts w:eastAsiaTheme="minorEastAsia"/>
          <w:i/>
        </w:rPr>
        <w:t xml:space="preserve">, </w:t>
      </w:r>
      <w:r w:rsidRPr="00B92D96">
        <w:rPr>
          <w:rFonts w:eastAsiaTheme="minorEastAsia"/>
        </w:rPr>
        <w:t>based on Table 3-13, p145 of the submission and the “20210607 Tepotinib Section 3 Workbook CMA V2.1 (FINAL)” Excel workbook</w:t>
      </w:r>
    </w:p>
    <w:p w:rsidR="0059661C" w:rsidRPr="000F0026" w:rsidRDefault="0059661C" w:rsidP="0059661C">
      <w:pPr>
        <w:pStyle w:val="ListParagraph"/>
        <w:numPr>
          <w:ilvl w:val="4"/>
          <w:numId w:val="1"/>
        </w:numPr>
        <w:rPr>
          <w:iCs/>
          <w:color w:val="auto"/>
        </w:rPr>
      </w:pPr>
      <w:r w:rsidRPr="007E4DDD">
        <w:rPr>
          <w:color w:val="auto"/>
        </w:rPr>
        <w:t xml:space="preserve">The submission’s base case CMA used 85% of the MBS fees for </w:t>
      </w:r>
      <w:r w:rsidRPr="00057280">
        <w:rPr>
          <w:i/>
          <w:color w:val="auto"/>
        </w:rPr>
        <w:t>MET</w:t>
      </w:r>
      <w:r w:rsidRPr="007E4DDD">
        <w:rPr>
          <w:color w:val="auto"/>
        </w:rPr>
        <w:t xml:space="preserve">ex14sk testing and chemotherapy </w:t>
      </w:r>
      <w:r w:rsidR="008F5A36" w:rsidRPr="007E4DDD">
        <w:rPr>
          <w:color w:val="auto"/>
        </w:rPr>
        <w:t>administration</w:t>
      </w:r>
      <w:r w:rsidRPr="007E4DDD">
        <w:rPr>
          <w:color w:val="auto"/>
        </w:rPr>
        <w:t xml:space="preserve">, not the 100% MBS Schedule fees. In addition, the drug costs for </w:t>
      </w:r>
      <w:proofErr w:type="spellStart"/>
      <w:r w:rsidRPr="007E4DDD">
        <w:rPr>
          <w:color w:val="auto"/>
        </w:rPr>
        <w:t>pemetrexed</w:t>
      </w:r>
      <w:proofErr w:type="spellEnd"/>
      <w:r w:rsidRPr="007E4DDD">
        <w:rPr>
          <w:color w:val="auto"/>
        </w:rPr>
        <w:t xml:space="preserve"> and carboplatin were not calculated on the basis of the most efficient vial combination. If both errors were corrected, the ex-manufacturer price for tepotinib would decrease slightly from $</w:t>
      </w:r>
      <w:r w:rsidRPr="00573E78">
        <w:rPr>
          <w:color w:val="auto"/>
        </w:rPr>
        <w:t>10,543.32</w:t>
      </w:r>
      <w:r w:rsidRPr="007E4DDD">
        <w:rPr>
          <w:color w:val="auto"/>
        </w:rPr>
        <w:t xml:space="preserve"> per 225</w:t>
      </w:r>
      <w:r w:rsidR="00B96DB1">
        <w:rPr>
          <w:color w:val="auto"/>
        </w:rPr>
        <w:t xml:space="preserve"> </w:t>
      </w:r>
      <w:r w:rsidRPr="007E4DDD">
        <w:rPr>
          <w:color w:val="auto"/>
        </w:rPr>
        <w:t>mg x 60 tablets to $</w:t>
      </w:r>
      <w:r w:rsidRPr="00573E78">
        <w:rPr>
          <w:color w:val="auto"/>
        </w:rPr>
        <w:t>10,386.73</w:t>
      </w:r>
      <w:r w:rsidRPr="007E4DDD">
        <w:rPr>
          <w:color w:val="auto"/>
        </w:rPr>
        <w:t>.</w:t>
      </w:r>
      <w:r w:rsidR="00FD3E7D">
        <w:rPr>
          <w:color w:val="auto"/>
        </w:rPr>
        <w:t xml:space="preserve"> </w:t>
      </w:r>
      <w:r w:rsidR="00FD3E7D" w:rsidRPr="002363FC">
        <w:rPr>
          <w:color w:val="auto"/>
        </w:rPr>
        <w:t>The PSCR acknowledged the corrections applied to the CMA.</w:t>
      </w:r>
    </w:p>
    <w:p w:rsidR="0059661C" w:rsidRPr="007E4DDD" w:rsidRDefault="0059661C" w:rsidP="0059661C">
      <w:pPr>
        <w:pStyle w:val="ListParagraph"/>
        <w:numPr>
          <w:ilvl w:val="4"/>
          <w:numId w:val="1"/>
        </w:numPr>
        <w:rPr>
          <w:color w:val="auto"/>
        </w:rPr>
      </w:pPr>
      <w:r w:rsidRPr="007E4DDD">
        <w:rPr>
          <w:color w:val="auto"/>
        </w:rPr>
        <w:t>The results of key sensitivity analyses performed during the evaluation are presented below.</w:t>
      </w:r>
    </w:p>
    <w:p w:rsidR="0059661C" w:rsidRPr="00B92D96" w:rsidRDefault="00837378" w:rsidP="005D7976">
      <w:pPr>
        <w:pStyle w:val="Caption"/>
      </w:pPr>
      <w:r w:rsidRPr="00837378">
        <w:t xml:space="preserve">Table </w:t>
      </w:r>
      <w:r>
        <w:rPr>
          <w:noProof/>
        </w:rPr>
        <w:t>13</w:t>
      </w:r>
      <w:r w:rsidR="00F800E1">
        <w:rPr>
          <w:noProof/>
        </w:rPr>
        <w:t xml:space="preserve">: </w:t>
      </w:r>
      <w:r w:rsidR="0059661C" w:rsidRPr="00B92D96">
        <w:t>Results of sensitivity analyses performed during the evaluation</w:t>
      </w:r>
    </w:p>
    <w:tbl>
      <w:tblPr>
        <w:tblStyle w:val="PBACTableStyle"/>
        <w:tblW w:w="4974" w:type="pct"/>
        <w:tblLook w:val="04A0" w:firstRow="1" w:lastRow="0" w:firstColumn="1" w:lastColumn="0" w:noHBand="0" w:noVBand="1"/>
        <w:tblCaption w:val="Table 13: Results of sensitivity analyses performed during the evaluation"/>
      </w:tblPr>
      <w:tblGrid>
        <w:gridCol w:w="2523"/>
        <w:gridCol w:w="3185"/>
        <w:gridCol w:w="1188"/>
        <w:gridCol w:w="1097"/>
        <w:gridCol w:w="976"/>
      </w:tblGrid>
      <w:tr w:rsidR="0059661C" w:rsidRPr="007E4DDD" w:rsidTr="00FD0BD5">
        <w:trPr>
          <w:cnfStyle w:val="100000000000" w:firstRow="1" w:lastRow="0" w:firstColumn="0" w:lastColumn="0" w:oddVBand="0" w:evenVBand="0" w:oddHBand="0" w:evenHBand="0" w:firstRowFirstColumn="0" w:firstRowLastColumn="0" w:lastRowFirstColumn="0" w:lastRowLastColumn="0"/>
          <w:trHeight w:val="469"/>
          <w:tblHeader/>
        </w:trPr>
        <w:tc>
          <w:tcPr>
            <w:cnfStyle w:val="001000000000" w:firstRow="0" w:lastRow="0" w:firstColumn="1" w:lastColumn="0" w:oddVBand="0" w:evenVBand="0" w:oddHBand="0" w:evenHBand="0" w:firstRowFirstColumn="0" w:firstRowLastColumn="0" w:lastRowFirstColumn="0" w:lastRowLastColumn="0"/>
            <w:tcW w:w="1420" w:type="pct"/>
            <w:vMerge w:val="restart"/>
          </w:tcPr>
          <w:p w:rsidR="0059661C" w:rsidRPr="00803319" w:rsidRDefault="0059661C" w:rsidP="00265F9B">
            <w:pPr>
              <w:keepNext/>
              <w:keepLines/>
              <w:rPr>
                <w:b w:val="0"/>
                <w:sz w:val="20"/>
              </w:rPr>
            </w:pPr>
            <w:r w:rsidRPr="00803319">
              <w:rPr>
                <w:sz w:val="20"/>
              </w:rPr>
              <w:t>Variable</w:t>
            </w:r>
          </w:p>
        </w:tc>
        <w:tc>
          <w:tcPr>
            <w:tcW w:w="1789" w:type="pct"/>
            <w:vMerge w:val="restart"/>
          </w:tcPr>
          <w:p w:rsidR="0059661C" w:rsidRPr="00803319" w:rsidRDefault="0059661C" w:rsidP="00265F9B">
            <w:pPr>
              <w:keepNext/>
              <w:keepLines/>
              <w:cnfStyle w:val="100000000000" w:firstRow="1" w:lastRow="0" w:firstColumn="0" w:lastColumn="0" w:oddVBand="0" w:evenVBand="0" w:oddHBand="0" w:evenHBand="0" w:firstRowFirstColumn="0" w:firstRowLastColumn="0" w:lastRowFirstColumn="0" w:lastRowLastColumn="0"/>
              <w:rPr>
                <w:b w:val="0"/>
                <w:sz w:val="20"/>
              </w:rPr>
            </w:pPr>
            <w:r w:rsidRPr="00803319">
              <w:rPr>
                <w:sz w:val="20"/>
              </w:rPr>
              <w:t>Assumption in sensitivity analysis</w:t>
            </w:r>
          </w:p>
        </w:tc>
        <w:tc>
          <w:tcPr>
            <w:tcW w:w="609" w:type="pct"/>
            <w:vMerge w:val="restart"/>
          </w:tcPr>
          <w:p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b w:val="0"/>
                <w:sz w:val="20"/>
              </w:rPr>
            </w:pPr>
            <w:r w:rsidRPr="00803319">
              <w:rPr>
                <w:sz w:val="20"/>
              </w:rPr>
              <w:t>Total cost per patient</w:t>
            </w:r>
          </w:p>
        </w:tc>
        <w:tc>
          <w:tcPr>
            <w:tcW w:w="1182" w:type="pct"/>
            <w:gridSpan w:val="2"/>
          </w:tcPr>
          <w:p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sz w:val="20"/>
              </w:rPr>
            </w:pPr>
            <w:r w:rsidRPr="00803319">
              <w:rPr>
                <w:sz w:val="20"/>
              </w:rPr>
              <w:t>Ex-manufacture</w:t>
            </w:r>
            <w:r w:rsidR="007F6498" w:rsidRPr="00803319">
              <w:rPr>
                <w:sz w:val="20"/>
              </w:rPr>
              <w:t>r</w:t>
            </w:r>
            <w:r w:rsidRPr="00803319">
              <w:rPr>
                <w:sz w:val="20"/>
              </w:rPr>
              <w:t xml:space="preserve"> price per tepotinib 225</w:t>
            </w:r>
            <w:r w:rsidR="00004D00" w:rsidRPr="00803319">
              <w:rPr>
                <w:sz w:val="20"/>
              </w:rPr>
              <w:t> </w:t>
            </w:r>
            <w:r w:rsidRPr="00803319">
              <w:rPr>
                <w:sz w:val="20"/>
              </w:rPr>
              <w:t>mg x 60 tablets</w:t>
            </w:r>
          </w:p>
        </w:tc>
      </w:tr>
      <w:tr w:rsidR="0059661C" w:rsidRPr="007E4DDD" w:rsidTr="00FD0BD5">
        <w:trPr>
          <w:cnfStyle w:val="100000000000" w:firstRow="1" w:lastRow="0" w:firstColumn="0" w:lastColumn="0" w:oddVBand="0" w:evenVBand="0" w:oddHBand="0" w:evenHBand="0" w:firstRowFirstColumn="0" w:firstRowLastColumn="0" w:lastRowFirstColumn="0" w:lastRowLastColumn="0"/>
          <w:trHeight w:val="79"/>
          <w:tblHeader/>
        </w:trPr>
        <w:tc>
          <w:tcPr>
            <w:cnfStyle w:val="001000000000" w:firstRow="0" w:lastRow="0" w:firstColumn="1" w:lastColumn="0" w:oddVBand="0" w:evenVBand="0" w:oddHBand="0" w:evenHBand="0" w:firstRowFirstColumn="0" w:firstRowLastColumn="0" w:lastRowFirstColumn="0" w:lastRowLastColumn="0"/>
            <w:tcW w:w="1420" w:type="pct"/>
            <w:vMerge/>
          </w:tcPr>
          <w:p w:rsidR="0059661C" w:rsidRPr="00803319" w:rsidRDefault="0059661C" w:rsidP="00265F9B">
            <w:pPr>
              <w:keepNext/>
              <w:keepLines/>
              <w:rPr>
                <w:sz w:val="20"/>
              </w:rPr>
            </w:pPr>
          </w:p>
        </w:tc>
        <w:tc>
          <w:tcPr>
            <w:tcW w:w="1789" w:type="pct"/>
            <w:vMerge/>
          </w:tcPr>
          <w:p w:rsidR="0059661C" w:rsidRPr="00803319" w:rsidRDefault="0059661C" w:rsidP="00265F9B">
            <w:pPr>
              <w:keepNext/>
              <w:keepLines/>
              <w:cnfStyle w:val="100000000000" w:firstRow="1" w:lastRow="0" w:firstColumn="0" w:lastColumn="0" w:oddVBand="0" w:evenVBand="0" w:oddHBand="0" w:evenHBand="0" w:firstRowFirstColumn="0" w:firstRowLastColumn="0" w:lastRowFirstColumn="0" w:lastRowLastColumn="0"/>
              <w:rPr>
                <w:sz w:val="20"/>
              </w:rPr>
            </w:pPr>
          </w:p>
        </w:tc>
        <w:tc>
          <w:tcPr>
            <w:tcW w:w="609" w:type="pct"/>
            <w:vMerge/>
          </w:tcPr>
          <w:p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sz w:val="20"/>
              </w:rPr>
            </w:pPr>
          </w:p>
        </w:tc>
        <w:tc>
          <w:tcPr>
            <w:tcW w:w="619" w:type="pct"/>
          </w:tcPr>
          <w:p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b w:val="0"/>
                <w:sz w:val="20"/>
              </w:rPr>
            </w:pPr>
            <w:r w:rsidRPr="00803319">
              <w:rPr>
                <w:sz w:val="20"/>
              </w:rPr>
              <w:t>$</w:t>
            </w:r>
          </w:p>
        </w:tc>
        <w:tc>
          <w:tcPr>
            <w:tcW w:w="563" w:type="pct"/>
          </w:tcPr>
          <w:p w:rsidR="0059661C" w:rsidRPr="00803319" w:rsidRDefault="0059661C" w:rsidP="00265F9B">
            <w:pPr>
              <w:keepNext/>
              <w:keepLines/>
              <w:jc w:val="center"/>
              <w:cnfStyle w:val="100000000000" w:firstRow="1" w:lastRow="0" w:firstColumn="0" w:lastColumn="0" w:oddVBand="0" w:evenVBand="0" w:oddHBand="0" w:evenHBand="0" w:firstRowFirstColumn="0" w:firstRowLastColumn="0" w:lastRowFirstColumn="0" w:lastRowLastColumn="0"/>
              <w:rPr>
                <w:b w:val="0"/>
                <w:sz w:val="20"/>
              </w:rPr>
            </w:pPr>
            <w:r w:rsidRPr="00803319">
              <w:rPr>
                <w:sz w:val="20"/>
              </w:rPr>
              <w:t>% change</w:t>
            </w:r>
          </w:p>
        </w:tc>
      </w:tr>
      <w:tr w:rsidR="0059661C" w:rsidRPr="007E4DDD" w:rsidTr="004A62EF">
        <w:tc>
          <w:tcPr>
            <w:cnfStyle w:val="001000000000" w:firstRow="0" w:lastRow="0" w:firstColumn="1" w:lastColumn="0" w:oddVBand="0" w:evenVBand="0" w:oddHBand="0" w:evenHBand="0" w:firstRowFirstColumn="0" w:firstRowLastColumn="0" w:lastRowFirstColumn="0" w:lastRowLastColumn="0"/>
            <w:tcW w:w="3209" w:type="pct"/>
            <w:gridSpan w:val="2"/>
          </w:tcPr>
          <w:p w:rsidR="0059661C" w:rsidRPr="00803319" w:rsidRDefault="0059661C" w:rsidP="00265F9B">
            <w:pPr>
              <w:keepNext/>
              <w:keepLines/>
              <w:jc w:val="left"/>
              <w:rPr>
                <w:b/>
                <w:sz w:val="20"/>
              </w:rPr>
            </w:pPr>
            <w:r w:rsidRPr="00803319">
              <w:rPr>
                <w:b/>
                <w:sz w:val="20"/>
              </w:rPr>
              <w:t>Base case</w:t>
            </w:r>
          </w:p>
        </w:tc>
        <w:tc>
          <w:tcPr>
            <w:tcW w:w="609" w:type="pct"/>
            <w:vAlign w:val="top"/>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rFonts w:cs="Calibri"/>
                <w:b/>
                <w:color w:val="000000"/>
                <w:sz w:val="20"/>
                <w:vertAlign w:val="superscript"/>
              </w:rPr>
            </w:pPr>
            <w:r w:rsidRPr="00803319">
              <w:rPr>
                <w:rFonts w:cs="Calibri"/>
                <w:b/>
                <w:color w:val="000000"/>
                <w:sz w:val="20"/>
              </w:rPr>
              <w:t>$135,910.47</w:t>
            </w:r>
            <w:r w:rsidRPr="00803319">
              <w:rPr>
                <w:rFonts w:cs="Calibri"/>
                <w:b/>
                <w:color w:val="000000"/>
                <w:sz w:val="20"/>
                <w:vertAlign w:val="superscript"/>
              </w:rPr>
              <w:t>a</w:t>
            </w:r>
          </w:p>
        </w:tc>
        <w:tc>
          <w:tcPr>
            <w:tcW w:w="619" w:type="pct"/>
            <w:vAlign w:val="top"/>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rFonts w:cs="Calibri"/>
                <w:b/>
                <w:color w:val="000000"/>
                <w:sz w:val="20"/>
              </w:rPr>
            </w:pPr>
            <w:r w:rsidRPr="00803319">
              <w:rPr>
                <w:rFonts w:cs="Calibri"/>
                <w:b/>
                <w:color w:val="000000"/>
                <w:sz w:val="20"/>
              </w:rPr>
              <w:t>$10,386.73</w:t>
            </w:r>
            <w:r w:rsidRPr="00803319">
              <w:rPr>
                <w:rFonts w:cs="Calibri"/>
                <w:b/>
                <w:color w:val="000000"/>
                <w:sz w:val="20"/>
                <w:vertAlign w:val="superscript"/>
              </w:rPr>
              <w:t>a</w:t>
            </w:r>
          </w:p>
        </w:tc>
        <w:tc>
          <w:tcPr>
            <w:tcW w:w="563" w:type="pct"/>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rFonts w:cs="Calibri"/>
                <w:b/>
                <w:color w:val="000000"/>
                <w:sz w:val="20"/>
              </w:rPr>
            </w:pPr>
            <w:r w:rsidRPr="00803319">
              <w:rPr>
                <w:rFonts w:cs="Calibri"/>
                <w:b/>
                <w:color w:val="000000"/>
                <w:sz w:val="20"/>
              </w:rPr>
              <w:t>–</w:t>
            </w:r>
          </w:p>
        </w:tc>
      </w:tr>
      <w:tr w:rsidR="0059661C" w:rsidRPr="007E4DDD" w:rsidTr="004A62EF">
        <w:tc>
          <w:tcPr>
            <w:cnfStyle w:val="001000000000" w:firstRow="0" w:lastRow="0" w:firstColumn="1" w:lastColumn="0" w:oddVBand="0" w:evenVBand="0" w:oddHBand="0" w:evenHBand="0" w:firstRowFirstColumn="0" w:firstRowLastColumn="0" w:lastRowFirstColumn="0" w:lastRowLastColumn="0"/>
            <w:tcW w:w="1420" w:type="pct"/>
            <w:vMerge w:val="restart"/>
          </w:tcPr>
          <w:p w:rsidR="0059661C" w:rsidRPr="00803319" w:rsidRDefault="0059661C" w:rsidP="00265F9B">
            <w:pPr>
              <w:keepNext/>
              <w:keepLines/>
              <w:jc w:val="left"/>
              <w:rPr>
                <w:sz w:val="20"/>
              </w:rPr>
            </w:pPr>
            <w:r w:rsidRPr="00803319">
              <w:rPr>
                <w:sz w:val="20"/>
              </w:rPr>
              <w:t>Parametric function used for tepotinib TTD</w:t>
            </w:r>
            <w:r w:rsidR="004A62EF" w:rsidRPr="00803319">
              <w:rPr>
                <w:sz w:val="20"/>
              </w:rPr>
              <w:t xml:space="preserve"> (base case: exponential)</w:t>
            </w:r>
          </w:p>
        </w:tc>
        <w:tc>
          <w:tcPr>
            <w:tcW w:w="1789" w:type="pct"/>
          </w:tcPr>
          <w:p w:rsidR="0059661C" w:rsidRPr="00803319"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803319">
              <w:rPr>
                <w:sz w:val="20"/>
              </w:rPr>
              <w:t>Log-normal</w:t>
            </w:r>
          </w:p>
        </w:tc>
        <w:tc>
          <w:tcPr>
            <w:tcW w:w="609" w:type="pct"/>
            <w:vAlign w:val="top"/>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$135,501.12</w:t>
            </w:r>
          </w:p>
        </w:tc>
        <w:tc>
          <w:tcPr>
            <w:tcW w:w="619" w:type="pct"/>
            <w:vAlign w:val="top"/>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$9,671.56</w:t>
            </w:r>
          </w:p>
        </w:tc>
        <w:tc>
          <w:tcPr>
            <w:tcW w:w="563" w:type="pct"/>
            <w:vAlign w:val="top"/>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-6.9%</w:t>
            </w:r>
          </w:p>
        </w:tc>
      </w:tr>
      <w:tr w:rsidR="0059661C" w:rsidRPr="007E4DDD" w:rsidTr="004A62EF">
        <w:tc>
          <w:tcPr>
            <w:cnfStyle w:val="001000000000" w:firstRow="0" w:lastRow="0" w:firstColumn="1" w:lastColumn="0" w:oddVBand="0" w:evenVBand="0" w:oddHBand="0" w:evenHBand="0" w:firstRowFirstColumn="0" w:firstRowLastColumn="0" w:lastRowFirstColumn="0" w:lastRowLastColumn="0"/>
            <w:tcW w:w="1420" w:type="pct"/>
            <w:vMerge/>
          </w:tcPr>
          <w:p w:rsidR="0059661C" w:rsidRPr="00803319" w:rsidRDefault="0059661C" w:rsidP="00265F9B">
            <w:pPr>
              <w:keepNext/>
              <w:keepLines/>
              <w:jc w:val="left"/>
              <w:rPr>
                <w:sz w:val="20"/>
              </w:rPr>
            </w:pPr>
          </w:p>
        </w:tc>
        <w:tc>
          <w:tcPr>
            <w:tcW w:w="1789" w:type="pct"/>
          </w:tcPr>
          <w:p w:rsidR="0059661C" w:rsidRPr="00803319"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r w:rsidRPr="00803319">
              <w:rPr>
                <w:sz w:val="20"/>
              </w:rPr>
              <w:t>Log-logistic</w:t>
            </w:r>
          </w:p>
        </w:tc>
        <w:tc>
          <w:tcPr>
            <w:tcW w:w="609" w:type="pct"/>
            <w:vAlign w:val="top"/>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$132,224.88</w:t>
            </w:r>
          </w:p>
        </w:tc>
        <w:tc>
          <w:tcPr>
            <w:tcW w:w="619" w:type="pct"/>
            <w:vAlign w:val="top"/>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$10,158.18</w:t>
            </w:r>
          </w:p>
        </w:tc>
        <w:tc>
          <w:tcPr>
            <w:tcW w:w="563" w:type="pct"/>
            <w:vAlign w:val="top"/>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-2.2%</w:t>
            </w:r>
          </w:p>
        </w:tc>
      </w:tr>
      <w:tr w:rsidR="0059661C" w:rsidRPr="007E4DDD" w:rsidTr="004A62EF">
        <w:tc>
          <w:tcPr>
            <w:cnfStyle w:val="001000000000" w:firstRow="0" w:lastRow="0" w:firstColumn="1" w:lastColumn="0" w:oddVBand="0" w:evenVBand="0" w:oddHBand="0" w:evenHBand="0" w:firstRowFirstColumn="0" w:firstRowLastColumn="0" w:lastRowFirstColumn="0" w:lastRowLastColumn="0"/>
            <w:tcW w:w="1420" w:type="pct"/>
            <w:vMerge/>
          </w:tcPr>
          <w:p w:rsidR="0059661C" w:rsidRPr="00803319" w:rsidRDefault="0059661C" w:rsidP="00265F9B">
            <w:pPr>
              <w:keepNext/>
              <w:keepLines/>
              <w:jc w:val="left"/>
              <w:rPr>
                <w:sz w:val="20"/>
              </w:rPr>
            </w:pPr>
          </w:p>
        </w:tc>
        <w:tc>
          <w:tcPr>
            <w:tcW w:w="1789" w:type="pct"/>
          </w:tcPr>
          <w:p w:rsidR="0059661C" w:rsidRPr="00803319"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r w:rsidRPr="00803319">
              <w:rPr>
                <w:sz w:val="20"/>
              </w:rPr>
              <w:t>Generalised gamma</w:t>
            </w:r>
          </w:p>
        </w:tc>
        <w:tc>
          <w:tcPr>
            <w:tcW w:w="609" w:type="pct"/>
            <w:vAlign w:val="top"/>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$135,635.08</w:t>
            </w:r>
          </w:p>
        </w:tc>
        <w:tc>
          <w:tcPr>
            <w:tcW w:w="619" w:type="pct"/>
            <w:vAlign w:val="top"/>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$10,075.12</w:t>
            </w:r>
          </w:p>
        </w:tc>
        <w:tc>
          <w:tcPr>
            <w:tcW w:w="563" w:type="pct"/>
            <w:vAlign w:val="top"/>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-3.0%</w:t>
            </w:r>
          </w:p>
        </w:tc>
      </w:tr>
      <w:tr w:rsidR="0059661C" w:rsidRPr="007E4DDD" w:rsidTr="004A62EF">
        <w:tc>
          <w:tcPr>
            <w:cnfStyle w:val="001000000000" w:firstRow="0" w:lastRow="0" w:firstColumn="1" w:lastColumn="0" w:oddVBand="0" w:evenVBand="0" w:oddHBand="0" w:evenHBand="0" w:firstRowFirstColumn="0" w:firstRowLastColumn="0" w:lastRowFirstColumn="0" w:lastRowLastColumn="0"/>
            <w:tcW w:w="1420" w:type="pct"/>
            <w:vMerge/>
          </w:tcPr>
          <w:p w:rsidR="0059661C" w:rsidRPr="00803319" w:rsidRDefault="0059661C" w:rsidP="00265F9B">
            <w:pPr>
              <w:keepNext/>
              <w:keepLines/>
              <w:jc w:val="left"/>
              <w:rPr>
                <w:sz w:val="20"/>
              </w:rPr>
            </w:pPr>
          </w:p>
        </w:tc>
        <w:tc>
          <w:tcPr>
            <w:tcW w:w="1789" w:type="pct"/>
          </w:tcPr>
          <w:p w:rsidR="0059661C" w:rsidRPr="00803319"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proofErr w:type="spellStart"/>
            <w:r w:rsidRPr="00803319">
              <w:rPr>
                <w:sz w:val="20"/>
              </w:rPr>
              <w:t>Gompertz</w:t>
            </w:r>
            <w:proofErr w:type="spellEnd"/>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$135,422.01</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$10,209.71</w:t>
            </w:r>
          </w:p>
        </w:tc>
        <w:tc>
          <w:tcPr>
            <w:tcW w:w="563" w:type="pct"/>
            <w:vAlign w:val="top"/>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-1.7%</w:t>
            </w:r>
          </w:p>
        </w:tc>
      </w:tr>
      <w:tr w:rsidR="0059661C" w:rsidRPr="007E4DDD" w:rsidTr="004A62EF">
        <w:tc>
          <w:tcPr>
            <w:cnfStyle w:val="001000000000" w:firstRow="0" w:lastRow="0" w:firstColumn="1" w:lastColumn="0" w:oddVBand="0" w:evenVBand="0" w:oddHBand="0" w:evenHBand="0" w:firstRowFirstColumn="0" w:firstRowLastColumn="0" w:lastRowFirstColumn="0" w:lastRowLastColumn="0"/>
            <w:tcW w:w="1420" w:type="pct"/>
            <w:vMerge/>
          </w:tcPr>
          <w:p w:rsidR="0059661C" w:rsidRPr="00803319" w:rsidRDefault="0059661C" w:rsidP="00265F9B">
            <w:pPr>
              <w:keepNext/>
              <w:keepLines/>
              <w:jc w:val="left"/>
              <w:rPr>
                <w:sz w:val="20"/>
              </w:rPr>
            </w:pPr>
          </w:p>
        </w:tc>
        <w:tc>
          <w:tcPr>
            <w:tcW w:w="1789" w:type="pct"/>
          </w:tcPr>
          <w:p w:rsidR="0059661C" w:rsidRPr="00803319"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r w:rsidRPr="00803319">
              <w:rPr>
                <w:sz w:val="20"/>
              </w:rPr>
              <w:t>Weibull</w:t>
            </w:r>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$137,890.46</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$10,882.09</w:t>
            </w:r>
          </w:p>
        </w:tc>
        <w:tc>
          <w:tcPr>
            <w:tcW w:w="563" w:type="pct"/>
            <w:vAlign w:val="top"/>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4.8%</w:t>
            </w:r>
          </w:p>
        </w:tc>
      </w:tr>
      <w:tr w:rsidR="00707A37" w:rsidRPr="007E4DDD" w:rsidTr="00F13980">
        <w:trPr>
          <w:trHeight w:val="252"/>
        </w:trPr>
        <w:tc>
          <w:tcPr>
            <w:cnfStyle w:val="001000000000" w:firstRow="0" w:lastRow="0" w:firstColumn="1" w:lastColumn="0" w:oddVBand="0" w:evenVBand="0" w:oddHBand="0" w:evenHBand="0" w:firstRowFirstColumn="0" w:firstRowLastColumn="0" w:lastRowFirstColumn="0" w:lastRowLastColumn="0"/>
            <w:tcW w:w="1420" w:type="pct"/>
          </w:tcPr>
          <w:p w:rsidR="00707A37" w:rsidRPr="00803319" w:rsidRDefault="00707A37" w:rsidP="00265F9B">
            <w:pPr>
              <w:keepNext/>
              <w:keepLines/>
              <w:jc w:val="left"/>
              <w:rPr>
                <w:sz w:val="20"/>
              </w:rPr>
            </w:pPr>
            <w:r w:rsidRPr="00803319">
              <w:rPr>
                <w:sz w:val="20"/>
              </w:rPr>
              <w:t>Dose of tepotinib</w:t>
            </w:r>
            <w:r w:rsidR="001939B6" w:rsidRPr="00803319">
              <w:rPr>
                <w:sz w:val="20"/>
              </w:rPr>
              <w:t xml:space="preserve"> (base case: 392.8 mg)</w:t>
            </w:r>
          </w:p>
        </w:tc>
        <w:tc>
          <w:tcPr>
            <w:tcW w:w="1789" w:type="pct"/>
          </w:tcPr>
          <w:p w:rsidR="00707A37" w:rsidRPr="00803319" w:rsidRDefault="00707A37"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803319">
              <w:rPr>
                <w:sz w:val="20"/>
              </w:rPr>
              <w:t xml:space="preserve">450 mg per administration </w:t>
            </w:r>
          </w:p>
        </w:tc>
        <w:tc>
          <w:tcPr>
            <w:tcW w:w="609" w:type="pct"/>
          </w:tcPr>
          <w:p w:rsidR="00707A37" w:rsidRPr="00803319" w:rsidRDefault="00707A37"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803319">
              <w:rPr>
                <w:sz w:val="20"/>
              </w:rPr>
              <w:t>$135,910.47</w:t>
            </w:r>
          </w:p>
        </w:tc>
        <w:tc>
          <w:tcPr>
            <w:tcW w:w="619" w:type="pct"/>
          </w:tcPr>
          <w:p w:rsidR="00707A37" w:rsidRPr="00803319" w:rsidRDefault="00707A37"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$9,066.00</w:t>
            </w:r>
          </w:p>
        </w:tc>
        <w:tc>
          <w:tcPr>
            <w:tcW w:w="563" w:type="pct"/>
          </w:tcPr>
          <w:p w:rsidR="00707A37" w:rsidRPr="00803319" w:rsidRDefault="00707A37"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-12.7%</w:t>
            </w:r>
          </w:p>
        </w:tc>
      </w:tr>
      <w:tr w:rsidR="00D444E6" w:rsidRPr="007E4DDD" w:rsidTr="00F13980">
        <w:trPr>
          <w:trHeight w:val="252"/>
        </w:trPr>
        <w:tc>
          <w:tcPr>
            <w:cnfStyle w:val="001000000000" w:firstRow="0" w:lastRow="0" w:firstColumn="1" w:lastColumn="0" w:oddVBand="0" w:evenVBand="0" w:oddHBand="0" w:evenHBand="0" w:firstRowFirstColumn="0" w:firstRowLastColumn="0" w:lastRowFirstColumn="0" w:lastRowLastColumn="0"/>
            <w:tcW w:w="1420" w:type="pct"/>
          </w:tcPr>
          <w:p w:rsidR="00D444E6" w:rsidRPr="00803319" w:rsidRDefault="00D444E6" w:rsidP="00265F9B">
            <w:pPr>
              <w:keepNext/>
              <w:keepLines/>
              <w:jc w:val="left"/>
              <w:rPr>
                <w:sz w:val="20"/>
              </w:rPr>
            </w:pPr>
            <w:r w:rsidRPr="00803319">
              <w:rPr>
                <w:sz w:val="20"/>
              </w:rPr>
              <w:t xml:space="preserve">Restriction of </w:t>
            </w:r>
            <w:r w:rsidRPr="00803319">
              <w:rPr>
                <w:i/>
                <w:sz w:val="20"/>
              </w:rPr>
              <w:t>MET</w:t>
            </w:r>
            <w:r w:rsidRPr="00803319">
              <w:rPr>
                <w:sz w:val="20"/>
              </w:rPr>
              <w:t xml:space="preserve">ex14sk testing and tepotinib in terms of NSCLC histology </w:t>
            </w:r>
            <w:r w:rsidR="001939B6" w:rsidRPr="00803319">
              <w:rPr>
                <w:sz w:val="20"/>
              </w:rPr>
              <w:t>(base case: both non-squamous and squamous)</w:t>
            </w:r>
          </w:p>
        </w:tc>
        <w:tc>
          <w:tcPr>
            <w:tcW w:w="1789" w:type="pct"/>
          </w:tcPr>
          <w:p w:rsidR="00D444E6" w:rsidRPr="00803319" w:rsidRDefault="00D444E6" w:rsidP="00394285">
            <w:pPr>
              <w:keepNext/>
              <w:keepLines/>
              <w:jc w:val="left"/>
              <w:cnfStyle w:val="000000000000" w:firstRow="0" w:lastRow="0" w:firstColumn="0" w:lastColumn="0" w:oddVBand="0" w:evenVBand="0" w:oddHBand="0" w:evenHBand="0" w:firstRowFirstColumn="0" w:firstRowLastColumn="0" w:lastRowFirstColumn="0" w:lastRowLastColumn="0"/>
              <w:rPr>
                <w:sz w:val="20"/>
                <w:vertAlign w:val="superscript"/>
              </w:rPr>
            </w:pPr>
            <w:r w:rsidRPr="00803319">
              <w:rPr>
                <w:sz w:val="20"/>
              </w:rPr>
              <w:t xml:space="preserve">Non-squamous only </w:t>
            </w:r>
            <w:r w:rsidR="00394285">
              <w:rPr>
                <w:sz w:val="20"/>
                <w:vertAlign w:val="superscript"/>
              </w:rPr>
              <w:t>b</w:t>
            </w:r>
          </w:p>
        </w:tc>
        <w:tc>
          <w:tcPr>
            <w:tcW w:w="609" w:type="pct"/>
          </w:tcPr>
          <w:p w:rsidR="00D444E6" w:rsidRPr="00803319" w:rsidRDefault="00AA5E79"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803319">
              <w:rPr>
                <w:sz w:val="20"/>
              </w:rPr>
              <w:t>$1</w:t>
            </w:r>
            <w:r w:rsidR="00855881" w:rsidRPr="00803319">
              <w:rPr>
                <w:sz w:val="20"/>
              </w:rPr>
              <w:t>35,910.47</w:t>
            </w:r>
          </w:p>
        </w:tc>
        <w:tc>
          <w:tcPr>
            <w:tcW w:w="619" w:type="pct"/>
          </w:tcPr>
          <w:p w:rsidR="00D444E6" w:rsidRPr="00803319" w:rsidRDefault="00855881"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$10,732.04</w:t>
            </w:r>
          </w:p>
        </w:tc>
        <w:tc>
          <w:tcPr>
            <w:tcW w:w="563" w:type="pct"/>
          </w:tcPr>
          <w:p w:rsidR="00D444E6" w:rsidRPr="00803319" w:rsidRDefault="00855881"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3.3</w:t>
            </w:r>
            <w:r w:rsidR="00AA5E79" w:rsidRPr="00803319">
              <w:rPr>
                <w:sz w:val="20"/>
              </w:rPr>
              <w:t>%</w:t>
            </w:r>
          </w:p>
        </w:tc>
      </w:tr>
      <w:tr w:rsidR="0059661C" w:rsidRPr="007E4DDD" w:rsidTr="004A62EF">
        <w:trPr>
          <w:trHeight w:val="252"/>
        </w:trPr>
        <w:tc>
          <w:tcPr>
            <w:cnfStyle w:val="001000000000" w:firstRow="0" w:lastRow="0" w:firstColumn="1" w:lastColumn="0" w:oddVBand="0" w:evenVBand="0" w:oddHBand="0" w:evenHBand="0" w:firstRowFirstColumn="0" w:firstRowLastColumn="0" w:lastRowFirstColumn="0" w:lastRowLastColumn="0"/>
            <w:tcW w:w="1420" w:type="pct"/>
          </w:tcPr>
          <w:p w:rsidR="0059661C" w:rsidRPr="00803319" w:rsidRDefault="0059661C" w:rsidP="00265F9B">
            <w:pPr>
              <w:keepNext/>
              <w:keepLines/>
              <w:jc w:val="left"/>
              <w:rPr>
                <w:sz w:val="20"/>
              </w:rPr>
            </w:pPr>
            <w:r w:rsidRPr="00803319">
              <w:rPr>
                <w:sz w:val="20"/>
              </w:rPr>
              <w:t>Proportion of patients receiving pembrolizumab monotherapy in the comparator arm</w:t>
            </w:r>
            <w:r w:rsidR="004A62EF" w:rsidRPr="00803319">
              <w:rPr>
                <w:sz w:val="20"/>
              </w:rPr>
              <w:t xml:space="preserve"> (base case: 0%)</w:t>
            </w:r>
          </w:p>
        </w:tc>
        <w:tc>
          <w:tcPr>
            <w:tcW w:w="1789" w:type="pct"/>
          </w:tcPr>
          <w:p w:rsidR="0059661C" w:rsidRPr="00803319"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803319">
              <w:rPr>
                <w:sz w:val="20"/>
              </w:rPr>
              <w:t>22.4% of all patients (i.e. all patients with PD-L1 TPS ≥50% treated with pembrolizumab monotherapy</w:t>
            </w:r>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$135,569.87</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$10,357.92</w:t>
            </w:r>
          </w:p>
        </w:tc>
        <w:tc>
          <w:tcPr>
            <w:tcW w:w="563" w:type="pct"/>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-0.3%</w:t>
            </w:r>
          </w:p>
        </w:tc>
      </w:tr>
      <w:tr w:rsidR="0059661C" w:rsidRPr="007E4DDD" w:rsidTr="004A62EF">
        <w:trPr>
          <w:trHeight w:val="252"/>
        </w:trPr>
        <w:tc>
          <w:tcPr>
            <w:cnfStyle w:val="001000000000" w:firstRow="0" w:lastRow="0" w:firstColumn="1" w:lastColumn="0" w:oddVBand="0" w:evenVBand="0" w:oddHBand="0" w:evenHBand="0" w:firstRowFirstColumn="0" w:firstRowLastColumn="0" w:lastRowFirstColumn="0" w:lastRowLastColumn="0"/>
            <w:tcW w:w="1420" w:type="pct"/>
          </w:tcPr>
          <w:p w:rsidR="0059661C" w:rsidRPr="00803319" w:rsidRDefault="0059661C" w:rsidP="00265F9B">
            <w:pPr>
              <w:keepNext/>
              <w:keepLines/>
              <w:jc w:val="left"/>
              <w:rPr>
                <w:sz w:val="20"/>
              </w:rPr>
            </w:pPr>
            <w:r w:rsidRPr="00803319">
              <w:rPr>
                <w:sz w:val="20"/>
              </w:rPr>
              <w:t>The treatment duration of pembrolizumab</w:t>
            </w:r>
            <w:r w:rsidR="004A62EF" w:rsidRPr="00803319">
              <w:rPr>
                <w:sz w:val="20"/>
              </w:rPr>
              <w:t xml:space="preserve"> (base case: 11.38 months)</w:t>
            </w:r>
          </w:p>
        </w:tc>
        <w:tc>
          <w:tcPr>
            <w:tcW w:w="1789" w:type="pct"/>
          </w:tcPr>
          <w:p w:rsidR="0059661C" w:rsidRPr="00803319"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803319">
              <w:rPr>
                <w:sz w:val="20"/>
              </w:rPr>
              <w:t xml:space="preserve">Reducing by 0.5 cycle, </w:t>
            </w:r>
            <w:r w:rsidR="002B73A4" w:rsidRPr="00803319">
              <w:rPr>
                <w:sz w:val="20"/>
              </w:rPr>
              <w:t>i.e.</w:t>
            </w:r>
            <w:r w:rsidRPr="00803319">
              <w:rPr>
                <w:sz w:val="20"/>
              </w:rPr>
              <w:t xml:space="preserve"> 11.0</w:t>
            </w:r>
            <w:r w:rsidR="004A62EF" w:rsidRPr="00803319">
              <w:rPr>
                <w:sz w:val="20"/>
              </w:rPr>
              <w:t>4 months (arbitrary assumption)</w:t>
            </w:r>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$131,885.47</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$10,046.34</w:t>
            </w:r>
          </w:p>
        </w:tc>
        <w:tc>
          <w:tcPr>
            <w:tcW w:w="563" w:type="pct"/>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803319">
              <w:rPr>
                <w:rFonts w:cs="Calibri"/>
                <w:color w:val="000000"/>
                <w:sz w:val="20"/>
              </w:rPr>
              <w:t>-3.3%</w:t>
            </w:r>
          </w:p>
        </w:tc>
      </w:tr>
      <w:tr w:rsidR="0059661C" w:rsidRPr="007E4DDD" w:rsidTr="004A62EF">
        <w:tc>
          <w:tcPr>
            <w:cnfStyle w:val="001000000000" w:firstRow="0" w:lastRow="0" w:firstColumn="1" w:lastColumn="0" w:oddVBand="0" w:evenVBand="0" w:oddHBand="0" w:evenHBand="0" w:firstRowFirstColumn="0" w:firstRowLastColumn="0" w:lastRowFirstColumn="0" w:lastRowLastColumn="0"/>
            <w:tcW w:w="1420" w:type="pct"/>
          </w:tcPr>
          <w:p w:rsidR="0059661C" w:rsidRPr="00803319" w:rsidRDefault="0059661C" w:rsidP="00265F9B">
            <w:pPr>
              <w:keepNext/>
              <w:keepLines/>
              <w:jc w:val="left"/>
              <w:rPr>
                <w:sz w:val="20"/>
              </w:rPr>
            </w:pPr>
            <w:r w:rsidRPr="00803319">
              <w:rPr>
                <w:sz w:val="20"/>
              </w:rPr>
              <w:t>Pembrolizumab price</w:t>
            </w:r>
            <w:r w:rsidR="004A62EF" w:rsidRPr="00803319">
              <w:rPr>
                <w:sz w:val="20"/>
              </w:rPr>
              <w:t xml:space="preserve"> (base case: $4,025.00 per 100mg vial)</w:t>
            </w:r>
          </w:p>
        </w:tc>
        <w:tc>
          <w:tcPr>
            <w:tcW w:w="1789" w:type="pct"/>
          </w:tcPr>
          <w:p w:rsidR="0059661C" w:rsidRPr="00803319"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803319">
              <w:rPr>
                <w:sz w:val="20"/>
              </w:rPr>
              <w:t>Current PBS-listed price, i.e. $3,823.75 per 100</w:t>
            </w:r>
            <w:r w:rsidR="007F6498" w:rsidRPr="00803319">
              <w:rPr>
                <w:sz w:val="20"/>
              </w:rPr>
              <w:t> </w:t>
            </w:r>
            <w:r w:rsidRPr="00803319">
              <w:rPr>
                <w:sz w:val="20"/>
              </w:rPr>
              <w:t xml:space="preserve">mg vial </w:t>
            </w:r>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$129,282.75</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$9,826.23</w:t>
            </w:r>
          </w:p>
        </w:tc>
        <w:tc>
          <w:tcPr>
            <w:tcW w:w="563" w:type="pct"/>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-5.4%</w:t>
            </w:r>
          </w:p>
        </w:tc>
      </w:tr>
      <w:tr w:rsidR="0059661C" w:rsidRPr="007E4DDD" w:rsidTr="004A62EF">
        <w:tc>
          <w:tcPr>
            <w:cnfStyle w:val="001000000000" w:firstRow="0" w:lastRow="0" w:firstColumn="1" w:lastColumn="0" w:oddVBand="0" w:evenVBand="0" w:oddHBand="0" w:evenHBand="0" w:firstRowFirstColumn="0" w:firstRowLastColumn="0" w:lastRowFirstColumn="0" w:lastRowLastColumn="0"/>
            <w:tcW w:w="1420" w:type="pct"/>
          </w:tcPr>
          <w:p w:rsidR="0059661C" w:rsidRPr="00803319" w:rsidRDefault="0059661C" w:rsidP="00265F9B">
            <w:pPr>
              <w:keepNext/>
              <w:keepLines/>
              <w:jc w:val="left"/>
              <w:rPr>
                <w:sz w:val="20"/>
              </w:rPr>
            </w:pPr>
            <w:r w:rsidRPr="00803319">
              <w:rPr>
                <w:sz w:val="20"/>
              </w:rPr>
              <w:t xml:space="preserve">Number of patients undergoing </w:t>
            </w:r>
            <w:r w:rsidRPr="00803319">
              <w:rPr>
                <w:i/>
                <w:sz w:val="20"/>
              </w:rPr>
              <w:t>MET</w:t>
            </w:r>
            <w:r w:rsidRPr="00803319">
              <w:rPr>
                <w:sz w:val="20"/>
              </w:rPr>
              <w:t>ex14sk test</w:t>
            </w:r>
            <w:r w:rsidR="004A62EF" w:rsidRPr="00803319">
              <w:rPr>
                <w:sz w:val="20"/>
              </w:rPr>
              <w:t xml:space="preserve"> per treated patient (base case: 32.9 patients)</w:t>
            </w:r>
          </w:p>
        </w:tc>
        <w:tc>
          <w:tcPr>
            <w:tcW w:w="1789" w:type="pct"/>
          </w:tcPr>
          <w:p w:rsidR="0059661C" w:rsidRPr="00803319" w:rsidRDefault="0059661C" w:rsidP="00265F9B">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803319">
              <w:rPr>
                <w:sz w:val="20"/>
              </w:rPr>
              <w:t xml:space="preserve">50 patients </w:t>
            </w:r>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$135,910.47</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$9,813.65</w:t>
            </w:r>
          </w:p>
        </w:tc>
        <w:tc>
          <w:tcPr>
            <w:tcW w:w="563" w:type="pct"/>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-5.5%</w:t>
            </w:r>
          </w:p>
        </w:tc>
      </w:tr>
      <w:tr w:rsidR="0059661C" w:rsidRPr="007E4DDD" w:rsidTr="004A62EF">
        <w:tc>
          <w:tcPr>
            <w:cnfStyle w:val="001000000000" w:firstRow="0" w:lastRow="0" w:firstColumn="1" w:lastColumn="0" w:oddVBand="0" w:evenVBand="0" w:oddHBand="0" w:evenHBand="0" w:firstRowFirstColumn="0" w:firstRowLastColumn="0" w:lastRowFirstColumn="0" w:lastRowLastColumn="0"/>
            <w:tcW w:w="1420" w:type="pct"/>
          </w:tcPr>
          <w:p w:rsidR="0059661C" w:rsidRPr="00803319" w:rsidRDefault="0059661C" w:rsidP="00265F9B">
            <w:pPr>
              <w:keepNext/>
              <w:keepLines/>
              <w:jc w:val="left"/>
              <w:rPr>
                <w:sz w:val="20"/>
              </w:rPr>
            </w:pPr>
            <w:r w:rsidRPr="00803319">
              <w:rPr>
                <w:sz w:val="20"/>
              </w:rPr>
              <w:t>Subsequent nivolumab use</w:t>
            </w:r>
            <w:r w:rsidR="004A62EF" w:rsidRPr="00803319">
              <w:rPr>
                <w:sz w:val="20"/>
              </w:rPr>
              <w:t xml:space="preserve"> (base case: not included)</w:t>
            </w:r>
          </w:p>
        </w:tc>
        <w:tc>
          <w:tcPr>
            <w:tcW w:w="1789" w:type="pct"/>
          </w:tcPr>
          <w:p w:rsidR="0059661C" w:rsidRPr="00803319" w:rsidRDefault="0059661C" w:rsidP="00394285">
            <w:pPr>
              <w:keepNext/>
              <w:keepLines/>
              <w:jc w:val="left"/>
              <w:cnfStyle w:val="000000000000" w:firstRow="0" w:lastRow="0" w:firstColumn="0" w:lastColumn="0" w:oddVBand="0" w:evenVBand="0" w:oddHBand="0" w:evenHBand="0" w:firstRowFirstColumn="0" w:firstRowLastColumn="0" w:lastRowFirstColumn="0" w:lastRowLastColumn="0"/>
              <w:rPr>
                <w:sz w:val="20"/>
              </w:rPr>
            </w:pPr>
            <w:r w:rsidRPr="00803319">
              <w:rPr>
                <w:sz w:val="20"/>
              </w:rPr>
              <w:t>15.8% of patients receiving 3</w:t>
            </w:r>
            <w:r w:rsidRPr="00803319">
              <w:rPr>
                <w:sz w:val="20"/>
                <w:vertAlign w:val="superscript"/>
              </w:rPr>
              <w:t>rd</w:t>
            </w:r>
            <w:r w:rsidRPr="00803319">
              <w:rPr>
                <w:sz w:val="20"/>
              </w:rPr>
              <w:t xml:space="preserve">-line </w:t>
            </w:r>
            <w:proofErr w:type="spellStart"/>
            <w:r w:rsidR="00394285" w:rsidRPr="00803319">
              <w:rPr>
                <w:sz w:val="20"/>
              </w:rPr>
              <w:t>nivolumab</w:t>
            </w:r>
            <w:r w:rsidR="00394285">
              <w:rPr>
                <w:sz w:val="20"/>
                <w:vertAlign w:val="superscript"/>
              </w:rPr>
              <w:t>c</w:t>
            </w:r>
            <w:proofErr w:type="spellEnd"/>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$135,910.47</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$9,835.29</w:t>
            </w:r>
          </w:p>
        </w:tc>
        <w:tc>
          <w:tcPr>
            <w:tcW w:w="563" w:type="pct"/>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-5.3%</w:t>
            </w:r>
          </w:p>
        </w:tc>
      </w:tr>
      <w:tr w:rsidR="0059661C" w:rsidRPr="007E4DDD" w:rsidTr="004A62EF">
        <w:trPr>
          <w:trHeight w:val="143"/>
        </w:trPr>
        <w:tc>
          <w:tcPr>
            <w:cnfStyle w:val="001000000000" w:firstRow="0" w:lastRow="0" w:firstColumn="1" w:lastColumn="0" w:oddVBand="0" w:evenVBand="0" w:oddHBand="0" w:evenHBand="0" w:firstRowFirstColumn="0" w:firstRowLastColumn="0" w:lastRowFirstColumn="0" w:lastRowLastColumn="0"/>
            <w:tcW w:w="3209" w:type="pct"/>
            <w:gridSpan w:val="2"/>
          </w:tcPr>
          <w:p w:rsidR="0059661C" w:rsidRPr="00803319" w:rsidRDefault="0059661C" w:rsidP="00265F9B">
            <w:pPr>
              <w:keepNext/>
              <w:keepLines/>
              <w:jc w:val="left"/>
              <w:rPr>
                <w:sz w:val="20"/>
              </w:rPr>
            </w:pPr>
            <w:r w:rsidRPr="00803319">
              <w:rPr>
                <w:sz w:val="20"/>
              </w:rPr>
              <w:t>Log-normal distribution for TTD and reducing the pembrolizumab treatment duration of 0.5 cycle from the modelled TTD</w:t>
            </w:r>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$131,476.12</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$9,353.55</w:t>
            </w:r>
          </w:p>
        </w:tc>
        <w:tc>
          <w:tcPr>
            <w:tcW w:w="563" w:type="pct"/>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-9.9%</w:t>
            </w:r>
          </w:p>
        </w:tc>
      </w:tr>
      <w:tr w:rsidR="0059661C" w:rsidRPr="007E4DDD" w:rsidTr="004A62EF">
        <w:trPr>
          <w:trHeight w:val="143"/>
        </w:trPr>
        <w:tc>
          <w:tcPr>
            <w:cnfStyle w:val="001000000000" w:firstRow="0" w:lastRow="0" w:firstColumn="1" w:lastColumn="0" w:oddVBand="0" w:evenVBand="0" w:oddHBand="0" w:evenHBand="0" w:firstRowFirstColumn="0" w:firstRowLastColumn="0" w:lastRowFirstColumn="0" w:lastRowLastColumn="0"/>
            <w:tcW w:w="3209" w:type="pct"/>
            <w:gridSpan w:val="2"/>
          </w:tcPr>
          <w:p w:rsidR="0059661C" w:rsidRPr="00803319" w:rsidRDefault="0059661C" w:rsidP="00265F9B">
            <w:pPr>
              <w:keepNext/>
              <w:keepLines/>
              <w:jc w:val="left"/>
              <w:rPr>
                <w:sz w:val="20"/>
              </w:rPr>
            </w:pPr>
            <w:r w:rsidRPr="00803319">
              <w:rPr>
                <w:sz w:val="20"/>
              </w:rPr>
              <w:t>Log-normal distribution for TTD, reducing the pembrolizumab treatment duration of 0.5 cycle from the modelled TTD and assuming 50 tested patients per treated patient</w:t>
            </w:r>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$131,476.12</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$8,818.15</w:t>
            </w:r>
          </w:p>
        </w:tc>
        <w:tc>
          <w:tcPr>
            <w:tcW w:w="563" w:type="pct"/>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-15.1%</w:t>
            </w:r>
          </w:p>
        </w:tc>
      </w:tr>
      <w:tr w:rsidR="0059661C" w:rsidRPr="007E4DDD" w:rsidTr="004A62EF">
        <w:trPr>
          <w:trHeight w:val="143"/>
        </w:trPr>
        <w:tc>
          <w:tcPr>
            <w:cnfStyle w:val="001000000000" w:firstRow="0" w:lastRow="0" w:firstColumn="1" w:lastColumn="0" w:oddVBand="0" w:evenVBand="0" w:oddHBand="0" w:evenHBand="0" w:firstRowFirstColumn="0" w:firstRowLastColumn="0" w:lastRowFirstColumn="0" w:lastRowLastColumn="0"/>
            <w:tcW w:w="3209" w:type="pct"/>
            <w:gridSpan w:val="2"/>
          </w:tcPr>
          <w:p w:rsidR="0059661C" w:rsidRPr="00803319" w:rsidRDefault="0059661C" w:rsidP="00265F9B">
            <w:pPr>
              <w:keepNext/>
              <w:keepLines/>
              <w:jc w:val="left"/>
              <w:rPr>
                <w:sz w:val="20"/>
              </w:rPr>
            </w:pPr>
            <w:r w:rsidRPr="00803319">
              <w:rPr>
                <w:sz w:val="20"/>
              </w:rPr>
              <w:t>Log-normal distribution for TTD, reducing the pembrolizumab treatment duration of 0.5 cycle from the modelled TTD, assuming 50 tested patients per treated patient, and including 15.8% patients treated with nivolumab in the 3</w:t>
            </w:r>
            <w:r w:rsidRPr="00803319">
              <w:rPr>
                <w:sz w:val="20"/>
                <w:vertAlign w:val="superscript"/>
              </w:rPr>
              <w:t>rd</w:t>
            </w:r>
            <w:r w:rsidRPr="00803319">
              <w:rPr>
                <w:sz w:val="20"/>
              </w:rPr>
              <w:t>-line setting</w:t>
            </w:r>
          </w:p>
        </w:tc>
        <w:tc>
          <w:tcPr>
            <w:tcW w:w="60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$131,476.12</w:t>
            </w:r>
          </w:p>
        </w:tc>
        <w:tc>
          <w:tcPr>
            <w:tcW w:w="619" w:type="pct"/>
          </w:tcPr>
          <w:p w:rsidR="0059661C" w:rsidRPr="00803319" w:rsidRDefault="0059661C" w:rsidP="00265F9B">
            <w:pPr>
              <w:keepNext/>
              <w:keepLines/>
              <w:jc w:val="right"/>
              <w:cnfStyle w:val="000000000000" w:firstRow="0" w:lastRow="0" w:firstColumn="0" w:lastColumn="0" w:oddVBand="0" w:evenVBand="0" w:oddHBand="0" w:evenHBand="0" w:firstRowFirstColumn="0" w:firstRowLastColumn="0" w:lastRowFirstColumn="0" w:lastRowLastColumn="0"/>
              <w:rPr>
                <w:sz w:val="20"/>
              </w:rPr>
            </w:pPr>
            <w:r w:rsidRPr="00803319">
              <w:rPr>
                <w:sz w:val="20"/>
              </w:rPr>
              <w:t>$8,302.96</w:t>
            </w:r>
          </w:p>
        </w:tc>
        <w:tc>
          <w:tcPr>
            <w:tcW w:w="563" w:type="pct"/>
          </w:tcPr>
          <w:p w:rsidR="0059661C" w:rsidRPr="00803319" w:rsidRDefault="0059661C" w:rsidP="00265F9B">
            <w:pPr>
              <w:keepNext/>
              <w:keepLines/>
              <w:jc w:val="center"/>
              <w:cnfStyle w:val="000000000000" w:firstRow="0" w:lastRow="0" w:firstColumn="0" w:lastColumn="0" w:oddVBand="0" w:evenVBand="0" w:oddHBand="0" w:evenHBand="0" w:firstRowFirstColumn="0" w:firstRowLastColumn="0" w:lastRowFirstColumn="0" w:lastRowLastColumn="0"/>
              <w:rPr>
                <w:sz w:val="20"/>
              </w:rPr>
            </w:pPr>
            <w:r w:rsidRPr="00803319">
              <w:rPr>
                <w:sz w:val="20"/>
              </w:rPr>
              <w:t>-20.1%</w:t>
            </w:r>
          </w:p>
        </w:tc>
      </w:tr>
    </w:tbl>
    <w:p w:rsidR="0059661C" w:rsidRPr="00B92D96" w:rsidRDefault="0059661C" w:rsidP="00265F9B">
      <w:pPr>
        <w:pStyle w:val="TableFooter"/>
        <w:keepNext/>
        <w:keepLines/>
        <w:rPr>
          <w:i/>
        </w:rPr>
      </w:pPr>
      <w:r w:rsidRPr="00057280">
        <w:rPr>
          <w:i/>
        </w:rPr>
        <w:t>MET</w:t>
      </w:r>
      <w:r w:rsidRPr="007E4DDD">
        <w:t xml:space="preserve">ex14sk = </w:t>
      </w:r>
      <w:r w:rsidR="006A3BBD" w:rsidRPr="007E4DDD">
        <w:t xml:space="preserve">MET proto-oncogene, receptor tyrosine kinase </w:t>
      </w:r>
      <w:r w:rsidRPr="007E4DDD">
        <w:t xml:space="preserve">exon 14 skipping alterations; </w:t>
      </w:r>
      <w:r w:rsidR="00B372D2" w:rsidRPr="007E4DDD">
        <w:rPr>
          <w:szCs w:val="18"/>
        </w:rPr>
        <w:t xml:space="preserve">NSCLC = non-small cell lung cancer; </w:t>
      </w:r>
      <w:r w:rsidRPr="007E4DDD">
        <w:t>TTD = time</w:t>
      </w:r>
      <w:r w:rsidRPr="00B92D96">
        <w:rPr>
          <w:i/>
        </w:rPr>
        <w:t xml:space="preserve"> </w:t>
      </w:r>
      <w:r w:rsidRPr="000678E8">
        <w:t>to treatment discontinuation</w:t>
      </w:r>
    </w:p>
    <w:p w:rsidR="0059661C" w:rsidRPr="007E4DDD" w:rsidRDefault="0059661C" w:rsidP="00265F9B">
      <w:pPr>
        <w:pStyle w:val="TableFooter"/>
        <w:keepNext/>
        <w:keepLines/>
      </w:pPr>
      <w:proofErr w:type="gramStart"/>
      <w:r w:rsidRPr="007E4DDD">
        <w:rPr>
          <w:vertAlign w:val="superscript"/>
        </w:rPr>
        <w:t>a</w:t>
      </w:r>
      <w:proofErr w:type="gramEnd"/>
      <w:r w:rsidRPr="007E4DDD">
        <w:t xml:space="preserve"> Revised base case results based on: </w:t>
      </w:r>
      <w:proofErr w:type="spellStart"/>
      <w:r w:rsidRPr="007E4DDD">
        <w:t>i</w:t>
      </w:r>
      <w:proofErr w:type="spellEnd"/>
      <w:r w:rsidRPr="007E4DDD">
        <w:t xml:space="preserve">) 100% MBS Schedule fees for </w:t>
      </w:r>
      <w:r w:rsidRPr="00057280">
        <w:rPr>
          <w:i/>
        </w:rPr>
        <w:t>MET</w:t>
      </w:r>
      <w:r w:rsidRPr="007E4DDD">
        <w:t xml:space="preserve">ex14sk testing and chemotherapy administration; and ii) the most efficient vial combination for </w:t>
      </w:r>
      <w:proofErr w:type="spellStart"/>
      <w:r w:rsidRPr="007E4DDD">
        <w:t>pemetrexed</w:t>
      </w:r>
      <w:proofErr w:type="spellEnd"/>
      <w:r w:rsidRPr="007E4DDD">
        <w:t xml:space="preserve"> and carboplatin</w:t>
      </w:r>
    </w:p>
    <w:p w:rsidR="00394285" w:rsidRDefault="0059661C" w:rsidP="00265F9B">
      <w:pPr>
        <w:pStyle w:val="TableFooter"/>
        <w:keepNext/>
        <w:keepLines/>
        <w:rPr>
          <w:szCs w:val="18"/>
        </w:rPr>
      </w:pPr>
      <w:proofErr w:type="gramStart"/>
      <w:r w:rsidRPr="007E4DDD">
        <w:rPr>
          <w:szCs w:val="18"/>
          <w:vertAlign w:val="superscript"/>
        </w:rPr>
        <w:t>b</w:t>
      </w:r>
      <w:proofErr w:type="gramEnd"/>
      <w:r w:rsidRPr="007E4DDD">
        <w:rPr>
          <w:szCs w:val="18"/>
          <w:vertAlign w:val="superscript"/>
        </w:rPr>
        <w:t xml:space="preserve"> </w:t>
      </w:r>
      <w:r w:rsidR="00394285" w:rsidRPr="007E4DDD">
        <w:rPr>
          <w:szCs w:val="18"/>
        </w:rPr>
        <w:t>Assuming 22.67 (=1/4.41%) patients with non-squamous NSCLC needed to be tested to identify one patient eligible for tepotinib.</w:t>
      </w:r>
    </w:p>
    <w:p w:rsidR="0059661C" w:rsidRDefault="00394285" w:rsidP="00265F9B">
      <w:pPr>
        <w:pStyle w:val="TableFooter"/>
        <w:keepNext/>
        <w:keepLines/>
        <w:rPr>
          <w:szCs w:val="18"/>
        </w:rPr>
      </w:pPr>
      <w:proofErr w:type="gramStart"/>
      <w:r w:rsidRPr="00394285">
        <w:rPr>
          <w:szCs w:val="18"/>
          <w:vertAlign w:val="superscript"/>
        </w:rPr>
        <w:t>c</w:t>
      </w:r>
      <w:proofErr w:type="gramEnd"/>
      <w:r>
        <w:rPr>
          <w:szCs w:val="18"/>
        </w:rPr>
        <w:t xml:space="preserve"> </w:t>
      </w:r>
      <w:r w:rsidR="0059661C" w:rsidRPr="007E4DDD">
        <w:rPr>
          <w:szCs w:val="18"/>
        </w:rPr>
        <w:t>The dose regimen of nivolumab is 480mg Q4W for 4.14 cycles (i.e. 3.8 months), as per financial analysis</w:t>
      </w:r>
      <w:r w:rsidR="00BE4A48" w:rsidRPr="007E4DDD">
        <w:rPr>
          <w:szCs w:val="18"/>
        </w:rPr>
        <w:t xml:space="preserve">. The published price for nivolumab was used in the sensitivity analysis. </w:t>
      </w:r>
    </w:p>
    <w:p w:rsidR="0059661C" w:rsidRPr="007E4DDD" w:rsidRDefault="0059661C" w:rsidP="000F0026">
      <w:pPr>
        <w:pStyle w:val="TableFooter"/>
        <w:rPr>
          <w:b/>
        </w:rPr>
      </w:pPr>
      <w:r w:rsidRPr="007E4DDD">
        <w:rPr>
          <w:szCs w:val="18"/>
        </w:rPr>
        <w:t>Source: Sensitivity analyses performed during the evaluation</w:t>
      </w:r>
    </w:p>
    <w:p w:rsidR="0059661C" w:rsidRDefault="0059661C" w:rsidP="0059661C">
      <w:pPr>
        <w:pStyle w:val="ListParagraph"/>
        <w:numPr>
          <w:ilvl w:val="4"/>
          <w:numId w:val="1"/>
        </w:numPr>
        <w:rPr>
          <w:color w:val="auto"/>
        </w:rPr>
      </w:pPr>
      <w:r w:rsidRPr="007E4DDD">
        <w:rPr>
          <w:color w:val="auto"/>
        </w:rPr>
        <w:t xml:space="preserve">The price of tepotinib estimated from the CMA was most sensitive to the </w:t>
      </w:r>
      <w:r w:rsidR="00C02B0F" w:rsidRPr="007E4DDD">
        <w:rPr>
          <w:color w:val="auto"/>
        </w:rPr>
        <w:t>average</w:t>
      </w:r>
      <w:r w:rsidR="007C4D42" w:rsidRPr="007E4DDD">
        <w:rPr>
          <w:color w:val="auto"/>
        </w:rPr>
        <w:t xml:space="preserve"> dose of tepotinib and the </w:t>
      </w:r>
      <w:r w:rsidRPr="007E4DDD">
        <w:rPr>
          <w:color w:val="auto"/>
        </w:rPr>
        <w:t xml:space="preserve">parametric distribution for TTD. The </w:t>
      </w:r>
      <w:r w:rsidR="008F5A36" w:rsidRPr="007E4DDD">
        <w:rPr>
          <w:color w:val="auto"/>
        </w:rPr>
        <w:t>l</w:t>
      </w:r>
      <w:r w:rsidRPr="007E4DDD">
        <w:rPr>
          <w:color w:val="auto"/>
        </w:rPr>
        <w:t xml:space="preserve">og-normal model had the best fit to the VISION trial TTD data based on visual inspection and goodness of fit statistics. When the log-normal function was used, </w:t>
      </w:r>
      <w:proofErr w:type="gramStart"/>
      <w:r w:rsidRPr="007E4DDD">
        <w:rPr>
          <w:color w:val="auto"/>
        </w:rPr>
        <w:t>the per</w:t>
      </w:r>
      <w:proofErr w:type="gramEnd"/>
      <w:r w:rsidRPr="007E4DDD">
        <w:rPr>
          <w:color w:val="auto"/>
        </w:rPr>
        <w:t xml:space="preserve"> pack price for tepotinib would decrease to $9,671.56 (compared with the submission’s proposed price of $10,543.32). The price would decrease further to $8,302.96 by reducing the treatment duration of pembrolizumab by 0.5 cycle from the log-normal modelled TTD to take into</w:t>
      </w:r>
      <w:r w:rsidRPr="0018502E">
        <w:rPr>
          <w:i/>
          <w:color w:val="auto"/>
        </w:rPr>
        <w:t xml:space="preserve"> </w:t>
      </w:r>
      <w:r w:rsidRPr="007E4DDD">
        <w:rPr>
          <w:color w:val="auto"/>
        </w:rPr>
        <w:t xml:space="preserve">account dose interruptions, assuming 50 patients would be tested for </w:t>
      </w:r>
      <w:r w:rsidRPr="00057280">
        <w:rPr>
          <w:i/>
          <w:color w:val="auto"/>
        </w:rPr>
        <w:t>MET</w:t>
      </w:r>
      <w:r w:rsidRPr="007E4DDD">
        <w:rPr>
          <w:color w:val="auto"/>
        </w:rPr>
        <w:t>ex14sk per patient treated with tepotinib, and including the cost of third-line nivolumab use in 15.8% of patients.</w:t>
      </w:r>
    </w:p>
    <w:p w:rsidR="00133D80" w:rsidRPr="005C1E8E" w:rsidRDefault="00133D80" w:rsidP="0059661C">
      <w:pPr>
        <w:pStyle w:val="ListParagraph"/>
        <w:numPr>
          <w:ilvl w:val="4"/>
          <w:numId w:val="1"/>
        </w:numPr>
        <w:rPr>
          <w:iCs/>
          <w:color w:val="auto"/>
        </w:rPr>
      </w:pPr>
      <w:r w:rsidRPr="005C1E8E">
        <w:rPr>
          <w:color w:val="auto"/>
        </w:rPr>
        <w:t>The PSCR provided an updated CMA incorporating the following changes:</w:t>
      </w:r>
    </w:p>
    <w:p w:rsidR="00133D80" w:rsidRPr="005C1E8E" w:rsidRDefault="00CD79BE" w:rsidP="00F800E1">
      <w:pPr>
        <w:pStyle w:val="ListParagraph"/>
        <w:numPr>
          <w:ilvl w:val="0"/>
          <w:numId w:val="21"/>
        </w:numPr>
        <w:ind w:left="1077" w:hanging="357"/>
        <w:rPr>
          <w:color w:val="auto"/>
        </w:rPr>
      </w:pPr>
      <w:r w:rsidRPr="005C1E8E">
        <w:rPr>
          <w:color w:val="auto"/>
        </w:rPr>
        <w:t>25.8% of patients have squamous NSCLC and are treated with pembrolizumab + platinum + paclitaxel;</w:t>
      </w:r>
    </w:p>
    <w:p w:rsidR="00133D80" w:rsidRPr="005C1E8E" w:rsidRDefault="00CD79BE" w:rsidP="00F800E1">
      <w:pPr>
        <w:pStyle w:val="ListParagraph"/>
        <w:numPr>
          <w:ilvl w:val="0"/>
          <w:numId w:val="21"/>
        </w:numPr>
        <w:ind w:left="1077" w:hanging="357"/>
        <w:rPr>
          <w:color w:val="auto"/>
        </w:rPr>
      </w:pPr>
      <w:r w:rsidRPr="005C1E8E">
        <w:rPr>
          <w:color w:val="auto"/>
        </w:rPr>
        <w:t xml:space="preserve">Removing </w:t>
      </w:r>
      <w:r w:rsidRPr="000152E5">
        <w:rPr>
          <w:i/>
          <w:iCs/>
          <w:color w:val="auto"/>
        </w:rPr>
        <w:t>ALK</w:t>
      </w:r>
      <w:r w:rsidRPr="005C1E8E">
        <w:rPr>
          <w:color w:val="auto"/>
        </w:rPr>
        <w:t xml:space="preserve">+ (3%) and </w:t>
      </w:r>
      <w:r w:rsidRPr="000152E5">
        <w:rPr>
          <w:i/>
          <w:iCs/>
          <w:color w:val="auto"/>
        </w:rPr>
        <w:t>ROS1</w:t>
      </w:r>
      <w:r w:rsidR="000152E5" w:rsidRPr="000152E5">
        <w:rPr>
          <w:color w:val="auto"/>
        </w:rPr>
        <w:t>+</w:t>
      </w:r>
      <w:r w:rsidRPr="005C1E8E">
        <w:rPr>
          <w:color w:val="auto"/>
        </w:rPr>
        <w:t xml:space="preserve"> (1.2%) positive patients from the non-squamous</w:t>
      </w:r>
      <w:r w:rsidR="00B17233" w:rsidRPr="005C1E8E">
        <w:rPr>
          <w:color w:val="auto"/>
        </w:rPr>
        <w:t xml:space="preserve"> testing pool</w:t>
      </w:r>
      <w:r w:rsidR="000068C2" w:rsidRPr="005C1E8E">
        <w:rPr>
          <w:color w:val="auto"/>
        </w:rPr>
        <w:t xml:space="preserve"> (number needed to test</w:t>
      </w:r>
      <w:r w:rsidR="009F1430" w:rsidRPr="005C1E8E">
        <w:rPr>
          <w:color w:val="auto"/>
        </w:rPr>
        <w:t xml:space="preserve"> changed</w:t>
      </w:r>
      <w:r w:rsidR="000068C2" w:rsidRPr="005C1E8E">
        <w:rPr>
          <w:color w:val="auto"/>
        </w:rPr>
        <w:t xml:space="preserve"> from 32.9 to 32.1)</w:t>
      </w:r>
      <w:r w:rsidR="007D65CE" w:rsidRPr="005C1E8E">
        <w:rPr>
          <w:color w:val="auto"/>
        </w:rPr>
        <w:t xml:space="preserve"> (the ESC noted this change was appropriate with the amended MBS descriptor provided with the PSCR)</w:t>
      </w:r>
      <w:r w:rsidR="00B17233" w:rsidRPr="005C1E8E">
        <w:rPr>
          <w:color w:val="auto"/>
        </w:rPr>
        <w:t>;</w:t>
      </w:r>
    </w:p>
    <w:p w:rsidR="004D2E45" w:rsidRPr="005C1E8E" w:rsidRDefault="004D2E45" w:rsidP="00F800E1">
      <w:pPr>
        <w:pStyle w:val="ListParagraph"/>
        <w:numPr>
          <w:ilvl w:val="0"/>
          <w:numId w:val="21"/>
        </w:numPr>
        <w:ind w:left="1077" w:hanging="357"/>
        <w:rPr>
          <w:color w:val="auto"/>
        </w:rPr>
      </w:pPr>
      <w:r w:rsidRPr="005C1E8E">
        <w:rPr>
          <w:color w:val="auto"/>
        </w:rPr>
        <w:t xml:space="preserve">Applying the prevalence of PD-L1 TPS expression in the </w:t>
      </w:r>
      <w:r w:rsidRPr="008D313B">
        <w:rPr>
          <w:i/>
          <w:iCs/>
          <w:color w:val="auto"/>
        </w:rPr>
        <w:t>EGFR</w:t>
      </w:r>
      <w:r w:rsidR="008D313B">
        <w:rPr>
          <w:color w:val="auto"/>
        </w:rPr>
        <w:t>-</w:t>
      </w:r>
      <w:r w:rsidRPr="005C1E8E">
        <w:rPr>
          <w:color w:val="auto"/>
        </w:rPr>
        <w:t xml:space="preserve"> and </w:t>
      </w:r>
      <w:r w:rsidRPr="008D313B">
        <w:rPr>
          <w:i/>
          <w:iCs/>
          <w:color w:val="auto"/>
        </w:rPr>
        <w:t>ALK</w:t>
      </w:r>
      <w:r w:rsidRPr="005C1E8E">
        <w:rPr>
          <w:color w:val="auto"/>
        </w:rPr>
        <w:t>-negative c</w:t>
      </w:r>
      <w:r w:rsidR="00F53893" w:rsidRPr="005C1E8E">
        <w:rPr>
          <w:color w:val="auto"/>
        </w:rPr>
        <w:t xml:space="preserve">ohort from </w:t>
      </w:r>
      <w:proofErr w:type="spellStart"/>
      <w:r w:rsidR="00F53893" w:rsidRPr="005C1E8E">
        <w:rPr>
          <w:color w:val="auto"/>
        </w:rPr>
        <w:t>Dietel</w:t>
      </w:r>
      <w:proofErr w:type="spellEnd"/>
      <w:r w:rsidR="00F53893" w:rsidRPr="005C1E8E">
        <w:rPr>
          <w:color w:val="auto"/>
        </w:rPr>
        <w:t xml:space="preserve"> et al. 2019</w:t>
      </w:r>
      <w:r w:rsidR="007B4DEF" w:rsidRPr="005C1E8E">
        <w:rPr>
          <w:color w:val="auto"/>
        </w:rPr>
        <w:t xml:space="preserve"> and a</w:t>
      </w:r>
      <w:r w:rsidR="00B17233" w:rsidRPr="005C1E8E">
        <w:rPr>
          <w:color w:val="auto"/>
        </w:rPr>
        <w:t xml:space="preserve">ssuming </w:t>
      </w:r>
      <w:r w:rsidRPr="005C1E8E">
        <w:rPr>
          <w:color w:val="auto"/>
        </w:rPr>
        <w:t xml:space="preserve">70% of pembrolizumab monotherapy use in </w:t>
      </w:r>
      <w:r w:rsidR="00B17233" w:rsidRPr="005C1E8E">
        <w:rPr>
          <w:color w:val="auto"/>
        </w:rPr>
        <w:t>the PD-L1 TPS ≥50</w:t>
      </w:r>
      <w:r w:rsidR="00A941D8" w:rsidRPr="005C1E8E">
        <w:rPr>
          <w:color w:val="auto"/>
        </w:rPr>
        <w:t xml:space="preserve">% </w:t>
      </w:r>
      <w:r w:rsidR="00B17233" w:rsidRPr="005C1E8E">
        <w:rPr>
          <w:color w:val="auto"/>
        </w:rPr>
        <w:t>population</w:t>
      </w:r>
      <w:r w:rsidR="00B96DB1" w:rsidRPr="005C1E8E">
        <w:rPr>
          <w:color w:val="auto"/>
        </w:rPr>
        <w:t>;</w:t>
      </w:r>
      <w:r w:rsidR="00B17233" w:rsidRPr="005C1E8E">
        <w:rPr>
          <w:color w:val="auto"/>
        </w:rPr>
        <w:t xml:space="preserve"> </w:t>
      </w:r>
      <w:r w:rsidRPr="005C1E8E">
        <w:rPr>
          <w:color w:val="auto"/>
        </w:rPr>
        <w:t>and</w:t>
      </w:r>
    </w:p>
    <w:p w:rsidR="00133D80" w:rsidRPr="005C1E8E" w:rsidRDefault="004D2E45" w:rsidP="00F800E1">
      <w:pPr>
        <w:pStyle w:val="ListParagraph"/>
        <w:numPr>
          <w:ilvl w:val="0"/>
          <w:numId w:val="21"/>
        </w:numPr>
        <w:ind w:left="1077" w:hanging="357"/>
        <w:rPr>
          <w:color w:val="auto"/>
        </w:rPr>
      </w:pPr>
      <w:r w:rsidRPr="005C1E8E">
        <w:rPr>
          <w:color w:val="auto"/>
        </w:rPr>
        <w:t>Initiating extrapolation from the time at which 20% of patients remained at risk in the VISION 1L OS KM data (12.0 months)</w:t>
      </w:r>
      <w:r w:rsidR="00EB336E">
        <w:rPr>
          <w:color w:val="auto"/>
        </w:rPr>
        <w:t xml:space="preserve"> (</w:t>
      </w:r>
      <w:r w:rsidR="005728DA">
        <w:rPr>
          <w:color w:val="auto"/>
        </w:rPr>
        <w:t xml:space="preserve">resulting in an </w:t>
      </w:r>
      <w:r w:rsidR="00EB336E">
        <w:rPr>
          <w:color w:val="auto"/>
        </w:rPr>
        <w:t xml:space="preserve">average treatment duration </w:t>
      </w:r>
      <w:r w:rsidR="005728DA">
        <w:rPr>
          <w:color w:val="auto"/>
        </w:rPr>
        <w:t>12.87 months for tepotinib</w:t>
      </w:r>
      <w:r w:rsidR="00EB336E">
        <w:rPr>
          <w:color w:val="auto"/>
        </w:rPr>
        <w:t xml:space="preserve">, </w:t>
      </w:r>
      <w:r w:rsidR="005728DA">
        <w:rPr>
          <w:color w:val="auto"/>
        </w:rPr>
        <w:t xml:space="preserve">11.1 months for </w:t>
      </w:r>
      <w:r w:rsidR="00EB336E">
        <w:rPr>
          <w:color w:val="auto"/>
        </w:rPr>
        <w:t>pembrolizumab</w:t>
      </w:r>
      <w:r w:rsidR="005728DA">
        <w:rPr>
          <w:color w:val="auto"/>
        </w:rPr>
        <w:t xml:space="preserve"> and </w:t>
      </w:r>
      <w:r w:rsidR="00EB336E">
        <w:rPr>
          <w:color w:val="auto"/>
        </w:rPr>
        <w:t xml:space="preserve">2.66 </w:t>
      </w:r>
      <w:r w:rsidR="005728DA">
        <w:rPr>
          <w:color w:val="auto"/>
        </w:rPr>
        <w:t xml:space="preserve">months </w:t>
      </w:r>
      <w:r w:rsidR="00EB336E">
        <w:rPr>
          <w:color w:val="auto"/>
        </w:rPr>
        <w:t>for chemotherapy)</w:t>
      </w:r>
      <w:r w:rsidRPr="005C1E8E">
        <w:rPr>
          <w:color w:val="auto"/>
        </w:rPr>
        <w:t>.</w:t>
      </w:r>
    </w:p>
    <w:p w:rsidR="009F1430" w:rsidRPr="005C1E8E" w:rsidRDefault="00EF4850" w:rsidP="009F1430">
      <w:pPr>
        <w:pStyle w:val="ListParagraph"/>
        <w:numPr>
          <w:ilvl w:val="0"/>
          <w:numId w:val="0"/>
        </w:numPr>
        <w:ind w:left="720"/>
      </w:pPr>
      <w:r w:rsidRPr="005C1E8E">
        <w:rPr>
          <w:color w:val="auto"/>
        </w:rPr>
        <w:t xml:space="preserve">The revised CMA resulted in an AEMP </w:t>
      </w:r>
      <w:r w:rsidR="00B96DB1" w:rsidRPr="005C1E8E">
        <w:rPr>
          <w:color w:val="auto"/>
        </w:rPr>
        <w:t xml:space="preserve">for tepotinib </w:t>
      </w:r>
      <w:r w:rsidRPr="005C1E8E">
        <w:rPr>
          <w:color w:val="auto"/>
        </w:rPr>
        <w:t xml:space="preserve">of $10,453.49 per pack (compared to $10,386.73 in the submission). The </w:t>
      </w:r>
      <w:r w:rsidR="00E90B22" w:rsidRPr="005C1E8E">
        <w:rPr>
          <w:color w:val="auto"/>
        </w:rPr>
        <w:t>ESCs</w:t>
      </w:r>
      <w:r w:rsidRPr="005C1E8E">
        <w:rPr>
          <w:color w:val="auto"/>
        </w:rPr>
        <w:t xml:space="preserve"> noted correcting a number of errors</w:t>
      </w:r>
      <w:r w:rsidR="000212A7" w:rsidRPr="005C1E8E">
        <w:rPr>
          <w:rStyle w:val="FootnoteReference"/>
          <w:color w:val="auto"/>
        </w:rPr>
        <w:footnoteReference w:id="16"/>
      </w:r>
      <w:r w:rsidRPr="005C1E8E">
        <w:rPr>
          <w:color w:val="auto"/>
        </w:rPr>
        <w:t xml:space="preserve"> in the CMA resulted in an AEMP of </w:t>
      </w:r>
      <w:r w:rsidRPr="005C1E8E">
        <w:t>$10,489.64.</w:t>
      </w:r>
    </w:p>
    <w:p w:rsidR="00EF4850" w:rsidRPr="005C1E8E" w:rsidRDefault="007A42A7" w:rsidP="009F1430">
      <w:pPr>
        <w:pStyle w:val="ListParagraph"/>
        <w:numPr>
          <w:ilvl w:val="4"/>
          <w:numId w:val="1"/>
        </w:numPr>
        <w:rPr>
          <w:iCs/>
          <w:color w:val="auto"/>
        </w:rPr>
      </w:pPr>
      <w:r w:rsidRPr="005C1E8E">
        <w:rPr>
          <w:color w:val="auto"/>
        </w:rPr>
        <w:t xml:space="preserve">The </w:t>
      </w:r>
      <w:r w:rsidR="00F53893" w:rsidRPr="005C1E8E">
        <w:rPr>
          <w:color w:val="auto"/>
        </w:rPr>
        <w:t>ESC</w:t>
      </w:r>
      <w:r w:rsidR="006F1F0C" w:rsidRPr="005C1E8E">
        <w:rPr>
          <w:color w:val="auto"/>
        </w:rPr>
        <w:t>s</w:t>
      </w:r>
      <w:r w:rsidRPr="005C1E8E">
        <w:rPr>
          <w:color w:val="auto"/>
        </w:rPr>
        <w:t xml:space="preserve"> considered</w:t>
      </w:r>
      <w:r w:rsidR="00A941D8" w:rsidRPr="005C1E8E">
        <w:rPr>
          <w:color w:val="auto"/>
        </w:rPr>
        <w:t xml:space="preserve"> the following CMA assumptions would be reasonable</w:t>
      </w:r>
      <w:r w:rsidRPr="005C1E8E">
        <w:rPr>
          <w:color w:val="auto"/>
        </w:rPr>
        <w:t>:</w:t>
      </w:r>
    </w:p>
    <w:p w:rsidR="007A42A7" w:rsidRPr="005C1E8E" w:rsidRDefault="007A42A7" w:rsidP="00F800E1">
      <w:pPr>
        <w:pStyle w:val="ListParagraph"/>
        <w:numPr>
          <w:ilvl w:val="0"/>
          <w:numId w:val="22"/>
        </w:numPr>
        <w:ind w:left="1077" w:hanging="357"/>
        <w:rPr>
          <w:color w:val="auto"/>
        </w:rPr>
      </w:pPr>
      <w:r w:rsidRPr="005C1E8E">
        <w:rPr>
          <w:color w:val="auto"/>
        </w:rPr>
        <w:t>25.8% of patients have squamous NSCLC and are treated with pembrolizumab + platinum + paclitaxel</w:t>
      </w:r>
      <w:r w:rsidR="00A941D8" w:rsidRPr="005C1E8E">
        <w:rPr>
          <w:color w:val="auto"/>
        </w:rPr>
        <w:t xml:space="preserve"> (as proposed in the PSCR)</w:t>
      </w:r>
      <w:r w:rsidRPr="005C1E8E">
        <w:rPr>
          <w:color w:val="auto"/>
        </w:rPr>
        <w:t>;</w:t>
      </w:r>
    </w:p>
    <w:p w:rsidR="000068C2" w:rsidRPr="005C1E8E" w:rsidRDefault="000068C2" w:rsidP="00F800E1">
      <w:pPr>
        <w:pStyle w:val="ListParagraph"/>
        <w:numPr>
          <w:ilvl w:val="0"/>
          <w:numId w:val="22"/>
        </w:numPr>
        <w:ind w:left="1077" w:hanging="357"/>
        <w:rPr>
          <w:color w:val="auto"/>
        </w:rPr>
      </w:pPr>
      <w:r w:rsidRPr="005C1E8E">
        <w:rPr>
          <w:color w:val="auto"/>
        </w:rPr>
        <w:t xml:space="preserve">Removing </w:t>
      </w:r>
      <w:r w:rsidRPr="000152E5">
        <w:rPr>
          <w:i/>
          <w:iCs/>
          <w:color w:val="auto"/>
        </w:rPr>
        <w:t>ALK</w:t>
      </w:r>
      <w:r w:rsidRPr="005C1E8E">
        <w:rPr>
          <w:color w:val="auto"/>
        </w:rPr>
        <w:t xml:space="preserve">+ (3%) and </w:t>
      </w:r>
      <w:r w:rsidRPr="000152E5">
        <w:rPr>
          <w:i/>
          <w:iCs/>
          <w:color w:val="auto"/>
        </w:rPr>
        <w:t>ROS1</w:t>
      </w:r>
      <w:r w:rsidR="000152E5">
        <w:rPr>
          <w:color w:val="auto"/>
        </w:rPr>
        <w:t>+</w:t>
      </w:r>
      <w:r w:rsidRPr="005C1E8E">
        <w:rPr>
          <w:color w:val="auto"/>
        </w:rPr>
        <w:t xml:space="preserve"> (1.2%) positive patients from the non-squamous testing pool</w:t>
      </w:r>
      <w:r w:rsidR="00A941D8" w:rsidRPr="005C1E8E">
        <w:rPr>
          <w:color w:val="auto"/>
        </w:rPr>
        <w:t xml:space="preserve"> (as proposed in the PSCR)</w:t>
      </w:r>
      <w:r w:rsidRPr="005C1E8E">
        <w:rPr>
          <w:color w:val="auto"/>
        </w:rPr>
        <w:t>;</w:t>
      </w:r>
    </w:p>
    <w:p w:rsidR="007A42A7" w:rsidRPr="005C1E8E" w:rsidRDefault="007A42A7" w:rsidP="00F800E1">
      <w:pPr>
        <w:pStyle w:val="ListParagraph"/>
        <w:numPr>
          <w:ilvl w:val="0"/>
          <w:numId w:val="22"/>
        </w:numPr>
        <w:ind w:left="1077" w:hanging="357"/>
        <w:rPr>
          <w:color w:val="auto"/>
        </w:rPr>
      </w:pPr>
      <w:r w:rsidRPr="005C1E8E">
        <w:rPr>
          <w:color w:val="auto"/>
        </w:rPr>
        <w:t>Initiating extrapolation from the time at which 20% of patients remained at risk in the VISI</w:t>
      </w:r>
      <w:r w:rsidR="00A941D8" w:rsidRPr="005C1E8E">
        <w:rPr>
          <w:color w:val="auto"/>
        </w:rPr>
        <w:t>ON 1L OS KM data (as proposed in the PSCR)</w:t>
      </w:r>
      <w:r w:rsidRPr="005C1E8E">
        <w:rPr>
          <w:color w:val="auto"/>
        </w:rPr>
        <w:t xml:space="preserve"> and applying a lognormal extrapolation (as discussed in paragraph </w:t>
      </w:r>
      <w:r w:rsidR="0070289C">
        <w:rPr>
          <w:color w:val="auto"/>
        </w:rPr>
        <w:t>6.45</w:t>
      </w:r>
      <w:r w:rsidRPr="005C1E8E">
        <w:rPr>
          <w:color w:val="auto"/>
        </w:rPr>
        <w:t>);</w:t>
      </w:r>
    </w:p>
    <w:p w:rsidR="007A42A7" w:rsidRPr="005C1E8E" w:rsidRDefault="00457CBB" w:rsidP="00F800E1">
      <w:pPr>
        <w:pStyle w:val="ListParagraph"/>
        <w:numPr>
          <w:ilvl w:val="0"/>
          <w:numId w:val="22"/>
        </w:numPr>
        <w:ind w:left="1077" w:hanging="357"/>
        <w:rPr>
          <w:color w:val="auto"/>
        </w:rPr>
      </w:pPr>
      <w:r w:rsidRPr="005C1E8E">
        <w:rPr>
          <w:color w:val="auto"/>
        </w:rPr>
        <w:t>Reducing treatment duration of pembrolizumab by 0.5 cycle</w:t>
      </w:r>
      <w:r w:rsidR="00E63BCA" w:rsidRPr="005C1E8E">
        <w:rPr>
          <w:color w:val="auto"/>
        </w:rPr>
        <w:t xml:space="preserve"> </w:t>
      </w:r>
      <w:r w:rsidRPr="005C1E8E">
        <w:rPr>
          <w:color w:val="auto"/>
        </w:rPr>
        <w:t xml:space="preserve">to account for dose interruption </w:t>
      </w:r>
      <w:r w:rsidR="00E63BCA" w:rsidRPr="005C1E8E">
        <w:rPr>
          <w:color w:val="auto"/>
        </w:rPr>
        <w:t>(</w:t>
      </w:r>
      <w:r w:rsidRPr="005C1E8E">
        <w:rPr>
          <w:color w:val="auto"/>
        </w:rPr>
        <w:t>assuming 50% of patients reduce treatment duration by one cycle)</w:t>
      </w:r>
      <w:r w:rsidR="00B96DB1" w:rsidRPr="005C1E8E">
        <w:rPr>
          <w:color w:val="auto"/>
        </w:rPr>
        <w:t>;</w:t>
      </w:r>
      <w:r w:rsidR="00A941D8" w:rsidRPr="005C1E8E">
        <w:rPr>
          <w:color w:val="auto"/>
        </w:rPr>
        <w:t xml:space="preserve"> and</w:t>
      </w:r>
    </w:p>
    <w:p w:rsidR="007A42A7" w:rsidRPr="005C1E8E" w:rsidRDefault="00A941D8" w:rsidP="007A42A7">
      <w:pPr>
        <w:pStyle w:val="ListParagraph"/>
        <w:numPr>
          <w:ilvl w:val="0"/>
          <w:numId w:val="22"/>
        </w:numPr>
        <w:rPr>
          <w:color w:val="auto"/>
        </w:rPr>
      </w:pPr>
      <w:r w:rsidRPr="005C1E8E">
        <w:rPr>
          <w:color w:val="auto"/>
        </w:rPr>
        <w:t>A</w:t>
      </w:r>
      <w:r w:rsidR="00E90B22" w:rsidRPr="005C1E8E">
        <w:rPr>
          <w:color w:val="auto"/>
        </w:rPr>
        <w:t xml:space="preserve"> </w:t>
      </w:r>
      <w:r w:rsidR="007A42A7" w:rsidRPr="005C1E8E">
        <w:rPr>
          <w:color w:val="auto"/>
        </w:rPr>
        <w:t>15% retest</w:t>
      </w:r>
      <w:r w:rsidRPr="005C1E8E">
        <w:rPr>
          <w:color w:val="auto"/>
        </w:rPr>
        <w:t xml:space="preserve"> rate as proposed in the evaluation.</w:t>
      </w:r>
    </w:p>
    <w:p w:rsidR="007A42A7" w:rsidRDefault="007A42A7" w:rsidP="007A42A7">
      <w:pPr>
        <w:pStyle w:val="ListParagraph"/>
        <w:numPr>
          <w:ilvl w:val="0"/>
          <w:numId w:val="0"/>
        </w:numPr>
        <w:ind w:left="720"/>
        <w:rPr>
          <w:color w:val="auto"/>
        </w:rPr>
      </w:pPr>
      <w:r w:rsidRPr="005C1E8E">
        <w:rPr>
          <w:color w:val="auto"/>
        </w:rPr>
        <w:t xml:space="preserve">The revised CMA resulted in an AEMP of </w:t>
      </w:r>
      <w:r w:rsidR="00457CBB" w:rsidRPr="005C1E8E">
        <w:rPr>
          <w:color w:val="auto"/>
        </w:rPr>
        <w:t>$9,277.31</w:t>
      </w:r>
      <w:r w:rsidR="000212A7" w:rsidRPr="005C1E8E">
        <w:rPr>
          <w:color w:val="auto"/>
        </w:rPr>
        <w:t xml:space="preserve"> per pack</w:t>
      </w:r>
      <w:r w:rsidR="00E90B22" w:rsidRPr="005C1E8E">
        <w:rPr>
          <w:color w:val="auto"/>
        </w:rPr>
        <w:t>.</w:t>
      </w:r>
    </w:p>
    <w:p w:rsidR="00C47A4B" w:rsidRDefault="000678E8" w:rsidP="00781802">
      <w:pPr>
        <w:pStyle w:val="ListParagraph"/>
        <w:numPr>
          <w:ilvl w:val="4"/>
          <w:numId w:val="1"/>
        </w:numPr>
        <w:rPr>
          <w:color w:val="auto"/>
        </w:rPr>
      </w:pPr>
      <w:r w:rsidRPr="00C47A4B">
        <w:rPr>
          <w:color w:val="auto"/>
        </w:rPr>
        <w:t xml:space="preserve">The </w:t>
      </w:r>
      <w:r w:rsidR="00784C98" w:rsidRPr="00C47A4B">
        <w:rPr>
          <w:color w:val="auto"/>
        </w:rPr>
        <w:t>PBAC noted the pre-PBAC</w:t>
      </w:r>
      <w:r w:rsidR="00C47A4B" w:rsidRPr="00C47A4B">
        <w:rPr>
          <w:color w:val="auto"/>
        </w:rPr>
        <w:t xml:space="preserve"> response did not accept the</w:t>
      </w:r>
      <w:r w:rsidR="00784C98" w:rsidRPr="00C47A4B">
        <w:rPr>
          <w:color w:val="auto"/>
        </w:rPr>
        <w:t xml:space="preserve"> 15% retest rate</w:t>
      </w:r>
      <w:r w:rsidR="00C47A4B" w:rsidRPr="00C47A4B">
        <w:rPr>
          <w:color w:val="auto"/>
        </w:rPr>
        <w:t xml:space="preserve"> in the CMA proposed by the ESC</w:t>
      </w:r>
      <w:r w:rsidR="00784C98" w:rsidRPr="00C47A4B">
        <w:rPr>
          <w:color w:val="auto"/>
        </w:rPr>
        <w:t xml:space="preserve">.  The PBAC agreed with the pre-PBAC </w:t>
      </w:r>
      <w:r w:rsidR="006B4F28" w:rsidRPr="00C47A4B">
        <w:rPr>
          <w:color w:val="auto"/>
        </w:rPr>
        <w:t xml:space="preserve">response </w:t>
      </w:r>
      <w:r w:rsidR="00784C98" w:rsidRPr="00C47A4B">
        <w:rPr>
          <w:color w:val="auto"/>
        </w:rPr>
        <w:t xml:space="preserve">that a retest rate of 7%, consistent with that observed for </w:t>
      </w:r>
      <w:r w:rsidR="00784C98" w:rsidRPr="008D313B">
        <w:rPr>
          <w:i/>
          <w:iCs/>
          <w:color w:val="auto"/>
        </w:rPr>
        <w:t>EGFR</w:t>
      </w:r>
      <w:r w:rsidR="00784C98" w:rsidRPr="00C47A4B">
        <w:rPr>
          <w:color w:val="auto"/>
        </w:rPr>
        <w:t xml:space="preserve"> testing, was reasonable. </w:t>
      </w:r>
    </w:p>
    <w:p w:rsidR="00A72936" w:rsidRDefault="00A72936" w:rsidP="00781802">
      <w:pPr>
        <w:pStyle w:val="ListParagraph"/>
        <w:numPr>
          <w:ilvl w:val="4"/>
          <w:numId w:val="1"/>
        </w:numPr>
        <w:rPr>
          <w:color w:val="auto"/>
        </w:rPr>
      </w:pPr>
      <w:r>
        <w:rPr>
          <w:color w:val="auto"/>
        </w:rPr>
        <w:t xml:space="preserve">The PBAC noted </w:t>
      </w:r>
      <w:r w:rsidR="006D794D">
        <w:rPr>
          <w:color w:val="auto"/>
        </w:rPr>
        <w:t>i</w:t>
      </w:r>
      <w:r w:rsidRPr="005C1E8E">
        <w:rPr>
          <w:color w:val="auto"/>
        </w:rPr>
        <w:t>nitiating extrapolation from the time at which 20% of patients remained at risk in the VISION 1L OS KM data and applying a lognormal extrapolation</w:t>
      </w:r>
      <w:r>
        <w:rPr>
          <w:color w:val="auto"/>
        </w:rPr>
        <w:t xml:space="preserve"> </w:t>
      </w:r>
      <w:r w:rsidR="00021220">
        <w:rPr>
          <w:color w:val="auto"/>
        </w:rPr>
        <w:t xml:space="preserve">(as proposed by the ESC) </w:t>
      </w:r>
      <w:r>
        <w:rPr>
          <w:color w:val="auto"/>
        </w:rPr>
        <w:t xml:space="preserve">resulted in an average treatment duration of </w:t>
      </w:r>
      <w:r w:rsidR="006D794D">
        <w:rPr>
          <w:color w:val="auto"/>
        </w:rPr>
        <w:t>13.98 months for tepotinib, 11.2 months (</w:t>
      </w:r>
      <w:r w:rsidR="00EF405D">
        <w:rPr>
          <w:color w:val="auto"/>
        </w:rPr>
        <w:t>16.23</w:t>
      </w:r>
      <w:r w:rsidR="006D794D">
        <w:rPr>
          <w:color w:val="auto"/>
        </w:rPr>
        <w:t xml:space="preserve"> cycles) for pembrolizumab and </w:t>
      </w:r>
      <w:proofErr w:type="spellStart"/>
      <w:r w:rsidR="006D794D">
        <w:rPr>
          <w:color w:val="auto"/>
        </w:rPr>
        <w:t>pemetrexed</w:t>
      </w:r>
      <w:proofErr w:type="spellEnd"/>
      <w:r w:rsidR="006D794D">
        <w:rPr>
          <w:color w:val="auto"/>
        </w:rPr>
        <w:t xml:space="preserve"> and 2.66 months (</w:t>
      </w:r>
      <w:r w:rsidR="00EF405D">
        <w:rPr>
          <w:color w:val="auto"/>
        </w:rPr>
        <w:t>3.86</w:t>
      </w:r>
      <w:r w:rsidR="006D794D">
        <w:rPr>
          <w:color w:val="auto"/>
        </w:rPr>
        <w:t xml:space="preserve"> cycles) for chemotherapy. </w:t>
      </w:r>
    </w:p>
    <w:p w:rsidR="00F510D6" w:rsidRDefault="00F510D6" w:rsidP="00781802">
      <w:pPr>
        <w:pStyle w:val="ListParagraph"/>
        <w:numPr>
          <w:ilvl w:val="4"/>
          <w:numId w:val="1"/>
        </w:numPr>
        <w:rPr>
          <w:color w:val="auto"/>
        </w:rPr>
      </w:pPr>
      <w:r>
        <w:rPr>
          <w:color w:val="auto"/>
        </w:rPr>
        <w:t>The PBAC noted the difference in chemotherapy cost in the CMA between squamous and no</w:t>
      </w:r>
      <w:r w:rsidR="005728DA">
        <w:rPr>
          <w:color w:val="auto"/>
        </w:rPr>
        <w:t xml:space="preserve">n-squamous patients was negligible </w:t>
      </w:r>
      <w:r>
        <w:rPr>
          <w:color w:val="auto"/>
        </w:rPr>
        <w:t xml:space="preserve">and considered it would be reasonable for the CMA to apply treatment costs for non-squamous NSCLC only. </w:t>
      </w:r>
    </w:p>
    <w:p w:rsidR="00784C98" w:rsidRDefault="00784C98" w:rsidP="000678E8">
      <w:pPr>
        <w:pStyle w:val="ListParagraph"/>
        <w:numPr>
          <w:ilvl w:val="4"/>
          <w:numId w:val="1"/>
        </w:numPr>
        <w:rPr>
          <w:color w:val="auto"/>
        </w:rPr>
      </w:pPr>
      <w:r>
        <w:rPr>
          <w:color w:val="auto"/>
        </w:rPr>
        <w:t xml:space="preserve">The pre-PBAC response stated that if panel testing is implemented for NSCLC, the marginal cost of testing for </w:t>
      </w:r>
      <w:r w:rsidRPr="00784C98">
        <w:rPr>
          <w:i/>
          <w:color w:val="auto"/>
        </w:rPr>
        <w:t>MET</w:t>
      </w:r>
      <w:r>
        <w:rPr>
          <w:color w:val="auto"/>
        </w:rPr>
        <w:t xml:space="preserve">ex14sk alteration would be negligible and requested the PBAC take this into account for tepotinib. The PBAC </w:t>
      </w:r>
      <w:r w:rsidR="006929C7">
        <w:rPr>
          <w:color w:val="auto"/>
        </w:rPr>
        <w:t xml:space="preserve">considered the value of </w:t>
      </w:r>
      <w:r w:rsidR="006B4F28">
        <w:rPr>
          <w:color w:val="auto"/>
        </w:rPr>
        <w:t xml:space="preserve">the </w:t>
      </w:r>
      <w:r w:rsidR="006929C7">
        <w:rPr>
          <w:color w:val="auto"/>
        </w:rPr>
        <w:t xml:space="preserve">test is unrelated to whether it is provided via a single gene test (as proposed in the submission) </w:t>
      </w:r>
      <w:r w:rsidR="006B4F28">
        <w:rPr>
          <w:color w:val="auto"/>
        </w:rPr>
        <w:t xml:space="preserve">or </w:t>
      </w:r>
      <w:r w:rsidR="00176013">
        <w:rPr>
          <w:color w:val="auto"/>
        </w:rPr>
        <w:t xml:space="preserve">subsequently </w:t>
      </w:r>
      <w:r w:rsidR="006B4F28">
        <w:rPr>
          <w:color w:val="auto"/>
        </w:rPr>
        <w:t>via a gene panel</w:t>
      </w:r>
      <w:r w:rsidR="00176013">
        <w:rPr>
          <w:color w:val="auto"/>
        </w:rPr>
        <w:t xml:space="preserve">, so there would not need to be a re-visiting of the CMA in the event that </w:t>
      </w:r>
      <w:r w:rsidR="00176013" w:rsidRPr="00784C98">
        <w:rPr>
          <w:i/>
          <w:color w:val="auto"/>
        </w:rPr>
        <w:t>MET</w:t>
      </w:r>
      <w:r w:rsidR="00176013">
        <w:rPr>
          <w:color w:val="auto"/>
        </w:rPr>
        <w:t>ex14sk alteration testing is incorporated into a panel in the future</w:t>
      </w:r>
      <w:r w:rsidR="006B4F28">
        <w:rPr>
          <w:color w:val="auto"/>
        </w:rPr>
        <w:t xml:space="preserve">.   </w:t>
      </w:r>
    </w:p>
    <w:p w:rsidR="0059661C" w:rsidRPr="00183B83" w:rsidRDefault="0059661C" w:rsidP="0059661C">
      <w:pPr>
        <w:pStyle w:val="PBACESHeading2"/>
        <w:numPr>
          <w:ilvl w:val="2"/>
          <w:numId w:val="1"/>
        </w:numPr>
        <w:rPr>
          <w:rFonts w:asciiTheme="minorHAnsi" w:hAnsiTheme="minorHAnsi" w:cstheme="minorHAnsi"/>
        </w:rPr>
      </w:pPr>
      <w:bookmarkStart w:id="41" w:name="_Toc497226192"/>
      <w:bookmarkStart w:id="42" w:name="_Toc81873388"/>
      <w:r w:rsidRPr="00183B83">
        <w:rPr>
          <w:rFonts w:asciiTheme="minorHAnsi" w:hAnsiTheme="minorHAnsi" w:cstheme="minorHAnsi"/>
        </w:rPr>
        <w:t>Drug cost/patient/course</w:t>
      </w:r>
      <w:bookmarkEnd w:id="41"/>
      <w:bookmarkEnd w:id="42"/>
    </w:p>
    <w:p w:rsidR="0059661C" w:rsidRPr="0018502E" w:rsidRDefault="0059661C" w:rsidP="00C02B0F">
      <w:pPr>
        <w:pStyle w:val="ListParagraph"/>
      </w:pPr>
      <w:r w:rsidRPr="0018502E">
        <w:t xml:space="preserve">As presented in </w:t>
      </w:r>
      <w:r w:rsidR="00C56714">
        <w:t xml:space="preserve">Table </w:t>
      </w:r>
      <w:r w:rsidR="00C56714">
        <w:rPr>
          <w:noProof/>
        </w:rPr>
        <w:t>3</w:t>
      </w:r>
      <w:r w:rsidRPr="0018502E">
        <w:t xml:space="preserve"> above, at the proposed ex-manufacturer price for tepotinib of $10,543.32 per pack of 225</w:t>
      </w:r>
      <w:r w:rsidR="00C546FC" w:rsidRPr="0018502E">
        <w:t xml:space="preserve"> </w:t>
      </w:r>
      <w:r w:rsidRPr="0018502E">
        <w:t>mg x 60 tablets, the treatment cost with tepotinib</w:t>
      </w:r>
      <w:r w:rsidR="00C02B0F" w:rsidRPr="0018502E">
        <w:t>, at an average of 392.8</w:t>
      </w:r>
      <w:r w:rsidR="003C6533">
        <w:t> </w:t>
      </w:r>
      <w:r w:rsidR="00C02B0F" w:rsidRPr="0018502E">
        <w:t xml:space="preserve">mg per administration, </w:t>
      </w:r>
      <w:r w:rsidRPr="0018502E">
        <w:t>over an average of 13.4 months</w:t>
      </w:r>
      <w:r w:rsidR="00C02B0F" w:rsidRPr="0018502E">
        <w:t>,</w:t>
      </w:r>
      <w:r w:rsidRPr="0018502E">
        <w:t xml:space="preserve"> was $124,671/patient. To identify one eligible patient for treatment, 32.9 patients need to be tested for </w:t>
      </w:r>
      <w:r w:rsidRPr="0018502E">
        <w:rPr>
          <w:i/>
        </w:rPr>
        <w:t>MET</w:t>
      </w:r>
      <w:r w:rsidRPr="0018502E">
        <w:t>ex14sk at a total cost of $11,12</w:t>
      </w:r>
      <w:r w:rsidR="00F07741" w:rsidRPr="0018502E">
        <w:t>8</w:t>
      </w:r>
      <w:r w:rsidRPr="0018502E">
        <w:t xml:space="preserve"> (using the 85% MBS fee for the testing). The total cost to treat one </w:t>
      </w:r>
      <w:r w:rsidRPr="0018502E">
        <w:rPr>
          <w:i/>
        </w:rPr>
        <w:t>METex</w:t>
      </w:r>
      <w:r w:rsidRPr="0018502E">
        <w:t>14sk patient with tepotinib was $135,79</w:t>
      </w:r>
      <w:r w:rsidR="00F07741" w:rsidRPr="0018502E">
        <w:t>9</w:t>
      </w:r>
      <w:r w:rsidRPr="0018502E">
        <w:t>, same as the cost of treatment with pembrolizumab in combination with chemotherapy</w:t>
      </w:r>
      <w:r w:rsidRPr="0018502E">
        <w:rPr>
          <w:i/>
        </w:rPr>
        <w:t xml:space="preserve">. </w:t>
      </w:r>
      <w:r w:rsidRPr="007E4DDD">
        <w:t xml:space="preserve">The total cost per tepotinib patient would be </w:t>
      </w:r>
      <w:r w:rsidR="000D5B1D" w:rsidRPr="007E4DDD">
        <w:t>$</w:t>
      </w:r>
      <w:r w:rsidRPr="007E4DDD">
        <w:t xml:space="preserve">135,910, including a testing cost of </w:t>
      </w:r>
      <w:r w:rsidRPr="007E4DDD">
        <w:rPr>
          <w:color w:val="auto"/>
        </w:rPr>
        <w:t xml:space="preserve">$13,091 (using the 100% MBS Schedule fee) and a drug cost of $122,819 (based on </w:t>
      </w:r>
      <w:r w:rsidR="004A62EF" w:rsidRPr="007E4DDD">
        <w:rPr>
          <w:color w:val="auto"/>
        </w:rPr>
        <w:t xml:space="preserve">revised cost minimising </w:t>
      </w:r>
      <w:r w:rsidRPr="007E4DDD">
        <w:rPr>
          <w:color w:val="auto"/>
        </w:rPr>
        <w:t>price of $10,386.73 per pack</w:t>
      </w:r>
      <w:r w:rsidR="00C02B0F" w:rsidRPr="007E4DDD">
        <w:t xml:space="preserve"> and </w:t>
      </w:r>
      <w:r w:rsidR="00C02B0F" w:rsidRPr="007E4DDD">
        <w:rPr>
          <w:color w:val="auto"/>
        </w:rPr>
        <w:t xml:space="preserve">using the most efficient vial combination for </w:t>
      </w:r>
      <w:proofErr w:type="spellStart"/>
      <w:r w:rsidR="00C02B0F" w:rsidRPr="007E4DDD">
        <w:rPr>
          <w:color w:val="auto"/>
        </w:rPr>
        <w:t>pemetrexed</w:t>
      </w:r>
      <w:proofErr w:type="spellEnd"/>
      <w:r w:rsidR="00C02B0F" w:rsidRPr="007E4DDD">
        <w:rPr>
          <w:color w:val="auto"/>
        </w:rPr>
        <w:t xml:space="preserve"> and carboplatin</w:t>
      </w:r>
      <w:r w:rsidRPr="007E4DDD">
        <w:rPr>
          <w:color w:val="auto"/>
        </w:rPr>
        <w:t>).</w:t>
      </w:r>
    </w:p>
    <w:p w:rsidR="0059661C" w:rsidRPr="00183B83" w:rsidRDefault="0059661C" w:rsidP="0059661C">
      <w:pPr>
        <w:pStyle w:val="PBACESHeading2"/>
        <w:numPr>
          <w:ilvl w:val="2"/>
          <w:numId w:val="1"/>
        </w:numPr>
        <w:rPr>
          <w:rFonts w:asciiTheme="minorHAnsi" w:hAnsiTheme="minorHAnsi" w:cstheme="minorHAnsi"/>
        </w:rPr>
      </w:pPr>
      <w:bookmarkStart w:id="43" w:name="_Toc497226193"/>
      <w:bookmarkStart w:id="44" w:name="_Toc81873389"/>
      <w:r w:rsidRPr="00183B83">
        <w:rPr>
          <w:rFonts w:asciiTheme="minorHAnsi" w:hAnsiTheme="minorHAnsi" w:cstheme="minorHAnsi"/>
        </w:rPr>
        <w:t>Estimated PBS &amp; financial implications</w:t>
      </w:r>
      <w:bookmarkEnd w:id="43"/>
      <w:bookmarkEnd w:id="44"/>
    </w:p>
    <w:p w:rsidR="005C1E8E" w:rsidRPr="005C1E8E" w:rsidRDefault="005C1E8E" w:rsidP="005C1E8E">
      <w:pPr>
        <w:pStyle w:val="ListParagraph"/>
      </w:pPr>
      <w:r>
        <w:t>This submission was</w:t>
      </w:r>
      <w:r w:rsidRPr="005C1E8E">
        <w:t xml:space="preserve"> considered by </w:t>
      </w:r>
      <w:r w:rsidR="00740F3C">
        <w:t xml:space="preserve">the </w:t>
      </w:r>
      <w:r w:rsidRPr="005C1E8E">
        <w:t xml:space="preserve">DUSC. The submission took an epidemiological approach to estimating the financial impacts of the listing of the proposed </w:t>
      </w:r>
      <w:proofErr w:type="spellStart"/>
      <w:r w:rsidRPr="005C1E8E">
        <w:t>codependent</w:t>
      </w:r>
      <w:proofErr w:type="spellEnd"/>
      <w:r w:rsidRPr="005C1E8E">
        <w:t xml:space="preserve"> technologies, i.e. testing for </w:t>
      </w:r>
      <w:r w:rsidRPr="00FE7891">
        <w:rPr>
          <w:i/>
        </w:rPr>
        <w:t>MET</w:t>
      </w:r>
      <w:r w:rsidRPr="005C1E8E">
        <w:t xml:space="preserve">ex14sk and treatment with tepotinib for those patients with </w:t>
      </w:r>
      <w:r w:rsidRPr="00FE7891">
        <w:rPr>
          <w:i/>
        </w:rPr>
        <w:t>MET</w:t>
      </w:r>
      <w:r w:rsidRPr="005C1E8E">
        <w:t>ex14sk. The key data sources used in the financial analysis are summarised below.</w:t>
      </w:r>
    </w:p>
    <w:p w:rsidR="004F21CD" w:rsidRDefault="004F21CD" w:rsidP="005C1E8E">
      <w:pPr>
        <w:pStyle w:val="Caption"/>
      </w:pPr>
    </w:p>
    <w:p w:rsidR="005C1E8E" w:rsidRPr="00B92D96" w:rsidRDefault="00837378" w:rsidP="005C1E8E">
      <w:pPr>
        <w:pStyle w:val="Caption"/>
      </w:pPr>
      <w:r w:rsidRPr="00837378">
        <w:t xml:space="preserve">Table </w:t>
      </w:r>
      <w:r>
        <w:rPr>
          <w:noProof/>
        </w:rPr>
        <w:t>14</w:t>
      </w:r>
      <w:r w:rsidR="00F800E1">
        <w:rPr>
          <w:noProof/>
        </w:rPr>
        <w:t xml:space="preserve">: </w:t>
      </w:r>
      <w:r w:rsidR="005C1E8E" w:rsidRPr="00B92D96">
        <w:t xml:space="preserve">Data sources used to calculate the financial impacts of reimbursement of </w:t>
      </w:r>
      <w:r w:rsidR="005C1E8E" w:rsidRPr="00AF4DD5">
        <w:rPr>
          <w:i/>
        </w:rPr>
        <w:t>MET</w:t>
      </w:r>
      <w:r w:rsidR="005C1E8E" w:rsidRPr="00B92D96">
        <w:t>ex14sk testing and tepotinib</w:t>
      </w:r>
    </w:p>
    <w:tbl>
      <w:tblPr>
        <w:tblStyle w:val="PBACTableStyle3"/>
        <w:tblW w:w="5000" w:type="pct"/>
        <w:tblLook w:val="04A0" w:firstRow="1" w:lastRow="0" w:firstColumn="1" w:lastColumn="0" w:noHBand="0" w:noVBand="1"/>
        <w:tblCaption w:val="Table 14: Data sources used to calculate the financial impacts of reimbursement of METex14sk testing and tepotinib"/>
      </w:tblPr>
      <w:tblGrid>
        <w:gridCol w:w="2123"/>
        <w:gridCol w:w="1599"/>
        <w:gridCol w:w="1812"/>
        <w:gridCol w:w="3482"/>
      </w:tblGrid>
      <w:tr w:rsidR="005C1E8E" w:rsidRPr="00B92D96" w:rsidTr="00AF2F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5" w:type="dxa"/>
            <w:tcBorders>
              <w:bottom w:val="single" w:sz="4" w:space="0" w:color="auto"/>
            </w:tcBorders>
          </w:tcPr>
          <w:p w:rsidR="005C1E8E" w:rsidRPr="00F13980" w:rsidRDefault="005C1E8E" w:rsidP="00AF2F78">
            <w:pPr>
              <w:spacing w:before="0"/>
              <w:jc w:val="left"/>
              <w:rPr>
                <w:sz w:val="20"/>
                <w:lang w:val="en-AU"/>
              </w:rPr>
            </w:pPr>
            <w:r w:rsidRPr="00962499">
              <w:rPr>
                <w:sz w:val="20"/>
              </w:rPr>
              <w:t>Data</w:t>
            </w:r>
          </w:p>
        </w:tc>
        <w:tc>
          <w:tcPr>
            <w:tcW w:w="1636" w:type="dxa"/>
            <w:tcBorders>
              <w:bottom w:val="single" w:sz="4" w:space="0" w:color="auto"/>
            </w:tcBorders>
          </w:tcPr>
          <w:p w:rsidR="005C1E8E" w:rsidRPr="00F13980" w:rsidRDefault="005C1E8E" w:rsidP="00AF2F78">
            <w:pPr>
              <w:spacing w:before="0"/>
              <w:jc w:val="left"/>
              <w:cnfStyle w:val="100000000000" w:firstRow="1" w:lastRow="0" w:firstColumn="0" w:lastColumn="0" w:oddVBand="0" w:evenVBand="0" w:oddHBand="0" w:evenHBand="0" w:firstRowFirstColumn="0" w:firstRowLastColumn="0" w:lastRowFirstColumn="0" w:lastRowLastColumn="0"/>
              <w:rPr>
                <w:sz w:val="20"/>
                <w:lang w:val="en-AU"/>
              </w:rPr>
            </w:pPr>
            <w:r w:rsidRPr="00962499">
              <w:rPr>
                <w:sz w:val="20"/>
              </w:rPr>
              <w:t>Value (data source)</w:t>
            </w:r>
          </w:p>
        </w:tc>
        <w:tc>
          <w:tcPr>
            <w:tcW w:w="1839" w:type="dxa"/>
            <w:tcBorders>
              <w:bottom w:val="single" w:sz="4" w:space="0" w:color="auto"/>
            </w:tcBorders>
          </w:tcPr>
          <w:p w:rsidR="005C1E8E" w:rsidRPr="00F13980" w:rsidRDefault="005C1E8E" w:rsidP="00AF2F78">
            <w:pPr>
              <w:spacing w:before="0"/>
              <w:jc w:val="left"/>
              <w:cnfStyle w:val="100000000000" w:firstRow="1" w:lastRow="0" w:firstColumn="0" w:lastColumn="0" w:oddVBand="0" w:evenVBand="0" w:oddHBand="0" w:evenHBand="0" w:firstRowFirstColumn="0" w:firstRowLastColumn="0" w:lastRowFirstColumn="0" w:lastRowLastColumn="0"/>
              <w:rPr>
                <w:sz w:val="20"/>
                <w:lang w:val="en-AU"/>
              </w:rPr>
            </w:pPr>
            <w:r w:rsidRPr="00962499">
              <w:rPr>
                <w:sz w:val="20"/>
              </w:rPr>
              <w:t>Data source</w:t>
            </w:r>
          </w:p>
        </w:tc>
        <w:tc>
          <w:tcPr>
            <w:tcW w:w="3602" w:type="dxa"/>
            <w:tcBorders>
              <w:bottom w:val="single" w:sz="4" w:space="0" w:color="auto"/>
            </w:tcBorders>
          </w:tcPr>
          <w:p w:rsidR="005C1E8E" w:rsidRPr="00F13980" w:rsidRDefault="005C1E8E" w:rsidP="00AF2F78">
            <w:pPr>
              <w:spacing w:before="0"/>
              <w:jc w:val="left"/>
              <w:cnfStyle w:val="100000000000" w:firstRow="1" w:lastRow="0" w:firstColumn="0" w:lastColumn="0" w:oddVBand="0" w:evenVBand="0" w:oddHBand="0" w:evenHBand="0" w:firstRowFirstColumn="0" w:firstRowLastColumn="0" w:lastRowFirstColumn="0" w:lastRowLastColumn="0"/>
              <w:rPr>
                <w:sz w:val="20"/>
                <w:lang w:val="en-AU"/>
              </w:rPr>
            </w:pPr>
            <w:r w:rsidRPr="00962499">
              <w:rPr>
                <w:sz w:val="20"/>
              </w:rPr>
              <w:t>Comment</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Borders>
              <w:right w:val="nil"/>
            </w:tcBorders>
          </w:tcPr>
          <w:p w:rsidR="005C1E8E" w:rsidRPr="00F13980" w:rsidRDefault="005C1E8E" w:rsidP="00AF2F78">
            <w:pPr>
              <w:spacing w:before="0"/>
              <w:jc w:val="left"/>
              <w:rPr>
                <w:b/>
                <w:bCs/>
                <w:iCs/>
                <w:sz w:val="20"/>
                <w:lang w:val="en-AU"/>
              </w:rPr>
            </w:pPr>
            <w:r w:rsidRPr="00962499">
              <w:rPr>
                <w:b/>
                <w:bCs/>
                <w:iCs/>
                <w:sz w:val="20"/>
              </w:rPr>
              <w:t>Eligible population</w:t>
            </w:r>
          </w:p>
        </w:tc>
        <w:tc>
          <w:tcPr>
            <w:tcW w:w="1636" w:type="dxa"/>
            <w:tcBorders>
              <w:left w:val="nil"/>
              <w:right w:val="nil"/>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c>
          <w:tcPr>
            <w:tcW w:w="1839" w:type="dxa"/>
            <w:tcBorders>
              <w:left w:val="nil"/>
              <w:right w:val="nil"/>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c>
          <w:tcPr>
            <w:tcW w:w="3602" w:type="dxa"/>
            <w:tcBorders>
              <w:left w:val="nil"/>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Incidence of lung cancer in Australia</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13,689 in </w:t>
            </w:r>
            <w:proofErr w:type="spellStart"/>
            <w:r w:rsidRPr="00962499">
              <w:rPr>
                <w:sz w:val="20"/>
              </w:rPr>
              <w:t>Yr</w:t>
            </w:r>
            <w:proofErr w:type="spellEnd"/>
            <w:r w:rsidRPr="00962499">
              <w:rPr>
                <w:sz w:val="20"/>
              </w:rPr>
              <w:t xml:space="preserve"> 1, increasing to 14,953 in </w:t>
            </w:r>
            <w:proofErr w:type="spellStart"/>
            <w:r w:rsidRPr="00962499">
              <w:rPr>
                <w:sz w:val="20"/>
              </w:rPr>
              <w:t>Yr</w:t>
            </w:r>
            <w:proofErr w:type="spellEnd"/>
            <w:r w:rsidRPr="00962499">
              <w:rPr>
                <w:sz w:val="20"/>
              </w:rPr>
              <w:t xml:space="preserve"> 6</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AIHW 2020</w:t>
            </w:r>
          </w:p>
        </w:tc>
        <w:tc>
          <w:tcPr>
            <w:tcW w:w="3602"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NSCLC</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86.6%</w:t>
            </w:r>
          </w:p>
        </w:tc>
        <w:tc>
          <w:tcPr>
            <w:tcW w:w="1839" w:type="dxa"/>
            <w:vMerge w:val="restart"/>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Victorian Cancer Registry data reported by Mitchell </w:t>
            </w:r>
            <w:r w:rsidRPr="00962499">
              <w:rPr>
                <w:i/>
                <w:sz w:val="20"/>
              </w:rPr>
              <w:t xml:space="preserve">et al </w:t>
            </w:r>
            <w:r w:rsidRPr="00962499">
              <w:rPr>
                <w:sz w:val="20"/>
              </w:rPr>
              <w:t>(2013)</w:t>
            </w:r>
          </w:p>
        </w:tc>
        <w:tc>
          <w:tcPr>
            <w:tcW w:w="3602" w:type="dxa"/>
            <w:vMerge w:val="restart"/>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Distribution of disease stage at diagnosis</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Stage I-IIIA: 34.5%</w:t>
            </w:r>
          </w:p>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Stage IIIB: 14.0%</w:t>
            </w:r>
          </w:p>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Stage IV: 51.5%</w:t>
            </w:r>
          </w:p>
        </w:tc>
        <w:tc>
          <w:tcPr>
            <w:tcW w:w="1839" w:type="dxa"/>
            <w:vMerge/>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c>
          <w:tcPr>
            <w:tcW w:w="3602" w:type="dxa"/>
            <w:vMerge/>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i/>
                <w:sz w:val="20"/>
                <w:lang w:val="en-AU"/>
              </w:rPr>
            </w:pPr>
            <w:r w:rsidRPr="00962499">
              <w:rPr>
                <w:sz w:val="20"/>
              </w:rPr>
              <w:t xml:space="preserve">% patients tested for </w:t>
            </w:r>
            <w:r w:rsidRPr="008D313B">
              <w:rPr>
                <w:i/>
                <w:iCs/>
                <w:sz w:val="20"/>
              </w:rPr>
              <w:t>EGFR</w:t>
            </w:r>
            <w:r w:rsidRPr="00962499">
              <w:rPr>
                <w:sz w:val="20"/>
              </w:rPr>
              <w:t xml:space="preserve"> mutations</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90%</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Pennell </w:t>
            </w:r>
            <w:r w:rsidRPr="00962499">
              <w:rPr>
                <w:i/>
                <w:sz w:val="20"/>
              </w:rPr>
              <w:t xml:space="preserve">et al </w:t>
            </w:r>
            <w:r w:rsidRPr="00962499">
              <w:rPr>
                <w:sz w:val="20"/>
              </w:rPr>
              <w:t>2019</w:t>
            </w:r>
          </w:p>
        </w:tc>
        <w:tc>
          <w:tcPr>
            <w:tcW w:w="3602" w:type="dxa"/>
            <w:vMerge w:val="restart"/>
          </w:tcPr>
          <w:p w:rsidR="005C1E8E" w:rsidRPr="00F13980" w:rsidRDefault="00AF4DD5" w:rsidP="00AF2F78">
            <w:pPr>
              <w:spacing w:before="0"/>
              <w:jc w:val="left"/>
              <w:cnfStyle w:val="000000000000" w:firstRow="0" w:lastRow="0" w:firstColumn="0" w:lastColumn="0" w:oddVBand="0" w:evenVBand="0" w:oddHBand="0" w:evenHBand="0" w:firstRowFirstColumn="0" w:firstRowLastColumn="0" w:lastRowFirstColumn="0" w:lastRowLastColumn="0"/>
              <w:rPr>
                <w:i/>
                <w:sz w:val="20"/>
                <w:lang w:val="en-AU"/>
              </w:rPr>
            </w:pPr>
            <w:r w:rsidRPr="007874CA">
              <w:rPr>
                <w:sz w:val="20"/>
              </w:rPr>
              <w:t>T</w:t>
            </w:r>
            <w:r w:rsidR="005C1E8E" w:rsidRPr="007874CA">
              <w:rPr>
                <w:sz w:val="20"/>
              </w:rPr>
              <w:t xml:space="preserve">he submission incorrectly assumed that patients with squamous NSCLC would also be tested for </w:t>
            </w:r>
            <w:r w:rsidR="005C1E8E" w:rsidRPr="008D313B">
              <w:rPr>
                <w:i/>
                <w:iCs/>
                <w:sz w:val="20"/>
              </w:rPr>
              <w:t>EGFR</w:t>
            </w:r>
            <w:r w:rsidR="005C1E8E" w:rsidRPr="007874CA">
              <w:rPr>
                <w:sz w:val="20"/>
              </w:rPr>
              <w:t xml:space="preserve"> mutations and have a 17.9% positive rate.</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xml:space="preserve">Prevalence of activating </w:t>
            </w:r>
            <w:r w:rsidRPr="008D313B">
              <w:rPr>
                <w:i/>
                <w:iCs/>
                <w:sz w:val="20"/>
              </w:rPr>
              <w:t>EGFR</w:t>
            </w:r>
            <w:r w:rsidRPr="00962499">
              <w:rPr>
                <w:sz w:val="20"/>
              </w:rPr>
              <w:t xml:space="preserve"> mutations</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17.9%</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DUSC report on </w:t>
            </w:r>
            <w:proofErr w:type="spellStart"/>
            <w:r w:rsidRPr="00962499">
              <w:rPr>
                <w:sz w:val="20"/>
              </w:rPr>
              <w:t>erlotinib</w:t>
            </w:r>
            <w:proofErr w:type="spellEnd"/>
            <w:r w:rsidRPr="00962499">
              <w:rPr>
                <w:sz w:val="20"/>
              </w:rPr>
              <w:t xml:space="preserve"> and gefitinib (2017)</w:t>
            </w:r>
          </w:p>
        </w:tc>
        <w:tc>
          <w:tcPr>
            <w:tcW w:w="3602" w:type="dxa"/>
            <w:vMerge/>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xml:space="preserve">Prevalence of </w:t>
            </w:r>
            <w:r w:rsidRPr="00962499">
              <w:rPr>
                <w:i/>
                <w:sz w:val="20"/>
              </w:rPr>
              <w:t>MET</w:t>
            </w:r>
            <w:r w:rsidRPr="00962499">
              <w:rPr>
                <w:sz w:val="20"/>
              </w:rPr>
              <w:t>ex14sk</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5%</w:t>
            </w:r>
          </w:p>
        </w:tc>
        <w:tc>
          <w:tcPr>
            <w:tcW w:w="1839" w:type="dxa"/>
          </w:tcPr>
          <w:p w:rsidR="005C1E8E" w:rsidRPr="00F13980" w:rsidRDefault="005C1E8E" w:rsidP="00AF2F78">
            <w:pPr>
              <w:spacing w:before="0"/>
              <w:ind w:right="-57"/>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Ratified PICO Confirmation document (Application 1660), literature</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5% was higher than the prevalence reported in most of the studies (ranging from 3% to 4%).</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patients ineligible for immunotherapy due to autoimmune diseases</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13.5%</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Large American study by Khan </w:t>
            </w:r>
            <w:r w:rsidRPr="00962499">
              <w:rPr>
                <w:i/>
                <w:sz w:val="20"/>
              </w:rPr>
              <w:t xml:space="preserve">et al </w:t>
            </w:r>
            <w:r w:rsidRPr="00962499">
              <w:rPr>
                <w:sz w:val="20"/>
              </w:rPr>
              <w:t>2016</w:t>
            </w:r>
          </w:p>
        </w:tc>
        <w:tc>
          <w:tcPr>
            <w:tcW w:w="3602" w:type="dxa"/>
          </w:tcPr>
          <w:p w:rsidR="005C1E8E" w:rsidRPr="000A752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0A752A">
              <w:rPr>
                <w:sz w:val="20"/>
              </w:rPr>
              <w:t>Reasonable data source</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xml:space="preserve">Split of PD-L1 TPS &lt; 50% </w:t>
            </w:r>
            <w:r w:rsidRPr="00962499">
              <w:rPr>
                <w:i/>
                <w:sz w:val="20"/>
              </w:rPr>
              <w:t xml:space="preserve">vs. </w:t>
            </w:r>
            <w:r w:rsidRPr="00962499">
              <w:rPr>
                <w:sz w:val="20"/>
              </w:rPr>
              <w:t>PD-L1 TPS ≥50%</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77.8% </w:t>
            </w:r>
            <w:r w:rsidRPr="00962499">
              <w:rPr>
                <w:i/>
                <w:sz w:val="20"/>
              </w:rPr>
              <w:t xml:space="preserve">vs. </w:t>
            </w:r>
            <w:r w:rsidRPr="00962499">
              <w:rPr>
                <w:sz w:val="20"/>
              </w:rPr>
              <w:t>22.2%</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roofErr w:type="spellStart"/>
            <w:r w:rsidRPr="00962499">
              <w:rPr>
                <w:sz w:val="20"/>
              </w:rPr>
              <w:t>Dietel</w:t>
            </w:r>
            <w:proofErr w:type="spellEnd"/>
            <w:r w:rsidRPr="00962499">
              <w:rPr>
                <w:sz w:val="20"/>
              </w:rPr>
              <w:t xml:space="preserve"> </w:t>
            </w:r>
            <w:r w:rsidRPr="00962499">
              <w:rPr>
                <w:i/>
                <w:sz w:val="20"/>
              </w:rPr>
              <w:t xml:space="preserve">et al </w:t>
            </w:r>
            <w:r w:rsidRPr="00962499">
              <w:rPr>
                <w:sz w:val="20"/>
              </w:rPr>
              <w:t xml:space="preserve">2019 (in all </w:t>
            </w:r>
            <w:proofErr w:type="spellStart"/>
            <w:r w:rsidRPr="00962499">
              <w:rPr>
                <w:sz w:val="20"/>
              </w:rPr>
              <w:t>aNSCLCs</w:t>
            </w:r>
            <w:proofErr w:type="spellEnd"/>
            <w:r w:rsidRPr="00962499">
              <w:rPr>
                <w:sz w:val="20"/>
              </w:rPr>
              <w:t>)</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 xml:space="preserve">The proportion of patients with PD-L1 TPS ≥50% in </w:t>
            </w:r>
            <w:r w:rsidRPr="000A752A">
              <w:rPr>
                <w:i/>
                <w:sz w:val="20"/>
              </w:rPr>
              <w:t>MET</w:t>
            </w:r>
            <w:r w:rsidRPr="007874CA">
              <w:rPr>
                <w:sz w:val="20"/>
              </w:rPr>
              <w:t xml:space="preserve">ex14sk+ NSCLC patients could be higher than the estimate in </w:t>
            </w:r>
            <w:proofErr w:type="spellStart"/>
            <w:r w:rsidRPr="007874CA">
              <w:rPr>
                <w:sz w:val="20"/>
              </w:rPr>
              <w:t>aNSCLC</w:t>
            </w:r>
            <w:proofErr w:type="spellEnd"/>
            <w:r w:rsidRPr="007874CA">
              <w:rPr>
                <w:sz w:val="20"/>
              </w:rPr>
              <w:t xml:space="preserve"> patients reported in this study.</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patients with PD-L1 TPS ≥</w:t>
            </w:r>
            <w:r w:rsidR="00082321">
              <w:rPr>
                <w:sz w:val="20"/>
              </w:rPr>
              <w:t xml:space="preserve"> </w:t>
            </w:r>
            <w:r w:rsidRPr="00962499">
              <w:rPr>
                <w:sz w:val="20"/>
              </w:rPr>
              <w:t xml:space="preserve">50% NSCLC receiving pembrolizumab + chemotherapy </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30%</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July 2019 submission of pembrolizumab combination therapy, based on </w:t>
            </w:r>
            <w:proofErr w:type="spellStart"/>
            <w:r w:rsidRPr="00962499">
              <w:rPr>
                <w:sz w:val="20"/>
              </w:rPr>
              <w:t>Flatlron</w:t>
            </w:r>
            <w:proofErr w:type="spellEnd"/>
            <w:r w:rsidRPr="00962499">
              <w:rPr>
                <w:sz w:val="20"/>
              </w:rPr>
              <w:t xml:space="preserve"> real-world database</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The ESC considered that only a small proportion of patients in the PD-L1 TPS ≥50% population with a high disease burden would be treated with pembrolizumab + chemotherapy instead of pembrolizumab monotherapy.</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xml:space="preserve">% patients diagnosed with earlier stages of disease who progress to </w:t>
            </w:r>
            <w:proofErr w:type="spellStart"/>
            <w:r w:rsidRPr="00962499">
              <w:rPr>
                <w:sz w:val="20"/>
              </w:rPr>
              <w:t>unresectable</w:t>
            </w:r>
            <w:proofErr w:type="spellEnd"/>
            <w:r w:rsidRPr="00962499">
              <w:rPr>
                <w:sz w:val="20"/>
              </w:rPr>
              <w:t xml:space="preserve"> Stage III</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30%</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DUSC report on </w:t>
            </w:r>
            <w:proofErr w:type="spellStart"/>
            <w:r w:rsidRPr="00962499">
              <w:rPr>
                <w:sz w:val="20"/>
              </w:rPr>
              <w:t>erlotinib</w:t>
            </w:r>
            <w:proofErr w:type="spellEnd"/>
            <w:r w:rsidRPr="00962499">
              <w:rPr>
                <w:sz w:val="20"/>
              </w:rPr>
              <w:t xml:space="preserve"> and gefitinib (2017)</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 xml:space="preserve">The DUSC report provided the estimate of the proportion of patients with Stage I-IIIA NSCLC progressed to Stage IIIB-IV in first year of diagnosis, not from Stage I-II to </w:t>
            </w:r>
            <w:proofErr w:type="spellStart"/>
            <w:r w:rsidRPr="007874CA">
              <w:rPr>
                <w:sz w:val="20"/>
              </w:rPr>
              <w:t>unresectable</w:t>
            </w:r>
            <w:proofErr w:type="spellEnd"/>
            <w:r w:rsidRPr="007874CA">
              <w:rPr>
                <w:sz w:val="20"/>
              </w:rPr>
              <w:t xml:space="preserve"> III.</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xml:space="preserve">Uptake of durvalumab </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90%</w:t>
            </w:r>
          </w:p>
        </w:tc>
        <w:tc>
          <w:tcPr>
            <w:tcW w:w="1839" w:type="dxa"/>
            <w:vMerge w:val="restart"/>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November 2019 durvalumab resubmission</w:t>
            </w:r>
          </w:p>
        </w:tc>
        <w:tc>
          <w:tcPr>
            <w:tcW w:w="3602" w:type="dxa"/>
            <w:vMerge w:val="restart"/>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 xml:space="preserve">A proportion of patients with </w:t>
            </w:r>
            <w:proofErr w:type="spellStart"/>
            <w:r w:rsidRPr="007874CA">
              <w:rPr>
                <w:sz w:val="20"/>
              </w:rPr>
              <w:t>unresectable</w:t>
            </w:r>
            <w:proofErr w:type="spellEnd"/>
            <w:r w:rsidRPr="007874CA">
              <w:rPr>
                <w:sz w:val="20"/>
              </w:rPr>
              <w:t xml:space="preserve"> stage III NSCLC would be ineligible for </w:t>
            </w:r>
            <w:proofErr w:type="spellStart"/>
            <w:r w:rsidRPr="007874CA">
              <w:rPr>
                <w:sz w:val="20"/>
              </w:rPr>
              <w:t>chemoradiation</w:t>
            </w:r>
            <w:proofErr w:type="spellEnd"/>
            <w:r w:rsidRPr="007874CA">
              <w:rPr>
                <w:sz w:val="20"/>
              </w:rPr>
              <w:t xml:space="preserve"> and, thus, ineligible for durvalumab. This was not considered in the financial analysis.</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xml:space="preserve">% patients experiencing disease progression after durvalumab </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75%</w:t>
            </w:r>
          </w:p>
        </w:tc>
        <w:tc>
          <w:tcPr>
            <w:tcW w:w="1839" w:type="dxa"/>
            <w:vMerge/>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c>
          <w:tcPr>
            <w:tcW w:w="3602" w:type="dxa"/>
            <w:vMerge/>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patients having disease progression after 1</w:t>
            </w:r>
            <w:r w:rsidRPr="00962499">
              <w:rPr>
                <w:sz w:val="20"/>
                <w:vertAlign w:val="superscript"/>
              </w:rPr>
              <w:t>st</w:t>
            </w:r>
            <w:r w:rsidRPr="00962499">
              <w:rPr>
                <w:sz w:val="20"/>
              </w:rPr>
              <w:t xml:space="preserve">-line pembrolizumab combination therapy </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57.9%</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Disease progression rate from tepotinib reported in VISION </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Reasonable if the non-inferior effectiveness of tepotinib relative to pembrolizumab + chemotherapy is accepted.</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Grandfathering patients</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50 in Year 1</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Assumption</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No justification provided</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Borders>
              <w:right w:val="nil"/>
            </w:tcBorders>
          </w:tcPr>
          <w:p w:rsidR="005C1E8E" w:rsidRPr="00F13980" w:rsidRDefault="005C1E8E" w:rsidP="00AF2F78">
            <w:pPr>
              <w:spacing w:before="0"/>
              <w:jc w:val="left"/>
              <w:rPr>
                <w:b/>
                <w:bCs/>
                <w:iCs/>
                <w:sz w:val="20"/>
                <w:lang w:val="en-AU"/>
              </w:rPr>
            </w:pPr>
            <w:r w:rsidRPr="00962499">
              <w:rPr>
                <w:b/>
                <w:bCs/>
                <w:iCs/>
                <w:sz w:val="20"/>
              </w:rPr>
              <w:t xml:space="preserve">Treatment </w:t>
            </w:r>
            <w:proofErr w:type="spellStart"/>
            <w:r w:rsidRPr="00962499">
              <w:rPr>
                <w:b/>
                <w:bCs/>
                <w:iCs/>
                <w:sz w:val="20"/>
              </w:rPr>
              <w:t>utilisation</w:t>
            </w:r>
            <w:proofErr w:type="spellEnd"/>
          </w:p>
        </w:tc>
        <w:tc>
          <w:tcPr>
            <w:tcW w:w="1636" w:type="dxa"/>
            <w:tcBorders>
              <w:left w:val="nil"/>
              <w:right w:val="nil"/>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c>
          <w:tcPr>
            <w:tcW w:w="1839" w:type="dxa"/>
            <w:tcBorders>
              <w:left w:val="nil"/>
              <w:right w:val="nil"/>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c>
          <w:tcPr>
            <w:tcW w:w="3602" w:type="dxa"/>
            <w:tcBorders>
              <w:left w:val="nil"/>
            </w:tcBorders>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b/>
                <w:bCs/>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Uptake of tepotinib in patients who otherwise receive pembrolizumab ± chemotherapy</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40% in </w:t>
            </w:r>
            <w:proofErr w:type="spellStart"/>
            <w:r w:rsidRPr="00962499">
              <w:rPr>
                <w:sz w:val="20"/>
              </w:rPr>
              <w:t>Yr</w:t>
            </w:r>
            <w:proofErr w:type="spellEnd"/>
            <w:r w:rsidRPr="00962499">
              <w:rPr>
                <w:sz w:val="20"/>
              </w:rPr>
              <w:t xml:space="preserve"> 1, 50% in </w:t>
            </w:r>
            <w:proofErr w:type="spellStart"/>
            <w:r w:rsidRPr="00962499">
              <w:rPr>
                <w:sz w:val="20"/>
              </w:rPr>
              <w:t>Yr</w:t>
            </w:r>
            <w:proofErr w:type="spellEnd"/>
            <w:r w:rsidRPr="00962499">
              <w:rPr>
                <w:sz w:val="20"/>
              </w:rPr>
              <w:t xml:space="preserve"> 2, 70% in </w:t>
            </w:r>
            <w:proofErr w:type="spellStart"/>
            <w:r w:rsidRPr="00962499">
              <w:rPr>
                <w:sz w:val="20"/>
              </w:rPr>
              <w:t>Yr</w:t>
            </w:r>
            <w:proofErr w:type="spellEnd"/>
            <w:r w:rsidRPr="00962499">
              <w:rPr>
                <w:sz w:val="20"/>
              </w:rPr>
              <w:t xml:space="preserve"> 3 and 90% in </w:t>
            </w:r>
            <w:proofErr w:type="spellStart"/>
            <w:r w:rsidRPr="00962499">
              <w:rPr>
                <w:sz w:val="20"/>
              </w:rPr>
              <w:t>Yrs</w:t>
            </w:r>
            <w:proofErr w:type="spellEnd"/>
            <w:r w:rsidRPr="00962499">
              <w:rPr>
                <w:sz w:val="20"/>
              </w:rPr>
              <w:t xml:space="preserve"> 4-6</w:t>
            </w:r>
          </w:p>
        </w:tc>
        <w:tc>
          <w:tcPr>
            <w:tcW w:w="1839" w:type="dxa"/>
            <w:vMerge w:val="restart"/>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Assumption</w:t>
            </w:r>
          </w:p>
        </w:tc>
        <w:tc>
          <w:tcPr>
            <w:tcW w:w="3602" w:type="dxa"/>
            <w:vMerge w:val="restart"/>
            <w:vAlign w:val="top"/>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Given the more convenient administration route of tepotinib versus pembrolizumab and chemotherapy (oral vs. IV infusion), the uptake of tepotinib could be high in the eligible population if the submission’s claim of non-inferiority versus pembrolizumab ± chemotherapy and superiority versus chemotherapy alone has been proven.</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Uptake of tepotinib in patients who otherwise receive chemotherapy</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90%-95%</w:t>
            </w:r>
          </w:p>
        </w:tc>
        <w:tc>
          <w:tcPr>
            <w:tcW w:w="1839" w:type="dxa"/>
            <w:vMerge/>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c>
          <w:tcPr>
            <w:tcW w:w="3602" w:type="dxa"/>
            <w:vMerge/>
            <w:vAlign w:val="top"/>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Treatment duration of tepotinib</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6B4F28">
              <w:rPr>
                <w:sz w:val="20"/>
              </w:rPr>
              <w:t>13.35 months</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Modelled TTD based on the VISION study</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Compliance of tepotinib therapy</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87.28%</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VISION study</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Progression to 2</w:t>
            </w:r>
            <w:r w:rsidRPr="00962499">
              <w:rPr>
                <w:sz w:val="20"/>
                <w:vertAlign w:val="superscript"/>
              </w:rPr>
              <w:t>nd</w:t>
            </w:r>
            <w:r w:rsidRPr="00962499">
              <w:rPr>
                <w:sz w:val="20"/>
              </w:rPr>
              <w:t>- and 3</w:t>
            </w:r>
            <w:r w:rsidRPr="00962499">
              <w:rPr>
                <w:sz w:val="20"/>
                <w:vertAlign w:val="superscript"/>
              </w:rPr>
              <w:t>rd</w:t>
            </w:r>
            <w:r w:rsidRPr="00962499">
              <w:rPr>
                <w:sz w:val="20"/>
              </w:rPr>
              <w:t>-line after tepotinib use</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57.9% to 2</w:t>
            </w:r>
            <w:r w:rsidRPr="00962499">
              <w:rPr>
                <w:sz w:val="20"/>
                <w:vertAlign w:val="superscript"/>
              </w:rPr>
              <w:t>nd</w:t>
            </w:r>
            <w:r w:rsidRPr="00962499">
              <w:rPr>
                <w:sz w:val="20"/>
              </w:rPr>
              <w:t>-line,</w:t>
            </w:r>
          </w:p>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33.6% to 3</w:t>
            </w:r>
            <w:r w:rsidRPr="00962499">
              <w:rPr>
                <w:sz w:val="20"/>
                <w:vertAlign w:val="superscript"/>
              </w:rPr>
              <w:t>rd</w:t>
            </w:r>
            <w:r w:rsidRPr="00962499">
              <w:rPr>
                <w:sz w:val="20"/>
              </w:rPr>
              <w:t>-line</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VISION study, assumption</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Due to the lack clinical data, the submission assumed identical progression rate from 1</w:t>
            </w:r>
            <w:r w:rsidRPr="007874CA">
              <w:rPr>
                <w:sz w:val="20"/>
                <w:vertAlign w:val="superscript"/>
              </w:rPr>
              <w:t>st</w:t>
            </w:r>
            <w:r w:rsidRPr="007874CA">
              <w:rPr>
                <w:sz w:val="20"/>
              </w:rPr>
              <w:t>-line to 2</w:t>
            </w:r>
            <w:r w:rsidRPr="007874CA">
              <w:rPr>
                <w:sz w:val="20"/>
                <w:vertAlign w:val="superscript"/>
              </w:rPr>
              <w:t>nd</w:t>
            </w:r>
            <w:r w:rsidRPr="007874CA">
              <w:rPr>
                <w:sz w:val="20"/>
              </w:rPr>
              <w:t>-line and from 2</w:t>
            </w:r>
            <w:r w:rsidRPr="007874CA">
              <w:rPr>
                <w:sz w:val="20"/>
                <w:vertAlign w:val="superscript"/>
              </w:rPr>
              <w:t>nd</w:t>
            </w:r>
            <w:r w:rsidRPr="007874CA">
              <w:rPr>
                <w:sz w:val="20"/>
              </w:rPr>
              <w:t>-line to 3</w:t>
            </w:r>
            <w:r w:rsidRPr="007874CA">
              <w:rPr>
                <w:sz w:val="20"/>
                <w:vertAlign w:val="superscript"/>
              </w:rPr>
              <w:t>rd</w:t>
            </w:r>
            <w:r w:rsidRPr="007874CA">
              <w:rPr>
                <w:sz w:val="20"/>
              </w:rPr>
              <w:t>-line. This assumption was not well justified.</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xml:space="preserve">Treatment duration of pembrolizumab and </w:t>
            </w:r>
            <w:proofErr w:type="spellStart"/>
            <w:r w:rsidRPr="00962499">
              <w:rPr>
                <w:sz w:val="20"/>
              </w:rPr>
              <w:t>pemetrexed</w:t>
            </w:r>
            <w:proofErr w:type="spellEnd"/>
            <w:r w:rsidRPr="00962499">
              <w:rPr>
                <w:sz w:val="20"/>
              </w:rPr>
              <w:t xml:space="preserve"> (in combination with pembrolizumab)</w:t>
            </w:r>
          </w:p>
        </w:tc>
        <w:tc>
          <w:tcPr>
            <w:tcW w:w="1636" w:type="dxa"/>
          </w:tcPr>
          <w:p w:rsidR="005C1E8E" w:rsidRPr="006B4F28"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6B4F28">
              <w:rPr>
                <w:sz w:val="20"/>
              </w:rPr>
              <w:t>11.38 months</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Modelled TTD based on the VISION study, applying a 24-month stopping rule</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7874CA">
              <w:rPr>
                <w:sz w:val="20"/>
              </w:rPr>
              <w:t xml:space="preserve">Pembrolizumab dose interruptions were not considered in the submission. This </w:t>
            </w:r>
            <w:proofErr w:type="spellStart"/>
            <w:r w:rsidRPr="007874CA">
              <w:rPr>
                <w:sz w:val="20"/>
              </w:rPr>
              <w:t>favoured</w:t>
            </w:r>
            <w:proofErr w:type="spellEnd"/>
            <w:r w:rsidRPr="007874CA">
              <w:rPr>
                <w:sz w:val="20"/>
              </w:rPr>
              <w:t xml:space="preserve"> tepotinib.</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Pr>
          <w:p w:rsidR="005C1E8E" w:rsidRPr="00F13980" w:rsidRDefault="005C1E8E" w:rsidP="00AF2F78">
            <w:pPr>
              <w:spacing w:before="0"/>
              <w:jc w:val="left"/>
              <w:rPr>
                <w:sz w:val="20"/>
                <w:lang w:val="en-AU"/>
              </w:rPr>
            </w:pPr>
            <w:r w:rsidRPr="00962499">
              <w:rPr>
                <w:sz w:val="20"/>
              </w:rPr>
              <w:t xml:space="preserve">Treatment duration of </w:t>
            </w:r>
            <w:proofErr w:type="spellStart"/>
            <w:r w:rsidRPr="00962499">
              <w:rPr>
                <w:sz w:val="20"/>
              </w:rPr>
              <w:t>pemetrexed</w:t>
            </w:r>
            <w:proofErr w:type="spellEnd"/>
            <w:r w:rsidRPr="00962499">
              <w:rPr>
                <w:sz w:val="20"/>
              </w:rPr>
              <w:t xml:space="preserve"> as platinum doublet chemotherapy</w:t>
            </w:r>
          </w:p>
        </w:tc>
        <w:tc>
          <w:tcPr>
            <w:tcW w:w="1636"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6 x 3-week cycles</w:t>
            </w:r>
          </w:p>
        </w:tc>
        <w:tc>
          <w:tcPr>
            <w:tcW w:w="1839" w:type="dxa"/>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Wu </w:t>
            </w:r>
            <w:r w:rsidRPr="00962499">
              <w:rPr>
                <w:i/>
                <w:iCs/>
                <w:sz w:val="20"/>
              </w:rPr>
              <w:t xml:space="preserve">et al </w:t>
            </w:r>
            <w:r w:rsidRPr="00962499">
              <w:rPr>
                <w:sz w:val="20"/>
              </w:rPr>
              <w:t>2014</w:t>
            </w:r>
          </w:p>
        </w:tc>
        <w:tc>
          <w:tcPr>
            <w:tcW w:w="3602" w:type="dxa"/>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Cs/>
                <w:sz w:val="20"/>
                <w:lang w:val="en-AU"/>
              </w:rPr>
            </w:pPr>
            <w:r w:rsidRPr="007874CA">
              <w:rPr>
                <w:iCs/>
                <w:sz w:val="20"/>
              </w:rPr>
              <w:t>Could have be</w:t>
            </w:r>
            <w:r w:rsidR="00740F3C">
              <w:rPr>
                <w:iCs/>
                <w:sz w:val="20"/>
              </w:rPr>
              <w:t>en</w:t>
            </w:r>
            <w:r w:rsidRPr="007874CA">
              <w:rPr>
                <w:iCs/>
                <w:sz w:val="20"/>
              </w:rPr>
              <w:t xml:space="preserve"> underestimated, as the Wu 2014 study protocol specified subjects to receive </w:t>
            </w:r>
            <w:proofErr w:type="spellStart"/>
            <w:r w:rsidRPr="007874CA">
              <w:rPr>
                <w:iCs/>
                <w:sz w:val="20"/>
              </w:rPr>
              <w:t>pemetrexed</w:t>
            </w:r>
            <w:proofErr w:type="spellEnd"/>
            <w:r w:rsidRPr="007874CA">
              <w:rPr>
                <w:iCs/>
                <w:sz w:val="20"/>
              </w:rPr>
              <w:t xml:space="preserve"> for a maximum of 6 cycles, not as a maintenance therapy. </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Borders>
              <w:bottom w:val="single" w:sz="4" w:space="0" w:color="auto"/>
            </w:tcBorders>
          </w:tcPr>
          <w:p w:rsidR="005C1E8E" w:rsidRPr="00F13980" w:rsidRDefault="005C1E8E" w:rsidP="00AF2F78">
            <w:pPr>
              <w:spacing w:before="0"/>
              <w:jc w:val="left"/>
              <w:rPr>
                <w:sz w:val="20"/>
                <w:lang w:val="en-AU"/>
              </w:rPr>
            </w:pPr>
            <w:r w:rsidRPr="00962499">
              <w:rPr>
                <w:sz w:val="20"/>
              </w:rPr>
              <w:t>Treatment duration of cisplatin</w:t>
            </w:r>
          </w:p>
        </w:tc>
        <w:tc>
          <w:tcPr>
            <w:tcW w:w="1636" w:type="dxa"/>
            <w:tcBorders>
              <w:bottom w:val="single" w:sz="4" w:space="0" w:color="auto"/>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4 x 3-week cycles</w:t>
            </w:r>
          </w:p>
        </w:tc>
        <w:tc>
          <w:tcPr>
            <w:tcW w:w="1839" w:type="dxa"/>
            <w:tcBorders>
              <w:bottom w:val="single" w:sz="4" w:space="0" w:color="auto"/>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proofErr w:type="spellStart"/>
            <w:r w:rsidRPr="00962499">
              <w:rPr>
                <w:sz w:val="20"/>
              </w:rPr>
              <w:t>eviQ</w:t>
            </w:r>
            <w:proofErr w:type="spellEnd"/>
          </w:p>
        </w:tc>
        <w:tc>
          <w:tcPr>
            <w:tcW w:w="3602" w:type="dxa"/>
            <w:tcBorders>
              <w:bottom w:val="single" w:sz="4" w:space="0" w:color="auto"/>
            </w:tcBorders>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Cs/>
                <w:sz w:val="20"/>
                <w:lang w:val="en-AU"/>
              </w:rPr>
            </w:pPr>
            <w:r w:rsidRPr="007874CA">
              <w:rPr>
                <w:iCs/>
                <w:sz w:val="20"/>
              </w:rPr>
              <w:t>Reasonable</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Borders>
              <w:bottom w:val="single" w:sz="4" w:space="0" w:color="auto"/>
            </w:tcBorders>
          </w:tcPr>
          <w:p w:rsidR="005C1E8E" w:rsidRPr="00F13980" w:rsidRDefault="005C1E8E" w:rsidP="00AF2F78">
            <w:pPr>
              <w:spacing w:before="0"/>
              <w:jc w:val="left"/>
              <w:rPr>
                <w:sz w:val="20"/>
                <w:lang w:val="en-AU"/>
              </w:rPr>
            </w:pPr>
            <w:r w:rsidRPr="00962499">
              <w:rPr>
                <w:sz w:val="20"/>
              </w:rPr>
              <w:t>Treatment duration of 3</w:t>
            </w:r>
            <w:r w:rsidRPr="00962499">
              <w:rPr>
                <w:sz w:val="20"/>
                <w:vertAlign w:val="superscript"/>
              </w:rPr>
              <w:t>rd</w:t>
            </w:r>
            <w:r w:rsidRPr="00962499">
              <w:rPr>
                <w:sz w:val="20"/>
              </w:rPr>
              <w:t>-line nivolumab</w:t>
            </w:r>
          </w:p>
        </w:tc>
        <w:tc>
          <w:tcPr>
            <w:tcW w:w="1636" w:type="dxa"/>
            <w:tcBorders>
              <w:bottom w:val="single" w:sz="4" w:space="0" w:color="auto"/>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3.8 months</w:t>
            </w:r>
          </w:p>
        </w:tc>
        <w:tc>
          <w:tcPr>
            <w:tcW w:w="1839" w:type="dxa"/>
            <w:tcBorders>
              <w:bottom w:val="single" w:sz="4" w:space="0" w:color="auto"/>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Checkmate 153</w:t>
            </w:r>
          </w:p>
        </w:tc>
        <w:tc>
          <w:tcPr>
            <w:tcW w:w="3602" w:type="dxa"/>
            <w:tcBorders>
              <w:bottom w:val="single" w:sz="4" w:space="0" w:color="auto"/>
            </w:tcBorders>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Cs/>
                <w:sz w:val="20"/>
                <w:lang w:val="en-AU"/>
              </w:rPr>
            </w:pPr>
            <w:r w:rsidRPr="007874CA">
              <w:rPr>
                <w:iCs/>
                <w:sz w:val="20"/>
              </w:rPr>
              <w:t>Checkmate 153 reported the duration of retreatment with nivolumab following prior nivolumab treatment failure. This may not reflect 3</w:t>
            </w:r>
            <w:r w:rsidRPr="007874CA">
              <w:rPr>
                <w:iCs/>
                <w:sz w:val="20"/>
                <w:vertAlign w:val="superscript"/>
              </w:rPr>
              <w:t>rd</w:t>
            </w:r>
            <w:r w:rsidRPr="007874CA">
              <w:rPr>
                <w:iCs/>
                <w:sz w:val="20"/>
              </w:rPr>
              <w:t>-line nivolumab use following 1</w:t>
            </w:r>
            <w:r w:rsidRPr="007874CA">
              <w:rPr>
                <w:iCs/>
                <w:sz w:val="20"/>
                <w:vertAlign w:val="superscript"/>
              </w:rPr>
              <w:t>st</w:t>
            </w:r>
            <w:r w:rsidRPr="007874CA">
              <w:rPr>
                <w:iCs/>
                <w:sz w:val="20"/>
              </w:rPr>
              <w:t>-line tepotinib and 2</w:t>
            </w:r>
            <w:r w:rsidRPr="007874CA">
              <w:rPr>
                <w:iCs/>
                <w:sz w:val="20"/>
                <w:vertAlign w:val="superscript"/>
              </w:rPr>
              <w:t>nd</w:t>
            </w:r>
            <w:r w:rsidRPr="007874CA">
              <w:rPr>
                <w:iCs/>
                <w:sz w:val="20"/>
              </w:rPr>
              <w:t>-line chemotherapy.</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2165" w:type="dxa"/>
            <w:tcBorders>
              <w:bottom w:val="single" w:sz="4" w:space="0" w:color="auto"/>
            </w:tcBorders>
          </w:tcPr>
          <w:p w:rsidR="005C1E8E" w:rsidRPr="00F13980" w:rsidRDefault="005C1E8E" w:rsidP="00AF2F78">
            <w:pPr>
              <w:spacing w:before="0"/>
              <w:jc w:val="left"/>
              <w:rPr>
                <w:sz w:val="20"/>
                <w:lang w:val="en-AU"/>
              </w:rPr>
            </w:pPr>
            <w:r w:rsidRPr="00962499">
              <w:rPr>
                <w:sz w:val="20"/>
              </w:rPr>
              <w:t>Treatment duration of 3</w:t>
            </w:r>
            <w:r w:rsidRPr="00962499">
              <w:rPr>
                <w:sz w:val="20"/>
                <w:vertAlign w:val="superscript"/>
              </w:rPr>
              <w:t>rd</w:t>
            </w:r>
            <w:r w:rsidRPr="00962499">
              <w:rPr>
                <w:sz w:val="20"/>
              </w:rPr>
              <w:t>-line docetaxel</w:t>
            </w:r>
          </w:p>
        </w:tc>
        <w:tc>
          <w:tcPr>
            <w:tcW w:w="1636" w:type="dxa"/>
            <w:tcBorders>
              <w:bottom w:val="single" w:sz="4" w:space="0" w:color="auto"/>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2.1 months</w:t>
            </w:r>
          </w:p>
        </w:tc>
        <w:tc>
          <w:tcPr>
            <w:tcW w:w="1839" w:type="dxa"/>
            <w:tcBorders>
              <w:bottom w:val="single" w:sz="4" w:space="0" w:color="auto"/>
            </w:tcBorders>
          </w:tcPr>
          <w:p w:rsidR="005C1E8E" w:rsidRPr="00F13980"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sz w:val="20"/>
                <w:lang w:val="en-AU"/>
              </w:rPr>
            </w:pPr>
            <w:r w:rsidRPr="00962499">
              <w:rPr>
                <w:sz w:val="20"/>
              </w:rPr>
              <w:t xml:space="preserve">Assumption </w:t>
            </w:r>
          </w:p>
        </w:tc>
        <w:tc>
          <w:tcPr>
            <w:tcW w:w="3602" w:type="dxa"/>
            <w:tcBorders>
              <w:bottom w:val="single" w:sz="4" w:space="0" w:color="auto"/>
            </w:tcBorders>
          </w:tcPr>
          <w:p w:rsidR="005C1E8E" w:rsidRPr="007874CA" w:rsidRDefault="005C1E8E" w:rsidP="00AF2F78">
            <w:pPr>
              <w:spacing w:before="0"/>
              <w:jc w:val="left"/>
              <w:cnfStyle w:val="000000000000" w:firstRow="0" w:lastRow="0" w:firstColumn="0" w:lastColumn="0" w:oddVBand="0" w:evenVBand="0" w:oddHBand="0" w:evenHBand="0" w:firstRowFirstColumn="0" w:firstRowLastColumn="0" w:lastRowFirstColumn="0" w:lastRowLastColumn="0"/>
              <w:rPr>
                <w:iCs/>
                <w:sz w:val="20"/>
                <w:lang w:val="en-AU"/>
              </w:rPr>
            </w:pPr>
          </w:p>
        </w:tc>
      </w:tr>
    </w:tbl>
    <w:p w:rsidR="005C1E8E" w:rsidRPr="00B92D96" w:rsidRDefault="005C1E8E" w:rsidP="005C1E8E">
      <w:pPr>
        <w:widowControl w:val="0"/>
        <w:spacing w:before="0" w:after="240"/>
        <w:contextualSpacing/>
        <w:rPr>
          <w:rStyle w:val="TableFooterChar"/>
          <w:rFonts w:eastAsiaTheme="minorHAnsi"/>
        </w:rPr>
      </w:pPr>
      <w:r w:rsidRPr="00B92D96">
        <w:rPr>
          <w:rStyle w:val="TableFooterChar"/>
          <w:rFonts w:eastAsiaTheme="minorHAnsi"/>
        </w:rPr>
        <w:t xml:space="preserve">Source: Table 4-1, p149, Table 4-3, p150, Table 4-4, pp150-151, and information provided in Sections 4.2-4.5, p150-165 of the submission </w:t>
      </w:r>
    </w:p>
    <w:p w:rsidR="005C1E8E" w:rsidRPr="00B92D96" w:rsidRDefault="005C1E8E" w:rsidP="005C1E8E">
      <w:pPr>
        <w:widowControl w:val="0"/>
        <w:spacing w:before="0" w:after="240"/>
        <w:contextualSpacing/>
        <w:rPr>
          <w:rFonts w:ascii="Arial Narrow" w:eastAsia="Times New Roman" w:hAnsi="Arial Narrow" w:cs="Arial"/>
          <w:snapToGrid w:val="0"/>
          <w:sz w:val="18"/>
          <w:szCs w:val="20"/>
        </w:rPr>
      </w:pPr>
      <w:r w:rsidRPr="00B92D96">
        <w:rPr>
          <w:rFonts w:ascii="Arial Narrow" w:eastAsia="Times New Roman" w:hAnsi="Arial Narrow" w:cs="Arial"/>
          <w:snapToGrid w:val="0"/>
          <w:sz w:val="18"/>
          <w:szCs w:val="20"/>
        </w:rPr>
        <w:t xml:space="preserve">AEMP = approved ex-manufacturer price; AIHW = Australian Institute of Health and Welfare; </w:t>
      </w:r>
      <w:proofErr w:type="spellStart"/>
      <w:r w:rsidRPr="00B92D96">
        <w:rPr>
          <w:rFonts w:ascii="Arial Narrow" w:eastAsia="Times New Roman" w:hAnsi="Arial Narrow" w:cs="Arial"/>
          <w:snapToGrid w:val="0"/>
          <w:sz w:val="18"/>
          <w:szCs w:val="20"/>
        </w:rPr>
        <w:t>aNSCLC</w:t>
      </w:r>
      <w:proofErr w:type="spellEnd"/>
      <w:r w:rsidRPr="00B92D96">
        <w:rPr>
          <w:rFonts w:ascii="Arial Narrow" w:eastAsia="Times New Roman" w:hAnsi="Arial Narrow" w:cs="Arial"/>
          <w:snapToGrid w:val="0"/>
          <w:sz w:val="18"/>
          <w:szCs w:val="20"/>
        </w:rPr>
        <w:t xml:space="preserve"> = advanced non-small cell lung cancer; DPMA = dispensed price for maximum amount; DUSC = Drug Utilisation Sub-Committee; </w:t>
      </w:r>
      <w:r w:rsidRPr="008D313B">
        <w:rPr>
          <w:rFonts w:ascii="Arial Narrow" w:eastAsia="Times New Roman" w:hAnsi="Arial Narrow" w:cs="Arial"/>
          <w:i/>
          <w:iCs/>
          <w:snapToGrid w:val="0"/>
          <w:sz w:val="18"/>
          <w:szCs w:val="20"/>
        </w:rPr>
        <w:t>EGFR</w:t>
      </w:r>
      <w:r w:rsidRPr="00B92D96">
        <w:rPr>
          <w:rFonts w:ascii="Arial Narrow" w:eastAsia="Times New Roman" w:hAnsi="Arial Narrow" w:cs="Arial"/>
          <w:snapToGrid w:val="0"/>
          <w:sz w:val="18"/>
          <w:szCs w:val="20"/>
        </w:rPr>
        <w:t xml:space="preserve"> = epidermal growth factor receptor; EFC = Efficient Funding of Chemotherapy; ESC = Economic Sub-Committee; IV = intravenous; MBS = Medicare Benefits Schedule; </w:t>
      </w:r>
      <w:r w:rsidRPr="00B92D96">
        <w:rPr>
          <w:rFonts w:ascii="Arial Narrow" w:eastAsia="Times New Roman" w:hAnsi="Arial Narrow" w:cs="Arial"/>
          <w:i/>
          <w:snapToGrid w:val="0"/>
          <w:sz w:val="18"/>
          <w:szCs w:val="20"/>
        </w:rPr>
        <w:t>MET</w:t>
      </w:r>
      <w:r w:rsidRPr="00B92D96">
        <w:rPr>
          <w:rFonts w:ascii="Arial Narrow" w:eastAsia="Times New Roman" w:hAnsi="Arial Narrow" w:cs="Arial"/>
          <w:snapToGrid w:val="0"/>
          <w:sz w:val="18"/>
          <w:szCs w:val="20"/>
        </w:rPr>
        <w:t xml:space="preserve">ex14sk = </w:t>
      </w:r>
      <w:r w:rsidRPr="000152E5">
        <w:rPr>
          <w:rFonts w:ascii="Arial Narrow" w:eastAsia="Times New Roman" w:hAnsi="Arial Narrow" w:cs="Arial"/>
          <w:snapToGrid w:val="0"/>
          <w:sz w:val="18"/>
          <w:szCs w:val="20"/>
        </w:rPr>
        <w:t xml:space="preserve">MET </w:t>
      </w:r>
      <w:r w:rsidRPr="006A3BBD">
        <w:rPr>
          <w:rFonts w:ascii="Arial Narrow" w:eastAsia="Times New Roman" w:hAnsi="Arial Narrow" w:cs="Arial"/>
          <w:snapToGrid w:val="0"/>
          <w:sz w:val="18"/>
          <w:szCs w:val="20"/>
        </w:rPr>
        <w:t xml:space="preserve">proto-oncogene, receptor tyrosine kinase </w:t>
      </w:r>
      <w:r w:rsidRPr="00B92D96">
        <w:rPr>
          <w:rFonts w:ascii="Arial Narrow" w:eastAsia="Times New Roman" w:hAnsi="Arial Narrow" w:cs="Arial"/>
          <w:snapToGrid w:val="0"/>
          <w:sz w:val="18"/>
          <w:szCs w:val="20"/>
        </w:rPr>
        <w:t>exon 14 skipping alterations; NSCLC = non-small cell lung cancer; PBS = Pharmaceutical Benefits Scheme; PD-L1 = programmed cell death ligand-1; PICO = Population, Intervention, Comparator, and Outcome; RPBS = Reparation Pharmaceutical Benefits Scheme; TPS = tumour proportion score; TTD = time to treatment discontinuation</w:t>
      </w:r>
    </w:p>
    <w:p w:rsidR="0059661C" w:rsidRDefault="0059661C" w:rsidP="005C1E8E">
      <w:pPr>
        <w:rPr>
          <w:iCs/>
        </w:rPr>
      </w:pPr>
    </w:p>
    <w:p w:rsidR="005C1E8E" w:rsidRPr="00B66ED6" w:rsidRDefault="005C1E8E" w:rsidP="005C1E8E">
      <w:pPr>
        <w:pStyle w:val="ListParagraph"/>
        <w:numPr>
          <w:ilvl w:val="4"/>
          <w:numId w:val="1"/>
        </w:numPr>
        <w:rPr>
          <w:color w:val="auto"/>
        </w:rPr>
      </w:pPr>
      <w:r w:rsidRPr="00B66ED6">
        <w:rPr>
          <w:color w:val="auto"/>
        </w:rPr>
        <w:t xml:space="preserve">The submission underestimated the number of patients eligible for </w:t>
      </w:r>
      <w:r w:rsidRPr="00F80E0C">
        <w:rPr>
          <w:i/>
          <w:color w:val="auto"/>
        </w:rPr>
        <w:t>MET</w:t>
      </w:r>
      <w:r w:rsidRPr="00B66ED6">
        <w:rPr>
          <w:color w:val="auto"/>
        </w:rPr>
        <w:t xml:space="preserve">ex14sk testing by only considering those NSCLC patients who are diagnosed at Stage IIIB and IV. The proposed MBS listing for </w:t>
      </w:r>
      <w:r w:rsidRPr="00F80E0C">
        <w:rPr>
          <w:i/>
          <w:color w:val="auto"/>
        </w:rPr>
        <w:t>MET</w:t>
      </w:r>
      <w:r w:rsidRPr="00B66ED6">
        <w:rPr>
          <w:color w:val="auto"/>
        </w:rPr>
        <w:t xml:space="preserve">ex14sk testing </w:t>
      </w:r>
      <w:r w:rsidR="00523C35">
        <w:rPr>
          <w:color w:val="auto"/>
        </w:rPr>
        <w:t xml:space="preserve">in the </w:t>
      </w:r>
      <w:r w:rsidR="002B73A4">
        <w:rPr>
          <w:color w:val="auto"/>
        </w:rPr>
        <w:t>submission</w:t>
      </w:r>
      <w:r w:rsidR="00F80E0C">
        <w:rPr>
          <w:color w:val="auto"/>
        </w:rPr>
        <w:t xml:space="preserve"> </w:t>
      </w:r>
      <w:r w:rsidRPr="00B66ED6">
        <w:rPr>
          <w:color w:val="auto"/>
        </w:rPr>
        <w:t xml:space="preserve">did not specify the disease stage of NSCLC. Patients with Stages I-IIIA disease would also be eligible for </w:t>
      </w:r>
      <w:r w:rsidRPr="00F80E0C">
        <w:rPr>
          <w:i/>
          <w:color w:val="auto"/>
        </w:rPr>
        <w:t>MET</w:t>
      </w:r>
      <w:r w:rsidRPr="00B66ED6">
        <w:rPr>
          <w:color w:val="auto"/>
        </w:rPr>
        <w:t xml:space="preserve">ex14sk testing according to the requested MBS listing. </w:t>
      </w:r>
      <w:r w:rsidR="00D901BC">
        <w:rPr>
          <w:color w:val="auto"/>
        </w:rPr>
        <w:t>The PBAC noted that, a</w:t>
      </w:r>
      <w:r w:rsidR="00A25D2C">
        <w:rPr>
          <w:color w:val="auto"/>
        </w:rPr>
        <w:t xml:space="preserve">lthough </w:t>
      </w:r>
      <w:r w:rsidRPr="00B66ED6">
        <w:rPr>
          <w:color w:val="auto"/>
        </w:rPr>
        <w:t xml:space="preserve">the eligibility criteria for </w:t>
      </w:r>
      <w:r w:rsidRPr="00F80E0C">
        <w:rPr>
          <w:i/>
          <w:color w:val="auto"/>
        </w:rPr>
        <w:t>MET</w:t>
      </w:r>
      <w:r w:rsidRPr="00B66ED6">
        <w:rPr>
          <w:color w:val="auto"/>
        </w:rPr>
        <w:t xml:space="preserve">ex14sk testing </w:t>
      </w:r>
      <w:r w:rsidR="00F80E0C">
        <w:rPr>
          <w:color w:val="auto"/>
        </w:rPr>
        <w:t xml:space="preserve">was </w:t>
      </w:r>
      <w:r w:rsidRPr="00B66ED6">
        <w:rPr>
          <w:color w:val="auto"/>
        </w:rPr>
        <w:t xml:space="preserve">limited to locally advanced or metastatic NSCLC </w:t>
      </w:r>
      <w:r w:rsidR="00A25D2C">
        <w:rPr>
          <w:color w:val="auto"/>
        </w:rPr>
        <w:t>in the PSCR</w:t>
      </w:r>
      <w:r w:rsidR="00D901BC">
        <w:rPr>
          <w:color w:val="auto"/>
        </w:rPr>
        <w:t>,</w:t>
      </w:r>
      <w:r w:rsidR="00F80E0C">
        <w:rPr>
          <w:color w:val="auto"/>
        </w:rPr>
        <w:t xml:space="preserve"> </w:t>
      </w:r>
      <w:r w:rsidRPr="00B66ED6">
        <w:rPr>
          <w:color w:val="auto"/>
        </w:rPr>
        <w:t xml:space="preserve"> the size of the eligible patients for testing</w:t>
      </w:r>
      <w:r w:rsidR="00A25D2C">
        <w:rPr>
          <w:color w:val="auto"/>
        </w:rPr>
        <w:t xml:space="preserve"> remained underestimated</w:t>
      </w:r>
      <w:r w:rsidRPr="00B66ED6">
        <w:rPr>
          <w:color w:val="auto"/>
        </w:rPr>
        <w:t>, as those diagnosed with Stages I-IIIA but subsequently progressing into a later stage were not included in the submission’s estimates.</w:t>
      </w:r>
    </w:p>
    <w:p w:rsidR="005C1E8E" w:rsidRPr="00B66ED6" w:rsidRDefault="005C1E8E" w:rsidP="005C1E8E">
      <w:pPr>
        <w:pStyle w:val="ListParagraph"/>
        <w:numPr>
          <w:ilvl w:val="4"/>
          <w:numId w:val="1"/>
        </w:numPr>
        <w:rPr>
          <w:color w:val="auto"/>
        </w:rPr>
      </w:pPr>
      <w:r w:rsidRPr="00B66ED6">
        <w:rPr>
          <w:color w:val="auto"/>
        </w:rPr>
        <w:t xml:space="preserve">The submission further underestimated the number of patients eligible for </w:t>
      </w:r>
      <w:r w:rsidRPr="00F80E0C">
        <w:rPr>
          <w:i/>
          <w:color w:val="auto"/>
        </w:rPr>
        <w:t>MET</w:t>
      </w:r>
      <w:r w:rsidRPr="00B66ED6">
        <w:rPr>
          <w:color w:val="auto"/>
        </w:rPr>
        <w:t xml:space="preserve">ex14sk testing, by applying the </w:t>
      </w:r>
      <w:r w:rsidRPr="008D313B">
        <w:rPr>
          <w:i/>
          <w:iCs/>
          <w:color w:val="auto"/>
        </w:rPr>
        <w:t>EGFR</w:t>
      </w:r>
      <w:r w:rsidRPr="00B66ED6">
        <w:rPr>
          <w:color w:val="auto"/>
        </w:rPr>
        <w:t xml:space="preserve"> testing uptake rate and the proportion of patients who are </w:t>
      </w:r>
      <w:r w:rsidRPr="008D313B">
        <w:rPr>
          <w:i/>
          <w:iCs/>
          <w:color w:val="auto"/>
        </w:rPr>
        <w:t>EGFR</w:t>
      </w:r>
      <w:r w:rsidRPr="00B66ED6">
        <w:rPr>
          <w:color w:val="auto"/>
        </w:rPr>
        <w:t xml:space="preserve"> positive among those tested, to all NSCLC patients, irrespective of histology. Only patients with non-squamous NSCLC will undergo an </w:t>
      </w:r>
      <w:r w:rsidRPr="008D313B">
        <w:rPr>
          <w:i/>
          <w:iCs/>
          <w:color w:val="auto"/>
        </w:rPr>
        <w:t>EGFR</w:t>
      </w:r>
      <w:r w:rsidRPr="00B66ED6">
        <w:rPr>
          <w:color w:val="auto"/>
        </w:rPr>
        <w:t xml:space="preserve"> test; and those tested negative will be eligible for </w:t>
      </w:r>
      <w:r w:rsidRPr="00F80E0C">
        <w:rPr>
          <w:i/>
          <w:color w:val="auto"/>
        </w:rPr>
        <w:t>MET</w:t>
      </w:r>
      <w:r w:rsidRPr="00B66ED6">
        <w:rPr>
          <w:color w:val="auto"/>
        </w:rPr>
        <w:t xml:space="preserve">ex14sk testing. Patients with squamous NSCLC do not require an </w:t>
      </w:r>
      <w:r w:rsidRPr="008D313B">
        <w:rPr>
          <w:i/>
          <w:iCs/>
          <w:color w:val="auto"/>
        </w:rPr>
        <w:t>EGFR</w:t>
      </w:r>
      <w:r w:rsidRPr="00B66ED6">
        <w:rPr>
          <w:color w:val="auto"/>
        </w:rPr>
        <w:t xml:space="preserve"> test to determine their eligibility to </w:t>
      </w:r>
      <w:r w:rsidRPr="00F80E0C">
        <w:rPr>
          <w:i/>
          <w:color w:val="auto"/>
        </w:rPr>
        <w:t>MET</w:t>
      </w:r>
      <w:r w:rsidRPr="00B66ED6">
        <w:rPr>
          <w:color w:val="auto"/>
        </w:rPr>
        <w:t>ex14sk testing, per requested MBS descriptor.</w:t>
      </w:r>
    </w:p>
    <w:p w:rsidR="005C1E8E" w:rsidRPr="00B66ED6" w:rsidRDefault="005C1E8E" w:rsidP="005C1E8E">
      <w:pPr>
        <w:pStyle w:val="ListParagraph"/>
        <w:numPr>
          <w:ilvl w:val="4"/>
          <w:numId w:val="1"/>
        </w:numPr>
        <w:rPr>
          <w:color w:val="auto"/>
        </w:rPr>
      </w:pPr>
      <w:r w:rsidRPr="00B66ED6">
        <w:rPr>
          <w:color w:val="auto"/>
        </w:rPr>
        <w:t xml:space="preserve">Uptake of testing was assumed to be 100%. Cost of retesting for </w:t>
      </w:r>
      <w:r w:rsidRPr="00F80E0C">
        <w:rPr>
          <w:i/>
          <w:color w:val="auto"/>
        </w:rPr>
        <w:t>MET</w:t>
      </w:r>
      <w:r w:rsidRPr="00B66ED6">
        <w:rPr>
          <w:color w:val="auto"/>
        </w:rPr>
        <w:t>ex14sk was not considered in the financial analysis.</w:t>
      </w:r>
    </w:p>
    <w:p w:rsidR="005C1E8E" w:rsidRPr="00B92D96" w:rsidRDefault="005C1E8E" w:rsidP="005C1E8E">
      <w:pPr>
        <w:pStyle w:val="ListParagraph"/>
        <w:numPr>
          <w:ilvl w:val="4"/>
          <w:numId w:val="1"/>
        </w:numPr>
        <w:rPr>
          <w:color w:val="auto"/>
        </w:rPr>
      </w:pPr>
      <w:r w:rsidRPr="00B92D96">
        <w:rPr>
          <w:color w:val="auto"/>
        </w:rPr>
        <w:t>The submission categorised patients who are eligible for tepotinib therapy into six subgroups, according to the line of therapy, their PD-L1 expression, disease stage, prior treatment, eligible/ineligible for immunotherapy. Therapies which would be replaced by tepotinib differed across these subgroups (</w:t>
      </w:r>
      <w:r w:rsidR="00021220" w:rsidRPr="00837378">
        <w:t xml:space="preserve">Table </w:t>
      </w:r>
      <w:r w:rsidR="00021220">
        <w:rPr>
          <w:noProof/>
        </w:rPr>
        <w:t>15</w:t>
      </w:r>
      <w:r w:rsidRPr="00B92D96">
        <w:rPr>
          <w:color w:val="auto"/>
        </w:rPr>
        <w:t>).</w:t>
      </w:r>
    </w:p>
    <w:p w:rsidR="005C1E8E" w:rsidRPr="00B92D96" w:rsidRDefault="00837378" w:rsidP="005C1E8E">
      <w:pPr>
        <w:pStyle w:val="Caption"/>
      </w:pPr>
      <w:r w:rsidRPr="00837378">
        <w:t xml:space="preserve"> </w:t>
      </w:r>
      <w:bookmarkStart w:id="45" w:name="_Ref89350569"/>
      <w:r w:rsidRPr="00837378">
        <w:t xml:space="preserve">Table </w:t>
      </w:r>
      <w:r>
        <w:rPr>
          <w:noProof/>
        </w:rPr>
        <w:t>15</w:t>
      </w:r>
      <w:bookmarkEnd w:id="45"/>
      <w:r w:rsidR="00F800E1">
        <w:rPr>
          <w:noProof/>
        </w:rPr>
        <w:t xml:space="preserve">: </w:t>
      </w:r>
      <w:r w:rsidR="005C1E8E" w:rsidRPr="00B92D96">
        <w:t>Description of the patient populations eligible for tepotinib included in the financial analysis</w:t>
      </w:r>
    </w:p>
    <w:tbl>
      <w:tblPr>
        <w:tblStyle w:val="PBACTableStyle4"/>
        <w:tblW w:w="5000" w:type="pct"/>
        <w:tblLook w:val="04A0" w:firstRow="1" w:lastRow="0" w:firstColumn="1" w:lastColumn="0" w:noHBand="0" w:noVBand="1"/>
        <w:tblCaption w:val=" Table 15: Description of the patient populations eligible for tepotinib included in the financial analysis"/>
      </w:tblPr>
      <w:tblGrid>
        <w:gridCol w:w="1007"/>
        <w:gridCol w:w="4657"/>
        <w:gridCol w:w="3352"/>
      </w:tblGrid>
      <w:tr w:rsidR="005C1E8E" w:rsidRPr="00B92D96" w:rsidTr="00FD0B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3" w:type="dxa"/>
          </w:tcPr>
          <w:p w:rsidR="005C1E8E" w:rsidRPr="00F13980" w:rsidRDefault="005C1E8E" w:rsidP="00AF2F78">
            <w:pPr>
              <w:jc w:val="left"/>
              <w:rPr>
                <w:rFonts w:cstheme="minorHAnsi"/>
                <w:b w:val="0"/>
                <w:sz w:val="20"/>
                <w:lang w:val="en-AU"/>
              </w:rPr>
            </w:pPr>
          </w:p>
        </w:tc>
        <w:tc>
          <w:tcPr>
            <w:tcW w:w="4794" w:type="dxa"/>
          </w:tcPr>
          <w:p w:rsidR="005C1E8E" w:rsidRPr="00F13980" w:rsidRDefault="005C1E8E" w:rsidP="00AF2F78">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lang w:val="en-AU"/>
              </w:rPr>
            </w:pPr>
            <w:r w:rsidRPr="00962499">
              <w:rPr>
                <w:rFonts w:eastAsia="Times New Roman" w:cstheme="minorHAnsi"/>
                <w:sz w:val="20"/>
              </w:rPr>
              <w:t>Population description</w:t>
            </w:r>
          </w:p>
        </w:tc>
        <w:tc>
          <w:tcPr>
            <w:tcW w:w="3435" w:type="dxa"/>
          </w:tcPr>
          <w:p w:rsidR="005C1E8E" w:rsidRPr="00F13980" w:rsidRDefault="005C1E8E" w:rsidP="00AF2F78">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sz w:val="20"/>
                <w:lang w:val="en-AU"/>
              </w:rPr>
            </w:pPr>
            <w:r w:rsidRPr="00962499">
              <w:rPr>
                <w:rFonts w:eastAsia="Times New Roman" w:cstheme="minorHAnsi"/>
                <w:bCs/>
                <w:sz w:val="20"/>
              </w:rPr>
              <w:t>Replaced therapy in the financial analysis</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1013" w:type="dxa"/>
          </w:tcPr>
          <w:p w:rsidR="005C1E8E" w:rsidRPr="00F13980" w:rsidRDefault="005C1E8E" w:rsidP="00AF2F78">
            <w:pPr>
              <w:jc w:val="left"/>
              <w:rPr>
                <w:rFonts w:cstheme="minorHAnsi"/>
                <w:b/>
                <w:sz w:val="20"/>
                <w:lang w:val="en-AU"/>
              </w:rPr>
            </w:pPr>
            <w:r w:rsidRPr="00962499">
              <w:rPr>
                <w:rFonts w:cstheme="minorHAnsi"/>
                <w:b/>
                <w:sz w:val="20"/>
              </w:rPr>
              <w:t>Incident 1</w:t>
            </w:r>
          </w:p>
        </w:tc>
        <w:tc>
          <w:tcPr>
            <w:tcW w:w="4794" w:type="dxa"/>
          </w:tcPr>
          <w:p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1L: Patients diagnosed with Stage IV NSCLC with PD-L1 &lt;50% and 30% of patients diagnosed with Stage IV NSCLC with PD-L1 TPS ≥50, eligible for immunotherapy</w:t>
            </w:r>
          </w:p>
        </w:tc>
        <w:tc>
          <w:tcPr>
            <w:tcW w:w="3435" w:type="dxa"/>
          </w:tcPr>
          <w:p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 xml:space="preserve">Pembrolizumab + cisplatin + </w:t>
            </w:r>
            <w:proofErr w:type="spellStart"/>
            <w:r w:rsidRPr="00962499">
              <w:rPr>
                <w:rFonts w:cstheme="minorHAnsi"/>
                <w:sz w:val="20"/>
              </w:rPr>
              <w:t>pemetrexed</w:t>
            </w:r>
            <w:proofErr w:type="spellEnd"/>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1013" w:type="dxa"/>
          </w:tcPr>
          <w:p w:rsidR="005C1E8E" w:rsidRPr="00F13980" w:rsidRDefault="005C1E8E" w:rsidP="00AF2F78">
            <w:pPr>
              <w:jc w:val="left"/>
              <w:rPr>
                <w:rFonts w:cstheme="minorHAnsi"/>
                <w:b/>
                <w:sz w:val="20"/>
                <w:lang w:val="en-AU"/>
              </w:rPr>
            </w:pPr>
            <w:r w:rsidRPr="00962499">
              <w:rPr>
                <w:rFonts w:cstheme="minorHAnsi"/>
                <w:b/>
                <w:sz w:val="20"/>
              </w:rPr>
              <w:t>Incident 2</w:t>
            </w:r>
          </w:p>
        </w:tc>
        <w:tc>
          <w:tcPr>
            <w:tcW w:w="4794" w:type="dxa"/>
          </w:tcPr>
          <w:p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 xml:space="preserve">1L: 70% of patients diagnosed with Stage IV NSCLC with PD-L1 TPS ≥50, eligible for immunotherapy </w:t>
            </w:r>
          </w:p>
        </w:tc>
        <w:tc>
          <w:tcPr>
            <w:tcW w:w="3435" w:type="dxa"/>
          </w:tcPr>
          <w:p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Pembrolizumab monotherapy</w:t>
            </w:r>
            <w:r>
              <w:rPr>
                <w:rFonts w:cstheme="minorHAnsi"/>
                <w:sz w:val="20"/>
              </w:rPr>
              <w:t>*</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1013" w:type="dxa"/>
          </w:tcPr>
          <w:p w:rsidR="005C1E8E" w:rsidRPr="00F13980" w:rsidRDefault="005C1E8E" w:rsidP="00AF2F78">
            <w:pPr>
              <w:jc w:val="left"/>
              <w:rPr>
                <w:rFonts w:cstheme="minorHAnsi"/>
                <w:b/>
                <w:sz w:val="20"/>
                <w:lang w:val="en-AU"/>
              </w:rPr>
            </w:pPr>
            <w:r w:rsidRPr="00962499">
              <w:rPr>
                <w:rFonts w:cstheme="minorHAnsi"/>
                <w:b/>
                <w:sz w:val="20"/>
              </w:rPr>
              <w:t>Incident 3</w:t>
            </w:r>
          </w:p>
        </w:tc>
        <w:tc>
          <w:tcPr>
            <w:tcW w:w="4794" w:type="dxa"/>
          </w:tcPr>
          <w:p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1L: Patients who progressed from Stage I-II and received durvalumab in Stage III and subsequently progressed to Stage IV</w:t>
            </w:r>
          </w:p>
        </w:tc>
        <w:tc>
          <w:tcPr>
            <w:tcW w:w="3435" w:type="dxa"/>
          </w:tcPr>
          <w:p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sz w:val="20"/>
                <w:lang w:val="en-AU"/>
              </w:rPr>
            </w:pPr>
            <w:r w:rsidRPr="00962499">
              <w:rPr>
                <w:rFonts w:cstheme="minorHAnsi"/>
                <w:sz w:val="20"/>
              </w:rPr>
              <w:t xml:space="preserve">Cisplatin + </w:t>
            </w:r>
            <w:proofErr w:type="spellStart"/>
            <w:r w:rsidRPr="00962499">
              <w:rPr>
                <w:rFonts w:cstheme="minorHAnsi"/>
                <w:sz w:val="20"/>
              </w:rPr>
              <w:t>pemetrexed</w:t>
            </w:r>
            <w:proofErr w:type="spellEnd"/>
            <w:r>
              <w:rPr>
                <w:rFonts w:cstheme="minorHAnsi"/>
                <w:sz w:val="20"/>
              </w:rPr>
              <w:t>*</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1013" w:type="dxa"/>
          </w:tcPr>
          <w:p w:rsidR="005C1E8E" w:rsidRPr="00F13980" w:rsidRDefault="005C1E8E" w:rsidP="00AF2F78">
            <w:pPr>
              <w:jc w:val="left"/>
              <w:rPr>
                <w:rFonts w:cstheme="minorHAnsi"/>
                <w:b/>
                <w:sz w:val="20"/>
                <w:lang w:val="en-AU"/>
              </w:rPr>
            </w:pPr>
            <w:r w:rsidRPr="00962499">
              <w:rPr>
                <w:rFonts w:cstheme="minorHAnsi"/>
                <w:b/>
                <w:sz w:val="20"/>
              </w:rPr>
              <w:t>Incident 4</w:t>
            </w:r>
          </w:p>
        </w:tc>
        <w:tc>
          <w:tcPr>
            <w:tcW w:w="4794" w:type="dxa"/>
          </w:tcPr>
          <w:p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b/>
                <w:sz w:val="20"/>
                <w:lang w:val="en-AU"/>
              </w:rPr>
            </w:pPr>
            <w:r w:rsidRPr="00962499">
              <w:rPr>
                <w:rFonts w:cstheme="minorHAnsi"/>
                <w:sz w:val="20"/>
              </w:rPr>
              <w:t>1L: Patients diagnosed with Stage IV NSCLC who are ineligible for immunotherapy due to autoimmune disease</w:t>
            </w:r>
          </w:p>
        </w:tc>
        <w:tc>
          <w:tcPr>
            <w:tcW w:w="3435" w:type="dxa"/>
          </w:tcPr>
          <w:p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b/>
                <w:bCs/>
                <w:sz w:val="20"/>
                <w:lang w:val="en-AU"/>
              </w:rPr>
            </w:pPr>
            <w:r w:rsidRPr="00962499">
              <w:rPr>
                <w:rFonts w:cstheme="minorHAnsi"/>
                <w:sz w:val="20"/>
              </w:rPr>
              <w:t xml:space="preserve">Cisplatin + </w:t>
            </w:r>
            <w:proofErr w:type="spellStart"/>
            <w:r w:rsidRPr="00962499">
              <w:rPr>
                <w:rFonts w:cstheme="minorHAnsi"/>
                <w:sz w:val="20"/>
              </w:rPr>
              <w:t>pemetrexed</w:t>
            </w:r>
            <w:proofErr w:type="spellEnd"/>
            <w:r>
              <w:rPr>
                <w:rFonts w:cstheme="minorHAnsi"/>
                <w:sz w:val="20"/>
              </w:rPr>
              <w:t>*</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1013" w:type="dxa"/>
          </w:tcPr>
          <w:p w:rsidR="005C1E8E" w:rsidRPr="00F13980" w:rsidRDefault="005C1E8E" w:rsidP="00AF2F78">
            <w:pPr>
              <w:jc w:val="left"/>
              <w:rPr>
                <w:rFonts w:cstheme="minorHAnsi"/>
                <w:b/>
                <w:sz w:val="20"/>
                <w:lang w:val="en-AU"/>
              </w:rPr>
            </w:pPr>
            <w:r w:rsidRPr="00962499">
              <w:rPr>
                <w:rFonts w:cstheme="minorHAnsi"/>
                <w:b/>
                <w:sz w:val="20"/>
              </w:rPr>
              <w:t>Incident 5</w:t>
            </w:r>
          </w:p>
        </w:tc>
        <w:tc>
          <w:tcPr>
            <w:tcW w:w="4794" w:type="dxa"/>
          </w:tcPr>
          <w:p w:rsidR="005C1E8E" w:rsidRPr="00F13980" w:rsidRDefault="005C1E8E" w:rsidP="00AF2F78">
            <w:pPr>
              <w:cnfStyle w:val="000000000000" w:firstRow="0" w:lastRow="0" w:firstColumn="0" w:lastColumn="0" w:oddVBand="0" w:evenVBand="0" w:oddHBand="0" w:evenHBand="0" w:firstRowFirstColumn="0" w:firstRowLastColumn="0" w:lastRowFirstColumn="0" w:lastRowLastColumn="0"/>
              <w:rPr>
                <w:rFonts w:cstheme="minorHAnsi"/>
                <w:b/>
                <w:sz w:val="20"/>
                <w:lang w:val="en-AU"/>
              </w:rPr>
            </w:pPr>
            <w:r w:rsidRPr="00962499">
              <w:rPr>
                <w:rFonts w:cstheme="minorHAnsi"/>
                <w:sz w:val="20"/>
              </w:rPr>
              <w:t>1L: Patients diagnosed with Stage III who received durvalumab and subsequently progressed to Stage IV</w:t>
            </w:r>
          </w:p>
        </w:tc>
        <w:tc>
          <w:tcPr>
            <w:tcW w:w="3435" w:type="dxa"/>
          </w:tcPr>
          <w:p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b/>
                <w:bCs/>
                <w:sz w:val="20"/>
                <w:lang w:val="en-AU"/>
              </w:rPr>
            </w:pPr>
            <w:r w:rsidRPr="00962499">
              <w:rPr>
                <w:rFonts w:cstheme="minorHAnsi"/>
                <w:sz w:val="20"/>
              </w:rPr>
              <w:t xml:space="preserve">Cisplatin + </w:t>
            </w:r>
            <w:proofErr w:type="spellStart"/>
            <w:r w:rsidRPr="00962499">
              <w:rPr>
                <w:rFonts w:cstheme="minorHAnsi"/>
                <w:sz w:val="20"/>
              </w:rPr>
              <w:t>pemetrexed</w:t>
            </w:r>
            <w:proofErr w:type="spellEnd"/>
            <w:r>
              <w:rPr>
                <w:rFonts w:cstheme="minorHAnsi"/>
                <w:sz w:val="20"/>
              </w:rPr>
              <w:t>*</w:t>
            </w:r>
          </w:p>
        </w:tc>
      </w:tr>
      <w:tr w:rsidR="005C1E8E" w:rsidRPr="00B92D96" w:rsidTr="00AF2F78">
        <w:tc>
          <w:tcPr>
            <w:cnfStyle w:val="001000000000" w:firstRow="0" w:lastRow="0" w:firstColumn="1" w:lastColumn="0" w:oddVBand="0" w:evenVBand="0" w:oddHBand="0" w:evenHBand="0" w:firstRowFirstColumn="0" w:firstRowLastColumn="0" w:lastRowFirstColumn="0" w:lastRowLastColumn="0"/>
            <w:tcW w:w="1013" w:type="dxa"/>
          </w:tcPr>
          <w:p w:rsidR="005C1E8E" w:rsidRPr="00F13980" w:rsidRDefault="005C1E8E" w:rsidP="00AF2F78">
            <w:pPr>
              <w:jc w:val="left"/>
              <w:rPr>
                <w:rFonts w:cstheme="minorHAnsi"/>
                <w:b/>
                <w:sz w:val="20"/>
                <w:lang w:val="en-AU"/>
              </w:rPr>
            </w:pPr>
            <w:r w:rsidRPr="00962499">
              <w:rPr>
                <w:rFonts w:cstheme="minorHAnsi"/>
                <w:b/>
                <w:sz w:val="20"/>
              </w:rPr>
              <w:t>Incident 6</w:t>
            </w:r>
          </w:p>
        </w:tc>
        <w:tc>
          <w:tcPr>
            <w:tcW w:w="4794" w:type="dxa"/>
          </w:tcPr>
          <w:p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b/>
                <w:sz w:val="20"/>
                <w:lang w:val="en-AU"/>
              </w:rPr>
            </w:pPr>
            <w:r w:rsidRPr="00962499">
              <w:rPr>
                <w:rFonts w:cstheme="minorHAnsi"/>
                <w:sz w:val="20"/>
              </w:rPr>
              <w:t>2L: Patients diagnosed with Stage IV NSCLC who received pembrolizumab + platinum chemotherapy in 1L setting and progressed to 2L</w:t>
            </w:r>
          </w:p>
        </w:tc>
        <w:tc>
          <w:tcPr>
            <w:tcW w:w="3435" w:type="dxa"/>
          </w:tcPr>
          <w:p w:rsidR="005C1E8E" w:rsidRPr="00F13980" w:rsidRDefault="005C1E8E" w:rsidP="00AF2F78">
            <w:pPr>
              <w:jc w:val="left"/>
              <w:cnfStyle w:val="000000000000" w:firstRow="0" w:lastRow="0" w:firstColumn="0" w:lastColumn="0" w:oddVBand="0" w:evenVBand="0" w:oddHBand="0" w:evenHBand="0" w:firstRowFirstColumn="0" w:firstRowLastColumn="0" w:lastRowFirstColumn="0" w:lastRowLastColumn="0"/>
              <w:rPr>
                <w:rFonts w:cstheme="minorHAnsi"/>
                <w:sz w:val="20"/>
                <w:lang w:val="en-AU"/>
              </w:rPr>
            </w:pPr>
            <w:proofErr w:type="spellStart"/>
            <w:r w:rsidRPr="00962499">
              <w:rPr>
                <w:rFonts w:cstheme="minorHAnsi"/>
                <w:sz w:val="20"/>
              </w:rPr>
              <w:t>Pemetrexed</w:t>
            </w:r>
            <w:proofErr w:type="spellEnd"/>
            <w:r w:rsidRPr="00962499">
              <w:rPr>
                <w:rFonts w:cstheme="minorHAnsi"/>
                <w:sz w:val="20"/>
              </w:rPr>
              <w:t xml:space="preserve"> single-agent chemotherapy</w:t>
            </w:r>
            <w:r>
              <w:rPr>
                <w:rFonts w:cstheme="minorHAnsi"/>
                <w:sz w:val="20"/>
              </w:rPr>
              <w:t>*</w:t>
            </w:r>
          </w:p>
        </w:tc>
      </w:tr>
    </w:tbl>
    <w:p w:rsidR="005C1E8E" w:rsidRPr="00B92D96" w:rsidRDefault="005C1E8E" w:rsidP="005C1E8E">
      <w:pPr>
        <w:pStyle w:val="TableFooter"/>
      </w:pPr>
      <w:r w:rsidRPr="00B92D96">
        <w:rPr>
          <w:rFonts w:eastAsiaTheme="minorEastAsia"/>
        </w:rPr>
        <w:t>Source: Table 4-6, p152 of the submission</w:t>
      </w:r>
      <w:r w:rsidRPr="00B92D96">
        <w:t xml:space="preserve"> </w:t>
      </w:r>
    </w:p>
    <w:p w:rsidR="005C1E8E" w:rsidRDefault="005C1E8E" w:rsidP="005C1E8E">
      <w:pPr>
        <w:pStyle w:val="TableFooter"/>
      </w:pPr>
      <w:r w:rsidRPr="00B92D96">
        <w:t>1L = first-line; 2L = second-line; NSCLC = non-small cell lung cancer; PD-L1 = programmed cell death ligand 1; TPS = tumour proportion score</w:t>
      </w:r>
    </w:p>
    <w:p w:rsidR="005C1E8E" w:rsidRPr="00275894" w:rsidRDefault="005C1E8E" w:rsidP="005C1E8E">
      <w:pPr>
        <w:pStyle w:val="TableFooter"/>
        <w:rPr>
          <w:i/>
        </w:rPr>
      </w:pPr>
      <w:r w:rsidRPr="00275894">
        <w:rPr>
          <w:i/>
        </w:rPr>
        <w:t xml:space="preserve">* </w:t>
      </w:r>
      <w:r w:rsidRPr="00F80E0C">
        <w:t>At a lower cost per patient than tepotinib</w:t>
      </w:r>
    </w:p>
    <w:p w:rsidR="00D901BC" w:rsidRDefault="0044670C" w:rsidP="005C1E8E">
      <w:pPr>
        <w:numPr>
          <w:ilvl w:val="4"/>
          <w:numId w:val="1"/>
        </w:numPr>
        <w:rPr>
          <w:iCs/>
        </w:rPr>
      </w:pPr>
      <w:r w:rsidRPr="00F80E0C">
        <w:rPr>
          <w:iCs/>
        </w:rPr>
        <w:t xml:space="preserve">Overall, the eligible population for tepotinib therapy estimated in the financial analysis did not match the proposed PBS restriction. The financial analysis assumed that tepotinib would be used in patients with Stage IV NSCLC only (at initial diagnosis or having progressed into this disease stage from earlier stages) whilst the requested PBS listing for tepotinib was for treatment of Stage IIIB and Stage IV </w:t>
      </w:r>
      <w:r w:rsidR="00021220">
        <w:rPr>
          <w:iCs/>
        </w:rPr>
        <w:t>NSCLC (resulting in an underestimation of patient numbers)</w:t>
      </w:r>
      <w:r w:rsidRPr="00F80E0C">
        <w:rPr>
          <w:iCs/>
        </w:rPr>
        <w:t xml:space="preserve">. </w:t>
      </w:r>
    </w:p>
    <w:p w:rsidR="0044670C" w:rsidRPr="00F80E0C" w:rsidRDefault="00D901BC" w:rsidP="005C1E8E">
      <w:pPr>
        <w:numPr>
          <w:ilvl w:val="4"/>
          <w:numId w:val="1"/>
        </w:numPr>
        <w:rPr>
          <w:iCs/>
        </w:rPr>
      </w:pPr>
      <w:r>
        <w:rPr>
          <w:iCs/>
        </w:rPr>
        <w:t>T</w:t>
      </w:r>
      <w:r w:rsidR="0044670C" w:rsidRPr="00F80E0C">
        <w:rPr>
          <w:iCs/>
        </w:rPr>
        <w:t>he submission did not exclude NSCLC patients with poor performance status (3 or above) who would be ineligible for tepotinib per the proposed PBS listing</w:t>
      </w:r>
      <w:r>
        <w:rPr>
          <w:iCs/>
        </w:rPr>
        <w:t xml:space="preserve"> which may </w:t>
      </w:r>
      <w:r w:rsidR="00021220">
        <w:rPr>
          <w:iCs/>
        </w:rPr>
        <w:t xml:space="preserve">have </w:t>
      </w:r>
      <w:r>
        <w:rPr>
          <w:iCs/>
        </w:rPr>
        <w:t xml:space="preserve">overestimated the extent of use.  </w:t>
      </w:r>
    </w:p>
    <w:p w:rsidR="005C1E8E" w:rsidRPr="00F80E0C" w:rsidRDefault="005C1E8E" w:rsidP="005C1E8E">
      <w:pPr>
        <w:numPr>
          <w:ilvl w:val="4"/>
          <w:numId w:val="1"/>
        </w:numPr>
        <w:rPr>
          <w:iCs/>
        </w:rPr>
      </w:pPr>
      <w:r w:rsidRPr="00F80E0C">
        <w:rPr>
          <w:iCs/>
        </w:rPr>
        <w:t xml:space="preserve">The estimated number of tested population for determination of the MBS cost of </w:t>
      </w:r>
      <w:r w:rsidRPr="00F80E0C">
        <w:rPr>
          <w:i/>
          <w:iCs/>
        </w:rPr>
        <w:t>MET</w:t>
      </w:r>
      <w:r w:rsidRPr="00F80E0C">
        <w:rPr>
          <w:iCs/>
        </w:rPr>
        <w:t xml:space="preserve">ex14sk testing was not used to calculate the number of patients likely to receive tepotinib. </w:t>
      </w:r>
      <w:r w:rsidRPr="00037B2E">
        <w:rPr>
          <w:iCs/>
        </w:rPr>
        <w:t>The size of both populations was estimated independently from the incident NSCLC patients in each listing year, using different assumptions: patients with locally advanced or metastatic NSCLC at initial diagnosis for eligible testing population versus patients diagnosed with metastatic NSCLC or those diagnosed with earlier stages who subsequently progress to metastatic disease for the population eligible for tepotinib therapy.</w:t>
      </w:r>
    </w:p>
    <w:p w:rsidR="005C1E8E" w:rsidRPr="008A4DC0" w:rsidRDefault="005C1E8E" w:rsidP="008A4DC0">
      <w:pPr>
        <w:numPr>
          <w:ilvl w:val="4"/>
          <w:numId w:val="1"/>
        </w:numPr>
        <w:rPr>
          <w:iCs/>
        </w:rPr>
      </w:pPr>
      <w:r w:rsidRPr="008A4DC0">
        <w:rPr>
          <w:iCs/>
        </w:rPr>
        <w:t xml:space="preserve">The submission assumed that the uptake of tepotinib would vary across Incident populations dependent on their relevant comparators to tepotinib. In Incident 1 and 2 (comparator: pembrolizumab ± chemotherapy), the uptake rate was expected to be 40% in Year 1 of listing, increasing to 90% by Year 4. For Incident 3, 4, 5, where platinum doublet was the comparator, and for incident 6, where single-agent chemotherapy was the comparator, the uptake of tepotinib was assumed to remain 90% and 95%, respectively, from Years 1-6. </w:t>
      </w:r>
      <w:r w:rsidRPr="00F80E0C">
        <w:rPr>
          <w:iCs/>
        </w:rPr>
        <w:t>Given the more convenient administration route of tepotinib in comparison with pembrolizumab (oral vs. IV infusion), the submission’s assumption of high uptake rate of tepotinib might be reasonable</w:t>
      </w:r>
      <w:r w:rsidR="00F80E0C">
        <w:rPr>
          <w:iCs/>
        </w:rPr>
        <w:t>.</w:t>
      </w:r>
    </w:p>
    <w:p w:rsidR="005C1E8E" w:rsidRPr="005C1E8E" w:rsidRDefault="005C1E8E" w:rsidP="005C1E8E">
      <w:pPr>
        <w:numPr>
          <w:ilvl w:val="4"/>
          <w:numId w:val="1"/>
        </w:numPr>
        <w:rPr>
          <w:iCs/>
        </w:rPr>
      </w:pPr>
      <w:r w:rsidRPr="005C1E8E">
        <w:rPr>
          <w:iCs/>
        </w:rPr>
        <w:t xml:space="preserve">As in the CMA, the treatment duration of 13.35 months for tepotinib therapy and a compliance rate of 87.28% from the VISION study were used to estimate the extent of tepotinib use as a first line therapy (Incident 1-5 populations). This resulted in one patient requiring 11.84 (=13.35x87.28%/12x365.25/30) packs for the entire tepotinib course therapy for first-line treatment of </w:t>
      </w:r>
      <w:r w:rsidRPr="005C1E8E">
        <w:rPr>
          <w:i/>
          <w:iCs/>
        </w:rPr>
        <w:t>MET</w:t>
      </w:r>
      <w:r w:rsidRPr="005C1E8E">
        <w:rPr>
          <w:iCs/>
        </w:rPr>
        <w:t>ex14sk+</w:t>
      </w:r>
      <w:r w:rsidRPr="005C1E8E">
        <w:rPr>
          <w:i/>
          <w:iCs/>
        </w:rPr>
        <w:t xml:space="preserve"> </w:t>
      </w:r>
      <w:proofErr w:type="spellStart"/>
      <w:r w:rsidRPr="005C1E8E">
        <w:rPr>
          <w:iCs/>
        </w:rPr>
        <w:t>aNSCLC</w:t>
      </w:r>
      <w:proofErr w:type="spellEnd"/>
      <w:r w:rsidRPr="005C1E8E">
        <w:rPr>
          <w:iCs/>
        </w:rPr>
        <w:t>.</w:t>
      </w:r>
      <w:r w:rsidRPr="005C1E8E">
        <w:rPr>
          <w:i/>
          <w:iCs/>
        </w:rPr>
        <w:t xml:space="preserve"> </w:t>
      </w:r>
      <w:r w:rsidRPr="00F80E0C">
        <w:rPr>
          <w:iCs/>
        </w:rPr>
        <w:t>As noted above, the selection of the parameter distribution (exponential) to model the TTD of tepotinib was not adequately justified.</w:t>
      </w:r>
      <w:r w:rsidRPr="005C1E8E">
        <w:rPr>
          <w:i/>
          <w:iCs/>
        </w:rPr>
        <w:t xml:space="preserve"> </w:t>
      </w:r>
      <w:r w:rsidRPr="005C1E8E">
        <w:rPr>
          <w:iCs/>
        </w:rPr>
        <w:t xml:space="preserve">In patients who have failed first-line pembrolizumab therapy and receive second-line tepotinib (Incident 6 population), the submission assumed a 100% compliance rate, resulting in 13.57 (=13.35/12x365.25/30) tepotinib packs per treatment course. </w:t>
      </w:r>
      <w:r w:rsidRPr="00F80E0C">
        <w:rPr>
          <w:iCs/>
        </w:rPr>
        <w:t xml:space="preserve">The submission effectively assumed a longer treatment duration of tepotinib in a later-line setting than in a first-line setting. This was not reasonable, given the expected decreasing PFS along the course of </w:t>
      </w:r>
      <w:proofErr w:type="spellStart"/>
      <w:r w:rsidRPr="00F80E0C">
        <w:rPr>
          <w:iCs/>
        </w:rPr>
        <w:t>aNSCLC</w:t>
      </w:r>
      <w:proofErr w:type="spellEnd"/>
      <w:r w:rsidRPr="00F80E0C">
        <w:rPr>
          <w:iCs/>
        </w:rPr>
        <w:t xml:space="preserve"> disease.</w:t>
      </w:r>
      <w:r w:rsidR="006B4F28">
        <w:rPr>
          <w:iCs/>
        </w:rPr>
        <w:t xml:space="preserve"> The PBAC considered it would be appropriate to assume patients treated with tepotinib receive the same number of packs, regardless of the treatment setting. </w:t>
      </w:r>
    </w:p>
    <w:p w:rsidR="005C1E8E" w:rsidRDefault="005C1E8E" w:rsidP="005C1E8E">
      <w:pPr>
        <w:numPr>
          <w:ilvl w:val="4"/>
          <w:numId w:val="1"/>
        </w:numPr>
        <w:rPr>
          <w:iCs/>
        </w:rPr>
      </w:pPr>
      <w:r w:rsidRPr="005C1E8E">
        <w:rPr>
          <w:iCs/>
        </w:rPr>
        <w:t>The submission assumed that, in Year 1 of listing, an additional 50 patients receiving tepotinib via patient access program would be eligible for PBS funded treatment through the Grandfathering listing.</w:t>
      </w:r>
      <w:r w:rsidRPr="005C1E8E">
        <w:rPr>
          <w:i/>
          <w:iCs/>
        </w:rPr>
        <w:t xml:space="preserve"> </w:t>
      </w:r>
      <w:r w:rsidRPr="00F80E0C">
        <w:rPr>
          <w:iCs/>
        </w:rPr>
        <w:t>The basis of this estimate was not provided by the submission.</w:t>
      </w:r>
      <w:r w:rsidRPr="005C1E8E">
        <w:rPr>
          <w:i/>
          <w:iCs/>
        </w:rPr>
        <w:t xml:space="preserve"> </w:t>
      </w:r>
      <w:r w:rsidRPr="005C1E8E">
        <w:rPr>
          <w:iCs/>
        </w:rPr>
        <w:t xml:space="preserve">It was assumed that grandfathered patients would receive 6 months of treatment on average through compassionate program, leaving the remaining 7.35 months of treatment reimbursed via PBS. This resulted in 6.52 packs per patient, by taking into account 87.28% compliance rate of tepotinib therapy. </w:t>
      </w:r>
      <w:r w:rsidRPr="00F80E0C">
        <w:rPr>
          <w:iCs/>
        </w:rPr>
        <w:t>The assumption of a shorter PBS-subsidised treatment in the grandfathered patients than the general initiating incident patients was appropriate.</w:t>
      </w:r>
    </w:p>
    <w:p w:rsidR="005C1E8E" w:rsidRDefault="005C1E8E" w:rsidP="005C1E8E">
      <w:pPr>
        <w:numPr>
          <w:ilvl w:val="4"/>
          <w:numId w:val="1"/>
        </w:numPr>
        <w:rPr>
          <w:iCs/>
        </w:rPr>
      </w:pPr>
      <w:r w:rsidRPr="005C1E8E">
        <w:rPr>
          <w:iCs/>
        </w:rPr>
        <w:t xml:space="preserve">The estimated use and financial implications of </w:t>
      </w:r>
      <w:r w:rsidRPr="00740F3C">
        <w:rPr>
          <w:i/>
          <w:iCs/>
        </w:rPr>
        <w:t>MET</w:t>
      </w:r>
      <w:r w:rsidRPr="005C1E8E">
        <w:rPr>
          <w:iCs/>
        </w:rPr>
        <w:t>ex14sk testing and treatment with tepotinib are summarised below.</w:t>
      </w:r>
    </w:p>
    <w:p w:rsidR="005C1E8E" w:rsidRPr="00B92D96" w:rsidRDefault="00837378" w:rsidP="00F800E1">
      <w:pPr>
        <w:pStyle w:val="Caption"/>
      </w:pPr>
      <w:bookmarkStart w:id="46" w:name="_Ref79424890"/>
      <w:r w:rsidRPr="00837378">
        <w:t xml:space="preserve">Table </w:t>
      </w:r>
      <w:r>
        <w:rPr>
          <w:noProof/>
        </w:rPr>
        <w:t>16</w:t>
      </w:r>
      <w:bookmarkEnd w:id="46"/>
      <w:r w:rsidR="00F800E1">
        <w:rPr>
          <w:noProof/>
        </w:rPr>
        <w:t xml:space="preserve">: </w:t>
      </w:r>
      <w:r w:rsidR="005C1E8E" w:rsidRPr="00B92D96">
        <w:t>Estimated use and financial implications</w:t>
      </w:r>
      <w:r w:rsidR="00BB36A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0"/>
        <w:gridCol w:w="1273"/>
        <w:gridCol w:w="1410"/>
        <w:gridCol w:w="1127"/>
        <w:gridCol w:w="1269"/>
        <w:gridCol w:w="1271"/>
        <w:gridCol w:w="1266"/>
      </w:tblGrid>
      <w:tr w:rsidR="005C1E8E" w:rsidRPr="00B92D96" w:rsidTr="005152C2">
        <w:trPr>
          <w:tblHeader/>
        </w:trPr>
        <w:tc>
          <w:tcPr>
            <w:tcW w:w="776" w:type="pct"/>
            <w:shd w:val="clear" w:color="auto" w:fill="auto"/>
            <w:vAlign w:val="center"/>
          </w:tcPr>
          <w:p w:rsidR="005C1E8E" w:rsidRPr="00B92D96" w:rsidRDefault="005C1E8E" w:rsidP="00F800E1">
            <w:pPr>
              <w:pStyle w:val="TableText"/>
              <w:keepNext/>
              <w:jc w:val="center"/>
              <w:rPr>
                <w:b/>
                <w:szCs w:val="20"/>
              </w:rPr>
            </w:pPr>
          </w:p>
        </w:tc>
        <w:tc>
          <w:tcPr>
            <w:tcW w:w="706" w:type="pct"/>
            <w:shd w:val="clear" w:color="auto" w:fill="auto"/>
            <w:vAlign w:val="center"/>
          </w:tcPr>
          <w:p w:rsidR="005C1E8E" w:rsidRPr="00B92D96" w:rsidRDefault="005C1E8E" w:rsidP="00F800E1">
            <w:pPr>
              <w:pStyle w:val="TableText"/>
              <w:keepNext/>
              <w:jc w:val="center"/>
              <w:rPr>
                <w:b/>
                <w:szCs w:val="20"/>
              </w:rPr>
            </w:pPr>
            <w:r w:rsidRPr="00B92D96">
              <w:rPr>
                <w:b/>
                <w:szCs w:val="20"/>
              </w:rPr>
              <w:t>Year 1</w:t>
            </w:r>
          </w:p>
        </w:tc>
        <w:tc>
          <w:tcPr>
            <w:tcW w:w="782" w:type="pct"/>
            <w:shd w:val="clear" w:color="auto" w:fill="auto"/>
            <w:vAlign w:val="center"/>
          </w:tcPr>
          <w:p w:rsidR="005C1E8E" w:rsidRPr="00B92D96" w:rsidRDefault="005C1E8E" w:rsidP="00F800E1">
            <w:pPr>
              <w:pStyle w:val="TableText"/>
              <w:keepNext/>
              <w:jc w:val="center"/>
              <w:rPr>
                <w:b/>
                <w:szCs w:val="20"/>
              </w:rPr>
            </w:pPr>
            <w:r w:rsidRPr="00B92D96">
              <w:rPr>
                <w:b/>
                <w:szCs w:val="20"/>
              </w:rPr>
              <w:t>Year 2</w:t>
            </w:r>
          </w:p>
        </w:tc>
        <w:tc>
          <w:tcPr>
            <w:tcW w:w="625" w:type="pct"/>
            <w:shd w:val="clear" w:color="auto" w:fill="auto"/>
            <w:vAlign w:val="center"/>
          </w:tcPr>
          <w:p w:rsidR="005C1E8E" w:rsidRPr="00B92D96" w:rsidRDefault="005C1E8E" w:rsidP="00F800E1">
            <w:pPr>
              <w:pStyle w:val="TableText"/>
              <w:keepNext/>
              <w:jc w:val="center"/>
              <w:rPr>
                <w:b/>
                <w:szCs w:val="20"/>
              </w:rPr>
            </w:pPr>
            <w:r w:rsidRPr="00B92D96">
              <w:rPr>
                <w:b/>
                <w:szCs w:val="20"/>
              </w:rPr>
              <w:t>Year 3</w:t>
            </w:r>
          </w:p>
        </w:tc>
        <w:tc>
          <w:tcPr>
            <w:tcW w:w="704" w:type="pct"/>
            <w:shd w:val="clear" w:color="auto" w:fill="auto"/>
            <w:vAlign w:val="center"/>
          </w:tcPr>
          <w:p w:rsidR="005C1E8E" w:rsidRPr="00B92D96" w:rsidRDefault="005C1E8E" w:rsidP="00F800E1">
            <w:pPr>
              <w:pStyle w:val="TableText"/>
              <w:keepNext/>
              <w:jc w:val="center"/>
              <w:rPr>
                <w:b/>
                <w:szCs w:val="20"/>
              </w:rPr>
            </w:pPr>
            <w:r w:rsidRPr="00B92D96">
              <w:rPr>
                <w:b/>
                <w:szCs w:val="20"/>
              </w:rPr>
              <w:t>Year 4</w:t>
            </w:r>
          </w:p>
        </w:tc>
        <w:tc>
          <w:tcPr>
            <w:tcW w:w="705" w:type="pct"/>
            <w:shd w:val="clear" w:color="auto" w:fill="auto"/>
            <w:vAlign w:val="center"/>
          </w:tcPr>
          <w:p w:rsidR="005C1E8E" w:rsidRPr="00B92D96" w:rsidRDefault="005C1E8E" w:rsidP="00F800E1">
            <w:pPr>
              <w:pStyle w:val="TableText"/>
              <w:keepNext/>
              <w:jc w:val="center"/>
              <w:rPr>
                <w:b/>
                <w:szCs w:val="20"/>
              </w:rPr>
            </w:pPr>
            <w:r w:rsidRPr="00B92D96">
              <w:rPr>
                <w:b/>
                <w:szCs w:val="20"/>
              </w:rPr>
              <w:t>Year 5</w:t>
            </w:r>
          </w:p>
        </w:tc>
        <w:tc>
          <w:tcPr>
            <w:tcW w:w="703" w:type="pct"/>
          </w:tcPr>
          <w:p w:rsidR="005C1E8E" w:rsidRPr="00B92D96" w:rsidRDefault="005C1E8E" w:rsidP="00F800E1">
            <w:pPr>
              <w:pStyle w:val="TableText"/>
              <w:keepNext/>
              <w:jc w:val="center"/>
              <w:rPr>
                <w:b/>
                <w:szCs w:val="20"/>
              </w:rPr>
            </w:pPr>
            <w:r w:rsidRPr="00B92D96">
              <w:rPr>
                <w:b/>
                <w:szCs w:val="20"/>
              </w:rPr>
              <w:t>Year 6</w:t>
            </w:r>
          </w:p>
        </w:tc>
      </w:tr>
      <w:tr w:rsidR="005C1E8E" w:rsidRPr="00B92D96" w:rsidTr="005152C2">
        <w:tc>
          <w:tcPr>
            <w:tcW w:w="5000" w:type="pct"/>
            <w:gridSpan w:val="7"/>
            <w:shd w:val="clear" w:color="auto" w:fill="auto"/>
            <w:vAlign w:val="center"/>
          </w:tcPr>
          <w:p w:rsidR="005C1E8E" w:rsidRPr="00B92D96" w:rsidRDefault="005C1E8E" w:rsidP="00F800E1">
            <w:pPr>
              <w:pStyle w:val="TableText"/>
              <w:keepNext/>
              <w:rPr>
                <w:b/>
                <w:szCs w:val="20"/>
              </w:rPr>
            </w:pPr>
            <w:r w:rsidRPr="00B92D96">
              <w:rPr>
                <w:b/>
                <w:szCs w:val="20"/>
              </w:rPr>
              <w:t xml:space="preserve">Estimated extent of use of </w:t>
            </w:r>
            <w:r w:rsidRPr="00B92D96">
              <w:rPr>
                <w:b/>
                <w:i/>
                <w:szCs w:val="20"/>
              </w:rPr>
              <w:t>MET</w:t>
            </w:r>
            <w:r w:rsidRPr="00B92D96">
              <w:rPr>
                <w:b/>
                <w:szCs w:val="20"/>
              </w:rPr>
              <w:t>ex14sk testing</w:t>
            </w:r>
          </w:p>
        </w:tc>
      </w:tr>
      <w:tr w:rsidR="005C1E8E" w:rsidRPr="00B92D96" w:rsidTr="005152C2">
        <w:tc>
          <w:tcPr>
            <w:tcW w:w="776" w:type="pct"/>
            <w:shd w:val="clear" w:color="auto" w:fill="auto"/>
            <w:vAlign w:val="center"/>
          </w:tcPr>
          <w:p w:rsidR="005C1E8E" w:rsidRPr="00B92D96" w:rsidRDefault="005C1E8E" w:rsidP="00F800E1">
            <w:pPr>
              <w:pStyle w:val="TableText"/>
              <w:keepNext/>
              <w:rPr>
                <w:szCs w:val="20"/>
                <w:vertAlign w:val="superscript"/>
              </w:rPr>
            </w:pPr>
            <w:r w:rsidRPr="00B92D96">
              <w:rPr>
                <w:szCs w:val="20"/>
              </w:rPr>
              <w:t xml:space="preserve">Number of patients </w:t>
            </w:r>
            <w:proofErr w:type="spellStart"/>
            <w:r w:rsidRPr="00B92D96">
              <w:rPr>
                <w:szCs w:val="20"/>
              </w:rPr>
              <w:t>tested</w:t>
            </w:r>
            <w:r w:rsidRPr="00B92D96">
              <w:rPr>
                <w:szCs w:val="20"/>
                <w:vertAlign w:val="superscript"/>
              </w:rPr>
              <w:t>a</w:t>
            </w:r>
            <w:proofErr w:type="spellEnd"/>
          </w:p>
        </w:tc>
        <w:tc>
          <w:tcPr>
            <w:tcW w:w="706" w:type="pct"/>
            <w:shd w:val="clear" w:color="auto" w:fill="auto"/>
          </w:tcPr>
          <w:p w:rsidR="005C1E8E" w:rsidRPr="001345B0" w:rsidRDefault="001345B0" w:rsidP="00F800E1">
            <w:pPr>
              <w:pStyle w:val="TableNumber"/>
              <w:keepNext/>
              <w:rPr>
                <w:szCs w:val="20"/>
              </w:rPr>
            </w:pPr>
            <w:r>
              <w:rPr>
                <w:noProof/>
                <w:color w:val="000000"/>
                <w:szCs w:val="20"/>
                <w:highlight w:val="black"/>
              </w:rPr>
              <w:t>''''''''''''</w:t>
            </w:r>
            <w:r w:rsidR="00587BDE">
              <w:rPr>
                <w:vertAlign w:val="superscript"/>
              </w:rPr>
              <w:t>1</w:t>
            </w:r>
          </w:p>
        </w:tc>
        <w:tc>
          <w:tcPr>
            <w:tcW w:w="782" w:type="pct"/>
            <w:shd w:val="clear" w:color="auto" w:fill="auto"/>
          </w:tcPr>
          <w:p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c>
          <w:tcPr>
            <w:tcW w:w="625" w:type="pct"/>
            <w:shd w:val="clear" w:color="auto" w:fill="auto"/>
          </w:tcPr>
          <w:p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c>
          <w:tcPr>
            <w:tcW w:w="704" w:type="pct"/>
            <w:shd w:val="clear" w:color="auto" w:fill="auto"/>
          </w:tcPr>
          <w:p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c>
          <w:tcPr>
            <w:tcW w:w="705" w:type="pct"/>
            <w:shd w:val="clear" w:color="auto" w:fill="auto"/>
          </w:tcPr>
          <w:p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c>
          <w:tcPr>
            <w:tcW w:w="703" w:type="pct"/>
            <w:shd w:val="clear" w:color="auto" w:fill="auto"/>
          </w:tcPr>
          <w:p w:rsidR="005C1E8E" w:rsidRPr="001345B0" w:rsidRDefault="001345B0" w:rsidP="00F800E1">
            <w:pPr>
              <w:pStyle w:val="TableText"/>
              <w:keepNext/>
              <w:tabs>
                <w:tab w:val="decimal" w:pos="396"/>
              </w:tabs>
              <w:jc w:val="center"/>
              <w:rPr>
                <w:szCs w:val="20"/>
              </w:rPr>
            </w:pPr>
            <w:r>
              <w:rPr>
                <w:noProof/>
                <w:color w:val="000000"/>
                <w:szCs w:val="20"/>
                <w:highlight w:val="black"/>
              </w:rPr>
              <w:t>'''''''''''''''</w:t>
            </w:r>
            <w:r w:rsidR="00587BDE">
              <w:rPr>
                <w:vertAlign w:val="superscript"/>
              </w:rPr>
              <w:t>1</w:t>
            </w:r>
          </w:p>
        </w:tc>
      </w:tr>
      <w:tr w:rsidR="005C1E8E" w:rsidRPr="00B92D96" w:rsidTr="005152C2">
        <w:tc>
          <w:tcPr>
            <w:tcW w:w="5000" w:type="pct"/>
            <w:gridSpan w:val="7"/>
            <w:tcBorders>
              <w:bottom w:val="single" w:sz="4" w:space="0" w:color="auto"/>
            </w:tcBorders>
            <w:shd w:val="clear" w:color="auto" w:fill="auto"/>
            <w:vAlign w:val="center"/>
          </w:tcPr>
          <w:p w:rsidR="005C1E8E" w:rsidRPr="00B92D96" w:rsidRDefault="005C1E8E" w:rsidP="00F800E1">
            <w:pPr>
              <w:pStyle w:val="TableText"/>
              <w:keepNext/>
              <w:rPr>
                <w:b/>
                <w:szCs w:val="20"/>
              </w:rPr>
            </w:pPr>
            <w:r w:rsidRPr="00B92D96">
              <w:rPr>
                <w:b/>
                <w:szCs w:val="20"/>
              </w:rPr>
              <w:t>Estimated extent of use of tepotinib</w:t>
            </w:r>
          </w:p>
        </w:tc>
      </w:tr>
      <w:tr w:rsidR="00AF46C2" w:rsidRPr="00B92D96" w:rsidTr="005152C2">
        <w:trPr>
          <w:trHeight w:val="357"/>
        </w:trPr>
        <w:tc>
          <w:tcPr>
            <w:tcW w:w="776" w:type="pct"/>
            <w:tcBorders>
              <w:bottom w:val="nil"/>
            </w:tcBorders>
            <w:shd w:val="clear" w:color="auto" w:fill="auto"/>
            <w:vAlign w:val="center"/>
          </w:tcPr>
          <w:p w:rsidR="00AF46C2" w:rsidRPr="00F13980" w:rsidRDefault="00AF46C2" w:rsidP="00F800E1">
            <w:pPr>
              <w:pStyle w:val="TableText"/>
              <w:keepNext/>
              <w:rPr>
                <w:szCs w:val="20"/>
                <w:vertAlign w:val="superscript"/>
              </w:rPr>
            </w:pPr>
            <w:r w:rsidRPr="00B92D96">
              <w:rPr>
                <w:szCs w:val="20"/>
              </w:rPr>
              <w:t xml:space="preserve">Number of patients likely to be treated with </w:t>
            </w:r>
            <w:proofErr w:type="spellStart"/>
            <w:r w:rsidRPr="00B92D96">
              <w:rPr>
                <w:szCs w:val="20"/>
              </w:rPr>
              <w:t>tepotinib</w:t>
            </w:r>
            <w:r w:rsidRPr="00B92D96">
              <w:rPr>
                <w:i/>
                <w:szCs w:val="20"/>
                <w:vertAlign w:val="superscript"/>
              </w:rPr>
              <w:t>b,c</w:t>
            </w:r>
            <w:proofErr w:type="spellEnd"/>
          </w:p>
        </w:tc>
        <w:tc>
          <w:tcPr>
            <w:tcW w:w="706" w:type="pct"/>
            <w:tcBorders>
              <w:bottom w:val="nil"/>
            </w:tcBorders>
            <w:shd w:val="clear" w:color="auto" w:fill="auto"/>
          </w:tcPr>
          <w:p w:rsidR="00AF46C2" w:rsidRPr="003A642E" w:rsidRDefault="001345B0" w:rsidP="00F800E1">
            <w:pPr>
              <w:pStyle w:val="TableText"/>
              <w:keepNext/>
              <w:jc w:val="center"/>
              <w:rPr>
                <w:bCs/>
                <w:szCs w:val="20"/>
              </w:rPr>
            </w:pPr>
            <w:r>
              <w:rPr>
                <w:bCs/>
                <w:noProof/>
                <w:color w:val="000000"/>
                <w:szCs w:val="20"/>
                <w:highlight w:val="black"/>
              </w:rPr>
              <w:t>'''''''''</w:t>
            </w:r>
            <w:r w:rsidR="00AF46C2" w:rsidRPr="003A642E">
              <w:rPr>
                <w:bCs/>
                <w:szCs w:val="20"/>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782" w:type="pct"/>
            <w:tcBorders>
              <w:bottom w:val="nil"/>
            </w:tcBorders>
            <w:shd w:val="clear" w:color="auto" w:fill="auto"/>
          </w:tcPr>
          <w:p w:rsidR="00AF46C2" w:rsidRPr="003A642E" w:rsidRDefault="001345B0" w:rsidP="00F800E1">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625" w:type="pct"/>
            <w:tcBorders>
              <w:bottom w:val="nil"/>
            </w:tcBorders>
            <w:shd w:val="clear" w:color="auto" w:fill="auto"/>
          </w:tcPr>
          <w:p w:rsidR="00AF46C2" w:rsidRPr="003A642E" w:rsidRDefault="001345B0" w:rsidP="00F800E1">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704" w:type="pct"/>
            <w:tcBorders>
              <w:bottom w:val="nil"/>
            </w:tcBorders>
            <w:shd w:val="clear" w:color="auto" w:fill="auto"/>
          </w:tcPr>
          <w:p w:rsidR="00AF46C2" w:rsidRPr="003A642E" w:rsidRDefault="001345B0" w:rsidP="00F800E1">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705" w:type="pct"/>
            <w:tcBorders>
              <w:bottom w:val="nil"/>
            </w:tcBorders>
            <w:shd w:val="clear" w:color="auto" w:fill="auto"/>
          </w:tcPr>
          <w:p w:rsidR="00AF46C2" w:rsidRPr="003A642E" w:rsidRDefault="001345B0" w:rsidP="00587BDE">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c>
          <w:tcPr>
            <w:tcW w:w="703" w:type="pct"/>
            <w:tcBorders>
              <w:bottom w:val="nil"/>
            </w:tcBorders>
            <w:shd w:val="clear" w:color="auto" w:fill="auto"/>
          </w:tcPr>
          <w:p w:rsidR="00AF46C2" w:rsidRPr="003A642E" w:rsidRDefault="001345B0" w:rsidP="00F800E1">
            <w:pPr>
              <w:pStyle w:val="TableText"/>
              <w:keepNext/>
              <w:jc w:val="center"/>
              <w:rPr>
                <w:rFonts w:cstheme="minorHAnsi"/>
                <w:bCs/>
                <w:szCs w:val="20"/>
              </w:rPr>
            </w:pPr>
            <w:r>
              <w:rPr>
                <w:bCs/>
                <w:noProof/>
                <w:color w:val="000000"/>
                <w:szCs w:val="20"/>
                <w:highlight w:val="black"/>
              </w:rPr>
              <w:t>'''''''''</w:t>
            </w:r>
            <w:r w:rsidR="00AF46C2" w:rsidRPr="003A642E">
              <w:rPr>
                <w:bCs/>
                <w:szCs w:val="20"/>
                <w:vertAlign w:val="superscript"/>
              </w:rPr>
              <w:t xml:space="preserve"> </w:t>
            </w:r>
            <w:proofErr w:type="spellStart"/>
            <w:r w:rsidR="00AF46C2" w:rsidRPr="003A642E">
              <w:rPr>
                <w:bCs/>
                <w:szCs w:val="20"/>
                <w:vertAlign w:val="superscript"/>
              </w:rPr>
              <w:t>i</w:t>
            </w:r>
            <w:proofErr w:type="spellEnd"/>
            <w:r w:rsidR="00587BDE">
              <w:rPr>
                <w:bCs/>
                <w:szCs w:val="20"/>
                <w:vertAlign w:val="superscript"/>
              </w:rPr>
              <w:t>,</w:t>
            </w:r>
            <w:r w:rsidR="00587BDE">
              <w:rPr>
                <w:vertAlign w:val="superscript"/>
              </w:rPr>
              <w:t xml:space="preserve"> 2</w:t>
            </w:r>
          </w:p>
        </w:tc>
      </w:tr>
      <w:tr w:rsidR="00AF46C2" w:rsidRPr="00B92D96" w:rsidTr="005152C2">
        <w:tc>
          <w:tcPr>
            <w:tcW w:w="776" w:type="pct"/>
            <w:tcBorders>
              <w:top w:val="single" w:sz="4" w:space="0" w:color="auto"/>
              <w:bottom w:val="nil"/>
            </w:tcBorders>
            <w:shd w:val="clear" w:color="auto" w:fill="auto"/>
            <w:vAlign w:val="center"/>
          </w:tcPr>
          <w:p w:rsidR="00AF46C2" w:rsidRPr="00B92D96" w:rsidRDefault="00AF46C2" w:rsidP="00F800E1">
            <w:pPr>
              <w:pStyle w:val="TableText"/>
              <w:keepNext/>
              <w:rPr>
                <w:rFonts w:eastAsia="Times New Roman" w:cs="Times New Roman"/>
                <w:szCs w:val="20"/>
              </w:rPr>
            </w:pPr>
            <w:r w:rsidRPr="00B92D96">
              <w:rPr>
                <w:szCs w:val="20"/>
              </w:rPr>
              <w:t xml:space="preserve">Number of scripts </w:t>
            </w:r>
            <w:proofErr w:type="spellStart"/>
            <w:r w:rsidRPr="00B92D96">
              <w:rPr>
                <w:szCs w:val="20"/>
              </w:rPr>
              <w:t>dispensed</w:t>
            </w:r>
            <w:r w:rsidRPr="00B92D96">
              <w:rPr>
                <w:szCs w:val="20"/>
                <w:vertAlign w:val="superscript"/>
              </w:rPr>
              <w:t>b,c,</w:t>
            </w:r>
            <w:r>
              <w:rPr>
                <w:szCs w:val="20"/>
                <w:vertAlign w:val="superscript"/>
              </w:rPr>
              <w:t>d,</w:t>
            </w:r>
            <w:r w:rsidRPr="00B92D96">
              <w:rPr>
                <w:szCs w:val="20"/>
                <w:vertAlign w:val="superscript"/>
              </w:rPr>
              <w:t>e</w:t>
            </w:r>
            <w:proofErr w:type="spellEnd"/>
          </w:p>
        </w:tc>
        <w:tc>
          <w:tcPr>
            <w:tcW w:w="706" w:type="pct"/>
            <w:tcBorders>
              <w:bottom w:val="nil"/>
            </w:tcBorders>
            <w:shd w:val="clear" w:color="auto" w:fill="auto"/>
          </w:tcPr>
          <w:p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c>
          <w:tcPr>
            <w:tcW w:w="782" w:type="pct"/>
            <w:tcBorders>
              <w:bottom w:val="nil"/>
            </w:tcBorders>
            <w:shd w:val="clear" w:color="auto" w:fill="auto"/>
          </w:tcPr>
          <w:p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c>
          <w:tcPr>
            <w:tcW w:w="625" w:type="pct"/>
            <w:tcBorders>
              <w:bottom w:val="nil"/>
            </w:tcBorders>
            <w:shd w:val="clear" w:color="auto" w:fill="auto"/>
          </w:tcPr>
          <w:p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c>
          <w:tcPr>
            <w:tcW w:w="704" w:type="pct"/>
            <w:tcBorders>
              <w:bottom w:val="nil"/>
            </w:tcBorders>
            <w:shd w:val="clear" w:color="auto" w:fill="auto"/>
          </w:tcPr>
          <w:p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c>
          <w:tcPr>
            <w:tcW w:w="705" w:type="pct"/>
            <w:tcBorders>
              <w:bottom w:val="nil"/>
            </w:tcBorders>
            <w:shd w:val="clear" w:color="auto" w:fill="auto"/>
          </w:tcPr>
          <w:p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p>
        </w:tc>
        <w:tc>
          <w:tcPr>
            <w:tcW w:w="703" w:type="pct"/>
            <w:tcBorders>
              <w:bottom w:val="nil"/>
            </w:tcBorders>
            <w:shd w:val="clear" w:color="auto" w:fill="auto"/>
          </w:tcPr>
          <w:p w:rsidR="00AF46C2" w:rsidRPr="001345B0" w:rsidRDefault="001345B0" w:rsidP="00F800E1">
            <w:pPr>
              <w:pStyle w:val="TableText"/>
              <w:keepNext/>
              <w:jc w:val="center"/>
              <w:rPr>
                <w:szCs w:val="20"/>
              </w:rPr>
            </w:pPr>
            <w:r>
              <w:rPr>
                <w:bCs/>
                <w:noProof/>
                <w:color w:val="000000"/>
                <w:szCs w:val="20"/>
                <w:highlight w:val="black"/>
              </w:rPr>
              <w:t>'''''''''''''</w:t>
            </w:r>
            <w:r w:rsidR="00587BDE">
              <w:rPr>
                <w:vertAlign w:val="superscript"/>
              </w:rPr>
              <w:t>3</w:t>
            </w:r>
            <w:r>
              <w:rPr>
                <w:bCs/>
                <w:noProof/>
                <w:color w:val="000000"/>
                <w:szCs w:val="20"/>
                <w:highlight w:val="black"/>
              </w:rPr>
              <w:t xml:space="preserve"> </w:t>
            </w:r>
          </w:p>
        </w:tc>
      </w:tr>
      <w:tr w:rsidR="00AF46C2" w:rsidRPr="00B92D96" w:rsidTr="005152C2">
        <w:tc>
          <w:tcPr>
            <w:tcW w:w="5000" w:type="pct"/>
            <w:gridSpan w:val="7"/>
            <w:shd w:val="clear" w:color="auto" w:fill="auto"/>
            <w:vAlign w:val="center"/>
          </w:tcPr>
          <w:p w:rsidR="00AF46C2" w:rsidRPr="00B92D96" w:rsidRDefault="00AF46C2" w:rsidP="00F800E1">
            <w:pPr>
              <w:pStyle w:val="TableText"/>
              <w:keepNext/>
              <w:rPr>
                <w:b/>
                <w:bCs/>
                <w:color w:val="000000"/>
                <w:szCs w:val="20"/>
              </w:rPr>
            </w:pPr>
            <w:r w:rsidRPr="00B92D96">
              <w:rPr>
                <w:b/>
                <w:szCs w:val="20"/>
              </w:rPr>
              <w:t xml:space="preserve">Estimated financial implications of the </w:t>
            </w:r>
            <w:r w:rsidRPr="00B92D96">
              <w:rPr>
                <w:b/>
                <w:i/>
                <w:szCs w:val="20"/>
              </w:rPr>
              <w:t>MET</w:t>
            </w:r>
            <w:r w:rsidRPr="00B92D96">
              <w:rPr>
                <w:b/>
                <w:szCs w:val="20"/>
              </w:rPr>
              <w:t>ex14sk testing to the MBS</w:t>
            </w:r>
          </w:p>
        </w:tc>
      </w:tr>
      <w:tr w:rsidR="00AF46C2" w:rsidRPr="00B92D96" w:rsidTr="005152C2">
        <w:tc>
          <w:tcPr>
            <w:tcW w:w="776" w:type="pct"/>
            <w:shd w:val="clear" w:color="auto" w:fill="auto"/>
            <w:vAlign w:val="center"/>
          </w:tcPr>
          <w:p w:rsidR="00AF46C2" w:rsidRPr="00B92D96" w:rsidRDefault="00AF46C2" w:rsidP="00F800E1">
            <w:pPr>
              <w:pStyle w:val="TableText"/>
              <w:keepNext/>
              <w:rPr>
                <w:szCs w:val="20"/>
              </w:rPr>
            </w:pPr>
            <w:r w:rsidRPr="00B92D96">
              <w:rPr>
                <w:szCs w:val="20"/>
              </w:rPr>
              <w:t xml:space="preserve">Cost to the MBS </w:t>
            </w:r>
          </w:p>
        </w:tc>
        <w:tc>
          <w:tcPr>
            <w:tcW w:w="706" w:type="pct"/>
            <w:shd w:val="clear" w:color="auto" w:fill="auto"/>
            <w:vAlign w:val="center"/>
          </w:tcPr>
          <w:p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782" w:type="pct"/>
            <w:shd w:val="clear" w:color="auto" w:fill="auto"/>
            <w:vAlign w:val="center"/>
          </w:tcPr>
          <w:p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625" w:type="pct"/>
            <w:shd w:val="clear" w:color="auto" w:fill="auto"/>
            <w:vAlign w:val="center"/>
          </w:tcPr>
          <w:p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704" w:type="pct"/>
            <w:shd w:val="clear" w:color="auto" w:fill="auto"/>
            <w:vAlign w:val="center"/>
          </w:tcPr>
          <w:p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705" w:type="pct"/>
            <w:shd w:val="clear" w:color="auto" w:fill="auto"/>
            <w:vAlign w:val="center"/>
          </w:tcPr>
          <w:p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c>
          <w:tcPr>
            <w:tcW w:w="703" w:type="pct"/>
            <w:shd w:val="clear" w:color="auto" w:fill="auto"/>
            <w:vAlign w:val="center"/>
          </w:tcPr>
          <w:p w:rsidR="00AF46C2" w:rsidRPr="001345B0" w:rsidRDefault="001345B0" w:rsidP="00F800E1">
            <w:pPr>
              <w:pStyle w:val="TableText"/>
              <w:keepNext/>
              <w:jc w:val="center"/>
              <w:rPr>
                <w:szCs w:val="20"/>
              </w:rPr>
            </w:pPr>
            <w:r>
              <w:rPr>
                <w:noProof/>
                <w:color w:val="000000"/>
                <w:highlight w:val="black"/>
              </w:rPr>
              <w:t>''''''''''''''''''''''''''</w:t>
            </w:r>
            <w:r w:rsidR="006B675E">
              <w:rPr>
                <w:vertAlign w:val="superscript"/>
              </w:rPr>
              <w:t>4</w:t>
            </w:r>
          </w:p>
        </w:tc>
      </w:tr>
      <w:tr w:rsidR="00AF46C2" w:rsidRPr="00B92D96" w:rsidTr="005152C2">
        <w:tc>
          <w:tcPr>
            <w:tcW w:w="5000" w:type="pct"/>
            <w:gridSpan w:val="7"/>
            <w:tcBorders>
              <w:bottom w:val="single" w:sz="4" w:space="0" w:color="auto"/>
            </w:tcBorders>
            <w:shd w:val="clear" w:color="auto" w:fill="auto"/>
            <w:vAlign w:val="center"/>
          </w:tcPr>
          <w:p w:rsidR="00AF46C2" w:rsidRPr="00B92D96" w:rsidRDefault="00AF46C2" w:rsidP="00F800E1">
            <w:pPr>
              <w:pStyle w:val="TableText"/>
              <w:keepNext/>
              <w:rPr>
                <w:b/>
                <w:szCs w:val="20"/>
              </w:rPr>
            </w:pPr>
            <w:r w:rsidRPr="00B92D96">
              <w:rPr>
                <w:b/>
                <w:szCs w:val="20"/>
              </w:rPr>
              <w:t>Estimated financial implications of tepotinib to the PBS/RPBS</w:t>
            </w:r>
          </w:p>
        </w:tc>
      </w:tr>
      <w:tr w:rsidR="00AF46C2" w:rsidRPr="00B92D96" w:rsidTr="005152C2">
        <w:tc>
          <w:tcPr>
            <w:tcW w:w="776" w:type="pct"/>
            <w:tcBorders>
              <w:bottom w:val="nil"/>
            </w:tcBorders>
            <w:shd w:val="clear" w:color="auto" w:fill="auto"/>
            <w:vAlign w:val="center"/>
          </w:tcPr>
          <w:p w:rsidR="00AF46C2" w:rsidRPr="00B92D96" w:rsidRDefault="00AF46C2" w:rsidP="00F800E1">
            <w:pPr>
              <w:pStyle w:val="TableText"/>
              <w:keepNext/>
              <w:rPr>
                <w:szCs w:val="20"/>
              </w:rPr>
            </w:pPr>
            <w:r w:rsidRPr="00B92D96">
              <w:rPr>
                <w:szCs w:val="20"/>
              </w:rPr>
              <w:t xml:space="preserve">Cost to PBS/RPBS less </w:t>
            </w:r>
            <w:proofErr w:type="spellStart"/>
            <w:r w:rsidRPr="00B92D96">
              <w:rPr>
                <w:szCs w:val="20"/>
              </w:rPr>
              <w:t>copayments</w:t>
            </w:r>
            <w:r w:rsidRPr="00B92D96">
              <w:rPr>
                <w:i/>
                <w:szCs w:val="20"/>
                <w:vertAlign w:val="superscript"/>
              </w:rPr>
              <w:t>b,c,e,f</w:t>
            </w:r>
            <w:proofErr w:type="spellEnd"/>
          </w:p>
        </w:tc>
        <w:tc>
          <w:tcPr>
            <w:tcW w:w="706" w:type="pct"/>
            <w:tcBorders>
              <w:bottom w:val="nil"/>
            </w:tcBorders>
            <w:shd w:val="clear" w:color="auto" w:fill="auto"/>
          </w:tcPr>
          <w:p w:rsidR="00AF46C2" w:rsidRPr="001345B0" w:rsidRDefault="001345B0" w:rsidP="00F800E1">
            <w:pPr>
              <w:pStyle w:val="TableText"/>
              <w:keepNext/>
              <w:jc w:val="center"/>
              <w:rPr>
                <w:szCs w:val="20"/>
              </w:rPr>
            </w:pPr>
            <w:r>
              <w:rPr>
                <w:noProof/>
                <w:color w:val="000000"/>
                <w:highlight w:val="black"/>
              </w:rPr>
              <w:t>''''''''''''''''''''''''''''</w:t>
            </w:r>
            <w:r w:rsidR="006B675E">
              <w:rPr>
                <w:vertAlign w:val="superscript"/>
              </w:rPr>
              <w:t>5</w:t>
            </w:r>
          </w:p>
        </w:tc>
        <w:tc>
          <w:tcPr>
            <w:tcW w:w="782" w:type="pct"/>
            <w:tcBorders>
              <w:bottom w:val="nil"/>
            </w:tcBorders>
            <w:shd w:val="clear" w:color="auto" w:fill="auto"/>
          </w:tcPr>
          <w:p w:rsidR="00AF46C2" w:rsidRPr="001345B0" w:rsidRDefault="001345B0" w:rsidP="00F800E1">
            <w:pPr>
              <w:pStyle w:val="TableText"/>
              <w:keepNext/>
              <w:jc w:val="center"/>
              <w:rPr>
                <w:szCs w:val="20"/>
              </w:rPr>
            </w:pPr>
            <w:r>
              <w:rPr>
                <w:noProof/>
                <w:color w:val="000000"/>
                <w:highlight w:val="black"/>
              </w:rPr>
              <w:t>''''''''''''''''''''''''''''</w:t>
            </w:r>
            <w:r w:rsidR="00154B52">
              <w:rPr>
                <w:vertAlign w:val="superscript"/>
              </w:rPr>
              <w:t>6</w:t>
            </w:r>
          </w:p>
        </w:tc>
        <w:tc>
          <w:tcPr>
            <w:tcW w:w="625" w:type="pct"/>
            <w:tcBorders>
              <w:bottom w:val="nil"/>
            </w:tcBorders>
            <w:shd w:val="clear" w:color="auto" w:fill="auto"/>
          </w:tcPr>
          <w:p w:rsidR="00AF46C2" w:rsidRPr="001345B0" w:rsidRDefault="001345B0" w:rsidP="00F800E1">
            <w:pPr>
              <w:pStyle w:val="TableText"/>
              <w:keepNext/>
              <w:jc w:val="center"/>
              <w:rPr>
                <w:szCs w:val="20"/>
              </w:rPr>
            </w:pPr>
            <w:r>
              <w:rPr>
                <w:noProof/>
                <w:color w:val="000000"/>
                <w:highlight w:val="black"/>
              </w:rPr>
              <w:t>'''''''''''''''''''''''''''</w:t>
            </w:r>
            <w:r w:rsidR="00154B52">
              <w:rPr>
                <w:vertAlign w:val="superscript"/>
              </w:rPr>
              <w:t>6</w:t>
            </w:r>
          </w:p>
        </w:tc>
        <w:tc>
          <w:tcPr>
            <w:tcW w:w="704" w:type="pct"/>
            <w:tcBorders>
              <w:bottom w:val="nil"/>
            </w:tcBorders>
            <w:shd w:val="clear" w:color="auto" w:fill="auto"/>
          </w:tcPr>
          <w:p w:rsidR="00AF46C2" w:rsidRPr="001345B0" w:rsidRDefault="001345B0" w:rsidP="00F800E1">
            <w:pPr>
              <w:pStyle w:val="TableText"/>
              <w:keepNext/>
              <w:jc w:val="center"/>
              <w:rPr>
                <w:szCs w:val="20"/>
              </w:rPr>
            </w:pPr>
            <w:r>
              <w:rPr>
                <w:noProof/>
                <w:color w:val="000000"/>
                <w:highlight w:val="black"/>
              </w:rPr>
              <w:t>'''''''''''''''''''''''''''</w:t>
            </w:r>
            <w:r w:rsidR="006B675E">
              <w:rPr>
                <w:vertAlign w:val="superscript"/>
              </w:rPr>
              <w:t>5</w:t>
            </w:r>
          </w:p>
        </w:tc>
        <w:tc>
          <w:tcPr>
            <w:tcW w:w="705" w:type="pct"/>
            <w:tcBorders>
              <w:bottom w:val="nil"/>
            </w:tcBorders>
            <w:shd w:val="clear" w:color="auto" w:fill="auto"/>
          </w:tcPr>
          <w:p w:rsidR="00AF46C2" w:rsidRPr="001345B0" w:rsidRDefault="001345B0" w:rsidP="00F800E1">
            <w:pPr>
              <w:pStyle w:val="TableText"/>
              <w:keepNext/>
              <w:jc w:val="center"/>
              <w:rPr>
                <w:szCs w:val="20"/>
              </w:rPr>
            </w:pPr>
            <w:r>
              <w:rPr>
                <w:noProof/>
                <w:color w:val="000000"/>
                <w:highlight w:val="black"/>
              </w:rPr>
              <w:t>'''''''''''''''''''''''''''</w:t>
            </w:r>
            <w:r w:rsidR="00154B52">
              <w:rPr>
                <w:vertAlign w:val="superscript"/>
              </w:rPr>
              <w:t>6</w:t>
            </w:r>
          </w:p>
        </w:tc>
        <w:tc>
          <w:tcPr>
            <w:tcW w:w="703" w:type="pct"/>
            <w:tcBorders>
              <w:bottom w:val="nil"/>
            </w:tcBorders>
            <w:shd w:val="clear" w:color="auto" w:fill="auto"/>
          </w:tcPr>
          <w:p w:rsidR="00AF46C2" w:rsidRPr="001345B0" w:rsidRDefault="001345B0" w:rsidP="00F800E1">
            <w:pPr>
              <w:pStyle w:val="TableText"/>
              <w:keepNext/>
              <w:jc w:val="center"/>
              <w:rPr>
                <w:szCs w:val="20"/>
              </w:rPr>
            </w:pPr>
            <w:r>
              <w:rPr>
                <w:noProof/>
                <w:color w:val="000000"/>
                <w:highlight w:val="black"/>
              </w:rPr>
              <w:t>'''''''''''''''''''''''''''</w:t>
            </w:r>
            <w:r w:rsidR="00154B52">
              <w:rPr>
                <w:vertAlign w:val="superscript"/>
              </w:rPr>
              <w:t>6</w:t>
            </w:r>
          </w:p>
        </w:tc>
      </w:tr>
      <w:tr w:rsidR="00AF46C2" w:rsidRPr="00B92D96" w:rsidTr="005152C2">
        <w:tc>
          <w:tcPr>
            <w:tcW w:w="5000" w:type="pct"/>
            <w:gridSpan w:val="7"/>
            <w:tcBorders>
              <w:bottom w:val="single" w:sz="4" w:space="0" w:color="auto"/>
            </w:tcBorders>
            <w:shd w:val="clear" w:color="auto" w:fill="auto"/>
            <w:vAlign w:val="center"/>
          </w:tcPr>
          <w:p w:rsidR="00AF46C2" w:rsidRPr="00B92D96" w:rsidRDefault="00AF46C2" w:rsidP="00AF46C2">
            <w:pPr>
              <w:pStyle w:val="TableText"/>
              <w:rPr>
                <w:b/>
                <w:szCs w:val="20"/>
              </w:rPr>
            </w:pPr>
            <w:r w:rsidRPr="00B92D96">
              <w:rPr>
                <w:b/>
                <w:szCs w:val="20"/>
              </w:rPr>
              <w:t>Estimated financial implications for pembrolizumab ± chemotherapy</w:t>
            </w:r>
            <w:r w:rsidR="00BB36AE">
              <w:rPr>
                <w:b/>
                <w:szCs w:val="20"/>
              </w:rPr>
              <w:t xml:space="preserve"> (based on published price of pembrolizumab)</w:t>
            </w:r>
          </w:p>
        </w:tc>
      </w:tr>
      <w:tr w:rsidR="005152C2" w:rsidRPr="00B92D96" w:rsidTr="005152C2">
        <w:tc>
          <w:tcPr>
            <w:tcW w:w="776" w:type="pct"/>
            <w:tcBorders>
              <w:bottom w:val="single" w:sz="4" w:space="0" w:color="auto"/>
            </w:tcBorders>
            <w:shd w:val="clear" w:color="auto" w:fill="auto"/>
            <w:vAlign w:val="center"/>
          </w:tcPr>
          <w:p w:rsidR="00AF46C2" w:rsidRPr="00B92D96" w:rsidRDefault="00AF46C2" w:rsidP="00AF46C2">
            <w:pPr>
              <w:pStyle w:val="TableText"/>
              <w:rPr>
                <w:szCs w:val="20"/>
              </w:rPr>
            </w:pPr>
            <w:r w:rsidRPr="00B92D96">
              <w:rPr>
                <w:szCs w:val="20"/>
              </w:rPr>
              <w:t xml:space="preserve">Cost to PBS/RPBS less </w:t>
            </w:r>
            <w:proofErr w:type="spellStart"/>
            <w:r w:rsidRPr="00B92D96">
              <w:rPr>
                <w:szCs w:val="20"/>
              </w:rPr>
              <w:t>copayments</w:t>
            </w:r>
            <w:r w:rsidRPr="00B92D96">
              <w:rPr>
                <w:i/>
                <w:szCs w:val="20"/>
                <w:vertAlign w:val="superscript"/>
              </w:rPr>
              <w:t>b,c,e,g</w:t>
            </w:r>
            <w:proofErr w:type="spellEnd"/>
          </w:p>
        </w:tc>
        <w:tc>
          <w:tcPr>
            <w:tcW w:w="706" w:type="pct"/>
            <w:tcBorders>
              <w:bottom w:val="single" w:sz="4" w:space="0" w:color="auto"/>
            </w:tcBorders>
            <w:shd w:val="clear" w:color="auto" w:fill="FFFFFF" w:themeFill="background1"/>
          </w:tcPr>
          <w:p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7</w:t>
            </w:r>
          </w:p>
        </w:tc>
        <w:tc>
          <w:tcPr>
            <w:tcW w:w="782" w:type="pct"/>
            <w:tcBorders>
              <w:bottom w:val="single" w:sz="4" w:space="0" w:color="auto"/>
            </w:tcBorders>
            <w:shd w:val="clear" w:color="auto" w:fill="FFFFFF" w:themeFill="background1"/>
          </w:tcPr>
          <w:p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7</w:t>
            </w:r>
          </w:p>
        </w:tc>
        <w:tc>
          <w:tcPr>
            <w:tcW w:w="625" w:type="pct"/>
            <w:tcBorders>
              <w:bottom w:val="single" w:sz="4" w:space="0" w:color="auto"/>
            </w:tcBorders>
            <w:shd w:val="clear" w:color="auto" w:fill="FFFFFF" w:themeFill="background1"/>
          </w:tcPr>
          <w:p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8</w:t>
            </w:r>
          </w:p>
        </w:tc>
        <w:tc>
          <w:tcPr>
            <w:tcW w:w="704" w:type="pct"/>
            <w:tcBorders>
              <w:bottom w:val="single" w:sz="4" w:space="0" w:color="auto"/>
            </w:tcBorders>
            <w:shd w:val="clear" w:color="auto" w:fill="FFFFFF" w:themeFill="background1"/>
          </w:tcPr>
          <w:p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8</w:t>
            </w:r>
          </w:p>
        </w:tc>
        <w:tc>
          <w:tcPr>
            <w:tcW w:w="705" w:type="pct"/>
            <w:tcBorders>
              <w:bottom w:val="single" w:sz="4" w:space="0" w:color="auto"/>
            </w:tcBorders>
            <w:shd w:val="clear" w:color="auto" w:fill="FFFFFF" w:themeFill="background1"/>
          </w:tcPr>
          <w:p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8</w:t>
            </w:r>
          </w:p>
        </w:tc>
        <w:tc>
          <w:tcPr>
            <w:tcW w:w="703" w:type="pct"/>
            <w:tcBorders>
              <w:bottom w:val="single" w:sz="4" w:space="0" w:color="auto"/>
            </w:tcBorders>
            <w:shd w:val="clear" w:color="auto" w:fill="FFFFFF" w:themeFill="background1"/>
          </w:tcPr>
          <w:p w:rsidR="00AF46C2" w:rsidRPr="003A642E" w:rsidRDefault="00AF46C2" w:rsidP="00AF46C2">
            <w:pPr>
              <w:pStyle w:val="TableText"/>
              <w:jc w:val="center"/>
              <w:rPr>
                <w:szCs w:val="20"/>
              </w:rPr>
            </w:pPr>
            <w:r w:rsidRPr="003A642E">
              <w:t>-</w:t>
            </w:r>
            <w:r w:rsidR="001345B0">
              <w:rPr>
                <w:noProof/>
                <w:color w:val="000000"/>
                <w:highlight w:val="black"/>
              </w:rPr>
              <w:t>'''''''''''''''''''''''''''''</w:t>
            </w:r>
            <w:r w:rsidR="00154B52">
              <w:rPr>
                <w:vertAlign w:val="superscript"/>
              </w:rPr>
              <w:t>8</w:t>
            </w:r>
          </w:p>
        </w:tc>
      </w:tr>
      <w:tr w:rsidR="00AF46C2" w:rsidRPr="003A642E" w:rsidTr="005152C2">
        <w:tc>
          <w:tcPr>
            <w:tcW w:w="5000" w:type="pct"/>
            <w:gridSpan w:val="7"/>
            <w:tcBorders>
              <w:top w:val="single" w:sz="4" w:space="0" w:color="auto"/>
              <w:bottom w:val="single" w:sz="4" w:space="0" w:color="auto"/>
            </w:tcBorders>
            <w:shd w:val="clear" w:color="auto" w:fill="auto"/>
            <w:vAlign w:val="center"/>
          </w:tcPr>
          <w:p w:rsidR="00AF46C2" w:rsidRPr="003A642E" w:rsidRDefault="00AF46C2" w:rsidP="00AF46C2">
            <w:pPr>
              <w:pStyle w:val="TableText"/>
              <w:rPr>
                <w:b/>
                <w:szCs w:val="20"/>
              </w:rPr>
            </w:pPr>
            <w:r w:rsidRPr="003A642E">
              <w:rPr>
                <w:b/>
                <w:szCs w:val="20"/>
              </w:rPr>
              <w:t>Estimated financial implications to the MBS relating to drug administration</w:t>
            </w:r>
          </w:p>
        </w:tc>
      </w:tr>
      <w:tr w:rsidR="005152C2" w:rsidRPr="00B92D96" w:rsidTr="005152C2">
        <w:tc>
          <w:tcPr>
            <w:tcW w:w="776" w:type="pct"/>
            <w:tcBorders>
              <w:top w:val="single" w:sz="4" w:space="0" w:color="auto"/>
              <w:bottom w:val="nil"/>
            </w:tcBorders>
            <w:shd w:val="clear" w:color="auto" w:fill="auto"/>
            <w:vAlign w:val="center"/>
          </w:tcPr>
          <w:p w:rsidR="00AF46C2" w:rsidRPr="00B92D96" w:rsidRDefault="00AF46C2" w:rsidP="000A752A">
            <w:pPr>
              <w:pStyle w:val="TableText"/>
              <w:rPr>
                <w:i/>
                <w:szCs w:val="20"/>
              </w:rPr>
            </w:pPr>
            <w:r w:rsidRPr="00B92D96">
              <w:rPr>
                <w:szCs w:val="20"/>
              </w:rPr>
              <w:t xml:space="preserve">Cost to the </w:t>
            </w:r>
            <w:proofErr w:type="spellStart"/>
            <w:r w:rsidRPr="00B92D96">
              <w:rPr>
                <w:szCs w:val="20"/>
              </w:rPr>
              <w:t>MBS</w:t>
            </w:r>
            <w:r w:rsidRPr="00B92D96">
              <w:rPr>
                <w:i/>
                <w:szCs w:val="20"/>
                <w:vertAlign w:val="superscript"/>
              </w:rPr>
              <w:t>,c,e,h</w:t>
            </w:r>
            <w:proofErr w:type="spellEnd"/>
          </w:p>
        </w:tc>
        <w:tc>
          <w:tcPr>
            <w:tcW w:w="706" w:type="pct"/>
            <w:tcBorders>
              <w:top w:val="single" w:sz="4" w:space="0" w:color="auto"/>
              <w:bottom w:val="nil"/>
            </w:tcBorders>
            <w:shd w:val="clear" w:color="auto" w:fill="FFFFFF" w:themeFill="background1"/>
          </w:tcPr>
          <w:p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782" w:type="pct"/>
            <w:tcBorders>
              <w:top w:val="single" w:sz="4" w:space="0" w:color="auto"/>
              <w:bottom w:val="nil"/>
            </w:tcBorders>
            <w:shd w:val="clear" w:color="auto" w:fill="FFFFFF" w:themeFill="background1"/>
          </w:tcPr>
          <w:p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625" w:type="pct"/>
            <w:tcBorders>
              <w:top w:val="single" w:sz="4" w:space="0" w:color="auto"/>
              <w:bottom w:val="nil"/>
            </w:tcBorders>
            <w:shd w:val="clear" w:color="auto" w:fill="FFFFFF" w:themeFill="background1"/>
          </w:tcPr>
          <w:p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704" w:type="pct"/>
            <w:tcBorders>
              <w:top w:val="single" w:sz="4" w:space="0" w:color="auto"/>
              <w:bottom w:val="nil"/>
            </w:tcBorders>
            <w:shd w:val="clear" w:color="auto" w:fill="FFFFFF" w:themeFill="background1"/>
          </w:tcPr>
          <w:p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705" w:type="pct"/>
            <w:tcBorders>
              <w:top w:val="single" w:sz="4" w:space="0" w:color="auto"/>
              <w:bottom w:val="nil"/>
            </w:tcBorders>
            <w:shd w:val="clear" w:color="auto" w:fill="FFFFFF" w:themeFill="background1"/>
          </w:tcPr>
          <w:p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c>
          <w:tcPr>
            <w:tcW w:w="703" w:type="pct"/>
            <w:tcBorders>
              <w:top w:val="single" w:sz="4" w:space="0" w:color="auto"/>
              <w:bottom w:val="nil"/>
            </w:tcBorders>
            <w:shd w:val="clear" w:color="auto" w:fill="FFFFFF" w:themeFill="background1"/>
          </w:tcPr>
          <w:p w:rsidR="00AF46C2" w:rsidRPr="003A642E" w:rsidRDefault="00AF46C2" w:rsidP="00AF46C2">
            <w:pPr>
              <w:pStyle w:val="TableText"/>
              <w:jc w:val="center"/>
            </w:pPr>
            <w:r w:rsidRPr="003A642E">
              <w:t>-</w:t>
            </w:r>
            <w:r w:rsidR="001345B0">
              <w:rPr>
                <w:noProof/>
                <w:color w:val="000000"/>
                <w:highlight w:val="black"/>
              </w:rPr>
              <w:t>'''''''''''''''''''''''</w:t>
            </w:r>
            <w:r w:rsidR="00154B52">
              <w:rPr>
                <w:vertAlign w:val="superscript"/>
              </w:rPr>
              <w:t>4</w:t>
            </w:r>
          </w:p>
        </w:tc>
      </w:tr>
      <w:tr w:rsidR="00AF46C2" w:rsidRPr="00B92D96" w:rsidTr="005152C2">
        <w:tc>
          <w:tcPr>
            <w:tcW w:w="5000" w:type="pct"/>
            <w:gridSpan w:val="7"/>
            <w:tcBorders>
              <w:bottom w:val="single" w:sz="4" w:space="0" w:color="auto"/>
            </w:tcBorders>
            <w:shd w:val="clear" w:color="auto" w:fill="auto"/>
            <w:vAlign w:val="center"/>
          </w:tcPr>
          <w:p w:rsidR="00AF46C2" w:rsidRPr="00B92D96" w:rsidRDefault="00AF46C2" w:rsidP="00AF46C2">
            <w:pPr>
              <w:pStyle w:val="TableText"/>
              <w:rPr>
                <w:b/>
                <w:szCs w:val="20"/>
              </w:rPr>
            </w:pPr>
            <w:r w:rsidRPr="00B92D96">
              <w:rPr>
                <w:b/>
                <w:szCs w:val="20"/>
              </w:rPr>
              <w:t>Net financial implications</w:t>
            </w:r>
            <w:r w:rsidRPr="00B92D96">
              <w:rPr>
                <w:b/>
                <w:color w:val="4472C4" w:themeColor="accent5"/>
                <w:szCs w:val="20"/>
              </w:rPr>
              <w:t xml:space="preserve"> </w:t>
            </w:r>
          </w:p>
        </w:tc>
      </w:tr>
      <w:tr w:rsidR="00AF46C2" w:rsidRPr="00B92D96" w:rsidTr="005152C2">
        <w:tc>
          <w:tcPr>
            <w:tcW w:w="776" w:type="pct"/>
            <w:tcBorders>
              <w:bottom w:val="nil"/>
            </w:tcBorders>
            <w:shd w:val="clear" w:color="auto" w:fill="auto"/>
            <w:vAlign w:val="center"/>
          </w:tcPr>
          <w:p w:rsidR="00AF46C2" w:rsidRPr="00B92D96" w:rsidRDefault="00AF46C2" w:rsidP="00AF46C2">
            <w:pPr>
              <w:pStyle w:val="TableText"/>
              <w:rPr>
                <w:szCs w:val="20"/>
              </w:rPr>
            </w:pPr>
            <w:r w:rsidRPr="00B92D96">
              <w:rPr>
                <w:szCs w:val="20"/>
              </w:rPr>
              <w:t>Net cost to PBS/RPBS</w:t>
            </w:r>
            <w:r w:rsidRPr="00B92D96">
              <w:rPr>
                <w:i/>
                <w:szCs w:val="20"/>
                <w:vertAlign w:val="superscript"/>
              </w:rPr>
              <w:t xml:space="preserve"> </w:t>
            </w:r>
            <w:proofErr w:type="spellStart"/>
            <w:r w:rsidRPr="00B92D96">
              <w:rPr>
                <w:i/>
                <w:szCs w:val="20"/>
                <w:vertAlign w:val="superscript"/>
              </w:rPr>
              <w:t>b,c,e,f,g</w:t>
            </w:r>
            <w:proofErr w:type="spellEnd"/>
          </w:p>
        </w:tc>
        <w:tc>
          <w:tcPr>
            <w:tcW w:w="706" w:type="pct"/>
            <w:tcBorders>
              <w:bottom w:val="nil"/>
            </w:tcBorders>
          </w:tcPr>
          <w:p w:rsidR="00AF46C2" w:rsidRPr="001345B0" w:rsidRDefault="001345B0" w:rsidP="00F800E1">
            <w:pPr>
              <w:pStyle w:val="TableText"/>
              <w:jc w:val="center"/>
              <w:rPr>
                <w:szCs w:val="20"/>
              </w:rPr>
            </w:pPr>
            <w:r>
              <w:rPr>
                <w:noProof/>
                <w:color w:val="000000"/>
                <w:highlight w:val="black"/>
              </w:rPr>
              <w:t>''''''''''''''''''''''''''''</w:t>
            </w:r>
            <w:r w:rsidR="007476F7">
              <w:rPr>
                <w:vertAlign w:val="superscript"/>
              </w:rPr>
              <w:t>9</w:t>
            </w:r>
          </w:p>
        </w:tc>
        <w:tc>
          <w:tcPr>
            <w:tcW w:w="782" w:type="pct"/>
            <w:tcBorders>
              <w:bottom w:val="nil"/>
            </w:tcBorders>
          </w:tcPr>
          <w:p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c>
          <w:tcPr>
            <w:tcW w:w="625" w:type="pct"/>
            <w:tcBorders>
              <w:bottom w:val="nil"/>
            </w:tcBorders>
          </w:tcPr>
          <w:p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c>
          <w:tcPr>
            <w:tcW w:w="704" w:type="pct"/>
            <w:tcBorders>
              <w:bottom w:val="nil"/>
            </w:tcBorders>
          </w:tcPr>
          <w:p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c>
          <w:tcPr>
            <w:tcW w:w="705" w:type="pct"/>
            <w:tcBorders>
              <w:bottom w:val="nil"/>
            </w:tcBorders>
          </w:tcPr>
          <w:p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c>
          <w:tcPr>
            <w:tcW w:w="703" w:type="pct"/>
            <w:tcBorders>
              <w:bottom w:val="nil"/>
            </w:tcBorders>
          </w:tcPr>
          <w:p w:rsidR="00AF46C2" w:rsidRPr="001345B0" w:rsidRDefault="001345B0" w:rsidP="00F800E1">
            <w:pPr>
              <w:pStyle w:val="TableText"/>
              <w:jc w:val="center"/>
              <w:rPr>
                <w:szCs w:val="20"/>
              </w:rPr>
            </w:pPr>
            <w:r>
              <w:rPr>
                <w:noProof/>
                <w:color w:val="000000"/>
                <w:highlight w:val="black"/>
              </w:rPr>
              <w:t>''''''''''''''''''''''''''''''</w:t>
            </w:r>
            <w:r w:rsidR="00154B52">
              <w:rPr>
                <w:vertAlign w:val="superscript"/>
              </w:rPr>
              <w:t>8</w:t>
            </w:r>
          </w:p>
        </w:tc>
      </w:tr>
      <w:tr w:rsidR="00AF46C2" w:rsidRPr="00B92D96" w:rsidTr="005152C2">
        <w:tc>
          <w:tcPr>
            <w:tcW w:w="776" w:type="pct"/>
            <w:tcBorders>
              <w:bottom w:val="nil"/>
            </w:tcBorders>
            <w:shd w:val="clear" w:color="auto" w:fill="auto"/>
            <w:vAlign w:val="center"/>
          </w:tcPr>
          <w:p w:rsidR="00AF46C2" w:rsidRPr="00B92D96" w:rsidRDefault="00AF46C2" w:rsidP="00AF46C2">
            <w:pPr>
              <w:pStyle w:val="TableText"/>
              <w:rPr>
                <w:rFonts w:eastAsia="Times New Roman" w:cs="Times New Roman"/>
                <w:szCs w:val="20"/>
              </w:rPr>
            </w:pPr>
            <w:r w:rsidRPr="00B92D96">
              <w:rPr>
                <w:szCs w:val="20"/>
              </w:rPr>
              <w:t>Net cost to MBS</w:t>
            </w:r>
            <w:r w:rsidRPr="00B92D96">
              <w:rPr>
                <w:i/>
                <w:szCs w:val="20"/>
                <w:vertAlign w:val="superscript"/>
              </w:rPr>
              <w:t xml:space="preserve"> </w:t>
            </w:r>
            <w:proofErr w:type="spellStart"/>
            <w:r w:rsidRPr="00B92D96">
              <w:rPr>
                <w:i/>
                <w:szCs w:val="20"/>
                <w:vertAlign w:val="superscript"/>
              </w:rPr>
              <w:t>b,c,e,h</w:t>
            </w:r>
            <w:proofErr w:type="spellEnd"/>
          </w:p>
        </w:tc>
        <w:tc>
          <w:tcPr>
            <w:tcW w:w="706" w:type="pct"/>
            <w:tcBorders>
              <w:bottom w:val="nil"/>
            </w:tcBorders>
          </w:tcPr>
          <w:p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782" w:type="pct"/>
            <w:tcBorders>
              <w:bottom w:val="nil"/>
            </w:tcBorders>
          </w:tcPr>
          <w:p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625" w:type="pct"/>
            <w:tcBorders>
              <w:bottom w:val="nil"/>
            </w:tcBorders>
          </w:tcPr>
          <w:p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704" w:type="pct"/>
            <w:tcBorders>
              <w:bottom w:val="nil"/>
            </w:tcBorders>
          </w:tcPr>
          <w:p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705" w:type="pct"/>
            <w:tcBorders>
              <w:bottom w:val="nil"/>
            </w:tcBorders>
          </w:tcPr>
          <w:p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c>
          <w:tcPr>
            <w:tcW w:w="703" w:type="pct"/>
            <w:tcBorders>
              <w:bottom w:val="nil"/>
            </w:tcBorders>
          </w:tcPr>
          <w:p w:rsidR="00AF46C2" w:rsidRPr="001345B0" w:rsidRDefault="001345B0" w:rsidP="00AF46C2">
            <w:pPr>
              <w:pStyle w:val="TableText"/>
              <w:jc w:val="center"/>
              <w:rPr>
                <w:szCs w:val="20"/>
              </w:rPr>
            </w:pPr>
            <w:r>
              <w:rPr>
                <w:noProof/>
                <w:color w:val="000000"/>
                <w:highlight w:val="black"/>
              </w:rPr>
              <w:t>'''''''''''''''''''''''''''''</w:t>
            </w:r>
            <w:r w:rsidR="007476F7">
              <w:rPr>
                <w:vertAlign w:val="superscript"/>
              </w:rPr>
              <w:t>4</w:t>
            </w:r>
          </w:p>
        </w:tc>
      </w:tr>
      <w:tr w:rsidR="00AF46C2" w:rsidRPr="00B92D96" w:rsidTr="005152C2">
        <w:tc>
          <w:tcPr>
            <w:tcW w:w="776" w:type="pct"/>
            <w:tcBorders>
              <w:bottom w:val="single" w:sz="4" w:space="0" w:color="auto"/>
            </w:tcBorders>
            <w:shd w:val="clear" w:color="auto" w:fill="auto"/>
            <w:vAlign w:val="center"/>
          </w:tcPr>
          <w:p w:rsidR="00AF46C2" w:rsidRPr="00B92D96" w:rsidRDefault="00AF46C2" w:rsidP="00AF46C2">
            <w:pPr>
              <w:pStyle w:val="TableText"/>
              <w:rPr>
                <w:szCs w:val="20"/>
              </w:rPr>
            </w:pPr>
            <w:r w:rsidRPr="00B92D96">
              <w:rPr>
                <w:szCs w:val="20"/>
              </w:rPr>
              <w:t>Net cost to PBS/RPBS/</w:t>
            </w:r>
            <w:proofErr w:type="spellStart"/>
            <w:r w:rsidRPr="00B92D96">
              <w:rPr>
                <w:szCs w:val="20"/>
              </w:rPr>
              <w:t>MBS</w:t>
            </w:r>
            <w:r w:rsidRPr="00B92D96">
              <w:rPr>
                <w:i/>
                <w:szCs w:val="20"/>
                <w:vertAlign w:val="superscript"/>
              </w:rPr>
              <w:t>b,c,e,f,g,h</w:t>
            </w:r>
            <w:proofErr w:type="spellEnd"/>
          </w:p>
        </w:tc>
        <w:tc>
          <w:tcPr>
            <w:tcW w:w="706" w:type="pct"/>
            <w:tcBorders>
              <w:top w:val="single" w:sz="4" w:space="0" w:color="auto"/>
              <w:left w:val="single" w:sz="4" w:space="0" w:color="auto"/>
              <w:bottom w:val="single" w:sz="4" w:space="0" w:color="auto"/>
              <w:right w:val="single" w:sz="4" w:space="0" w:color="auto"/>
            </w:tcBorders>
          </w:tcPr>
          <w:p w:rsidR="00AF46C2" w:rsidRPr="001345B0" w:rsidRDefault="001345B0" w:rsidP="00AF46C2">
            <w:pPr>
              <w:pStyle w:val="TableText"/>
              <w:jc w:val="center"/>
              <w:rPr>
                <w:szCs w:val="20"/>
              </w:rPr>
            </w:pPr>
            <w:r>
              <w:rPr>
                <w:noProof/>
                <w:color w:val="000000"/>
                <w:highlight w:val="black"/>
              </w:rPr>
              <w:t>''''''''''''''''''''''''''</w:t>
            </w:r>
            <w:r w:rsidR="007476F7">
              <w:rPr>
                <w:vertAlign w:val="superscript"/>
              </w:rPr>
              <w:t>9</w:t>
            </w:r>
          </w:p>
        </w:tc>
        <w:tc>
          <w:tcPr>
            <w:tcW w:w="782" w:type="pct"/>
            <w:tcBorders>
              <w:top w:val="single" w:sz="4" w:space="0" w:color="auto"/>
              <w:left w:val="single" w:sz="4" w:space="0" w:color="auto"/>
              <w:bottom w:val="single" w:sz="4" w:space="0" w:color="auto"/>
              <w:right w:val="single" w:sz="4" w:space="0" w:color="auto"/>
            </w:tcBorders>
          </w:tcPr>
          <w:p w:rsidR="00AF46C2" w:rsidRPr="001345B0" w:rsidRDefault="001345B0" w:rsidP="00AF46C2">
            <w:pPr>
              <w:pStyle w:val="TableText"/>
              <w:jc w:val="center"/>
              <w:rPr>
                <w:szCs w:val="20"/>
              </w:rPr>
            </w:pPr>
            <w:r>
              <w:rPr>
                <w:noProof/>
                <w:color w:val="000000"/>
                <w:highlight w:val="black"/>
              </w:rPr>
              <w:t>'''''''''''''''''''''''''''''''</w:t>
            </w:r>
            <w:r w:rsidR="007476F7">
              <w:rPr>
                <w:vertAlign w:val="superscript"/>
              </w:rPr>
              <w:t>9</w:t>
            </w:r>
          </w:p>
        </w:tc>
        <w:tc>
          <w:tcPr>
            <w:tcW w:w="625" w:type="pct"/>
            <w:tcBorders>
              <w:top w:val="single" w:sz="4" w:space="0" w:color="auto"/>
              <w:left w:val="single" w:sz="4" w:space="0" w:color="auto"/>
              <w:bottom w:val="single" w:sz="4" w:space="0" w:color="auto"/>
              <w:right w:val="single" w:sz="4" w:space="0" w:color="auto"/>
            </w:tcBorders>
          </w:tcPr>
          <w:p w:rsidR="00AF46C2" w:rsidRPr="001345B0" w:rsidRDefault="001345B0" w:rsidP="00AF46C2">
            <w:pPr>
              <w:pStyle w:val="TableText"/>
              <w:jc w:val="center"/>
              <w:rPr>
                <w:szCs w:val="20"/>
              </w:rPr>
            </w:pPr>
            <w:r>
              <w:rPr>
                <w:noProof/>
                <w:color w:val="000000"/>
                <w:highlight w:val="black"/>
              </w:rPr>
              <w:t>''''''''''''''''''''''''''''</w:t>
            </w:r>
            <w:r w:rsidR="00154B52">
              <w:rPr>
                <w:vertAlign w:val="superscript"/>
              </w:rPr>
              <w:t>8</w:t>
            </w:r>
          </w:p>
        </w:tc>
        <w:tc>
          <w:tcPr>
            <w:tcW w:w="704" w:type="pct"/>
            <w:tcBorders>
              <w:top w:val="single" w:sz="4" w:space="0" w:color="auto"/>
              <w:left w:val="single" w:sz="4" w:space="0" w:color="auto"/>
              <w:bottom w:val="single" w:sz="4" w:space="0" w:color="auto"/>
              <w:right w:val="single" w:sz="4" w:space="0" w:color="auto"/>
            </w:tcBorders>
          </w:tcPr>
          <w:p w:rsidR="00AF46C2" w:rsidRPr="001345B0" w:rsidRDefault="001345B0" w:rsidP="00AF46C2">
            <w:pPr>
              <w:pStyle w:val="TableText"/>
              <w:jc w:val="center"/>
              <w:rPr>
                <w:szCs w:val="20"/>
              </w:rPr>
            </w:pPr>
            <w:r>
              <w:rPr>
                <w:noProof/>
                <w:color w:val="000000"/>
                <w:highlight w:val="black"/>
              </w:rPr>
              <w:t>''''''''''''''''''''''''''''</w:t>
            </w:r>
            <w:r w:rsidR="00154B52">
              <w:rPr>
                <w:vertAlign w:val="superscript"/>
              </w:rPr>
              <w:t>8</w:t>
            </w:r>
          </w:p>
        </w:tc>
        <w:tc>
          <w:tcPr>
            <w:tcW w:w="705" w:type="pct"/>
            <w:tcBorders>
              <w:top w:val="single" w:sz="4" w:space="0" w:color="auto"/>
              <w:left w:val="single" w:sz="4" w:space="0" w:color="auto"/>
              <w:bottom w:val="single" w:sz="4" w:space="0" w:color="auto"/>
              <w:right w:val="single" w:sz="4" w:space="0" w:color="auto"/>
            </w:tcBorders>
          </w:tcPr>
          <w:p w:rsidR="00AF46C2" w:rsidRPr="001345B0" w:rsidRDefault="001345B0" w:rsidP="00AF46C2">
            <w:pPr>
              <w:pStyle w:val="TableText"/>
              <w:jc w:val="center"/>
              <w:rPr>
                <w:szCs w:val="20"/>
              </w:rPr>
            </w:pPr>
            <w:r>
              <w:rPr>
                <w:noProof/>
                <w:color w:val="000000"/>
                <w:highlight w:val="black"/>
              </w:rPr>
              <w:t>''''''''''''''''''''''''''</w:t>
            </w:r>
            <w:r w:rsidR="00154B52">
              <w:rPr>
                <w:vertAlign w:val="superscript"/>
              </w:rPr>
              <w:t>8</w:t>
            </w:r>
          </w:p>
        </w:tc>
        <w:tc>
          <w:tcPr>
            <w:tcW w:w="703" w:type="pct"/>
            <w:tcBorders>
              <w:top w:val="single" w:sz="4" w:space="0" w:color="auto"/>
              <w:left w:val="single" w:sz="4" w:space="0" w:color="auto"/>
              <w:bottom w:val="single" w:sz="4" w:space="0" w:color="auto"/>
              <w:right w:val="single" w:sz="4" w:space="0" w:color="auto"/>
            </w:tcBorders>
          </w:tcPr>
          <w:p w:rsidR="00AF46C2" w:rsidRPr="001345B0" w:rsidRDefault="001345B0" w:rsidP="00AF46C2">
            <w:pPr>
              <w:pStyle w:val="TableText"/>
              <w:jc w:val="center"/>
              <w:rPr>
                <w:szCs w:val="20"/>
              </w:rPr>
            </w:pPr>
            <w:r>
              <w:rPr>
                <w:noProof/>
                <w:color w:val="000000"/>
                <w:highlight w:val="black"/>
              </w:rPr>
              <w:t>'''''''''''''''''''''''''''</w:t>
            </w:r>
            <w:r w:rsidR="00154B52">
              <w:rPr>
                <w:vertAlign w:val="superscript"/>
              </w:rPr>
              <w:t>8</w:t>
            </w:r>
          </w:p>
        </w:tc>
      </w:tr>
    </w:tbl>
    <w:p w:rsidR="005C1E8E" w:rsidRPr="00A25D2C" w:rsidRDefault="005C1E8E" w:rsidP="005C1E8E">
      <w:pPr>
        <w:pStyle w:val="TableFooter"/>
      </w:pPr>
      <w:proofErr w:type="spellStart"/>
      <w:r w:rsidRPr="00A25D2C">
        <w:rPr>
          <w:vertAlign w:val="superscript"/>
        </w:rPr>
        <w:t>a</w:t>
      </w:r>
      <w:proofErr w:type="spellEnd"/>
      <w:r w:rsidRPr="00A25D2C">
        <w:t xml:space="preserve"> The number of patients eligible for </w:t>
      </w:r>
      <w:r w:rsidRPr="00A25D2C">
        <w:rPr>
          <w:i/>
        </w:rPr>
        <w:t>MET</w:t>
      </w:r>
      <w:r w:rsidRPr="00A25D2C">
        <w:t xml:space="preserve">ex14sk testing was NOT used to determine the number of patients eligible for tepotinib, given the different assumptions used to calculate the tested populations and the treated population.  </w:t>
      </w:r>
    </w:p>
    <w:p w:rsidR="005C1E8E" w:rsidRPr="00BB57C2" w:rsidRDefault="005C1E8E" w:rsidP="005C1E8E">
      <w:pPr>
        <w:pStyle w:val="TableFooter"/>
        <w:rPr>
          <w:i/>
        </w:rPr>
      </w:pPr>
      <w:proofErr w:type="gramStart"/>
      <w:r w:rsidRPr="00A25D2C">
        <w:rPr>
          <w:i/>
          <w:vertAlign w:val="superscript"/>
        </w:rPr>
        <w:t>b</w:t>
      </w:r>
      <w:proofErr w:type="gramEnd"/>
      <w:r w:rsidRPr="00A25D2C">
        <w:rPr>
          <w:i/>
        </w:rPr>
        <w:t xml:space="preserve"> </w:t>
      </w:r>
      <w:r w:rsidRPr="00A25D2C">
        <w:t>There was a referencing error contained in submission’s calculation of the Incident 5 eligible population. The uptake of durvalumab (90%)</w:t>
      </w:r>
      <w:r w:rsidRPr="00F80E0C">
        <w:t xml:space="preserve"> should be used in the formula of Cells S45</w:t>
      </w:r>
      <w:proofErr w:type="gramStart"/>
      <w:r w:rsidRPr="00F80E0C">
        <w:t>:X45</w:t>
      </w:r>
      <w:proofErr w:type="gramEnd"/>
      <w:r w:rsidRPr="00F80E0C">
        <w:t xml:space="preserve">,‘Inputs’ spreadsheet, “20210606 Section 4 Workbook Tepotinib NSCLC v10 (FINAL)” Excel </w:t>
      </w:r>
      <w:r w:rsidRPr="00BB57C2">
        <w:t xml:space="preserve">workbook, not the prevalence of </w:t>
      </w:r>
      <w:r w:rsidRPr="008D313B">
        <w:rPr>
          <w:i/>
          <w:iCs/>
        </w:rPr>
        <w:t>EGFR</w:t>
      </w:r>
      <w:r w:rsidRPr="00BB57C2">
        <w:t xml:space="preserve"> wild-type (82.1%). This was revised during the evaluation.</w:t>
      </w:r>
    </w:p>
    <w:p w:rsidR="005C1E8E" w:rsidRPr="00BB57C2" w:rsidRDefault="005C1E8E" w:rsidP="005C1E8E">
      <w:pPr>
        <w:pStyle w:val="TableFooter"/>
      </w:pPr>
      <w:proofErr w:type="gramStart"/>
      <w:r w:rsidRPr="00BB57C2">
        <w:rPr>
          <w:vertAlign w:val="superscript"/>
        </w:rPr>
        <w:t>c</w:t>
      </w:r>
      <w:proofErr w:type="gramEnd"/>
      <w:r w:rsidRPr="00BB57C2">
        <w:t xml:space="preserve"> The submission assumed that, in Year 1 of listing, there were no patients who received 1L pembrolizumab for metastatic NSCLC in the previous year and subsequently experienced disease progression. This assumption was revised by assuming an estimate of 13,437 lung cancer cases in the year before Year 1 of tepotinib listing and uptake of 100% 1L pembrolizumab therapy in the metastatic setting in patients who are eligible for immunotherapy (as tepotinib was not listed in that year)</w:t>
      </w:r>
    </w:p>
    <w:p w:rsidR="005C1E8E" w:rsidRPr="00F80E0C" w:rsidRDefault="005C1E8E" w:rsidP="005C1E8E">
      <w:pPr>
        <w:pStyle w:val="TableFooter"/>
      </w:pPr>
      <w:proofErr w:type="gramStart"/>
      <w:r w:rsidRPr="00BB57C2">
        <w:rPr>
          <w:vertAlign w:val="superscript"/>
        </w:rPr>
        <w:t>d</w:t>
      </w:r>
      <w:proofErr w:type="gramEnd"/>
      <w:r w:rsidRPr="00BB57C2">
        <w:t xml:space="preserve"> 11.84 scripts/patient for Incident 1-5 patients, 13.57 scripts/patient for Incident 6 patients and 6.52 scripts/patient (just in Year 1) for grandfathered patients.</w:t>
      </w:r>
    </w:p>
    <w:p w:rsidR="005C1E8E" w:rsidRPr="00F80E0C" w:rsidRDefault="005C1E8E" w:rsidP="005C1E8E">
      <w:pPr>
        <w:pStyle w:val="TableFooter"/>
      </w:pPr>
      <w:proofErr w:type="gramStart"/>
      <w:r w:rsidRPr="00F80E0C">
        <w:rPr>
          <w:vertAlign w:val="superscript"/>
        </w:rPr>
        <w:t>e</w:t>
      </w:r>
      <w:proofErr w:type="gramEnd"/>
      <w:r w:rsidRPr="00F80E0C">
        <w:t xml:space="preserve"> Incident 3 treated patients (n=22) was not included in calculating the number of tepotinib scripts dispensed in Year 1. This was revised during the evaluation.</w:t>
      </w:r>
    </w:p>
    <w:p w:rsidR="005C1E8E" w:rsidRPr="00F80E0C" w:rsidRDefault="005C1E8E" w:rsidP="005C1E8E">
      <w:pPr>
        <w:pStyle w:val="TableFooter"/>
      </w:pPr>
      <w:r w:rsidRPr="00F80E0C">
        <w:rPr>
          <w:vertAlign w:val="superscript"/>
        </w:rPr>
        <w:t>f</w:t>
      </w:r>
      <w:r w:rsidRPr="00F80E0C">
        <w:t xml:space="preserve"> Revised by: 1) recalculating the dispensed price for tepotinib as a Section 85 item, using the updated fees and mark-ups; 2) applying patient co-payments to both the original tepotinib scripts and repeats; 3) calculating the dispensed price for tepotinib based on current mark-ups and fees.</w:t>
      </w:r>
    </w:p>
    <w:p w:rsidR="005C1E8E" w:rsidRPr="00F80E0C" w:rsidRDefault="005C1E8E" w:rsidP="005C1E8E">
      <w:pPr>
        <w:pStyle w:val="TableFooter"/>
      </w:pPr>
      <w:r w:rsidRPr="00F80E0C">
        <w:rPr>
          <w:vertAlign w:val="superscript"/>
        </w:rPr>
        <w:t>g</w:t>
      </w:r>
      <w:r w:rsidRPr="00F80E0C">
        <w:t xml:space="preserve"> Revised by 1) correcting the number of scripts per administration of cisplatin (1 script, not 4 scripts, per infusion); 2) recalculating the dispensed prices for pembrolizumab, cisplatin, </w:t>
      </w:r>
      <w:proofErr w:type="spellStart"/>
      <w:r w:rsidRPr="00F80E0C">
        <w:t>pemetrexed</w:t>
      </w:r>
      <w:proofErr w:type="spellEnd"/>
      <w:r w:rsidRPr="00F80E0C">
        <w:t>, nivolumab and docetaxel on the basis of the most efficient vial combination for the required chemotherapy doses and the updated Efficient Funding of Chemotherapy (EFC) fees/mark-ups; and 3) applying patient co-payments to the original scripts only for chemotherapies and immunotherapies, according to the EFC program.</w:t>
      </w:r>
    </w:p>
    <w:p w:rsidR="005C1E8E" w:rsidRPr="00F80E0C" w:rsidRDefault="005C1E8E" w:rsidP="005C1E8E">
      <w:pPr>
        <w:pStyle w:val="TableFooter"/>
      </w:pPr>
      <w:proofErr w:type="gramStart"/>
      <w:r w:rsidRPr="00F80E0C">
        <w:rPr>
          <w:vertAlign w:val="superscript"/>
        </w:rPr>
        <w:t>h</w:t>
      </w:r>
      <w:proofErr w:type="gramEnd"/>
      <w:r w:rsidRPr="00F80E0C">
        <w:t xml:space="preserve"> Correcting the calculation of the number of </w:t>
      </w:r>
      <w:proofErr w:type="spellStart"/>
      <w:r w:rsidRPr="00F80E0C">
        <w:t>pemetrexed</w:t>
      </w:r>
      <w:proofErr w:type="spellEnd"/>
      <w:r w:rsidRPr="00F80E0C">
        <w:t xml:space="preserve"> administrations in Incident 6; and including changes in administration of third-line nivolumab and docetaxel. </w:t>
      </w:r>
    </w:p>
    <w:p w:rsidR="005C1E8E" w:rsidRPr="00F80E0C" w:rsidRDefault="005C1E8E" w:rsidP="005C1E8E">
      <w:pPr>
        <w:pStyle w:val="TableFooter"/>
      </w:pPr>
      <w:proofErr w:type="spellStart"/>
      <w:proofErr w:type="gramStart"/>
      <w:r w:rsidRPr="00F80E0C">
        <w:rPr>
          <w:vertAlign w:val="superscript"/>
        </w:rPr>
        <w:t>i</w:t>
      </w:r>
      <w:proofErr w:type="spellEnd"/>
      <w:proofErr w:type="gramEnd"/>
      <w:r w:rsidRPr="00F80E0C">
        <w:t xml:space="preserve"> Based on</w:t>
      </w:r>
      <w:r w:rsidRPr="00F80E0C">
        <w:rPr>
          <w:vertAlign w:val="superscript"/>
        </w:rPr>
        <w:t xml:space="preserve"> </w:t>
      </w:r>
      <w:r w:rsidRPr="00F80E0C">
        <w:t xml:space="preserve">the revised estimates of the number of patients likely to receive tepotinib, 40% of the total treated patients over the first 6 years of listing is from Incident 1, followed by Incident 5 (21%) and Incident 6 (16%). The other three Incident populations account for 6% - 9% of the total treated patients each. </w:t>
      </w:r>
    </w:p>
    <w:p w:rsidR="005C1E8E" w:rsidRDefault="005C1E8E" w:rsidP="005C1E8E">
      <w:pPr>
        <w:pStyle w:val="TableFooter"/>
      </w:pPr>
      <w:r w:rsidRPr="00B92D96">
        <w:t>Source: Table 4-5, pp151-152 of the submission;</w:t>
      </w:r>
      <w:r w:rsidRPr="00B92D96">
        <w:rPr>
          <w:rFonts w:asciiTheme="minorHAnsi" w:eastAsiaTheme="minorEastAsia" w:hAnsiTheme="minorHAnsi" w:cstheme="minorBidi"/>
          <w:snapToGrid/>
          <w:sz w:val="24"/>
          <w:szCs w:val="22"/>
        </w:rPr>
        <w:t xml:space="preserve"> </w:t>
      </w:r>
      <w:r w:rsidRPr="00B92D96">
        <w:t>Table 4-8, pp153-154 of the submission, Table 4-10, p156 of the submission;</w:t>
      </w:r>
      <w:r w:rsidRPr="00B92D96">
        <w:rPr>
          <w:rFonts w:asciiTheme="minorHAnsi" w:eastAsiaTheme="minorEastAsia" w:hAnsiTheme="minorHAnsi" w:cstheme="minorBidi"/>
          <w:snapToGrid/>
          <w:sz w:val="24"/>
          <w:szCs w:val="22"/>
        </w:rPr>
        <w:t xml:space="preserve"> </w:t>
      </w:r>
      <w:r w:rsidRPr="00B92D96">
        <w:t xml:space="preserve">Table 4-12, p157 of the submission Table 4-15, p158, Table 4-16, p158 and Table 4-22, p161 Table 4-26, p164,  </w:t>
      </w:r>
    </w:p>
    <w:p w:rsidR="00587BDE" w:rsidRPr="007476F7" w:rsidRDefault="00587BDE" w:rsidP="005C1E8E">
      <w:pPr>
        <w:pStyle w:val="TableFooter"/>
        <w:rPr>
          <w:i/>
        </w:rPr>
      </w:pPr>
      <w:r w:rsidRPr="007476F7">
        <w:rPr>
          <w:i/>
        </w:rPr>
        <w:t>The redacted values correspond to the following ranges:</w:t>
      </w:r>
    </w:p>
    <w:p w:rsidR="00587BDE" w:rsidRPr="007476F7" w:rsidRDefault="00587BDE" w:rsidP="005C1E8E">
      <w:pPr>
        <w:pStyle w:val="TableFooter"/>
        <w:rPr>
          <w:i/>
        </w:rPr>
      </w:pPr>
      <w:r w:rsidRPr="007476F7">
        <w:rPr>
          <w:i/>
          <w:vertAlign w:val="superscript"/>
        </w:rPr>
        <w:t>1</w:t>
      </w:r>
      <w:r w:rsidRPr="007476F7">
        <w:rPr>
          <w:i/>
        </w:rPr>
        <w:t xml:space="preserve"> 5,000 to &lt; 10,000</w:t>
      </w:r>
    </w:p>
    <w:p w:rsidR="00587BDE" w:rsidRPr="007476F7" w:rsidRDefault="00587BDE" w:rsidP="005C1E8E">
      <w:pPr>
        <w:pStyle w:val="TableFooter"/>
        <w:rPr>
          <w:i/>
        </w:rPr>
      </w:pPr>
      <w:r w:rsidRPr="007476F7">
        <w:rPr>
          <w:i/>
          <w:vertAlign w:val="superscript"/>
        </w:rPr>
        <w:t>2</w:t>
      </w:r>
      <w:r w:rsidRPr="007476F7">
        <w:rPr>
          <w:i/>
        </w:rPr>
        <w:t xml:space="preserve"> &lt;500</w:t>
      </w:r>
    </w:p>
    <w:p w:rsidR="00587BDE" w:rsidRPr="007476F7" w:rsidRDefault="00587BDE" w:rsidP="005C1E8E">
      <w:pPr>
        <w:pStyle w:val="TableFooter"/>
        <w:rPr>
          <w:i/>
        </w:rPr>
      </w:pPr>
      <w:r w:rsidRPr="007476F7">
        <w:rPr>
          <w:i/>
          <w:vertAlign w:val="superscript"/>
        </w:rPr>
        <w:t>3</w:t>
      </w:r>
      <w:r w:rsidRPr="007476F7">
        <w:rPr>
          <w:i/>
        </w:rPr>
        <w:t xml:space="preserve"> 500 to &lt; 5,000</w:t>
      </w:r>
    </w:p>
    <w:p w:rsidR="006B675E" w:rsidRPr="007476F7" w:rsidRDefault="006B675E" w:rsidP="005C1E8E">
      <w:pPr>
        <w:pStyle w:val="TableFooter"/>
        <w:rPr>
          <w:i/>
        </w:rPr>
      </w:pPr>
      <w:r w:rsidRPr="007476F7">
        <w:rPr>
          <w:i/>
          <w:vertAlign w:val="superscript"/>
        </w:rPr>
        <w:t>4</w:t>
      </w:r>
      <w:r w:rsidRPr="007476F7">
        <w:rPr>
          <w:i/>
        </w:rPr>
        <w:t xml:space="preserve"> $0 to &lt; $10 million</w:t>
      </w:r>
    </w:p>
    <w:p w:rsidR="006B675E" w:rsidRPr="007476F7" w:rsidRDefault="006B675E" w:rsidP="005C1E8E">
      <w:pPr>
        <w:pStyle w:val="TableFooter"/>
        <w:rPr>
          <w:i/>
        </w:rPr>
      </w:pPr>
      <w:r w:rsidRPr="007476F7">
        <w:rPr>
          <w:i/>
          <w:vertAlign w:val="superscript"/>
        </w:rPr>
        <w:t>5</w:t>
      </w:r>
      <w:r w:rsidRPr="007476F7">
        <w:rPr>
          <w:i/>
        </w:rPr>
        <w:t xml:space="preserve"> $50 million to &lt; $60 million</w:t>
      </w:r>
    </w:p>
    <w:p w:rsidR="00154B52" w:rsidRPr="007476F7" w:rsidRDefault="00154B52" w:rsidP="005C1E8E">
      <w:pPr>
        <w:pStyle w:val="TableFooter"/>
        <w:rPr>
          <w:i/>
        </w:rPr>
      </w:pPr>
      <w:r w:rsidRPr="007476F7">
        <w:rPr>
          <w:i/>
          <w:vertAlign w:val="superscript"/>
        </w:rPr>
        <w:t>6</w:t>
      </w:r>
      <w:r w:rsidRPr="007476F7">
        <w:rPr>
          <w:i/>
        </w:rPr>
        <w:t xml:space="preserve"> $40 million to &lt; $50 million</w:t>
      </w:r>
    </w:p>
    <w:p w:rsidR="00154B52" w:rsidRPr="007476F7" w:rsidRDefault="00154B52" w:rsidP="005C1E8E">
      <w:pPr>
        <w:pStyle w:val="TableFooter"/>
        <w:rPr>
          <w:i/>
        </w:rPr>
      </w:pPr>
      <w:r w:rsidRPr="007476F7">
        <w:rPr>
          <w:i/>
          <w:vertAlign w:val="superscript"/>
        </w:rPr>
        <w:t>7</w:t>
      </w:r>
      <w:r w:rsidRPr="007476F7">
        <w:rPr>
          <w:i/>
        </w:rPr>
        <w:t xml:space="preserve"> $10 million to &lt; $20 million</w:t>
      </w:r>
    </w:p>
    <w:p w:rsidR="00154B52" w:rsidRPr="007476F7" w:rsidRDefault="00154B52" w:rsidP="005C1E8E">
      <w:pPr>
        <w:pStyle w:val="TableFooter"/>
        <w:rPr>
          <w:i/>
        </w:rPr>
      </w:pPr>
      <w:r w:rsidRPr="007476F7">
        <w:rPr>
          <w:i/>
          <w:vertAlign w:val="superscript"/>
        </w:rPr>
        <w:t>8</w:t>
      </w:r>
      <w:r w:rsidRPr="007476F7">
        <w:rPr>
          <w:i/>
        </w:rPr>
        <w:t xml:space="preserve"> $20 million to &lt; $30 million</w:t>
      </w:r>
    </w:p>
    <w:p w:rsidR="007476F7" w:rsidRPr="007476F7" w:rsidRDefault="007476F7" w:rsidP="005C1E8E">
      <w:pPr>
        <w:pStyle w:val="TableFooter"/>
        <w:rPr>
          <w:i/>
        </w:rPr>
      </w:pPr>
      <w:r w:rsidRPr="007476F7">
        <w:rPr>
          <w:i/>
          <w:vertAlign w:val="superscript"/>
        </w:rPr>
        <w:t>9</w:t>
      </w:r>
      <w:r w:rsidRPr="007476F7">
        <w:rPr>
          <w:i/>
        </w:rPr>
        <w:t xml:space="preserve"> $30 million to &lt; $40 million</w:t>
      </w:r>
    </w:p>
    <w:p w:rsidR="005C1E8E" w:rsidRPr="000E2F59" w:rsidRDefault="006B4F28" w:rsidP="005C1E8E">
      <w:pPr>
        <w:pStyle w:val="ListParagraph"/>
        <w:numPr>
          <w:ilvl w:val="4"/>
          <w:numId w:val="1"/>
        </w:numPr>
      </w:pPr>
      <w:r>
        <w:t>T</w:t>
      </w:r>
      <w:r w:rsidR="005C1E8E" w:rsidRPr="000E2F59">
        <w:t xml:space="preserve">he PBS/RPBS financial implications were based on the assumption that tepotinib would be prescribed to patients with metastatic disease only, which was inconsistent with the proposed PBS restriction of locally advanced or metastatic </w:t>
      </w:r>
      <w:r w:rsidR="005C1E8E" w:rsidRPr="000E2F59">
        <w:rPr>
          <w:i/>
        </w:rPr>
        <w:t>MET</w:t>
      </w:r>
      <w:r w:rsidR="005C1E8E" w:rsidRPr="000E2F59">
        <w:t xml:space="preserve">ex14sk+ NSCLC. </w:t>
      </w:r>
      <w:r w:rsidR="005C1E8E" w:rsidRPr="000E2F59">
        <w:rPr>
          <w:color w:val="auto"/>
        </w:rPr>
        <w:t xml:space="preserve">Treatment duration for tepotinib and pembrolizumab was based on the modelled TTD as in the CMA; and the selection of exponential distribution was inadequately justified. </w:t>
      </w:r>
      <w:r w:rsidR="005C1E8E" w:rsidRPr="000E2F59">
        <w:t>No dose interruptions during pembrolizumab therapy was considered. This has resulted in an overestimate of cost offsets.</w:t>
      </w:r>
    </w:p>
    <w:p w:rsidR="00FE7891" w:rsidRPr="00BB57C2" w:rsidRDefault="005C1E8E" w:rsidP="00FE7891">
      <w:pPr>
        <w:pStyle w:val="ListParagraph"/>
        <w:numPr>
          <w:ilvl w:val="4"/>
          <w:numId w:val="1"/>
        </w:numPr>
        <w:rPr>
          <w:color w:val="auto"/>
        </w:rPr>
      </w:pPr>
      <w:r w:rsidRPr="000E2F59">
        <w:rPr>
          <w:iCs/>
          <w:color w:val="auto"/>
        </w:rPr>
        <w:t xml:space="preserve">Sensitivity analyses indicated that treatment duration and compliance of tepotinib therapy had a big impact on the PBS/RPBS implications. The financial implications to the PBS/RPBS were also sensitive to the change in the proportion of patients who were ineligible for immunotherapy, the treatment duration of </w:t>
      </w:r>
      <w:r w:rsidRPr="00BB57C2">
        <w:rPr>
          <w:iCs/>
          <w:color w:val="auto"/>
        </w:rPr>
        <w:t>pembrolizumab and the incidence of NSCLC.</w:t>
      </w:r>
    </w:p>
    <w:p w:rsidR="00FE7891" w:rsidRPr="00BB57C2" w:rsidRDefault="00BB57C2" w:rsidP="00FE7891">
      <w:pPr>
        <w:pStyle w:val="ListParagraph"/>
        <w:numPr>
          <w:ilvl w:val="4"/>
          <w:numId w:val="1"/>
        </w:numPr>
        <w:rPr>
          <w:color w:val="auto"/>
        </w:rPr>
      </w:pPr>
      <w:r w:rsidRPr="00BB57C2">
        <w:t xml:space="preserve">The </w:t>
      </w:r>
      <w:r w:rsidR="00FE7891" w:rsidRPr="00BB57C2">
        <w:t xml:space="preserve">DUSC </w:t>
      </w:r>
      <w:r w:rsidRPr="00BB57C2">
        <w:t xml:space="preserve"> noted the following </w:t>
      </w:r>
      <w:r w:rsidR="00FE7891" w:rsidRPr="00BB57C2">
        <w:t xml:space="preserve"> main issues </w:t>
      </w:r>
      <w:r w:rsidRPr="00BB57C2">
        <w:t xml:space="preserve">regarding the financial estimates provided in the </w:t>
      </w:r>
      <w:r w:rsidR="002B73A4" w:rsidRPr="00BB57C2">
        <w:t>submission</w:t>
      </w:r>
      <w:r w:rsidR="00FE7891" w:rsidRPr="00BB57C2">
        <w:t>:</w:t>
      </w:r>
    </w:p>
    <w:p w:rsidR="00FE7891" w:rsidRPr="00BB57C2" w:rsidRDefault="00FE7891" w:rsidP="00F800E1">
      <w:pPr>
        <w:pStyle w:val="ListParagraph"/>
        <w:numPr>
          <w:ilvl w:val="0"/>
          <w:numId w:val="28"/>
        </w:numPr>
        <w:spacing w:before="0" w:after="0"/>
        <w:ind w:left="1077" w:hanging="357"/>
        <w:contextualSpacing/>
      </w:pPr>
      <w:r w:rsidRPr="00BB57C2">
        <w:rPr>
          <w:lang w:val="en-US"/>
        </w:rPr>
        <w:t xml:space="preserve">The split between the Incident 1 and 2 subgroups where the </w:t>
      </w:r>
      <w:r w:rsidRPr="00BB57C2">
        <w:t xml:space="preserve">comparator is pembrolizumab </w:t>
      </w:r>
      <w:r w:rsidRPr="00BB57C2">
        <w:rPr>
          <w:rFonts w:cs="Calibri"/>
        </w:rPr>
        <w:t>±</w:t>
      </w:r>
      <w:r w:rsidRPr="00BB57C2">
        <w:t xml:space="preserve"> chemotherapy, </w:t>
      </w:r>
      <w:r w:rsidRPr="00BB57C2">
        <w:rPr>
          <w:lang w:val="en-US"/>
        </w:rPr>
        <w:t>is unclear. If the target population for tepotinib treatment are older and frailer with a PD-L1 TPS</w:t>
      </w:r>
      <w:r w:rsidR="00082321">
        <w:rPr>
          <w:lang w:val="en-US"/>
        </w:rPr>
        <w:t xml:space="preserve"> </w:t>
      </w:r>
      <w:r w:rsidRPr="00BB57C2">
        <w:rPr>
          <w:rFonts w:cstheme="minorHAnsi"/>
        </w:rPr>
        <w:t>≥</w:t>
      </w:r>
      <w:r w:rsidRPr="00BB57C2">
        <w:t xml:space="preserve">50% </w:t>
      </w:r>
      <w:r w:rsidRPr="00BB57C2">
        <w:rPr>
          <w:lang w:val="en-US"/>
        </w:rPr>
        <w:t xml:space="preserve">most patients would be indicated for pembrolizumab monotherapy. Therefore, the proportion in the Incident 2 subgroup could be underestimated. </w:t>
      </w:r>
    </w:p>
    <w:p w:rsidR="00FE7891" w:rsidRPr="00BB57C2" w:rsidRDefault="00FE7891" w:rsidP="00F800E1">
      <w:pPr>
        <w:pStyle w:val="ListParagraph"/>
        <w:numPr>
          <w:ilvl w:val="0"/>
          <w:numId w:val="28"/>
        </w:numPr>
        <w:spacing w:before="0" w:after="0"/>
        <w:ind w:left="1077" w:hanging="357"/>
        <w:contextualSpacing/>
      </w:pPr>
      <w:r w:rsidRPr="00BB57C2">
        <w:t xml:space="preserve">The validity of the </w:t>
      </w:r>
      <w:r w:rsidRPr="00BB57C2">
        <w:rPr>
          <w:i/>
        </w:rPr>
        <w:t>MET</w:t>
      </w:r>
      <w:r w:rsidRPr="00BB57C2">
        <w:t xml:space="preserve">ex14sk test and its associated costs remains unclear, particularly the number of false positives and its effect on the estimated population size. </w:t>
      </w:r>
    </w:p>
    <w:p w:rsidR="00FE7891" w:rsidRPr="00BB57C2" w:rsidRDefault="00FE7891" w:rsidP="00F800E1">
      <w:pPr>
        <w:pStyle w:val="ListParagraph"/>
        <w:numPr>
          <w:ilvl w:val="0"/>
          <w:numId w:val="28"/>
        </w:numPr>
        <w:spacing w:before="0" w:after="0"/>
        <w:ind w:left="1077" w:hanging="357"/>
        <w:contextualSpacing/>
      </w:pPr>
      <w:r w:rsidRPr="00BB57C2">
        <w:t xml:space="preserve">There is a discrepancy between the number of patients eligible for the </w:t>
      </w:r>
      <w:r w:rsidRPr="005728DA">
        <w:rPr>
          <w:i/>
        </w:rPr>
        <w:t>MET</w:t>
      </w:r>
      <w:r w:rsidRPr="00BB57C2">
        <w:t xml:space="preserve">ex14sk test and the testing rate used to determine the number of patients eligible for tepotinib treatment. The discrepancy between the two figures would likely result in the number of patients eligible for tepotinib to be overestimated.  </w:t>
      </w:r>
    </w:p>
    <w:p w:rsidR="000F60EB" w:rsidRPr="00BB57C2" w:rsidRDefault="00FE7891" w:rsidP="00F800E1">
      <w:pPr>
        <w:pStyle w:val="ListParagraph"/>
        <w:numPr>
          <w:ilvl w:val="0"/>
          <w:numId w:val="28"/>
        </w:numPr>
        <w:spacing w:before="0" w:after="0"/>
        <w:ind w:left="1077" w:hanging="357"/>
        <w:contextualSpacing/>
      </w:pPr>
      <w:r w:rsidRPr="00BB57C2">
        <w:t xml:space="preserve">During the first few years of listing, the prevalent pool of patients would likely account for majority of tepotinib uptake. Therefore treatment duration during the first few years would likely be reflective of prevalent patients rather than incident patients. </w:t>
      </w:r>
    </w:p>
    <w:p w:rsidR="00FE7891" w:rsidRPr="000F60EB" w:rsidRDefault="000F60EB" w:rsidP="000F60EB">
      <w:pPr>
        <w:pStyle w:val="ListParagraph"/>
        <w:numPr>
          <w:ilvl w:val="4"/>
          <w:numId w:val="1"/>
        </w:numPr>
        <w:rPr>
          <w:iCs/>
          <w:color w:val="auto"/>
        </w:rPr>
      </w:pPr>
      <w:r>
        <w:rPr>
          <w:iCs/>
          <w:color w:val="auto"/>
        </w:rPr>
        <w:t xml:space="preserve">The PBAC noted there were significant uncertainties associated with the cost offsets in the submission but considered that, </w:t>
      </w:r>
      <w:r w:rsidR="005728DA">
        <w:rPr>
          <w:iCs/>
          <w:color w:val="auto"/>
        </w:rPr>
        <w:t xml:space="preserve">as </w:t>
      </w:r>
      <w:r>
        <w:rPr>
          <w:iCs/>
          <w:color w:val="auto"/>
        </w:rPr>
        <w:t xml:space="preserve">it was likely tepotinib would displace (rather than replace) other therapies, any offsets would be unlikely to be realised.  </w:t>
      </w:r>
    </w:p>
    <w:p w:rsidR="0059661C" w:rsidRPr="00183B83" w:rsidRDefault="0059661C" w:rsidP="0059661C">
      <w:pPr>
        <w:pStyle w:val="PBACESHeading2"/>
        <w:numPr>
          <w:ilvl w:val="2"/>
          <w:numId w:val="1"/>
        </w:numPr>
        <w:rPr>
          <w:rFonts w:asciiTheme="minorHAnsi" w:hAnsiTheme="minorHAnsi" w:cstheme="minorHAnsi"/>
        </w:rPr>
      </w:pPr>
      <w:bookmarkStart w:id="47" w:name="_Toc497226195"/>
      <w:bookmarkStart w:id="48" w:name="_Toc81873391"/>
      <w:r w:rsidRPr="00183B83">
        <w:rPr>
          <w:rFonts w:asciiTheme="minorHAnsi" w:hAnsiTheme="minorHAnsi" w:cstheme="minorHAnsi"/>
        </w:rPr>
        <w:t>Financial management – risk sharing arrangements</w:t>
      </w:r>
      <w:bookmarkEnd w:id="47"/>
      <w:bookmarkEnd w:id="48"/>
    </w:p>
    <w:p w:rsidR="0059661C" w:rsidRPr="008F3468" w:rsidRDefault="0059661C" w:rsidP="006D794D">
      <w:pPr>
        <w:pStyle w:val="ListParagraph"/>
        <w:rPr>
          <w:color w:val="auto"/>
        </w:rPr>
      </w:pPr>
      <w:r w:rsidRPr="00B92D96">
        <w:t>No risk</w:t>
      </w:r>
      <w:r w:rsidR="00125C5D">
        <w:t xml:space="preserve"> </w:t>
      </w:r>
      <w:r w:rsidRPr="00B92D96">
        <w:t>sharing arrangement (RSA) was proposed in the submission</w:t>
      </w:r>
      <w:r w:rsidRPr="007E4DDD">
        <w:rPr>
          <w:iCs/>
        </w:rPr>
        <w:t xml:space="preserve">. </w:t>
      </w:r>
      <w:r w:rsidR="008F3468">
        <w:rPr>
          <w:iCs/>
        </w:rPr>
        <w:t>The PBAC considered an RSA would be requi</w:t>
      </w:r>
      <w:r w:rsidR="00EC699B">
        <w:rPr>
          <w:iCs/>
        </w:rPr>
        <w:t>r</w:t>
      </w:r>
      <w:r w:rsidR="008F3468">
        <w:rPr>
          <w:iCs/>
        </w:rPr>
        <w:t xml:space="preserve">ed to manage the </w:t>
      </w:r>
      <w:r w:rsidR="006D794D" w:rsidRPr="006D794D">
        <w:rPr>
          <w:iCs/>
        </w:rPr>
        <w:t xml:space="preserve">financial uncertainty associated </w:t>
      </w:r>
      <w:r w:rsidR="00740F3C">
        <w:rPr>
          <w:iCs/>
        </w:rPr>
        <w:t xml:space="preserve">with </w:t>
      </w:r>
      <w:r w:rsidR="006D794D" w:rsidRPr="006D794D">
        <w:rPr>
          <w:iCs/>
        </w:rPr>
        <w:t xml:space="preserve">a number of </w:t>
      </w:r>
      <w:r w:rsidR="00125C5D">
        <w:rPr>
          <w:iCs/>
        </w:rPr>
        <w:t xml:space="preserve">the </w:t>
      </w:r>
      <w:r w:rsidR="006D794D" w:rsidRPr="006D794D">
        <w:rPr>
          <w:iCs/>
        </w:rPr>
        <w:t xml:space="preserve">CMA inputs and assumptions, including </w:t>
      </w:r>
      <w:r w:rsidR="00740F3C">
        <w:rPr>
          <w:iCs/>
        </w:rPr>
        <w:t xml:space="preserve">the </w:t>
      </w:r>
      <w:r w:rsidR="006D794D" w:rsidRPr="006D794D">
        <w:rPr>
          <w:iCs/>
        </w:rPr>
        <w:t>treatment duration</w:t>
      </w:r>
      <w:r w:rsidR="006D794D">
        <w:rPr>
          <w:iCs/>
        </w:rPr>
        <w:t>.</w:t>
      </w:r>
      <w:r w:rsidR="006D794D" w:rsidRPr="006D794D">
        <w:rPr>
          <w:iCs/>
        </w:rPr>
        <w:t xml:space="preserve"> </w:t>
      </w:r>
    </w:p>
    <w:p w:rsidR="008F3468" w:rsidRPr="00B92D96" w:rsidRDefault="008F3468" w:rsidP="008F3468">
      <w:pPr>
        <w:pStyle w:val="ListParagraph"/>
        <w:numPr>
          <w:ilvl w:val="0"/>
          <w:numId w:val="0"/>
        </w:numPr>
        <w:ind w:left="720"/>
        <w:rPr>
          <w:color w:val="auto"/>
        </w:rPr>
      </w:pPr>
      <w:r w:rsidRPr="008F3468">
        <w:rPr>
          <w:i/>
          <w:color w:val="auto"/>
        </w:rPr>
        <w:t>For more detail on PBAC’s view, see section 7 PBAC outcome</w:t>
      </w:r>
      <w:r w:rsidRPr="008F3468">
        <w:rPr>
          <w:color w:val="auto"/>
        </w:rPr>
        <w:t>.</w:t>
      </w:r>
    </w:p>
    <w:p w:rsidR="0029025D" w:rsidRPr="00B66ED6" w:rsidRDefault="0044670C" w:rsidP="0044670C">
      <w:pPr>
        <w:pStyle w:val="PBACESHeading1"/>
      </w:pPr>
      <w:r w:rsidRPr="00B66ED6">
        <w:t>PBAC Outcome</w:t>
      </w:r>
    </w:p>
    <w:p w:rsidR="0044670C" w:rsidRPr="002F5704" w:rsidRDefault="00F90612" w:rsidP="0070289C">
      <w:pPr>
        <w:pStyle w:val="ListParagraph"/>
        <w:rPr>
          <w:color w:val="auto"/>
        </w:rPr>
      </w:pPr>
      <w:r w:rsidRPr="00B66ED6">
        <w:t>The PBAC defer</w:t>
      </w:r>
      <w:r w:rsidR="005B399B" w:rsidRPr="00B66ED6">
        <w:t xml:space="preserve">red making a recommendation to </w:t>
      </w:r>
      <w:r w:rsidR="00920B50">
        <w:t xml:space="preserve">list tepotinib </w:t>
      </w:r>
      <w:r w:rsidRPr="00B66ED6">
        <w:t>for the treatment of</w:t>
      </w:r>
      <w:r w:rsidR="00B66ED6">
        <w:t xml:space="preserve"> locally advanced or metastatic IV</w:t>
      </w:r>
      <w:r w:rsidRPr="00B66ED6">
        <w:t xml:space="preserve"> non-small cell lung cancer patients who have evidence of a </w:t>
      </w:r>
      <w:r w:rsidR="0070289C" w:rsidRPr="0070289C">
        <w:t>MET proto-oncogene, receptor tyrosine kinase (</w:t>
      </w:r>
      <w:r w:rsidR="0070289C" w:rsidRPr="0070289C">
        <w:rPr>
          <w:i/>
        </w:rPr>
        <w:t>MET</w:t>
      </w:r>
      <w:r w:rsidR="0070289C" w:rsidRPr="0070289C">
        <w:t>) gene alteration that causes skipping of exon 14 (</w:t>
      </w:r>
      <w:r w:rsidR="0070289C" w:rsidRPr="0070289C">
        <w:rPr>
          <w:i/>
        </w:rPr>
        <w:t>MET</w:t>
      </w:r>
      <w:r w:rsidR="0070289C" w:rsidRPr="0070289C">
        <w:t>ex14sk)</w:t>
      </w:r>
      <w:r w:rsidR="0070289C">
        <w:t>.</w:t>
      </w:r>
      <w:r w:rsidR="0070289C" w:rsidRPr="0070289C">
        <w:t xml:space="preserve"> </w:t>
      </w:r>
      <w:r w:rsidRPr="00B66ED6">
        <w:t xml:space="preserve">The PBAC was of a mind to recommend tepotinib pending MSAC advice on the funding of the </w:t>
      </w:r>
      <w:proofErr w:type="spellStart"/>
      <w:r w:rsidRPr="00B66ED6">
        <w:t>codependent</w:t>
      </w:r>
      <w:proofErr w:type="spellEnd"/>
      <w:r w:rsidRPr="00B66ED6">
        <w:t xml:space="preserve"> </w:t>
      </w:r>
      <w:r w:rsidRPr="00B66ED6">
        <w:rPr>
          <w:i/>
        </w:rPr>
        <w:t>MET</w:t>
      </w:r>
      <w:r w:rsidR="009F0B04">
        <w:t xml:space="preserve">ex14sk testing. </w:t>
      </w:r>
      <w:r w:rsidRPr="00B66ED6">
        <w:t xml:space="preserve">The PBAC considered that, despite the uncertainties associated with the indirect comparisons presented in the submission, on balance, it was likely tepotinib provided similar </w:t>
      </w:r>
      <w:r w:rsidR="00690D44">
        <w:t xml:space="preserve">health </w:t>
      </w:r>
      <w:r w:rsidRPr="00B66ED6">
        <w:t>outcomes to pembrolizumab in combination with chemotherapy in the proposed population. The PBAC considered that tepotinib would be acceptably cost effective if it were cost-minimised against pembrolizumab in combination with chemotherapy, taking into account the number of patients needed to be tested to identify one patien</w:t>
      </w:r>
      <w:r w:rsidR="00017A10">
        <w:t xml:space="preserve">t with a </w:t>
      </w:r>
      <w:r w:rsidR="00017A10" w:rsidRPr="00E62D8F">
        <w:rPr>
          <w:i/>
        </w:rPr>
        <w:t>MET</w:t>
      </w:r>
      <w:r w:rsidR="00017A10">
        <w:t xml:space="preserve">ex14sk alteration. </w:t>
      </w:r>
      <w:r w:rsidRPr="00B66ED6">
        <w:t xml:space="preserve">The PBAC considered a risk </w:t>
      </w:r>
      <w:r w:rsidR="00125C5D" w:rsidRPr="00B66ED6">
        <w:t>shar</w:t>
      </w:r>
      <w:r w:rsidR="00125C5D">
        <w:t>ing</w:t>
      </w:r>
      <w:r w:rsidR="00125C5D" w:rsidRPr="00B66ED6">
        <w:t xml:space="preserve"> </w:t>
      </w:r>
      <w:r w:rsidRPr="00B66ED6">
        <w:t>arrangement would be appropriate to manage the uncertainty associated with</w:t>
      </w:r>
      <w:r w:rsidR="006D794D">
        <w:t xml:space="preserve"> a number of </w:t>
      </w:r>
      <w:r w:rsidR="00125C5D">
        <w:t xml:space="preserve">the </w:t>
      </w:r>
      <w:r w:rsidR="006D794D">
        <w:t>CMA inputs and assumptions, including the treatment dura</w:t>
      </w:r>
      <w:r w:rsidR="006D794D" w:rsidRPr="006D794D">
        <w:t>tion</w:t>
      </w:r>
      <w:r w:rsidRPr="006D794D">
        <w:t>.</w:t>
      </w:r>
      <w:r w:rsidRPr="002F5704">
        <w:t xml:space="preserve">  </w:t>
      </w:r>
    </w:p>
    <w:p w:rsidR="005B399B" w:rsidRPr="002F5704" w:rsidRDefault="002F5704" w:rsidP="00F90612">
      <w:pPr>
        <w:pStyle w:val="ListParagraph"/>
        <w:rPr>
          <w:color w:val="auto"/>
        </w:rPr>
      </w:pPr>
      <w:r>
        <w:rPr>
          <w:color w:val="auto"/>
        </w:rPr>
        <w:t>T</w:t>
      </w:r>
      <w:r w:rsidRPr="002F5704">
        <w:rPr>
          <w:color w:val="auto"/>
        </w:rPr>
        <w:t xml:space="preserve">he PBAC noted the relatively small population of patients with NSCLC and </w:t>
      </w:r>
      <w:r w:rsidRPr="002F5704">
        <w:rPr>
          <w:i/>
          <w:color w:val="auto"/>
        </w:rPr>
        <w:t>MET</w:t>
      </w:r>
      <w:r>
        <w:rPr>
          <w:color w:val="auto"/>
        </w:rPr>
        <w:t>ex14s</w:t>
      </w:r>
      <w:r w:rsidRPr="002F5704">
        <w:rPr>
          <w:color w:val="auto"/>
        </w:rPr>
        <w:t>k alterations and the cl</w:t>
      </w:r>
      <w:r>
        <w:rPr>
          <w:color w:val="auto"/>
        </w:rPr>
        <w:t>i</w:t>
      </w:r>
      <w:r w:rsidRPr="002F5704">
        <w:rPr>
          <w:color w:val="auto"/>
        </w:rPr>
        <w:t>nical need for additional therapies</w:t>
      </w:r>
      <w:r w:rsidR="00317082">
        <w:rPr>
          <w:color w:val="auto"/>
        </w:rPr>
        <w:t xml:space="preserve"> for NSCLC, which was supported by the consumer comments received</w:t>
      </w:r>
      <w:r w:rsidRPr="002F5704">
        <w:rPr>
          <w:color w:val="auto"/>
        </w:rPr>
        <w:t xml:space="preserve">.  </w:t>
      </w:r>
    </w:p>
    <w:p w:rsidR="00904967" w:rsidRPr="00904967" w:rsidRDefault="00256DAC" w:rsidP="00904967">
      <w:pPr>
        <w:pStyle w:val="ListParagraph"/>
        <w:rPr>
          <w:color w:val="auto"/>
        </w:rPr>
      </w:pPr>
      <w:r>
        <w:t xml:space="preserve">The PBAC considered it </w:t>
      </w:r>
      <w:r w:rsidR="001043E5">
        <w:t xml:space="preserve">would be </w:t>
      </w:r>
      <w:r>
        <w:t xml:space="preserve">appropriate for tepotinib to be </w:t>
      </w:r>
      <w:r w:rsidR="001043E5">
        <w:t xml:space="preserve">listed on the PBS </w:t>
      </w:r>
      <w:r w:rsidR="00DF61E4">
        <w:t xml:space="preserve">as a line agnostic treatment </w:t>
      </w:r>
      <w:r>
        <w:t>for patients with Stage IIIB and Stage IV NSCLC with a WHO performance status of 0 to 2</w:t>
      </w:r>
      <w:r w:rsidR="00633A5E">
        <w:t>, as requested in</w:t>
      </w:r>
      <w:r w:rsidR="00DF61E4">
        <w:t xml:space="preserve"> the submission</w:t>
      </w:r>
      <w:r>
        <w:t>. The PBAC considered it was</w:t>
      </w:r>
      <w:r w:rsidR="00372C62">
        <w:t xml:space="preserve"> reasonable</w:t>
      </w:r>
      <w:r>
        <w:t xml:space="preserve"> for the listing to be silent on histology</w:t>
      </w:r>
      <w:r w:rsidR="00DF61E4">
        <w:t xml:space="preserve"> </w:t>
      </w:r>
      <w:r w:rsidR="001043E5">
        <w:t>should the MSAC support testing in pati</w:t>
      </w:r>
      <w:r w:rsidR="00633A5E">
        <w:t>ents with squamous and non-squam</w:t>
      </w:r>
      <w:r w:rsidR="001043E5">
        <w:t>ous NSCLC.</w:t>
      </w:r>
      <w:r>
        <w:t xml:space="preserve"> </w:t>
      </w:r>
      <w:r w:rsidR="00904967" w:rsidRPr="00904967">
        <w:rPr>
          <w:color w:val="auto"/>
        </w:rPr>
        <w:t xml:space="preserve">The </w:t>
      </w:r>
      <w:r w:rsidR="00904967">
        <w:rPr>
          <w:color w:val="auto"/>
        </w:rPr>
        <w:t xml:space="preserve">PBAC considered it would be appropriate to include a </w:t>
      </w:r>
      <w:r w:rsidR="00904967" w:rsidRPr="00904967">
        <w:rPr>
          <w:color w:val="auto"/>
        </w:rPr>
        <w:t xml:space="preserve">grandfather restriction </w:t>
      </w:r>
      <w:r w:rsidR="00904967">
        <w:rPr>
          <w:color w:val="auto"/>
        </w:rPr>
        <w:t xml:space="preserve">and this </w:t>
      </w:r>
      <w:r w:rsidR="00904967" w:rsidRPr="00904967">
        <w:rPr>
          <w:color w:val="auto"/>
        </w:rPr>
        <w:t>should remain in place for 12</w:t>
      </w:r>
      <w:r w:rsidR="00372C62">
        <w:rPr>
          <w:color w:val="auto"/>
        </w:rPr>
        <w:t xml:space="preserve"> months</w:t>
      </w:r>
      <w:r w:rsidR="00904967" w:rsidRPr="00904967">
        <w:rPr>
          <w:color w:val="auto"/>
        </w:rPr>
        <w:t xml:space="preserve">.  </w:t>
      </w:r>
    </w:p>
    <w:p w:rsidR="00256DAC" w:rsidRPr="009A045E" w:rsidRDefault="00435291" w:rsidP="009A045E">
      <w:pPr>
        <w:pStyle w:val="ListParagraph"/>
        <w:rPr>
          <w:color w:val="auto"/>
        </w:rPr>
      </w:pPr>
      <w:r>
        <w:rPr>
          <w:color w:val="auto"/>
        </w:rPr>
        <w:t xml:space="preserve">The PBAC noted the submission nominated </w:t>
      </w:r>
      <w:r w:rsidRPr="00435291">
        <w:rPr>
          <w:color w:val="auto"/>
        </w:rPr>
        <w:t>pembrolizumab in combination with chemotherapy as the main comparator</w:t>
      </w:r>
      <w:r>
        <w:rPr>
          <w:color w:val="auto"/>
        </w:rPr>
        <w:t xml:space="preserve"> and considered </w:t>
      </w:r>
      <w:r w:rsidR="001B3976">
        <w:rPr>
          <w:color w:val="auto"/>
        </w:rPr>
        <w:t>this was reasona</w:t>
      </w:r>
      <w:r>
        <w:rPr>
          <w:color w:val="auto"/>
        </w:rPr>
        <w:t xml:space="preserve">ble. </w:t>
      </w:r>
      <w:r w:rsidR="001B3976">
        <w:rPr>
          <w:color w:val="auto"/>
        </w:rPr>
        <w:t>The PBAC noted that</w:t>
      </w:r>
      <w:r w:rsidR="005F4277">
        <w:rPr>
          <w:color w:val="auto"/>
        </w:rPr>
        <w:t>,</w:t>
      </w:r>
      <w:r w:rsidR="001B3976">
        <w:rPr>
          <w:color w:val="auto"/>
        </w:rPr>
        <w:t xml:space="preserve"> to a lesser extent</w:t>
      </w:r>
      <w:r w:rsidR="005F4277">
        <w:rPr>
          <w:color w:val="auto"/>
        </w:rPr>
        <w:t>,</w:t>
      </w:r>
      <w:r w:rsidR="001B3976">
        <w:rPr>
          <w:color w:val="auto"/>
        </w:rPr>
        <w:t xml:space="preserve"> tepotinib may also substitute for pembrolizumab monotherapy or chemotherapy </w:t>
      </w:r>
      <w:r w:rsidR="009A045E">
        <w:rPr>
          <w:color w:val="auto"/>
        </w:rPr>
        <w:t xml:space="preserve">alone. </w:t>
      </w:r>
      <w:r w:rsidR="001B3976">
        <w:rPr>
          <w:color w:val="auto"/>
        </w:rPr>
        <w:t xml:space="preserve">The PBAC noted that while tepotinib would replace pembrolizumab in combination with chemotherapy in the first line setting, it is likely immunotherapy would be displaced to second line treatment. However, the PBAC noted the current PBS </w:t>
      </w:r>
      <w:r w:rsidR="00B32418">
        <w:rPr>
          <w:color w:val="auto"/>
        </w:rPr>
        <w:t xml:space="preserve">restrictions </w:t>
      </w:r>
      <w:r w:rsidR="001B3976">
        <w:rPr>
          <w:color w:val="auto"/>
        </w:rPr>
        <w:t xml:space="preserve">for immunotherapies </w:t>
      </w:r>
      <w:r w:rsidR="00B32418">
        <w:rPr>
          <w:color w:val="auto"/>
        </w:rPr>
        <w:t xml:space="preserve">would </w:t>
      </w:r>
      <w:r w:rsidR="001B3976">
        <w:rPr>
          <w:color w:val="auto"/>
        </w:rPr>
        <w:t xml:space="preserve">preclude </w:t>
      </w:r>
      <w:r w:rsidR="00B32418">
        <w:rPr>
          <w:color w:val="auto"/>
        </w:rPr>
        <w:t xml:space="preserve">their </w:t>
      </w:r>
      <w:r w:rsidR="001B3976">
        <w:rPr>
          <w:color w:val="auto"/>
        </w:rPr>
        <w:t>use second line to tepotinib; therefore, flow on changes will be required</w:t>
      </w:r>
      <w:r w:rsidR="006827F2">
        <w:rPr>
          <w:color w:val="auto"/>
        </w:rPr>
        <w:t xml:space="preserve"> should tepotinib be recommended for listing</w:t>
      </w:r>
      <w:r w:rsidR="001B3976">
        <w:rPr>
          <w:color w:val="auto"/>
        </w:rPr>
        <w:t xml:space="preserve">.  </w:t>
      </w:r>
    </w:p>
    <w:p w:rsidR="00C34D47" w:rsidRDefault="00247643" w:rsidP="00F90612">
      <w:pPr>
        <w:pStyle w:val="ListParagraph"/>
        <w:rPr>
          <w:color w:val="auto"/>
        </w:rPr>
      </w:pPr>
      <w:r>
        <w:rPr>
          <w:color w:val="auto"/>
        </w:rPr>
        <w:t xml:space="preserve">The PBAC noted the clinical evidence for tepotinib was from the VISION study, a single arm study of patients with advanced NSCLC with </w:t>
      </w:r>
      <w:r w:rsidRPr="00247643">
        <w:rPr>
          <w:i/>
          <w:color w:val="auto"/>
        </w:rPr>
        <w:t>MET</w:t>
      </w:r>
      <w:r>
        <w:rPr>
          <w:color w:val="auto"/>
        </w:rPr>
        <w:t xml:space="preserve"> alterations. </w:t>
      </w:r>
      <w:r w:rsidR="00055FCF">
        <w:rPr>
          <w:color w:val="auto"/>
        </w:rPr>
        <w:t>T</w:t>
      </w:r>
      <w:r w:rsidR="007906CD">
        <w:rPr>
          <w:color w:val="auto"/>
        </w:rPr>
        <w:t xml:space="preserve">he pivotal evidence </w:t>
      </w:r>
      <w:r w:rsidR="002F4227">
        <w:rPr>
          <w:color w:val="auto"/>
        </w:rPr>
        <w:t xml:space="preserve">in the submission </w:t>
      </w:r>
      <w:r w:rsidR="007906CD">
        <w:rPr>
          <w:color w:val="auto"/>
        </w:rPr>
        <w:t>was from Cohort A</w:t>
      </w:r>
      <w:r w:rsidR="008A7760">
        <w:rPr>
          <w:color w:val="auto"/>
        </w:rPr>
        <w:t xml:space="preserve"> (n=146) which enrolled patients with </w:t>
      </w:r>
      <w:r w:rsidR="008A7760" w:rsidRPr="002F4227">
        <w:rPr>
          <w:i/>
          <w:color w:val="auto"/>
        </w:rPr>
        <w:t>MET</w:t>
      </w:r>
      <w:r w:rsidR="00E511E9">
        <w:rPr>
          <w:color w:val="auto"/>
        </w:rPr>
        <w:t>ex14sk alteration</w:t>
      </w:r>
      <w:r w:rsidR="008A7760">
        <w:rPr>
          <w:color w:val="auto"/>
        </w:rPr>
        <w:t xml:space="preserve">. </w:t>
      </w:r>
      <w:r w:rsidR="00055FCF">
        <w:rPr>
          <w:color w:val="auto"/>
        </w:rPr>
        <w:t>The PBAC noted the</w:t>
      </w:r>
      <w:r w:rsidR="002F4227">
        <w:rPr>
          <w:color w:val="auto"/>
        </w:rPr>
        <w:t xml:space="preserve"> ORR</w:t>
      </w:r>
      <w:r w:rsidR="00055FCF">
        <w:rPr>
          <w:color w:val="auto"/>
        </w:rPr>
        <w:t xml:space="preserve"> (</w:t>
      </w:r>
      <w:r w:rsidR="00CC7A29">
        <w:rPr>
          <w:color w:val="auto"/>
        </w:rPr>
        <w:t xml:space="preserve">the </w:t>
      </w:r>
      <w:r w:rsidR="00055FCF">
        <w:rPr>
          <w:color w:val="auto"/>
        </w:rPr>
        <w:t xml:space="preserve">primary outcome in the study) was 45%, median </w:t>
      </w:r>
      <w:r w:rsidR="002F4227">
        <w:rPr>
          <w:color w:val="auto"/>
        </w:rPr>
        <w:t xml:space="preserve">PFS </w:t>
      </w:r>
      <w:r w:rsidR="00055FCF">
        <w:rPr>
          <w:color w:val="auto"/>
        </w:rPr>
        <w:t xml:space="preserve">was 8.9 months and median </w:t>
      </w:r>
      <w:r w:rsidR="002F4227">
        <w:rPr>
          <w:color w:val="auto"/>
        </w:rPr>
        <w:t xml:space="preserve">OS </w:t>
      </w:r>
      <w:r w:rsidR="00055FCF">
        <w:rPr>
          <w:color w:val="auto"/>
        </w:rPr>
        <w:t>was 17.6 months</w:t>
      </w:r>
      <w:r w:rsidR="002F4227">
        <w:rPr>
          <w:color w:val="auto"/>
        </w:rPr>
        <w:t xml:space="preserve"> for the combined liquid and tissue biopsy group</w:t>
      </w:r>
      <w:r w:rsidR="00055FCF">
        <w:rPr>
          <w:color w:val="auto"/>
        </w:rPr>
        <w:t>.</w:t>
      </w:r>
      <w:r w:rsidR="00C34D47">
        <w:rPr>
          <w:color w:val="auto"/>
        </w:rPr>
        <w:t xml:space="preserve"> </w:t>
      </w:r>
      <w:r w:rsidR="002F4227">
        <w:rPr>
          <w:color w:val="auto"/>
        </w:rPr>
        <w:t xml:space="preserve">The PBAC noted the ORR was 46%, median PFS 11.0 months and median OS 20.4 months in the tissue biopsy group which </w:t>
      </w:r>
      <w:r w:rsidR="00082321">
        <w:rPr>
          <w:color w:val="auto"/>
        </w:rPr>
        <w:t>together su</w:t>
      </w:r>
      <w:r w:rsidR="005F4277">
        <w:rPr>
          <w:color w:val="auto"/>
        </w:rPr>
        <w:t xml:space="preserve">ggest the </w:t>
      </w:r>
      <w:r w:rsidR="00082321">
        <w:rPr>
          <w:color w:val="auto"/>
        </w:rPr>
        <w:t xml:space="preserve">results from the </w:t>
      </w:r>
      <w:r w:rsidR="005F4277">
        <w:rPr>
          <w:color w:val="auto"/>
        </w:rPr>
        <w:t>overall</w:t>
      </w:r>
      <w:r w:rsidR="00AE7A2D">
        <w:rPr>
          <w:color w:val="auto"/>
        </w:rPr>
        <w:t xml:space="preserve"> </w:t>
      </w:r>
      <w:r w:rsidR="00082321">
        <w:rPr>
          <w:color w:val="auto"/>
        </w:rPr>
        <w:t>sample</w:t>
      </w:r>
      <w:r w:rsidR="005F4277">
        <w:rPr>
          <w:color w:val="auto"/>
        </w:rPr>
        <w:t xml:space="preserve"> may be conservative </w:t>
      </w:r>
      <w:r w:rsidR="00E62D8F">
        <w:rPr>
          <w:color w:val="auto"/>
        </w:rPr>
        <w:t xml:space="preserve">for the </w:t>
      </w:r>
      <w:r w:rsidR="002F4227">
        <w:rPr>
          <w:color w:val="auto"/>
        </w:rPr>
        <w:t>Australian</w:t>
      </w:r>
      <w:r w:rsidR="00E62D8F">
        <w:rPr>
          <w:color w:val="auto"/>
        </w:rPr>
        <w:t xml:space="preserve"> treated population as testing will be based on tissue biopsy</w:t>
      </w:r>
      <w:r w:rsidR="002F4227">
        <w:rPr>
          <w:color w:val="auto"/>
        </w:rPr>
        <w:t xml:space="preserve">.  </w:t>
      </w:r>
      <w:r w:rsidR="00055FCF">
        <w:rPr>
          <w:color w:val="auto"/>
        </w:rPr>
        <w:t xml:space="preserve"> </w:t>
      </w:r>
    </w:p>
    <w:p w:rsidR="004F3B86" w:rsidRPr="001017A0" w:rsidRDefault="00FE0678" w:rsidP="00FE0678">
      <w:pPr>
        <w:pStyle w:val="ListParagraph"/>
        <w:rPr>
          <w:color w:val="auto"/>
        </w:rPr>
      </w:pPr>
      <w:r>
        <w:rPr>
          <w:color w:val="auto"/>
        </w:rPr>
        <w:t xml:space="preserve">The PBAC noted the clinical claim in the submission was that tepotinib was non-inferior to pembrolizumab in combination with chemotherapy in terms of effectiveness and safety. </w:t>
      </w:r>
      <w:r w:rsidR="00633A5E" w:rsidRPr="00FE0678">
        <w:rPr>
          <w:color w:val="auto"/>
        </w:rPr>
        <w:t xml:space="preserve">The PBAC noted the </w:t>
      </w:r>
      <w:r w:rsidRPr="00FE0678">
        <w:rPr>
          <w:color w:val="auto"/>
        </w:rPr>
        <w:t xml:space="preserve">clinical claim </w:t>
      </w:r>
      <w:r w:rsidR="00633A5E" w:rsidRPr="00FE0678">
        <w:rPr>
          <w:color w:val="auto"/>
        </w:rPr>
        <w:t xml:space="preserve">was based </w:t>
      </w:r>
      <w:r w:rsidR="00EA60F2">
        <w:rPr>
          <w:color w:val="auto"/>
        </w:rPr>
        <w:t xml:space="preserve">on an unanchored </w:t>
      </w:r>
      <w:r w:rsidR="00633A5E" w:rsidRPr="00FE0678">
        <w:rPr>
          <w:color w:val="auto"/>
        </w:rPr>
        <w:t xml:space="preserve">indirect comparison </w:t>
      </w:r>
      <w:r w:rsidR="00372C62" w:rsidRPr="00FE0678">
        <w:rPr>
          <w:color w:val="auto"/>
        </w:rPr>
        <w:t xml:space="preserve">of </w:t>
      </w:r>
      <w:r>
        <w:rPr>
          <w:color w:val="auto"/>
        </w:rPr>
        <w:t xml:space="preserve">the subgroup of </w:t>
      </w:r>
      <w:r w:rsidR="00860E7D">
        <w:rPr>
          <w:color w:val="auto"/>
        </w:rPr>
        <w:t>previously untreated</w:t>
      </w:r>
      <w:r>
        <w:rPr>
          <w:color w:val="auto"/>
        </w:rPr>
        <w:t xml:space="preserve"> </w:t>
      </w:r>
      <w:r w:rsidR="00372C62" w:rsidRPr="00FE0678">
        <w:rPr>
          <w:color w:val="auto"/>
        </w:rPr>
        <w:t xml:space="preserve">patients in Cohort A of the VISION study (n=65) and patients treated with </w:t>
      </w:r>
      <w:r w:rsidR="00633A5E" w:rsidRPr="00FE0678">
        <w:rPr>
          <w:color w:val="auto"/>
        </w:rPr>
        <w:t xml:space="preserve">pembrolizumab </w:t>
      </w:r>
      <w:r w:rsidR="006D48BD">
        <w:rPr>
          <w:color w:val="auto"/>
        </w:rPr>
        <w:t>in combination with</w:t>
      </w:r>
      <w:r w:rsidR="00372C62" w:rsidRPr="00FE0678">
        <w:rPr>
          <w:color w:val="auto"/>
        </w:rPr>
        <w:t xml:space="preserve"> </w:t>
      </w:r>
      <w:r w:rsidR="00633A5E" w:rsidRPr="00FE0678">
        <w:rPr>
          <w:color w:val="auto"/>
        </w:rPr>
        <w:t xml:space="preserve">chemotherapy </w:t>
      </w:r>
      <w:r w:rsidR="00372C62" w:rsidRPr="00FE0678">
        <w:rPr>
          <w:color w:val="auto"/>
        </w:rPr>
        <w:t>in the KN189 study (n=</w:t>
      </w:r>
      <w:r w:rsidR="009A1144" w:rsidRPr="00FE0678">
        <w:rPr>
          <w:color w:val="auto"/>
        </w:rPr>
        <w:t>410)</w:t>
      </w:r>
      <w:r w:rsidR="00372C62" w:rsidRPr="00FE0678">
        <w:rPr>
          <w:color w:val="auto"/>
        </w:rPr>
        <w:t xml:space="preserve">. </w:t>
      </w:r>
      <w:r w:rsidR="009A1144" w:rsidRPr="00FE0678">
        <w:rPr>
          <w:color w:val="auto"/>
        </w:rPr>
        <w:t xml:space="preserve">The </w:t>
      </w:r>
      <w:r w:rsidR="00860E7D">
        <w:rPr>
          <w:color w:val="auto"/>
        </w:rPr>
        <w:t xml:space="preserve">efficacy </w:t>
      </w:r>
      <w:r w:rsidR="009A1144" w:rsidRPr="00FE0678">
        <w:rPr>
          <w:color w:val="auto"/>
        </w:rPr>
        <w:t xml:space="preserve">results for pembrolizumab </w:t>
      </w:r>
      <w:r w:rsidR="00860E7D">
        <w:rPr>
          <w:color w:val="auto"/>
        </w:rPr>
        <w:t xml:space="preserve">were adjusted to account </w:t>
      </w:r>
      <w:r w:rsidR="00BC1B2B">
        <w:rPr>
          <w:color w:val="auto"/>
        </w:rPr>
        <w:t xml:space="preserve">for differences </w:t>
      </w:r>
      <w:r w:rsidR="00A0182A">
        <w:rPr>
          <w:color w:val="auto"/>
        </w:rPr>
        <w:t xml:space="preserve">in baseline characteristics </w:t>
      </w:r>
      <w:r w:rsidR="00860E7D">
        <w:rPr>
          <w:color w:val="auto"/>
        </w:rPr>
        <w:t>in gender</w:t>
      </w:r>
      <w:r w:rsidR="002046CB">
        <w:rPr>
          <w:color w:val="auto"/>
        </w:rPr>
        <w:t xml:space="preserve"> (52% male in VISION vs 62% in KN189)</w:t>
      </w:r>
      <w:r w:rsidR="00860E7D">
        <w:rPr>
          <w:color w:val="auto"/>
        </w:rPr>
        <w:t xml:space="preserve">, </w:t>
      </w:r>
      <w:r w:rsidR="002046CB">
        <w:rPr>
          <w:color w:val="auto"/>
        </w:rPr>
        <w:t xml:space="preserve">age (median 74 in VISION vs 65 in KN189) and </w:t>
      </w:r>
      <w:r w:rsidR="00860E7D">
        <w:rPr>
          <w:color w:val="auto"/>
        </w:rPr>
        <w:t>histology</w:t>
      </w:r>
      <w:r w:rsidR="002046CB">
        <w:rPr>
          <w:color w:val="auto"/>
        </w:rPr>
        <w:t xml:space="preserve"> </w:t>
      </w:r>
      <w:r w:rsidR="002046CB" w:rsidRPr="002046CB">
        <w:rPr>
          <w:color w:val="auto"/>
        </w:rPr>
        <w:t>(7%</w:t>
      </w:r>
      <w:r w:rsidR="002046CB">
        <w:rPr>
          <w:color w:val="auto"/>
        </w:rPr>
        <w:t xml:space="preserve"> squamous in VISION vs 0% in KN189)</w:t>
      </w:r>
      <w:r w:rsidR="00BC1B2B">
        <w:rPr>
          <w:color w:val="auto"/>
        </w:rPr>
        <w:t xml:space="preserve">. </w:t>
      </w:r>
      <w:r w:rsidR="00A0182A">
        <w:rPr>
          <w:color w:val="auto"/>
        </w:rPr>
        <w:t xml:space="preserve">The results were further adjusted to account for the over-representation of patients with PD-L1 TPS </w:t>
      </w:r>
      <w:r w:rsidR="00A0182A">
        <w:rPr>
          <w:rFonts w:cstheme="minorHAnsi"/>
          <w:color w:val="auto"/>
        </w:rPr>
        <w:t>≥</w:t>
      </w:r>
      <w:r w:rsidR="00A0182A">
        <w:rPr>
          <w:color w:val="auto"/>
        </w:rPr>
        <w:t>50% in the pembrolizumab trials compared to the Australian NSCLC population (32% vs 22%)</w:t>
      </w:r>
      <w:r w:rsidR="009F0B04">
        <w:rPr>
          <w:color w:val="auto"/>
        </w:rPr>
        <w:t xml:space="preserve">. </w:t>
      </w:r>
      <w:r w:rsidR="00BC1B2B">
        <w:rPr>
          <w:color w:val="auto"/>
        </w:rPr>
        <w:t xml:space="preserve">The PBAC noted </w:t>
      </w:r>
      <w:r w:rsidR="00A0182A">
        <w:rPr>
          <w:color w:val="auto"/>
        </w:rPr>
        <w:t xml:space="preserve">the results </w:t>
      </w:r>
      <w:r w:rsidR="002046CB">
        <w:rPr>
          <w:color w:val="auto"/>
        </w:rPr>
        <w:t xml:space="preserve">provided in the submission </w:t>
      </w:r>
      <w:r w:rsidR="00A0182A">
        <w:rPr>
          <w:color w:val="auto"/>
        </w:rPr>
        <w:t xml:space="preserve">were not adjusted for differences in </w:t>
      </w:r>
      <w:r w:rsidR="002046CB">
        <w:rPr>
          <w:color w:val="auto"/>
        </w:rPr>
        <w:t xml:space="preserve">brain metastases (9.6% in VISION vs 17.8% in KN189), </w:t>
      </w:r>
      <w:r w:rsidR="00A0182A">
        <w:rPr>
          <w:color w:val="auto"/>
        </w:rPr>
        <w:t>smoking rates</w:t>
      </w:r>
      <w:r w:rsidR="002046CB">
        <w:rPr>
          <w:color w:val="auto"/>
        </w:rPr>
        <w:t xml:space="preserve"> (52% in VISION vs 88% in KN189)</w:t>
      </w:r>
      <w:r w:rsidR="00A0182A">
        <w:rPr>
          <w:color w:val="auto"/>
        </w:rPr>
        <w:t xml:space="preserve">, PD-L1 expression in the tepotinib study, </w:t>
      </w:r>
      <w:r w:rsidR="00A0182A" w:rsidRPr="00A0182A">
        <w:rPr>
          <w:i/>
          <w:color w:val="auto"/>
        </w:rPr>
        <w:t>MET</w:t>
      </w:r>
      <w:r w:rsidR="00A0182A">
        <w:rPr>
          <w:color w:val="auto"/>
        </w:rPr>
        <w:t>ex14sk status in the pembrolizumab study and othe</w:t>
      </w:r>
      <w:r w:rsidR="002046CB">
        <w:rPr>
          <w:color w:val="auto"/>
        </w:rPr>
        <w:t xml:space="preserve">r potential, </w:t>
      </w:r>
      <w:r w:rsidR="009F0B04">
        <w:rPr>
          <w:color w:val="auto"/>
        </w:rPr>
        <w:t>unknown</w:t>
      </w:r>
      <w:r w:rsidR="002046CB">
        <w:rPr>
          <w:color w:val="auto"/>
        </w:rPr>
        <w:t xml:space="preserve"> factors</w:t>
      </w:r>
      <w:r w:rsidR="009F0B04">
        <w:rPr>
          <w:color w:val="auto"/>
        </w:rPr>
        <w:t xml:space="preserve">. </w:t>
      </w:r>
      <w:r w:rsidR="00740505">
        <w:rPr>
          <w:color w:val="auto"/>
        </w:rPr>
        <w:t>H</w:t>
      </w:r>
      <w:r w:rsidR="00A0182A">
        <w:rPr>
          <w:color w:val="auto"/>
        </w:rPr>
        <w:t xml:space="preserve">owever, </w:t>
      </w:r>
      <w:r w:rsidR="00740505">
        <w:rPr>
          <w:color w:val="auto"/>
        </w:rPr>
        <w:t xml:space="preserve">the PBAC </w:t>
      </w:r>
      <w:r w:rsidR="00EA60F2" w:rsidRPr="001017A0">
        <w:rPr>
          <w:color w:val="auto"/>
        </w:rPr>
        <w:t xml:space="preserve">considered </w:t>
      </w:r>
      <w:r w:rsidR="00C80662">
        <w:rPr>
          <w:color w:val="auto"/>
        </w:rPr>
        <w:t>a</w:t>
      </w:r>
      <w:r w:rsidR="005728DA">
        <w:rPr>
          <w:color w:val="auto"/>
        </w:rPr>
        <w:t xml:space="preserve">n unanchored </w:t>
      </w:r>
      <w:r w:rsidR="00EA60F2" w:rsidRPr="001017A0">
        <w:rPr>
          <w:color w:val="auto"/>
        </w:rPr>
        <w:t xml:space="preserve">indirect treatment </w:t>
      </w:r>
      <w:r w:rsidR="00C80662">
        <w:rPr>
          <w:color w:val="auto"/>
        </w:rPr>
        <w:t xml:space="preserve">comparison </w:t>
      </w:r>
      <w:r w:rsidR="00740505" w:rsidRPr="001017A0">
        <w:rPr>
          <w:color w:val="auto"/>
        </w:rPr>
        <w:t xml:space="preserve">was inherently uncertain and respecifying the analysis </w:t>
      </w:r>
      <w:r w:rsidR="00BC1B2B" w:rsidRPr="001017A0">
        <w:rPr>
          <w:color w:val="auto"/>
        </w:rPr>
        <w:t xml:space="preserve">to include </w:t>
      </w:r>
      <w:r w:rsidR="00C80662">
        <w:rPr>
          <w:color w:val="auto"/>
        </w:rPr>
        <w:t xml:space="preserve">additional </w:t>
      </w:r>
      <w:r w:rsidR="00BC1B2B" w:rsidRPr="001017A0">
        <w:rPr>
          <w:color w:val="auto"/>
        </w:rPr>
        <w:t xml:space="preserve">adjustments </w:t>
      </w:r>
      <w:r w:rsidR="00740505" w:rsidRPr="001017A0">
        <w:rPr>
          <w:color w:val="auto"/>
        </w:rPr>
        <w:t xml:space="preserve">would not substantially improve </w:t>
      </w:r>
      <w:r w:rsidR="00082321">
        <w:rPr>
          <w:color w:val="auto"/>
        </w:rPr>
        <w:t xml:space="preserve">confidence in the </w:t>
      </w:r>
      <w:r w:rsidR="009050FE">
        <w:rPr>
          <w:color w:val="auto"/>
        </w:rPr>
        <w:t>results of the</w:t>
      </w:r>
      <w:r w:rsidR="00AE7A2D">
        <w:rPr>
          <w:color w:val="auto"/>
        </w:rPr>
        <w:t xml:space="preserve"> </w:t>
      </w:r>
      <w:r w:rsidR="00082321">
        <w:rPr>
          <w:color w:val="auto"/>
        </w:rPr>
        <w:t>comparison</w:t>
      </w:r>
      <w:r w:rsidR="00740505" w:rsidRPr="001017A0">
        <w:rPr>
          <w:color w:val="auto"/>
        </w:rPr>
        <w:t xml:space="preserve">.  </w:t>
      </w:r>
    </w:p>
    <w:p w:rsidR="00E8392F" w:rsidRDefault="0020753D" w:rsidP="00337B87">
      <w:pPr>
        <w:pStyle w:val="ListParagraph"/>
        <w:rPr>
          <w:color w:val="auto"/>
        </w:rPr>
      </w:pPr>
      <w:r w:rsidRPr="00E8392F">
        <w:rPr>
          <w:color w:val="auto"/>
        </w:rPr>
        <w:t>The PBAC considered that</w:t>
      </w:r>
      <w:r w:rsidR="003E56CB" w:rsidRPr="00E8392F">
        <w:rPr>
          <w:color w:val="auto"/>
        </w:rPr>
        <w:t xml:space="preserve">, </w:t>
      </w:r>
      <w:r w:rsidRPr="00E8392F">
        <w:rPr>
          <w:color w:val="auto"/>
        </w:rPr>
        <w:t>overall, tepotinib was likely to be</w:t>
      </w:r>
      <w:r w:rsidR="009508B7" w:rsidRPr="00E8392F">
        <w:rPr>
          <w:color w:val="auto"/>
        </w:rPr>
        <w:t xml:space="preserve"> non-inferior</w:t>
      </w:r>
      <w:r w:rsidRPr="00E8392F">
        <w:rPr>
          <w:color w:val="auto"/>
        </w:rPr>
        <w:t xml:space="preserve"> to pembrolizumab </w:t>
      </w:r>
      <w:r w:rsidR="00FE4523" w:rsidRPr="00E8392F">
        <w:rPr>
          <w:color w:val="auto"/>
        </w:rPr>
        <w:t xml:space="preserve">in combination with chemotherapy </w:t>
      </w:r>
      <w:r w:rsidRPr="00E8392F">
        <w:rPr>
          <w:color w:val="auto"/>
        </w:rPr>
        <w:t>in terms of efficacy and safety</w:t>
      </w:r>
      <w:r w:rsidR="00195069" w:rsidRPr="00E8392F">
        <w:rPr>
          <w:color w:val="auto"/>
        </w:rPr>
        <w:t xml:space="preserve"> in the requested patient population</w:t>
      </w:r>
      <w:r w:rsidR="009508B7" w:rsidRPr="00E8392F">
        <w:rPr>
          <w:color w:val="auto"/>
        </w:rPr>
        <w:t xml:space="preserve">. The PBAC noted patients with </w:t>
      </w:r>
      <w:r w:rsidR="009508B7" w:rsidRPr="00E8392F">
        <w:rPr>
          <w:i/>
          <w:color w:val="auto"/>
        </w:rPr>
        <w:t>MET</w:t>
      </w:r>
      <w:r w:rsidR="009508B7" w:rsidRPr="00E8392F">
        <w:rPr>
          <w:color w:val="auto"/>
        </w:rPr>
        <w:t xml:space="preserve">ex14sk alterations tended to be older, </w:t>
      </w:r>
      <w:r w:rsidR="00CC7A29" w:rsidRPr="00E8392F">
        <w:rPr>
          <w:color w:val="auto"/>
        </w:rPr>
        <w:t xml:space="preserve">and in general, </w:t>
      </w:r>
      <w:r w:rsidR="009508B7" w:rsidRPr="00E8392F">
        <w:rPr>
          <w:color w:val="auto"/>
        </w:rPr>
        <w:t>older patients are les</w:t>
      </w:r>
      <w:r w:rsidR="006D48BD" w:rsidRPr="00E8392F">
        <w:rPr>
          <w:color w:val="auto"/>
        </w:rPr>
        <w:t xml:space="preserve">s responsive to immunotherapy. The PBAC considered tepotinib would provide a useful additional treatment option for people with a </w:t>
      </w:r>
      <w:r w:rsidR="006D48BD" w:rsidRPr="00E8392F">
        <w:rPr>
          <w:i/>
          <w:color w:val="auto"/>
        </w:rPr>
        <w:t>MET</w:t>
      </w:r>
      <w:r w:rsidR="006D48BD" w:rsidRPr="00E8392F">
        <w:rPr>
          <w:color w:val="auto"/>
        </w:rPr>
        <w:t xml:space="preserve">ex14sk alteration.  </w:t>
      </w:r>
    </w:p>
    <w:p w:rsidR="005728DA" w:rsidRPr="00F510D6" w:rsidRDefault="005728DA" w:rsidP="005728DA">
      <w:pPr>
        <w:pStyle w:val="ListParagraph"/>
        <w:rPr>
          <w:color w:val="auto"/>
        </w:rPr>
      </w:pPr>
      <w:bookmarkStart w:id="49" w:name="_Ref89349196"/>
      <w:r>
        <w:rPr>
          <w:color w:val="auto"/>
        </w:rPr>
        <w:t>The PBAC considered it was reasonable to base the average treatment duration</w:t>
      </w:r>
      <w:r w:rsidR="008F50E1">
        <w:rPr>
          <w:color w:val="auto"/>
        </w:rPr>
        <w:t xml:space="preserve"> for the CMA</w:t>
      </w:r>
      <w:r>
        <w:rPr>
          <w:color w:val="auto"/>
        </w:rPr>
        <w:t xml:space="preserve"> on the tepotinib TTD curves (as proposed in the submission) applying a log-normal extrapolation from when 20% of patients were at risk (as proposed by the ESC). </w:t>
      </w:r>
      <w:r w:rsidRPr="00920B50">
        <w:rPr>
          <w:color w:val="auto"/>
        </w:rPr>
        <w:t xml:space="preserve">The PBAC considered the </w:t>
      </w:r>
      <w:proofErr w:type="spellStart"/>
      <w:r w:rsidRPr="00920B50">
        <w:rPr>
          <w:color w:val="auto"/>
        </w:rPr>
        <w:t>equi</w:t>
      </w:r>
      <w:proofErr w:type="spellEnd"/>
      <w:r w:rsidRPr="00920B50">
        <w:rPr>
          <w:color w:val="auto"/>
        </w:rPr>
        <w:t>-effective doses were tepotinib</w:t>
      </w:r>
      <w:r w:rsidR="00A72936">
        <w:rPr>
          <w:color w:val="auto"/>
        </w:rPr>
        <w:t xml:space="preserve"> 392.8</w:t>
      </w:r>
      <w:r w:rsidRPr="005E333D">
        <w:rPr>
          <w:color w:val="auto"/>
        </w:rPr>
        <w:t xml:space="preserve"> mg</w:t>
      </w:r>
      <w:r w:rsidRPr="00920B50">
        <w:rPr>
          <w:color w:val="auto"/>
        </w:rPr>
        <w:t xml:space="preserve"> administered once daily</w:t>
      </w:r>
      <w:r>
        <w:rPr>
          <w:color w:val="auto"/>
        </w:rPr>
        <w:t xml:space="preserve"> for 13.98 months and </w:t>
      </w:r>
      <w:r w:rsidRPr="00F510D6">
        <w:rPr>
          <w:color w:val="auto"/>
        </w:rPr>
        <w:t>pembrolizumab 200 mg Q3W</w:t>
      </w:r>
      <w:r w:rsidR="00A72936">
        <w:rPr>
          <w:color w:val="auto"/>
        </w:rPr>
        <w:t xml:space="preserve"> for </w:t>
      </w:r>
      <w:r w:rsidR="00EF405D">
        <w:rPr>
          <w:color w:val="auto"/>
        </w:rPr>
        <w:t>15.74</w:t>
      </w:r>
      <w:r w:rsidR="00A72936">
        <w:rPr>
          <w:color w:val="auto"/>
        </w:rPr>
        <w:t xml:space="preserve"> cycles</w:t>
      </w:r>
      <w:r w:rsidRPr="00F510D6">
        <w:rPr>
          <w:color w:val="auto"/>
        </w:rPr>
        <w:t xml:space="preserve"> in combination with </w:t>
      </w:r>
      <w:proofErr w:type="spellStart"/>
      <w:r w:rsidRPr="00F510D6">
        <w:rPr>
          <w:color w:val="auto"/>
        </w:rPr>
        <w:t>pemetrexed</w:t>
      </w:r>
      <w:proofErr w:type="spellEnd"/>
      <w:r w:rsidRPr="00F510D6">
        <w:rPr>
          <w:color w:val="auto"/>
        </w:rPr>
        <w:t xml:space="preserve"> 865 mg Q3W for</w:t>
      </w:r>
      <w:r w:rsidR="00A72936">
        <w:rPr>
          <w:color w:val="auto"/>
        </w:rPr>
        <w:t xml:space="preserve"> </w:t>
      </w:r>
      <w:r w:rsidR="00EF405D">
        <w:rPr>
          <w:color w:val="auto"/>
        </w:rPr>
        <w:t>16.23</w:t>
      </w:r>
      <w:r w:rsidR="00A72936">
        <w:rPr>
          <w:color w:val="auto"/>
        </w:rPr>
        <w:t xml:space="preserve"> cycles</w:t>
      </w:r>
      <w:r w:rsidRPr="00F510D6">
        <w:rPr>
          <w:color w:val="auto"/>
        </w:rPr>
        <w:t xml:space="preserve">, 129.75 mg cisplatin Q3W or 477.1 mg carboplatin Q3W for </w:t>
      </w:r>
      <w:r w:rsidR="00EF405D">
        <w:rPr>
          <w:color w:val="auto"/>
        </w:rPr>
        <w:t>3.8</w:t>
      </w:r>
      <w:r w:rsidR="006D794D">
        <w:rPr>
          <w:color w:val="auto"/>
        </w:rPr>
        <w:t xml:space="preserve"> </w:t>
      </w:r>
      <w:r w:rsidR="00A72936">
        <w:rPr>
          <w:color w:val="auto"/>
        </w:rPr>
        <w:t>cycles</w:t>
      </w:r>
      <w:r w:rsidRPr="00F510D6">
        <w:rPr>
          <w:color w:val="auto"/>
        </w:rPr>
        <w:t xml:space="preserve">. The PBAC </w:t>
      </w:r>
      <w:r w:rsidR="00A72936">
        <w:rPr>
          <w:color w:val="auto"/>
        </w:rPr>
        <w:t>noted the</w:t>
      </w:r>
      <w:r w:rsidR="006D794D">
        <w:rPr>
          <w:color w:val="auto"/>
        </w:rPr>
        <w:t>se</w:t>
      </w:r>
      <w:r w:rsidR="00A72936">
        <w:rPr>
          <w:color w:val="auto"/>
        </w:rPr>
        <w:t xml:space="preserve"> </w:t>
      </w:r>
      <w:proofErr w:type="spellStart"/>
      <w:r w:rsidR="00A72936">
        <w:rPr>
          <w:color w:val="auto"/>
        </w:rPr>
        <w:t>equi</w:t>
      </w:r>
      <w:proofErr w:type="spellEnd"/>
      <w:r w:rsidR="00A72936">
        <w:rPr>
          <w:color w:val="auto"/>
        </w:rPr>
        <w:t xml:space="preserve">-effective doses incorporated </w:t>
      </w:r>
      <w:r w:rsidRPr="00F510D6">
        <w:rPr>
          <w:color w:val="auto"/>
        </w:rPr>
        <w:t xml:space="preserve">a dose intensity of 87.3% for tepotinib and </w:t>
      </w:r>
      <w:r w:rsidR="00A72936">
        <w:rPr>
          <w:color w:val="auto"/>
        </w:rPr>
        <w:t xml:space="preserve">a reduction in the </w:t>
      </w:r>
      <w:r w:rsidRPr="00F510D6">
        <w:rPr>
          <w:color w:val="auto"/>
        </w:rPr>
        <w:t>number of cycles by 0.5 for pembrolizumab to account for dose reductions and treatment interruptions, respectively.</w:t>
      </w:r>
      <w:bookmarkEnd w:id="49"/>
      <w:r w:rsidRPr="00F510D6">
        <w:rPr>
          <w:color w:val="auto"/>
        </w:rPr>
        <w:t xml:space="preserve">  </w:t>
      </w:r>
    </w:p>
    <w:p w:rsidR="005728DA" w:rsidRPr="00580981" w:rsidRDefault="005728DA" w:rsidP="005728DA">
      <w:pPr>
        <w:pStyle w:val="ListParagraph"/>
        <w:rPr>
          <w:color w:val="auto"/>
        </w:rPr>
      </w:pPr>
      <w:r>
        <w:rPr>
          <w:color w:val="auto"/>
        </w:rPr>
        <w:t>The PBAC advised the CMA should also include (</w:t>
      </w:r>
      <w:proofErr w:type="spellStart"/>
      <w:r>
        <w:rPr>
          <w:color w:val="auto"/>
        </w:rPr>
        <w:t>i</w:t>
      </w:r>
      <w:proofErr w:type="spellEnd"/>
      <w:r>
        <w:rPr>
          <w:color w:val="auto"/>
        </w:rPr>
        <w:t xml:space="preserve">) </w:t>
      </w:r>
      <w:r w:rsidRPr="00BB4D33">
        <w:rPr>
          <w:color w:val="auto"/>
        </w:rPr>
        <w:t>a retest rate of 7%</w:t>
      </w:r>
      <w:r>
        <w:rPr>
          <w:color w:val="auto"/>
        </w:rPr>
        <w:t xml:space="preserve"> and; (ii) a prevalence of </w:t>
      </w:r>
      <w:r w:rsidRPr="00BB4D33">
        <w:rPr>
          <w:i/>
          <w:color w:val="auto"/>
        </w:rPr>
        <w:t>MET</w:t>
      </w:r>
      <w:r>
        <w:rPr>
          <w:color w:val="auto"/>
        </w:rPr>
        <w:t xml:space="preserve">ex14sk alterations of 1.6% in SQ NSCLC and </w:t>
      </w:r>
      <w:r w:rsidR="00FA5BFB">
        <w:rPr>
          <w:color w:val="auto"/>
        </w:rPr>
        <w:t>4.9</w:t>
      </w:r>
      <w:r>
        <w:rPr>
          <w:color w:val="auto"/>
        </w:rPr>
        <w:t xml:space="preserve">% in NSQ NSCLC after accounting for patients with </w:t>
      </w:r>
      <w:r w:rsidRPr="008D313B">
        <w:rPr>
          <w:i/>
          <w:iCs/>
          <w:color w:val="auto"/>
        </w:rPr>
        <w:t>EGFR</w:t>
      </w:r>
      <w:r>
        <w:rPr>
          <w:color w:val="auto"/>
        </w:rPr>
        <w:t xml:space="preserve"> pathog</w:t>
      </w:r>
      <w:r w:rsidR="008D313B">
        <w:rPr>
          <w:color w:val="auto"/>
        </w:rPr>
        <w:t>en</w:t>
      </w:r>
      <w:r>
        <w:rPr>
          <w:color w:val="auto"/>
        </w:rPr>
        <w:t xml:space="preserve">ic variations, </w:t>
      </w:r>
      <w:r w:rsidRPr="008D313B">
        <w:rPr>
          <w:i/>
          <w:iCs/>
          <w:color w:val="auto"/>
        </w:rPr>
        <w:t>ALK</w:t>
      </w:r>
      <w:r>
        <w:rPr>
          <w:color w:val="auto"/>
        </w:rPr>
        <w:t xml:space="preserve"> and </w:t>
      </w:r>
      <w:r w:rsidRPr="008D313B">
        <w:rPr>
          <w:i/>
          <w:iCs/>
          <w:color w:val="auto"/>
        </w:rPr>
        <w:t>ROS1</w:t>
      </w:r>
      <w:r>
        <w:rPr>
          <w:color w:val="auto"/>
        </w:rPr>
        <w:t xml:space="preserve"> gene rearrangements. The PBAC noted these parameters are </w:t>
      </w:r>
      <w:r w:rsidR="002B73A4">
        <w:rPr>
          <w:color w:val="auto"/>
        </w:rPr>
        <w:t>dependent</w:t>
      </w:r>
      <w:r>
        <w:rPr>
          <w:color w:val="auto"/>
        </w:rPr>
        <w:t xml:space="preserve"> on the MSAC outcome regarding the appropriate population and positioning in the algorithm to test for </w:t>
      </w:r>
      <w:r w:rsidRPr="00580981">
        <w:rPr>
          <w:i/>
          <w:color w:val="auto"/>
        </w:rPr>
        <w:t>MET</w:t>
      </w:r>
      <w:r>
        <w:rPr>
          <w:color w:val="auto"/>
        </w:rPr>
        <w:t xml:space="preserve">ex14sk alteration. </w:t>
      </w:r>
    </w:p>
    <w:p w:rsidR="004F3B86" w:rsidRDefault="008849F5" w:rsidP="00F90612">
      <w:pPr>
        <w:pStyle w:val="ListParagraph"/>
        <w:rPr>
          <w:color w:val="auto"/>
        </w:rPr>
      </w:pPr>
      <w:bookmarkStart w:id="50" w:name="_Ref89178318"/>
      <w:r>
        <w:rPr>
          <w:color w:val="auto"/>
        </w:rPr>
        <w:t>The PBAC</w:t>
      </w:r>
      <w:r w:rsidR="00BE3CCF">
        <w:rPr>
          <w:color w:val="auto"/>
        </w:rPr>
        <w:t xml:space="preserve"> advised</w:t>
      </w:r>
      <w:r>
        <w:rPr>
          <w:color w:val="auto"/>
        </w:rPr>
        <w:t xml:space="preserve"> the financial estimates</w:t>
      </w:r>
      <w:r w:rsidR="00024D38">
        <w:rPr>
          <w:color w:val="auto"/>
        </w:rPr>
        <w:t xml:space="preserve"> </w:t>
      </w:r>
      <w:r w:rsidR="002F5704">
        <w:rPr>
          <w:color w:val="auto"/>
        </w:rPr>
        <w:t xml:space="preserve">provided with the submission </w:t>
      </w:r>
      <w:r w:rsidR="00024D38">
        <w:rPr>
          <w:color w:val="auto"/>
        </w:rPr>
        <w:t xml:space="preserve">need to </w:t>
      </w:r>
      <w:bookmarkStart w:id="51" w:name="_GoBack"/>
      <w:bookmarkEnd w:id="51"/>
      <w:r w:rsidR="00024D38">
        <w:rPr>
          <w:color w:val="auto"/>
        </w:rPr>
        <w:t>be revised to</w:t>
      </w:r>
      <w:r>
        <w:rPr>
          <w:color w:val="auto"/>
        </w:rPr>
        <w:t>:</w:t>
      </w:r>
      <w:bookmarkEnd w:id="50"/>
    </w:p>
    <w:p w:rsidR="00F26342" w:rsidRDefault="00F26342" w:rsidP="00F800E1">
      <w:pPr>
        <w:pStyle w:val="ListParagraph"/>
        <w:numPr>
          <w:ilvl w:val="0"/>
          <w:numId w:val="38"/>
        </w:numPr>
        <w:ind w:left="1077" w:hanging="357"/>
        <w:rPr>
          <w:color w:val="auto"/>
        </w:rPr>
      </w:pPr>
      <w:r>
        <w:rPr>
          <w:color w:val="auto"/>
        </w:rPr>
        <w:t xml:space="preserve">Account for patients with </w:t>
      </w:r>
      <w:r w:rsidRPr="008D313B">
        <w:rPr>
          <w:i/>
          <w:iCs/>
          <w:color w:val="auto"/>
        </w:rPr>
        <w:t>ROS</w:t>
      </w:r>
      <w:r w:rsidR="00621B2C" w:rsidRPr="008D313B">
        <w:rPr>
          <w:i/>
          <w:iCs/>
          <w:color w:val="auto"/>
        </w:rPr>
        <w:t>1</w:t>
      </w:r>
      <w:r>
        <w:rPr>
          <w:color w:val="auto"/>
        </w:rPr>
        <w:t xml:space="preserve"> and </w:t>
      </w:r>
      <w:r w:rsidRPr="008D313B">
        <w:rPr>
          <w:i/>
          <w:iCs/>
          <w:color w:val="auto"/>
        </w:rPr>
        <w:t>ALK</w:t>
      </w:r>
      <w:r>
        <w:rPr>
          <w:color w:val="auto"/>
        </w:rPr>
        <w:t xml:space="preserve"> </w:t>
      </w:r>
      <w:r w:rsidR="00621B2C">
        <w:rPr>
          <w:color w:val="auto"/>
        </w:rPr>
        <w:t xml:space="preserve">gene </w:t>
      </w:r>
      <w:r w:rsidR="00BE3CCF">
        <w:rPr>
          <w:color w:val="auto"/>
        </w:rPr>
        <w:t xml:space="preserve">rearrangements </w:t>
      </w:r>
      <w:r w:rsidR="00677BF3">
        <w:rPr>
          <w:color w:val="auto"/>
        </w:rPr>
        <w:t>when determining</w:t>
      </w:r>
      <w:r>
        <w:rPr>
          <w:color w:val="auto"/>
        </w:rPr>
        <w:t xml:space="preserve"> the number of patients </w:t>
      </w:r>
      <w:r w:rsidR="00677BF3">
        <w:rPr>
          <w:color w:val="auto"/>
        </w:rPr>
        <w:t>eligible for testing</w:t>
      </w:r>
      <w:r w:rsidR="00BE3CCF">
        <w:rPr>
          <w:color w:val="auto"/>
        </w:rPr>
        <w:t>;</w:t>
      </w:r>
    </w:p>
    <w:p w:rsidR="00677BF3" w:rsidRDefault="00677BF3" w:rsidP="00F800E1">
      <w:pPr>
        <w:pStyle w:val="ListParagraph"/>
        <w:numPr>
          <w:ilvl w:val="0"/>
          <w:numId w:val="38"/>
        </w:numPr>
        <w:ind w:left="1077" w:hanging="357"/>
        <w:rPr>
          <w:color w:val="auto"/>
        </w:rPr>
      </w:pPr>
      <w:r>
        <w:rPr>
          <w:color w:val="auto"/>
        </w:rPr>
        <w:t>Account for a rate of retesting of 7%;</w:t>
      </w:r>
    </w:p>
    <w:p w:rsidR="00BD7B20" w:rsidRDefault="00BD7B20" w:rsidP="00F800E1">
      <w:pPr>
        <w:pStyle w:val="ListParagraph"/>
        <w:numPr>
          <w:ilvl w:val="0"/>
          <w:numId w:val="38"/>
        </w:numPr>
        <w:ind w:left="1077" w:hanging="357"/>
        <w:rPr>
          <w:color w:val="auto"/>
        </w:rPr>
      </w:pPr>
      <w:r>
        <w:rPr>
          <w:color w:val="auto"/>
        </w:rPr>
        <w:t>Account for patients diagnosed with earlier disease progressing to Stage IIIB and Stage IV NSCLC</w:t>
      </w:r>
      <w:r w:rsidR="00621B2C">
        <w:rPr>
          <w:color w:val="auto"/>
        </w:rPr>
        <w:t xml:space="preserve"> that would become eligible for testing</w:t>
      </w:r>
      <w:r>
        <w:rPr>
          <w:color w:val="auto"/>
        </w:rPr>
        <w:t>;</w:t>
      </w:r>
    </w:p>
    <w:p w:rsidR="00F26342" w:rsidRDefault="000F60EB" w:rsidP="00F800E1">
      <w:pPr>
        <w:pStyle w:val="ListParagraph"/>
        <w:numPr>
          <w:ilvl w:val="0"/>
          <w:numId w:val="38"/>
        </w:numPr>
        <w:ind w:left="1077" w:hanging="357"/>
        <w:rPr>
          <w:color w:val="auto"/>
        </w:rPr>
      </w:pPr>
      <w:r>
        <w:rPr>
          <w:color w:val="auto"/>
        </w:rPr>
        <w:t xml:space="preserve">Apply a prevalence of </w:t>
      </w:r>
      <w:r w:rsidR="008849F5" w:rsidRPr="00024D38">
        <w:rPr>
          <w:i/>
          <w:color w:val="auto"/>
        </w:rPr>
        <w:t>MET</w:t>
      </w:r>
      <w:r w:rsidR="008849F5">
        <w:rPr>
          <w:color w:val="auto"/>
        </w:rPr>
        <w:t xml:space="preserve">ex14sk alteration to the squamous </w:t>
      </w:r>
      <w:r w:rsidR="00621B2C">
        <w:rPr>
          <w:color w:val="auto"/>
        </w:rPr>
        <w:t xml:space="preserve">(1.6%) </w:t>
      </w:r>
      <w:r w:rsidR="008849F5">
        <w:rPr>
          <w:color w:val="auto"/>
        </w:rPr>
        <w:t>and non-squamous</w:t>
      </w:r>
      <w:r w:rsidR="00FA5BFB">
        <w:rPr>
          <w:color w:val="auto"/>
        </w:rPr>
        <w:t xml:space="preserve"> (4.9</w:t>
      </w:r>
      <w:r w:rsidR="00621B2C">
        <w:rPr>
          <w:color w:val="auto"/>
        </w:rPr>
        <w:t>%)</w:t>
      </w:r>
      <w:r w:rsidR="008849F5">
        <w:rPr>
          <w:color w:val="auto"/>
        </w:rPr>
        <w:t xml:space="preserve"> </w:t>
      </w:r>
      <w:r w:rsidR="00F63AE3">
        <w:rPr>
          <w:color w:val="auto"/>
        </w:rPr>
        <w:t xml:space="preserve">tested </w:t>
      </w:r>
      <w:r w:rsidR="008849F5">
        <w:rPr>
          <w:color w:val="auto"/>
        </w:rPr>
        <w:t>population</w:t>
      </w:r>
      <w:r>
        <w:rPr>
          <w:color w:val="auto"/>
        </w:rPr>
        <w:t xml:space="preserve"> (separately) </w:t>
      </w:r>
      <w:r w:rsidR="00BE3CCF">
        <w:rPr>
          <w:color w:val="auto"/>
        </w:rPr>
        <w:t xml:space="preserve">to calculate the number of </w:t>
      </w:r>
      <w:r w:rsidR="00F63AE3">
        <w:rPr>
          <w:color w:val="auto"/>
        </w:rPr>
        <w:t>patients eligible for tepotinib</w:t>
      </w:r>
      <w:r w:rsidR="00024D38">
        <w:rPr>
          <w:color w:val="auto"/>
        </w:rPr>
        <w:t>;</w:t>
      </w:r>
    </w:p>
    <w:p w:rsidR="00BD7B20" w:rsidRDefault="00BD7B20" w:rsidP="00F800E1">
      <w:pPr>
        <w:pStyle w:val="ListParagraph"/>
        <w:numPr>
          <w:ilvl w:val="0"/>
          <w:numId w:val="38"/>
        </w:numPr>
        <w:ind w:left="1077" w:hanging="357"/>
        <w:rPr>
          <w:color w:val="auto"/>
        </w:rPr>
      </w:pPr>
      <w:r>
        <w:rPr>
          <w:color w:val="auto"/>
        </w:rPr>
        <w:t>Account for patients diagnosed with Stage IIIB NSCLC</w:t>
      </w:r>
      <w:r w:rsidR="00621B2C">
        <w:rPr>
          <w:color w:val="auto"/>
        </w:rPr>
        <w:t xml:space="preserve"> that would be eligible for tepotinib</w:t>
      </w:r>
      <w:r>
        <w:rPr>
          <w:color w:val="auto"/>
        </w:rPr>
        <w:t>;</w:t>
      </w:r>
    </w:p>
    <w:p w:rsidR="00621B2C" w:rsidRPr="00621B2C" w:rsidRDefault="00024D38" w:rsidP="00F800E1">
      <w:pPr>
        <w:pStyle w:val="ListParagraph"/>
        <w:numPr>
          <w:ilvl w:val="0"/>
          <w:numId w:val="38"/>
        </w:numPr>
        <w:ind w:left="1077" w:hanging="357"/>
        <w:rPr>
          <w:color w:val="auto"/>
        </w:rPr>
      </w:pPr>
      <w:r w:rsidRPr="00F26342">
        <w:rPr>
          <w:color w:val="auto"/>
        </w:rPr>
        <w:t>A</w:t>
      </w:r>
      <w:r w:rsidR="00621B2C">
        <w:rPr>
          <w:color w:val="auto"/>
        </w:rPr>
        <w:t xml:space="preserve">ssume </w:t>
      </w:r>
      <w:r w:rsidR="000F60EB" w:rsidRPr="00F26342">
        <w:rPr>
          <w:color w:val="auto"/>
        </w:rPr>
        <w:t xml:space="preserve">an average treatment duration </w:t>
      </w:r>
      <w:r w:rsidR="00621B2C">
        <w:rPr>
          <w:color w:val="auto"/>
        </w:rPr>
        <w:t xml:space="preserve">of </w:t>
      </w:r>
      <w:r w:rsidR="00621B2C" w:rsidRPr="00621B2C">
        <w:rPr>
          <w:color w:val="auto"/>
        </w:rPr>
        <w:t xml:space="preserve">13.98 </w:t>
      </w:r>
      <w:r w:rsidR="00621B2C">
        <w:rPr>
          <w:color w:val="auto"/>
        </w:rPr>
        <w:t>months</w:t>
      </w:r>
      <w:r w:rsidR="006D794D">
        <w:rPr>
          <w:color w:val="auto"/>
        </w:rPr>
        <w:t xml:space="preserve"> for tepotinib</w:t>
      </w:r>
      <w:r w:rsidR="00621B2C">
        <w:rPr>
          <w:color w:val="auto"/>
        </w:rPr>
        <w:t xml:space="preserve"> (</w:t>
      </w:r>
      <w:r w:rsidR="000F60EB" w:rsidRPr="00F26342">
        <w:rPr>
          <w:color w:val="auto"/>
        </w:rPr>
        <w:t xml:space="preserve">consistent with the economic analysis outlined in paragraph </w:t>
      </w:r>
      <w:r w:rsidR="00740F3C">
        <w:rPr>
          <w:color w:val="auto"/>
        </w:rPr>
        <w:t>7.8).</w:t>
      </w:r>
    </w:p>
    <w:p w:rsidR="0044670C" w:rsidRPr="00F26342" w:rsidRDefault="009508B7" w:rsidP="006D794D">
      <w:pPr>
        <w:pStyle w:val="ListParagraph"/>
      </w:pPr>
      <w:r w:rsidRPr="00F26342">
        <w:t xml:space="preserve">The PBAC considered </w:t>
      </w:r>
      <w:r w:rsidR="00580981" w:rsidRPr="00F26342">
        <w:t xml:space="preserve">it would be appropriate </w:t>
      </w:r>
      <w:r w:rsidR="002F5704">
        <w:t xml:space="preserve">for tepotinib to be subject to an </w:t>
      </w:r>
      <w:r w:rsidR="00580981" w:rsidRPr="00BE3CCF">
        <w:t>RSA</w:t>
      </w:r>
      <w:r w:rsidR="00BE3CCF">
        <w:t xml:space="preserve"> </w:t>
      </w:r>
      <w:r w:rsidR="002F5704">
        <w:t xml:space="preserve">with expenditure caps based on the revised financial estimates (as outlined in paragraph </w:t>
      </w:r>
      <w:r w:rsidR="00E368C2">
        <w:t>7.10</w:t>
      </w:r>
      <w:r w:rsidR="002F5704">
        <w:t xml:space="preserve">) </w:t>
      </w:r>
      <w:r w:rsidR="00BE3CCF">
        <w:t xml:space="preserve">to </w:t>
      </w:r>
      <w:r w:rsidR="006D794D" w:rsidRPr="006D794D">
        <w:rPr>
          <w:color w:val="auto"/>
        </w:rPr>
        <w:t xml:space="preserve">manage the financial uncertainty associated </w:t>
      </w:r>
      <w:r w:rsidR="00D12F4B">
        <w:rPr>
          <w:color w:val="auto"/>
        </w:rPr>
        <w:t xml:space="preserve">with </w:t>
      </w:r>
      <w:r w:rsidR="006D794D">
        <w:rPr>
          <w:color w:val="auto"/>
        </w:rPr>
        <w:t xml:space="preserve">a number of </w:t>
      </w:r>
      <w:r w:rsidR="00D12F4B">
        <w:rPr>
          <w:color w:val="auto"/>
        </w:rPr>
        <w:t xml:space="preserve">the </w:t>
      </w:r>
      <w:r w:rsidR="006D794D" w:rsidRPr="006D794D">
        <w:rPr>
          <w:color w:val="auto"/>
        </w:rPr>
        <w:t xml:space="preserve">CMA inputs and assumptions, including </w:t>
      </w:r>
      <w:r w:rsidR="009050FE">
        <w:rPr>
          <w:color w:val="auto"/>
        </w:rPr>
        <w:t xml:space="preserve">the </w:t>
      </w:r>
      <w:r w:rsidR="006D794D" w:rsidRPr="006D794D">
        <w:rPr>
          <w:color w:val="auto"/>
        </w:rPr>
        <w:t xml:space="preserve">treatment duration </w:t>
      </w:r>
      <w:r w:rsidR="009050FE">
        <w:rPr>
          <w:color w:val="auto"/>
        </w:rPr>
        <w:t xml:space="preserve">of tepotinib </w:t>
      </w:r>
      <w:r w:rsidR="006D794D" w:rsidRPr="006D794D">
        <w:rPr>
          <w:color w:val="auto"/>
        </w:rPr>
        <w:t>which</w:t>
      </w:r>
      <w:r w:rsidR="00D12F4B">
        <w:rPr>
          <w:color w:val="auto"/>
        </w:rPr>
        <w:t>,</w:t>
      </w:r>
      <w:r w:rsidR="006D794D" w:rsidRPr="006D794D">
        <w:rPr>
          <w:color w:val="auto"/>
        </w:rPr>
        <w:t xml:space="preserve"> unlike pembrolizumab</w:t>
      </w:r>
      <w:r w:rsidR="00D12F4B">
        <w:rPr>
          <w:color w:val="auto"/>
        </w:rPr>
        <w:t>,</w:t>
      </w:r>
      <w:r w:rsidR="006D794D" w:rsidRPr="006D794D">
        <w:rPr>
          <w:color w:val="auto"/>
        </w:rPr>
        <w:t xml:space="preserve"> </w:t>
      </w:r>
      <w:r w:rsidR="009050FE">
        <w:rPr>
          <w:color w:val="auto"/>
        </w:rPr>
        <w:t xml:space="preserve">would not be </w:t>
      </w:r>
      <w:r w:rsidR="006D794D" w:rsidRPr="006D794D">
        <w:rPr>
          <w:color w:val="auto"/>
        </w:rPr>
        <w:t>not capped.</w:t>
      </w:r>
      <w:r w:rsidR="002F5704">
        <w:t xml:space="preserve"> </w:t>
      </w:r>
    </w:p>
    <w:p w:rsidR="003346CA" w:rsidRPr="002B73A4" w:rsidRDefault="003346CA" w:rsidP="003346CA">
      <w:pPr>
        <w:rPr>
          <w:color w:val="auto"/>
        </w:rPr>
      </w:pPr>
      <w:r w:rsidRPr="003346CA">
        <w:rPr>
          <w:b/>
          <w:color w:val="auto"/>
        </w:rPr>
        <w:t>Outcome</w:t>
      </w:r>
      <w:r w:rsidR="00AB6EFB">
        <w:rPr>
          <w:color w:val="auto"/>
        </w:rPr>
        <w:t xml:space="preserve">: </w:t>
      </w:r>
      <w:r w:rsidR="00F800E1">
        <w:rPr>
          <w:color w:val="auto"/>
        </w:rPr>
        <w:br/>
      </w:r>
      <w:r w:rsidR="0029413F">
        <w:rPr>
          <w:color w:val="auto"/>
        </w:rPr>
        <w:t>Deferred</w:t>
      </w:r>
    </w:p>
    <w:p w:rsidR="00F704E6" w:rsidRPr="00F704E6" w:rsidRDefault="00F704E6" w:rsidP="00F704E6">
      <w:pPr>
        <w:pStyle w:val="PBACESHeading1"/>
      </w:pPr>
      <w:r w:rsidRPr="00C07617">
        <w:t>Context for Decision</w:t>
      </w:r>
    </w:p>
    <w:p w:rsidR="00F704E6" w:rsidRPr="007129F2" w:rsidRDefault="00F704E6" w:rsidP="00F704E6">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0701F" w:rsidRDefault="00F704E6" w:rsidP="0040701F">
      <w:pPr>
        <w:pStyle w:val="PBACESHeading1"/>
      </w:pPr>
      <w:r>
        <w:t>Sponsor’s Comment</w:t>
      </w:r>
    </w:p>
    <w:p w:rsidR="00E5364E" w:rsidRPr="0040701F" w:rsidRDefault="00E5364E" w:rsidP="0040701F">
      <w:pPr>
        <w:pStyle w:val="PBACESHeading1"/>
        <w:numPr>
          <w:ilvl w:val="0"/>
          <w:numId w:val="0"/>
        </w:numPr>
        <w:ind w:left="720"/>
      </w:pPr>
      <w:r w:rsidRPr="0040701F">
        <w:rPr>
          <w:rFonts w:eastAsiaTheme="minorHAnsi" w:cs="Arial"/>
          <w:b w:val="0"/>
          <w:bCs/>
          <w:snapToGrid/>
          <w:color w:val="000000" w:themeColor="text1"/>
          <w:sz w:val="24"/>
          <w:szCs w:val="22"/>
          <w:lang w:val="en-GB" w:eastAsia="en-US"/>
        </w:rPr>
        <w:t xml:space="preserve">Merck looks forward to working with the Department to provide access to Tepotinib for lung cancer patients with the METex14sk alteration. </w:t>
      </w:r>
    </w:p>
    <w:p w:rsidR="00690D44" w:rsidRPr="00E44468" w:rsidRDefault="00690D44" w:rsidP="00690D44">
      <w:pPr>
        <w:pStyle w:val="2-SectionHeading"/>
      </w:pPr>
    </w:p>
    <w:p w:rsidR="00F4572C" w:rsidRPr="00F4572C" w:rsidRDefault="00F4572C" w:rsidP="005D7976">
      <w:pPr>
        <w:pStyle w:val="Heading1"/>
        <w:numPr>
          <w:ilvl w:val="0"/>
          <w:numId w:val="0"/>
        </w:numPr>
        <w:rPr>
          <w:noProof/>
          <w:lang w:val="en-US"/>
        </w:rPr>
      </w:pPr>
    </w:p>
    <w:sectPr w:rsidR="00F4572C" w:rsidRPr="00F4572C">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52B" w:rsidRDefault="001A452B" w:rsidP="00BA3306">
      <w:pPr>
        <w:spacing w:before="0" w:after="0"/>
      </w:pPr>
      <w:r>
        <w:separator/>
      </w:r>
    </w:p>
    <w:p w:rsidR="001A452B" w:rsidRDefault="001A452B"/>
  </w:endnote>
  <w:endnote w:type="continuationSeparator" w:id="0">
    <w:p w:rsidR="001A452B" w:rsidRDefault="001A452B" w:rsidP="00BA3306">
      <w:pPr>
        <w:spacing w:before="0" w:after="0"/>
      </w:pPr>
      <w:r>
        <w:continuationSeparator/>
      </w:r>
    </w:p>
    <w:p w:rsidR="001A452B" w:rsidRDefault="001A4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roman"/>
    <w:notTrueType/>
    <w:pitch w:val="default"/>
  </w:font>
  <w:font w:name="AdvOTd710a12c+20">
    <w:altName w:val="Calibri"/>
    <w:panose1 w:val="00000000000000000000"/>
    <w:charset w:val="00"/>
    <w:family w:val="swiss"/>
    <w:notTrueType/>
    <w:pitch w:val="default"/>
    <w:sig w:usb0="00000003" w:usb1="00000000" w:usb2="00000000" w:usb3="00000000" w:csb0="00000001" w:csb1="00000000"/>
  </w:font>
  <w:font w:name="@Microsoft YaHei">
    <w:charset w:val="86"/>
    <w:family w:val="swiss"/>
    <w:pitch w:val="variable"/>
    <w:sig w:usb0="80000287" w:usb1="2ACF3C50" w:usb2="00000016" w:usb3="00000000" w:csb0="0004001F" w:csb1="00000000"/>
  </w:font>
  <w:font w:name="Candara">
    <w:panose1 w:val="020E0502030303020204"/>
    <w:charset w:val="00"/>
    <w:family w:val="swiss"/>
    <w:pitch w:val="variable"/>
    <w:sig w:usb0="A00002EF" w:usb1="4000A44B" w:usb2="00000000" w:usb3="00000000" w:csb0="0000019F" w:csb1="00000000"/>
  </w:font>
  <w:font w:name="Humanist 77 7 BT">
    <w:altName w:val="Calibri"/>
    <w:panose1 w:val="00000000000000000000"/>
    <w:charset w:val="00"/>
    <w:family w:val="swiss"/>
    <w:notTrueType/>
    <w:pitch w:val="default"/>
    <w:sig w:usb0="00000003" w:usb1="00000000" w:usb2="00000000" w:usb3="00000000" w:csb0="00000001" w:csb1="00000000"/>
  </w:font>
  <w:font w:name="Segoe MDL2 Assets">
    <w:panose1 w:val="050A0102010101010101"/>
    <w:charset w:val="00"/>
    <w:family w:val="roman"/>
    <w:pitch w:val="variable"/>
    <w:sig w:usb0="00000003" w:usb1="1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52B" w:rsidRDefault="001A45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52B" w:rsidRPr="00461942" w:rsidRDefault="001A452B" w:rsidP="00461942">
    <w:pPr>
      <w:pStyle w:val="Footer"/>
      <w:jc w:val="center"/>
      <w:rPr>
        <w:b/>
      </w:rPr>
    </w:pPr>
    <w:r w:rsidRPr="00461942">
      <w:rPr>
        <w:b/>
      </w:rPr>
      <w:fldChar w:fldCharType="begin"/>
    </w:r>
    <w:r w:rsidRPr="00461942">
      <w:rPr>
        <w:b/>
      </w:rPr>
      <w:instrText xml:space="preserve"> PAGE   \* MERGEFORMAT </w:instrText>
    </w:r>
    <w:r w:rsidRPr="00461942">
      <w:rPr>
        <w:b/>
      </w:rPr>
      <w:fldChar w:fldCharType="separate"/>
    </w:r>
    <w:r w:rsidR="00183B83">
      <w:rPr>
        <w:b/>
        <w:noProof/>
      </w:rPr>
      <w:t>41</w:t>
    </w:r>
    <w:r w:rsidRPr="00461942">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52B" w:rsidRDefault="001A4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52B" w:rsidRDefault="001A452B" w:rsidP="001D527B">
      <w:pPr>
        <w:spacing w:before="0" w:after="0"/>
      </w:pPr>
      <w:r>
        <w:separator/>
      </w:r>
    </w:p>
  </w:footnote>
  <w:footnote w:type="continuationSeparator" w:id="0">
    <w:p w:rsidR="001A452B" w:rsidRDefault="001A452B" w:rsidP="00BA3306">
      <w:pPr>
        <w:spacing w:before="0" w:after="0"/>
      </w:pPr>
      <w:r>
        <w:continuationSeparator/>
      </w:r>
    </w:p>
    <w:p w:rsidR="001A452B" w:rsidRDefault="001A452B"/>
  </w:footnote>
  <w:footnote w:id="1">
    <w:p w:rsidR="001A452B" w:rsidRPr="00FD0BD5" w:rsidRDefault="001A452B" w:rsidP="00B27719">
      <w:pPr>
        <w:pStyle w:val="FootnoteText"/>
        <w:rPr>
          <w:color w:val="auto"/>
        </w:rPr>
      </w:pPr>
      <w:r>
        <w:rPr>
          <w:rStyle w:val="FootnoteReference"/>
        </w:rPr>
        <w:footnoteRef/>
      </w:r>
      <w:r w:rsidRPr="00FD0BD5">
        <w:t xml:space="preserve"> </w:t>
      </w:r>
      <w:hyperlink r:id="rId1" w:history="1">
        <w:r w:rsidRPr="00FD0BD5">
          <w:rPr>
            <w:rStyle w:val="Hyperlink"/>
            <w:color w:val="auto"/>
            <w:u w:val="none"/>
          </w:rPr>
          <w:t>https://www.aihw.gov.au/reports/cancer/cancer-data-in-australia/contents/cancer-summary-data-visualisation</w:t>
        </w:r>
      </w:hyperlink>
    </w:p>
  </w:footnote>
  <w:footnote w:id="2">
    <w:p w:rsidR="001A452B" w:rsidRDefault="001A452B" w:rsidP="00B27719">
      <w:pPr>
        <w:pStyle w:val="FootnoteText"/>
      </w:pPr>
      <w:r w:rsidRPr="00FD0BD5">
        <w:rPr>
          <w:rStyle w:val="FootnoteReference"/>
          <w:color w:val="auto"/>
        </w:rPr>
        <w:footnoteRef/>
      </w:r>
      <w:r w:rsidRPr="00FD0BD5">
        <w:rPr>
          <w:color w:val="auto"/>
        </w:rPr>
        <w:t xml:space="preserve"> https://www.cancercouncil.com.au/lung-cancer</w:t>
      </w:r>
    </w:p>
  </w:footnote>
  <w:footnote w:id="3">
    <w:p w:rsidR="001A452B" w:rsidRDefault="001A452B" w:rsidP="00B27719">
      <w:pPr>
        <w:pStyle w:val="FootnoteText"/>
      </w:pPr>
      <w:r>
        <w:rPr>
          <w:rStyle w:val="FootnoteReference"/>
        </w:rPr>
        <w:footnoteRef/>
      </w:r>
      <w:r>
        <w:t xml:space="preserve"> </w:t>
      </w:r>
      <w:r w:rsidRPr="008D53CD">
        <w:t>https://www.cancer.org.au/cancer-information/types-of-cancer/lung-cancer</w:t>
      </w:r>
    </w:p>
  </w:footnote>
  <w:footnote w:id="4">
    <w:p w:rsidR="001A452B" w:rsidRPr="008B0399" w:rsidRDefault="001A452B" w:rsidP="00DD242A">
      <w:pPr>
        <w:pStyle w:val="FootnoteText"/>
        <w:rPr>
          <w:lang w:val="en-US"/>
        </w:rPr>
      </w:pPr>
      <w:r>
        <w:rPr>
          <w:rStyle w:val="FootnoteReference"/>
        </w:rPr>
        <w:footnoteRef/>
      </w:r>
      <w:r>
        <w:t xml:space="preserve"> </w:t>
      </w:r>
      <w:proofErr w:type="spellStart"/>
      <w:r>
        <w:rPr>
          <w:lang w:val="en-US"/>
        </w:rPr>
        <w:t>Planchard</w:t>
      </w:r>
      <w:proofErr w:type="spellEnd"/>
      <w:r>
        <w:rPr>
          <w:lang w:val="en-US"/>
        </w:rPr>
        <w:t xml:space="preserve">, D et al. </w:t>
      </w:r>
      <w:r w:rsidRPr="008B0399">
        <w:rPr>
          <w:lang w:val="en-US"/>
        </w:rPr>
        <w:t>Metastatic non-small cell lung cancer: ESMO Clinical Practice Guidelines for diagnosis, treatment and follow-up</w:t>
      </w:r>
      <w:r>
        <w:rPr>
          <w:lang w:val="en-US"/>
        </w:rPr>
        <w:t xml:space="preserve">. </w:t>
      </w:r>
      <w:r>
        <w:rPr>
          <w:i/>
          <w:lang w:val="en-US"/>
        </w:rPr>
        <w:t>Annals of Oncology</w:t>
      </w:r>
      <w:r>
        <w:rPr>
          <w:lang w:val="en-US"/>
        </w:rPr>
        <w:t xml:space="preserve">. 2019; 30(5): iv192 – iv237. Updated version published by ESMO: </w:t>
      </w:r>
      <w:hyperlink r:id="rId2" w:history="1">
        <w:r w:rsidRPr="00FD0BD5">
          <w:rPr>
            <w:rStyle w:val="Hyperlink"/>
            <w:color w:val="auto"/>
            <w:u w:val="none"/>
            <w:lang w:val="en-US"/>
          </w:rPr>
          <w:t>https://www.esmo.org/guidelines/lung-and-chest-tumours/clinical-practice-living-guidelines-metastatic-non-small-cell-lung-cancer</w:t>
        </w:r>
      </w:hyperlink>
      <w:r w:rsidRPr="00FD0BD5">
        <w:rPr>
          <w:color w:val="auto"/>
          <w:lang w:val="en-US"/>
        </w:rPr>
        <w:t xml:space="preserve"> (relevant section is Table 4, p 51).</w:t>
      </w:r>
    </w:p>
  </w:footnote>
  <w:footnote w:id="5">
    <w:p w:rsidR="001A452B" w:rsidRPr="00A14199" w:rsidRDefault="001A452B" w:rsidP="00B27719">
      <w:pPr>
        <w:pStyle w:val="FootnoteText"/>
        <w:rPr>
          <w:i/>
        </w:rPr>
      </w:pPr>
      <w:r>
        <w:rPr>
          <w:rStyle w:val="FootnoteReference"/>
        </w:rPr>
        <w:footnoteRef/>
      </w:r>
      <w:r>
        <w:t xml:space="preserve"> Kim, R et al. </w:t>
      </w:r>
      <w:r w:rsidRPr="00A14199">
        <w:t xml:space="preserve">First-line Pembrolizumab Versus Pembrolizumab </w:t>
      </w:r>
      <w:proofErr w:type="gramStart"/>
      <w:r w:rsidRPr="00A14199">
        <w:t>Plus</w:t>
      </w:r>
      <w:proofErr w:type="gramEnd"/>
      <w:r w:rsidRPr="00A14199">
        <w:t xml:space="preserve"> Chemotherapy Versus Chemotherapy Alone in Non–small-cell Lung Cancer: A Systematic Review and Network Meta-analysis</w:t>
      </w:r>
      <w:r>
        <w:t xml:space="preserve">. </w:t>
      </w:r>
      <w:r>
        <w:rPr>
          <w:i/>
        </w:rPr>
        <w:t>Clinical Lung Cancer. 2019; 20(5): 331-338.</w:t>
      </w:r>
    </w:p>
  </w:footnote>
  <w:footnote w:id="6">
    <w:p w:rsidR="001A452B" w:rsidRDefault="001A452B" w:rsidP="00B27719">
      <w:pPr>
        <w:pStyle w:val="FootnoteText"/>
      </w:pPr>
      <w:r>
        <w:rPr>
          <w:rStyle w:val="FootnoteReference"/>
        </w:rPr>
        <w:footnoteRef/>
      </w:r>
      <w:r>
        <w:t xml:space="preserve"> </w:t>
      </w:r>
      <w:proofErr w:type="spellStart"/>
      <w:r w:rsidRPr="00A14199">
        <w:t>Isono</w:t>
      </w:r>
      <w:proofErr w:type="spellEnd"/>
      <w:r>
        <w:t>, T</w:t>
      </w:r>
      <w:r w:rsidRPr="00A14199">
        <w:t xml:space="preserve"> </w:t>
      </w:r>
      <w:r>
        <w:t>et al</w:t>
      </w:r>
      <w:r w:rsidRPr="00A14199">
        <w:t xml:space="preserve">. A retrospective analysis of pembrolizumab plus chemotherapy versus pembrolizumab monotherapy for advanced or recurrent non-small cell lung cancer. </w:t>
      </w:r>
      <w:proofErr w:type="spellStart"/>
      <w:r w:rsidRPr="00A14199">
        <w:rPr>
          <w:i/>
        </w:rPr>
        <w:t>Thorac</w:t>
      </w:r>
      <w:proofErr w:type="spellEnd"/>
      <w:r w:rsidRPr="00A14199">
        <w:rPr>
          <w:i/>
        </w:rPr>
        <w:t xml:space="preserve"> Cancer</w:t>
      </w:r>
      <w:r w:rsidRPr="00A14199">
        <w:t>. 2021 May</w:t>
      </w:r>
      <w:proofErr w:type="gramStart"/>
      <w:r w:rsidRPr="00A14199">
        <w:t>;12</w:t>
      </w:r>
      <w:proofErr w:type="gramEnd"/>
      <w:r w:rsidRPr="00A14199">
        <w:t>(9):1387-1397.</w:t>
      </w:r>
    </w:p>
  </w:footnote>
  <w:footnote w:id="7">
    <w:p w:rsidR="001A452B" w:rsidRPr="002E52F3" w:rsidRDefault="001A452B" w:rsidP="002E52F3">
      <w:pPr>
        <w:pStyle w:val="FootnoteText"/>
        <w:rPr>
          <w:lang w:val="en-US"/>
        </w:rPr>
      </w:pPr>
      <w:r>
        <w:rPr>
          <w:rStyle w:val="FootnoteReference"/>
        </w:rPr>
        <w:footnoteRef/>
      </w:r>
      <w:r>
        <w:t xml:space="preserve"> </w:t>
      </w:r>
      <w:r w:rsidRPr="002E52F3">
        <w:t>National Comprehensive Cancer Network Guidelines, Version 5.2021, p. MS-19.</w:t>
      </w:r>
    </w:p>
    <w:p w:rsidR="001A452B" w:rsidRPr="002E52F3" w:rsidRDefault="001A452B">
      <w:pPr>
        <w:pStyle w:val="FootnoteText"/>
        <w:rPr>
          <w:lang w:val="en-US"/>
        </w:rPr>
      </w:pPr>
    </w:p>
  </w:footnote>
  <w:footnote w:id="8">
    <w:p w:rsidR="001A452B" w:rsidRPr="000F7C21" w:rsidRDefault="001A452B" w:rsidP="00FC7571">
      <w:pPr>
        <w:pStyle w:val="FootnoteText"/>
      </w:pPr>
      <w:r>
        <w:rPr>
          <w:rStyle w:val="FootnoteReference"/>
        </w:rPr>
        <w:footnoteRef/>
      </w:r>
      <w:r>
        <w:t xml:space="preserve"> Kron, </w:t>
      </w:r>
      <w:proofErr w:type="gramStart"/>
      <w:r>
        <w:t>A</w:t>
      </w:r>
      <w:proofErr w:type="gramEnd"/>
      <w:r>
        <w:t xml:space="preserve"> et al. </w:t>
      </w:r>
      <w:r w:rsidRPr="000F7C21">
        <w:t>Genetic Heterogeneity of MET-Aberrant NSCLC and Its Impact on the Outcome of Immunotherapy</w:t>
      </w:r>
      <w:r>
        <w:t xml:space="preserve">. </w:t>
      </w:r>
      <w:r>
        <w:rPr>
          <w:i/>
        </w:rPr>
        <w:t>Journal of Thoracic Oncology</w:t>
      </w:r>
      <w:r>
        <w:t>. 2021; 16(4): 572-582.</w:t>
      </w:r>
    </w:p>
  </w:footnote>
  <w:footnote w:id="9">
    <w:p w:rsidR="001A452B" w:rsidRPr="004E605E" w:rsidRDefault="001A452B" w:rsidP="00B27719">
      <w:pPr>
        <w:pStyle w:val="FootnoteText"/>
      </w:pPr>
      <w:r>
        <w:rPr>
          <w:rStyle w:val="FootnoteReference"/>
        </w:rPr>
        <w:footnoteRef/>
      </w:r>
      <w:r>
        <w:t xml:space="preserve"> Ali, A et al. </w:t>
      </w:r>
      <w:r w:rsidRPr="004E605E">
        <w:t>Survival of patients with non-small-cell lung cancer after a diagnosis of brain metastases</w:t>
      </w:r>
      <w:r>
        <w:t xml:space="preserve">. </w:t>
      </w:r>
      <w:r>
        <w:rPr>
          <w:i/>
        </w:rPr>
        <w:t>Current Oncology.</w:t>
      </w:r>
      <w:r>
        <w:t xml:space="preserve"> 2013 Aug; 20(4): e300-e306.</w:t>
      </w:r>
    </w:p>
  </w:footnote>
  <w:footnote w:id="10">
    <w:p w:rsidR="001A452B" w:rsidRPr="004E605E" w:rsidRDefault="001A452B" w:rsidP="00B27719">
      <w:pPr>
        <w:pStyle w:val="FootnoteText"/>
      </w:pPr>
      <w:r>
        <w:rPr>
          <w:rStyle w:val="FootnoteReference"/>
        </w:rPr>
        <w:footnoteRef/>
      </w:r>
      <w:r>
        <w:t xml:space="preserve"> Jing, L J et al. </w:t>
      </w:r>
      <w:r w:rsidRPr="004E605E">
        <w:t>Estimating Survival in Patients with Non-Small-Cell Lung Cancer and Brain Metastases: A Verification of the Graded Prognostic Assessment for Lung Cancer Using Molecular Markers (Lung-</w:t>
      </w:r>
      <w:proofErr w:type="spellStart"/>
      <w:r w:rsidRPr="004E605E">
        <w:t>molGPA</w:t>
      </w:r>
      <w:proofErr w:type="spellEnd"/>
      <w:r w:rsidRPr="004E605E">
        <w:t>)</w:t>
      </w:r>
      <w:r>
        <w:t xml:space="preserve">. </w:t>
      </w:r>
      <w:proofErr w:type="spellStart"/>
      <w:r w:rsidRPr="004E605E">
        <w:rPr>
          <w:i/>
        </w:rPr>
        <w:t>OncoTargets</w:t>
      </w:r>
      <w:proofErr w:type="spellEnd"/>
      <w:r w:rsidRPr="004E605E">
        <w:rPr>
          <w:i/>
        </w:rPr>
        <w:t xml:space="preserve"> and Therapy</w:t>
      </w:r>
      <w:r>
        <w:rPr>
          <w:i/>
        </w:rPr>
        <w:t>.</w:t>
      </w:r>
      <w:r>
        <w:t xml:space="preserve"> 2021 Feb; 14: 1623-1631.</w:t>
      </w:r>
    </w:p>
  </w:footnote>
  <w:footnote w:id="11">
    <w:p w:rsidR="001A452B" w:rsidRPr="00CC5133" w:rsidRDefault="001A452B" w:rsidP="00453247">
      <w:pPr>
        <w:widowControl w:val="0"/>
        <w:autoSpaceDE w:val="0"/>
        <w:autoSpaceDN w:val="0"/>
        <w:adjustRightInd w:val="0"/>
        <w:spacing w:after="120"/>
        <w:rPr>
          <w:rFonts w:ascii="Calibri" w:hAnsi="Calibri" w:cs="Calibri"/>
          <w:noProof/>
          <w:sz w:val="18"/>
          <w:szCs w:val="24"/>
        </w:rPr>
      </w:pPr>
      <w:r>
        <w:rPr>
          <w:rStyle w:val="FootnoteReference"/>
        </w:rPr>
        <w:footnoteRef/>
      </w:r>
      <w:r>
        <w:t xml:space="preserve"> </w:t>
      </w:r>
      <w:r w:rsidRPr="003B2054">
        <w:rPr>
          <w:rFonts w:ascii="Calibri" w:hAnsi="Calibri" w:cs="Calibri"/>
          <w:sz w:val="18"/>
          <w:szCs w:val="24"/>
          <w:lang w:val="es-ES_tradnl"/>
        </w:rPr>
        <w:t xml:space="preserve">Campos-Balea, Begoña, Javier de Castro </w:t>
      </w:r>
      <w:proofErr w:type="spellStart"/>
      <w:r w:rsidRPr="003B2054">
        <w:rPr>
          <w:rFonts w:ascii="Calibri" w:hAnsi="Calibri" w:cs="Calibri"/>
          <w:sz w:val="18"/>
          <w:szCs w:val="24"/>
          <w:lang w:val="es-ES_tradnl"/>
        </w:rPr>
        <w:t>Carpeño</w:t>
      </w:r>
      <w:proofErr w:type="spellEnd"/>
      <w:r w:rsidRPr="003B2054">
        <w:rPr>
          <w:rFonts w:ascii="Calibri" w:hAnsi="Calibri" w:cs="Calibri"/>
          <w:sz w:val="18"/>
          <w:szCs w:val="24"/>
          <w:lang w:val="es-ES_tradnl"/>
        </w:rPr>
        <w:t xml:space="preserve">, </w:t>
      </w:r>
      <w:proofErr w:type="spellStart"/>
      <w:r w:rsidRPr="003B2054">
        <w:rPr>
          <w:rFonts w:ascii="Calibri" w:hAnsi="Calibri" w:cs="Calibri"/>
          <w:sz w:val="18"/>
          <w:szCs w:val="24"/>
          <w:lang w:val="es-ES_tradnl"/>
        </w:rPr>
        <w:t>Bartomeu</w:t>
      </w:r>
      <w:proofErr w:type="spellEnd"/>
      <w:r w:rsidRPr="003B2054">
        <w:rPr>
          <w:rFonts w:ascii="Calibri" w:hAnsi="Calibri" w:cs="Calibri"/>
          <w:sz w:val="18"/>
          <w:szCs w:val="24"/>
          <w:lang w:val="es-ES_tradnl"/>
        </w:rPr>
        <w:t xml:space="preserve"> </w:t>
      </w:r>
      <w:proofErr w:type="spellStart"/>
      <w:r w:rsidRPr="003B2054">
        <w:rPr>
          <w:rFonts w:ascii="Calibri" w:hAnsi="Calibri" w:cs="Calibri"/>
          <w:sz w:val="18"/>
          <w:szCs w:val="24"/>
          <w:lang w:val="es-ES_tradnl"/>
        </w:rPr>
        <w:t>Massutí</w:t>
      </w:r>
      <w:proofErr w:type="spellEnd"/>
      <w:r w:rsidRPr="003B2054">
        <w:rPr>
          <w:rFonts w:ascii="Calibri" w:hAnsi="Calibri" w:cs="Calibri"/>
          <w:sz w:val="18"/>
          <w:szCs w:val="24"/>
          <w:lang w:val="es-ES_tradnl"/>
        </w:rPr>
        <w:t xml:space="preserve">, David Vicente-Baz, Diego Pérez Parente, Pedro Ruiz-Gracia, Leonardo </w:t>
      </w:r>
      <w:proofErr w:type="spellStart"/>
      <w:r w:rsidRPr="003B2054">
        <w:rPr>
          <w:rFonts w:ascii="Calibri" w:hAnsi="Calibri" w:cs="Calibri"/>
          <w:sz w:val="18"/>
          <w:szCs w:val="24"/>
          <w:lang w:val="es-ES_tradnl"/>
        </w:rPr>
        <w:t>Crama</w:t>
      </w:r>
      <w:proofErr w:type="spellEnd"/>
      <w:r w:rsidRPr="003B2054">
        <w:rPr>
          <w:rFonts w:ascii="Calibri" w:hAnsi="Calibri" w:cs="Calibri"/>
          <w:sz w:val="18"/>
          <w:szCs w:val="24"/>
          <w:lang w:val="es-ES_tradnl"/>
        </w:rPr>
        <w:t xml:space="preserve">, and Manuel Cobo </w:t>
      </w:r>
      <w:proofErr w:type="spellStart"/>
      <w:r w:rsidRPr="003B2054">
        <w:rPr>
          <w:rFonts w:ascii="Calibri" w:hAnsi="Calibri" w:cs="Calibri"/>
          <w:sz w:val="18"/>
          <w:szCs w:val="24"/>
          <w:lang w:val="es-ES_tradnl"/>
        </w:rPr>
        <w:t>Dols</w:t>
      </w:r>
      <w:proofErr w:type="spellEnd"/>
      <w:r w:rsidRPr="003B2054">
        <w:rPr>
          <w:rFonts w:ascii="Calibri" w:hAnsi="Calibri" w:cs="Calibri"/>
          <w:sz w:val="18"/>
          <w:szCs w:val="24"/>
          <w:lang w:val="es-ES_tradnl"/>
        </w:rPr>
        <w:t xml:space="preserve">. 2020. </w:t>
      </w:r>
      <w:r w:rsidRPr="00CC5133">
        <w:rPr>
          <w:rFonts w:ascii="Calibri" w:hAnsi="Calibri" w:cs="Calibri"/>
          <w:noProof/>
          <w:sz w:val="18"/>
          <w:szCs w:val="24"/>
        </w:rPr>
        <w:t xml:space="preserve">“Prognostic Factors for Survival in Patients with Metastatic Lung Adenocarcinoma: An Analysis of the SEER Database.” </w:t>
      </w:r>
      <w:r w:rsidRPr="00CC5133">
        <w:rPr>
          <w:rFonts w:ascii="Calibri" w:hAnsi="Calibri" w:cs="Calibri"/>
          <w:i/>
          <w:iCs/>
          <w:noProof/>
          <w:sz w:val="18"/>
          <w:szCs w:val="24"/>
        </w:rPr>
        <w:t>Thoracic Cancer</w:t>
      </w:r>
      <w:r w:rsidRPr="00CC5133">
        <w:rPr>
          <w:rFonts w:ascii="Calibri" w:hAnsi="Calibri" w:cs="Calibri"/>
          <w:noProof/>
          <w:sz w:val="18"/>
          <w:szCs w:val="24"/>
        </w:rPr>
        <w:t>. https://doi.org/10.1111/1759-7714.13681.</w:t>
      </w:r>
    </w:p>
    <w:p w:rsidR="001A452B" w:rsidRDefault="001A452B">
      <w:pPr>
        <w:pStyle w:val="FootnoteText"/>
      </w:pPr>
    </w:p>
  </w:footnote>
  <w:footnote w:id="12">
    <w:p w:rsidR="001A452B" w:rsidRPr="004D3A87" w:rsidRDefault="001A452B" w:rsidP="00B27719">
      <w:pPr>
        <w:pStyle w:val="FootnoteText"/>
      </w:pPr>
      <w:r>
        <w:rPr>
          <w:rStyle w:val="FootnoteReference"/>
        </w:rPr>
        <w:footnoteRef/>
      </w:r>
      <w:r>
        <w:t xml:space="preserve"> </w:t>
      </w:r>
      <w:proofErr w:type="spellStart"/>
      <w:r>
        <w:t>Dietel</w:t>
      </w:r>
      <w:proofErr w:type="spellEnd"/>
      <w:r>
        <w:t xml:space="preserve"> M et al. </w:t>
      </w:r>
      <w:r w:rsidRPr="004D3A87">
        <w:t>Real-world prevalence of PD-L1 expression in locally advanced or metastatic non-small cell lung cancer (NSCLC): The global, multicentre EXPRESS study</w:t>
      </w:r>
      <w:r>
        <w:t xml:space="preserve">. </w:t>
      </w:r>
      <w:r>
        <w:rPr>
          <w:i/>
        </w:rPr>
        <w:t>Tumour biology and pathology</w:t>
      </w:r>
      <w:r>
        <w:t>. 2018 April; 13(4): S74-S75.</w:t>
      </w:r>
    </w:p>
  </w:footnote>
  <w:footnote w:id="13">
    <w:p w:rsidR="001A452B" w:rsidRPr="004D3A87" w:rsidRDefault="001A452B" w:rsidP="00B27719">
      <w:pPr>
        <w:pStyle w:val="FootnoteText"/>
      </w:pPr>
      <w:r>
        <w:rPr>
          <w:rStyle w:val="FootnoteReference"/>
        </w:rPr>
        <w:footnoteRef/>
      </w:r>
      <w:r>
        <w:t xml:space="preserve"> </w:t>
      </w:r>
      <w:proofErr w:type="spellStart"/>
      <w:r w:rsidRPr="004D3A87">
        <w:t>Dietel</w:t>
      </w:r>
      <w:proofErr w:type="spellEnd"/>
      <w:r w:rsidRPr="004D3A87">
        <w:t xml:space="preserve"> M et al. Real-world prevalence of programmed death ligand 1 expression in locally advanced or metastatic non-small-cell lung cancer: The global, </w:t>
      </w:r>
      <w:proofErr w:type="spellStart"/>
      <w:r w:rsidRPr="004D3A87">
        <w:t>multicenter</w:t>
      </w:r>
      <w:proofErr w:type="spellEnd"/>
      <w:r w:rsidRPr="004D3A87">
        <w:t xml:space="preserve"> EXPRESS study</w:t>
      </w:r>
      <w:r>
        <w:t xml:space="preserve">. </w:t>
      </w:r>
      <w:r>
        <w:rPr>
          <w:i/>
        </w:rPr>
        <w:t>Lung Cancer</w:t>
      </w:r>
      <w:r>
        <w:t>. 2019 Aug; 134: 174-179.</w:t>
      </w:r>
    </w:p>
  </w:footnote>
  <w:footnote w:id="14">
    <w:p w:rsidR="001A452B" w:rsidRPr="000A4B1B" w:rsidRDefault="001A452B" w:rsidP="00B27719">
      <w:pPr>
        <w:pStyle w:val="FootnoteText"/>
      </w:pPr>
      <w:r>
        <w:rPr>
          <w:rStyle w:val="FootnoteReference"/>
        </w:rPr>
        <w:footnoteRef/>
      </w:r>
      <w:r>
        <w:t xml:space="preserve"> Kron A. et al. </w:t>
      </w:r>
      <w:r w:rsidRPr="000A4B1B">
        <w:t>Genetic Heterogeneity of MET-Aberrant NSCLC and Its Impact on the Outcome of Immunotherapy</w:t>
      </w:r>
      <w:r>
        <w:t xml:space="preserve">. </w:t>
      </w:r>
      <w:r>
        <w:rPr>
          <w:i/>
        </w:rPr>
        <w:t>Journal of Thoracic Oncology</w:t>
      </w:r>
      <w:r>
        <w:t>. 2021 Apr; 16(4): 572-582.</w:t>
      </w:r>
    </w:p>
  </w:footnote>
  <w:footnote w:id="15">
    <w:p w:rsidR="001A452B" w:rsidRDefault="001A452B" w:rsidP="0059661C">
      <w:pPr>
        <w:pStyle w:val="FootnoteText"/>
      </w:pPr>
      <w:r>
        <w:rPr>
          <w:rStyle w:val="FootnoteReference"/>
        </w:rPr>
        <w:footnoteRef/>
      </w:r>
      <w:r>
        <w:t xml:space="preserve"> </w:t>
      </w:r>
      <w:r w:rsidRPr="00033883">
        <w:t xml:space="preserve">Blumenthal GM, Gong Y, </w:t>
      </w:r>
      <w:r w:rsidRPr="00033883">
        <w:rPr>
          <w:i/>
        </w:rPr>
        <w:t>et al</w:t>
      </w:r>
      <w:r w:rsidRPr="00033883">
        <w:t xml:space="preserve">. Analysis of time-to-treatment discontinuation of targeted therapy, immunotherapy, and chemotherapy in clinical trials of patients with non-small-cell lung cancer. </w:t>
      </w:r>
      <w:r w:rsidRPr="00033883">
        <w:rPr>
          <w:i/>
        </w:rPr>
        <w:t>Annals of oncology: official journal of the European Society for Medical Oncology</w:t>
      </w:r>
      <w:r w:rsidRPr="00033883">
        <w:t>. 2019</w:t>
      </w:r>
      <w:proofErr w:type="gramStart"/>
      <w:r w:rsidRPr="00033883">
        <w:t>;30</w:t>
      </w:r>
      <w:proofErr w:type="gramEnd"/>
      <w:r w:rsidRPr="00033883">
        <w:t>(5):830-8.</w:t>
      </w:r>
    </w:p>
  </w:footnote>
  <w:footnote w:id="16">
    <w:p w:rsidR="001A452B" w:rsidRPr="005728DA" w:rsidRDefault="001A452B">
      <w:pPr>
        <w:pStyle w:val="FootnoteText"/>
        <w:rPr>
          <w:b/>
        </w:rPr>
      </w:pPr>
      <w:r>
        <w:rPr>
          <w:rStyle w:val="FootnoteReference"/>
        </w:rPr>
        <w:footnoteRef/>
      </w:r>
      <w:r>
        <w:t xml:space="preserve"> </w:t>
      </w:r>
      <w:r w:rsidRPr="00B66ED6">
        <w:t xml:space="preserve">in calculating the drug costs in the comparator pembrolizumab </w:t>
      </w:r>
      <w:r w:rsidRPr="00B66ED6">
        <w:rPr>
          <w:rFonts w:cstheme="minorHAnsi"/>
        </w:rPr>
        <w:t>±</w:t>
      </w:r>
      <w:r w:rsidRPr="00B66ED6">
        <w:t xml:space="preserve"> platinum doublet arm, the treatment frequency for some chemotherapy agents were erroneously assumed to be Q6W, instead of Q3W (Cells G62, I62, N62:Q62 in ‘Cost per dose’ spreadsheet, “20210922 Tepotinib Section 3 Workbook CMA_PSCR_Final.xlsm” workbook). Additionally, Cell F70, ‘Cost per dose’ spreadsheet (referred to in the formula of Cells AR10:AR370, ‘Trace’ spreadsheet): the per cycle cost for </w:t>
      </w:r>
      <w:proofErr w:type="spellStart"/>
      <w:r w:rsidRPr="00B66ED6">
        <w:t>pemetrexed</w:t>
      </w:r>
      <w:proofErr w:type="spellEnd"/>
      <w:r w:rsidRPr="00B66ED6">
        <w:t xml:space="preserve"> </w:t>
      </w:r>
      <w:r w:rsidRPr="00A72936">
        <w:t>failed to include the cost of 100 mg vials.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52B" w:rsidRDefault="001A4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52B" w:rsidRDefault="001A452B" w:rsidP="00461942">
    <w:pPr>
      <w:pStyle w:val="Header"/>
      <w:jc w:val="center"/>
      <w:rPr>
        <w:i/>
      </w:rPr>
    </w:pPr>
  </w:p>
  <w:p w:rsidR="001A452B" w:rsidRDefault="001A452B" w:rsidP="004A1B84">
    <w:pPr>
      <w:pStyle w:val="Header"/>
      <w:jc w:val="center"/>
      <w:rPr>
        <w:i/>
      </w:rPr>
    </w:pPr>
    <w:r>
      <w:rPr>
        <w:i/>
      </w:rPr>
      <w:t>Public Summary Document</w:t>
    </w:r>
    <w:r w:rsidRPr="00461942">
      <w:rPr>
        <w:i/>
      </w:rPr>
      <w:t xml:space="preserve"> – November 2021 PBAC Meeting</w:t>
    </w:r>
  </w:p>
  <w:p w:rsidR="001A452B" w:rsidRPr="00461942" w:rsidRDefault="001A452B" w:rsidP="00461942">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52B" w:rsidRDefault="001A4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D30"/>
    <w:multiLevelType w:val="hybridMultilevel"/>
    <w:tmpl w:val="959C2A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5A7DF6"/>
    <w:multiLevelType w:val="hybridMultilevel"/>
    <w:tmpl w:val="41FCD98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71F5995"/>
    <w:multiLevelType w:val="hybridMultilevel"/>
    <w:tmpl w:val="90A692D8"/>
    <w:lvl w:ilvl="0" w:tplc="705CF9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EF078C"/>
    <w:multiLevelType w:val="hybridMultilevel"/>
    <w:tmpl w:val="8C10CFBA"/>
    <w:lvl w:ilvl="0" w:tplc="0C4E4756">
      <w:start w:val="1"/>
      <w:numFmt w:val="lowerLetter"/>
      <w:pStyle w:val="NormalLett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49622E"/>
    <w:multiLevelType w:val="hybridMultilevel"/>
    <w:tmpl w:val="13645B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150F1DFC"/>
    <w:multiLevelType w:val="hybridMultilevel"/>
    <w:tmpl w:val="1C4E32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A490F8C"/>
    <w:multiLevelType w:val="multilevel"/>
    <w:tmpl w:val="E33AA372"/>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27575C58"/>
    <w:multiLevelType w:val="multilevel"/>
    <w:tmpl w:val="25BCF0A0"/>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7F7AE6"/>
    <w:multiLevelType w:val="hybridMultilevel"/>
    <w:tmpl w:val="A36840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97058A8"/>
    <w:multiLevelType w:val="hybridMultilevel"/>
    <w:tmpl w:val="C194D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A82861"/>
    <w:multiLevelType w:val="hybridMultilevel"/>
    <w:tmpl w:val="AE86B9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C933BF8"/>
    <w:multiLevelType w:val="multilevel"/>
    <w:tmpl w:val="B22A93B6"/>
    <w:styleLink w:val="Heading1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43465C5"/>
    <w:multiLevelType w:val="hybridMultilevel"/>
    <w:tmpl w:val="14183F92"/>
    <w:lvl w:ilvl="0" w:tplc="0C090001">
      <w:start w:val="1"/>
      <w:numFmt w:val="bullet"/>
      <w:lvlText w:val=""/>
      <w:lvlJc w:val="left"/>
      <w:pPr>
        <w:ind w:left="1051" w:hanging="360"/>
      </w:pPr>
      <w:rPr>
        <w:rFonts w:ascii="Symbol" w:hAnsi="Symbol" w:hint="default"/>
      </w:rPr>
    </w:lvl>
    <w:lvl w:ilvl="1" w:tplc="0C090003" w:tentative="1">
      <w:start w:val="1"/>
      <w:numFmt w:val="bullet"/>
      <w:lvlText w:val="o"/>
      <w:lvlJc w:val="left"/>
      <w:pPr>
        <w:ind w:left="1771" w:hanging="360"/>
      </w:pPr>
      <w:rPr>
        <w:rFonts w:ascii="Courier New" w:hAnsi="Courier New" w:cs="Courier New" w:hint="default"/>
      </w:rPr>
    </w:lvl>
    <w:lvl w:ilvl="2" w:tplc="0C090005" w:tentative="1">
      <w:start w:val="1"/>
      <w:numFmt w:val="bullet"/>
      <w:lvlText w:val=""/>
      <w:lvlJc w:val="left"/>
      <w:pPr>
        <w:ind w:left="2491" w:hanging="360"/>
      </w:pPr>
      <w:rPr>
        <w:rFonts w:ascii="Wingdings" w:hAnsi="Wingdings" w:hint="default"/>
      </w:rPr>
    </w:lvl>
    <w:lvl w:ilvl="3" w:tplc="0C090001" w:tentative="1">
      <w:start w:val="1"/>
      <w:numFmt w:val="bullet"/>
      <w:lvlText w:val=""/>
      <w:lvlJc w:val="left"/>
      <w:pPr>
        <w:ind w:left="3211" w:hanging="360"/>
      </w:pPr>
      <w:rPr>
        <w:rFonts w:ascii="Symbol" w:hAnsi="Symbol" w:hint="default"/>
      </w:rPr>
    </w:lvl>
    <w:lvl w:ilvl="4" w:tplc="0C090003" w:tentative="1">
      <w:start w:val="1"/>
      <w:numFmt w:val="bullet"/>
      <w:lvlText w:val="o"/>
      <w:lvlJc w:val="left"/>
      <w:pPr>
        <w:ind w:left="3931" w:hanging="360"/>
      </w:pPr>
      <w:rPr>
        <w:rFonts w:ascii="Courier New" w:hAnsi="Courier New" w:cs="Courier New" w:hint="default"/>
      </w:rPr>
    </w:lvl>
    <w:lvl w:ilvl="5" w:tplc="0C090005" w:tentative="1">
      <w:start w:val="1"/>
      <w:numFmt w:val="bullet"/>
      <w:lvlText w:val=""/>
      <w:lvlJc w:val="left"/>
      <w:pPr>
        <w:ind w:left="4651" w:hanging="360"/>
      </w:pPr>
      <w:rPr>
        <w:rFonts w:ascii="Wingdings" w:hAnsi="Wingdings" w:hint="default"/>
      </w:rPr>
    </w:lvl>
    <w:lvl w:ilvl="6" w:tplc="0C090001" w:tentative="1">
      <w:start w:val="1"/>
      <w:numFmt w:val="bullet"/>
      <w:lvlText w:val=""/>
      <w:lvlJc w:val="left"/>
      <w:pPr>
        <w:ind w:left="5371" w:hanging="360"/>
      </w:pPr>
      <w:rPr>
        <w:rFonts w:ascii="Symbol" w:hAnsi="Symbol" w:hint="default"/>
      </w:rPr>
    </w:lvl>
    <w:lvl w:ilvl="7" w:tplc="0C090003" w:tentative="1">
      <w:start w:val="1"/>
      <w:numFmt w:val="bullet"/>
      <w:lvlText w:val="o"/>
      <w:lvlJc w:val="left"/>
      <w:pPr>
        <w:ind w:left="6091" w:hanging="360"/>
      </w:pPr>
      <w:rPr>
        <w:rFonts w:ascii="Courier New" w:hAnsi="Courier New" w:cs="Courier New" w:hint="default"/>
      </w:rPr>
    </w:lvl>
    <w:lvl w:ilvl="8" w:tplc="0C090005" w:tentative="1">
      <w:start w:val="1"/>
      <w:numFmt w:val="bullet"/>
      <w:lvlText w:val=""/>
      <w:lvlJc w:val="left"/>
      <w:pPr>
        <w:ind w:left="6811" w:hanging="360"/>
      </w:pPr>
      <w:rPr>
        <w:rFonts w:ascii="Wingdings" w:hAnsi="Wingdings" w:hint="default"/>
      </w:rPr>
    </w:lvl>
  </w:abstractNum>
  <w:abstractNum w:abstractNumId="18" w15:restartNumberingAfterBreak="0">
    <w:nsid w:val="37654FC0"/>
    <w:multiLevelType w:val="hybridMultilevel"/>
    <w:tmpl w:val="759A0D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6C41CB"/>
    <w:multiLevelType w:val="hybridMultilevel"/>
    <w:tmpl w:val="7F94C816"/>
    <w:lvl w:ilvl="0" w:tplc="903248AE">
      <w:start w:val="1"/>
      <w:numFmt w:val="decimal"/>
      <w:pStyle w:val="NumberedList"/>
      <w:lvlText w:val="%1."/>
      <w:lvlJc w:val="left"/>
      <w:pPr>
        <w:ind w:left="720" w:hanging="360"/>
      </w:pPr>
    </w:lvl>
    <w:lvl w:ilvl="1" w:tplc="ACD2A5C2" w:tentative="1">
      <w:start w:val="1"/>
      <w:numFmt w:val="lowerLetter"/>
      <w:lvlText w:val="%2."/>
      <w:lvlJc w:val="left"/>
      <w:pPr>
        <w:ind w:left="1440" w:hanging="360"/>
      </w:pPr>
    </w:lvl>
    <w:lvl w:ilvl="2" w:tplc="81041AEE" w:tentative="1">
      <w:start w:val="1"/>
      <w:numFmt w:val="lowerRoman"/>
      <w:lvlText w:val="%3."/>
      <w:lvlJc w:val="right"/>
      <w:pPr>
        <w:ind w:left="2160" w:hanging="180"/>
      </w:pPr>
    </w:lvl>
    <w:lvl w:ilvl="3" w:tplc="6F9E5ABC" w:tentative="1">
      <w:start w:val="1"/>
      <w:numFmt w:val="decimal"/>
      <w:lvlText w:val="%4."/>
      <w:lvlJc w:val="left"/>
      <w:pPr>
        <w:ind w:left="2880" w:hanging="360"/>
      </w:pPr>
    </w:lvl>
    <w:lvl w:ilvl="4" w:tplc="79BE0738" w:tentative="1">
      <w:start w:val="1"/>
      <w:numFmt w:val="lowerLetter"/>
      <w:lvlText w:val="%5."/>
      <w:lvlJc w:val="left"/>
      <w:pPr>
        <w:ind w:left="3600" w:hanging="360"/>
      </w:pPr>
    </w:lvl>
    <w:lvl w:ilvl="5" w:tplc="73E0EA72" w:tentative="1">
      <w:start w:val="1"/>
      <w:numFmt w:val="lowerRoman"/>
      <w:lvlText w:val="%6."/>
      <w:lvlJc w:val="right"/>
      <w:pPr>
        <w:ind w:left="4320" w:hanging="180"/>
      </w:pPr>
    </w:lvl>
    <w:lvl w:ilvl="6" w:tplc="AF7840C6" w:tentative="1">
      <w:start w:val="1"/>
      <w:numFmt w:val="decimal"/>
      <w:lvlText w:val="%7."/>
      <w:lvlJc w:val="left"/>
      <w:pPr>
        <w:ind w:left="5040" w:hanging="360"/>
      </w:pPr>
    </w:lvl>
    <w:lvl w:ilvl="7" w:tplc="72047760" w:tentative="1">
      <w:start w:val="1"/>
      <w:numFmt w:val="lowerLetter"/>
      <w:lvlText w:val="%8."/>
      <w:lvlJc w:val="left"/>
      <w:pPr>
        <w:ind w:left="5760" w:hanging="360"/>
      </w:pPr>
    </w:lvl>
    <w:lvl w:ilvl="8" w:tplc="3C167224" w:tentative="1">
      <w:start w:val="1"/>
      <w:numFmt w:val="lowerRoman"/>
      <w:lvlText w:val="%9."/>
      <w:lvlJc w:val="right"/>
      <w:pPr>
        <w:ind w:left="6480" w:hanging="180"/>
      </w:pPr>
    </w:lvl>
  </w:abstractNum>
  <w:abstractNum w:abstractNumId="21"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9162A5"/>
    <w:multiLevelType w:val="hybridMultilevel"/>
    <w:tmpl w:val="0C0CAB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C0C48A3"/>
    <w:multiLevelType w:val="multilevel"/>
    <w:tmpl w:val="A7AC1720"/>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720" w:hanging="720"/>
      </w:pPr>
      <w:rPr>
        <w:rFonts w:ascii="Symbol" w:hAnsi="Symbol" w:hint="default"/>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DE71F6"/>
    <w:multiLevelType w:val="hybridMultilevel"/>
    <w:tmpl w:val="9978FF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104424"/>
    <w:multiLevelType w:val="hybridMultilevel"/>
    <w:tmpl w:val="6884F3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AFA3C06"/>
    <w:multiLevelType w:val="hybridMultilevel"/>
    <w:tmpl w:val="3A2060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84D033C"/>
    <w:multiLevelType w:val="multilevel"/>
    <w:tmpl w:val="A1441A48"/>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832904"/>
    <w:multiLevelType w:val="hybridMultilevel"/>
    <w:tmpl w:val="89C6F9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32"/>
  </w:num>
  <w:num w:numId="2">
    <w:abstractNumId w:val="14"/>
  </w:num>
  <w:num w:numId="3">
    <w:abstractNumId w:val="21"/>
  </w:num>
  <w:num w:numId="4">
    <w:abstractNumId w:val="10"/>
  </w:num>
  <w:num w:numId="5">
    <w:abstractNumId w:val="8"/>
  </w:num>
  <w:num w:numId="6">
    <w:abstractNumId w:val="32"/>
  </w:num>
  <w:num w:numId="7">
    <w:abstractNumId w:val="27"/>
  </w:num>
  <w:num w:numId="8">
    <w:abstractNumId w:val="5"/>
  </w:num>
  <w:num w:numId="9">
    <w:abstractNumId w:val="11"/>
  </w:num>
  <w:num w:numId="10">
    <w:abstractNumId w:val="28"/>
  </w:num>
  <w:num w:numId="11">
    <w:abstractNumId w:val="1"/>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19"/>
  </w:num>
  <w:num w:numId="15">
    <w:abstractNumId w:val="6"/>
  </w:num>
  <w:num w:numId="16">
    <w:abstractNumId w:val="20"/>
  </w:num>
  <w:num w:numId="17">
    <w:abstractNumId w:val="4"/>
  </w:num>
  <w:num w:numId="18">
    <w:abstractNumId w:val="23"/>
  </w:num>
  <w:num w:numId="19">
    <w:abstractNumId w:val="29"/>
  </w:num>
  <w:num w:numId="20">
    <w:abstractNumId w:val="30"/>
  </w:num>
  <w:num w:numId="21">
    <w:abstractNumId w:val="18"/>
  </w:num>
  <w:num w:numId="22">
    <w:abstractNumId w:val="34"/>
  </w:num>
  <w:num w:numId="23">
    <w:abstractNumId w:val="24"/>
  </w:num>
  <w:num w:numId="24">
    <w:abstractNumId w:val="16"/>
  </w:num>
  <w:num w:numId="25">
    <w:abstractNumId w:val="17"/>
  </w:num>
  <w:num w:numId="26">
    <w:abstractNumId w:val="22"/>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3"/>
  </w:num>
  <w:num w:numId="30">
    <w:abstractNumId w:val="13"/>
  </w:num>
  <w:num w:numId="31">
    <w:abstractNumId w:val="15"/>
  </w:num>
  <w:num w:numId="32">
    <w:abstractNumId w:val="9"/>
  </w:num>
  <w:num w:numId="33">
    <w:abstractNumId w:val="32"/>
  </w:num>
  <w:num w:numId="34">
    <w:abstractNumId w:val="26"/>
  </w:num>
  <w:num w:numId="35">
    <w:abstractNumId w:val="2"/>
  </w:num>
  <w:num w:numId="36">
    <w:abstractNumId w:val="12"/>
  </w:num>
  <w:num w:numId="37">
    <w:abstractNumId w:val="7"/>
  </w:num>
  <w:num w:numId="38">
    <w:abstractNumId w:val="0"/>
  </w:num>
  <w:num w:numId="39">
    <w:abstractNumId w:val="32"/>
  </w:num>
  <w:num w:numId="40">
    <w:abstractNumId w:val="32"/>
  </w:num>
  <w:num w:numId="41">
    <w:abstractNumId w:val="25"/>
  </w:num>
  <w:num w:numId="42">
    <w:abstractNumId w:val="32"/>
  </w:num>
  <w:num w:numId="43">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hideSpellingError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en-AU"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estdswq0t9z2ep5p5xrf9jz90tefaf52ea&quot;&gt;METex14 Tepotinib&lt;record-ids&gt;&lt;item&gt;1&lt;/item&gt;&lt;item&gt;3&lt;/item&gt;&lt;item&gt;4&lt;/item&gt;&lt;item&gt;5&lt;/item&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25&lt;/item&gt;&lt;item&gt;26&lt;/item&gt;&lt;item&gt;29&lt;/item&gt;&lt;item&gt;30&lt;/item&gt;&lt;item&gt;31&lt;/item&gt;&lt;item&gt;32&lt;/item&gt;&lt;item&gt;33&lt;/item&gt;&lt;item&gt;37&lt;/item&gt;&lt;item&gt;38&lt;/item&gt;&lt;item&gt;40&lt;/item&gt;&lt;item&gt;41&lt;/item&gt;&lt;item&gt;42&lt;/item&gt;&lt;item&gt;43&lt;/item&gt;&lt;item&gt;44&lt;/item&gt;&lt;item&gt;45&lt;/item&gt;&lt;item&gt;46&lt;/item&gt;&lt;item&gt;48&lt;/item&gt;&lt;item&gt;49&lt;/item&gt;&lt;item&gt;50&lt;/item&gt;&lt;item&gt;51&lt;/item&gt;&lt;item&gt;52&lt;/item&gt;&lt;item&gt;53&lt;/item&gt;&lt;item&gt;56&lt;/item&gt;&lt;item&gt;57&lt;/item&gt;&lt;item&gt;58&lt;/item&gt;&lt;item&gt;59&lt;/item&gt;&lt;item&gt;60&lt;/item&gt;&lt;item&gt;62&lt;/item&gt;&lt;item&gt;64&lt;/item&gt;&lt;item&gt;65&lt;/item&gt;&lt;item&gt;66&lt;/item&gt;&lt;item&gt;67&lt;/item&gt;&lt;item&gt;68&lt;/item&gt;&lt;item&gt;69&lt;/item&gt;&lt;item&gt;70&lt;/item&gt;&lt;/record-ids&gt;&lt;/item&gt;&lt;/Libraries&gt;"/>
  </w:docVars>
  <w:rsids>
    <w:rsidRoot w:val="007346D2"/>
    <w:rsid w:val="0000178F"/>
    <w:rsid w:val="00001AB4"/>
    <w:rsid w:val="000024B9"/>
    <w:rsid w:val="00004009"/>
    <w:rsid w:val="000044F6"/>
    <w:rsid w:val="00004A04"/>
    <w:rsid w:val="00004D00"/>
    <w:rsid w:val="000050CA"/>
    <w:rsid w:val="0000608D"/>
    <w:rsid w:val="000062E0"/>
    <w:rsid w:val="000068C2"/>
    <w:rsid w:val="000068C4"/>
    <w:rsid w:val="00007233"/>
    <w:rsid w:val="000103E6"/>
    <w:rsid w:val="0001066F"/>
    <w:rsid w:val="0001281E"/>
    <w:rsid w:val="000131C9"/>
    <w:rsid w:val="00013222"/>
    <w:rsid w:val="000138C1"/>
    <w:rsid w:val="00013AE8"/>
    <w:rsid w:val="000152E5"/>
    <w:rsid w:val="0001548D"/>
    <w:rsid w:val="00015E03"/>
    <w:rsid w:val="00016CCF"/>
    <w:rsid w:val="000170E1"/>
    <w:rsid w:val="000170FD"/>
    <w:rsid w:val="00017A10"/>
    <w:rsid w:val="0002095B"/>
    <w:rsid w:val="000209F9"/>
    <w:rsid w:val="00020DF6"/>
    <w:rsid w:val="00021220"/>
    <w:rsid w:val="000212A7"/>
    <w:rsid w:val="00021359"/>
    <w:rsid w:val="0002153A"/>
    <w:rsid w:val="00021BB4"/>
    <w:rsid w:val="00022F4E"/>
    <w:rsid w:val="000232F0"/>
    <w:rsid w:val="00023862"/>
    <w:rsid w:val="00023FC7"/>
    <w:rsid w:val="00024D38"/>
    <w:rsid w:val="0002633F"/>
    <w:rsid w:val="00030D9F"/>
    <w:rsid w:val="000315B0"/>
    <w:rsid w:val="0003270F"/>
    <w:rsid w:val="00033854"/>
    <w:rsid w:val="00033A46"/>
    <w:rsid w:val="00033CE1"/>
    <w:rsid w:val="00033D7A"/>
    <w:rsid w:val="00034174"/>
    <w:rsid w:val="00034404"/>
    <w:rsid w:val="0003497C"/>
    <w:rsid w:val="000359BA"/>
    <w:rsid w:val="00035EB0"/>
    <w:rsid w:val="00035FDB"/>
    <w:rsid w:val="00036536"/>
    <w:rsid w:val="00037B2E"/>
    <w:rsid w:val="00042933"/>
    <w:rsid w:val="00042DEC"/>
    <w:rsid w:val="0004441D"/>
    <w:rsid w:val="00044DAA"/>
    <w:rsid w:val="00045BA9"/>
    <w:rsid w:val="000461CF"/>
    <w:rsid w:val="00046647"/>
    <w:rsid w:val="0004689B"/>
    <w:rsid w:val="0004702A"/>
    <w:rsid w:val="0004758F"/>
    <w:rsid w:val="00047AD3"/>
    <w:rsid w:val="000513FE"/>
    <w:rsid w:val="000519E0"/>
    <w:rsid w:val="000522EE"/>
    <w:rsid w:val="00052BCD"/>
    <w:rsid w:val="0005300F"/>
    <w:rsid w:val="000533BE"/>
    <w:rsid w:val="00053450"/>
    <w:rsid w:val="0005351F"/>
    <w:rsid w:val="00054171"/>
    <w:rsid w:val="00054E2E"/>
    <w:rsid w:val="000552DF"/>
    <w:rsid w:val="00055D2F"/>
    <w:rsid w:val="00055DCD"/>
    <w:rsid w:val="00055FCF"/>
    <w:rsid w:val="00057280"/>
    <w:rsid w:val="000578D9"/>
    <w:rsid w:val="00057F71"/>
    <w:rsid w:val="00060C65"/>
    <w:rsid w:val="00062018"/>
    <w:rsid w:val="00062067"/>
    <w:rsid w:val="000621D4"/>
    <w:rsid w:val="00062280"/>
    <w:rsid w:val="0006287B"/>
    <w:rsid w:val="0006386F"/>
    <w:rsid w:val="000638DE"/>
    <w:rsid w:val="00063A68"/>
    <w:rsid w:val="0006442F"/>
    <w:rsid w:val="00064D04"/>
    <w:rsid w:val="00065501"/>
    <w:rsid w:val="00065C62"/>
    <w:rsid w:val="00065CDE"/>
    <w:rsid w:val="00065F4A"/>
    <w:rsid w:val="00066607"/>
    <w:rsid w:val="000668CE"/>
    <w:rsid w:val="000676E5"/>
    <w:rsid w:val="000677DE"/>
    <w:rsid w:val="000678E8"/>
    <w:rsid w:val="0007063B"/>
    <w:rsid w:val="000708AA"/>
    <w:rsid w:val="00070D75"/>
    <w:rsid w:val="00074732"/>
    <w:rsid w:val="00074C0B"/>
    <w:rsid w:val="00076F6A"/>
    <w:rsid w:val="000775A6"/>
    <w:rsid w:val="00080FF3"/>
    <w:rsid w:val="00081D90"/>
    <w:rsid w:val="00082321"/>
    <w:rsid w:val="0008232D"/>
    <w:rsid w:val="00082868"/>
    <w:rsid w:val="00083796"/>
    <w:rsid w:val="000847FE"/>
    <w:rsid w:val="00084B18"/>
    <w:rsid w:val="00085A6C"/>
    <w:rsid w:val="00085AD3"/>
    <w:rsid w:val="00086133"/>
    <w:rsid w:val="0008637F"/>
    <w:rsid w:val="00086752"/>
    <w:rsid w:val="0008737B"/>
    <w:rsid w:val="00087BE9"/>
    <w:rsid w:val="00091525"/>
    <w:rsid w:val="00091A23"/>
    <w:rsid w:val="00091DF5"/>
    <w:rsid w:val="00092727"/>
    <w:rsid w:val="00092945"/>
    <w:rsid w:val="00092A49"/>
    <w:rsid w:val="0009315E"/>
    <w:rsid w:val="00094CDE"/>
    <w:rsid w:val="000954DF"/>
    <w:rsid w:val="00095D4B"/>
    <w:rsid w:val="000961C2"/>
    <w:rsid w:val="0009688E"/>
    <w:rsid w:val="00096BCD"/>
    <w:rsid w:val="0009723C"/>
    <w:rsid w:val="000A11A7"/>
    <w:rsid w:val="000A1319"/>
    <w:rsid w:val="000A1C65"/>
    <w:rsid w:val="000A1D77"/>
    <w:rsid w:val="000A1F7B"/>
    <w:rsid w:val="000A2694"/>
    <w:rsid w:val="000A2EF1"/>
    <w:rsid w:val="000A3784"/>
    <w:rsid w:val="000A3B90"/>
    <w:rsid w:val="000A3D99"/>
    <w:rsid w:val="000A3F4C"/>
    <w:rsid w:val="000A4AF3"/>
    <w:rsid w:val="000A6FBD"/>
    <w:rsid w:val="000A7333"/>
    <w:rsid w:val="000A7443"/>
    <w:rsid w:val="000A752A"/>
    <w:rsid w:val="000A75A8"/>
    <w:rsid w:val="000A7EA5"/>
    <w:rsid w:val="000B0D7D"/>
    <w:rsid w:val="000B13FB"/>
    <w:rsid w:val="000B2441"/>
    <w:rsid w:val="000B2BE3"/>
    <w:rsid w:val="000B35EA"/>
    <w:rsid w:val="000B435B"/>
    <w:rsid w:val="000B501C"/>
    <w:rsid w:val="000B56CD"/>
    <w:rsid w:val="000B6B69"/>
    <w:rsid w:val="000B7AED"/>
    <w:rsid w:val="000C0142"/>
    <w:rsid w:val="000C11CC"/>
    <w:rsid w:val="000C21A2"/>
    <w:rsid w:val="000C2D1F"/>
    <w:rsid w:val="000C4C53"/>
    <w:rsid w:val="000C4FE3"/>
    <w:rsid w:val="000C5801"/>
    <w:rsid w:val="000C5EE4"/>
    <w:rsid w:val="000C668E"/>
    <w:rsid w:val="000C6A40"/>
    <w:rsid w:val="000C749F"/>
    <w:rsid w:val="000C7883"/>
    <w:rsid w:val="000C793A"/>
    <w:rsid w:val="000C7FD1"/>
    <w:rsid w:val="000D0023"/>
    <w:rsid w:val="000D0A81"/>
    <w:rsid w:val="000D13D6"/>
    <w:rsid w:val="000D169F"/>
    <w:rsid w:val="000D1AB4"/>
    <w:rsid w:val="000D2807"/>
    <w:rsid w:val="000D39EF"/>
    <w:rsid w:val="000D3B20"/>
    <w:rsid w:val="000D54D4"/>
    <w:rsid w:val="000D5B1D"/>
    <w:rsid w:val="000D5D46"/>
    <w:rsid w:val="000D6329"/>
    <w:rsid w:val="000D66A7"/>
    <w:rsid w:val="000D6929"/>
    <w:rsid w:val="000D7270"/>
    <w:rsid w:val="000E02C3"/>
    <w:rsid w:val="000E07CD"/>
    <w:rsid w:val="000E11E4"/>
    <w:rsid w:val="000E2F59"/>
    <w:rsid w:val="000E4DEB"/>
    <w:rsid w:val="000E531A"/>
    <w:rsid w:val="000E7019"/>
    <w:rsid w:val="000F0026"/>
    <w:rsid w:val="000F0AB4"/>
    <w:rsid w:val="000F1035"/>
    <w:rsid w:val="000F2281"/>
    <w:rsid w:val="000F243A"/>
    <w:rsid w:val="000F2534"/>
    <w:rsid w:val="000F2697"/>
    <w:rsid w:val="000F313A"/>
    <w:rsid w:val="000F3652"/>
    <w:rsid w:val="000F499C"/>
    <w:rsid w:val="000F60EB"/>
    <w:rsid w:val="0010086D"/>
    <w:rsid w:val="001017A0"/>
    <w:rsid w:val="001018A8"/>
    <w:rsid w:val="00102222"/>
    <w:rsid w:val="0010315A"/>
    <w:rsid w:val="00103E20"/>
    <w:rsid w:val="00103E23"/>
    <w:rsid w:val="001040C5"/>
    <w:rsid w:val="00104387"/>
    <w:rsid w:val="001043E5"/>
    <w:rsid w:val="001048AA"/>
    <w:rsid w:val="00104A1D"/>
    <w:rsid w:val="001055BC"/>
    <w:rsid w:val="001059D6"/>
    <w:rsid w:val="00107193"/>
    <w:rsid w:val="001103E2"/>
    <w:rsid w:val="0011130F"/>
    <w:rsid w:val="00111951"/>
    <w:rsid w:val="00111A1C"/>
    <w:rsid w:val="00112F1A"/>
    <w:rsid w:val="00116FEE"/>
    <w:rsid w:val="00117095"/>
    <w:rsid w:val="0012117D"/>
    <w:rsid w:val="00122C04"/>
    <w:rsid w:val="00123659"/>
    <w:rsid w:val="001241BC"/>
    <w:rsid w:val="0012420D"/>
    <w:rsid w:val="00124F0E"/>
    <w:rsid w:val="0012523C"/>
    <w:rsid w:val="00125673"/>
    <w:rsid w:val="00125C5D"/>
    <w:rsid w:val="00126D3D"/>
    <w:rsid w:val="00126DA9"/>
    <w:rsid w:val="0012701F"/>
    <w:rsid w:val="001279AE"/>
    <w:rsid w:val="00127ACD"/>
    <w:rsid w:val="001318BD"/>
    <w:rsid w:val="001323D6"/>
    <w:rsid w:val="0013240C"/>
    <w:rsid w:val="00133A3A"/>
    <w:rsid w:val="00133B1C"/>
    <w:rsid w:val="00133D80"/>
    <w:rsid w:val="001345B0"/>
    <w:rsid w:val="00134711"/>
    <w:rsid w:val="00135050"/>
    <w:rsid w:val="00135EC8"/>
    <w:rsid w:val="00136399"/>
    <w:rsid w:val="00136596"/>
    <w:rsid w:val="00136E76"/>
    <w:rsid w:val="001376F1"/>
    <w:rsid w:val="00140008"/>
    <w:rsid w:val="00140A20"/>
    <w:rsid w:val="00140A54"/>
    <w:rsid w:val="00140A86"/>
    <w:rsid w:val="00141DB3"/>
    <w:rsid w:val="00141EFB"/>
    <w:rsid w:val="00143CC7"/>
    <w:rsid w:val="00144342"/>
    <w:rsid w:val="001447C5"/>
    <w:rsid w:val="00144D26"/>
    <w:rsid w:val="001468C6"/>
    <w:rsid w:val="00146C47"/>
    <w:rsid w:val="00150064"/>
    <w:rsid w:val="00150FE0"/>
    <w:rsid w:val="0015150F"/>
    <w:rsid w:val="00151819"/>
    <w:rsid w:val="00152140"/>
    <w:rsid w:val="00152635"/>
    <w:rsid w:val="00152A1B"/>
    <w:rsid w:val="00154479"/>
    <w:rsid w:val="00154735"/>
    <w:rsid w:val="00154B52"/>
    <w:rsid w:val="001555AB"/>
    <w:rsid w:val="001572D7"/>
    <w:rsid w:val="001614A0"/>
    <w:rsid w:val="00161972"/>
    <w:rsid w:val="0016293E"/>
    <w:rsid w:val="00163C9F"/>
    <w:rsid w:val="00163F96"/>
    <w:rsid w:val="00164455"/>
    <w:rsid w:val="00164E4B"/>
    <w:rsid w:val="00164FF4"/>
    <w:rsid w:val="00165A49"/>
    <w:rsid w:val="001667A9"/>
    <w:rsid w:val="001668BC"/>
    <w:rsid w:val="001709D4"/>
    <w:rsid w:val="00171942"/>
    <w:rsid w:val="00171B29"/>
    <w:rsid w:val="00171EF3"/>
    <w:rsid w:val="00171FCC"/>
    <w:rsid w:val="00172272"/>
    <w:rsid w:val="00173478"/>
    <w:rsid w:val="00173577"/>
    <w:rsid w:val="00173E55"/>
    <w:rsid w:val="0017462F"/>
    <w:rsid w:val="00174822"/>
    <w:rsid w:val="00176013"/>
    <w:rsid w:val="00176658"/>
    <w:rsid w:val="001767B1"/>
    <w:rsid w:val="00176AA5"/>
    <w:rsid w:val="00176F50"/>
    <w:rsid w:val="001770A7"/>
    <w:rsid w:val="0017720E"/>
    <w:rsid w:val="001772CC"/>
    <w:rsid w:val="00177893"/>
    <w:rsid w:val="00180D32"/>
    <w:rsid w:val="0018141A"/>
    <w:rsid w:val="0018373E"/>
    <w:rsid w:val="001839C0"/>
    <w:rsid w:val="00183B83"/>
    <w:rsid w:val="00184070"/>
    <w:rsid w:val="00184221"/>
    <w:rsid w:val="0018443E"/>
    <w:rsid w:val="0018502E"/>
    <w:rsid w:val="00185C35"/>
    <w:rsid w:val="00186307"/>
    <w:rsid w:val="001863F7"/>
    <w:rsid w:val="00186ACB"/>
    <w:rsid w:val="00186EBC"/>
    <w:rsid w:val="001904E8"/>
    <w:rsid w:val="001906D8"/>
    <w:rsid w:val="00190F44"/>
    <w:rsid w:val="001916C0"/>
    <w:rsid w:val="00191789"/>
    <w:rsid w:val="0019205F"/>
    <w:rsid w:val="00192983"/>
    <w:rsid w:val="00192EC1"/>
    <w:rsid w:val="001939B6"/>
    <w:rsid w:val="001941C2"/>
    <w:rsid w:val="00195069"/>
    <w:rsid w:val="00195A7F"/>
    <w:rsid w:val="00195DA4"/>
    <w:rsid w:val="001978C4"/>
    <w:rsid w:val="00197D31"/>
    <w:rsid w:val="001A0142"/>
    <w:rsid w:val="001A1941"/>
    <w:rsid w:val="001A20DC"/>
    <w:rsid w:val="001A3880"/>
    <w:rsid w:val="001A3D7C"/>
    <w:rsid w:val="001A3DC9"/>
    <w:rsid w:val="001A452B"/>
    <w:rsid w:val="001A495E"/>
    <w:rsid w:val="001A5CC1"/>
    <w:rsid w:val="001B00CE"/>
    <w:rsid w:val="001B12A9"/>
    <w:rsid w:val="001B1D3A"/>
    <w:rsid w:val="001B2429"/>
    <w:rsid w:val="001B3976"/>
    <w:rsid w:val="001B5B6B"/>
    <w:rsid w:val="001B6389"/>
    <w:rsid w:val="001B724E"/>
    <w:rsid w:val="001C04CC"/>
    <w:rsid w:val="001C051E"/>
    <w:rsid w:val="001C06AA"/>
    <w:rsid w:val="001C18B8"/>
    <w:rsid w:val="001C215F"/>
    <w:rsid w:val="001C29AA"/>
    <w:rsid w:val="001C2C98"/>
    <w:rsid w:val="001C3B0D"/>
    <w:rsid w:val="001C40A1"/>
    <w:rsid w:val="001C653C"/>
    <w:rsid w:val="001C69D7"/>
    <w:rsid w:val="001C7497"/>
    <w:rsid w:val="001C796E"/>
    <w:rsid w:val="001C7D1B"/>
    <w:rsid w:val="001D1195"/>
    <w:rsid w:val="001D527B"/>
    <w:rsid w:val="001D5D47"/>
    <w:rsid w:val="001D5DE3"/>
    <w:rsid w:val="001E0994"/>
    <w:rsid w:val="001E0B0D"/>
    <w:rsid w:val="001E10F7"/>
    <w:rsid w:val="001E1827"/>
    <w:rsid w:val="001E25EC"/>
    <w:rsid w:val="001E3E78"/>
    <w:rsid w:val="001E41DD"/>
    <w:rsid w:val="001E4E98"/>
    <w:rsid w:val="001E550E"/>
    <w:rsid w:val="001E5896"/>
    <w:rsid w:val="001E5918"/>
    <w:rsid w:val="001E5A43"/>
    <w:rsid w:val="001E6F66"/>
    <w:rsid w:val="001E709B"/>
    <w:rsid w:val="001F073C"/>
    <w:rsid w:val="001F078E"/>
    <w:rsid w:val="001F0D0A"/>
    <w:rsid w:val="001F0D35"/>
    <w:rsid w:val="001F0F9F"/>
    <w:rsid w:val="001F1681"/>
    <w:rsid w:val="001F1CAE"/>
    <w:rsid w:val="001F2522"/>
    <w:rsid w:val="001F2912"/>
    <w:rsid w:val="001F2CB0"/>
    <w:rsid w:val="001F2F47"/>
    <w:rsid w:val="001F4595"/>
    <w:rsid w:val="001F5D8D"/>
    <w:rsid w:val="001F6172"/>
    <w:rsid w:val="001F6896"/>
    <w:rsid w:val="001F6C94"/>
    <w:rsid w:val="00200296"/>
    <w:rsid w:val="00200461"/>
    <w:rsid w:val="00201374"/>
    <w:rsid w:val="00201800"/>
    <w:rsid w:val="002018E0"/>
    <w:rsid w:val="00201ADB"/>
    <w:rsid w:val="002046CB"/>
    <w:rsid w:val="00204B6C"/>
    <w:rsid w:val="00204D5B"/>
    <w:rsid w:val="002058E5"/>
    <w:rsid w:val="00205A74"/>
    <w:rsid w:val="0020753D"/>
    <w:rsid w:val="0020757E"/>
    <w:rsid w:val="00207E7C"/>
    <w:rsid w:val="00210209"/>
    <w:rsid w:val="00210FAA"/>
    <w:rsid w:val="00211340"/>
    <w:rsid w:val="00211C47"/>
    <w:rsid w:val="00211F51"/>
    <w:rsid w:val="00213B4F"/>
    <w:rsid w:val="00214438"/>
    <w:rsid w:val="00215787"/>
    <w:rsid w:val="00216816"/>
    <w:rsid w:val="00216849"/>
    <w:rsid w:val="002205EB"/>
    <w:rsid w:val="00220FE5"/>
    <w:rsid w:val="0022112C"/>
    <w:rsid w:val="0022138E"/>
    <w:rsid w:val="0022172B"/>
    <w:rsid w:val="002217F4"/>
    <w:rsid w:val="00223015"/>
    <w:rsid w:val="00223466"/>
    <w:rsid w:val="002234A6"/>
    <w:rsid w:val="00223ACC"/>
    <w:rsid w:val="0022515C"/>
    <w:rsid w:val="0022566A"/>
    <w:rsid w:val="00225FCB"/>
    <w:rsid w:val="0022698B"/>
    <w:rsid w:val="00230E62"/>
    <w:rsid w:val="002325D3"/>
    <w:rsid w:val="00233296"/>
    <w:rsid w:val="0023382E"/>
    <w:rsid w:val="0023465D"/>
    <w:rsid w:val="0023467B"/>
    <w:rsid w:val="00236291"/>
    <w:rsid w:val="002363FC"/>
    <w:rsid w:val="002425EA"/>
    <w:rsid w:val="00242EA0"/>
    <w:rsid w:val="0024321B"/>
    <w:rsid w:val="00243685"/>
    <w:rsid w:val="00243F24"/>
    <w:rsid w:val="00244073"/>
    <w:rsid w:val="0024459C"/>
    <w:rsid w:val="00244AF4"/>
    <w:rsid w:val="002458C1"/>
    <w:rsid w:val="00245AD1"/>
    <w:rsid w:val="00246BDF"/>
    <w:rsid w:val="00246D56"/>
    <w:rsid w:val="002470BB"/>
    <w:rsid w:val="00247643"/>
    <w:rsid w:val="002511E8"/>
    <w:rsid w:val="00251468"/>
    <w:rsid w:val="00251565"/>
    <w:rsid w:val="00252262"/>
    <w:rsid w:val="002529A8"/>
    <w:rsid w:val="002530E7"/>
    <w:rsid w:val="002532B4"/>
    <w:rsid w:val="002534DB"/>
    <w:rsid w:val="00254201"/>
    <w:rsid w:val="0025487C"/>
    <w:rsid w:val="00254EEB"/>
    <w:rsid w:val="00255C62"/>
    <w:rsid w:val="0025608E"/>
    <w:rsid w:val="0025613F"/>
    <w:rsid w:val="002562FD"/>
    <w:rsid w:val="00256DAC"/>
    <w:rsid w:val="0025741F"/>
    <w:rsid w:val="00257C43"/>
    <w:rsid w:val="00257F91"/>
    <w:rsid w:val="00261128"/>
    <w:rsid w:val="00261DC6"/>
    <w:rsid w:val="002625A0"/>
    <w:rsid w:val="002628F4"/>
    <w:rsid w:val="00262C13"/>
    <w:rsid w:val="0026423B"/>
    <w:rsid w:val="0026444E"/>
    <w:rsid w:val="00264623"/>
    <w:rsid w:val="00264773"/>
    <w:rsid w:val="00264E52"/>
    <w:rsid w:val="00265116"/>
    <w:rsid w:val="002657DD"/>
    <w:rsid w:val="00265F9B"/>
    <w:rsid w:val="00270516"/>
    <w:rsid w:val="00270759"/>
    <w:rsid w:val="002709F0"/>
    <w:rsid w:val="00270BBC"/>
    <w:rsid w:val="00271979"/>
    <w:rsid w:val="002729FB"/>
    <w:rsid w:val="0027575E"/>
    <w:rsid w:val="00275894"/>
    <w:rsid w:val="00276C8A"/>
    <w:rsid w:val="00276C97"/>
    <w:rsid w:val="002778BC"/>
    <w:rsid w:val="00277D40"/>
    <w:rsid w:val="002801F4"/>
    <w:rsid w:val="00280B5B"/>
    <w:rsid w:val="00280D8D"/>
    <w:rsid w:val="00281DCF"/>
    <w:rsid w:val="002836DF"/>
    <w:rsid w:val="00283ECB"/>
    <w:rsid w:val="002861AB"/>
    <w:rsid w:val="00287596"/>
    <w:rsid w:val="0028765C"/>
    <w:rsid w:val="00287E1E"/>
    <w:rsid w:val="0029025D"/>
    <w:rsid w:val="002906FA"/>
    <w:rsid w:val="002923D9"/>
    <w:rsid w:val="002923DF"/>
    <w:rsid w:val="0029269D"/>
    <w:rsid w:val="0029289C"/>
    <w:rsid w:val="002928F4"/>
    <w:rsid w:val="0029388E"/>
    <w:rsid w:val="0029400A"/>
    <w:rsid w:val="0029413F"/>
    <w:rsid w:val="00294D87"/>
    <w:rsid w:val="0029546B"/>
    <w:rsid w:val="00296EA6"/>
    <w:rsid w:val="002979C6"/>
    <w:rsid w:val="00297B37"/>
    <w:rsid w:val="002A02A1"/>
    <w:rsid w:val="002A0A03"/>
    <w:rsid w:val="002A0C57"/>
    <w:rsid w:val="002A391F"/>
    <w:rsid w:val="002A3B8B"/>
    <w:rsid w:val="002A3E5A"/>
    <w:rsid w:val="002A4503"/>
    <w:rsid w:val="002A500D"/>
    <w:rsid w:val="002A6780"/>
    <w:rsid w:val="002A787E"/>
    <w:rsid w:val="002A78B9"/>
    <w:rsid w:val="002B01CF"/>
    <w:rsid w:val="002B05B8"/>
    <w:rsid w:val="002B1DF7"/>
    <w:rsid w:val="002B1FCE"/>
    <w:rsid w:val="002B2A98"/>
    <w:rsid w:val="002B4941"/>
    <w:rsid w:val="002B5338"/>
    <w:rsid w:val="002B5D74"/>
    <w:rsid w:val="002B61C4"/>
    <w:rsid w:val="002B67CA"/>
    <w:rsid w:val="002B6817"/>
    <w:rsid w:val="002B73A4"/>
    <w:rsid w:val="002B7ADB"/>
    <w:rsid w:val="002C00F5"/>
    <w:rsid w:val="002C1543"/>
    <w:rsid w:val="002C17C7"/>
    <w:rsid w:val="002C1D2F"/>
    <w:rsid w:val="002C283F"/>
    <w:rsid w:val="002C4608"/>
    <w:rsid w:val="002C6653"/>
    <w:rsid w:val="002C7C13"/>
    <w:rsid w:val="002D011C"/>
    <w:rsid w:val="002D0EF2"/>
    <w:rsid w:val="002D1242"/>
    <w:rsid w:val="002D23E6"/>
    <w:rsid w:val="002D24AC"/>
    <w:rsid w:val="002D29D4"/>
    <w:rsid w:val="002D2FCA"/>
    <w:rsid w:val="002D3D17"/>
    <w:rsid w:val="002D4671"/>
    <w:rsid w:val="002D709D"/>
    <w:rsid w:val="002D7823"/>
    <w:rsid w:val="002D7DA9"/>
    <w:rsid w:val="002D7DBF"/>
    <w:rsid w:val="002E046C"/>
    <w:rsid w:val="002E21D8"/>
    <w:rsid w:val="002E3461"/>
    <w:rsid w:val="002E4293"/>
    <w:rsid w:val="002E4C2D"/>
    <w:rsid w:val="002E5285"/>
    <w:rsid w:val="002E52F3"/>
    <w:rsid w:val="002E5DEA"/>
    <w:rsid w:val="002E6B10"/>
    <w:rsid w:val="002E6D4F"/>
    <w:rsid w:val="002E724A"/>
    <w:rsid w:val="002F078A"/>
    <w:rsid w:val="002F114C"/>
    <w:rsid w:val="002F1642"/>
    <w:rsid w:val="002F26E6"/>
    <w:rsid w:val="002F311E"/>
    <w:rsid w:val="002F313A"/>
    <w:rsid w:val="002F345B"/>
    <w:rsid w:val="002F38C6"/>
    <w:rsid w:val="002F4227"/>
    <w:rsid w:val="002F4515"/>
    <w:rsid w:val="002F45FB"/>
    <w:rsid w:val="002F4F8F"/>
    <w:rsid w:val="002F5704"/>
    <w:rsid w:val="002F5FEC"/>
    <w:rsid w:val="002F71B8"/>
    <w:rsid w:val="002F71F4"/>
    <w:rsid w:val="002F7934"/>
    <w:rsid w:val="003004E7"/>
    <w:rsid w:val="003018B4"/>
    <w:rsid w:val="00301EA1"/>
    <w:rsid w:val="00301F26"/>
    <w:rsid w:val="00302FCC"/>
    <w:rsid w:val="003041B9"/>
    <w:rsid w:val="00304371"/>
    <w:rsid w:val="003062AE"/>
    <w:rsid w:val="00306525"/>
    <w:rsid w:val="0030668D"/>
    <w:rsid w:val="0031033B"/>
    <w:rsid w:val="00310E37"/>
    <w:rsid w:val="003115F4"/>
    <w:rsid w:val="0031480D"/>
    <w:rsid w:val="00314BFC"/>
    <w:rsid w:val="00315514"/>
    <w:rsid w:val="00317082"/>
    <w:rsid w:val="00317E18"/>
    <w:rsid w:val="003208AE"/>
    <w:rsid w:val="0032232D"/>
    <w:rsid w:val="00323CDD"/>
    <w:rsid w:val="00323F85"/>
    <w:rsid w:val="00324141"/>
    <w:rsid w:val="003243D5"/>
    <w:rsid w:val="00324B79"/>
    <w:rsid w:val="00327BC9"/>
    <w:rsid w:val="00331A16"/>
    <w:rsid w:val="00333C84"/>
    <w:rsid w:val="003346CA"/>
    <w:rsid w:val="003348E7"/>
    <w:rsid w:val="00334AC1"/>
    <w:rsid w:val="00334ACF"/>
    <w:rsid w:val="00337B03"/>
    <w:rsid w:val="00337B87"/>
    <w:rsid w:val="00341321"/>
    <w:rsid w:val="00341A14"/>
    <w:rsid w:val="003422F0"/>
    <w:rsid w:val="00344782"/>
    <w:rsid w:val="00345E01"/>
    <w:rsid w:val="0034773F"/>
    <w:rsid w:val="0035045D"/>
    <w:rsid w:val="00350595"/>
    <w:rsid w:val="00351253"/>
    <w:rsid w:val="00351381"/>
    <w:rsid w:val="00351656"/>
    <w:rsid w:val="003521A6"/>
    <w:rsid w:val="003530A6"/>
    <w:rsid w:val="003530D3"/>
    <w:rsid w:val="00353379"/>
    <w:rsid w:val="00353627"/>
    <w:rsid w:val="00353D13"/>
    <w:rsid w:val="00354555"/>
    <w:rsid w:val="003548C1"/>
    <w:rsid w:val="00355103"/>
    <w:rsid w:val="0035552A"/>
    <w:rsid w:val="00355773"/>
    <w:rsid w:val="00355F72"/>
    <w:rsid w:val="00357657"/>
    <w:rsid w:val="00357C75"/>
    <w:rsid w:val="00357E32"/>
    <w:rsid w:val="00360475"/>
    <w:rsid w:val="00361148"/>
    <w:rsid w:val="00361334"/>
    <w:rsid w:val="00362928"/>
    <w:rsid w:val="003639A6"/>
    <w:rsid w:val="003639B0"/>
    <w:rsid w:val="003645D5"/>
    <w:rsid w:val="0036470D"/>
    <w:rsid w:val="00364928"/>
    <w:rsid w:val="00365C98"/>
    <w:rsid w:val="003679AE"/>
    <w:rsid w:val="00367B9A"/>
    <w:rsid w:val="00370688"/>
    <w:rsid w:val="003714BA"/>
    <w:rsid w:val="0037285A"/>
    <w:rsid w:val="00372C62"/>
    <w:rsid w:val="00372E10"/>
    <w:rsid w:val="0037358A"/>
    <w:rsid w:val="00373F6A"/>
    <w:rsid w:val="0037425F"/>
    <w:rsid w:val="003747ED"/>
    <w:rsid w:val="003749EE"/>
    <w:rsid w:val="00374D66"/>
    <w:rsid w:val="00376372"/>
    <w:rsid w:val="00380B6A"/>
    <w:rsid w:val="003827D1"/>
    <w:rsid w:val="0038281C"/>
    <w:rsid w:val="0038516B"/>
    <w:rsid w:val="0038541C"/>
    <w:rsid w:val="00385A64"/>
    <w:rsid w:val="00386D1A"/>
    <w:rsid w:val="0038726C"/>
    <w:rsid w:val="00387694"/>
    <w:rsid w:val="0039045D"/>
    <w:rsid w:val="003907BA"/>
    <w:rsid w:val="003909A9"/>
    <w:rsid w:val="00391479"/>
    <w:rsid w:val="0039182E"/>
    <w:rsid w:val="00392A66"/>
    <w:rsid w:val="0039342B"/>
    <w:rsid w:val="003938EE"/>
    <w:rsid w:val="0039407C"/>
    <w:rsid w:val="00394285"/>
    <w:rsid w:val="003948B1"/>
    <w:rsid w:val="00394A45"/>
    <w:rsid w:val="00394C83"/>
    <w:rsid w:val="00395BEF"/>
    <w:rsid w:val="00396339"/>
    <w:rsid w:val="00397170"/>
    <w:rsid w:val="00397950"/>
    <w:rsid w:val="003979D9"/>
    <w:rsid w:val="003A0094"/>
    <w:rsid w:val="003A04B8"/>
    <w:rsid w:val="003A096A"/>
    <w:rsid w:val="003A0D54"/>
    <w:rsid w:val="003A0FEE"/>
    <w:rsid w:val="003A21CC"/>
    <w:rsid w:val="003A3433"/>
    <w:rsid w:val="003A38B3"/>
    <w:rsid w:val="003A537E"/>
    <w:rsid w:val="003A53D4"/>
    <w:rsid w:val="003A5838"/>
    <w:rsid w:val="003A5CF0"/>
    <w:rsid w:val="003A642E"/>
    <w:rsid w:val="003A660F"/>
    <w:rsid w:val="003A693E"/>
    <w:rsid w:val="003A6DB5"/>
    <w:rsid w:val="003A79A4"/>
    <w:rsid w:val="003A79B9"/>
    <w:rsid w:val="003B095E"/>
    <w:rsid w:val="003B261B"/>
    <w:rsid w:val="003B2D06"/>
    <w:rsid w:val="003B38DF"/>
    <w:rsid w:val="003B3C35"/>
    <w:rsid w:val="003B3C99"/>
    <w:rsid w:val="003B7303"/>
    <w:rsid w:val="003C0127"/>
    <w:rsid w:val="003C055D"/>
    <w:rsid w:val="003C0EAF"/>
    <w:rsid w:val="003C1A9F"/>
    <w:rsid w:val="003C231A"/>
    <w:rsid w:val="003C359A"/>
    <w:rsid w:val="003C3769"/>
    <w:rsid w:val="003C3EED"/>
    <w:rsid w:val="003C463C"/>
    <w:rsid w:val="003C54D2"/>
    <w:rsid w:val="003C6533"/>
    <w:rsid w:val="003C72EB"/>
    <w:rsid w:val="003C777E"/>
    <w:rsid w:val="003D11A9"/>
    <w:rsid w:val="003D1451"/>
    <w:rsid w:val="003D1698"/>
    <w:rsid w:val="003D1FB3"/>
    <w:rsid w:val="003D2A37"/>
    <w:rsid w:val="003D2B1E"/>
    <w:rsid w:val="003D3E6A"/>
    <w:rsid w:val="003D3EFE"/>
    <w:rsid w:val="003D69EF"/>
    <w:rsid w:val="003D7456"/>
    <w:rsid w:val="003E0EDB"/>
    <w:rsid w:val="003E1236"/>
    <w:rsid w:val="003E1349"/>
    <w:rsid w:val="003E56CB"/>
    <w:rsid w:val="003E6196"/>
    <w:rsid w:val="003E6475"/>
    <w:rsid w:val="003E710B"/>
    <w:rsid w:val="003E72AE"/>
    <w:rsid w:val="003E7EFF"/>
    <w:rsid w:val="003F04AC"/>
    <w:rsid w:val="003F105A"/>
    <w:rsid w:val="003F15DC"/>
    <w:rsid w:val="003F2CC6"/>
    <w:rsid w:val="003F5325"/>
    <w:rsid w:val="003F57E6"/>
    <w:rsid w:val="003F6199"/>
    <w:rsid w:val="003F6DFC"/>
    <w:rsid w:val="004002FB"/>
    <w:rsid w:val="00400F9A"/>
    <w:rsid w:val="004016B9"/>
    <w:rsid w:val="00401E77"/>
    <w:rsid w:val="0040318C"/>
    <w:rsid w:val="004033BF"/>
    <w:rsid w:val="004044F2"/>
    <w:rsid w:val="004049D6"/>
    <w:rsid w:val="00404B7C"/>
    <w:rsid w:val="00404C00"/>
    <w:rsid w:val="00404C3E"/>
    <w:rsid w:val="004050B0"/>
    <w:rsid w:val="00405B52"/>
    <w:rsid w:val="00405E71"/>
    <w:rsid w:val="004067E0"/>
    <w:rsid w:val="0040701F"/>
    <w:rsid w:val="004075CA"/>
    <w:rsid w:val="00407E5A"/>
    <w:rsid w:val="004108CF"/>
    <w:rsid w:val="004112C2"/>
    <w:rsid w:val="00413110"/>
    <w:rsid w:val="0041362E"/>
    <w:rsid w:val="00413BC6"/>
    <w:rsid w:val="00413FE6"/>
    <w:rsid w:val="00414755"/>
    <w:rsid w:val="0041498A"/>
    <w:rsid w:val="00414FDC"/>
    <w:rsid w:val="00415154"/>
    <w:rsid w:val="00416479"/>
    <w:rsid w:val="0041685C"/>
    <w:rsid w:val="004171E1"/>
    <w:rsid w:val="00417390"/>
    <w:rsid w:val="00417C2C"/>
    <w:rsid w:val="00417CEB"/>
    <w:rsid w:val="004202B5"/>
    <w:rsid w:val="00420540"/>
    <w:rsid w:val="00420FD3"/>
    <w:rsid w:val="00421450"/>
    <w:rsid w:val="00421FA6"/>
    <w:rsid w:val="00422F23"/>
    <w:rsid w:val="004233FD"/>
    <w:rsid w:val="00423F3A"/>
    <w:rsid w:val="00425029"/>
    <w:rsid w:val="00425163"/>
    <w:rsid w:val="00425947"/>
    <w:rsid w:val="00426090"/>
    <w:rsid w:val="00426C29"/>
    <w:rsid w:val="00426CF2"/>
    <w:rsid w:val="00427A1A"/>
    <w:rsid w:val="00427E55"/>
    <w:rsid w:val="00427F07"/>
    <w:rsid w:val="00431B8A"/>
    <w:rsid w:val="00432CD2"/>
    <w:rsid w:val="00433121"/>
    <w:rsid w:val="004334ED"/>
    <w:rsid w:val="00434D66"/>
    <w:rsid w:val="00435291"/>
    <w:rsid w:val="0043739D"/>
    <w:rsid w:val="00437A81"/>
    <w:rsid w:val="00437B39"/>
    <w:rsid w:val="00437BB5"/>
    <w:rsid w:val="00444397"/>
    <w:rsid w:val="004453BC"/>
    <w:rsid w:val="00445F97"/>
    <w:rsid w:val="0044670C"/>
    <w:rsid w:val="004508ED"/>
    <w:rsid w:val="0045105B"/>
    <w:rsid w:val="004518E5"/>
    <w:rsid w:val="00451C71"/>
    <w:rsid w:val="00452296"/>
    <w:rsid w:val="00452F22"/>
    <w:rsid w:val="00453247"/>
    <w:rsid w:val="0045389C"/>
    <w:rsid w:val="00453BAE"/>
    <w:rsid w:val="00453D59"/>
    <w:rsid w:val="0045417D"/>
    <w:rsid w:val="004548E9"/>
    <w:rsid w:val="004549C8"/>
    <w:rsid w:val="00455D04"/>
    <w:rsid w:val="00456242"/>
    <w:rsid w:val="00457CBB"/>
    <w:rsid w:val="004603A6"/>
    <w:rsid w:val="00460B6A"/>
    <w:rsid w:val="00460DDB"/>
    <w:rsid w:val="004617E4"/>
    <w:rsid w:val="00461942"/>
    <w:rsid w:val="004619BB"/>
    <w:rsid w:val="0046200E"/>
    <w:rsid w:val="00462D90"/>
    <w:rsid w:val="00465D3F"/>
    <w:rsid w:val="00465E75"/>
    <w:rsid w:val="0046600B"/>
    <w:rsid w:val="0046621E"/>
    <w:rsid w:val="004669E0"/>
    <w:rsid w:val="0046732D"/>
    <w:rsid w:val="004675C0"/>
    <w:rsid w:val="00470096"/>
    <w:rsid w:val="00470D5F"/>
    <w:rsid w:val="004711B2"/>
    <w:rsid w:val="00472D4D"/>
    <w:rsid w:val="00473128"/>
    <w:rsid w:val="00473182"/>
    <w:rsid w:val="00475D1A"/>
    <w:rsid w:val="00475FB7"/>
    <w:rsid w:val="00476911"/>
    <w:rsid w:val="00476AF9"/>
    <w:rsid w:val="00476B98"/>
    <w:rsid w:val="00477D13"/>
    <w:rsid w:val="00480C3B"/>
    <w:rsid w:val="00480E04"/>
    <w:rsid w:val="004813DE"/>
    <w:rsid w:val="00481549"/>
    <w:rsid w:val="004825CC"/>
    <w:rsid w:val="00486322"/>
    <w:rsid w:val="00486EEE"/>
    <w:rsid w:val="0048761C"/>
    <w:rsid w:val="0049071E"/>
    <w:rsid w:val="004908B7"/>
    <w:rsid w:val="00490A71"/>
    <w:rsid w:val="004919DD"/>
    <w:rsid w:val="00492ABA"/>
    <w:rsid w:val="00493283"/>
    <w:rsid w:val="004935EF"/>
    <w:rsid w:val="00493731"/>
    <w:rsid w:val="00494F7C"/>
    <w:rsid w:val="00495F04"/>
    <w:rsid w:val="00497B5B"/>
    <w:rsid w:val="004A0C6D"/>
    <w:rsid w:val="004A1B38"/>
    <w:rsid w:val="004A1B84"/>
    <w:rsid w:val="004A1B95"/>
    <w:rsid w:val="004A2DF5"/>
    <w:rsid w:val="004A413E"/>
    <w:rsid w:val="004A46B6"/>
    <w:rsid w:val="004A4EF3"/>
    <w:rsid w:val="004A4F2A"/>
    <w:rsid w:val="004A516F"/>
    <w:rsid w:val="004A5746"/>
    <w:rsid w:val="004A62EF"/>
    <w:rsid w:val="004A678E"/>
    <w:rsid w:val="004A6CE2"/>
    <w:rsid w:val="004A71BE"/>
    <w:rsid w:val="004B0204"/>
    <w:rsid w:val="004B0FD3"/>
    <w:rsid w:val="004B23B5"/>
    <w:rsid w:val="004B3C00"/>
    <w:rsid w:val="004B3E6E"/>
    <w:rsid w:val="004B4193"/>
    <w:rsid w:val="004B5418"/>
    <w:rsid w:val="004B6262"/>
    <w:rsid w:val="004B69D7"/>
    <w:rsid w:val="004B7D80"/>
    <w:rsid w:val="004C1D0C"/>
    <w:rsid w:val="004C2FF3"/>
    <w:rsid w:val="004C3B63"/>
    <w:rsid w:val="004C445C"/>
    <w:rsid w:val="004C46BA"/>
    <w:rsid w:val="004C4F87"/>
    <w:rsid w:val="004C5F62"/>
    <w:rsid w:val="004C63C5"/>
    <w:rsid w:val="004C7115"/>
    <w:rsid w:val="004D1006"/>
    <w:rsid w:val="004D2513"/>
    <w:rsid w:val="004D2E45"/>
    <w:rsid w:val="004D45DF"/>
    <w:rsid w:val="004D4E7A"/>
    <w:rsid w:val="004D5466"/>
    <w:rsid w:val="004D7F30"/>
    <w:rsid w:val="004E0C0B"/>
    <w:rsid w:val="004E15E5"/>
    <w:rsid w:val="004E2125"/>
    <w:rsid w:val="004E330A"/>
    <w:rsid w:val="004E346E"/>
    <w:rsid w:val="004E4393"/>
    <w:rsid w:val="004E51E5"/>
    <w:rsid w:val="004E5DAC"/>
    <w:rsid w:val="004E5F8A"/>
    <w:rsid w:val="004E5F8F"/>
    <w:rsid w:val="004E6626"/>
    <w:rsid w:val="004E6CFF"/>
    <w:rsid w:val="004E6D75"/>
    <w:rsid w:val="004E7AD4"/>
    <w:rsid w:val="004E7D8A"/>
    <w:rsid w:val="004F0288"/>
    <w:rsid w:val="004F1802"/>
    <w:rsid w:val="004F21CD"/>
    <w:rsid w:val="004F28A9"/>
    <w:rsid w:val="004F3688"/>
    <w:rsid w:val="004F3AAE"/>
    <w:rsid w:val="004F3B86"/>
    <w:rsid w:val="004F3D72"/>
    <w:rsid w:val="004F4BDE"/>
    <w:rsid w:val="004F57C7"/>
    <w:rsid w:val="004F5C4B"/>
    <w:rsid w:val="004F5F26"/>
    <w:rsid w:val="004F699C"/>
    <w:rsid w:val="004F7CAC"/>
    <w:rsid w:val="0050175A"/>
    <w:rsid w:val="005033E9"/>
    <w:rsid w:val="00503E77"/>
    <w:rsid w:val="00504DA3"/>
    <w:rsid w:val="0050558B"/>
    <w:rsid w:val="00510324"/>
    <w:rsid w:val="00511320"/>
    <w:rsid w:val="0051139F"/>
    <w:rsid w:val="005119C9"/>
    <w:rsid w:val="00512786"/>
    <w:rsid w:val="00512853"/>
    <w:rsid w:val="00512AC8"/>
    <w:rsid w:val="0051313D"/>
    <w:rsid w:val="00513692"/>
    <w:rsid w:val="005143F9"/>
    <w:rsid w:val="00514E56"/>
    <w:rsid w:val="00514F74"/>
    <w:rsid w:val="00515109"/>
    <w:rsid w:val="005151A9"/>
    <w:rsid w:val="005152C2"/>
    <w:rsid w:val="00516566"/>
    <w:rsid w:val="00517363"/>
    <w:rsid w:val="00517D4B"/>
    <w:rsid w:val="00520BBF"/>
    <w:rsid w:val="005218C3"/>
    <w:rsid w:val="00521ABD"/>
    <w:rsid w:val="005224F5"/>
    <w:rsid w:val="0052271E"/>
    <w:rsid w:val="00522D12"/>
    <w:rsid w:val="00523B95"/>
    <w:rsid w:val="00523C35"/>
    <w:rsid w:val="00523FFD"/>
    <w:rsid w:val="0052438F"/>
    <w:rsid w:val="0052758B"/>
    <w:rsid w:val="00531B27"/>
    <w:rsid w:val="00531C11"/>
    <w:rsid w:val="0053211C"/>
    <w:rsid w:val="0053350B"/>
    <w:rsid w:val="0053445D"/>
    <w:rsid w:val="00534477"/>
    <w:rsid w:val="00534646"/>
    <w:rsid w:val="0053529D"/>
    <w:rsid w:val="005356AA"/>
    <w:rsid w:val="00535C74"/>
    <w:rsid w:val="005361AB"/>
    <w:rsid w:val="00537D96"/>
    <w:rsid w:val="00541679"/>
    <w:rsid w:val="005416CF"/>
    <w:rsid w:val="00541D43"/>
    <w:rsid w:val="00542068"/>
    <w:rsid w:val="005422C6"/>
    <w:rsid w:val="005422D6"/>
    <w:rsid w:val="00542826"/>
    <w:rsid w:val="005439E5"/>
    <w:rsid w:val="00543AF9"/>
    <w:rsid w:val="0054432E"/>
    <w:rsid w:val="005447B6"/>
    <w:rsid w:val="00544C74"/>
    <w:rsid w:val="00544DE1"/>
    <w:rsid w:val="00545098"/>
    <w:rsid w:val="00545978"/>
    <w:rsid w:val="00546701"/>
    <w:rsid w:val="00546A07"/>
    <w:rsid w:val="00547FC0"/>
    <w:rsid w:val="00547FD8"/>
    <w:rsid w:val="005515CB"/>
    <w:rsid w:val="0055189D"/>
    <w:rsid w:val="00551DCF"/>
    <w:rsid w:val="0055323C"/>
    <w:rsid w:val="005535A0"/>
    <w:rsid w:val="00554363"/>
    <w:rsid w:val="0055532F"/>
    <w:rsid w:val="0055588F"/>
    <w:rsid w:val="005558A9"/>
    <w:rsid w:val="00555A0B"/>
    <w:rsid w:val="00556A17"/>
    <w:rsid w:val="00556D53"/>
    <w:rsid w:val="00557628"/>
    <w:rsid w:val="0055780A"/>
    <w:rsid w:val="00560B4A"/>
    <w:rsid w:val="00560BC3"/>
    <w:rsid w:val="005617DF"/>
    <w:rsid w:val="00561D24"/>
    <w:rsid w:val="0056344D"/>
    <w:rsid w:val="00563E4A"/>
    <w:rsid w:val="0056429D"/>
    <w:rsid w:val="005648A0"/>
    <w:rsid w:val="00566250"/>
    <w:rsid w:val="00566926"/>
    <w:rsid w:val="00566F39"/>
    <w:rsid w:val="005728DA"/>
    <w:rsid w:val="005729A3"/>
    <w:rsid w:val="00572EE4"/>
    <w:rsid w:val="0057324A"/>
    <w:rsid w:val="005738A6"/>
    <w:rsid w:val="00573E78"/>
    <w:rsid w:val="00573E7E"/>
    <w:rsid w:val="00574D20"/>
    <w:rsid w:val="00575488"/>
    <w:rsid w:val="0057674C"/>
    <w:rsid w:val="00576ADE"/>
    <w:rsid w:val="00577726"/>
    <w:rsid w:val="00577CFD"/>
    <w:rsid w:val="00577DEF"/>
    <w:rsid w:val="00580006"/>
    <w:rsid w:val="00580981"/>
    <w:rsid w:val="00580F99"/>
    <w:rsid w:val="00581588"/>
    <w:rsid w:val="0058187F"/>
    <w:rsid w:val="0058188B"/>
    <w:rsid w:val="0058324C"/>
    <w:rsid w:val="00585866"/>
    <w:rsid w:val="00585A57"/>
    <w:rsid w:val="00585FCB"/>
    <w:rsid w:val="00587BDE"/>
    <w:rsid w:val="00590743"/>
    <w:rsid w:val="00590D49"/>
    <w:rsid w:val="00592360"/>
    <w:rsid w:val="00592E0C"/>
    <w:rsid w:val="00592FC3"/>
    <w:rsid w:val="005941BA"/>
    <w:rsid w:val="00595CB7"/>
    <w:rsid w:val="0059661C"/>
    <w:rsid w:val="00596CE3"/>
    <w:rsid w:val="00597972"/>
    <w:rsid w:val="00597FAB"/>
    <w:rsid w:val="005A0EED"/>
    <w:rsid w:val="005A3281"/>
    <w:rsid w:val="005A4C43"/>
    <w:rsid w:val="005A56EA"/>
    <w:rsid w:val="005A5915"/>
    <w:rsid w:val="005A60D4"/>
    <w:rsid w:val="005A7545"/>
    <w:rsid w:val="005A7C9C"/>
    <w:rsid w:val="005A7E15"/>
    <w:rsid w:val="005B0B05"/>
    <w:rsid w:val="005B104C"/>
    <w:rsid w:val="005B21F7"/>
    <w:rsid w:val="005B2366"/>
    <w:rsid w:val="005B399B"/>
    <w:rsid w:val="005B578C"/>
    <w:rsid w:val="005B5D38"/>
    <w:rsid w:val="005B5DED"/>
    <w:rsid w:val="005B61EA"/>
    <w:rsid w:val="005C1231"/>
    <w:rsid w:val="005C12D2"/>
    <w:rsid w:val="005C1E8E"/>
    <w:rsid w:val="005C2085"/>
    <w:rsid w:val="005C273A"/>
    <w:rsid w:val="005C2759"/>
    <w:rsid w:val="005C2E4E"/>
    <w:rsid w:val="005C3487"/>
    <w:rsid w:val="005C3A10"/>
    <w:rsid w:val="005C407E"/>
    <w:rsid w:val="005C6A66"/>
    <w:rsid w:val="005C75F9"/>
    <w:rsid w:val="005C793C"/>
    <w:rsid w:val="005C7E08"/>
    <w:rsid w:val="005D0493"/>
    <w:rsid w:val="005D0BC0"/>
    <w:rsid w:val="005D2760"/>
    <w:rsid w:val="005D2A3C"/>
    <w:rsid w:val="005D3B83"/>
    <w:rsid w:val="005D4970"/>
    <w:rsid w:val="005D4DE8"/>
    <w:rsid w:val="005D524A"/>
    <w:rsid w:val="005D5BA1"/>
    <w:rsid w:val="005D5E17"/>
    <w:rsid w:val="005D6535"/>
    <w:rsid w:val="005D697E"/>
    <w:rsid w:val="005D6F9F"/>
    <w:rsid w:val="005D72F8"/>
    <w:rsid w:val="005D7976"/>
    <w:rsid w:val="005D7C71"/>
    <w:rsid w:val="005E10E4"/>
    <w:rsid w:val="005E227E"/>
    <w:rsid w:val="005E333D"/>
    <w:rsid w:val="005E49B2"/>
    <w:rsid w:val="005E4B77"/>
    <w:rsid w:val="005E6358"/>
    <w:rsid w:val="005E68FB"/>
    <w:rsid w:val="005F0AE8"/>
    <w:rsid w:val="005F1FD6"/>
    <w:rsid w:val="005F2515"/>
    <w:rsid w:val="005F2A6B"/>
    <w:rsid w:val="005F3366"/>
    <w:rsid w:val="005F40C1"/>
    <w:rsid w:val="005F4277"/>
    <w:rsid w:val="005F4EF8"/>
    <w:rsid w:val="005F5DDB"/>
    <w:rsid w:val="005F613D"/>
    <w:rsid w:val="00600A39"/>
    <w:rsid w:val="006024D3"/>
    <w:rsid w:val="0060279B"/>
    <w:rsid w:val="00602CF8"/>
    <w:rsid w:val="00604E20"/>
    <w:rsid w:val="00605EFD"/>
    <w:rsid w:val="00606520"/>
    <w:rsid w:val="00606EF9"/>
    <w:rsid w:val="00606FC6"/>
    <w:rsid w:val="0060706A"/>
    <w:rsid w:val="00607758"/>
    <w:rsid w:val="00607EAD"/>
    <w:rsid w:val="00610582"/>
    <w:rsid w:val="00610674"/>
    <w:rsid w:val="00610D5E"/>
    <w:rsid w:val="006110E8"/>
    <w:rsid w:val="006112E3"/>
    <w:rsid w:val="00613467"/>
    <w:rsid w:val="00613D0E"/>
    <w:rsid w:val="00614287"/>
    <w:rsid w:val="00614F4F"/>
    <w:rsid w:val="00615888"/>
    <w:rsid w:val="00616C56"/>
    <w:rsid w:val="006173E3"/>
    <w:rsid w:val="006178DB"/>
    <w:rsid w:val="0062027A"/>
    <w:rsid w:val="00620DD7"/>
    <w:rsid w:val="00621B2C"/>
    <w:rsid w:val="00621D81"/>
    <w:rsid w:val="00623092"/>
    <w:rsid w:val="00623454"/>
    <w:rsid w:val="0062398E"/>
    <w:rsid w:val="00624315"/>
    <w:rsid w:val="006245AB"/>
    <w:rsid w:val="00624778"/>
    <w:rsid w:val="006248C6"/>
    <w:rsid w:val="0062545B"/>
    <w:rsid w:val="0062552A"/>
    <w:rsid w:val="00625950"/>
    <w:rsid w:val="006270EF"/>
    <w:rsid w:val="0062726F"/>
    <w:rsid w:val="00627CBD"/>
    <w:rsid w:val="00630496"/>
    <w:rsid w:val="006325E4"/>
    <w:rsid w:val="006332BE"/>
    <w:rsid w:val="00633A5E"/>
    <w:rsid w:val="00634B49"/>
    <w:rsid w:val="00634E25"/>
    <w:rsid w:val="00635F42"/>
    <w:rsid w:val="00637459"/>
    <w:rsid w:val="00637C5B"/>
    <w:rsid w:val="00640425"/>
    <w:rsid w:val="006408C3"/>
    <w:rsid w:val="00640E65"/>
    <w:rsid w:val="00641C3F"/>
    <w:rsid w:val="00641D53"/>
    <w:rsid w:val="00641F9D"/>
    <w:rsid w:val="0064290C"/>
    <w:rsid w:val="0064344A"/>
    <w:rsid w:val="006436B7"/>
    <w:rsid w:val="00644591"/>
    <w:rsid w:val="006448C0"/>
    <w:rsid w:val="00644B1E"/>
    <w:rsid w:val="0064512D"/>
    <w:rsid w:val="00645AB3"/>
    <w:rsid w:val="0064620D"/>
    <w:rsid w:val="0064719A"/>
    <w:rsid w:val="00650597"/>
    <w:rsid w:val="006509CD"/>
    <w:rsid w:val="0065226B"/>
    <w:rsid w:val="00653B40"/>
    <w:rsid w:val="00655158"/>
    <w:rsid w:val="00656A27"/>
    <w:rsid w:val="00657754"/>
    <w:rsid w:val="006609BE"/>
    <w:rsid w:val="00661536"/>
    <w:rsid w:val="006618AA"/>
    <w:rsid w:val="00662DFF"/>
    <w:rsid w:val="00663710"/>
    <w:rsid w:val="00664356"/>
    <w:rsid w:val="0066459F"/>
    <w:rsid w:val="00665FC6"/>
    <w:rsid w:val="00667104"/>
    <w:rsid w:val="00667342"/>
    <w:rsid w:val="00667CBF"/>
    <w:rsid w:val="00667FC6"/>
    <w:rsid w:val="0067039F"/>
    <w:rsid w:val="00672120"/>
    <w:rsid w:val="0067327D"/>
    <w:rsid w:val="00673352"/>
    <w:rsid w:val="0067381B"/>
    <w:rsid w:val="00673843"/>
    <w:rsid w:val="00673D7C"/>
    <w:rsid w:val="006749AC"/>
    <w:rsid w:val="00674F81"/>
    <w:rsid w:val="00675066"/>
    <w:rsid w:val="006770D5"/>
    <w:rsid w:val="00677BF3"/>
    <w:rsid w:val="0068031D"/>
    <w:rsid w:val="00681C5B"/>
    <w:rsid w:val="006827F2"/>
    <w:rsid w:val="0068368C"/>
    <w:rsid w:val="00684469"/>
    <w:rsid w:val="0068446B"/>
    <w:rsid w:val="0068474C"/>
    <w:rsid w:val="00685F88"/>
    <w:rsid w:val="00686230"/>
    <w:rsid w:val="0068650C"/>
    <w:rsid w:val="00686A71"/>
    <w:rsid w:val="0069080C"/>
    <w:rsid w:val="00690B28"/>
    <w:rsid w:val="00690D44"/>
    <w:rsid w:val="00690F7C"/>
    <w:rsid w:val="0069123E"/>
    <w:rsid w:val="00691913"/>
    <w:rsid w:val="006929C7"/>
    <w:rsid w:val="00692D21"/>
    <w:rsid w:val="00693399"/>
    <w:rsid w:val="0069362F"/>
    <w:rsid w:val="0069459C"/>
    <w:rsid w:val="00695AF6"/>
    <w:rsid w:val="00695D8C"/>
    <w:rsid w:val="00696172"/>
    <w:rsid w:val="006A138B"/>
    <w:rsid w:val="006A1569"/>
    <w:rsid w:val="006A15B9"/>
    <w:rsid w:val="006A2589"/>
    <w:rsid w:val="006A3051"/>
    <w:rsid w:val="006A3A03"/>
    <w:rsid w:val="006A3BBD"/>
    <w:rsid w:val="006A50E5"/>
    <w:rsid w:val="006A515F"/>
    <w:rsid w:val="006A5348"/>
    <w:rsid w:val="006A5D40"/>
    <w:rsid w:val="006B0480"/>
    <w:rsid w:val="006B0B8A"/>
    <w:rsid w:val="006B140A"/>
    <w:rsid w:val="006B1F99"/>
    <w:rsid w:val="006B4F28"/>
    <w:rsid w:val="006B5D29"/>
    <w:rsid w:val="006B6044"/>
    <w:rsid w:val="006B675E"/>
    <w:rsid w:val="006B6DE4"/>
    <w:rsid w:val="006B6DE5"/>
    <w:rsid w:val="006C014A"/>
    <w:rsid w:val="006C0974"/>
    <w:rsid w:val="006C123E"/>
    <w:rsid w:val="006C254F"/>
    <w:rsid w:val="006C4906"/>
    <w:rsid w:val="006C561D"/>
    <w:rsid w:val="006C6AA6"/>
    <w:rsid w:val="006D3271"/>
    <w:rsid w:val="006D33C5"/>
    <w:rsid w:val="006D3C39"/>
    <w:rsid w:val="006D3DD3"/>
    <w:rsid w:val="006D3F9D"/>
    <w:rsid w:val="006D48BD"/>
    <w:rsid w:val="006D4CF8"/>
    <w:rsid w:val="006D4E1F"/>
    <w:rsid w:val="006D5D03"/>
    <w:rsid w:val="006D5F43"/>
    <w:rsid w:val="006D75D1"/>
    <w:rsid w:val="006D794D"/>
    <w:rsid w:val="006D7D25"/>
    <w:rsid w:val="006E2812"/>
    <w:rsid w:val="006E436B"/>
    <w:rsid w:val="006E7302"/>
    <w:rsid w:val="006E73D2"/>
    <w:rsid w:val="006E747F"/>
    <w:rsid w:val="006F0C67"/>
    <w:rsid w:val="006F1383"/>
    <w:rsid w:val="006F161E"/>
    <w:rsid w:val="006F1BB3"/>
    <w:rsid w:val="006F1F0C"/>
    <w:rsid w:val="006F21CC"/>
    <w:rsid w:val="006F350A"/>
    <w:rsid w:val="006F3A53"/>
    <w:rsid w:val="006F4F19"/>
    <w:rsid w:val="006F7584"/>
    <w:rsid w:val="006F7C0F"/>
    <w:rsid w:val="007004AD"/>
    <w:rsid w:val="007004C7"/>
    <w:rsid w:val="00700FE7"/>
    <w:rsid w:val="0070258A"/>
    <w:rsid w:val="0070289C"/>
    <w:rsid w:val="007032FA"/>
    <w:rsid w:val="00703375"/>
    <w:rsid w:val="00703418"/>
    <w:rsid w:val="0070469B"/>
    <w:rsid w:val="007047A0"/>
    <w:rsid w:val="00706067"/>
    <w:rsid w:val="007061AA"/>
    <w:rsid w:val="007063D3"/>
    <w:rsid w:val="00706DD5"/>
    <w:rsid w:val="00707A37"/>
    <w:rsid w:val="00710485"/>
    <w:rsid w:val="007109D8"/>
    <w:rsid w:val="00710DCF"/>
    <w:rsid w:val="007113C9"/>
    <w:rsid w:val="007126A7"/>
    <w:rsid w:val="00712C73"/>
    <w:rsid w:val="0071318A"/>
    <w:rsid w:val="0071362E"/>
    <w:rsid w:val="00713B85"/>
    <w:rsid w:val="00713F7A"/>
    <w:rsid w:val="00714E0D"/>
    <w:rsid w:val="00715033"/>
    <w:rsid w:val="00716463"/>
    <w:rsid w:val="00716D8E"/>
    <w:rsid w:val="00717811"/>
    <w:rsid w:val="00717C8E"/>
    <w:rsid w:val="00720D24"/>
    <w:rsid w:val="00720D4C"/>
    <w:rsid w:val="007219B1"/>
    <w:rsid w:val="00721EC9"/>
    <w:rsid w:val="00722107"/>
    <w:rsid w:val="00722446"/>
    <w:rsid w:val="00723D35"/>
    <w:rsid w:val="00723E1E"/>
    <w:rsid w:val="007256C3"/>
    <w:rsid w:val="00725D54"/>
    <w:rsid w:val="00726424"/>
    <w:rsid w:val="00730D7F"/>
    <w:rsid w:val="007314B6"/>
    <w:rsid w:val="007315DB"/>
    <w:rsid w:val="00731A6D"/>
    <w:rsid w:val="00731CDD"/>
    <w:rsid w:val="00731DF7"/>
    <w:rsid w:val="00734519"/>
    <w:rsid w:val="007346D2"/>
    <w:rsid w:val="00735378"/>
    <w:rsid w:val="00735846"/>
    <w:rsid w:val="00735A25"/>
    <w:rsid w:val="0073600A"/>
    <w:rsid w:val="00740505"/>
    <w:rsid w:val="007408F2"/>
    <w:rsid w:val="00740F3C"/>
    <w:rsid w:val="0074171D"/>
    <w:rsid w:val="007419D9"/>
    <w:rsid w:val="00742DE4"/>
    <w:rsid w:val="00743231"/>
    <w:rsid w:val="00743B80"/>
    <w:rsid w:val="007440EF"/>
    <w:rsid w:val="007465F7"/>
    <w:rsid w:val="007476F7"/>
    <w:rsid w:val="007503C5"/>
    <w:rsid w:val="00750420"/>
    <w:rsid w:val="0075082C"/>
    <w:rsid w:val="007509A6"/>
    <w:rsid w:val="00750B5A"/>
    <w:rsid w:val="007510AD"/>
    <w:rsid w:val="00751A5A"/>
    <w:rsid w:val="00751C6B"/>
    <w:rsid w:val="00751F15"/>
    <w:rsid w:val="0075288B"/>
    <w:rsid w:val="00753469"/>
    <w:rsid w:val="00753B90"/>
    <w:rsid w:val="007557BB"/>
    <w:rsid w:val="007558BC"/>
    <w:rsid w:val="0076446C"/>
    <w:rsid w:val="007650D1"/>
    <w:rsid w:val="0076559E"/>
    <w:rsid w:val="007666BC"/>
    <w:rsid w:val="00767B13"/>
    <w:rsid w:val="00767B90"/>
    <w:rsid w:val="00770966"/>
    <w:rsid w:val="00772AD9"/>
    <w:rsid w:val="00772C70"/>
    <w:rsid w:val="00772D45"/>
    <w:rsid w:val="00773219"/>
    <w:rsid w:val="0077548D"/>
    <w:rsid w:val="00781777"/>
    <w:rsid w:val="00781802"/>
    <w:rsid w:val="007819AA"/>
    <w:rsid w:val="00781EC7"/>
    <w:rsid w:val="00781F4B"/>
    <w:rsid w:val="0078218C"/>
    <w:rsid w:val="00782996"/>
    <w:rsid w:val="007847FA"/>
    <w:rsid w:val="00784C98"/>
    <w:rsid w:val="007852A5"/>
    <w:rsid w:val="00787332"/>
    <w:rsid w:val="00787334"/>
    <w:rsid w:val="007874CA"/>
    <w:rsid w:val="007906CD"/>
    <w:rsid w:val="00790910"/>
    <w:rsid w:val="00790990"/>
    <w:rsid w:val="0079188E"/>
    <w:rsid w:val="00791DE1"/>
    <w:rsid w:val="0079240A"/>
    <w:rsid w:val="0079375E"/>
    <w:rsid w:val="0079515E"/>
    <w:rsid w:val="00796038"/>
    <w:rsid w:val="007964D5"/>
    <w:rsid w:val="00797D36"/>
    <w:rsid w:val="007A0667"/>
    <w:rsid w:val="007A0920"/>
    <w:rsid w:val="007A0BA1"/>
    <w:rsid w:val="007A0C94"/>
    <w:rsid w:val="007A1171"/>
    <w:rsid w:val="007A206F"/>
    <w:rsid w:val="007A321D"/>
    <w:rsid w:val="007A37EA"/>
    <w:rsid w:val="007A3A8C"/>
    <w:rsid w:val="007A4209"/>
    <w:rsid w:val="007A42A7"/>
    <w:rsid w:val="007A4500"/>
    <w:rsid w:val="007A4E47"/>
    <w:rsid w:val="007A583D"/>
    <w:rsid w:val="007A5FB6"/>
    <w:rsid w:val="007A6254"/>
    <w:rsid w:val="007A67E9"/>
    <w:rsid w:val="007B0E0C"/>
    <w:rsid w:val="007B1BE4"/>
    <w:rsid w:val="007B1EE2"/>
    <w:rsid w:val="007B23AF"/>
    <w:rsid w:val="007B2AF8"/>
    <w:rsid w:val="007B3113"/>
    <w:rsid w:val="007B41C9"/>
    <w:rsid w:val="007B47A4"/>
    <w:rsid w:val="007B4AA3"/>
    <w:rsid w:val="007B4DEF"/>
    <w:rsid w:val="007B5635"/>
    <w:rsid w:val="007B6359"/>
    <w:rsid w:val="007B7DBD"/>
    <w:rsid w:val="007B7DFE"/>
    <w:rsid w:val="007C0D0E"/>
    <w:rsid w:val="007C0EEF"/>
    <w:rsid w:val="007C1985"/>
    <w:rsid w:val="007C26E5"/>
    <w:rsid w:val="007C273D"/>
    <w:rsid w:val="007C364F"/>
    <w:rsid w:val="007C4577"/>
    <w:rsid w:val="007C4D42"/>
    <w:rsid w:val="007C6B1D"/>
    <w:rsid w:val="007C7033"/>
    <w:rsid w:val="007C720A"/>
    <w:rsid w:val="007C7499"/>
    <w:rsid w:val="007C7B20"/>
    <w:rsid w:val="007D1092"/>
    <w:rsid w:val="007D118C"/>
    <w:rsid w:val="007D1344"/>
    <w:rsid w:val="007D1396"/>
    <w:rsid w:val="007D1924"/>
    <w:rsid w:val="007D2621"/>
    <w:rsid w:val="007D47AA"/>
    <w:rsid w:val="007D5574"/>
    <w:rsid w:val="007D5CA8"/>
    <w:rsid w:val="007D65CE"/>
    <w:rsid w:val="007D6B9E"/>
    <w:rsid w:val="007D7A6A"/>
    <w:rsid w:val="007E0CAF"/>
    <w:rsid w:val="007E1AC4"/>
    <w:rsid w:val="007E1F35"/>
    <w:rsid w:val="007E2F09"/>
    <w:rsid w:val="007E30BC"/>
    <w:rsid w:val="007E4668"/>
    <w:rsid w:val="007E4DDD"/>
    <w:rsid w:val="007E58EB"/>
    <w:rsid w:val="007E6F72"/>
    <w:rsid w:val="007F08CA"/>
    <w:rsid w:val="007F0CE5"/>
    <w:rsid w:val="007F3B6E"/>
    <w:rsid w:val="007F3DD6"/>
    <w:rsid w:val="007F4F2D"/>
    <w:rsid w:val="007F6498"/>
    <w:rsid w:val="007F7201"/>
    <w:rsid w:val="007F7AC2"/>
    <w:rsid w:val="00801CE8"/>
    <w:rsid w:val="00802341"/>
    <w:rsid w:val="00802B63"/>
    <w:rsid w:val="00802E71"/>
    <w:rsid w:val="00803319"/>
    <w:rsid w:val="00805292"/>
    <w:rsid w:val="00806434"/>
    <w:rsid w:val="00807559"/>
    <w:rsid w:val="00807DFD"/>
    <w:rsid w:val="008115C2"/>
    <w:rsid w:val="008117BF"/>
    <w:rsid w:val="008117D1"/>
    <w:rsid w:val="008117E7"/>
    <w:rsid w:val="00812337"/>
    <w:rsid w:val="008127AA"/>
    <w:rsid w:val="00813288"/>
    <w:rsid w:val="008137C0"/>
    <w:rsid w:val="00814549"/>
    <w:rsid w:val="00814714"/>
    <w:rsid w:val="00814850"/>
    <w:rsid w:val="00816D7C"/>
    <w:rsid w:val="00817014"/>
    <w:rsid w:val="0082088C"/>
    <w:rsid w:val="00821215"/>
    <w:rsid w:val="00821A29"/>
    <w:rsid w:val="00822EB4"/>
    <w:rsid w:val="00823233"/>
    <w:rsid w:val="00823861"/>
    <w:rsid w:val="00824426"/>
    <w:rsid w:val="00824B0E"/>
    <w:rsid w:val="00824C9D"/>
    <w:rsid w:val="00825F23"/>
    <w:rsid w:val="008260B8"/>
    <w:rsid w:val="00827126"/>
    <w:rsid w:val="0083045C"/>
    <w:rsid w:val="00830597"/>
    <w:rsid w:val="00830E52"/>
    <w:rsid w:val="00831B0B"/>
    <w:rsid w:val="0083233F"/>
    <w:rsid w:val="008324E3"/>
    <w:rsid w:val="00832616"/>
    <w:rsid w:val="00832C8F"/>
    <w:rsid w:val="00833323"/>
    <w:rsid w:val="00833ACE"/>
    <w:rsid w:val="00833E59"/>
    <w:rsid w:val="00834758"/>
    <w:rsid w:val="00836E8D"/>
    <w:rsid w:val="00837378"/>
    <w:rsid w:val="00837639"/>
    <w:rsid w:val="00837A47"/>
    <w:rsid w:val="008420DA"/>
    <w:rsid w:val="00844347"/>
    <w:rsid w:val="0084437F"/>
    <w:rsid w:val="008450F3"/>
    <w:rsid w:val="00845946"/>
    <w:rsid w:val="00845C8E"/>
    <w:rsid w:val="008467B6"/>
    <w:rsid w:val="008476A0"/>
    <w:rsid w:val="0085041B"/>
    <w:rsid w:val="0085065C"/>
    <w:rsid w:val="008509E0"/>
    <w:rsid w:val="008509F3"/>
    <w:rsid w:val="00851C5E"/>
    <w:rsid w:val="00852DE3"/>
    <w:rsid w:val="00852F38"/>
    <w:rsid w:val="00854EF0"/>
    <w:rsid w:val="00855881"/>
    <w:rsid w:val="00855F13"/>
    <w:rsid w:val="008560EB"/>
    <w:rsid w:val="00856C34"/>
    <w:rsid w:val="008570E9"/>
    <w:rsid w:val="00857A30"/>
    <w:rsid w:val="00860268"/>
    <w:rsid w:val="008604CD"/>
    <w:rsid w:val="00860E7D"/>
    <w:rsid w:val="0086103B"/>
    <w:rsid w:val="0086125C"/>
    <w:rsid w:val="008621C6"/>
    <w:rsid w:val="00862A7B"/>
    <w:rsid w:val="00862B69"/>
    <w:rsid w:val="008631B5"/>
    <w:rsid w:val="00863E95"/>
    <w:rsid w:val="00864584"/>
    <w:rsid w:val="00864C94"/>
    <w:rsid w:val="00865546"/>
    <w:rsid w:val="00865BD6"/>
    <w:rsid w:val="00865DC1"/>
    <w:rsid w:val="00866751"/>
    <w:rsid w:val="00866CB8"/>
    <w:rsid w:val="00867BA1"/>
    <w:rsid w:val="00867E67"/>
    <w:rsid w:val="00870019"/>
    <w:rsid w:val="00870112"/>
    <w:rsid w:val="0087073D"/>
    <w:rsid w:val="00870C8E"/>
    <w:rsid w:val="0087365A"/>
    <w:rsid w:val="008743C7"/>
    <w:rsid w:val="008750F9"/>
    <w:rsid w:val="00875341"/>
    <w:rsid w:val="0087536F"/>
    <w:rsid w:val="00875637"/>
    <w:rsid w:val="00875D10"/>
    <w:rsid w:val="008765D0"/>
    <w:rsid w:val="00876C04"/>
    <w:rsid w:val="00877894"/>
    <w:rsid w:val="0087799C"/>
    <w:rsid w:val="00880A40"/>
    <w:rsid w:val="008810DB"/>
    <w:rsid w:val="00881C81"/>
    <w:rsid w:val="00882C06"/>
    <w:rsid w:val="00882CC7"/>
    <w:rsid w:val="008830CB"/>
    <w:rsid w:val="008839C0"/>
    <w:rsid w:val="00883CC3"/>
    <w:rsid w:val="00883F40"/>
    <w:rsid w:val="0088436E"/>
    <w:rsid w:val="008849F5"/>
    <w:rsid w:val="008869F4"/>
    <w:rsid w:val="008901AD"/>
    <w:rsid w:val="00890ADC"/>
    <w:rsid w:val="008911CB"/>
    <w:rsid w:val="008919B6"/>
    <w:rsid w:val="00891B5B"/>
    <w:rsid w:val="0089269C"/>
    <w:rsid w:val="00893EEF"/>
    <w:rsid w:val="0089504B"/>
    <w:rsid w:val="00896548"/>
    <w:rsid w:val="008968CE"/>
    <w:rsid w:val="008975A2"/>
    <w:rsid w:val="00897B51"/>
    <w:rsid w:val="008A12B3"/>
    <w:rsid w:val="008A1356"/>
    <w:rsid w:val="008A14CB"/>
    <w:rsid w:val="008A184F"/>
    <w:rsid w:val="008A2C72"/>
    <w:rsid w:val="008A3ADD"/>
    <w:rsid w:val="008A40BC"/>
    <w:rsid w:val="008A40DD"/>
    <w:rsid w:val="008A4880"/>
    <w:rsid w:val="008A4DC0"/>
    <w:rsid w:val="008A52B1"/>
    <w:rsid w:val="008A5754"/>
    <w:rsid w:val="008A5B09"/>
    <w:rsid w:val="008A5E0E"/>
    <w:rsid w:val="008A6404"/>
    <w:rsid w:val="008A7760"/>
    <w:rsid w:val="008B0399"/>
    <w:rsid w:val="008B0C53"/>
    <w:rsid w:val="008B1FFD"/>
    <w:rsid w:val="008B2287"/>
    <w:rsid w:val="008B2B8D"/>
    <w:rsid w:val="008B2C31"/>
    <w:rsid w:val="008B2E71"/>
    <w:rsid w:val="008B3A3B"/>
    <w:rsid w:val="008B3D48"/>
    <w:rsid w:val="008B3D4A"/>
    <w:rsid w:val="008B4EA4"/>
    <w:rsid w:val="008B5B32"/>
    <w:rsid w:val="008B6D54"/>
    <w:rsid w:val="008B7D1C"/>
    <w:rsid w:val="008C1AF8"/>
    <w:rsid w:val="008C2989"/>
    <w:rsid w:val="008C37E7"/>
    <w:rsid w:val="008C3BC6"/>
    <w:rsid w:val="008C3D0F"/>
    <w:rsid w:val="008C441A"/>
    <w:rsid w:val="008C460D"/>
    <w:rsid w:val="008C46F6"/>
    <w:rsid w:val="008C564F"/>
    <w:rsid w:val="008C5879"/>
    <w:rsid w:val="008C67E8"/>
    <w:rsid w:val="008C685B"/>
    <w:rsid w:val="008C6908"/>
    <w:rsid w:val="008C69C5"/>
    <w:rsid w:val="008C7CFB"/>
    <w:rsid w:val="008D072C"/>
    <w:rsid w:val="008D09DD"/>
    <w:rsid w:val="008D139D"/>
    <w:rsid w:val="008D1784"/>
    <w:rsid w:val="008D2F25"/>
    <w:rsid w:val="008D313B"/>
    <w:rsid w:val="008D32E3"/>
    <w:rsid w:val="008D3D3F"/>
    <w:rsid w:val="008D475B"/>
    <w:rsid w:val="008D48D2"/>
    <w:rsid w:val="008D5B40"/>
    <w:rsid w:val="008D78FF"/>
    <w:rsid w:val="008D7BF5"/>
    <w:rsid w:val="008E02F1"/>
    <w:rsid w:val="008E07C9"/>
    <w:rsid w:val="008E17AE"/>
    <w:rsid w:val="008E1BD3"/>
    <w:rsid w:val="008E60CE"/>
    <w:rsid w:val="008E6F1F"/>
    <w:rsid w:val="008E7763"/>
    <w:rsid w:val="008F07FC"/>
    <w:rsid w:val="008F1757"/>
    <w:rsid w:val="008F27CE"/>
    <w:rsid w:val="008F3468"/>
    <w:rsid w:val="008F3519"/>
    <w:rsid w:val="008F36BC"/>
    <w:rsid w:val="008F41D6"/>
    <w:rsid w:val="008F45DB"/>
    <w:rsid w:val="008F4A7E"/>
    <w:rsid w:val="008F4FEB"/>
    <w:rsid w:val="008F50E1"/>
    <w:rsid w:val="008F5299"/>
    <w:rsid w:val="008F54A7"/>
    <w:rsid w:val="008F5A36"/>
    <w:rsid w:val="008F5E79"/>
    <w:rsid w:val="008F669C"/>
    <w:rsid w:val="008F6791"/>
    <w:rsid w:val="008F703E"/>
    <w:rsid w:val="008F711B"/>
    <w:rsid w:val="00900174"/>
    <w:rsid w:val="009003BE"/>
    <w:rsid w:val="009023B3"/>
    <w:rsid w:val="00903F33"/>
    <w:rsid w:val="00904967"/>
    <w:rsid w:val="00904C4B"/>
    <w:rsid w:val="009050FE"/>
    <w:rsid w:val="00905F67"/>
    <w:rsid w:val="009066A8"/>
    <w:rsid w:val="00906C2F"/>
    <w:rsid w:val="00907279"/>
    <w:rsid w:val="0090734D"/>
    <w:rsid w:val="00907899"/>
    <w:rsid w:val="009102CD"/>
    <w:rsid w:val="009112E6"/>
    <w:rsid w:val="00911623"/>
    <w:rsid w:val="00911879"/>
    <w:rsid w:val="0091238F"/>
    <w:rsid w:val="00912860"/>
    <w:rsid w:val="009136E7"/>
    <w:rsid w:val="00914DA7"/>
    <w:rsid w:val="00915F63"/>
    <w:rsid w:val="00916AFA"/>
    <w:rsid w:val="00916F3E"/>
    <w:rsid w:val="009177E9"/>
    <w:rsid w:val="00920B50"/>
    <w:rsid w:val="009221AD"/>
    <w:rsid w:val="00923366"/>
    <w:rsid w:val="009240B7"/>
    <w:rsid w:val="00925BCE"/>
    <w:rsid w:val="0092600B"/>
    <w:rsid w:val="009265C7"/>
    <w:rsid w:val="00930D09"/>
    <w:rsid w:val="009319A0"/>
    <w:rsid w:val="009320E2"/>
    <w:rsid w:val="00932376"/>
    <w:rsid w:val="009328C9"/>
    <w:rsid w:val="009331CF"/>
    <w:rsid w:val="009331D2"/>
    <w:rsid w:val="009334AC"/>
    <w:rsid w:val="00933640"/>
    <w:rsid w:val="00934564"/>
    <w:rsid w:val="00934D7D"/>
    <w:rsid w:val="0093698F"/>
    <w:rsid w:val="0093774B"/>
    <w:rsid w:val="00937955"/>
    <w:rsid w:val="00937E53"/>
    <w:rsid w:val="00940357"/>
    <w:rsid w:val="00940D07"/>
    <w:rsid w:val="00941A22"/>
    <w:rsid w:val="00941ED9"/>
    <w:rsid w:val="00942010"/>
    <w:rsid w:val="00942ACE"/>
    <w:rsid w:val="0094320A"/>
    <w:rsid w:val="00943A51"/>
    <w:rsid w:val="00945A89"/>
    <w:rsid w:val="00946401"/>
    <w:rsid w:val="009508B7"/>
    <w:rsid w:val="0095170D"/>
    <w:rsid w:val="00951DAA"/>
    <w:rsid w:val="00952632"/>
    <w:rsid w:val="00952A76"/>
    <w:rsid w:val="0095307F"/>
    <w:rsid w:val="00953234"/>
    <w:rsid w:val="0095354D"/>
    <w:rsid w:val="009548FF"/>
    <w:rsid w:val="00955526"/>
    <w:rsid w:val="00955E23"/>
    <w:rsid w:val="00957832"/>
    <w:rsid w:val="00957FD5"/>
    <w:rsid w:val="0096138C"/>
    <w:rsid w:val="00962499"/>
    <w:rsid w:val="009624F6"/>
    <w:rsid w:val="00962538"/>
    <w:rsid w:val="009626A7"/>
    <w:rsid w:val="00962D6B"/>
    <w:rsid w:val="00963E1B"/>
    <w:rsid w:val="00964EF7"/>
    <w:rsid w:val="00965269"/>
    <w:rsid w:val="00965B61"/>
    <w:rsid w:val="00966C09"/>
    <w:rsid w:val="00966F84"/>
    <w:rsid w:val="00967CE3"/>
    <w:rsid w:val="00970C1A"/>
    <w:rsid w:val="00970CB2"/>
    <w:rsid w:val="00970D2E"/>
    <w:rsid w:val="00971117"/>
    <w:rsid w:val="0097154E"/>
    <w:rsid w:val="00971EB0"/>
    <w:rsid w:val="00972498"/>
    <w:rsid w:val="009732E6"/>
    <w:rsid w:val="00973E9B"/>
    <w:rsid w:val="00974E11"/>
    <w:rsid w:val="009754C1"/>
    <w:rsid w:val="00975734"/>
    <w:rsid w:val="00975A73"/>
    <w:rsid w:val="00975F7A"/>
    <w:rsid w:val="00977636"/>
    <w:rsid w:val="00977E1A"/>
    <w:rsid w:val="00977ECA"/>
    <w:rsid w:val="00980765"/>
    <w:rsid w:val="00980F87"/>
    <w:rsid w:val="00981467"/>
    <w:rsid w:val="00981E36"/>
    <w:rsid w:val="00981F71"/>
    <w:rsid w:val="00984441"/>
    <w:rsid w:val="009844CF"/>
    <w:rsid w:val="00984DD8"/>
    <w:rsid w:val="00984F1A"/>
    <w:rsid w:val="009850A1"/>
    <w:rsid w:val="00985DEE"/>
    <w:rsid w:val="00987DBB"/>
    <w:rsid w:val="0099085F"/>
    <w:rsid w:val="00991EBD"/>
    <w:rsid w:val="009925DB"/>
    <w:rsid w:val="009926FB"/>
    <w:rsid w:val="00992849"/>
    <w:rsid w:val="0099300A"/>
    <w:rsid w:val="00993114"/>
    <w:rsid w:val="00993CC9"/>
    <w:rsid w:val="009940A4"/>
    <w:rsid w:val="00994D6D"/>
    <w:rsid w:val="00995AD7"/>
    <w:rsid w:val="009965AA"/>
    <w:rsid w:val="009A045E"/>
    <w:rsid w:val="009A1144"/>
    <w:rsid w:val="009A1740"/>
    <w:rsid w:val="009A2132"/>
    <w:rsid w:val="009A3E7C"/>
    <w:rsid w:val="009A4305"/>
    <w:rsid w:val="009A4690"/>
    <w:rsid w:val="009A4945"/>
    <w:rsid w:val="009A4C08"/>
    <w:rsid w:val="009A525B"/>
    <w:rsid w:val="009A5612"/>
    <w:rsid w:val="009A580E"/>
    <w:rsid w:val="009A6270"/>
    <w:rsid w:val="009A6A4D"/>
    <w:rsid w:val="009A6F74"/>
    <w:rsid w:val="009A7EB0"/>
    <w:rsid w:val="009B0768"/>
    <w:rsid w:val="009B0B1F"/>
    <w:rsid w:val="009B0DA4"/>
    <w:rsid w:val="009B1463"/>
    <w:rsid w:val="009B1A37"/>
    <w:rsid w:val="009B28B4"/>
    <w:rsid w:val="009B3AC6"/>
    <w:rsid w:val="009B4CBC"/>
    <w:rsid w:val="009B56F6"/>
    <w:rsid w:val="009B5A28"/>
    <w:rsid w:val="009B5AC4"/>
    <w:rsid w:val="009B629A"/>
    <w:rsid w:val="009B7195"/>
    <w:rsid w:val="009B732E"/>
    <w:rsid w:val="009C0CC4"/>
    <w:rsid w:val="009C0F03"/>
    <w:rsid w:val="009C1F29"/>
    <w:rsid w:val="009C2111"/>
    <w:rsid w:val="009C221B"/>
    <w:rsid w:val="009C293A"/>
    <w:rsid w:val="009C3986"/>
    <w:rsid w:val="009C41C2"/>
    <w:rsid w:val="009C4D08"/>
    <w:rsid w:val="009C4E18"/>
    <w:rsid w:val="009C4F22"/>
    <w:rsid w:val="009C7C25"/>
    <w:rsid w:val="009D0A54"/>
    <w:rsid w:val="009D154F"/>
    <w:rsid w:val="009D2787"/>
    <w:rsid w:val="009D29ED"/>
    <w:rsid w:val="009D30D3"/>
    <w:rsid w:val="009D3237"/>
    <w:rsid w:val="009D3628"/>
    <w:rsid w:val="009D4C2A"/>
    <w:rsid w:val="009D6709"/>
    <w:rsid w:val="009D6914"/>
    <w:rsid w:val="009D6D35"/>
    <w:rsid w:val="009E0618"/>
    <w:rsid w:val="009E0D83"/>
    <w:rsid w:val="009E1A3C"/>
    <w:rsid w:val="009E1C22"/>
    <w:rsid w:val="009E1C96"/>
    <w:rsid w:val="009E2481"/>
    <w:rsid w:val="009E37E4"/>
    <w:rsid w:val="009E3B66"/>
    <w:rsid w:val="009E3C7E"/>
    <w:rsid w:val="009E43E8"/>
    <w:rsid w:val="009E4FD0"/>
    <w:rsid w:val="009E6873"/>
    <w:rsid w:val="009E6991"/>
    <w:rsid w:val="009E7696"/>
    <w:rsid w:val="009E7A04"/>
    <w:rsid w:val="009F01F5"/>
    <w:rsid w:val="009F0381"/>
    <w:rsid w:val="009F09CD"/>
    <w:rsid w:val="009F0B04"/>
    <w:rsid w:val="009F1110"/>
    <w:rsid w:val="009F1430"/>
    <w:rsid w:val="009F193A"/>
    <w:rsid w:val="009F1BB7"/>
    <w:rsid w:val="009F21BA"/>
    <w:rsid w:val="009F2E46"/>
    <w:rsid w:val="009F3395"/>
    <w:rsid w:val="009F3631"/>
    <w:rsid w:val="009F363C"/>
    <w:rsid w:val="009F3790"/>
    <w:rsid w:val="009F3A62"/>
    <w:rsid w:val="009F476C"/>
    <w:rsid w:val="009F513C"/>
    <w:rsid w:val="009F561D"/>
    <w:rsid w:val="009F586C"/>
    <w:rsid w:val="009F5D30"/>
    <w:rsid w:val="009F6807"/>
    <w:rsid w:val="009F7310"/>
    <w:rsid w:val="009F7A90"/>
    <w:rsid w:val="009F7CEB"/>
    <w:rsid w:val="00A006E2"/>
    <w:rsid w:val="00A010FE"/>
    <w:rsid w:val="00A01759"/>
    <w:rsid w:val="00A0182A"/>
    <w:rsid w:val="00A031BC"/>
    <w:rsid w:val="00A03256"/>
    <w:rsid w:val="00A040FD"/>
    <w:rsid w:val="00A0426A"/>
    <w:rsid w:val="00A04C0D"/>
    <w:rsid w:val="00A07327"/>
    <w:rsid w:val="00A07A63"/>
    <w:rsid w:val="00A07BA0"/>
    <w:rsid w:val="00A10B2E"/>
    <w:rsid w:val="00A10FBF"/>
    <w:rsid w:val="00A11C2D"/>
    <w:rsid w:val="00A126BD"/>
    <w:rsid w:val="00A12727"/>
    <w:rsid w:val="00A12A44"/>
    <w:rsid w:val="00A12E4F"/>
    <w:rsid w:val="00A14F53"/>
    <w:rsid w:val="00A1510A"/>
    <w:rsid w:val="00A15219"/>
    <w:rsid w:val="00A157C1"/>
    <w:rsid w:val="00A15D2D"/>
    <w:rsid w:val="00A16638"/>
    <w:rsid w:val="00A17490"/>
    <w:rsid w:val="00A179C8"/>
    <w:rsid w:val="00A20B1A"/>
    <w:rsid w:val="00A210C5"/>
    <w:rsid w:val="00A215C4"/>
    <w:rsid w:val="00A216F9"/>
    <w:rsid w:val="00A224CB"/>
    <w:rsid w:val="00A22A39"/>
    <w:rsid w:val="00A2315A"/>
    <w:rsid w:val="00A231F2"/>
    <w:rsid w:val="00A2558C"/>
    <w:rsid w:val="00A25D2C"/>
    <w:rsid w:val="00A25E74"/>
    <w:rsid w:val="00A2662D"/>
    <w:rsid w:val="00A2672F"/>
    <w:rsid w:val="00A26D8C"/>
    <w:rsid w:val="00A26E4A"/>
    <w:rsid w:val="00A27344"/>
    <w:rsid w:val="00A27372"/>
    <w:rsid w:val="00A3072A"/>
    <w:rsid w:val="00A313A7"/>
    <w:rsid w:val="00A34436"/>
    <w:rsid w:val="00A346AF"/>
    <w:rsid w:val="00A3499E"/>
    <w:rsid w:val="00A355EE"/>
    <w:rsid w:val="00A36FFF"/>
    <w:rsid w:val="00A375C4"/>
    <w:rsid w:val="00A410DB"/>
    <w:rsid w:val="00A41E5D"/>
    <w:rsid w:val="00A43C4D"/>
    <w:rsid w:val="00A44F2B"/>
    <w:rsid w:val="00A451E1"/>
    <w:rsid w:val="00A45200"/>
    <w:rsid w:val="00A45378"/>
    <w:rsid w:val="00A4606A"/>
    <w:rsid w:val="00A46A18"/>
    <w:rsid w:val="00A47117"/>
    <w:rsid w:val="00A47328"/>
    <w:rsid w:val="00A478B6"/>
    <w:rsid w:val="00A50F71"/>
    <w:rsid w:val="00A51247"/>
    <w:rsid w:val="00A517EE"/>
    <w:rsid w:val="00A535FB"/>
    <w:rsid w:val="00A53FA8"/>
    <w:rsid w:val="00A55058"/>
    <w:rsid w:val="00A550AE"/>
    <w:rsid w:val="00A5662F"/>
    <w:rsid w:val="00A575B0"/>
    <w:rsid w:val="00A61D87"/>
    <w:rsid w:val="00A61ED6"/>
    <w:rsid w:val="00A635B4"/>
    <w:rsid w:val="00A63630"/>
    <w:rsid w:val="00A6374D"/>
    <w:rsid w:val="00A6517D"/>
    <w:rsid w:val="00A651DD"/>
    <w:rsid w:val="00A65C1F"/>
    <w:rsid w:val="00A66B07"/>
    <w:rsid w:val="00A675D4"/>
    <w:rsid w:val="00A709E6"/>
    <w:rsid w:val="00A71A9C"/>
    <w:rsid w:val="00A72936"/>
    <w:rsid w:val="00A73A9C"/>
    <w:rsid w:val="00A73FC6"/>
    <w:rsid w:val="00A749BB"/>
    <w:rsid w:val="00A75112"/>
    <w:rsid w:val="00A75408"/>
    <w:rsid w:val="00A7566F"/>
    <w:rsid w:val="00A75DA1"/>
    <w:rsid w:val="00A76EA4"/>
    <w:rsid w:val="00A770F9"/>
    <w:rsid w:val="00A7751C"/>
    <w:rsid w:val="00A7758C"/>
    <w:rsid w:val="00A77BDE"/>
    <w:rsid w:val="00A77CBB"/>
    <w:rsid w:val="00A77F64"/>
    <w:rsid w:val="00A81F82"/>
    <w:rsid w:val="00A833BE"/>
    <w:rsid w:val="00A841B0"/>
    <w:rsid w:val="00A84EAA"/>
    <w:rsid w:val="00A85A2B"/>
    <w:rsid w:val="00A86148"/>
    <w:rsid w:val="00A86169"/>
    <w:rsid w:val="00A90386"/>
    <w:rsid w:val="00A93543"/>
    <w:rsid w:val="00A93D17"/>
    <w:rsid w:val="00A93F16"/>
    <w:rsid w:val="00A93F6B"/>
    <w:rsid w:val="00A941D8"/>
    <w:rsid w:val="00A94EC9"/>
    <w:rsid w:val="00A94EFC"/>
    <w:rsid w:val="00A95B3D"/>
    <w:rsid w:val="00A95C8D"/>
    <w:rsid w:val="00A95CC8"/>
    <w:rsid w:val="00A963DD"/>
    <w:rsid w:val="00A9644D"/>
    <w:rsid w:val="00A96B16"/>
    <w:rsid w:val="00AA07C1"/>
    <w:rsid w:val="00AA1044"/>
    <w:rsid w:val="00AA1681"/>
    <w:rsid w:val="00AA183C"/>
    <w:rsid w:val="00AA1981"/>
    <w:rsid w:val="00AA1CEE"/>
    <w:rsid w:val="00AA2591"/>
    <w:rsid w:val="00AA27ED"/>
    <w:rsid w:val="00AA2AE0"/>
    <w:rsid w:val="00AA2FA1"/>
    <w:rsid w:val="00AA3348"/>
    <w:rsid w:val="00AA41E0"/>
    <w:rsid w:val="00AA4F19"/>
    <w:rsid w:val="00AA51C1"/>
    <w:rsid w:val="00AA546D"/>
    <w:rsid w:val="00AA5E79"/>
    <w:rsid w:val="00AA6156"/>
    <w:rsid w:val="00AA73AC"/>
    <w:rsid w:val="00AA7B77"/>
    <w:rsid w:val="00AB1837"/>
    <w:rsid w:val="00AB187A"/>
    <w:rsid w:val="00AB18CB"/>
    <w:rsid w:val="00AB1F55"/>
    <w:rsid w:val="00AB4417"/>
    <w:rsid w:val="00AB4839"/>
    <w:rsid w:val="00AB514A"/>
    <w:rsid w:val="00AB59DE"/>
    <w:rsid w:val="00AB6EEF"/>
    <w:rsid w:val="00AB6EFB"/>
    <w:rsid w:val="00AC15D5"/>
    <w:rsid w:val="00AC1742"/>
    <w:rsid w:val="00AC1E12"/>
    <w:rsid w:val="00AC1E80"/>
    <w:rsid w:val="00AC2567"/>
    <w:rsid w:val="00AC2BE6"/>
    <w:rsid w:val="00AC2D2E"/>
    <w:rsid w:val="00AC2D52"/>
    <w:rsid w:val="00AC3427"/>
    <w:rsid w:val="00AC3950"/>
    <w:rsid w:val="00AC39BD"/>
    <w:rsid w:val="00AC3BF8"/>
    <w:rsid w:val="00AC41B6"/>
    <w:rsid w:val="00AC50E3"/>
    <w:rsid w:val="00AC512D"/>
    <w:rsid w:val="00AC5291"/>
    <w:rsid w:val="00AC59CF"/>
    <w:rsid w:val="00AC5DB0"/>
    <w:rsid w:val="00AC6952"/>
    <w:rsid w:val="00AC6A1B"/>
    <w:rsid w:val="00AC6E3B"/>
    <w:rsid w:val="00AD0C8A"/>
    <w:rsid w:val="00AD0EDC"/>
    <w:rsid w:val="00AD1251"/>
    <w:rsid w:val="00AD2FBA"/>
    <w:rsid w:val="00AD35BC"/>
    <w:rsid w:val="00AD497E"/>
    <w:rsid w:val="00AD51C9"/>
    <w:rsid w:val="00AD542F"/>
    <w:rsid w:val="00AD632A"/>
    <w:rsid w:val="00AD6D4B"/>
    <w:rsid w:val="00AD6DA0"/>
    <w:rsid w:val="00AD6EA5"/>
    <w:rsid w:val="00AD72B1"/>
    <w:rsid w:val="00AE13A0"/>
    <w:rsid w:val="00AE2A68"/>
    <w:rsid w:val="00AE3265"/>
    <w:rsid w:val="00AE36AC"/>
    <w:rsid w:val="00AE3A5A"/>
    <w:rsid w:val="00AE74F9"/>
    <w:rsid w:val="00AE772D"/>
    <w:rsid w:val="00AE7A2D"/>
    <w:rsid w:val="00AF04E2"/>
    <w:rsid w:val="00AF091A"/>
    <w:rsid w:val="00AF0DF9"/>
    <w:rsid w:val="00AF1A88"/>
    <w:rsid w:val="00AF1CAA"/>
    <w:rsid w:val="00AF2F78"/>
    <w:rsid w:val="00AF2FA4"/>
    <w:rsid w:val="00AF342D"/>
    <w:rsid w:val="00AF365F"/>
    <w:rsid w:val="00AF4671"/>
    <w:rsid w:val="00AF46C2"/>
    <w:rsid w:val="00AF4BE4"/>
    <w:rsid w:val="00AF4C16"/>
    <w:rsid w:val="00AF4DD5"/>
    <w:rsid w:val="00AF4ED7"/>
    <w:rsid w:val="00AF4FE2"/>
    <w:rsid w:val="00AF58D5"/>
    <w:rsid w:val="00AF622E"/>
    <w:rsid w:val="00AF6488"/>
    <w:rsid w:val="00AF64E0"/>
    <w:rsid w:val="00AF6D64"/>
    <w:rsid w:val="00AF7178"/>
    <w:rsid w:val="00AF76BF"/>
    <w:rsid w:val="00B00DC9"/>
    <w:rsid w:val="00B01000"/>
    <w:rsid w:val="00B0230D"/>
    <w:rsid w:val="00B02B51"/>
    <w:rsid w:val="00B0337E"/>
    <w:rsid w:val="00B0529B"/>
    <w:rsid w:val="00B05A6C"/>
    <w:rsid w:val="00B05CD6"/>
    <w:rsid w:val="00B05E21"/>
    <w:rsid w:val="00B10316"/>
    <w:rsid w:val="00B10E84"/>
    <w:rsid w:val="00B11EA0"/>
    <w:rsid w:val="00B13338"/>
    <w:rsid w:val="00B1542E"/>
    <w:rsid w:val="00B17233"/>
    <w:rsid w:val="00B17FDB"/>
    <w:rsid w:val="00B20036"/>
    <w:rsid w:val="00B20FB8"/>
    <w:rsid w:val="00B216A9"/>
    <w:rsid w:val="00B21728"/>
    <w:rsid w:val="00B21BB1"/>
    <w:rsid w:val="00B21C5B"/>
    <w:rsid w:val="00B225D0"/>
    <w:rsid w:val="00B23AF6"/>
    <w:rsid w:val="00B23E52"/>
    <w:rsid w:val="00B259DF"/>
    <w:rsid w:val="00B25BDC"/>
    <w:rsid w:val="00B25D68"/>
    <w:rsid w:val="00B27719"/>
    <w:rsid w:val="00B2777B"/>
    <w:rsid w:val="00B27D24"/>
    <w:rsid w:val="00B30120"/>
    <w:rsid w:val="00B30D73"/>
    <w:rsid w:val="00B31B3C"/>
    <w:rsid w:val="00B31C77"/>
    <w:rsid w:val="00B32237"/>
    <w:rsid w:val="00B32418"/>
    <w:rsid w:val="00B324FD"/>
    <w:rsid w:val="00B338B3"/>
    <w:rsid w:val="00B33914"/>
    <w:rsid w:val="00B35D4F"/>
    <w:rsid w:val="00B367E2"/>
    <w:rsid w:val="00B368A5"/>
    <w:rsid w:val="00B372D2"/>
    <w:rsid w:val="00B37ECF"/>
    <w:rsid w:val="00B41E91"/>
    <w:rsid w:val="00B4220C"/>
    <w:rsid w:val="00B42493"/>
    <w:rsid w:val="00B442F5"/>
    <w:rsid w:val="00B446C2"/>
    <w:rsid w:val="00B45A35"/>
    <w:rsid w:val="00B4656A"/>
    <w:rsid w:val="00B471F3"/>
    <w:rsid w:val="00B50631"/>
    <w:rsid w:val="00B548DB"/>
    <w:rsid w:val="00B54ED7"/>
    <w:rsid w:val="00B54FDE"/>
    <w:rsid w:val="00B55CAC"/>
    <w:rsid w:val="00B56D6A"/>
    <w:rsid w:val="00B603ED"/>
    <w:rsid w:val="00B61540"/>
    <w:rsid w:val="00B6178C"/>
    <w:rsid w:val="00B61FA0"/>
    <w:rsid w:val="00B633B9"/>
    <w:rsid w:val="00B63460"/>
    <w:rsid w:val="00B63555"/>
    <w:rsid w:val="00B644AE"/>
    <w:rsid w:val="00B66154"/>
    <w:rsid w:val="00B66C04"/>
    <w:rsid w:val="00B66C37"/>
    <w:rsid w:val="00B66ED6"/>
    <w:rsid w:val="00B67119"/>
    <w:rsid w:val="00B671E5"/>
    <w:rsid w:val="00B70522"/>
    <w:rsid w:val="00B70F1B"/>
    <w:rsid w:val="00B7154D"/>
    <w:rsid w:val="00B715E0"/>
    <w:rsid w:val="00B71675"/>
    <w:rsid w:val="00B71B62"/>
    <w:rsid w:val="00B721CA"/>
    <w:rsid w:val="00B72CE1"/>
    <w:rsid w:val="00B741E9"/>
    <w:rsid w:val="00B74A96"/>
    <w:rsid w:val="00B74C10"/>
    <w:rsid w:val="00B758D6"/>
    <w:rsid w:val="00B75BC0"/>
    <w:rsid w:val="00B7636B"/>
    <w:rsid w:val="00B76492"/>
    <w:rsid w:val="00B766FB"/>
    <w:rsid w:val="00B7695F"/>
    <w:rsid w:val="00B7796D"/>
    <w:rsid w:val="00B77AB1"/>
    <w:rsid w:val="00B77EFE"/>
    <w:rsid w:val="00B80B83"/>
    <w:rsid w:val="00B8194A"/>
    <w:rsid w:val="00B81B7A"/>
    <w:rsid w:val="00B82171"/>
    <w:rsid w:val="00B82425"/>
    <w:rsid w:val="00B8254D"/>
    <w:rsid w:val="00B831C3"/>
    <w:rsid w:val="00B83300"/>
    <w:rsid w:val="00B84C0B"/>
    <w:rsid w:val="00B8560C"/>
    <w:rsid w:val="00B859DD"/>
    <w:rsid w:val="00B85A29"/>
    <w:rsid w:val="00B85D14"/>
    <w:rsid w:val="00B863A0"/>
    <w:rsid w:val="00B901E4"/>
    <w:rsid w:val="00B90880"/>
    <w:rsid w:val="00B92088"/>
    <w:rsid w:val="00B92D96"/>
    <w:rsid w:val="00B92E36"/>
    <w:rsid w:val="00B946BB"/>
    <w:rsid w:val="00B9476C"/>
    <w:rsid w:val="00B95560"/>
    <w:rsid w:val="00B96141"/>
    <w:rsid w:val="00B96DB1"/>
    <w:rsid w:val="00B9799D"/>
    <w:rsid w:val="00BA00CC"/>
    <w:rsid w:val="00BA01AB"/>
    <w:rsid w:val="00BA3306"/>
    <w:rsid w:val="00BA3BA7"/>
    <w:rsid w:val="00BA489D"/>
    <w:rsid w:val="00BA48E0"/>
    <w:rsid w:val="00BA5724"/>
    <w:rsid w:val="00BA626C"/>
    <w:rsid w:val="00BA73EE"/>
    <w:rsid w:val="00BA76FE"/>
    <w:rsid w:val="00BB00C3"/>
    <w:rsid w:val="00BB0EF5"/>
    <w:rsid w:val="00BB19EA"/>
    <w:rsid w:val="00BB2329"/>
    <w:rsid w:val="00BB291F"/>
    <w:rsid w:val="00BB2D75"/>
    <w:rsid w:val="00BB3110"/>
    <w:rsid w:val="00BB36AE"/>
    <w:rsid w:val="00BB41AF"/>
    <w:rsid w:val="00BB4D33"/>
    <w:rsid w:val="00BB4EBE"/>
    <w:rsid w:val="00BB54A6"/>
    <w:rsid w:val="00BB57C2"/>
    <w:rsid w:val="00BB5FF9"/>
    <w:rsid w:val="00BB6875"/>
    <w:rsid w:val="00BC1B2B"/>
    <w:rsid w:val="00BC1CAF"/>
    <w:rsid w:val="00BC1ECD"/>
    <w:rsid w:val="00BC3150"/>
    <w:rsid w:val="00BC4F70"/>
    <w:rsid w:val="00BC508E"/>
    <w:rsid w:val="00BC5965"/>
    <w:rsid w:val="00BD03EC"/>
    <w:rsid w:val="00BD1973"/>
    <w:rsid w:val="00BD3970"/>
    <w:rsid w:val="00BD3CBA"/>
    <w:rsid w:val="00BD437F"/>
    <w:rsid w:val="00BD43B3"/>
    <w:rsid w:val="00BD48E4"/>
    <w:rsid w:val="00BD590A"/>
    <w:rsid w:val="00BD5D90"/>
    <w:rsid w:val="00BD68C9"/>
    <w:rsid w:val="00BD6C40"/>
    <w:rsid w:val="00BD77A4"/>
    <w:rsid w:val="00BD7B20"/>
    <w:rsid w:val="00BE07C5"/>
    <w:rsid w:val="00BE2771"/>
    <w:rsid w:val="00BE2993"/>
    <w:rsid w:val="00BE3CAA"/>
    <w:rsid w:val="00BE3CCF"/>
    <w:rsid w:val="00BE3D49"/>
    <w:rsid w:val="00BE3E5F"/>
    <w:rsid w:val="00BE3F5F"/>
    <w:rsid w:val="00BE4A48"/>
    <w:rsid w:val="00BE583A"/>
    <w:rsid w:val="00BE5F2B"/>
    <w:rsid w:val="00BE6C37"/>
    <w:rsid w:val="00BF07EC"/>
    <w:rsid w:val="00BF10F5"/>
    <w:rsid w:val="00BF1A16"/>
    <w:rsid w:val="00BF2E27"/>
    <w:rsid w:val="00BF2FF5"/>
    <w:rsid w:val="00BF3130"/>
    <w:rsid w:val="00BF3723"/>
    <w:rsid w:val="00BF488D"/>
    <w:rsid w:val="00BF5351"/>
    <w:rsid w:val="00BF6B21"/>
    <w:rsid w:val="00BF7E30"/>
    <w:rsid w:val="00C0086A"/>
    <w:rsid w:val="00C00A1E"/>
    <w:rsid w:val="00C02439"/>
    <w:rsid w:val="00C02B0F"/>
    <w:rsid w:val="00C031FA"/>
    <w:rsid w:val="00C0345D"/>
    <w:rsid w:val="00C0408D"/>
    <w:rsid w:val="00C04410"/>
    <w:rsid w:val="00C046D1"/>
    <w:rsid w:val="00C05753"/>
    <w:rsid w:val="00C05EB4"/>
    <w:rsid w:val="00C06459"/>
    <w:rsid w:val="00C06DAF"/>
    <w:rsid w:val="00C07417"/>
    <w:rsid w:val="00C07BBA"/>
    <w:rsid w:val="00C07FDE"/>
    <w:rsid w:val="00C10407"/>
    <w:rsid w:val="00C10B20"/>
    <w:rsid w:val="00C10B79"/>
    <w:rsid w:val="00C113CD"/>
    <w:rsid w:val="00C115F0"/>
    <w:rsid w:val="00C11B52"/>
    <w:rsid w:val="00C11CDE"/>
    <w:rsid w:val="00C12633"/>
    <w:rsid w:val="00C13B76"/>
    <w:rsid w:val="00C1422A"/>
    <w:rsid w:val="00C15FBF"/>
    <w:rsid w:val="00C164A4"/>
    <w:rsid w:val="00C16ACC"/>
    <w:rsid w:val="00C17105"/>
    <w:rsid w:val="00C200C3"/>
    <w:rsid w:val="00C21404"/>
    <w:rsid w:val="00C2162A"/>
    <w:rsid w:val="00C217A3"/>
    <w:rsid w:val="00C219D9"/>
    <w:rsid w:val="00C221BF"/>
    <w:rsid w:val="00C2243B"/>
    <w:rsid w:val="00C22E58"/>
    <w:rsid w:val="00C237C3"/>
    <w:rsid w:val="00C23FEA"/>
    <w:rsid w:val="00C24802"/>
    <w:rsid w:val="00C257C1"/>
    <w:rsid w:val="00C262BB"/>
    <w:rsid w:val="00C262DC"/>
    <w:rsid w:val="00C268CF"/>
    <w:rsid w:val="00C317F3"/>
    <w:rsid w:val="00C32088"/>
    <w:rsid w:val="00C32157"/>
    <w:rsid w:val="00C32787"/>
    <w:rsid w:val="00C33261"/>
    <w:rsid w:val="00C339CC"/>
    <w:rsid w:val="00C341E1"/>
    <w:rsid w:val="00C347DE"/>
    <w:rsid w:val="00C349C2"/>
    <w:rsid w:val="00C34D47"/>
    <w:rsid w:val="00C35467"/>
    <w:rsid w:val="00C361F4"/>
    <w:rsid w:val="00C36862"/>
    <w:rsid w:val="00C37261"/>
    <w:rsid w:val="00C37409"/>
    <w:rsid w:val="00C4164F"/>
    <w:rsid w:val="00C41D7D"/>
    <w:rsid w:val="00C42299"/>
    <w:rsid w:val="00C42422"/>
    <w:rsid w:val="00C44683"/>
    <w:rsid w:val="00C44C37"/>
    <w:rsid w:val="00C45146"/>
    <w:rsid w:val="00C46585"/>
    <w:rsid w:val="00C46AE5"/>
    <w:rsid w:val="00C47654"/>
    <w:rsid w:val="00C47A4B"/>
    <w:rsid w:val="00C47E70"/>
    <w:rsid w:val="00C51EB3"/>
    <w:rsid w:val="00C529D2"/>
    <w:rsid w:val="00C52BE0"/>
    <w:rsid w:val="00C53988"/>
    <w:rsid w:val="00C546FC"/>
    <w:rsid w:val="00C56093"/>
    <w:rsid w:val="00C56714"/>
    <w:rsid w:val="00C57099"/>
    <w:rsid w:val="00C573AF"/>
    <w:rsid w:val="00C574EA"/>
    <w:rsid w:val="00C57E4D"/>
    <w:rsid w:val="00C605D2"/>
    <w:rsid w:val="00C60D47"/>
    <w:rsid w:val="00C620C5"/>
    <w:rsid w:val="00C622A3"/>
    <w:rsid w:val="00C626E2"/>
    <w:rsid w:val="00C628C8"/>
    <w:rsid w:val="00C62C40"/>
    <w:rsid w:val="00C62ECD"/>
    <w:rsid w:val="00C63DBB"/>
    <w:rsid w:val="00C6498A"/>
    <w:rsid w:val="00C65D3A"/>
    <w:rsid w:val="00C70395"/>
    <w:rsid w:val="00C70D77"/>
    <w:rsid w:val="00C71A5D"/>
    <w:rsid w:val="00C721CC"/>
    <w:rsid w:val="00C725F6"/>
    <w:rsid w:val="00C73340"/>
    <w:rsid w:val="00C736E7"/>
    <w:rsid w:val="00C7519E"/>
    <w:rsid w:val="00C756D1"/>
    <w:rsid w:val="00C76226"/>
    <w:rsid w:val="00C77B5F"/>
    <w:rsid w:val="00C80662"/>
    <w:rsid w:val="00C806DF"/>
    <w:rsid w:val="00C81A12"/>
    <w:rsid w:val="00C82261"/>
    <w:rsid w:val="00C824E4"/>
    <w:rsid w:val="00C8296F"/>
    <w:rsid w:val="00C835AD"/>
    <w:rsid w:val="00C8369D"/>
    <w:rsid w:val="00C83E1A"/>
    <w:rsid w:val="00C846BE"/>
    <w:rsid w:val="00C84C02"/>
    <w:rsid w:val="00C85B50"/>
    <w:rsid w:val="00C86796"/>
    <w:rsid w:val="00C86E1D"/>
    <w:rsid w:val="00C87120"/>
    <w:rsid w:val="00C87B47"/>
    <w:rsid w:val="00C87F5E"/>
    <w:rsid w:val="00C9161F"/>
    <w:rsid w:val="00C918A6"/>
    <w:rsid w:val="00C91AD3"/>
    <w:rsid w:val="00C920A1"/>
    <w:rsid w:val="00C934DC"/>
    <w:rsid w:val="00C93787"/>
    <w:rsid w:val="00C94D20"/>
    <w:rsid w:val="00C963DE"/>
    <w:rsid w:val="00C97459"/>
    <w:rsid w:val="00CA0C26"/>
    <w:rsid w:val="00CA0C3B"/>
    <w:rsid w:val="00CA1780"/>
    <w:rsid w:val="00CA256F"/>
    <w:rsid w:val="00CA2CFF"/>
    <w:rsid w:val="00CA3D98"/>
    <w:rsid w:val="00CA4720"/>
    <w:rsid w:val="00CA4E62"/>
    <w:rsid w:val="00CA53F1"/>
    <w:rsid w:val="00CA592F"/>
    <w:rsid w:val="00CA63CB"/>
    <w:rsid w:val="00CA69AC"/>
    <w:rsid w:val="00CA6BBF"/>
    <w:rsid w:val="00CA75B3"/>
    <w:rsid w:val="00CA7FA3"/>
    <w:rsid w:val="00CB05A1"/>
    <w:rsid w:val="00CB07A8"/>
    <w:rsid w:val="00CB2072"/>
    <w:rsid w:val="00CB35B0"/>
    <w:rsid w:val="00CB5389"/>
    <w:rsid w:val="00CB5BA4"/>
    <w:rsid w:val="00CB5C8C"/>
    <w:rsid w:val="00CB5D69"/>
    <w:rsid w:val="00CC0652"/>
    <w:rsid w:val="00CC0661"/>
    <w:rsid w:val="00CC097F"/>
    <w:rsid w:val="00CC10E1"/>
    <w:rsid w:val="00CC15D2"/>
    <w:rsid w:val="00CC2F43"/>
    <w:rsid w:val="00CC3402"/>
    <w:rsid w:val="00CC3543"/>
    <w:rsid w:val="00CC432B"/>
    <w:rsid w:val="00CC5375"/>
    <w:rsid w:val="00CC56E5"/>
    <w:rsid w:val="00CC6ADB"/>
    <w:rsid w:val="00CC79A7"/>
    <w:rsid w:val="00CC7A29"/>
    <w:rsid w:val="00CC7B4C"/>
    <w:rsid w:val="00CC7E35"/>
    <w:rsid w:val="00CD05AD"/>
    <w:rsid w:val="00CD071A"/>
    <w:rsid w:val="00CD08F6"/>
    <w:rsid w:val="00CD12E3"/>
    <w:rsid w:val="00CD138F"/>
    <w:rsid w:val="00CD14D7"/>
    <w:rsid w:val="00CD3934"/>
    <w:rsid w:val="00CD3B90"/>
    <w:rsid w:val="00CD46FE"/>
    <w:rsid w:val="00CD5BEE"/>
    <w:rsid w:val="00CD631E"/>
    <w:rsid w:val="00CD6327"/>
    <w:rsid w:val="00CD6BA7"/>
    <w:rsid w:val="00CD79BE"/>
    <w:rsid w:val="00CE024C"/>
    <w:rsid w:val="00CE03B7"/>
    <w:rsid w:val="00CE119E"/>
    <w:rsid w:val="00CE1A69"/>
    <w:rsid w:val="00CE2430"/>
    <w:rsid w:val="00CE2B78"/>
    <w:rsid w:val="00CE2F1F"/>
    <w:rsid w:val="00CE353B"/>
    <w:rsid w:val="00CE3ECA"/>
    <w:rsid w:val="00CE503A"/>
    <w:rsid w:val="00CE5848"/>
    <w:rsid w:val="00CE6876"/>
    <w:rsid w:val="00CE74A3"/>
    <w:rsid w:val="00CE75D1"/>
    <w:rsid w:val="00CE7A3F"/>
    <w:rsid w:val="00CF2814"/>
    <w:rsid w:val="00CF2B76"/>
    <w:rsid w:val="00CF391F"/>
    <w:rsid w:val="00CF4240"/>
    <w:rsid w:val="00CF437B"/>
    <w:rsid w:val="00CF56DC"/>
    <w:rsid w:val="00CF5F2D"/>
    <w:rsid w:val="00CF61A1"/>
    <w:rsid w:val="00CF624A"/>
    <w:rsid w:val="00CF7E82"/>
    <w:rsid w:val="00D01870"/>
    <w:rsid w:val="00D01941"/>
    <w:rsid w:val="00D026F7"/>
    <w:rsid w:val="00D0278B"/>
    <w:rsid w:val="00D02B01"/>
    <w:rsid w:val="00D034DD"/>
    <w:rsid w:val="00D04004"/>
    <w:rsid w:val="00D04030"/>
    <w:rsid w:val="00D04952"/>
    <w:rsid w:val="00D05EA8"/>
    <w:rsid w:val="00D06A16"/>
    <w:rsid w:val="00D0727F"/>
    <w:rsid w:val="00D074B8"/>
    <w:rsid w:val="00D0773E"/>
    <w:rsid w:val="00D1078F"/>
    <w:rsid w:val="00D10E60"/>
    <w:rsid w:val="00D12550"/>
    <w:rsid w:val="00D12CD2"/>
    <w:rsid w:val="00D12D78"/>
    <w:rsid w:val="00D12F4B"/>
    <w:rsid w:val="00D136A4"/>
    <w:rsid w:val="00D14D23"/>
    <w:rsid w:val="00D15755"/>
    <w:rsid w:val="00D15D8B"/>
    <w:rsid w:val="00D17984"/>
    <w:rsid w:val="00D17A14"/>
    <w:rsid w:val="00D21E22"/>
    <w:rsid w:val="00D22A6A"/>
    <w:rsid w:val="00D23207"/>
    <w:rsid w:val="00D2383E"/>
    <w:rsid w:val="00D23ADA"/>
    <w:rsid w:val="00D24723"/>
    <w:rsid w:val="00D24D4B"/>
    <w:rsid w:val="00D24DAD"/>
    <w:rsid w:val="00D25916"/>
    <w:rsid w:val="00D25D4F"/>
    <w:rsid w:val="00D263E5"/>
    <w:rsid w:val="00D26D97"/>
    <w:rsid w:val="00D279E5"/>
    <w:rsid w:val="00D30AA5"/>
    <w:rsid w:val="00D329E6"/>
    <w:rsid w:val="00D32C1B"/>
    <w:rsid w:val="00D33AB9"/>
    <w:rsid w:val="00D340C0"/>
    <w:rsid w:val="00D34396"/>
    <w:rsid w:val="00D35E94"/>
    <w:rsid w:val="00D3696A"/>
    <w:rsid w:val="00D36EF9"/>
    <w:rsid w:val="00D37972"/>
    <w:rsid w:val="00D37C3A"/>
    <w:rsid w:val="00D40896"/>
    <w:rsid w:val="00D408AE"/>
    <w:rsid w:val="00D41534"/>
    <w:rsid w:val="00D41570"/>
    <w:rsid w:val="00D42B18"/>
    <w:rsid w:val="00D42CE3"/>
    <w:rsid w:val="00D444E6"/>
    <w:rsid w:val="00D451FC"/>
    <w:rsid w:val="00D473B0"/>
    <w:rsid w:val="00D50E8D"/>
    <w:rsid w:val="00D51428"/>
    <w:rsid w:val="00D51F4E"/>
    <w:rsid w:val="00D52053"/>
    <w:rsid w:val="00D5238F"/>
    <w:rsid w:val="00D539E0"/>
    <w:rsid w:val="00D53F67"/>
    <w:rsid w:val="00D541E6"/>
    <w:rsid w:val="00D54456"/>
    <w:rsid w:val="00D54968"/>
    <w:rsid w:val="00D556D2"/>
    <w:rsid w:val="00D55E0F"/>
    <w:rsid w:val="00D57782"/>
    <w:rsid w:val="00D579FE"/>
    <w:rsid w:val="00D57B86"/>
    <w:rsid w:val="00D6060D"/>
    <w:rsid w:val="00D60DC3"/>
    <w:rsid w:val="00D60FC7"/>
    <w:rsid w:val="00D616A8"/>
    <w:rsid w:val="00D61C67"/>
    <w:rsid w:val="00D61F15"/>
    <w:rsid w:val="00D625D4"/>
    <w:rsid w:val="00D63C48"/>
    <w:rsid w:val="00D6421C"/>
    <w:rsid w:val="00D64289"/>
    <w:rsid w:val="00D65069"/>
    <w:rsid w:val="00D65178"/>
    <w:rsid w:val="00D6667B"/>
    <w:rsid w:val="00D676D1"/>
    <w:rsid w:val="00D70497"/>
    <w:rsid w:val="00D705EC"/>
    <w:rsid w:val="00D70DD2"/>
    <w:rsid w:val="00D71194"/>
    <w:rsid w:val="00D71400"/>
    <w:rsid w:val="00D7174E"/>
    <w:rsid w:val="00D71C41"/>
    <w:rsid w:val="00D72874"/>
    <w:rsid w:val="00D7296B"/>
    <w:rsid w:val="00D72DC3"/>
    <w:rsid w:val="00D75C68"/>
    <w:rsid w:val="00D75ED1"/>
    <w:rsid w:val="00D76089"/>
    <w:rsid w:val="00D766C1"/>
    <w:rsid w:val="00D804A2"/>
    <w:rsid w:val="00D81D6B"/>
    <w:rsid w:val="00D8350A"/>
    <w:rsid w:val="00D8366C"/>
    <w:rsid w:val="00D83CE3"/>
    <w:rsid w:val="00D8441F"/>
    <w:rsid w:val="00D84E0E"/>
    <w:rsid w:val="00D86D13"/>
    <w:rsid w:val="00D87BC8"/>
    <w:rsid w:val="00D901BC"/>
    <w:rsid w:val="00D90D1F"/>
    <w:rsid w:val="00D91221"/>
    <w:rsid w:val="00D93937"/>
    <w:rsid w:val="00D93D75"/>
    <w:rsid w:val="00D94CB4"/>
    <w:rsid w:val="00D952B2"/>
    <w:rsid w:val="00D95394"/>
    <w:rsid w:val="00D953D9"/>
    <w:rsid w:val="00D9600C"/>
    <w:rsid w:val="00D963DD"/>
    <w:rsid w:val="00D970E7"/>
    <w:rsid w:val="00D975E7"/>
    <w:rsid w:val="00DA01E5"/>
    <w:rsid w:val="00DA032B"/>
    <w:rsid w:val="00DA0456"/>
    <w:rsid w:val="00DA05A4"/>
    <w:rsid w:val="00DA1DE8"/>
    <w:rsid w:val="00DA2A0C"/>
    <w:rsid w:val="00DA55BB"/>
    <w:rsid w:val="00DA59E8"/>
    <w:rsid w:val="00DA6794"/>
    <w:rsid w:val="00DA6853"/>
    <w:rsid w:val="00DA6C75"/>
    <w:rsid w:val="00DA73EE"/>
    <w:rsid w:val="00DB05AD"/>
    <w:rsid w:val="00DB1D2A"/>
    <w:rsid w:val="00DB2C1D"/>
    <w:rsid w:val="00DB2CCC"/>
    <w:rsid w:val="00DB384B"/>
    <w:rsid w:val="00DB4359"/>
    <w:rsid w:val="00DB4610"/>
    <w:rsid w:val="00DB64BA"/>
    <w:rsid w:val="00DB6604"/>
    <w:rsid w:val="00DB6876"/>
    <w:rsid w:val="00DB7488"/>
    <w:rsid w:val="00DC09BB"/>
    <w:rsid w:val="00DC1743"/>
    <w:rsid w:val="00DC1929"/>
    <w:rsid w:val="00DC22A0"/>
    <w:rsid w:val="00DC273B"/>
    <w:rsid w:val="00DC3E49"/>
    <w:rsid w:val="00DC4B10"/>
    <w:rsid w:val="00DC4CC9"/>
    <w:rsid w:val="00DC5BA5"/>
    <w:rsid w:val="00DC60FD"/>
    <w:rsid w:val="00DC6CDE"/>
    <w:rsid w:val="00DC6F32"/>
    <w:rsid w:val="00DC7746"/>
    <w:rsid w:val="00DD1FD4"/>
    <w:rsid w:val="00DD2409"/>
    <w:rsid w:val="00DD242A"/>
    <w:rsid w:val="00DD2C45"/>
    <w:rsid w:val="00DD3049"/>
    <w:rsid w:val="00DD30CC"/>
    <w:rsid w:val="00DD3557"/>
    <w:rsid w:val="00DD378A"/>
    <w:rsid w:val="00DD3941"/>
    <w:rsid w:val="00DD39B6"/>
    <w:rsid w:val="00DD3B3C"/>
    <w:rsid w:val="00DD4AB8"/>
    <w:rsid w:val="00DD5714"/>
    <w:rsid w:val="00DD624A"/>
    <w:rsid w:val="00DD656F"/>
    <w:rsid w:val="00DD6E11"/>
    <w:rsid w:val="00DD7812"/>
    <w:rsid w:val="00DE1B29"/>
    <w:rsid w:val="00DE1F52"/>
    <w:rsid w:val="00DE270F"/>
    <w:rsid w:val="00DE30E2"/>
    <w:rsid w:val="00DE3A31"/>
    <w:rsid w:val="00DE3A9A"/>
    <w:rsid w:val="00DE52D5"/>
    <w:rsid w:val="00DE61A2"/>
    <w:rsid w:val="00DE6421"/>
    <w:rsid w:val="00DE6D37"/>
    <w:rsid w:val="00DE706B"/>
    <w:rsid w:val="00DE74A7"/>
    <w:rsid w:val="00DE7A3F"/>
    <w:rsid w:val="00DE7AB8"/>
    <w:rsid w:val="00DF00C1"/>
    <w:rsid w:val="00DF0216"/>
    <w:rsid w:val="00DF0F10"/>
    <w:rsid w:val="00DF16C0"/>
    <w:rsid w:val="00DF2D1A"/>
    <w:rsid w:val="00DF2ED6"/>
    <w:rsid w:val="00DF32E1"/>
    <w:rsid w:val="00DF3A42"/>
    <w:rsid w:val="00DF3B25"/>
    <w:rsid w:val="00DF486F"/>
    <w:rsid w:val="00DF548B"/>
    <w:rsid w:val="00DF61E4"/>
    <w:rsid w:val="00DF7876"/>
    <w:rsid w:val="00DF7C55"/>
    <w:rsid w:val="00E01465"/>
    <w:rsid w:val="00E01D22"/>
    <w:rsid w:val="00E03151"/>
    <w:rsid w:val="00E03C56"/>
    <w:rsid w:val="00E04172"/>
    <w:rsid w:val="00E041E4"/>
    <w:rsid w:val="00E054C2"/>
    <w:rsid w:val="00E05D60"/>
    <w:rsid w:val="00E05FBC"/>
    <w:rsid w:val="00E07351"/>
    <w:rsid w:val="00E10B7D"/>
    <w:rsid w:val="00E12343"/>
    <w:rsid w:val="00E1248E"/>
    <w:rsid w:val="00E12BD0"/>
    <w:rsid w:val="00E13A1C"/>
    <w:rsid w:val="00E147EC"/>
    <w:rsid w:val="00E153C3"/>
    <w:rsid w:val="00E1562A"/>
    <w:rsid w:val="00E15763"/>
    <w:rsid w:val="00E173A9"/>
    <w:rsid w:val="00E21DED"/>
    <w:rsid w:val="00E225D2"/>
    <w:rsid w:val="00E2267B"/>
    <w:rsid w:val="00E227EA"/>
    <w:rsid w:val="00E22988"/>
    <w:rsid w:val="00E23426"/>
    <w:rsid w:val="00E23660"/>
    <w:rsid w:val="00E236E3"/>
    <w:rsid w:val="00E25930"/>
    <w:rsid w:val="00E264A6"/>
    <w:rsid w:val="00E2761D"/>
    <w:rsid w:val="00E27C0E"/>
    <w:rsid w:val="00E31326"/>
    <w:rsid w:val="00E31328"/>
    <w:rsid w:val="00E31A1E"/>
    <w:rsid w:val="00E31B9C"/>
    <w:rsid w:val="00E3217E"/>
    <w:rsid w:val="00E32B4D"/>
    <w:rsid w:val="00E32C18"/>
    <w:rsid w:val="00E33330"/>
    <w:rsid w:val="00E33842"/>
    <w:rsid w:val="00E33933"/>
    <w:rsid w:val="00E34484"/>
    <w:rsid w:val="00E35513"/>
    <w:rsid w:val="00E36425"/>
    <w:rsid w:val="00E368C2"/>
    <w:rsid w:val="00E37424"/>
    <w:rsid w:val="00E43339"/>
    <w:rsid w:val="00E43901"/>
    <w:rsid w:val="00E45180"/>
    <w:rsid w:val="00E45305"/>
    <w:rsid w:val="00E459D6"/>
    <w:rsid w:val="00E45E7E"/>
    <w:rsid w:val="00E46AC9"/>
    <w:rsid w:val="00E47258"/>
    <w:rsid w:val="00E47A70"/>
    <w:rsid w:val="00E47F0A"/>
    <w:rsid w:val="00E50B2F"/>
    <w:rsid w:val="00E511E9"/>
    <w:rsid w:val="00E51F7E"/>
    <w:rsid w:val="00E52663"/>
    <w:rsid w:val="00E53407"/>
    <w:rsid w:val="00E534B2"/>
    <w:rsid w:val="00E5355B"/>
    <w:rsid w:val="00E5364E"/>
    <w:rsid w:val="00E53DB6"/>
    <w:rsid w:val="00E53E47"/>
    <w:rsid w:val="00E54ACA"/>
    <w:rsid w:val="00E54E14"/>
    <w:rsid w:val="00E54FB3"/>
    <w:rsid w:val="00E55904"/>
    <w:rsid w:val="00E55E72"/>
    <w:rsid w:val="00E56687"/>
    <w:rsid w:val="00E569BD"/>
    <w:rsid w:val="00E57521"/>
    <w:rsid w:val="00E60005"/>
    <w:rsid w:val="00E60616"/>
    <w:rsid w:val="00E6152D"/>
    <w:rsid w:val="00E6157A"/>
    <w:rsid w:val="00E6178E"/>
    <w:rsid w:val="00E628DC"/>
    <w:rsid w:val="00E62D8F"/>
    <w:rsid w:val="00E6346D"/>
    <w:rsid w:val="00E63BCA"/>
    <w:rsid w:val="00E65F46"/>
    <w:rsid w:val="00E66239"/>
    <w:rsid w:val="00E66614"/>
    <w:rsid w:val="00E66924"/>
    <w:rsid w:val="00E66AF3"/>
    <w:rsid w:val="00E6750E"/>
    <w:rsid w:val="00E701ED"/>
    <w:rsid w:val="00E714FC"/>
    <w:rsid w:val="00E7176C"/>
    <w:rsid w:val="00E71916"/>
    <w:rsid w:val="00E71CEB"/>
    <w:rsid w:val="00E73151"/>
    <w:rsid w:val="00E7398B"/>
    <w:rsid w:val="00E74154"/>
    <w:rsid w:val="00E742E4"/>
    <w:rsid w:val="00E747DB"/>
    <w:rsid w:val="00E7536A"/>
    <w:rsid w:val="00E75C3E"/>
    <w:rsid w:val="00E766CF"/>
    <w:rsid w:val="00E80035"/>
    <w:rsid w:val="00E80241"/>
    <w:rsid w:val="00E810C2"/>
    <w:rsid w:val="00E81402"/>
    <w:rsid w:val="00E81B3F"/>
    <w:rsid w:val="00E8269B"/>
    <w:rsid w:val="00E8392F"/>
    <w:rsid w:val="00E84D4C"/>
    <w:rsid w:val="00E84D96"/>
    <w:rsid w:val="00E85860"/>
    <w:rsid w:val="00E90848"/>
    <w:rsid w:val="00E90B22"/>
    <w:rsid w:val="00E9173F"/>
    <w:rsid w:val="00E91EB7"/>
    <w:rsid w:val="00E92B30"/>
    <w:rsid w:val="00E92C94"/>
    <w:rsid w:val="00E930BD"/>
    <w:rsid w:val="00E930FA"/>
    <w:rsid w:val="00E93202"/>
    <w:rsid w:val="00E934F5"/>
    <w:rsid w:val="00E9542C"/>
    <w:rsid w:val="00E9590B"/>
    <w:rsid w:val="00E95968"/>
    <w:rsid w:val="00E96DDB"/>
    <w:rsid w:val="00E97132"/>
    <w:rsid w:val="00E976DF"/>
    <w:rsid w:val="00EA08FF"/>
    <w:rsid w:val="00EA0976"/>
    <w:rsid w:val="00EA0E30"/>
    <w:rsid w:val="00EA1417"/>
    <w:rsid w:val="00EA1B29"/>
    <w:rsid w:val="00EA4CAB"/>
    <w:rsid w:val="00EA5552"/>
    <w:rsid w:val="00EA60F2"/>
    <w:rsid w:val="00EA655D"/>
    <w:rsid w:val="00EA66E6"/>
    <w:rsid w:val="00EA699C"/>
    <w:rsid w:val="00EA701D"/>
    <w:rsid w:val="00EB01EC"/>
    <w:rsid w:val="00EB0F67"/>
    <w:rsid w:val="00EB19A6"/>
    <w:rsid w:val="00EB295A"/>
    <w:rsid w:val="00EB336E"/>
    <w:rsid w:val="00EB360C"/>
    <w:rsid w:val="00EB3D06"/>
    <w:rsid w:val="00EB426B"/>
    <w:rsid w:val="00EB5E6D"/>
    <w:rsid w:val="00EB60F5"/>
    <w:rsid w:val="00EB6FE2"/>
    <w:rsid w:val="00EC25EB"/>
    <w:rsid w:val="00EC32A5"/>
    <w:rsid w:val="00EC3643"/>
    <w:rsid w:val="00EC40D8"/>
    <w:rsid w:val="00EC4758"/>
    <w:rsid w:val="00EC48A4"/>
    <w:rsid w:val="00EC57D3"/>
    <w:rsid w:val="00EC5EB6"/>
    <w:rsid w:val="00EC6122"/>
    <w:rsid w:val="00EC63B6"/>
    <w:rsid w:val="00EC6741"/>
    <w:rsid w:val="00EC699B"/>
    <w:rsid w:val="00EC7233"/>
    <w:rsid w:val="00EC7E7E"/>
    <w:rsid w:val="00ED0EF9"/>
    <w:rsid w:val="00ED13F4"/>
    <w:rsid w:val="00ED29A2"/>
    <w:rsid w:val="00ED3219"/>
    <w:rsid w:val="00ED4589"/>
    <w:rsid w:val="00ED50F3"/>
    <w:rsid w:val="00ED591E"/>
    <w:rsid w:val="00ED5BB3"/>
    <w:rsid w:val="00ED69AC"/>
    <w:rsid w:val="00ED7509"/>
    <w:rsid w:val="00ED7997"/>
    <w:rsid w:val="00ED7A40"/>
    <w:rsid w:val="00EE0BE3"/>
    <w:rsid w:val="00EE1BEE"/>
    <w:rsid w:val="00EE2852"/>
    <w:rsid w:val="00EE2A29"/>
    <w:rsid w:val="00EE3195"/>
    <w:rsid w:val="00EE5014"/>
    <w:rsid w:val="00EE543D"/>
    <w:rsid w:val="00EE626E"/>
    <w:rsid w:val="00EE65F2"/>
    <w:rsid w:val="00EE6C17"/>
    <w:rsid w:val="00EE773B"/>
    <w:rsid w:val="00EE7B3B"/>
    <w:rsid w:val="00EF09E9"/>
    <w:rsid w:val="00EF2133"/>
    <w:rsid w:val="00EF2926"/>
    <w:rsid w:val="00EF3278"/>
    <w:rsid w:val="00EF3E8B"/>
    <w:rsid w:val="00EF405D"/>
    <w:rsid w:val="00EF4850"/>
    <w:rsid w:val="00EF5BAA"/>
    <w:rsid w:val="00EF7762"/>
    <w:rsid w:val="00EF7CCF"/>
    <w:rsid w:val="00F00678"/>
    <w:rsid w:val="00F00F36"/>
    <w:rsid w:val="00F00F6B"/>
    <w:rsid w:val="00F0152D"/>
    <w:rsid w:val="00F01572"/>
    <w:rsid w:val="00F01723"/>
    <w:rsid w:val="00F01DC9"/>
    <w:rsid w:val="00F049EC"/>
    <w:rsid w:val="00F0542E"/>
    <w:rsid w:val="00F0645B"/>
    <w:rsid w:val="00F0707C"/>
    <w:rsid w:val="00F07234"/>
    <w:rsid w:val="00F07741"/>
    <w:rsid w:val="00F10CAC"/>
    <w:rsid w:val="00F11658"/>
    <w:rsid w:val="00F129CB"/>
    <w:rsid w:val="00F12A87"/>
    <w:rsid w:val="00F12ED0"/>
    <w:rsid w:val="00F13980"/>
    <w:rsid w:val="00F13B90"/>
    <w:rsid w:val="00F13CFE"/>
    <w:rsid w:val="00F145A6"/>
    <w:rsid w:val="00F1546C"/>
    <w:rsid w:val="00F15A89"/>
    <w:rsid w:val="00F16853"/>
    <w:rsid w:val="00F177C1"/>
    <w:rsid w:val="00F20CAA"/>
    <w:rsid w:val="00F2141D"/>
    <w:rsid w:val="00F226A1"/>
    <w:rsid w:val="00F22715"/>
    <w:rsid w:val="00F2428B"/>
    <w:rsid w:val="00F25052"/>
    <w:rsid w:val="00F26024"/>
    <w:rsid w:val="00F26342"/>
    <w:rsid w:val="00F26B4B"/>
    <w:rsid w:val="00F26DFE"/>
    <w:rsid w:val="00F2706C"/>
    <w:rsid w:val="00F278B1"/>
    <w:rsid w:val="00F278BC"/>
    <w:rsid w:val="00F30372"/>
    <w:rsid w:val="00F3043C"/>
    <w:rsid w:val="00F3094A"/>
    <w:rsid w:val="00F31B9F"/>
    <w:rsid w:val="00F31DF9"/>
    <w:rsid w:val="00F31FEB"/>
    <w:rsid w:val="00F33589"/>
    <w:rsid w:val="00F34D51"/>
    <w:rsid w:val="00F34DF3"/>
    <w:rsid w:val="00F357F0"/>
    <w:rsid w:val="00F36331"/>
    <w:rsid w:val="00F36BAE"/>
    <w:rsid w:val="00F37580"/>
    <w:rsid w:val="00F37864"/>
    <w:rsid w:val="00F416E7"/>
    <w:rsid w:val="00F41992"/>
    <w:rsid w:val="00F42B9A"/>
    <w:rsid w:val="00F4520A"/>
    <w:rsid w:val="00F45708"/>
    <w:rsid w:val="00F4572C"/>
    <w:rsid w:val="00F46127"/>
    <w:rsid w:val="00F466D5"/>
    <w:rsid w:val="00F46FCD"/>
    <w:rsid w:val="00F510D6"/>
    <w:rsid w:val="00F5115A"/>
    <w:rsid w:val="00F512F7"/>
    <w:rsid w:val="00F515FA"/>
    <w:rsid w:val="00F52357"/>
    <w:rsid w:val="00F53893"/>
    <w:rsid w:val="00F540D3"/>
    <w:rsid w:val="00F54C2D"/>
    <w:rsid w:val="00F55D6E"/>
    <w:rsid w:val="00F56314"/>
    <w:rsid w:val="00F571F4"/>
    <w:rsid w:val="00F573E3"/>
    <w:rsid w:val="00F6177B"/>
    <w:rsid w:val="00F61E38"/>
    <w:rsid w:val="00F625F2"/>
    <w:rsid w:val="00F62C72"/>
    <w:rsid w:val="00F630C9"/>
    <w:rsid w:val="00F63AE3"/>
    <w:rsid w:val="00F63BB8"/>
    <w:rsid w:val="00F64573"/>
    <w:rsid w:val="00F646CD"/>
    <w:rsid w:val="00F65F36"/>
    <w:rsid w:val="00F663F9"/>
    <w:rsid w:val="00F671A6"/>
    <w:rsid w:val="00F67D3C"/>
    <w:rsid w:val="00F67D86"/>
    <w:rsid w:val="00F704E6"/>
    <w:rsid w:val="00F70DCD"/>
    <w:rsid w:val="00F7275B"/>
    <w:rsid w:val="00F72B42"/>
    <w:rsid w:val="00F72BB2"/>
    <w:rsid w:val="00F730C9"/>
    <w:rsid w:val="00F733F3"/>
    <w:rsid w:val="00F73A39"/>
    <w:rsid w:val="00F73E47"/>
    <w:rsid w:val="00F755D5"/>
    <w:rsid w:val="00F758FF"/>
    <w:rsid w:val="00F75972"/>
    <w:rsid w:val="00F75D3A"/>
    <w:rsid w:val="00F77344"/>
    <w:rsid w:val="00F77779"/>
    <w:rsid w:val="00F77A05"/>
    <w:rsid w:val="00F800E1"/>
    <w:rsid w:val="00F80139"/>
    <w:rsid w:val="00F80E0C"/>
    <w:rsid w:val="00F825B5"/>
    <w:rsid w:val="00F82EA5"/>
    <w:rsid w:val="00F832CC"/>
    <w:rsid w:val="00F83D28"/>
    <w:rsid w:val="00F841CA"/>
    <w:rsid w:val="00F858EF"/>
    <w:rsid w:val="00F8724D"/>
    <w:rsid w:val="00F87C31"/>
    <w:rsid w:val="00F90612"/>
    <w:rsid w:val="00F911F8"/>
    <w:rsid w:val="00F920C9"/>
    <w:rsid w:val="00F9212E"/>
    <w:rsid w:val="00F93A07"/>
    <w:rsid w:val="00F93A77"/>
    <w:rsid w:val="00F9445F"/>
    <w:rsid w:val="00F95F0A"/>
    <w:rsid w:val="00F968EA"/>
    <w:rsid w:val="00F96E21"/>
    <w:rsid w:val="00FA0329"/>
    <w:rsid w:val="00FA0AC5"/>
    <w:rsid w:val="00FA17EF"/>
    <w:rsid w:val="00FA1A77"/>
    <w:rsid w:val="00FA3412"/>
    <w:rsid w:val="00FA3738"/>
    <w:rsid w:val="00FA39F2"/>
    <w:rsid w:val="00FA3DC8"/>
    <w:rsid w:val="00FA5504"/>
    <w:rsid w:val="00FA5BFB"/>
    <w:rsid w:val="00FA6011"/>
    <w:rsid w:val="00FA6B7E"/>
    <w:rsid w:val="00FB30A3"/>
    <w:rsid w:val="00FB495B"/>
    <w:rsid w:val="00FB4BAB"/>
    <w:rsid w:val="00FB4DAA"/>
    <w:rsid w:val="00FB57DB"/>
    <w:rsid w:val="00FB6669"/>
    <w:rsid w:val="00FB6E96"/>
    <w:rsid w:val="00FB733C"/>
    <w:rsid w:val="00FB7864"/>
    <w:rsid w:val="00FC06E3"/>
    <w:rsid w:val="00FC22AB"/>
    <w:rsid w:val="00FC272E"/>
    <w:rsid w:val="00FC294A"/>
    <w:rsid w:val="00FC2D08"/>
    <w:rsid w:val="00FC30F3"/>
    <w:rsid w:val="00FC3E81"/>
    <w:rsid w:val="00FC4DBD"/>
    <w:rsid w:val="00FC594B"/>
    <w:rsid w:val="00FC5B72"/>
    <w:rsid w:val="00FC6BC4"/>
    <w:rsid w:val="00FC7571"/>
    <w:rsid w:val="00FC7DDB"/>
    <w:rsid w:val="00FC7EF4"/>
    <w:rsid w:val="00FD066D"/>
    <w:rsid w:val="00FD0BD5"/>
    <w:rsid w:val="00FD0DA5"/>
    <w:rsid w:val="00FD1088"/>
    <w:rsid w:val="00FD2394"/>
    <w:rsid w:val="00FD2E62"/>
    <w:rsid w:val="00FD2F1C"/>
    <w:rsid w:val="00FD3152"/>
    <w:rsid w:val="00FD374A"/>
    <w:rsid w:val="00FD3C65"/>
    <w:rsid w:val="00FD3E7D"/>
    <w:rsid w:val="00FD4211"/>
    <w:rsid w:val="00FD594C"/>
    <w:rsid w:val="00FD5FAA"/>
    <w:rsid w:val="00FD6F8A"/>
    <w:rsid w:val="00FD7841"/>
    <w:rsid w:val="00FE0678"/>
    <w:rsid w:val="00FE1AA3"/>
    <w:rsid w:val="00FE2431"/>
    <w:rsid w:val="00FE3FC0"/>
    <w:rsid w:val="00FE4523"/>
    <w:rsid w:val="00FE4C58"/>
    <w:rsid w:val="00FE6746"/>
    <w:rsid w:val="00FE6B38"/>
    <w:rsid w:val="00FE7891"/>
    <w:rsid w:val="00FE7EE9"/>
    <w:rsid w:val="00FE7EF6"/>
    <w:rsid w:val="00FF008D"/>
    <w:rsid w:val="00FF2550"/>
    <w:rsid w:val="00FF29B7"/>
    <w:rsid w:val="00FF321A"/>
    <w:rsid w:val="00FF3592"/>
    <w:rsid w:val="00FF45DF"/>
    <w:rsid w:val="00FF4EBB"/>
    <w:rsid w:val="00FF510E"/>
    <w:rsid w:val="00FF5299"/>
    <w:rsid w:val="00FF610D"/>
    <w:rsid w:val="00FF6915"/>
    <w:rsid w:val="00FF72C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0" w:unhideWhenUsed="1" w:qFormat="1"/>
    <w:lsdException w:name="heading 6" w:semiHidden="1" w:uiPriority="12" w:unhideWhenUsed="1" w:qFormat="1"/>
    <w:lsdException w:name="heading 7" w:semiHidden="1" w:uiPriority="12"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uiPriority="0"/>
    <w:lsdException w:name="endnote text" w:semiHidden="1" w:uiPriority="0"/>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0"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926"/>
    <w:pPr>
      <w:spacing w:before="120" w:line="240" w:lineRule="auto"/>
      <w:jc w:val="both"/>
    </w:pPr>
    <w:rPr>
      <w:color w:val="000000" w:themeColor="text1"/>
      <w:sz w:val="24"/>
    </w:rPr>
  </w:style>
  <w:style w:type="paragraph" w:styleId="Heading1">
    <w:name w:val="heading 1"/>
    <w:next w:val="MSACESParagraph"/>
    <w:link w:val="Heading1Char"/>
    <w:qFormat/>
    <w:rsid w:val="00404C00"/>
    <w:pPr>
      <w:keepNext/>
      <w:keepLines/>
      <w:numPr>
        <w:numId w:val="4"/>
      </w:numPr>
      <w:spacing w:after="0"/>
      <w:outlineLvl w:val="0"/>
    </w:pPr>
    <w:rPr>
      <w:rFonts w:ascii="Times New Roman" w:eastAsiaTheme="majorEastAsia" w:hAnsi="Times New Roman" w:cs="Times New Roman"/>
      <w:b/>
      <w:sz w:val="24"/>
      <w:szCs w:val="24"/>
      <w:lang w:eastAsia="en-AU"/>
    </w:rPr>
  </w:style>
  <w:style w:type="paragraph" w:styleId="Heading2">
    <w:name w:val="heading 2"/>
    <w:basedOn w:val="Normal"/>
    <w:next w:val="Normal"/>
    <w:link w:val="Heading2Char"/>
    <w:qFormat/>
    <w:rsid w:val="004A574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qFormat/>
    <w:rsid w:val="00186307"/>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qFormat/>
    <w:rsid w:val="00BB6875"/>
    <w:pPr>
      <w:numPr>
        <w:ilvl w:val="6"/>
      </w:numPr>
      <w:spacing w:before="240"/>
      <w:outlineLvl w:val="3"/>
    </w:pPr>
    <w:rPr>
      <w:color w:val="000000" w:themeColor="text1"/>
    </w:rPr>
  </w:style>
  <w:style w:type="paragraph" w:styleId="Heading5">
    <w:name w:val="heading 5"/>
    <w:aliases w:val="Heading 2 - Body"/>
    <w:basedOn w:val="Heading2"/>
    <w:next w:val="Normal"/>
    <w:link w:val="Heading5Char"/>
    <w:uiPriority w:val="10"/>
    <w:qFormat/>
    <w:rsid w:val="003B095E"/>
    <w:pPr>
      <w:numPr>
        <w:ilvl w:val="0"/>
        <w:numId w:val="0"/>
      </w:numPr>
      <w:outlineLvl w:val="4"/>
    </w:pPr>
  </w:style>
  <w:style w:type="paragraph" w:styleId="Heading6">
    <w:name w:val="heading 6"/>
    <w:aliases w:val="Heading 3 - Body"/>
    <w:basedOn w:val="Heading3"/>
    <w:next w:val="Normal"/>
    <w:link w:val="Heading6Char"/>
    <w:uiPriority w:val="12"/>
    <w:qFormat/>
    <w:rsid w:val="00624315"/>
    <w:pPr>
      <w:outlineLvl w:val="5"/>
    </w:pPr>
    <w:rPr>
      <w:sz w:val="24"/>
    </w:rPr>
  </w:style>
  <w:style w:type="paragraph" w:styleId="Heading7">
    <w:name w:val="heading 7"/>
    <w:basedOn w:val="Heading1"/>
    <w:next w:val="Normal"/>
    <w:link w:val="Heading7Char"/>
    <w:uiPriority w:val="12"/>
    <w:qFormat/>
    <w:rsid w:val="00472D4D"/>
    <w:pPr>
      <w:numPr>
        <w:numId w:val="0"/>
      </w:numPr>
      <w:spacing w:before="120"/>
      <w:ind w:left="1296" w:hanging="1296"/>
      <w:outlineLvl w:val="6"/>
    </w:pPr>
    <w:rPr>
      <w:i/>
    </w:rPr>
  </w:style>
  <w:style w:type="paragraph" w:styleId="Heading8">
    <w:name w:val="heading 8"/>
    <w:basedOn w:val="Normal"/>
    <w:next w:val="Normal"/>
    <w:link w:val="Heading8Char"/>
    <w:uiPriority w:val="99"/>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99"/>
    <w:qFormat/>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C00"/>
    <w:rPr>
      <w:rFonts w:ascii="Times New Roman" w:eastAsiaTheme="majorEastAsia" w:hAnsi="Times New Roman" w:cs="Times New Roman"/>
      <w:b/>
      <w:sz w:val="24"/>
      <w:szCs w:val="24"/>
      <w:lang w:eastAsia="en-AU"/>
    </w:rPr>
  </w:style>
  <w:style w:type="character" w:customStyle="1" w:styleId="Heading2Char">
    <w:name w:val="Heading 2 Char"/>
    <w:basedOn w:val="DefaultParagraphFont"/>
    <w:link w:val="Heading2"/>
    <w:rsid w:val="00245AD1"/>
    <w:rPr>
      <w:rFonts w:ascii="Arial" w:eastAsiaTheme="majorEastAsia" w:hAnsi="Arial" w:cstheme="majorBidi"/>
      <w:b/>
      <w:i/>
      <w:snapToGrid w:val="0"/>
      <w:color w:val="000000" w:themeColor="text1"/>
      <w:sz w:val="28"/>
      <w:szCs w:val="28"/>
    </w:rPr>
  </w:style>
  <w:style w:type="character" w:customStyle="1" w:styleId="Heading3Char">
    <w:name w:val="Heading 3 Char"/>
    <w:basedOn w:val="DefaultParagraphFont"/>
    <w:link w:val="Heading3"/>
    <w:rsid w:val="00245AD1"/>
    <w:rPr>
      <w:rFonts w:eastAsiaTheme="majorEastAsia" w:cstheme="majorBidi"/>
      <w:b/>
      <w:color w:val="000000" w:themeColor="text1"/>
      <w:sz w:val="28"/>
      <w:szCs w:val="28"/>
    </w:rPr>
  </w:style>
  <w:style w:type="paragraph" w:styleId="ListParagraph">
    <w:name w:val="List Paragraph"/>
    <w:aliases w:val="PBAC ES Paragraph,Figure_name,List Paragraph1,Numbered Indented Text,Bullet- First level,List NUmber,Listenabsatz1,lp1,List Paragraph11,Style 2,TOC style,List Paragraph2,List Paragraph Char Char,Number_1,SGLText List Paragraph,new,Footnot"/>
    <w:basedOn w:val="Normal"/>
    <w:link w:val="ListParagraphChar"/>
    <w:uiPriority w:val="34"/>
    <w:qFormat/>
    <w:rsid w:val="004908B7"/>
    <w:pPr>
      <w:numPr>
        <w:ilvl w:val="4"/>
        <w:numId w:val="6"/>
      </w:numPr>
    </w:p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EF2926"/>
  </w:style>
  <w:style w:type="character" w:customStyle="1" w:styleId="Heading4Char">
    <w:name w:val="Heading 4 Char"/>
    <w:basedOn w:val="DefaultParagraphFont"/>
    <w:link w:val="Heading4"/>
    <w:rsid w:val="00245AD1"/>
    <w:rPr>
      <w:rFonts w:ascii="Times New Roman" w:eastAsiaTheme="majorEastAsia" w:hAnsi="Times New Roman" w:cs="Times New Roman"/>
      <w:b/>
      <w:color w:val="000000" w:themeColor="text1"/>
      <w:sz w:val="24"/>
      <w:szCs w:val="24"/>
      <w:lang w:eastAsia="en-AU"/>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rsid w:val="00481549"/>
    <w:rPr>
      <w:rFonts w:eastAsiaTheme="majorEastAsia" w:cstheme="majorBidi"/>
      <w:b/>
      <w:color w:val="000000" w:themeColor="text1"/>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99"/>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99"/>
    <w:rsid w:val="00645AB3"/>
    <w:rPr>
      <w:rFonts w:ascii="Times New Roman" w:eastAsiaTheme="majorEastAsia" w:hAnsi="Times New Roman" w:cs="Times New Roman"/>
      <w:b/>
      <w:sz w:val="36"/>
      <w:szCs w:val="24"/>
      <w:lang w:eastAsia="en-AU"/>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HealthConsult,Source table_,NICE instructions,Header Table,ASD Table,CMA Table Template,MSD Table Grid"/>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har"/>
    <w:next w:val="Normal"/>
    <w:link w:val="CaptionChar"/>
    <w:autoRedefine/>
    <w:qFormat/>
    <w:rsid w:val="005D7976"/>
    <w:pPr>
      <w:keepNext/>
      <w:tabs>
        <w:tab w:val="left" w:pos="851"/>
      </w:tabs>
      <w:spacing w:before="240" w:after="0"/>
      <w:ind w:left="851" w:hanging="851"/>
      <w:contextualSpacing/>
      <w:jc w:val="both"/>
    </w:pPr>
    <w:rPr>
      <w:rFonts w:ascii="Arial Narrow" w:hAnsi="Arial Narrow"/>
      <w:b/>
      <w:iCs/>
      <w:color w:val="000000" w:themeColor="text1"/>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EF2926"/>
    <w:rPr>
      <w:color w:val="000000" w:themeColor="text1"/>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har Char"/>
    <w:link w:val="Caption"/>
    <w:rsid w:val="005D7976"/>
    <w:rPr>
      <w:rFonts w:ascii="Arial Narrow" w:hAnsi="Arial Narrow"/>
      <w:b/>
      <w:iCs/>
      <w:color w:val="000000" w:themeColor="text1"/>
      <w:sz w:val="20"/>
      <w:szCs w:val="18"/>
    </w:rPr>
  </w:style>
  <w:style w:type="paragraph" w:customStyle="1" w:styleId="TableFooter">
    <w:name w:val="Table Footer"/>
    <w:basedOn w:val="Normal"/>
    <w:link w:val="TableFooterChar"/>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Figure_name Char,List Paragraph1 Char,Numbered Indented Text Char,Bullet- First level Char,List NUmber Char,Listenabsatz1 Char,lp1 Char,List Paragraph11 Char,Style 2 Char,TOC style Char,List Paragraph2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517363"/>
    <w:pPr>
      <w:numPr>
        <w:numId w:val="6"/>
      </w:numPr>
      <w:tabs>
        <w:tab w:val="left" w:pos="1077"/>
      </w:tabs>
      <w:spacing w:before="240" w:line="240" w:lineRule="auto"/>
    </w:pPr>
    <w:rPr>
      <w:rFonts w:asciiTheme="minorHAnsi" w:eastAsia="Times New Roman" w:hAnsiTheme="minorHAnsi" w:cstheme="minorHAnsi"/>
      <w:snapToGrid w:val="0"/>
      <w:sz w:val="32"/>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ascii="Times New Roman" w:eastAsiaTheme="majorEastAsia" w:hAnsi="Times New Roman" w:cs="Times New Roman"/>
      <w:b/>
      <w:caps/>
      <w:sz w:val="24"/>
      <w:szCs w:val="24"/>
      <w:lang w:eastAsia="en-AU"/>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color w:val="000000" w:themeColor="text1"/>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9"/>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6"/>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olor w:val="000000" w:themeColor="text1"/>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color w:val="000000" w:themeColor="text1"/>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color w:val="000000" w:themeColor="text1"/>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color w:val="000000" w:themeColor="text1"/>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10"/>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color w:val="000000" w:themeColor="text1"/>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ascii="Times New Roman" w:eastAsiaTheme="majorEastAsia" w:hAnsi="Times New Roman" w:cstheme="majorBidi"/>
      <w:b/>
      <w:i/>
      <w:color w:val="000000" w:themeColor="text1"/>
      <w:sz w:val="28"/>
      <w:szCs w:val="28"/>
      <w:lang w:eastAsia="en-AU"/>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517363"/>
    <w:rPr>
      <w:rFonts w:ascii="Times New Roman" w:eastAsia="Times New Roman" w:hAnsi="Times New Roman" w:cstheme="minorHAnsi"/>
      <w:b/>
      <w:snapToGrid w:val="0"/>
      <w:sz w:val="32"/>
      <w:szCs w:val="32"/>
      <w:lang w:eastAsia="en-AU"/>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6"/>
      </w:numPr>
      <w:spacing w:before="160" w:after="240"/>
    </w:pPr>
    <w:rPr>
      <w:rFonts w:ascii="Arial" w:hAnsi="Arial"/>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imes New Roman"/>
      <w:b/>
      <w:sz w:val="24"/>
      <w:szCs w:val="24"/>
      <w:lang w:eastAsia="en-AU"/>
    </w:rPr>
  </w:style>
  <w:style w:type="paragraph" w:customStyle="1" w:styleId="MSACESHeading2">
    <w:name w:val="MSAC ES Heading 2"/>
    <w:basedOn w:val="Heading2"/>
    <w:next w:val="MSACESParagraph"/>
    <w:link w:val="MSACESHeading2Char"/>
    <w:uiPriority w:val="1"/>
    <w:qFormat/>
    <w:rsid w:val="001E1827"/>
    <w:pPr>
      <w:numPr>
        <w:ilvl w:val="6"/>
        <w:numId w:val="6"/>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5"/>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color w:val="000000" w:themeColor="text1"/>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link w:val="ESHeading2Char"/>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7"/>
      </w:numPr>
    </w:pPr>
  </w:style>
  <w:style w:type="paragraph" w:customStyle="1" w:styleId="MainBodyBulletPoint">
    <w:name w:val="MainBody Bullet Point"/>
    <w:basedOn w:val="InstructionBulletpoint"/>
    <w:link w:val="MainBodyBulletPointChar"/>
    <w:uiPriority w:val="1"/>
    <w:qFormat/>
    <w:rsid w:val="002532B4"/>
    <w:pPr>
      <w:numPr>
        <w:numId w:val="8"/>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olor w:val="000000" w:themeColor="text1"/>
      <w:sz w:val="24"/>
    </w:rPr>
  </w:style>
  <w:style w:type="character" w:customStyle="1" w:styleId="OutlineHeading1Char">
    <w:name w:val="Outline Heading 1 Char"/>
    <w:basedOn w:val="Heading1Char"/>
    <w:link w:val="OutlineHeading1"/>
    <w:uiPriority w:val="3"/>
    <w:rsid w:val="00F630C9"/>
    <w:rPr>
      <w:rFonts w:ascii="Times New Roman" w:eastAsiaTheme="majorEastAsia" w:hAnsi="Times New Roman" w:cstheme="majorBidi"/>
      <w:b/>
      <w:sz w:val="32"/>
      <w:szCs w:val="28"/>
      <w:lang w:eastAsia="en-AU"/>
    </w:rPr>
  </w:style>
  <w:style w:type="numbering" w:customStyle="1" w:styleId="Style1">
    <w:name w:val="Style1"/>
    <w:uiPriority w:val="99"/>
    <w:rsid w:val="009A580E"/>
    <w:pPr>
      <w:numPr>
        <w:numId w:val="11"/>
      </w:numPr>
    </w:pPr>
  </w:style>
  <w:style w:type="numbering" w:customStyle="1" w:styleId="Style2">
    <w:name w:val="Style2"/>
    <w:uiPriority w:val="99"/>
    <w:rsid w:val="002A391F"/>
    <w:pPr>
      <w:numPr>
        <w:numId w:val="13"/>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4"/>
      </w:numPr>
    </w:pPr>
  </w:style>
  <w:style w:type="character" w:customStyle="1" w:styleId="TableRowHeaderChar">
    <w:name w:val="Table Row Header Char"/>
    <w:basedOn w:val="TableTextChar"/>
    <w:link w:val="TableRowHeader"/>
    <w:rsid w:val="0015150F"/>
    <w:rPr>
      <w:rFonts w:ascii="Arial Narrow" w:hAnsi="Arial Narrow"/>
      <w:b/>
      <w:sz w:val="20"/>
    </w:rPr>
  </w:style>
  <w:style w:type="character" w:customStyle="1" w:styleId="UnresolvedMention1">
    <w:name w:val="Unresolved Mention1"/>
    <w:basedOn w:val="DefaultParagraphFont"/>
    <w:uiPriority w:val="99"/>
    <w:semiHidden/>
    <w:unhideWhenUsed/>
    <w:rsid w:val="00E04172"/>
    <w:rPr>
      <w:color w:val="605E5C"/>
      <w:shd w:val="clear" w:color="auto" w:fill="E1DFDD"/>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Annotationtext, Char,Char1,Char2"/>
    <w:basedOn w:val="Normal"/>
    <w:link w:val="CommentTextChar"/>
    <w:uiPriority w:val="99"/>
    <w:unhideWhenUsed/>
    <w:qFormat/>
    <w:rsid w:val="00E04172"/>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E04172"/>
    <w:rPr>
      <w:sz w:val="20"/>
      <w:szCs w:val="20"/>
    </w:rPr>
  </w:style>
  <w:style w:type="character" w:customStyle="1" w:styleId="CaptionFootnoteChar">
    <w:name w:val="Caption Footnote Char"/>
    <w:basedOn w:val="DefaultParagraphFont"/>
    <w:link w:val="CaptionFootnote"/>
    <w:rsid w:val="009B1463"/>
    <w:rPr>
      <w:rFonts w:eastAsia="Times New Roman" w:cs="Times New Roman"/>
      <w:kern w:val="28"/>
      <w:sz w:val="16"/>
      <w:szCs w:val="24"/>
      <w:lang w:eastAsia="en-GB"/>
    </w:rPr>
  </w:style>
  <w:style w:type="paragraph" w:customStyle="1" w:styleId="CaptionFootnote">
    <w:name w:val="Caption Footnote"/>
    <w:basedOn w:val="Normal"/>
    <w:link w:val="CaptionFootnoteChar"/>
    <w:qFormat/>
    <w:rsid w:val="009B1463"/>
    <w:pPr>
      <w:spacing w:before="0" w:after="0"/>
    </w:pPr>
    <w:rPr>
      <w:rFonts w:eastAsia="Times New Roman" w:cs="Times New Roman"/>
      <w:kern w:val="28"/>
      <w:sz w:val="16"/>
      <w:szCs w:val="24"/>
      <w:lang w:eastAsia="en-GB"/>
    </w:rPr>
  </w:style>
  <w:style w:type="paragraph" w:customStyle="1" w:styleId="TableLeft">
    <w:name w:val="Table Left"/>
    <w:basedOn w:val="Normal"/>
    <w:link w:val="TableLeftChar"/>
    <w:uiPriority w:val="99"/>
    <w:qFormat/>
    <w:rsid w:val="009B1463"/>
    <w:pPr>
      <w:spacing w:before="0" w:after="0"/>
    </w:pPr>
    <w:rPr>
      <w:rFonts w:ascii="Calibri" w:eastAsiaTheme="majorEastAsia" w:hAnsi="Calibri" w:cstheme="majorBidi"/>
      <w:sz w:val="18"/>
      <w:lang w:bidi="en-US"/>
    </w:rPr>
  </w:style>
  <w:style w:type="character" w:customStyle="1" w:styleId="TableLeftChar">
    <w:name w:val="Table Left Char"/>
    <w:basedOn w:val="DefaultParagraphFont"/>
    <w:link w:val="TableLeft"/>
    <w:uiPriority w:val="99"/>
    <w:locked/>
    <w:rsid w:val="009B1463"/>
    <w:rPr>
      <w:rFonts w:ascii="Calibri" w:eastAsiaTheme="majorEastAsia" w:hAnsi="Calibri" w:cstheme="majorBidi"/>
      <w:sz w:val="18"/>
      <w:lang w:bidi="en-US"/>
    </w:rPr>
  </w:style>
  <w:style w:type="paragraph" w:customStyle="1" w:styleId="TableBullets">
    <w:name w:val="Table Bullets"/>
    <w:basedOn w:val="TableLeft"/>
    <w:uiPriority w:val="5"/>
    <w:qFormat/>
    <w:rsid w:val="009B1463"/>
    <w:pPr>
      <w:numPr>
        <w:numId w:val="15"/>
      </w:numPr>
      <w:ind w:left="170" w:hanging="170"/>
    </w:pPr>
  </w:style>
  <w:style w:type="table" w:customStyle="1" w:styleId="TableGrid10">
    <w:name w:val="Table Grid1"/>
    <w:basedOn w:val="TableNormal"/>
    <w:next w:val="TableGrid"/>
    <w:uiPriority w:val="39"/>
    <w:rsid w:val="009B1463"/>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AD0C8A"/>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qFormat/>
    <w:rsid w:val="00AD0C8A"/>
    <w:rPr>
      <w:rFonts w:ascii="Calibri" w:hAnsi="Calibri"/>
      <w:sz w:val="20"/>
    </w:rPr>
  </w:style>
  <w:style w:type="table" w:customStyle="1" w:styleId="Submissionstandard1">
    <w:name w:val="Submission standard1"/>
    <w:basedOn w:val="TableNormal"/>
    <w:uiPriority w:val="99"/>
    <w:qFormat/>
    <w:rsid w:val="00AD0C8A"/>
    <w:pPr>
      <w:spacing w:after="0" w:line="240" w:lineRule="auto"/>
    </w:pPr>
    <w:rPr>
      <w:rFonts w:ascii="Courier New" w:eastAsia="MS Gothic" w:hAnsi="Courier Ne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MS PGothic" w:hAnsi="MS PGothic"/>
        <w:b/>
        <w:sz w:val="20"/>
      </w:rPr>
      <w:tblPr/>
      <w:tcPr>
        <w:shd w:val="clear" w:color="auto" w:fill="BFBFBF"/>
      </w:tcPr>
    </w:tblStylePr>
  </w:style>
  <w:style w:type="table" w:customStyle="1" w:styleId="TableGrid111">
    <w:name w:val="Table Grid111"/>
    <w:basedOn w:val="TableNormal"/>
    <w:next w:val="TableGrid"/>
    <w:rsid w:val="00AD0C8A"/>
    <w:pPr>
      <w:spacing w:after="0" w:line="240" w:lineRule="auto"/>
    </w:pPr>
    <w:rPr>
      <w:rFonts w:ascii="Times New Roman" w:eastAsia="Batang"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sid w:val="00614287"/>
    <w:rPr>
      <w:color w:val="605E5C"/>
      <w:shd w:val="clear" w:color="auto" w:fill="E1DFDD"/>
    </w:rPr>
  </w:style>
  <w:style w:type="table" w:customStyle="1" w:styleId="TableGrid13">
    <w:name w:val="Table Grid13"/>
    <w:basedOn w:val="TableNormal"/>
    <w:next w:val="TableGrid"/>
    <w:uiPriority w:val="59"/>
    <w:rsid w:val="00407E5A"/>
    <w:pPr>
      <w:spacing w:after="0" w:line="240" w:lineRule="auto"/>
    </w:pPr>
    <w:rPr>
      <w:rFonts w:ascii="Arial Bold" w:eastAsia="AdvOTd710a12c+20" w:hAnsi="Arial Bold" w:cs="Arial Bold"/>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864584"/>
    <w:pPr>
      <w:widowControl w:val="0"/>
      <w:spacing w:before="0" w:after="0"/>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uiPriority w:val="1"/>
    <w:rsid w:val="00864584"/>
    <w:rPr>
      <w:rFonts w:ascii="Times New Roman" w:eastAsia="Times New Roman" w:hAnsi="Times New Roman" w:cs="Times New Roman"/>
      <w:sz w:val="24"/>
      <w:szCs w:val="24"/>
      <w:lang w:val="en-US"/>
    </w:rPr>
  </w:style>
  <w:style w:type="paragraph" w:customStyle="1" w:styleId="NumberedList">
    <w:name w:val="Numbered List"/>
    <w:basedOn w:val="Normal"/>
    <w:uiPriority w:val="3"/>
    <w:qFormat/>
    <w:rsid w:val="00C11B52"/>
    <w:pPr>
      <w:numPr>
        <w:numId w:val="16"/>
      </w:numPr>
      <w:spacing w:before="0" w:after="240" w:line="276" w:lineRule="auto"/>
      <w:ind w:left="357" w:hanging="357"/>
      <w:contextualSpacing/>
    </w:pPr>
    <w:rPr>
      <w:rFonts w:ascii="Calibri" w:eastAsiaTheme="majorEastAsia" w:hAnsi="Calibri" w:cstheme="majorBidi"/>
      <w:sz w:val="22"/>
      <w:lang w:bidi="en-US"/>
    </w:rPr>
  </w:style>
  <w:style w:type="table" w:customStyle="1" w:styleId="TableGrid14">
    <w:name w:val="Table Grid14"/>
    <w:basedOn w:val="TableNormal"/>
    <w:next w:val="TableGrid"/>
    <w:uiPriority w:val="59"/>
    <w:rsid w:val="00753469"/>
    <w:pPr>
      <w:spacing w:after="0" w:line="240" w:lineRule="auto"/>
    </w:pPr>
    <w:rPr>
      <w:rFonts w:ascii="Arial Bold" w:eastAsia="AdvOTd710a12c+20" w:hAnsi="Arial Bold" w:cs="Arial Bold"/>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SDTable1">
    <w:name w:val="ASD Table1"/>
    <w:basedOn w:val="TableNormal"/>
    <w:next w:val="TableGrid"/>
    <w:uiPriority w:val="39"/>
    <w:rsid w:val="009A5612"/>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2">
    <w:name w:val="ASD Table2"/>
    <w:basedOn w:val="TableNormal"/>
    <w:next w:val="TableGrid"/>
    <w:uiPriority w:val="39"/>
    <w:rsid w:val="00C70D77"/>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3">
    <w:name w:val="ASD Table3"/>
    <w:basedOn w:val="TableNormal"/>
    <w:next w:val="TableGrid"/>
    <w:uiPriority w:val="39"/>
    <w:rsid w:val="00CE3ECA"/>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4">
    <w:name w:val="ASD Table4"/>
    <w:basedOn w:val="TableNormal"/>
    <w:next w:val="TableGrid"/>
    <w:uiPriority w:val="39"/>
    <w:rsid w:val="00A375C4"/>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5">
    <w:name w:val="ASD Table5"/>
    <w:basedOn w:val="TableNormal"/>
    <w:next w:val="TableGrid"/>
    <w:uiPriority w:val="39"/>
    <w:rsid w:val="00753B90"/>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6">
    <w:name w:val="ASD Table6"/>
    <w:basedOn w:val="TableNormal"/>
    <w:next w:val="TableGrid"/>
    <w:uiPriority w:val="39"/>
    <w:rsid w:val="00CC7B4C"/>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7">
    <w:name w:val="ASD Table7"/>
    <w:basedOn w:val="TableNormal"/>
    <w:next w:val="TableGrid"/>
    <w:uiPriority w:val="39"/>
    <w:rsid w:val="00592E0C"/>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8">
    <w:name w:val="ASD Table8"/>
    <w:basedOn w:val="TableNormal"/>
    <w:next w:val="TableGrid"/>
    <w:uiPriority w:val="39"/>
    <w:rsid w:val="00C806DF"/>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9">
    <w:name w:val="ASD Table9"/>
    <w:basedOn w:val="TableNormal"/>
    <w:next w:val="TableGrid"/>
    <w:uiPriority w:val="39"/>
    <w:rsid w:val="0079240A"/>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0">
    <w:name w:val="ASD Table10"/>
    <w:basedOn w:val="TableNormal"/>
    <w:next w:val="TableGrid"/>
    <w:uiPriority w:val="39"/>
    <w:rsid w:val="0079240A"/>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1">
    <w:name w:val="ASD Table11"/>
    <w:basedOn w:val="TableNormal"/>
    <w:next w:val="TableGrid"/>
    <w:uiPriority w:val="39"/>
    <w:rsid w:val="00270516"/>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2">
    <w:name w:val="ASD Table12"/>
    <w:basedOn w:val="TableNormal"/>
    <w:next w:val="TableGrid"/>
    <w:uiPriority w:val="39"/>
    <w:rsid w:val="007A4209"/>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3">
    <w:name w:val="ASD Table13"/>
    <w:basedOn w:val="TableNormal"/>
    <w:next w:val="TableGrid"/>
    <w:uiPriority w:val="39"/>
    <w:rsid w:val="00F4572C"/>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BACTableStyle1">
    <w:name w:val="PBAC Table Style1"/>
    <w:basedOn w:val="TableGrid1"/>
    <w:uiPriority w:val="99"/>
    <w:rsid w:val="00802341"/>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NoList1">
    <w:name w:val="No List1"/>
    <w:next w:val="NoList"/>
    <w:uiPriority w:val="99"/>
    <w:semiHidden/>
    <w:unhideWhenUsed/>
    <w:rsid w:val="00F70DCD"/>
  </w:style>
  <w:style w:type="table" w:customStyle="1" w:styleId="MSDTableGrid1">
    <w:name w:val="MSD Table Grid1"/>
    <w:basedOn w:val="TableNormal"/>
    <w:next w:val="TableGrid"/>
    <w:uiPriority w:val="39"/>
    <w:rsid w:val="00F70DCD"/>
    <w:pPr>
      <w:spacing w:after="0" w:line="240" w:lineRule="auto"/>
    </w:pPr>
    <w:rPr>
      <w:rFonts w:eastAsiaTheme="minorEastAsia"/>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2">
    <w:name w:val="PBAC Table Style2"/>
    <w:basedOn w:val="TableGrid1"/>
    <w:uiPriority w:val="99"/>
    <w:rsid w:val="00F70DCD"/>
    <w:pPr>
      <w:widowControl w:val="0"/>
      <w:spacing w:after="0"/>
      <w:contextualSpacing/>
      <w:jc w:val="center"/>
    </w:pPr>
    <w:rPr>
      <w:rFonts w:ascii="Arial Narrow" w:eastAsiaTheme="minorEastAsia"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2">
    <w:name w:val="List Table 1 Light2"/>
    <w:basedOn w:val="TableNormal"/>
    <w:next w:val="ListTable1Light"/>
    <w:uiPriority w:val="46"/>
    <w:rsid w:val="00F70DCD"/>
    <w:pPr>
      <w:spacing w:after="0" w:line="240" w:lineRule="auto"/>
    </w:pPr>
    <w:rPr>
      <w:rFonts w:eastAsiaTheme="minorEastAsi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2">
    <w:name w:val="List Table 7 Colorful - Accent 62"/>
    <w:basedOn w:val="TableNormal"/>
    <w:next w:val="ListTable7Colorful-Accent6"/>
    <w:uiPriority w:val="52"/>
    <w:rsid w:val="00F70DCD"/>
    <w:pPr>
      <w:spacing w:after="0" w:line="240" w:lineRule="auto"/>
    </w:pPr>
    <w:rPr>
      <w:rFonts w:eastAsiaTheme="minorEastAsia"/>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0">
    <w:name w:val="Table Grid 11"/>
    <w:basedOn w:val="TableNormal"/>
    <w:next w:val="TableGrid1"/>
    <w:uiPriority w:val="99"/>
    <w:semiHidden/>
    <w:unhideWhenUsed/>
    <w:rsid w:val="00F70DCD"/>
    <w:pPr>
      <w:spacing w:before="120" w:line="240" w:lineRule="auto"/>
      <w:jc w:val="both"/>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1">
    <w:name w:val="List Table 1 Light11"/>
    <w:basedOn w:val="TableNormal"/>
    <w:uiPriority w:val="46"/>
    <w:rsid w:val="00F70DCD"/>
    <w:pPr>
      <w:spacing w:after="0" w:line="240" w:lineRule="auto"/>
    </w:pPr>
    <w:rPr>
      <w:rFonts w:eastAsiaTheme="minorEastAsi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1">
    <w:name w:val="List Table 7 Colorful - Accent 611"/>
    <w:basedOn w:val="TableNormal"/>
    <w:uiPriority w:val="52"/>
    <w:rsid w:val="00F70DCD"/>
    <w:pPr>
      <w:spacing w:after="0" w:line="240" w:lineRule="auto"/>
    </w:pPr>
    <w:rPr>
      <w:rFonts w:eastAsiaTheme="minorEastAsia"/>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ubmissionstandard">
    <w:name w:val="Submission standard"/>
    <w:basedOn w:val="TableNormal"/>
    <w:uiPriority w:val="99"/>
    <w:qFormat/>
    <w:rsid w:val="00F70DCD"/>
    <w:pPr>
      <w:spacing w:after="0" w:line="240" w:lineRule="auto"/>
    </w:pPr>
    <w:rPr>
      <w:rFonts w:ascii="Arial Narrow" w:eastAsiaTheme="majorEastAsia" w:hAnsi="Arial Narrow" w:cstheme="majorBidi"/>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ambria" w:hAnsi="Cambria"/>
        <w:b/>
        <w:sz w:val="20"/>
      </w:rPr>
      <w:tblPr/>
      <w:tcPr>
        <w:shd w:val="clear" w:color="auto" w:fill="BFBFBF" w:themeFill="background1" w:themeFillShade="BF"/>
      </w:tcPr>
    </w:tblStylePr>
  </w:style>
  <w:style w:type="paragraph" w:customStyle="1" w:styleId="Default">
    <w:name w:val="Default"/>
    <w:rsid w:val="00F70DC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NormalLetters">
    <w:name w:val="Normal Letters"/>
    <w:basedOn w:val="Normal"/>
    <w:uiPriority w:val="3"/>
    <w:qFormat/>
    <w:rsid w:val="00F70DCD"/>
    <w:pPr>
      <w:numPr>
        <w:numId w:val="17"/>
      </w:numPr>
      <w:spacing w:before="0" w:after="240" w:line="276" w:lineRule="auto"/>
      <w:ind w:left="357" w:hanging="357"/>
      <w:contextualSpacing/>
    </w:pPr>
    <w:rPr>
      <w:rFonts w:ascii="Calibri" w:eastAsiaTheme="majorEastAsia" w:hAnsi="Calibri" w:cstheme="majorBidi"/>
      <w:sz w:val="22"/>
      <w:lang w:bidi="en-US"/>
    </w:rPr>
  </w:style>
  <w:style w:type="paragraph" w:customStyle="1" w:styleId="TableFigureHeading">
    <w:name w:val="Table/Figure Heading"/>
    <w:next w:val="Normal"/>
    <w:link w:val="TableFigureHeadingChar"/>
    <w:qFormat/>
    <w:rsid w:val="00F70DCD"/>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70DCD"/>
    <w:rPr>
      <w:rFonts w:ascii="Arial Narrow" w:eastAsiaTheme="majorEastAsia" w:hAnsi="Arial Narrow" w:cstheme="majorBidi"/>
      <w:b/>
      <w:bCs/>
      <w:sz w:val="20"/>
      <w:szCs w:val="24"/>
      <w:lang w:eastAsia="en-AU"/>
    </w:rPr>
  </w:style>
  <w:style w:type="table" w:customStyle="1" w:styleId="Submissionstandard11">
    <w:name w:val="Submission standard11"/>
    <w:basedOn w:val="TableNormal"/>
    <w:uiPriority w:val="99"/>
    <w:qFormat/>
    <w:rsid w:val="00F70DCD"/>
    <w:pPr>
      <w:spacing w:after="0" w:line="240" w:lineRule="auto"/>
    </w:pPr>
    <w:rPr>
      <w:rFonts w:ascii="Arial Narrow" w:eastAsiaTheme="majorEastAsia" w:hAnsi="Arial Narrow" w:cstheme="majorBidi"/>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icrosoft YaHei" w:hAnsi="@Microsoft YaHei" w:cstheme="majorBidi"/>
        <w:b/>
        <w:sz w:val="20"/>
      </w:rPr>
      <w:tblPr/>
      <w:tcPr>
        <w:shd w:val="clear" w:color="auto" w:fill="BFBFBF" w:themeFill="background1" w:themeFillShade="BF"/>
      </w:tcPr>
    </w:tblStylePr>
  </w:style>
  <w:style w:type="paragraph" w:styleId="BodyText3">
    <w:name w:val="Body Text 3"/>
    <w:basedOn w:val="Normal"/>
    <w:link w:val="BodyText3Char"/>
    <w:rsid w:val="00F70DCD"/>
    <w:pPr>
      <w:widowControl w:val="0"/>
      <w:spacing w:before="0" w:after="0"/>
    </w:pPr>
    <w:rPr>
      <w:rFonts w:ascii="Calibri" w:eastAsia="Times New Roman" w:hAnsi="Calibri" w:cs="Times New Roman"/>
      <w:snapToGrid w:val="0"/>
      <w:color w:val="0000FF"/>
      <w:szCs w:val="20"/>
    </w:rPr>
  </w:style>
  <w:style w:type="character" w:customStyle="1" w:styleId="BodyText3Char">
    <w:name w:val="Body Text 3 Char"/>
    <w:basedOn w:val="DefaultParagraphFont"/>
    <w:link w:val="BodyText3"/>
    <w:rsid w:val="00F70DCD"/>
    <w:rPr>
      <w:rFonts w:ascii="Calibri" w:eastAsia="Times New Roman" w:hAnsi="Calibri" w:cs="Times New Roman"/>
      <w:snapToGrid w:val="0"/>
      <w:color w:val="0000FF"/>
      <w:sz w:val="24"/>
      <w:szCs w:val="20"/>
    </w:rPr>
  </w:style>
  <w:style w:type="paragraph" w:customStyle="1" w:styleId="TableHeading">
    <w:name w:val="Table Heading"/>
    <w:basedOn w:val="TableText"/>
    <w:link w:val="TableHeadingChar"/>
    <w:qFormat/>
    <w:rsid w:val="00F70DCD"/>
    <w:pPr>
      <w:keepNext/>
      <w:widowControl/>
      <w:spacing w:before="0" w:after="0" w:line="240" w:lineRule="auto"/>
      <w:jc w:val="both"/>
    </w:pPr>
    <w:rPr>
      <w:rFonts w:eastAsia="SimSun" w:cs="Arial"/>
      <w:b/>
      <w:szCs w:val="20"/>
      <w:lang w:eastAsia="en-AU" w:bidi="en-US"/>
    </w:rPr>
  </w:style>
  <w:style w:type="character" w:customStyle="1" w:styleId="TableHeadingChar">
    <w:name w:val="Table Heading Char"/>
    <w:link w:val="TableHeading"/>
    <w:locked/>
    <w:rsid w:val="00F70DCD"/>
    <w:rPr>
      <w:rFonts w:ascii="Arial Narrow" w:eastAsia="SimSun" w:hAnsi="Arial Narrow" w:cs="Arial"/>
      <w:b/>
      <w:sz w:val="20"/>
      <w:szCs w:val="20"/>
      <w:lang w:eastAsia="en-AU" w:bidi="en-US"/>
    </w:rPr>
  </w:style>
  <w:style w:type="table" w:customStyle="1" w:styleId="TableGrid12">
    <w:name w:val="Table Grid12"/>
    <w:basedOn w:val="TableNormal"/>
    <w:next w:val="TableGrid"/>
    <w:uiPriority w:val="59"/>
    <w:rsid w:val="00F70DCD"/>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BACTableStyle11">
    <w:name w:val="PBAC Table Style11"/>
    <w:basedOn w:val="TableGrid1"/>
    <w:uiPriority w:val="99"/>
    <w:rsid w:val="00F70DCD"/>
    <w:pPr>
      <w:widowControl w:val="0"/>
      <w:spacing w:after="0"/>
      <w:contextualSpacing/>
      <w:jc w:val="center"/>
    </w:pPr>
    <w:rPr>
      <w:rFonts w:ascii="Arial Narrow" w:eastAsiaTheme="minorEastAsia"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In-tableHeading">
    <w:name w:val="In-table Heading"/>
    <w:qFormat/>
    <w:rsid w:val="00F70DCD"/>
    <w:pPr>
      <w:keepNext/>
      <w:spacing w:after="0" w:line="240" w:lineRule="auto"/>
    </w:pPr>
    <w:rPr>
      <w:rFonts w:ascii="Arial Narrow" w:eastAsiaTheme="majorEastAsia" w:hAnsi="Arial Narrow" w:cs="Times New Roman"/>
      <w:b/>
      <w:sz w:val="20"/>
      <w:szCs w:val="24"/>
      <w:lang w:val="en-US" w:eastAsia="en-AU"/>
    </w:rPr>
  </w:style>
  <w:style w:type="paragraph" w:customStyle="1" w:styleId="TableFigureFooter">
    <w:name w:val="Table/Figure Footer"/>
    <w:basedOn w:val="Normal"/>
    <w:link w:val="TableFigureFooterChar"/>
    <w:qFormat/>
    <w:rsid w:val="00F70DCD"/>
    <w:pPr>
      <w:spacing w:before="0" w:after="120"/>
      <w:contextualSpacing/>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F70DCD"/>
    <w:rPr>
      <w:rFonts w:ascii="Arial Narrow" w:eastAsia="Times New Roman" w:hAnsi="Arial Narrow" w:cs="Arial"/>
      <w:snapToGrid w:val="0"/>
      <w:sz w:val="18"/>
      <w:lang w:eastAsia="en-AU"/>
    </w:rPr>
  </w:style>
  <w:style w:type="table" w:customStyle="1" w:styleId="PBACTableStyle3">
    <w:name w:val="PBAC Table Style3"/>
    <w:basedOn w:val="TableGrid1"/>
    <w:uiPriority w:val="99"/>
    <w:rsid w:val="00F70DCD"/>
    <w:pPr>
      <w:widowControl w:val="0"/>
      <w:spacing w:after="0"/>
      <w:contextualSpacing/>
      <w:jc w:val="center"/>
    </w:pPr>
    <w:rPr>
      <w:rFonts w:ascii="Arial Narrow" w:eastAsiaTheme="minorEastAsia"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4">
    <w:name w:val="PBAC Table Style4"/>
    <w:basedOn w:val="TableGrid1"/>
    <w:uiPriority w:val="99"/>
    <w:rsid w:val="00F70DCD"/>
    <w:pPr>
      <w:widowControl w:val="0"/>
      <w:spacing w:after="0"/>
      <w:contextualSpacing/>
      <w:jc w:val="center"/>
    </w:pPr>
    <w:rPr>
      <w:rFonts w:ascii="Arial Narrow" w:eastAsiaTheme="minorEastAsia"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131">
    <w:name w:val="Table Grid131"/>
    <w:basedOn w:val="TableNormal"/>
    <w:next w:val="TableGrid"/>
    <w:uiPriority w:val="59"/>
    <w:rsid w:val="00F70DCD"/>
    <w:pPr>
      <w:spacing w:after="0" w:line="240" w:lineRule="auto"/>
    </w:pPr>
    <w:rPr>
      <w:rFonts w:ascii="Arial Bold" w:eastAsia="AdvOTd710a12c+20" w:hAnsi="Arial Bold" w:cs="Arial Bold"/>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SDTable21">
    <w:name w:val="ASD Table21"/>
    <w:basedOn w:val="TableNormal"/>
    <w:next w:val="TableGrid"/>
    <w:uiPriority w:val="39"/>
    <w:rsid w:val="00F70DCD"/>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61">
    <w:name w:val="ASD Table61"/>
    <w:basedOn w:val="TableNormal"/>
    <w:next w:val="TableGrid"/>
    <w:uiPriority w:val="39"/>
    <w:rsid w:val="00F70DCD"/>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DTable111">
    <w:name w:val="ASD Table111"/>
    <w:basedOn w:val="TableNormal"/>
    <w:next w:val="TableGrid"/>
    <w:uiPriority w:val="39"/>
    <w:rsid w:val="00F70DCD"/>
    <w:pPr>
      <w:spacing w:after="0" w:line="240" w:lineRule="auto"/>
    </w:pPr>
    <w:rPr>
      <w:rFonts w:ascii="Arial Narrow" w:eastAsia="MS Gothic" w:hAnsi="Arial Narrow"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HTATableshaded">
    <w:name w:val="HTA Table shaded"/>
    <w:basedOn w:val="TableNormal"/>
    <w:rsid w:val="00EC48A4"/>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bold">
    <w:name w:val="Table text bold"/>
    <w:basedOn w:val="Normal"/>
    <w:link w:val="TabletextboldChar"/>
    <w:qFormat/>
    <w:rsid w:val="00EC48A4"/>
    <w:pPr>
      <w:spacing w:before="20" w:after="20"/>
      <w:ind w:left="57" w:right="57"/>
      <w:jc w:val="left"/>
    </w:pPr>
    <w:rPr>
      <w:rFonts w:eastAsia="Arial" w:cs="Times New Roman"/>
      <w:b/>
      <w:sz w:val="18"/>
      <w:szCs w:val="20"/>
      <w:lang w:val="de-DE" w:eastAsia="en-AU"/>
    </w:rPr>
  </w:style>
  <w:style w:type="character" w:customStyle="1" w:styleId="TabletextboldChar">
    <w:name w:val="Table text bold Char"/>
    <w:basedOn w:val="DefaultParagraphFont"/>
    <w:link w:val="Tabletextbold"/>
    <w:rsid w:val="00EC48A4"/>
    <w:rPr>
      <w:rFonts w:eastAsia="Arial" w:cs="Times New Roman"/>
      <w:b/>
      <w:sz w:val="18"/>
      <w:szCs w:val="20"/>
      <w:lang w:val="de-DE" w:eastAsia="en-AU"/>
    </w:rPr>
  </w:style>
  <w:style w:type="paragraph" w:customStyle="1" w:styleId="EndNoteBibliographyTitle">
    <w:name w:val="EndNote Bibliography Title"/>
    <w:basedOn w:val="Normal"/>
    <w:link w:val="EndNoteBibliographyTitleChar"/>
    <w:rsid w:val="00EC48A4"/>
    <w:pPr>
      <w:spacing w:after="0"/>
      <w:jc w:val="center"/>
    </w:pPr>
    <w:rPr>
      <w:rFonts w:ascii="Calibri" w:eastAsia="Times New Roman" w:hAnsi="Calibri" w:cs="Calibri"/>
      <w:noProof/>
      <w:szCs w:val="20"/>
      <w:lang w:val="en-US"/>
    </w:rPr>
  </w:style>
  <w:style w:type="character" w:customStyle="1" w:styleId="EndNoteBibliographyTitleChar">
    <w:name w:val="EndNote Bibliography Title Char"/>
    <w:basedOn w:val="TableFooterChar"/>
    <w:link w:val="EndNoteBibliographyTitle"/>
    <w:rsid w:val="00EC48A4"/>
    <w:rPr>
      <w:rFonts w:ascii="Calibri" w:eastAsia="Times New Roman" w:hAnsi="Calibri" w:cs="Calibri"/>
      <w:noProof/>
      <w:snapToGrid/>
      <w:color w:val="000000" w:themeColor="text1"/>
      <w:sz w:val="24"/>
      <w:szCs w:val="20"/>
      <w:lang w:val="en-US"/>
    </w:rPr>
  </w:style>
  <w:style w:type="paragraph" w:customStyle="1" w:styleId="EndNoteBibliography">
    <w:name w:val="EndNote Bibliography"/>
    <w:basedOn w:val="Normal"/>
    <w:link w:val="EndNoteBibliographyChar"/>
    <w:rsid w:val="00EC48A4"/>
    <w:pPr>
      <w:jc w:val="left"/>
    </w:pPr>
    <w:rPr>
      <w:rFonts w:ascii="Calibri" w:eastAsia="Times New Roman" w:hAnsi="Calibri" w:cs="Calibri"/>
      <w:noProof/>
      <w:szCs w:val="20"/>
      <w:lang w:val="en-US"/>
    </w:rPr>
  </w:style>
  <w:style w:type="character" w:customStyle="1" w:styleId="EndNoteBibliographyChar">
    <w:name w:val="EndNote Bibliography Char"/>
    <w:basedOn w:val="TableFooterChar"/>
    <w:link w:val="EndNoteBibliography"/>
    <w:rsid w:val="00EC48A4"/>
    <w:rPr>
      <w:rFonts w:ascii="Calibri" w:eastAsia="Times New Roman" w:hAnsi="Calibri" w:cs="Calibri"/>
      <w:noProof/>
      <w:snapToGrid/>
      <w:color w:val="000000" w:themeColor="text1"/>
      <w:sz w:val="24"/>
      <w:szCs w:val="20"/>
      <w:lang w:val="en-US"/>
    </w:rPr>
  </w:style>
  <w:style w:type="table" w:styleId="PlainTable2">
    <w:name w:val="Plain Table 2"/>
    <w:basedOn w:val="TableNormal"/>
    <w:uiPriority w:val="42"/>
    <w:rsid w:val="00EC48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EC48A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1">
    <w:name w:val="Table Grid Light11"/>
    <w:basedOn w:val="TableNormal"/>
    <w:uiPriority w:val="40"/>
    <w:rsid w:val="00EC48A4"/>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HTATableshaded5">
    <w:name w:val="HTA Table shaded5"/>
    <w:basedOn w:val="TableNormal"/>
    <w:rsid w:val="00EC48A4"/>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111">
    <w:name w:val="Table Grid1111"/>
    <w:basedOn w:val="TableNormal"/>
    <w:next w:val="TableGrid"/>
    <w:rsid w:val="00EC48A4"/>
    <w:pPr>
      <w:spacing w:before="40" w:after="40" w:line="240" w:lineRule="auto"/>
    </w:pPr>
    <w:rPr>
      <w:rFonts w:ascii="Arial Narrow" w:eastAsia="Times New Roman" w:hAnsi="Arial Narrow" w:cs="Times New Roman"/>
      <w:sz w:val="24"/>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Narrow" w:hAnsi="Arial Narrow"/>
        <w:b w:val="0"/>
        <w:sz w:val="20"/>
      </w:rPr>
    </w:tblStylePr>
  </w:style>
  <w:style w:type="paragraph" w:customStyle="1" w:styleId="5-SubsectionSubheading">
    <w:name w:val="5-Subsection Subheading"/>
    <w:basedOn w:val="Heading3"/>
    <w:next w:val="Normal"/>
    <w:link w:val="5-SubsectionSubheadingChar"/>
    <w:qFormat/>
    <w:rsid w:val="00DB4610"/>
    <w:pPr>
      <w:numPr>
        <w:ilvl w:val="0"/>
        <w:numId w:val="0"/>
      </w:numPr>
      <w:spacing w:before="160"/>
    </w:pPr>
    <w:rPr>
      <w:sz w:val="24"/>
      <w:szCs w:val="24"/>
      <w:lang w:eastAsia="en-AU"/>
    </w:rPr>
  </w:style>
  <w:style w:type="character" w:customStyle="1" w:styleId="5-SubsectionSubheadingChar">
    <w:name w:val="5-Subsection Subheading Char"/>
    <w:basedOn w:val="DefaultParagraphFont"/>
    <w:link w:val="5-SubsectionSubheading"/>
    <w:rsid w:val="00DB4610"/>
    <w:rPr>
      <w:rFonts w:eastAsiaTheme="majorEastAsia" w:cstheme="majorBidi"/>
      <w:b/>
      <w:color w:val="000000" w:themeColor="text1"/>
      <w:sz w:val="24"/>
      <w:szCs w:val="24"/>
      <w:lang w:eastAsia="en-AU"/>
    </w:rPr>
  </w:style>
  <w:style w:type="table" w:styleId="TableGridLight">
    <w:name w:val="Grid Table Light"/>
    <w:basedOn w:val="TableNormal"/>
    <w:uiPriority w:val="40"/>
    <w:rsid w:val="00580F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SectionHeading">
    <w:name w:val="2-Section Heading"/>
    <w:qFormat/>
    <w:rsid w:val="00AD6EA5"/>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AD6EA5"/>
    <w:pPr>
      <w:numPr>
        <w:ilvl w:val="0"/>
        <w:numId w:val="0"/>
      </w:numPr>
      <w:spacing w:before="0" w:after="120"/>
      <w:ind w:left="720" w:hanging="720"/>
    </w:pPr>
    <w:rPr>
      <w:rFonts w:eastAsia="Times New Roman" w:cs="Arial"/>
      <w:snapToGrid w:val="0"/>
      <w:color w:val="auto"/>
      <w:szCs w:val="24"/>
      <w:lang w:eastAsia="en-AU"/>
    </w:rPr>
  </w:style>
  <w:style w:type="character" w:customStyle="1" w:styleId="3-BodyTextChar">
    <w:name w:val="3-Body Text Char"/>
    <w:basedOn w:val="DefaultParagraphFont"/>
    <w:link w:val="3-BodyText"/>
    <w:rsid w:val="00AD6EA5"/>
    <w:rPr>
      <w:rFonts w:eastAsia="Times New Roman" w:cs="Arial"/>
      <w:snapToGrid w:val="0"/>
      <w:sz w:val="24"/>
      <w:szCs w:val="24"/>
      <w:lang w:eastAsia="en-AU"/>
    </w:rPr>
  </w:style>
  <w:style w:type="character" w:customStyle="1" w:styleId="UnresolvedMention3">
    <w:name w:val="Unresolved Mention3"/>
    <w:basedOn w:val="DefaultParagraphFont"/>
    <w:uiPriority w:val="99"/>
    <w:semiHidden/>
    <w:unhideWhenUsed/>
    <w:rsid w:val="00A47328"/>
    <w:rPr>
      <w:color w:val="605E5C"/>
      <w:shd w:val="clear" w:color="auto" w:fill="E1DFDD"/>
    </w:rPr>
  </w:style>
  <w:style w:type="paragraph" w:customStyle="1" w:styleId="bullet">
    <w:name w:val="bullet"/>
    <w:basedOn w:val="ListParagraph"/>
    <w:qFormat/>
    <w:rsid w:val="00743231"/>
    <w:pPr>
      <w:numPr>
        <w:ilvl w:val="0"/>
        <w:numId w:val="20"/>
      </w:numPr>
      <w:spacing w:before="0" w:after="120"/>
    </w:pPr>
    <w:rPr>
      <w:rFonts w:ascii="Calibri" w:eastAsia="Times New Roman" w:hAnsi="Calibri"/>
      <w:i/>
      <w:color w:val="auto"/>
      <w:sz w:val="22"/>
    </w:rPr>
  </w:style>
  <w:style w:type="paragraph" w:customStyle="1" w:styleId="PBACHeading1">
    <w:name w:val="PBAC Heading 1"/>
    <w:qFormat/>
    <w:rsid w:val="009331D2"/>
    <w:pPr>
      <w:spacing w:after="0" w:line="240" w:lineRule="auto"/>
      <w:ind w:left="720" w:hanging="720"/>
      <w:outlineLvl w:val="0"/>
    </w:pPr>
    <w:rPr>
      <w:rFonts w:ascii="Calibri" w:eastAsia="Times New Roman" w:hAnsi="Calibri" w:cs="Calibri"/>
      <w:b/>
      <w:snapToGrid w:val="0"/>
      <w:sz w:val="32"/>
      <w:szCs w:val="32"/>
    </w:rPr>
  </w:style>
  <w:style w:type="paragraph" w:customStyle="1" w:styleId="Table">
    <w:name w:val="Table"/>
    <w:basedOn w:val="Normal"/>
    <w:link w:val="TableChar"/>
    <w:qFormat/>
    <w:rsid w:val="00547FD8"/>
    <w:pPr>
      <w:spacing w:before="0" w:after="0"/>
    </w:pPr>
    <w:rPr>
      <w:rFonts w:ascii="Candara" w:eastAsiaTheme="majorEastAsia" w:hAnsi="Candara" w:cstheme="majorBidi"/>
      <w:color w:val="auto"/>
      <w:sz w:val="20"/>
      <w:lang w:bidi="en-US"/>
    </w:rPr>
  </w:style>
  <w:style w:type="character" w:customStyle="1" w:styleId="TableChar">
    <w:name w:val="Table Char"/>
    <w:basedOn w:val="DefaultParagraphFont"/>
    <w:link w:val="Table"/>
    <w:locked/>
    <w:rsid w:val="00547FD8"/>
    <w:rPr>
      <w:rFonts w:ascii="Candara" w:eastAsiaTheme="majorEastAsia" w:hAnsi="Candara" w:cstheme="majorBidi"/>
      <w:sz w:val="20"/>
      <w:lang w:bidi="en-US"/>
    </w:rPr>
  </w:style>
  <w:style w:type="paragraph" w:customStyle="1" w:styleId="TableCentre">
    <w:name w:val="Table Centre"/>
    <w:basedOn w:val="Table"/>
    <w:uiPriority w:val="99"/>
    <w:qFormat/>
    <w:rsid w:val="00547FD8"/>
    <w:pPr>
      <w:jc w:val="center"/>
    </w:pPr>
  </w:style>
  <w:style w:type="paragraph" w:customStyle="1" w:styleId="Tabletext0">
    <w:name w:val="Table text"/>
    <w:basedOn w:val="Normal"/>
    <w:link w:val="TabletextChar0"/>
    <w:qFormat/>
    <w:rsid w:val="00547FD8"/>
    <w:pPr>
      <w:spacing w:before="40" w:after="40"/>
    </w:pPr>
    <w:rPr>
      <w:rFonts w:ascii="Arial Narrow" w:eastAsia="Times New Roman" w:hAnsi="Arial Narrow" w:cs="Times New Roman"/>
      <w:color w:val="auto"/>
      <w:sz w:val="20"/>
      <w:szCs w:val="24"/>
    </w:rPr>
  </w:style>
  <w:style w:type="character" w:customStyle="1" w:styleId="TabletextChar0">
    <w:name w:val="Table text Char"/>
    <w:basedOn w:val="DefaultParagraphFont"/>
    <w:link w:val="Tabletext0"/>
    <w:rsid w:val="00547FD8"/>
    <w:rPr>
      <w:rFonts w:ascii="Arial Narrow" w:eastAsia="Times New Roman" w:hAnsi="Arial Narrow" w:cs="Times New Roman"/>
      <w:sz w:val="20"/>
      <w:szCs w:val="24"/>
    </w:rPr>
  </w:style>
  <w:style w:type="character" w:customStyle="1" w:styleId="ESHeading2Char">
    <w:name w:val="ES Heading 2 Char"/>
    <w:basedOn w:val="Heading2Char"/>
    <w:link w:val="ESHeading2"/>
    <w:rsid w:val="00547FD8"/>
    <w:rPr>
      <w:rFonts w:asciiTheme="majorHAnsi" w:eastAsiaTheme="majorEastAsia" w:hAnsiTheme="majorHAnsi" w:cstheme="majorBidi"/>
      <w:b/>
      <w:i/>
      <w:snapToGrid w:val="0"/>
      <w:color w:val="000000" w:themeColor="text1"/>
      <w:sz w:val="28"/>
      <w:szCs w:val="28"/>
    </w:rPr>
  </w:style>
  <w:style w:type="table" w:customStyle="1" w:styleId="Submissiontemplate2">
    <w:name w:val="Submission template2"/>
    <w:basedOn w:val="TableNormal"/>
    <w:uiPriority w:val="99"/>
    <w:rsid w:val="00547FD8"/>
    <w:pPr>
      <w:spacing w:after="0" w:line="240" w:lineRule="auto"/>
    </w:pPr>
    <w:rPr>
      <w:rFonts w:ascii="Candara" w:eastAsiaTheme="majorEastAsia" w:hAnsi="Candara" w:cstheme="majorBidi"/>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hemeFill="background1" w:themeFillShade="BF"/>
      </w:tcPr>
    </w:tblStylePr>
    <w:tblStylePr w:type="lastRow">
      <w:tblPr/>
      <w:tcPr>
        <w:shd w:val="clear" w:color="auto" w:fill="FFFFFF" w:themeFill="background1"/>
      </w:tcPr>
    </w:tblStylePr>
    <w:tblStylePr w:type="band1Horz">
      <w:tblPr/>
      <w:tcPr>
        <w:shd w:val="clear" w:color="auto" w:fill="FFFFFF" w:themeFill="background1"/>
      </w:tcPr>
    </w:tblStylePr>
  </w:style>
  <w:style w:type="paragraph" w:customStyle="1" w:styleId="Tabletextboldleft">
    <w:name w:val="Table text bold left"/>
    <w:basedOn w:val="Tabletextbold"/>
    <w:link w:val="TabletextboldleftChar"/>
    <w:qFormat/>
    <w:rsid w:val="00547FD8"/>
    <w:pPr>
      <w:keepNext/>
      <w:spacing w:before="0" w:after="0"/>
      <w:ind w:left="0" w:right="0"/>
    </w:pPr>
    <w:rPr>
      <w:rFonts w:ascii="Arial Narrow" w:eastAsia="Times New Roman" w:hAnsi="Arial Narrow" w:cs="Arial"/>
      <w:color w:val="auto"/>
      <w:sz w:val="20"/>
    </w:rPr>
  </w:style>
  <w:style w:type="character" w:customStyle="1" w:styleId="TabletextboldleftChar">
    <w:name w:val="Table text bold left Char"/>
    <w:basedOn w:val="TabletextboldChar"/>
    <w:link w:val="Tabletextboldleft"/>
    <w:rsid w:val="00547FD8"/>
    <w:rPr>
      <w:rFonts w:ascii="Arial Narrow" w:eastAsia="Times New Roman" w:hAnsi="Arial Narrow" w:cs="Arial"/>
      <w:b/>
      <w:sz w:val="20"/>
      <w:szCs w:val="20"/>
      <w:lang w:val="de-DE" w:eastAsia="en-AU"/>
    </w:rPr>
  </w:style>
  <w:style w:type="table" w:customStyle="1" w:styleId="Submissiontemplate7">
    <w:name w:val="Submission template7"/>
    <w:basedOn w:val="TableNormal"/>
    <w:uiPriority w:val="99"/>
    <w:rsid w:val="00547FD8"/>
    <w:pPr>
      <w:spacing w:after="0" w:line="240" w:lineRule="auto"/>
    </w:pPr>
    <w:rPr>
      <w:rFonts w:ascii="Candara" w:eastAsiaTheme="majorEastAsia" w:hAnsi="Candara" w:cstheme="majorBidi"/>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hemeFill="background1" w:themeFillShade="BF"/>
      </w:tcPr>
    </w:tblStylePr>
    <w:tblStylePr w:type="lastRow">
      <w:tblPr/>
      <w:tcPr>
        <w:shd w:val="clear" w:color="auto" w:fill="FFFFFF" w:themeFill="background1"/>
      </w:tcPr>
    </w:tblStylePr>
    <w:tblStylePr w:type="band1Horz">
      <w:tblPr/>
      <w:tcPr>
        <w:shd w:val="clear" w:color="auto" w:fill="FFFFFF" w:themeFill="background1"/>
      </w:tcPr>
    </w:tblStylePr>
  </w:style>
  <w:style w:type="paragraph" w:customStyle="1" w:styleId="Tablecaption">
    <w:name w:val="Table caption"/>
    <w:basedOn w:val="Normal"/>
    <w:link w:val="TablecaptionChar"/>
    <w:qFormat/>
    <w:rsid w:val="00547FD8"/>
    <w:pPr>
      <w:keepNext/>
      <w:keepLines/>
      <w:spacing w:before="0" w:after="0"/>
    </w:pPr>
    <w:rPr>
      <w:rFonts w:ascii="Arial Narrow" w:eastAsia="Times New Roman" w:hAnsi="Arial Narrow" w:cs="Arial"/>
      <w:color w:val="auto"/>
      <w:sz w:val="20"/>
      <w:szCs w:val="20"/>
    </w:rPr>
  </w:style>
  <w:style w:type="character" w:customStyle="1" w:styleId="TablecaptionChar">
    <w:name w:val="Table caption Char"/>
    <w:basedOn w:val="DefaultParagraphFont"/>
    <w:link w:val="Tablecaption"/>
    <w:rsid w:val="00547FD8"/>
    <w:rPr>
      <w:rFonts w:ascii="Arial Narrow" w:eastAsia="Times New Roman" w:hAnsi="Arial Narrow" w:cs="Arial"/>
      <w:sz w:val="20"/>
      <w:szCs w:val="20"/>
    </w:rPr>
  </w:style>
  <w:style w:type="paragraph" w:customStyle="1" w:styleId="Tabletextcentred">
    <w:name w:val="Table text centred"/>
    <w:basedOn w:val="Tabletext0"/>
    <w:link w:val="TabletextcentredChar"/>
    <w:qFormat/>
    <w:rsid w:val="00547FD8"/>
    <w:pPr>
      <w:jc w:val="center"/>
    </w:pPr>
  </w:style>
  <w:style w:type="character" w:customStyle="1" w:styleId="TabletextcentredChar">
    <w:name w:val="Table text centred Char"/>
    <w:basedOn w:val="TabletextChar0"/>
    <w:link w:val="Tabletextcentred"/>
    <w:rsid w:val="00547FD8"/>
    <w:rPr>
      <w:rFonts w:ascii="Arial Narrow" w:eastAsia="Times New Roman" w:hAnsi="Arial Narrow" w:cs="Times New Roman"/>
      <w:sz w:val="20"/>
      <w:szCs w:val="24"/>
    </w:rPr>
  </w:style>
  <w:style w:type="character" w:customStyle="1" w:styleId="TableBold">
    <w:name w:val="Table Bold"/>
    <w:uiPriority w:val="4"/>
    <w:qFormat/>
    <w:rsid w:val="00547FD8"/>
    <w:rPr>
      <w:rFonts w:ascii="Calibri" w:hAnsi="Calibri" w:hint="default"/>
      <w:b/>
      <w:bCs w:val="0"/>
      <w:sz w:val="20"/>
      <w:lang w:val="en-AU"/>
    </w:rPr>
  </w:style>
  <w:style w:type="character" w:customStyle="1" w:styleId="Style2Char">
    <w:name w:val="Style2 Char"/>
    <w:basedOn w:val="DefaultParagraphFont"/>
    <w:rsid w:val="00547FD8"/>
    <w:rPr>
      <w:rFonts w:ascii="Arial" w:eastAsia="Times New Roman" w:hAnsi="Arial" w:cs="Arial"/>
      <w:color w:val="3366FF"/>
      <w:szCs w:val="24"/>
      <w:lang w:eastAsia="en-AU"/>
    </w:rPr>
  </w:style>
  <w:style w:type="paragraph" w:customStyle="1" w:styleId="NormalBulletList">
    <w:name w:val="Normal Bullet List"/>
    <w:basedOn w:val="Normal"/>
    <w:uiPriority w:val="3"/>
    <w:qFormat/>
    <w:rsid w:val="00547FD8"/>
    <w:pPr>
      <w:numPr>
        <w:numId w:val="23"/>
      </w:numPr>
      <w:spacing w:before="0" w:after="240" w:line="276" w:lineRule="auto"/>
      <w:contextualSpacing/>
    </w:pPr>
    <w:rPr>
      <w:rFonts w:ascii="Candara" w:eastAsiaTheme="majorEastAsia" w:hAnsi="Candara" w:cstheme="majorBidi"/>
      <w:color w:val="auto"/>
      <w:lang w:bidi="en-US"/>
    </w:rPr>
  </w:style>
  <w:style w:type="paragraph" w:styleId="EndnoteText">
    <w:name w:val="endnote text"/>
    <w:basedOn w:val="Normal"/>
    <w:link w:val="EndnoteTextChar"/>
    <w:rsid w:val="00547FD8"/>
    <w:pPr>
      <w:widowControl w:val="0"/>
      <w:spacing w:before="0" w:after="0"/>
    </w:pPr>
    <w:rPr>
      <w:rFonts w:ascii="Times New Roman" w:eastAsia="Times New Roman" w:hAnsi="Times New Roman" w:cs="Times New Roman"/>
      <w:snapToGrid w:val="0"/>
      <w:color w:val="auto"/>
      <w:sz w:val="20"/>
      <w:szCs w:val="20"/>
      <w:lang w:val="en-US"/>
    </w:rPr>
  </w:style>
  <w:style w:type="character" w:customStyle="1" w:styleId="EndnoteTextChar">
    <w:name w:val="Endnote Text Char"/>
    <w:basedOn w:val="DefaultParagraphFont"/>
    <w:link w:val="EndnoteText"/>
    <w:rsid w:val="00547FD8"/>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rsid w:val="00547FD8"/>
    <w:rPr>
      <w:vertAlign w:val="superscript"/>
    </w:rPr>
  </w:style>
  <w:style w:type="character" w:customStyle="1" w:styleId="SmallBold">
    <w:name w:val="Small Bold"/>
    <w:basedOn w:val="DefaultParagraphFont"/>
    <w:uiPriority w:val="4"/>
    <w:qFormat/>
    <w:rsid w:val="00547FD8"/>
    <w:rPr>
      <w:rFonts w:ascii="Candara" w:hAnsi="Candara"/>
      <w:b/>
      <w:sz w:val="20"/>
      <w:lang w:val="en-AU"/>
    </w:rPr>
  </w:style>
  <w:style w:type="table" w:customStyle="1" w:styleId="Submissiontemplate">
    <w:name w:val="Submission template"/>
    <w:basedOn w:val="TableNormal"/>
    <w:uiPriority w:val="99"/>
    <w:rsid w:val="00547FD8"/>
    <w:pPr>
      <w:spacing w:after="0" w:line="240" w:lineRule="auto"/>
    </w:pPr>
    <w:rPr>
      <w:rFonts w:ascii="Candara" w:eastAsiaTheme="majorEastAsia" w:hAnsi="Candara" w:cstheme="majorBidi"/>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hemeFill="background1" w:themeFillShade="BF"/>
      </w:tcPr>
    </w:tblStylePr>
    <w:tblStylePr w:type="lastRow">
      <w:tblPr/>
      <w:tcPr>
        <w:shd w:val="clear" w:color="auto" w:fill="FFFFFF" w:themeFill="background1"/>
      </w:tcPr>
    </w:tblStylePr>
    <w:tblStylePr w:type="band1Horz">
      <w:tblPr/>
      <w:tcPr>
        <w:shd w:val="clear" w:color="auto" w:fill="FFFFFF" w:themeFill="background1"/>
      </w:tcPr>
    </w:tblStylePr>
  </w:style>
  <w:style w:type="paragraph" w:customStyle="1" w:styleId="TableHeading0">
    <w:name w:val="TableHeading"/>
    <w:basedOn w:val="Normal"/>
    <w:link w:val="TableHeadingChar0"/>
    <w:qFormat/>
    <w:rsid w:val="00547FD8"/>
    <w:pPr>
      <w:keepNext/>
      <w:spacing w:before="40" w:after="40"/>
      <w:ind w:left="1134" w:hanging="1134"/>
    </w:pPr>
    <w:rPr>
      <w:rFonts w:ascii="Arial Narrow" w:eastAsia="Times New Roman" w:hAnsi="Arial Narrow" w:cs="Tahoma"/>
      <w:b/>
      <w:noProof/>
      <w:color w:val="auto"/>
      <w:sz w:val="20"/>
      <w:szCs w:val="20"/>
      <w:lang w:eastAsia="en-AU"/>
    </w:rPr>
  </w:style>
  <w:style w:type="character" w:customStyle="1" w:styleId="TableHeadingChar0">
    <w:name w:val="TableHeading Char"/>
    <w:link w:val="TableHeading0"/>
    <w:rsid w:val="00547FD8"/>
    <w:rPr>
      <w:rFonts w:ascii="Arial Narrow" w:eastAsia="Times New Roman" w:hAnsi="Arial Narrow" w:cs="Tahoma"/>
      <w:b/>
      <w:noProof/>
      <w:sz w:val="20"/>
      <w:szCs w:val="20"/>
      <w:lang w:eastAsia="en-AU"/>
    </w:rPr>
  </w:style>
  <w:style w:type="paragraph" w:customStyle="1" w:styleId="Tablenotes">
    <w:name w:val="Tablenotes"/>
    <w:basedOn w:val="Normal"/>
    <w:link w:val="TablenotesChar"/>
    <w:autoRedefine/>
    <w:qFormat/>
    <w:rsid w:val="00547FD8"/>
    <w:pPr>
      <w:widowControl w:val="0"/>
      <w:spacing w:before="60" w:after="120"/>
      <w:contextualSpacing/>
    </w:pPr>
    <w:rPr>
      <w:rFonts w:ascii="Arial Narrow" w:eastAsia="Times New Roman" w:hAnsi="Arial Narrow" w:cs="Arial"/>
      <w:snapToGrid w:val="0"/>
      <w:color w:val="auto"/>
      <w:sz w:val="18"/>
      <w:szCs w:val="20"/>
    </w:rPr>
  </w:style>
  <w:style w:type="character" w:customStyle="1" w:styleId="TablenotesChar">
    <w:name w:val="Tablenotes Char"/>
    <w:basedOn w:val="DefaultParagraphFont"/>
    <w:link w:val="Tablenotes"/>
    <w:rsid w:val="00547FD8"/>
    <w:rPr>
      <w:rFonts w:ascii="Arial Narrow" w:eastAsia="Times New Roman" w:hAnsi="Arial Narrow" w:cs="Arial"/>
      <w:snapToGrid w:val="0"/>
      <w:sz w:val="18"/>
      <w:szCs w:val="20"/>
    </w:rPr>
  </w:style>
  <w:style w:type="table" w:customStyle="1" w:styleId="TableGrid2">
    <w:name w:val="Table Grid2"/>
    <w:basedOn w:val="TableNormal"/>
    <w:next w:val="TableGrid"/>
    <w:rsid w:val="00547FD8"/>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paragraph" w:customStyle="1" w:styleId="Tablenotes1">
    <w:name w:val="Tablenotes 1"/>
    <w:basedOn w:val="Normal"/>
    <w:link w:val="Tablenotes1Char"/>
    <w:qFormat/>
    <w:rsid w:val="00547FD8"/>
    <w:pPr>
      <w:widowControl w:val="0"/>
      <w:spacing w:before="0" w:after="240"/>
      <w:contextualSpacing/>
      <w:jc w:val="left"/>
    </w:pPr>
    <w:rPr>
      <w:rFonts w:ascii="Arial Narrow" w:eastAsia="Times New Roman" w:hAnsi="Arial Narrow" w:cs="Arial"/>
      <w:snapToGrid w:val="0"/>
      <w:color w:val="auto"/>
      <w:sz w:val="18"/>
      <w:szCs w:val="20"/>
    </w:rPr>
  </w:style>
  <w:style w:type="character" w:customStyle="1" w:styleId="Tablenotes1Char">
    <w:name w:val="Tablenotes 1 Char"/>
    <w:basedOn w:val="DefaultParagraphFont"/>
    <w:link w:val="Tablenotes1"/>
    <w:rsid w:val="00547FD8"/>
    <w:rPr>
      <w:rFonts w:ascii="Arial Narrow" w:eastAsia="Times New Roman" w:hAnsi="Arial Narrow" w:cs="Arial"/>
      <w:snapToGrid w:val="0"/>
      <w:sz w:val="18"/>
      <w:szCs w:val="20"/>
    </w:rPr>
  </w:style>
  <w:style w:type="numbering" w:customStyle="1" w:styleId="Heading1a">
    <w:name w:val="Heading 1a"/>
    <w:basedOn w:val="NoList"/>
    <w:uiPriority w:val="99"/>
    <w:rsid w:val="00547FD8"/>
    <w:pPr>
      <w:numPr>
        <w:numId w:val="24"/>
      </w:numPr>
    </w:pPr>
  </w:style>
  <w:style w:type="paragraph" w:customStyle="1" w:styleId="Tabletext-left">
    <w:name w:val="Table text - left"/>
    <w:basedOn w:val="Normal"/>
    <w:link w:val="Tabletext-leftChar"/>
    <w:rsid w:val="00547FD8"/>
    <w:pPr>
      <w:keepNext/>
      <w:tabs>
        <w:tab w:val="left" w:pos="2835"/>
      </w:tabs>
      <w:spacing w:after="120" w:line="312" w:lineRule="auto"/>
    </w:pPr>
    <w:rPr>
      <w:rFonts w:eastAsia="Times New Roman" w:cs="Arial"/>
      <w:color w:val="auto"/>
      <w:sz w:val="20"/>
      <w:szCs w:val="20"/>
    </w:rPr>
  </w:style>
  <w:style w:type="character" w:customStyle="1" w:styleId="Tabletext-leftChar">
    <w:name w:val="Table text - left Char"/>
    <w:basedOn w:val="DefaultParagraphFont"/>
    <w:link w:val="Tabletext-left"/>
    <w:rsid w:val="00547FD8"/>
    <w:rPr>
      <w:rFonts w:eastAsia="Times New Roman" w:cs="Arial"/>
      <w:sz w:val="20"/>
      <w:szCs w:val="20"/>
    </w:rPr>
  </w:style>
  <w:style w:type="table" w:customStyle="1" w:styleId="TableGrid9">
    <w:name w:val="Table Grid9"/>
    <w:basedOn w:val="TableNormal"/>
    <w:next w:val="TableGrid"/>
    <w:uiPriority w:val="39"/>
    <w:rsid w:val="00547F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47FD8"/>
  </w:style>
  <w:style w:type="table" w:customStyle="1" w:styleId="TableGridbeth1">
    <w:name w:val="Table Gridbeth1"/>
    <w:basedOn w:val="TableNormal"/>
    <w:next w:val="TableGrid"/>
    <w:uiPriority w:val="59"/>
    <w:rsid w:val="0054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template21">
    <w:name w:val="Submission template21"/>
    <w:basedOn w:val="TableNormal"/>
    <w:uiPriority w:val="99"/>
    <w:rsid w:val="00547FD8"/>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Submissiontemplate71">
    <w:name w:val="Submission template71"/>
    <w:basedOn w:val="TableNormal"/>
    <w:uiPriority w:val="99"/>
    <w:rsid w:val="00547FD8"/>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TableGrid121">
    <w:name w:val="Table Grid121"/>
    <w:basedOn w:val="TableNormal"/>
    <w:next w:val="TableGrid"/>
    <w:uiPriority w:val="59"/>
    <w:rsid w:val="00547FD8"/>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Submissiontemplate1">
    <w:name w:val="Submission template1"/>
    <w:basedOn w:val="TableNormal"/>
    <w:uiPriority w:val="99"/>
    <w:rsid w:val="00547FD8"/>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TableGrid21">
    <w:name w:val="Table Grid21"/>
    <w:basedOn w:val="TableNormal"/>
    <w:next w:val="TableGrid"/>
    <w:rsid w:val="00547FD8"/>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numbering" w:customStyle="1" w:styleId="Heading1a1">
    <w:name w:val="Heading 1a1"/>
    <w:basedOn w:val="NoList"/>
    <w:uiPriority w:val="99"/>
    <w:rsid w:val="00547FD8"/>
  </w:style>
  <w:style w:type="table" w:customStyle="1" w:styleId="TableGrid91">
    <w:name w:val="Table Grid91"/>
    <w:basedOn w:val="TableNormal"/>
    <w:next w:val="TableGrid"/>
    <w:uiPriority w:val="39"/>
    <w:rsid w:val="00547F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12">
    <w:name w:val="PBAC Table Style12"/>
    <w:basedOn w:val="TableGrid1"/>
    <w:uiPriority w:val="99"/>
    <w:rsid w:val="00547FD8"/>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HTATableshaded51">
    <w:name w:val="HTA Table shaded51"/>
    <w:basedOn w:val="TableNormal"/>
    <w:rsid w:val="00547FD8"/>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20">
    <w:name w:val="Table Grid 12"/>
    <w:basedOn w:val="TableNormal"/>
    <w:next w:val="TableGrid1"/>
    <w:uiPriority w:val="99"/>
    <w:semiHidden/>
    <w:unhideWhenUsed/>
    <w:rsid w:val="00547FD8"/>
    <w:pPr>
      <w:spacing w:after="0" w:line="240" w:lineRule="auto"/>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ubmissionstandard2">
    <w:name w:val="Submission standard2"/>
    <w:basedOn w:val="TableNormal"/>
    <w:uiPriority w:val="99"/>
    <w:qFormat/>
    <w:rsid w:val="00547FD8"/>
    <w:pPr>
      <w:spacing w:after="0" w:line="240" w:lineRule="auto"/>
    </w:pPr>
    <w:rPr>
      <w:rFonts w:ascii="Arial Narrow" w:eastAsia="Times New Roman"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Segoe MDL2 Assets" w:hAnsi="Segoe MDL2 Assets"/>
        <w:b/>
        <w:sz w:val="20"/>
      </w:rPr>
      <w:tblPr/>
      <w:tcPr>
        <w:shd w:val="clear" w:color="auto" w:fill="BFBFBF"/>
      </w:tcPr>
    </w:tblStylePr>
  </w:style>
  <w:style w:type="table" w:customStyle="1" w:styleId="PBACTableStyle5">
    <w:name w:val="PBAC Table Style5"/>
    <w:basedOn w:val="TableGrid1"/>
    <w:uiPriority w:val="99"/>
    <w:rsid w:val="00547FD8"/>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404C00"/>
  </w:style>
  <w:style w:type="table" w:customStyle="1" w:styleId="TableGridbeth2">
    <w:name w:val="Table Gridbeth2"/>
    <w:basedOn w:val="TableNormal"/>
    <w:next w:val="TableGrid"/>
    <w:uiPriority w:val="59"/>
    <w:rsid w:val="00404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template22">
    <w:name w:val="Submission template22"/>
    <w:basedOn w:val="TableNormal"/>
    <w:uiPriority w:val="99"/>
    <w:rsid w:val="00404C00"/>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Submissiontemplate72">
    <w:name w:val="Submission template72"/>
    <w:basedOn w:val="TableNormal"/>
    <w:uiPriority w:val="99"/>
    <w:rsid w:val="00404C00"/>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TableGrid122">
    <w:name w:val="Table Grid122"/>
    <w:basedOn w:val="TableNormal"/>
    <w:next w:val="TableGrid"/>
    <w:uiPriority w:val="59"/>
    <w:rsid w:val="00404C00"/>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Submissiontemplate3">
    <w:name w:val="Submission template3"/>
    <w:basedOn w:val="TableNormal"/>
    <w:uiPriority w:val="99"/>
    <w:rsid w:val="00404C00"/>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table" w:customStyle="1" w:styleId="TableGrid22">
    <w:name w:val="Table Grid22"/>
    <w:basedOn w:val="TableNormal"/>
    <w:next w:val="TableGrid"/>
    <w:rsid w:val="00404C00"/>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numbering" w:customStyle="1" w:styleId="Heading1a2">
    <w:name w:val="Heading 1a2"/>
    <w:basedOn w:val="NoList"/>
    <w:uiPriority w:val="99"/>
    <w:rsid w:val="00404C00"/>
  </w:style>
  <w:style w:type="table" w:customStyle="1" w:styleId="TableGrid92">
    <w:name w:val="Table Grid92"/>
    <w:basedOn w:val="TableNormal"/>
    <w:next w:val="TableGrid"/>
    <w:uiPriority w:val="39"/>
    <w:rsid w:val="00404C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13">
    <w:name w:val="PBAC Table Style13"/>
    <w:basedOn w:val="TableGrid1"/>
    <w:uiPriority w:val="99"/>
    <w:rsid w:val="00404C00"/>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HTATableshaded52">
    <w:name w:val="HTA Table shaded52"/>
    <w:basedOn w:val="TableNormal"/>
    <w:rsid w:val="00404C00"/>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30">
    <w:name w:val="Table Grid 13"/>
    <w:basedOn w:val="TableNormal"/>
    <w:next w:val="TableGrid1"/>
    <w:uiPriority w:val="99"/>
    <w:semiHidden/>
    <w:unhideWhenUsed/>
    <w:rsid w:val="00404C00"/>
    <w:pPr>
      <w:spacing w:after="0" w:line="240" w:lineRule="auto"/>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ubmissionstandard3">
    <w:name w:val="Submission standard3"/>
    <w:basedOn w:val="TableNormal"/>
    <w:uiPriority w:val="99"/>
    <w:qFormat/>
    <w:rsid w:val="00404C00"/>
    <w:pPr>
      <w:spacing w:after="0" w:line="240" w:lineRule="auto"/>
    </w:pPr>
    <w:rPr>
      <w:rFonts w:ascii="Arial Narrow" w:eastAsia="Times New Roman" w:hAnsi="Arial Narrow"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Segoe MDL2 Assets" w:hAnsi="Segoe MDL2 Assets"/>
        <w:b/>
        <w:sz w:val="20"/>
      </w:rPr>
      <w:tblPr/>
      <w:tcPr>
        <w:shd w:val="clear" w:color="auto" w:fill="BFBFBF"/>
      </w:tcPr>
    </w:tblStylePr>
  </w:style>
  <w:style w:type="table" w:customStyle="1" w:styleId="PBACTableStyle6">
    <w:name w:val="PBAC Table Style6"/>
    <w:basedOn w:val="TableGrid1"/>
    <w:uiPriority w:val="99"/>
    <w:rsid w:val="00404C00"/>
    <w:pPr>
      <w:widowControl w:val="0"/>
      <w:spacing w:after="0"/>
      <w:contextualSpacing/>
      <w:jc w:val="center"/>
    </w:pPr>
    <w:rPr>
      <w:rFonts w:ascii="Arial Narrow" w:hAnsi="Arial Narrow"/>
      <w:color w:val="00000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56723776">
      <w:bodyDiv w:val="1"/>
      <w:marLeft w:val="0"/>
      <w:marRight w:val="0"/>
      <w:marTop w:val="0"/>
      <w:marBottom w:val="0"/>
      <w:divBdr>
        <w:top w:val="none" w:sz="0" w:space="0" w:color="auto"/>
        <w:left w:val="none" w:sz="0" w:space="0" w:color="auto"/>
        <w:bottom w:val="none" w:sz="0" w:space="0" w:color="auto"/>
        <w:right w:val="none" w:sz="0" w:space="0" w:color="auto"/>
      </w:divBdr>
    </w:div>
    <w:div w:id="470051140">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3710058">
      <w:bodyDiv w:val="1"/>
      <w:marLeft w:val="0"/>
      <w:marRight w:val="0"/>
      <w:marTop w:val="0"/>
      <w:marBottom w:val="0"/>
      <w:divBdr>
        <w:top w:val="none" w:sz="0" w:space="0" w:color="auto"/>
        <w:left w:val="none" w:sz="0" w:space="0" w:color="auto"/>
        <w:bottom w:val="none" w:sz="0" w:space="0" w:color="auto"/>
        <w:right w:val="none" w:sz="0" w:space="0" w:color="auto"/>
      </w:divBdr>
      <w:divsChild>
        <w:div w:id="1145660477">
          <w:marLeft w:val="0"/>
          <w:marRight w:val="0"/>
          <w:marTop w:val="0"/>
          <w:marBottom w:val="0"/>
          <w:divBdr>
            <w:top w:val="none" w:sz="0" w:space="0" w:color="auto"/>
            <w:left w:val="none" w:sz="0" w:space="0" w:color="auto"/>
            <w:bottom w:val="none" w:sz="0" w:space="0" w:color="auto"/>
            <w:right w:val="none" w:sz="0" w:space="0" w:color="auto"/>
          </w:divBdr>
        </w:div>
      </w:divsChild>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971524">
      <w:bodyDiv w:val="1"/>
      <w:marLeft w:val="0"/>
      <w:marRight w:val="0"/>
      <w:marTop w:val="0"/>
      <w:marBottom w:val="0"/>
      <w:divBdr>
        <w:top w:val="none" w:sz="0" w:space="0" w:color="auto"/>
        <w:left w:val="none" w:sz="0" w:space="0" w:color="auto"/>
        <w:bottom w:val="none" w:sz="0" w:space="0" w:color="auto"/>
        <w:right w:val="none" w:sz="0" w:space="0" w:color="auto"/>
      </w:divBdr>
    </w:div>
    <w:div w:id="613252852">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79506526">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04564208">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header" Target="header3.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smo.org/guidelines/lung-and-chest-tumours/clinical-practice-living-guidelines-metastatic-non-small-cell-lung-cancer" TargetMode="External"/><Relationship Id="rId1" Type="http://schemas.openxmlformats.org/officeDocument/2006/relationships/hyperlink" Target="https://www.aihw.gov.au/reports/cancer/cancer-data-in-australia/contents/cancer-summary-data-visual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5BB19-710B-487F-A176-B5B72779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15250</Words>
  <Characters>86928</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2022-03-14T22:04:00Z</dcterms:created>
  <dcterms:modified xsi:type="dcterms:W3CDTF">2022-03-16T23:32:00Z</dcterms:modified>
</cp:coreProperties>
</file>