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0939" w:rsidRDefault="00367B85" w:rsidP="00287DB8">
      <w:pPr>
        <w:pStyle w:val="1-MainHeading"/>
        <w:spacing w:after="0"/>
      </w:pPr>
      <w:r>
        <w:t>5.08</w:t>
      </w:r>
      <w:r w:rsidR="00163F66" w:rsidRPr="003253E7">
        <w:tab/>
      </w:r>
      <w:r w:rsidR="002579E9" w:rsidRPr="003253E7">
        <w:t>GILTERITINIB</w:t>
      </w:r>
      <w:r w:rsidR="00163F66" w:rsidRPr="003253E7">
        <w:t>,</w:t>
      </w:r>
      <w:r w:rsidR="00163F66" w:rsidRPr="003253E7">
        <w:br/>
      </w:r>
      <w:r>
        <w:t>T</w:t>
      </w:r>
      <w:r w:rsidR="002579E9" w:rsidRPr="003253E7">
        <w:t>ablet</w:t>
      </w:r>
      <w:r w:rsidR="006E554D" w:rsidRPr="003253E7">
        <w:t xml:space="preserve"> </w:t>
      </w:r>
      <w:r w:rsidR="002579E9" w:rsidRPr="003253E7">
        <w:t>40 mg</w:t>
      </w:r>
      <w:r w:rsidR="003E5F20">
        <w:t xml:space="preserve"> (as fumarate)</w:t>
      </w:r>
      <w:r w:rsidR="00163F66" w:rsidRPr="003253E7">
        <w:t>,</w:t>
      </w:r>
      <w:r w:rsidR="00163F66" w:rsidRPr="003253E7">
        <w:br/>
      </w:r>
      <w:r w:rsidR="007D2B4E" w:rsidRPr="003253E7">
        <w:t>X</w:t>
      </w:r>
      <w:r w:rsidR="007D2B4E">
        <w:t>ospata</w:t>
      </w:r>
      <w:r w:rsidR="00B60939" w:rsidRPr="003253E7">
        <w:rPr>
          <w:vertAlign w:val="superscript"/>
        </w:rPr>
        <w:t>®</w:t>
      </w:r>
      <w:r w:rsidR="004A6040" w:rsidRPr="003253E7">
        <w:t>,</w:t>
      </w:r>
      <w:r w:rsidR="004A6040" w:rsidRPr="003253E7">
        <w:br/>
      </w:r>
      <w:r w:rsidR="002579E9" w:rsidRPr="003253E7">
        <w:t>Astellas Pharma Australia</w:t>
      </w:r>
      <w:r w:rsidR="007D2B4E">
        <w:t xml:space="preserve"> Pty Ltd</w:t>
      </w:r>
      <w:r w:rsidR="00B60939" w:rsidRPr="003253E7">
        <w:t>.</w:t>
      </w:r>
    </w:p>
    <w:p w:rsidR="00B50DB8" w:rsidRPr="003253E7" w:rsidRDefault="00B50DB8" w:rsidP="004A6040">
      <w:pPr>
        <w:pStyle w:val="2-SectionHeading"/>
      </w:pPr>
      <w:bookmarkStart w:id="0" w:name="_Toc82605748"/>
      <w:r w:rsidRPr="003253E7">
        <w:t xml:space="preserve">Purpose of </w:t>
      </w:r>
      <w:r w:rsidR="00CD7193" w:rsidRPr="003253E7">
        <w:t>s</w:t>
      </w:r>
      <w:r w:rsidR="00BB3A45" w:rsidRPr="003253E7">
        <w:t>ubmission</w:t>
      </w:r>
      <w:bookmarkEnd w:id="0"/>
    </w:p>
    <w:p w:rsidR="002C2775" w:rsidRPr="003253E7" w:rsidRDefault="007170DA" w:rsidP="004E18E9">
      <w:pPr>
        <w:pStyle w:val="ExecSumBodyText"/>
      </w:pPr>
      <w:r w:rsidRPr="003253E7">
        <w:t xml:space="preserve">The </w:t>
      </w:r>
      <w:r w:rsidR="002070AD">
        <w:t xml:space="preserve">Category 2 </w:t>
      </w:r>
      <w:r w:rsidRPr="003253E7">
        <w:t xml:space="preserve">submission requested </w:t>
      </w:r>
      <w:r w:rsidR="007D33B4">
        <w:t xml:space="preserve">a </w:t>
      </w:r>
      <w:r w:rsidR="00EE774D" w:rsidRPr="003253E7">
        <w:t>Section 85 Authority Required (Telephone/Electronic) listing for gilteritinib for the treatment of patients with relapsed or refractory acute myeloid leukaemia</w:t>
      </w:r>
      <w:r w:rsidR="006F0426">
        <w:t xml:space="preserve"> (AML)</w:t>
      </w:r>
      <w:r w:rsidR="00EE774D" w:rsidRPr="003253E7">
        <w:t xml:space="preserve"> with an FMS-like tyrosine kinase 3 (FLT3) mutation.</w:t>
      </w:r>
      <w:r w:rsidR="008B1757" w:rsidRPr="003253E7">
        <w:t xml:space="preserve"> </w:t>
      </w:r>
    </w:p>
    <w:p w:rsidR="00EE774D" w:rsidRPr="003253E7" w:rsidRDefault="005750C5" w:rsidP="00EE774D">
      <w:pPr>
        <w:pStyle w:val="ExecSumBodyText"/>
      </w:pPr>
      <w:r w:rsidRPr="003253E7">
        <w:t xml:space="preserve">Listing was requested on the basis of a cost-effectiveness analysis versus </w:t>
      </w:r>
      <w:r w:rsidR="00EE774D" w:rsidRPr="003253E7">
        <w:t>salvage chemotherapy</w:t>
      </w:r>
      <w:r w:rsidRPr="003253E7">
        <w:t>.</w:t>
      </w:r>
    </w:p>
    <w:p w:rsidR="00EE774D" w:rsidRPr="003253E7" w:rsidRDefault="00256248" w:rsidP="00256248">
      <w:pPr>
        <w:pStyle w:val="TableFigureCaption"/>
      </w:pPr>
      <w:r>
        <w:t xml:space="preserve">Table </w:t>
      </w:r>
      <w:r w:rsidR="002B6D54">
        <w:rPr>
          <w:noProof/>
        </w:rPr>
        <w:t>1</w:t>
      </w:r>
      <w:r>
        <w:t>:</w:t>
      </w:r>
      <w:r w:rsidR="00EE774D" w:rsidRPr="003253E7">
        <w:t xml:space="preserve"> Key components of the clinical issue addressed in the submission</w:t>
      </w:r>
    </w:p>
    <w:tbl>
      <w:tblPr>
        <w:tblW w:w="91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7488"/>
      </w:tblGrid>
      <w:tr w:rsidR="00EE774D" w:rsidRPr="003253E7" w:rsidTr="00D906AE">
        <w:tc>
          <w:tcPr>
            <w:tcW w:w="1668" w:type="dxa"/>
            <w:vAlign w:val="center"/>
          </w:tcPr>
          <w:p w:rsidR="00EE774D" w:rsidRPr="003253E7" w:rsidRDefault="00EE774D" w:rsidP="00D906AE">
            <w:pPr>
              <w:pStyle w:val="Tableheadingrow"/>
              <w:rPr>
                <w:lang w:val="en-AU"/>
              </w:rPr>
            </w:pPr>
            <w:r w:rsidRPr="003253E7">
              <w:rPr>
                <w:lang w:val="en-AU"/>
              </w:rPr>
              <w:t>Component</w:t>
            </w:r>
          </w:p>
        </w:tc>
        <w:tc>
          <w:tcPr>
            <w:tcW w:w="7488" w:type="dxa"/>
            <w:vAlign w:val="center"/>
          </w:tcPr>
          <w:p w:rsidR="00EE774D" w:rsidRPr="003253E7" w:rsidRDefault="00EE774D" w:rsidP="00D906AE">
            <w:pPr>
              <w:pStyle w:val="Tableheadingrow"/>
              <w:rPr>
                <w:lang w:val="en-AU"/>
              </w:rPr>
            </w:pPr>
            <w:r w:rsidRPr="003253E7">
              <w:rPr>
                <w:lang w:val="en-AU"/>
              </w:rPr>
              <w:t>Description</w:t>
            </w:r>
          </w:p>
        </w:tc>
      </w:tr>
      <w:tr w:rsidR="00EE774D" w:rsidRPr="003253E7" w:rsidTr="00D906AE">
        <w:tc>
          <w:tcPr>
            <w:tcW w:w="1668" w:type="dxa"/>
            <w:vAlign w:val="center"/>
          </w:tcPr>
          <w:p w:rsidR="00EE774D" w:rsidRPr="003253E7" w:rsidRDefault="00EE774D" w:rsidP="00D906AE">
            <w:pPr>
              <w:pStyle w:val="TableText"/>
            </w:pPr>
            <w:r w:rsidRPr="003253E7">
              <w:t>Population</w:t>
            </w:r>
          </w:p>
        </w:tc>
        <w:tc>
          <w:tcPr>
            <w:tcW w:w="7488" w:type="dxa"/>
            <w:vAlign w:val="center"/>
          </w:tcPr>
          <w:p w:rsidR="00EE774D" w:rsidRPr="003253E7" w:rsidRDefault="00EE774D" w:rsidP="00D906AE">
            <w:pPr>
              <w:pStyle w:val="TableText"/>
            </w:pPr>
            <w:r w:rsidRPr="003253E7">
              <w:t>FLT3 mutation-positive relapsed or refractory acute myeloid leukaemia</w:t>
            </w:r>
          </w:p>
        </w:tc>
      </w:tr>
      <w:tr w:rsidR="00EE774D" w:rsidRPr="003253E7" w:rsidTr="00D906AE">
        <w:tc>
          <w:tcPr>
            <w:tcW w:w="1668" w:type="dxa"/>
            <w:vAlign w:val="center"/>
          </w:tcPr>
          <w:p w:rsidR="00EE774D" w:rsidRPr="003253E7" w:rsidRDefault="00EE774D" w:rsidP="00D906AE">
            <w:pPr>
              <w:pStyle w:val="TableText"/>
            </w:pPr>
            <w:r w:rsidRPr="003253E7">
              <w:t>Intervention</w:t>
            </w:r>
          </w:p>
        </w:tc>
        <w:tc>
          <w:tcPr>
            <w:tcW w:w="7488" w:type="dxa"/>
            <w:vAlign w:val="center"/>
          </w:tcPr>
          <w:p w:rsidR="00EE774D" w:rsidRPr="003253E7" w:rsidRDefault="00EE774D" w:rsidP="000A3951">
            <w:pPr>
              <w:pStyle w:val="TableText"/>
            </w:pPr>
            <w:r w:rsidRPr="003253E7">
              <w:t>Gilteritinib 120 mg</w:t>
            </w:r>
            <w:r w:rsidR="00256248">
              <w:t xml:space="preserve"> (3 x 40 mg</w:t>
            </w:r>
            <w:r w:rsidRPr="003253E7">
              <w:t xml:space="preserve"> </w:t>
            </w:r>
            <w:r w:rsidR="00944DAD" w:rsidRPr="003253E7">
              <w:t>oral tablets</w:t>
            </w:r>
            <w:r w:rsidR="00256248">
              <w:t>)</w:t>
            </w:r>
            <w:r w:rsidR="00944DAD" w:rsidRPr="003253E7">
              <w:t xml:space="preserve"> once daily</w:t>
            </w:r>
            <w:r w:rsidR="00006A39" w:rsidRPr="003253E7">
              <w:t xml:space="preserve">, increased to 200 mg daily </w:t>
            </w:r>
            <w:r w:rsidR="00256248">
              <w:t xml:space="preserve">(5 x 40 mg) </w:t>
            </w:r>
            <w:r w:rsidR="00006A39" w:rsidRPr="003253E7">
              <w:t>if no response achieved</w:t>
            </w:r>
            <w:r w:rsidR="000A3951" w:rsidRPr="003253E7">
              <w:t xml:space="preserve"> within 4 weeks</w:t>
            </w:r>
            <w:r w:rsidR="00006A39" w:rsidRPr="003253E7">
              <w:t xml:space="preserve">, decreased to 80 mg </w:t>
            </w:r>
            <w:r w:rsidR="00256248">
              <w:t xml:space="preserve">(2 x 40 mg) </w:t>
            </w:r>
            <w:r w:rsidR="000A3951" w:rsidRPr="003253E7">
              <w:t>daily to manage adverse events.</w:t>
            </w:r>
            <w:r w:rsidR="00006A39" w:rsidRPr="003253E7">
              <w:t xml:space="preserve"> </w:t>
            </w:r>
          </w:p>
        </w:tc>
      </w:tr>
      <w:tr w:rsidR="00EE774D" w:rsidRPr="003253E7" w:rsidTr="00D906AE">
        <w:tc>
          <w:tcPr>
            <w:tcW w:w="1668" w:type="dxa"/>
            <w:vAlign w:val="center"/>
          </w:tcPr>
          <w:p w:rsidR="00EE774D" w:rsidRPr="003253E7" w:rsidRDefault="00EE774D" w:rsidP="00D906AE">
            <w:pPr>
              <w:pStyle w:val="TableText"/>
            </w:pPr>
            <w:r w:rsidRPr="003253E7">
              <w:t>Comparator</w:t>
            </w:r>
          </w:p>
        </w:tc>
        <w:tc>
          <w:tcPr>
            <w:tcW w:w="7488" w:type="dxa"/>
            <w:vAlign w:val="center"/>
          </w:tcPr>
          <w:p w:rsidR="00EE774D" w:rsidRPr="003253E7" w:rsidRDefault="00EE774D" w:rsidP="00D906AE">
            <w:pPr>
              <w:pStyle w:val="TableText"/>
            </w:pPr>
            <w:r w:rsidRPr="003253E7">
              <w:t>Salvage chemotherapy (</w:t>
            </w:r>
            <w:r w:rsidR="00256248">
              <w:t>l</w:t>
            </w:r>
            <w:r w:rsidR="00944DAD" w:rsidRPr="003253E7">
              <w:t>ow intensity: low dose cytarabine or azacitidine; high intensity: MEC induction chemotherapy or FLAG-IDA induction chemotherapy)</w:t>
            </w:r>
            <w:r w:rsidR="000D254B">
              <w:t>.</w:t>
            </w:r>
          </w:p>
        </w:tc>
      </w:tr>
      <w:tr w:rsidR="00EE774D" w:rsidRPr="003253E7" w:rsidTr="00D906AE">
        <w:tc>
          <w:tcPr>
            <w:tcW w:w="1668" w:type="dxa"/>
            <w:vAlign w:val="center"/>
          </w:tcPr>
          <w:p w:rsidR="00EE774D" w:rsidRPr="003253E7" w:rsidRDefault="00EE774D" w:rsidP="00D906AE">
            <w:pPr>
              <w:pStyle w:val="TableText"/>
            </w:pPr>
            <w:r w:rsidRPr="003253E7">
              <w:t>Outcomes</w:t>
            </w:r>
          </w:p>
        </w:tc>
        <w:tc>
          <w:tcPr>
            <w:tcW w:w="7488" w:type="dxa"/>
            <w:vAlign w:val="center"/>
          </w:tcPr>
          <w:p w:rsidR="00EE774D" w:rsidRPr="003253E7" w:rsidRDefault="00EE774D" w:rsidP="000A3951">
            <w:pPr>
              <w:pStyle w:val="TableText"/>
            </w:pPr>
            <w:r w:rsidRPr="003253E7">
              <w:t xml:space="preserve">Overall survival, remission rate, </w:t>
            </w:r>
            <w:r w:rsidR="00E2169A">
              <w:t>event free survival</w:t>
            </w:r>
            <w:r w:rsidRPr="003253E7">
              <w:t>, HSCT rate, potential for cure.</w:t>
            </w:r>
          </w:p>
        </w:tc>
      </w:tr>
      <w:tr w:rsidR="00EE774D" w:rsidRPr="003253E7" w:rsidTr="00D906AE">
        <w:tc>
          <w:tcPr>
            <w:tcW w:w="1668" w:type="dxa"/>
            <w:vAlign w:val="center"/>
          </w:tcPr>
          <w:p w:rsidR="00EE774D" w:rsidRPr="003253E7" w:rsidRDefault="00EE774D" w:rsidP="00D906AE">
            <w:pPr>
              <w:pStyle w:val="TableText"/>
            </w:pPr>
            <w:r w:rsidRPr="003253E7">
              <w:t>Clinical claim</w:t>
            </w:r>
          </w:p>
        </w:tc>
        <w:tc>
          <w:tcPr>
            <w:tcW w:w="7488" w:type="dxa"/>
            <w:vAlign w:val="center"/>
          </w:tcPr>
          <w:p w:rsidR="00EE774D" w:rsidRPr="003253E7" w:rsidRDefault="000A3951" w:rsidP="000A3951">
            <w:pPr>
              <w:pStyle w:val="TableText"/>
            </w:pPr>
            <w:r w:rsidRPr="003253E7">
              <w:t>G</w:t>
            </w:r>
            <w:r w:rsidR="00EE774D" w:rsidRPr="003253E7">
              <w:t>ilteritinib is superior to salvage chemotherapy in terms of clinical efficacy and safety and tolerability.</w:t>
            </w:r>
          </w:p>
        </w:tc>
      </w:tr>
    </w:tbl>
    <w:p w:rsidR="00EE774D" w:rsidRPr="003253E7" w:rsidRDefault="00EE774D" w:rsidP="00EE774D">
      <w:pPr>
        <w:pStyle w:val="TableFigureFooter"/>
      </w:pPr>
      <w:r w:rsidRPr="003253E7">
        <w:t>Source: Table 1, p4 of the submission.</w:t>
      </w:r>
    </w:p>
    <w:p w:rsidR="00EE774D" w:rsidRPr="003253E7" w:rsidRDefault="00944DAD" w:rsidP="00EE774D">
      <w:pPr>
        <w:pStyle w:val="TableFigureFooter"/>
      </w:pPr>
      <w:r w:rsidRPr="003253E7">
        <w:t>FLAG-IDA</w:t>
      </w:r>
      <w:r w:rsidR="007D33B4">
        <w:t>;</w:t>
      </w:r>
      <w:r w:rsidRPr="003253E7">
        <w:t xml:space="preserve"> G-CSF, fludarabine, cytarabine, idarubicin; </w:t>
      </w:r>
      <w:r w:rsidR="00EE774D" w:rsidRPr="003253E7">
        <w:t>FLT3, FMS-like tyrosine kinase 3; HSCT, haematopoietic stem cell transplantation</w:t>
      </w:r>
      <w:r w:rsidRPr="003253E7">
        <w:t>; MEC, mitoxantrone, etoposide, cytarabine</w:t>
      </w:r>
      <w:r w:rsidR="00256248">
        <w:t>.</w:t>
      </w:r>
    </w:p>
    <w:p w:rsidR="005C25FF" w:rsidRPr="007D33B4" w:rsidRDefault="00BC591F" w:rsidP="00EE774D">
      <w:pPr>
        <w:pStyle w:val="2-SectionHeading"/>
      </w:pPr>
      <w:r w:rsidRPr="003253E7">
        <w:t xml:space="preserve"> </w:t>
      </w:r>
      <w:bookmarkStart w:id="1" w:name="_Toc82605749"/>
      <w:r w:rsidR="005C25FF" w:rsidRPr="007D33B4">
        <w:t>Background</w:t>
      </w:r>
      <w:bookmarkEnd w:id="1"/>
    </w:p>
    <w:p w:rsidR="005C25FF" w:rsidRPr="007D33B4" w:rsidRDefault="005C25FF" w:rsidP="004A6040">
      <w:pPr>
        <w:pStyle w:val="3-SubsectionHeading"/>
      </w:pPr>
      <w:bookmarkStart w:id="2" w:name="_Toc22897638"/>
      <w:bookmarkStart w:id="3" w:name="_Toc82605750"/>
      <w:r w:rsidRPr="007D33B4">
        <w:t>Registration status</w:t>
      </w:r>
      <w:bookmarkEnd w:id="2"/>
      <w:bookmarkEnd w:id="3"/>
    </w:p>
    <w:p w:rsidR="005C25FF" w:rsidRPr="007D33B4" w:rsidRDefault="004E4980" w:rsidP="004E18E9">
      <w:pPr>
        <w:pStyle w:val="ExecSumBodyText"/>
      </w:pPr>
      <w:r w:rsidRPr="007D33B4">
        <w:t xml:space="preserve">Gilteritinib was designated by the TGA delegate for priority review on 5 June 2019 and </w:t>
      </w:r>
      <w:r w:rsidR="00944DAD" w:rsidRPr="007D33B4">
        <w:t xml:space="preserve">was approved on 26 March 2020 for the treatment of adult patients who have relapsed or refractory </w:t>
      </w:r>
      <w:r w:rsidR="007D33B4" w:rsidRPr="007D33B4">
        <w:t>AML</w:t>
      </w:r>
      <w:r w:rsidR="00944DAD" w:rsidRPr="007D33B4">
        <w:t xml:space="preserve"> with a FLT3 mutation.</w:t>
      </w:r>
    </w:p>
    <w:p w:rsidR="00B60939" w:rsidRPr="007D33B4" w:rsidRDefault="00B50DB8" w:rsidP="004E18E9">
      <w:pPr>
        <w:pStyle w:val="2-SectionHeading"/>
      </w:pPr>
      <w:bookmarkStart w:id="4" w:name="_Toc82605751"/>
      <w:r w:rsidRPr="007D33B4">
        <w:t>Requested listing</w:t>
      </w:r>
      <w:bookmarkEnd w:id="4"/>
    </w:p>
    <w:p w:rsidR="00C870DD" w:rsidRPr="007D33B4" w:rsidRDefault="00C870DD" w:rsidP="00AF4281"/>
    <w:tbl>
      <w:tblPr>
        <w:tblW w:w="9072" w:type="dxa"/>
        <w:tblBorders>
          <w:top w:val="single" w:sz="4" w:space="0" w:color="auto"/>
          <w:bottom w:val="single" w:sz="4" w:space="0" w:color="auto"/>
          <w:insideH w:val="single" w:sz="4" w:space="0" w:color="auto"/>
        </w:tblBorders>
        <w:tblLook w:val="04A0" w:firstRow="1" w:lastRow="0" w:firstColumn="1" w:lastColumn="0" w:noHBand="0" w:noVBand="1"/>
      </w:tblPr>
      <w:tblGrid>
        <w:gridCol w:w="1973"/>
        <w:gridCol w:w="22"/>
        <w:gridCol w:w="979"/>
        <w:gridCol w:w="1991"/>
        <w:gridCol w:w="844"/>
        <w:gridCol w:w="1991"/>
        <w:gridCol w:w="1272"/>
      </w:tblGrid>
      <w:tr w:rsidR="007867AC" w:rsidRPr="007D33B4" w:rsidTr="00C870DD">
        <w:tc>
          <w:tcPr>
            <w:tcW w:w="1983" w:type="dxa"/>
            <w:gridSpan w:val="2"/>
          </w:tcPr>
          <w:p w:rsidR="007867AC" w:rsidRPr="007D33B4" w:rsidRDefault="007867AC" w:rsidP="00021560">
            <w:pPr>
              <w:pStyle w:val="TableFigureCaption"/>
            </w:pPr>
            <w:r w:rsidRPr="007D33B4">
              <w:t>Name, restriction, manner of administration, form</w:t>
            </w:r>
          </w:p>
        </w:tc>
        <w:tc>
          <w:tcPr>
            <w:tcW w:w="973" w:type="dxa"/>
          </w:tcPr>
          <w:p w:rsidR="007867AC" w:rsidRPr="007D33B4" w:rsidRDefault="007867AC" w:rsidP="00021560">
            <w:pPr>
              <w:pStyle w:val="TableFigureCaption"/>
              <w:jc w:val="center"/>
            </w:pPr>
            <w:r w:rsidRPr="007D33B4">
              <w:t>Maximum quantity (packs)</w:t>
            </w:r>
          </w:p>
        </w:tc>
        <w:tc>
          <w:tcPr>
            <w:tcW w:w="1979" w:type="dxa"/>
          </w:tcPr>
          <w:p w:rsidR="007867AC" w:rsidRPr="007D33B4" w:rsidRDefault="007867AC" w:rsidP="00021560">
            <w:pPr>
              <w:pStyle w:val="TableFigureCaption"/>
              <w:jc w:val="center"/>
            </w:pPr>
            <w:r w:rsidRPr="007D33B4">
              <w:t>Maximum quantity (units)</w:t>
            </w:r>
          </w:p>
        </w:tc>
        <w:tc>
          <w:tcPr>
            <w:tcW w:w="839" w:type="dxa"/>
          </w:tcPr>
          <w:p w:rsidR="007867AC" w:rsidRPr="007D33B4" w:rsidRDefault="007867AC" w:rsidP="00021560">
            <w:pPr>
              <w:pStyle w:val="TableFigureCaption"/>
              <w:jc w:val="center"/>
            </w:pPr>
            <w:r w:rsidRPr="007D33B4">
              <w:t>No. of repeats</w:t>
            </w:r>
          </w:p>
        </w:tc>
        <w:tc>
          <w:tcPr>
            <w:tcW w:w="1979" w:type="dxa"/>
          </w:tcPr>
          <w:p w:rsidR="007867AC" w:rsidRPr="007D33B4" w:rsidRDefault="007867AC" w:rsidP="00021560">
            <w:pPr>
              <w:pStyle w:val="TableFigureCaption"/>
              <w:jc w:val="center"/>
            </w:pPr>
            <w:r w:rsidRPr="007D33B4">
              <w:t>Dispensed price for maximum quantity</w:t>
            </w:r>
          </w:p>
        </w:tc>
        <w:tc>
          <w:tcPr>
            <w:tcW w:w="1264" w:type="dxa"/>
          </w:tcPr>
          <w:p w:rsidR="007867AC" w:rsidRPr="007D33B4" w:rsidRDefault="007867AC" w:rsidP="00021560">
            <w:pPr>
              <w:pStyle w:val="TableFigureCaption"/>
              <w:jc w:val="center"/>
            </w:pPr>
            <w:r w:rsidRPr="007D33B4">
              <w:t>Proprietary name and manufacturer</w:t>
            </w:r>
          </w:p>
        </w:tc>
      </w:tr>
      <w:tr w:rsidR="007867AC" w:rsidRPr="007D33B4" w:rsidTr="00B218DF">
        <w:tc>
          <w:tcPr>
            <w:tcW w:w="1983" w:type="dxa"/>
            <w:gridSpan w:val="2"/>
            <w:vAlign w:val="center"/>
          </w:tcPr>
          <w:p w:rsidR="007867AC" w:rsidRPr="007D33B4" w:rsidRDefault="007867AC" w:rsidP="003311BB">
            <w:pPr>
              <w:pStyle w:val="TableText"/>
              <w:keepNext w:val="0"/>
              <w:rPr>
                <w:smallCaps/>
              </w:rPr>
            </w:pPr>
            <w:r w:rsidRPr="007D33B4">
              <w:rPr>
                <w:smallCaps/>
              </w:rPr>
              <w:t>Gilteritinib</w:t>
            </w:r>
          </w:p>
          <w:p w:rsidR="007867AC" w:rsidRPr="007D33B4" w:rsidRDefault="007867AC" w:rsidP="003311BB">
            <w:pPr>
              <w:pStyle w:val="TableText"/>
              <w:keepNext w:val="0"/>
            </w:pPr>
            <w:r w:rsidRPr="007D33B4">
              <w:t>Tablet, 40 mg</w:t>
            </w:r>
          </w:p>
          <w:p w:rsidR="0007483E" w:rsidRDefault="0007483E" w:rsidP="003311BB">
            <w:pPr>
              <w:pStyle w:val="TableText"/>
              <w:keepNext w:val="0"/>
              <w:rPr>
                <w:b/>
              </w:rPr>
            </w:pPr>
          </w:p>
          <w:p w:rsidR="00B218DF" w:rsidRPr="007D33B4" w:rsidRDefault="00B218DF" w:rsidP="003311BB">
            <w:pPr>
              <w:pStyle w:val="TableText"/>
              <w:keepNext w:val="0"/>
              <w:rPr>
                <w:b/>
              </w:rPr>
            </w:pPr>
          </w:p>
        </w:tc>
        <w:tc>
          <w:tcPr>
            <w:tcW w:w="973" w:type="dxa"/>
            <w:vAlign w:val="center"/>
          </w:tcPr>
          <w:p w:rsidR="007867AC" w:rsidRPr="007D33B4" w:rsidRDefault="007867AC" w:rsidP="003311BB">
            <w:pPr>
              <w:pStyle w:val="TableText"/>
              <w:keepNext w:val="0"/>
              <w:jc w:val="center"/>
              <w:rPr>
                <w:rFonts w:ascii="Times" w:hAnsi="Times"/>
              </w:rPr>
            </w:pPr>
            <w:r w:rsidRPr="007D33B4">
              <w:t>1</w:t>
            </w:r>
          </w:p>
        </w:tc>
        <w:tc>
          <w:tcPr>
            <w:tcW w:w="1979" w:type="dxa"/>
            <w:vAlign w:val="center"/>
          </w:tcPr>
          <w:p w:rsidR="007867AC" w:rsidRPr="007D33B4" w:rsidRDefault="007867AC" w:rsidP="003311BB">
            <w:pPr>
              <w:pStyle w:val="TableText"/>
              <w:keepNext w:val="0"/>
              <w:jc w:val="center"/>
              <w:rPr>
                <w:rFonts w:ascii="Times" w:hAnsi="Times"/>
              </w:rPr>
            </w:pPr>
            <w:r w:rsidRPr="007D33B4">
              <w:t>84</w:t>
            </w:r>
          </w:p>
        </w:tc>
        <w:tc>
          <w:tcPr>
            <w:tcW w:w="839" w:type="dxa"/>
            <w:vAlign w:val="center"/>
          </w:tcPr>
          <w:p w:rsidR="007867AC" w:rsidRPr="007D33B4" w:rsidRDefault="007867AC" w:rsidP="003311BB">
            <w:pPr>
              <w:pStyle w:val="TableText"/>
              <w:keepNext w:val="0"/>
              <w:jc w:val="center"/>
              <w:rPr>
                <w:rFonts w:ascii="Times" w:hAnsi="Times"/>
              </w:rPr>
            </w:pPr>
            <w:r w:rsidRPr="007D33B4">
              <w:t>2</w:t>
            </w:r>
          </w:p>
        </w:tc>
        <w:tc>
          <w:tcPr>
            <w:tcW w:w="1979" w:type="dxa"/>
            <w:vAlign w:val="center"/>
          </w:tcPr>
          <w:p w:rsidR="007867AC" w:rsidRPr="007D33B4" w:rsidRDefault="007867AC" w:rsidP="003311BB">
            <w:pPr>
              <w:pStyle w:val="TableText"/>
              <w:keepNext w:val="0"/>
            </w:pPr>
            <w:r w:rsidRPr="007D33B4">
              <w:t>$</w:t>
            </w:r>
            <w:r w:rsidR="00DD7357">
              <w:rPr>
                <w:noProof/>
                <w:color w:val="000000"/>
                <w:highlight w:val="black"/>
              </w:rPr>
              <w:t>''''''''''''''''''''''</w:t>
            </w:r>
            <w:r w:rsidR="000A3951" w:rsidRPr="007D33B4">
              <w:t xml:space="preserve"> published</w:t>
            </w:r>
          </w:p>
          <w:p w:rsidR="007867AC" w:rsidRPr="007D33B4" w:rsidRDefault="007867AC" w:rsidP="003311BB">
            <w:pPr>
              <w:pStyle w:val="TableText"/>
              <w:keepNext w:val="0"/>
            </w:pPr>
            <w:r w:rsidRPr="007D33B4">
              <w:t>$</w:t>
            </w:r>
            <w:r w:rsidR="00DD7357">
              <w:rPr>
                <w:noProof/>
                <w:color w:val="000000"/>
                <w:highlight w:val="black"/>
              </w:rPr>
              <w:t>'''''''''''''''''''''''</w:t>
            </w:r>
            <w:r w:rsidRPr="007D33B4">
              <w:t xml:space="preserve"> </w:t>
            </w:r>
            <w:r w:rsidR="000A3951" w:rsidRPr="007D33B4">
              <w:t>effective</w:t>
            </w:r>
          </w:p>
          <w:p w:rsidR="0007483E" w:rsidRPr="007D33B4" w:rsidRDefault="0007483E" w:rsidP="003311BB">
            <w:pPr>
              <w:pStyle w:val="TableText"/>
              <w:keepNext w:val="0"/>
              <w:rPr>
                <w:rFonts w:ascii="Times" w:hAnsi="Times"/>
              </w:rPr>
            </w:pPr>
          </w:p>
        </w:tc>
        <w:tc>
          <w:tcPr>
            <w:tcW w:w="1264" w:type="dxa"/>
            <w:vAlign w:val="center"/>
          </w:tcPr>
          <w:p w:rsidR="007867AC" w:rsidRPr="007D33B4" w:rsidRDefault="007867AC" w:rsidP="00B218DF">
            <w:pPr>
              <w:pStyle w:val="TableText"/>
              <w:keepNext w:val="0"/>
              <w:jc w:val="center"/>
            </w:pPr>
            <w:r w:rsidRPr="007D33B4">
              <w:t xml:space="preserve">Xospata </w:t>
            </w:r>
            <w:r w:rsidRPr="007D33B4">
              <w:rPr>
                <w:vertAlign w:val="superscript"/>
              </w:rPr>
              <w:t>®</w:t>
            </w:r>
          </w:p>
          <w:p w:rsidR="007867AC" w:rsidRPr="007D33B4" w:rsidRDefault="007867AC" w:rsidP="00B218DF">
            <w:pPr>
              <w:pStyle w:val="TableText"/>
              <w:keepNext w:val="0"/>
              <w:jc w:val="center"/>
            </w:pPr>
            <w:r w:rsidRPr="007D33B4">
              <w:t>Astellas</w:t>
            </w:r>
          </w:p>
          <w:p w:rsidR="00B218DF" w:rsidRPr="007D33B4" w:rsidRDefault="00B218DF" w:rsidP="00B218DF">
            <w:pPr>
              <w:pStyle w:val="TableText"/>
              <w:keepNext w:val="0"/>
              <w:jc w:val="center"/>
              <w:rPr>
                <w:rFonts w:ascii="Times" w:hAnsi="Times"/>
              </w:rPr>
            </w:pPr>
          </w:p>
        </w:tc>
      </w:tr>
      <w:tr w:rsidR="007867AC" w:rsidRPr="007D33B4" w:rsidTr="00C870DD">
        <w:tblPrEx>
          <w:tblBorders>
            <w:top w:val="none" w:sz="0" w:space="0" w:color="auto"/>
            <w:bottom w:val="none" w:sz="0" w:space="0" w:color="auto"/>
            <w:insideH w:val="none" w:sz="0" w:space="0" w:color="auto"/>
          </w:tblBorders>
          <w:tblLook w:val="0000" w:firstRow="0" w:lastRow="0" w:firstColumn="0" w:lastColumn="0" w:noHBand="0" w:noVBand="0"/>
        </w:tblPrEx>
        <w:trPr>
          <w:cantSplit/>
        </w:trPr>
        <w:tc>
          <w:tcPr>
            <w:tcW w:w="1961" w:type="dxa"/>
            <w:tcBorders>
              <w:top w:val="single" w:sz="4" w:space="0" w:color="auto"/>
              <w:left w:val="single" w:sz="4" w:space="0" w:color="auto"/>
              <w:bottom w:val="single" w:sz="4" w:space="0" w:color="auto"/>
              <w:right w:val="single" w:sz="4" w:space="0" w:color="auto"/>
            </w:tcBorders>
          </w:tcPr>
          <w:p w:rsidR="007867AC" w:rsidRPr="007D33B4" w:rsidRDefault="007867AC" w:rsidP="003311BB">
            <w:pPr>
              <w:pStyle w:val="TableText"/>
              <w:keepNext w:val="0"/>
              <w:rPr>
                <w:bCs w:val="0"/>
              </w:rPr>
            </w:pPr>
            <w:r w:rsidRPr="007D33B4">
              <w:rPr>
                <w:bCs w:val="0"/>
              </w:rPr>
              <w:lastRenderedPageBreak/>
              <w:t>Category / Program:</w:t>
            </w:r>
          </w:p>
        </w:tc>
        <w:tc>
          <w:tcPr>
            <w:tcW w:w="7056" w:type="dxa"/>
            <w:gridSpan w:val="6"/>
            <w:tcBorders>
              <w:top w:val="single" w:sz="4" w:space="0" w:color="auto"/>
              <w:left w:val="single" w:sz="4" w:space="0" w:color="auto"/>
              <w:bottom w:val="single" w:sz="4" w:space="0" w:color="auto"/>
              <w:right w:val="single" w:sz="4" w:space="0" w:color="auto"/>
            </w:tcBorders>
          </w:tcPr>
          <w:p w:rsidR="007867AC" w:rsidRPr="007D33B4" w:rsidRDefault="007867AC" w:rsidP="003311BB">
            <w:pPr>
              <w:pStyle w:val="TableText"/>
              <w:keepNext w:val="0"/>
            </w:pPr>
            <w:r w:rsidRPr="007D33B4">
              <w:t>GENERAL – General Schedule (Code GE)</w:t>
            </w:r>
          </w:p>
        </w:tc>
      </w:tr>
      <w:tr w:rsidR="007867AC" w:rsidRPr="007D33B4" w:rsidTr="00C870DD">
        <w:tblPrEx>
          <w:tblBorders>
            <w:top w:val="none" w:sz="0" w:space="0" w:color="auto"/>
            <w:bottom w:val="none" w:sz="0" w:space="0" w:color="auto"/>
            <w:insideH w:val="none" w:sz="0" w:space="0" w:color="auto"/>
          </w:tblBorders>
          <w:tblLook w:val="0000" w:firstRow="0" w:lastRow="0" w:firstColumn="0" w:lastColumn="0" w:noHBand="0" w:noVBand="0"/>
        </w:tblPrEx>
        <w:trPr>
          <w:cantSplit/>
        </w:trPr>
        <w:tc>
          <w:tcPr>
            <w:tcW w:w="1961" w:type="dxa"/>
            <w:tcBorders>
              <w:top w:val="single" w:sz="4" w:space="0" w:color="auto"/>
              <w:left w:val="single" w:sz="4" w:space="0" w:color="auto"/>
              <w:bottom w:val="single" w:sz="4" w:space="0" w:color="auto"/>
              <w:right w:val="single" w:sz="4" w:space="0" w:color="auto"/>
            </w:tcBorders>
          </w:tcPr>
          <w:p w:rsidR="007867AC" w:rsidRPr="007D33B4" w:rsidRDefault="007867AC" w:rsidP="003311BB">
            <w:pPr>
              <w:pStyle w:val="TableText"/>
              <w:keepNext w:val="0"/>
              <w:rPr>
                <w:bCs w:val="0"/>
              </w:rPr>
            </w:pPr>
            <w:r w:rsidRPr="007D33B4">
              <w:rPr>
                <w:bCs w:val="0"/>
              </w:rPr>
              <w:t>Prescriber type:</w:t>
            </w:r>
          </w:p>
        </w:tc>
        <w:tc>
          <w:tcPr>
            <w:tcW w:w="7056" w:type="dxa"/>
            <w:gridSpan w:val="6"/>
            <w:tcBorders>
              <w:top w:val="single" w:sz="4" w:space="0" w:color="auto"/>
              <w:left w:val="single" w:sz="4" w:space="0" w:color="auto"/>
              <w:bottom w:val="single" w:sz="4" w:space="0" w:color="auto"/>
              <w:right w:val="single" w:sz="4" w:space="0" w:color="auto"/>
            </w:tcBorders>
          </w:tcPr>
          <w:p w:rsidR="007867AC" w:rsidRPr="007D33B4" w:rsidRDefault="007867AC" w:rsidP="003311BB">
            <w:pPr>
              <w:pStyle w:val="TableText"/>
              <w:keepNext w:val="0"/>
            </w:pPr>
            <w:r w:rsidRPr="007D33B4">
              <w:t>Medical practitioners</w:t>
            </w:r>
          </w:p>
        </w:tc>
      </w:tr>
      <w:tr w:rsidR="007867AC" w:rsidRPr="007D33B4" w:rsidTr="00C870DD">
        <w:tblPrEx>
          <w:tblBorders>
            <w:top w:val="none" w:sz="0" w:space="0" w:color="auto"/>
            <w:bottom w:val="none" w:sz="0" w:space="0" w:color="auto"/>
            <w:insideH w:val="none" w:sz="0" w:space="0" w:color="auto"/>
          </w:tblBorders>
          <w:tblLook w:val="0000" w:firstRow="0" w:lastRow="0" w:firstColumn="0" w:lastColumn="0" w:noHBand="0" w:noVBand="0"/>
        </w:tblPrEx>
        <w:trPr>
          <w:cantSplit/>
        </w:trPr>
        <w:tc>
          <w:tcPr>
            <w:tcW w:w="1961" w:type="dxa"/>
            <w:tcBorders>
              <w:top w:val="single" w:sz="4" w:space="0" w:color="auto"/>
              <w:left w:val="single" w:sz="4" w:space="0" w:color="auto"/>
              <w:bottom w:val="single" w:sz="4" w:space="0" w:color="auto"/>
              <w:right w:val="single" w:sz="4" w:space="0" w:color="auto"/>
            </w:tcBorders>
          </w:tcPr>
          <w:p w:rsidR="007867AC" w:rsidRPr="007D33B4" w:rsidRDefault="007867AC" w:rsidP="003311BB">
            <w:pPr>
              <w:pStyle w:val="TableText"/>
              <w:keepNext w:val="0"/>
              <w:rPr>
                <w:bCs w:val="0"/>
              </w:rPr>
            </w:pPr>
            <w:r w:rsidRPr="007D33B4">
              <w:rPr>
                <w:bCs w:val="0"/>
              </w:rPr>
              <w:t>Condition:</w:t>
            </w:r>
          </w:p>
        </w:tc>
        <w:tc>
          <w:tcPr>
            <w:tcW w:w="7056" w:type="dxa"/>
            <w:gridSpan w:val="6"/>
            <w:tcBorders>
              <w:top w:val="single" w:sz="4" w:space="0" w:color="auto"/>
              <w:left w:val="single" w:sz="4" w:space="0" w:color="auto"/>
              <w:bottom w:val="single" w:sz="4" w:space="0" w:color="auto"/>
              <w:right w:val="single" w:sz="4" w:space="0" w:color="auto"/>
            </w:tcBorders>
          </w:tcPr>
          <w:p w:rsidR="007867AC" w:rsidRPr="007D33B4" w:rsidRDefault="007867AC" w:rsidP="003311BB">
            <w:pPr>
              <w:pStyle w:val="TableText"/>
              <w:keepNext w:val="0"/>
            </w:pPr>
            <w:r w:rsidRPr="007D33B4">
              <w:t>Acute Myeloid Leukaemia</w:t>
            </w:r>
          </w:p>
        </w:tc>
      </w:tr>
      <w:tr w:rsidR="007867AC" w:rsidRPr="007D33B4" w:rsidTr="00C870DD">
        <w:tblPrEx>
          <w:tblBorders>
            <w:top w:val="none" w:sz="0" w:space="0" w:color="auto"/>
            <w:bottom w:val="none" w:sz="0" w:space="0" w:color="auto"/>
            <w:insideH w:val="none" w:sz="0" w:space="0" w:color="auto"/>
          </w:tblBorders>
          <w:tblLook w:val="0000" w:firstRow="0" w:lastRow="0" w:firstColumn="0" w:lastColumn="0" w:noHBand="0" w:noVBand="0"/>
        </w:tblPrEx>
        <w:trPr>
          <w:cantSplit/>
        </w:trPr>
        <w:tc>
          <w:tcPr>
            <w:tcW w:w="1961" w:type="dxa"/>
            <w:tcBorders>
              <w:top w:val="single" w:sz="4" w:space="0" w:color="auto"/>
              <w:left w:val="single" w:sz="4" w:space="0" w:color="auto"/>
              <w:bottom w:val="single" w:sz="4" w:space="0" w:color="auto"/>
              <w:right w:val="single" w:sz="4" w:space="0" w:color="auto"/>
            </w:tcBorders>
          </w:tcPr>
          <w:p w:rsidR="007867AC" w:rsidRPr="007D33B4" w:rsidRDefault="007867AC" w:rsidP="003311BB">
            <w:pPr>
              <w:pStyle w:val="TableText"/>
              <w:keepNext w:val="0"/>
              <w:rPr>
                <w:bCs w:val="0"/>
              </w:rPr>
            </w:pPr>
            <w:r w:rsidRPr="007D33B4">
              <w:rPr>
                <w:bCs w:val="0"/>
              </w:rPr>
              <w:t>PBS Indication:</w:t>
            </w:r>
          </w:p>
        </w:tc>
        <w:tc>
          <w:tcPr>
            <w:tcW w:w="7056" w:type="dxa"/>
            <w:gridSpan w:val="6"/>
            <w:tcBorders>
              <w:top w:val="single" w:sz="4" w:space="0" w:color="auto"/>
              <w:left w:val="single" w:sz="4" w:space="0" w:color="auto"/>
              <w:bottom w:val="single" w:sz="4" w:space="0" w:color="auto"/>
              <w:right w:val="single" w:sz="4" w:space="0" w:color="auto"/>
            </w:tcBorders>
          </w:tcPr>
          <w:p w:rsidR="007867AC" w:rsidRPr="007D33B4" w:rsidRDefault="007867AC" w:rsidP="003311BB">
            <w:pPr>
              <w:pStyle w:val="TableText"/>
              <w:keepNext w:val="0"/>
            </w:pPr>
            <w:r w:rsidRPr="007D33B4">
              <w:t>FLT3 mutation-positive relapsed or refractory acute myeloid leukaemia</w:t>
            </w:r>
          </w:p>
        </w:tc>
      </w:tr>
      <w:tr w:rsidR="007867AC" w:rsidRPr="007D33B4" w:rsidTr="00C870DD">
        <w:tblPrEx>
          <w:tblBorders>
            <w:top w:val="none" w:sz="0" w:space="0" w:color="auto"/>
            <w:bottom w:val="none" w:sz="0" w:space="0" w:color="auto"/>
            <w:insideH w:val="none" w:sz="0" w:space="0" w:color="auto"/>
          </w:tblBorders>
          <w:tblLook w:val="0000" w:firstRow="0" w:lastRow="0" w:firstColumn="0" w:lastColumn="0" w:noHBand="0" w:noVBand="0"/>
        </w:tblPrEx>
        <w:trPr>
          <w:cantSplit/>
        </w:trPr>
        <w:tc>
          <w:tcPr>
            <w:tcW w:w="1961" w:type="dxa"/>
            <w:tcBorders>
              <w:top w:val="single" w:sz="4" w:space="0" w:color="auto"/>
              <w:left w:val="single" w:sz="4" w:space="0" w:color="auto"/>
              <w:bottom w:val="single" w:sz="4" w:space="0" w:color="auto"/>
              <w:right w:val="single" w:sz="4" w:space="0" w:color="auto"/>
            </w:tcBorders>
          </w:tcPr>
          <w:p w:rsidR="007867AC" w:rsidRPr="007D33B4" w:rsidRDefault="007867AC" w:rsidP="003311BB">
            <w:pPr>
              <w:pStyle w:val="TableText"/>
              <w:keepNext w:val="0"/>
              <w:rPr>
                <w:bCs w:val="0"/>
                <w:i/>
              </w:rPr>
            </w:pPr>
            <w:r w:rsidRPr="007D33B4">
              <w:rPr>
                <w:bCs w:val="0"/>
              </w:rPr>
              <w:t>Restriction:</w:t>
            </w:r>
          </w:p>
        </w:tc>
        <w:tc>
          <w:tcPr>
            <w:tcW w:w="7056" w:type="dxa"/>
            <w:gridSpan w:val="6"/>
            <w:tcBorders>
              <w:top w:val="single" w:sz="4" w:space="0" w:color="auto"/>
              <w:left w:val="single" w:sz="4" w:space="0" w:color="auto"/>
              <w:bottom w:val="single" w:sz="4" w:space="0" w:color="auto"/>
              <w:right w:val="single" w:sz="4" w:space="0" w:color="auto"/>
            </w:tcBorders>
          </w:tcPr>
          <w:p w:rsidR="007867AC" w:rsidRPr="007D33B4" w:rsidRDefault="007867AC" w:rsidP="003311BB">
            <w:pPr>
              <w:pStyle w:val="TableText"/>
              <w:keepNext w:val="0"/>
            </w:pPr>
            <w:r w:rsidRPr="007D33B4">
              <w:t>Authority Required – Telephone, Electronic</w:t>
            </w:r>
          </w:p>
        </w:tc>
      </w:tr>
      <w:tr w:rsidR="00682B76" w:rsidRPr="007D33B4" w:rsidTr="00C870DD">
        <w:tblPrEx>
          <w:tblBorders>
            <w:top w:val="none" w:sz="0" w:space="0" w:color="auto"/>
            <w:bottom w:val="none" w:sz="0" w:space="0" w:color="auto"/>
            <w:insideH w:val="none" w:sz="0" w:space="0" w:color="auto"/>
          </w:tblBorders>
          <w:tblLook w:val="0000" w:firstRow="0" w:lastRow="0" w:firstColumn="0" w:lastColumn="0" w:noHBand="0" w:noVBand="0"/>
        </w:tblPrEx>
        <w:trPr>
          <w:cantSplit/>
        </w:trPr>
        <w:tc>
          <w:tcPr>
            <w:tcW w:w="1961" w:type="dxa"/>
            <w:tcBorders>
              <w:top w:val="single" w:sz="4" w:space="0" w:color="auto"/>
              <w:left w:val="single" w:sz="4" w:space="0" w:color="auto"/>
              <w:bottom w:val="single" w:sz="4" w:space="0" w:color="auto"/>
              <w:right w:val="single" w:sz="4" w:space="0" w:color="auto"/>
            </w:tcBorders>
          </w:tcPr>
          <w:p w:rsidR="00682B76" w:rsidRPr="007D33B4" w:rsidRDefault="00682B76" w:rsidP="003311BB">
            <w:pPr>
              <w:pStyle w:val="TableText"/>
              <w:keepNext w:val="0"/>
              <w:rPr>
                <w:b/>
              </w:rPr>
            </w:pPr>
            <w:r w:rsidRPr="007D33B4">
              <w:rPr>
                <w:b/>
              </w:rPr>
              <w:t>Treatment phase:</w:t>
            </w:r>
          </w:p>
        </w:tc>
        <w:tc>
          <w:tcPr>
            <w:tcW w:w="7056" w:type="dxa"/>
            <w:gridSpan w:val="6"/>
            <w:tcBorders>
              <w:top w:val="single" w:sz="4" w:space="0" w:color="auto"/>
              <w:left w:val="single" w:sz="4" w:space="0" w:color="auto"/>
              <w:bottom w:val="single" w:sz="4" w:space="0" w:color="auto"/>
              <w:right w:val="single" w:sz="4" w:space="0" w:color="auto"/>
            </w:tcBorders>
          </w:tcPr>
          <w:p w:rsidR="00682B76" w:rsidRPr="007D33B4" w:rsidRDefault="00682B76" w:rsidP="003311BB">
            <w:pPr>
              <w:pStyle w:val="TableText"/>
              <w:keepNext w:val="0"/>
              <w:rPr>
                <w:rFonts w:cs="Arial"/>
                <w:b/>
                <w:bCs w:val="0"/>
              </w:rPr>
            </w:pPr>
            <w:r w:rsidRPr="007D33B4">
              <w:rPr>
                <w:b/>
                <w:bCs w:val="0"/>
              </w:rPr>
              <w:t>Initial treatment</w:t>
            </w:r>
          </w:p>
        </w:tc>
      </w:tr>
      <w:tr w:rsidR="00F02070" w:rsidRPr="007D33B4" w:rsidTr="00C870DD">
        <w:tblPrEx>
          <w:tblBorders>
            <w:top w:val="none" w:sz="0" w:space="0" w:color="auto"/>
            <w:bottom w:val="none" w:sz="0" w:space="0" w:color="auto"/>
            <w:insideH w:val="none" w:sz="0" w:space="0" w:color="auto"/>
          </w:tblBorders>
          <w:tblLook w:val="0000" w:firstRow="0" w:lastRow="0" w:firstColumn="0" w:lastColumn="0" w:noHBand="0" w:noVBand="0"/>
        </w:tblPrEx>
        <w:trPr>
          <w:cantSplit/>
        </w:trPr>
        <w:tc>
          <w:tcPr>
            <w:tcW w:w="1961" w:type="dxa"/>
            <w:tcBorders>
              <w:top w:val="single" w:sz="4" w:space="0" w:color="auto"/>
              <w:left w:val="single" w:sz="4" w:space="0" w:color="auto"/>
              <w:bottom w:val="single" w:sz="4" w:space="0" w:color="auto"/>
              <w:right w:val="single" w:sz="4" w:space="0" w:color="auto"/>
            </w:tcBorders>
          </w:tcPr>
          <w:p w:rsidR="00F02070" w:rsidRPr="007D33B4" w:rsidRDefault="00F02070" w:rsidP="003311BB">
            <w:pPr>
              <w:pStyle w:val="TableText"/>
              <w:keepNext w:val="0"/>
              <w:rPr>
                <w:b/>
              </w:rPr>
            </w:pPr>
            <w:r w:rsidRPr="007D33B4">
              <w:rPr>
                <w:bCs w:val="0"/>
              </w:rPr>
              <w:t>Treatment criteria:</w:t>
            </w:r>
          </w:p>
        </w:tc>
        <w:tc>
          <w:tcPr>
            <w:tcW w:w="7056" w:type="dxa"/>
            <w:gridSpan w:val="6"/>
            <w:tcBorders>
              <w:top w:val="single" w:sz="4" w:space="0" w:color="auto"/>
              <w:left w:val="single" w:sz="4" w:space="0" w:color="auto"/>
              <w:bottom w:val="single" w:sz="4" w:space="0" w:color="auto"/>
              <w:right w:val="single" w:sz="4" w:space="0" w:color="auto"/>
            </w:tcBorders>
          </w:tcPr>
          <w:p w:rsidR="00F02070" w:rsidRPr="007D33B4" w:rsidRDefault="00F02070" w:rsidP="003311BB">
            <w:pPr>
              <w:pStyle w:val="TableText"/>
              <w:keepNext w:val="0"/>
            </w:pPr>
            <w:r w:rsidRPr="007D33B4">
              <w:rPr>
                <w:rFonts w:cs="Arial"/>
              </w:rPr>
              <w:t>The treatment must be as monotherapy</w:t>
            </w:r>
          </w:p>
        </w:tc>
      </w:tr>
      <w:tr w:rsidR="00F02070" w:rsidRPr="007D33B4" w:rsidTr="00C870DD">
        <w:tblPrEx>
          <w:tblBorders>
            <w:top w:val="none" w:sz="0" w:space="0" w:color="auto"/>
            <w:bottom w:val="none" w:sz="0" w:space="0" w:color="auto"/>
            <w:insideH w:val="none" w:sz="0" w:space="0" w:color="auto"/>
          </w:tblBorders>
          <w:tblLook w:val="0000" w:firstRow="0" w:lastRow="0" w:firstColumn="0" w:lastColumn="0" w:noHBand="0" w:noVBand="0"/>
        </w:tblPrEx>
        <w:trPr>
          <w:cantSplit/>
        </w:trPr>
        <w:tc>
          <w:tcPr>
            <w:tcW w:w="1961" w:type="dxa"/>
            <w:tcBorders>
              <w:top w:val="single" w:sz="4" w:space="0" w:color="auto"/>
              <w:left w:val="single" w:sz="4" w:space="0" w:color="auto"/>
              <w:bottom w:val="single" w:sz="4" w:space="0" w:color="auto"/>
              <w:right w:val="single" w:sz="4" w:space="0" w:color="auto"/>
            </w:tcBorders>
          </w:tcPr>
          <w:p w:rsidR="00F02070" w:rsidRPr="007D33B4" w:rsidRDefault="00F02070" w:rsidP="003311BB">
            <w:pPr>
              <w:pStyle w:val="TableText"/>
              <w:keepNext w:val="0"/>
              <w:rPr>
                <w:bCs w:val="0"/>
              </w:rPr>
            </w:pPr>
            <w:r w:rsidRPr="007D33B4">
              <w:rPr>
                <w:bCs w:val="0"/>
              </w:rPr>
              <w:t>Clinical criteria:</w:t>
            </w:r>
          </w:p>
        </w:tc>
        <w:tc>
          <w:tcPr>
            <w:tcW w:w="7056" w:type="dxa"/>
            <w:gridSpan w:val="6"/>
            <w:tcBorders>
              <w:top w:val="single" w:sz="4" w:space="0" w:color="auto"/>
              <w:left w:val="single" w:sz="4" w:space="0" w:color="auto"/>
              <w:bottom w:val="single" w:sz="4" w:space="0" w:color="auto"/>
              <w:right w:val="single" w:sz="4" w:space="0" w:color="auto"/>
            </w:tcBorders>
          </w:tcPr>
          <w:p w:rsidR="00F02070" w:rsidRPr="007D33B4" w:rsidRDefault="00F02070" w:rsidP="003311BB">
            <w:pPr>
              <w:pStyle w:val="Tabletext0"/>
              <w:keepNext w:val="0"/>
              <w:keepLines w:val="0"/>
              <w:spacing w:before="0" w:after="0"/>
              <w:rPr>
                <w:rFonts w:cs="Arial"/>
              </w:rPr>
            </w:pPr>
            <w:r w:rsidRPr="007D33B4">
              <w:rPr>
                <w:rFonts w:cs="Arial"/>
              </w:rPr>
              <w:t xml:space="preserve">The patient must have relapsed or refractory acute myeloid leukaemia </w:t>
            </w:r>
          </w:p>
          <w:p w:rsidR="00F02070" w:rsidRPr="007D33B4" w:rsidRDefault="00F02070" w:rsidP="003311BB">
            <w:pPr>
              <w:pStyle w:val="Tabletext0"/>
              <w:keepNext w:val="0"/>
              <w:keepLines w:val="0"/>
              <w:spacing w:before="0" w:after="0"/>
              <w:rPr>
                <w:rFonts w:cs="Arial"/>
              </w:rPr>
            </w:pPr>
            <w:r w:rsidRPr="007D33B4">
              <w:rPr>
                <w:rFonts w:cs="Arial"/>
              </w:rPr>
              <w:t>AND</w:t>
            </w:r>
          </w:p>
          <w:p w:rsidR="00F02070" w:rsidRPr="007D33B4" w:rsidRDefault="00F02070" w:rsidP="003311BB">
            <w:pPr>
              <w:pStyle w:val="Tabletext0"/>
              <w:keepNext w:val="0"/>
              <w:keepLines w:val="0"/>
              <w:spacing w:before="0" w:after="0"/>
              <w:rPr>
                <w:rFonts w:cs="Arial"/>
              </w:rPr>
            </w:pPr>
            <w:r w:rsidRPr="007D33B4">
              <w:rPr>
                <w:rFonts w:cs="Arial"/>
              </w:rPr>
              <w:t>The condition must be internal tandem duplication (ITD) and/or tyrosine kinase domain (TKD) FMS tyrosine kinase 3 (FLT3) mutation positive before initiating this drug for this condition</w:t>
            </w:r>
          </w:p>
          <w:p w:rsidR="00F02070" w:rsidRPr="007D33B4" w:rsidRDefault="00F02070" w:rsidP="003311BB">
            <w:pPr>
              <w:pStyle w:val="Tabletext0"/>
              <w:keepNext w:val="0"/>
              <w:keepLines w:val="0"/>
              <w:spacing w:before="0" w:after="0"/>
              <w:rPr>
                <w:rFonts w:cs="Arial"/>
              </w:rPr>
            </w:pPr>
            <w:r w:rsidRPr="007D33B4">
              <w:rPr>
                <w:rFonts w:cs="Arial"/>
              </w:rPr>
              <w:t>AND</w:t>
            </w:r>
          </w:p>
          <w:p w:rsidR="00F02070" w:rsidRPr="007D33B4" w:rsidRDefault="00F02070" w:rsidP="003311BB">
            <w:pPr>
              <w:pStyle w:val="Tabletext0"/>
              <w:keepNext w:val="0"/>
              <w:keepLines w:val="0"/>
              <w:spacing w:before="0" w:after="0"/>
              <w:rPr>
                <w:rFonts w:cs="Arial"/>
              </w:rPr>
            </w:pPr>
            <w:r w:rsidRPr="007D33B4">
              <w:rPr>
                <w:rFonts w:cs="Arial"/>
              </w:rPr>
              <w:t>The condition must not be acute promyelocytic leukaemia</w:t>
            </w:r>
          </w:p>
          <w:p w:rsidR="00F02070" w:rsidRPr="007D33B4" w:rsidRDefault="00F02070" w:rsidP="003311BB">
            <w:pPr>
              <w:pStyle w:val="Tabletext0"/>
              <w:keepNext w:val="0"/>
              <w:keepLines w:val="0"/>
              <w:spacing w:before="0" w:after="0"/>
              <w:rPr>
                <w:rFonts w:cs="Arial"/>
              </w:rPr>
            </w:pPr>
            <w:r w:rsidRPr="007D33B4">
              <w:rPr>
                <w:rFonts w:cs="Arial"/>
              </w:rPr>
              <w:t xml:space="preserve">AND </w:t>
            </w:r>
          </w:p>
          <w:p w:rsidR="00F02070" w:rsidRPr="007D33B4" w:rsidRDefault="00F02070" w:rsidP="003311BB">
            <w:pPr>
              <w:pStyle w:val="Tabletext0"/>
              <w:keepNext w:val="0"/>
              <w:keepLines w:val="0"/>
              <w:spacing w:before="0" w:after="0"/>
              <w:rPr>
                <w:rFonts w:cs="Arial"/>
              </w:rPr>
            </w:pPr>
            <w:r w:rsidRPr="007D33B4">
              <w:rPr>
                <w:rFonts w:cs="Arial"/>
              </w:rPr>
              <w:t>Progressive disease monitoring via a complete blood count must be taken at the end of each cycle.</w:t>
            </w:r>
          </w:p>
          <w:p w:rsidR="00F02070" w:rsidRPr="007D33B4" w:rsidRDefault="00F02070" w:rsidP="003311BB">
            <w:pPr>
              <w:pStyle w:val="Tabletext0"/>
              <w:keepNext w:val="0"/>
              <w:keepLines w:val="0"/>
              <w:spacing w:before="0" w:after="0"/>
              <w:rPr>
                <w:rFonts w:cs="Arial"/>
              </w:rPr>
            </w:pPr>
            <w:r w:rsidRPr="007D33B4">
              <w:rPr>
                <w:rFonts w:cs="Arial"/>
              </w:rPr>
              <w:t>If abnormal blood counts suggest the potential for relapsed AML, a bone marrow biopsy must be performed to confirm the absence of progressive disease for the patient to be eligible for further cycles.</w:t>
            </w:r>
          </w:p>
          <w:p w:rsidR="00F02070" w:rsidRPr="007D33B4" w:rsidRDefault="00F02070" w:rsidP="003311BB">
            <w:pPr>
              <w:pStyle w:val="Tabletext0"/>
              <w:keepNext w:val="0"/>
              <w:keepLines w:val="0"/>
              <w:spacing w:before="0" w:after="0"/>
              <w:rPr>
                <w:rFonts w:cs="Arial"/>
              </w:rPr>
            </w:pPr>
            <w:r w:rsidRPr="007D33B4">
              <w:rPr>
                <w:rFonts w:cs="Arial"/>
              </w:rPr>
              <w:t>Progressive disease is defined as the presence of any of the following:</w:t>
            </w:r>
          </w:p>
          <w:p w:rsidR="00F02070" w:rsidRPr="007D33B4" w:rsidRDefault="00F02070" w:rsidP="00E73CF7">
            <w:pPr>
              <w:pStyle w:val="Tabletext0"/>
              <w:keepNext w:val="0"/>
              <w:keepLines w:val="0"/>
              <w:numPr>
                <w:ilvl w:val="0"/>
                <w:numId w:val="5"/>
              </w:numPr>
              <w:spacing w:before="0" w:after="0"/>
              <w:ind w:left="714" w:hanging="357"/>
              <w:rPr>
                <w:rFonts w:cs="Arial"/>
              </w:rPr>
            </w:pPr>
            <w:r w:rsidRPr="007D33B4">
              <w:rPr>
                <w:rFonts w:cs="Arial"/>
              </w:rPr>
              <w:t>Leukaemic cells in the CSF;</w:t>
            </w:r>
          </w:p>
          <w:p w:rsidR="00F02070" w:rsidRPr="007D33B4" w:rsidRDefault="00F02070" w:rsidP="00E73CF7">
            <w:pPr>
              <w:pStyle w:val="Tabletext0"/>
              <w:keepNext w:val="0"/>
              <w:keepLines w:val="0"/>
              <w:numPr>
                <w:ilvl w:val="0"/>
                <w:numId w:val="5"/>
              </w:numPr>
              <w:spacing w:before="0" w:after="0"/>
              <w:ind w:left="714" w:hanging="357"/>
              <w:rPr>
                <w:rFonts w:cs="Arial"/>
              </w:rPr>
            </w:pPr>
            <w:r w:rsidRPr="007D33B4">
              <w:rPr>
                <w:rFonts w:cs="Arial"/>
              </w:rPr>
              <w:t>Re-appearance of circulating blast cells in the peripheral blood, not attributable to overshoot following recovery from myeloablative therapy;</w:t>
            </w:r>
          </w:p>
          <w:p w:rsidR="00F02070" w:rsidRPr="007D33B4" w:rsidRDefault="00F02070" w:rsidP="00E73CF7">
            <w:pPr>
              <w:pStyle w:val="Tabletext0"/>
              <w:keepNext w:val="0"/>
              <w:keepLines w:val="0"/>
              <w:numPr>
                <w:ilvl w:val="0"/>
                <w:numId w:val="5"/>
              </w:numPr>
              <w:spacing w:before="0" w:after="0"/>
              <w:ind w:left="714" w:hanging="357"/>
              <w:rPr>
                <w:rFonts w:cs="Arial"/>
              </w:rPr>
            </w:pPr>
            <w:r w:rsidRPr="007D33B4">
              <w:rPr>
                <w:rFonts w:cs="Arial"/>
              </w:rPr>
              <w:t>Greater than 5 % blasts in the marrow not attributable to bone marrow regeneration or another cause;</w:t>
            </w:r>
          </w:p>
          <w:p w:rsidR="00F02070" w:rsidRPr="007D33B4" w:rsidRDefault="00F02070" w:rsidP="00E73CF7">
            <w:pPr>
              <w:pStyle w:val="Tabletext0"/>
              <w:keepNext w:val="0"/>
              <w:keepLines w:val="0"/>
              <w:numPr>
                <w:ilvl w:val="0"/>
                <w:numId w:val="5"/>
              </w:numPr>
              <w:spacing w:before="0" w:after="0"/>
              <w:ind w:left="714" w:hanging="357"/>
              <w:rPr>
                <w:rFonts w:cs="Arial"/>
              </w:rPr>
            </w:pPr>
            <w:r w:rsidRPr="007D33B4">
              <w:rPr>
                <w:rFonts w:cs="Arial"/>
              </w:rPr>
              <w:t>Extramedullary leukaemia.</w:t>
            </w:r>
          </w:p>
          <w:p w:rsidR="00F02070" w:rsidRPr="007D33B4" w:rsidRDefault="00F02070" w:rsidP="003311BB">
            <w:pPr>
              <w:pStyle w:val="TableText"/>
              <w:keepNext w:val="0"/>
              <w:rPr>
                <w:rFonts w:cs="Arial"/>
                <w:szCs w:val="20"/>
              </w:rPr>
            </w:pPr>
            <w:r w:rsidRPr="007D33B4">
              <w:rPr>
                <w:rFonts w:cs="Arial"/>
                <w:szCs w:val="20"/>
              </w:rPr>
              <w:t>A patient who has progressive disease when treated with this drug is no longer eligible for PBS-subsidised treatment with this drug.</w:t>
            </w:r>
          </w:p>
        </w:tc>
      </w:tr>
      <w:tr w:rsidR="00F02070" w:rsidRPr="007D33B4" w:rsidTr="00C870DD">
        <w:tblPrEx>
          <w:tblBorders>
            <w:top w:val="none" w:sz="0" w:space="0" w:color="auto"/>
            <w:bottom w:val="none" w:sz="0" w:space="0" w:color="auto"/>
            <w:insideH w:val="none" w:sz="0" w:space="0" w:color="auto"/>
          </w:tblBorders>
          <w:tblLook w:val="0000" w:firstRow="0" w:lastRow="0" w:firstColumn="0" w:lastColumn="0" w:noHBand="0" w:noVBand="0"/>
        </w:tblPrEx>
        <w:trPr>
          <w:cantSplit/>
        </w:trPr>
        <w:tc>
          <w:tcPr>
            <w:tcW w:w="1961" w:type="dxa"/>
            <w:tcBorders>
              <w:top w:val="single" w:sz="4" w:space="0" w:color="auto"/>
              <w:left w:val="single" w:sz="4" w:space="0" w:color="auto"/>
              <w:bottom w:val="single" w:sz="4" w:space="0" w:color="auto"/>
              <w:right w:val="single" w:sz="4" w:space="0" w:color="auto"/>
            </w:tcBorders>
          </w:tcPr>
          <w:p w:rsidR="00F02070" w:rsidRPr="007D33B4" w:rsidRDefault="00F02070" w:rsidP="00021560">
            <w:pPr>
              <w:pStyle w:val="TableText"/>
              <w:rPr>
                <w:bCs w:val="0"/>
              </w:rPr>
            </w:pPr>
            <w:r w:rsidRPr="007D33B4">
              <w:rPr>
                <w:b/>
              </w:rPr>
              <w:t>Treatment phase:</w:t>
            </w:r>
          </w:p>
        </w:tc>
        <w:tc>
          <w:tcPr>
            <w:tcW w:w="7056" w:type="dxa"/>
            <w:gridSpan w:val="6"/>
            <w:tcBorders>
              <w:top w:val="single" w:sz="4" w:space="0" w:color="auto"/>
              <w:left w:val="single" w:sz="4" w:space="0" w:color="auto"/>
              <w:bottom w:val="single" w:sz="4" w:space="0" w:color="auto"/>
              <w:right w:val="single" w:sz="4" w:space="0" w:color="auto"/>
            </w:tcBorders>
          </w:tcPr>
          <w:p w:rsidR="00F02070" w:rsidRPr="007D33B4" w:rsidRDefault="00F02070" w:rsidP="00021560">
            <w:pPr>
              <w:pStyle w:val="Tabletext0"/>
              <w:spacing w:before="0" w:after="0"/>
              <w:rPr>
                <w:rFonts w:cs="Arial"/>
                <w:b/>
                <w:bCs/>
              </w:rPr>
            </w:pPr>
            <w:r w:rsidRPr="007D33B4">
              <w:rPr>
                <w:b/>
                <w:bCs/>
              </w:rPr>
              <w:t>Continuing PBS-subsidised treatment</w:t>
            </w:r>
          </w:p>
        </w:tc>
      </w:tr>
      <w:tr w:rsidR="009B406A" w:rsidRPr="007D33B4" w:rsidTr="00C870DD">
        <w:tblPrEx>
          <w:tblBorders>
            <w:top w:val="none" w:sz="0" w:space="0" w:color="auto"/>
            <w:bottom w:val="none" w:sz="0" w:space="0" w:color="auto"/>
            <w:insideH w:val="none" w:sz="0" w:space="0" w:color="auto"/>
          </w:tblBorders>
          <w:tblLook w:val="0000" w:firstRow="0" w:lastRow="0" w:firstColumn="0" w:lastColumn="0" w:noHBand="0" w:noVBand="0"/>
        </w:tblPrEx>
        <w:trPr>
          <w:cantSplit/>
        </w:trPr>
        <w:tc>
          <w:tcPr>
            <w:tcW w:w="1961" w:type="dxa"/>
            <w:tcBorders>
              <w:top w:val="single" w:sz="4" w:space="0" w:color="auto"/>
              <w:left w:val="single" w:sz="4" w:space="0" w:color="auto"/>
              <w:bottom w:val="single" w:sz="4" w:space="0" w:color="auto"/>
              <w:right w:val="single" w:sz="4" w:space="0" w:color="auto"/>
            </w:tcBorders>
          </w:tcPr>
          <w:p w:rsidR="009B406A" w:rsidRPr="007D33B4" w:rsidRDefault="009B406A" w:rsidP="00021560">
            <w:pPr>
              <w:pStyle w:val="TableText"/>
              <w:rPr>
                <w:bCs w:val="0"/>
              </w:rPr>
            </w:pPr>
            <w:r w:rsidRPr="007D33B4">
              <w:rPr>
                <w:bCs w:val="0"/>
              </w:rPr>
              <w:t>Treatment criteria:</w:t>
            </w:r>
          </w:p>
        </w:tc>
        <w:tc>
          <w:tcPr>
            <w:tcW w:w="7056" w:type="dxa"/>
            <w:gridSpan w:val="6"/>
            <w:tcBorders>
              <w:top w:val="single" w:sz="4" w:space="0" w:color="auto"/>
              <w:left w:val="single" w:sz="4" w:space="0" w:color="auto"/>
              <w:bottom w:val="single" w:sz="4" w:space="0" w:color="auto"/>
              <w:right w:val="single" w:sz="4" w:space="0" w:color="auto"/>
            </w:tcBorders>
          </w:tcPr>
          <w:p w:rsidR="009B406A" w:rsidRPr="007D33B4" w:rsidRDefault="009B406A" w:rsidP="00021560">
            <w:pPr>
              <w:pStyle w:val="TableText"/>
              <w:rPr>
                <w:rFonts w:cs="Arial"/>
              </w:rPr>
            </w:pPr>
            <w:r w:rsidRPr="007D33B4">
              <w:rPr>
                <w:rFonts w:cs="Arial"/>
              </w:rPr>
              <w:t>The treatment must be as monotherapy</w:t>
            </w:r>
          </w:p>
          <w:p w:rsidR="009B406A" w:rsidRPr="007D33B4" w:rsidRDefault="009B406A" w:rsidP="00021560">
            <w:pPr>
              <w:pStyle w:val="TableText"/>
              <w:rPr>
                <w:rFonts w:cs="Arial"/>
              </w:rPr>
            </w:pPr>
            <w:r w:rsidRPr="007D33B4">
              <w:rPr>
                <w:rFonts w:cs="Arial"/>
              </w:rPr>
              <w:t>AND</w:t>
            </w:r>
          </w:p>
          <w:p w:rsidR="009B406A" w:rsidRPr="007D33B4" w:rsidRDefault="009B406A" w:rsidP="00021560">
            <w:pPr>
              <w:pStyle w:val="Tabletext0"/>
              <w:spacing w:before="0" w:after="0"/>
              <w:rPr>
                <w:rFonts w:cs="Arial"/>
              </w:rPr>
            </w:pPr>
            <w:r w:rsidRPr="007D33B4">
              <w:rPr>
                <w:rFonts w:cs="Arial"/>
              </w:rPr>
              <w:t>The patient must have previously received PBS-subsidised treatment with this drug for this condition.</w:t>
            </w:r>
          </w:p>
        </w:tc>
      </w:tr>
      <w:tr w:rsidR="009B406A" w:rsidRPr="007D33B4" w:rsidTr="00C870DD">
        <w:tblPrEx>
          <w:tblBorders>
            <w:top w:val="none" w:sz="0" w:space="0" w:color="auto"/>
            <w:bottom w:val="none" w:sz="0" w:space="0" w:color="auto"/>
            <w:insideH w:val="none" w:sz="0" w:space="0" w:color="auto"/>
          </w:tblBorders>
          <w:tblLook w:val="0000" w:firstRow="0" w:lastRow="0" w:firstColumn="0" w:lastColumn="0" w:noHBand="0" w:noVBand="0"/>
        </w:tblPrEx>
        <w:trPr>
          <w:cantSplit/>
        </w:trPr>
        <w:tc>
          <w:tcPr>
            <w:tcW w:w="1961" w:type="dxa"/>
            <w:tcBorders>
              <w:top w:val="single" w:sz="4" w:space="0" w:color="auto"/>
              <w:left w:val="single" w:sz="4" w:space="0" w:color="auto"/>
              <w:bottom w:val="single" w:sz="4" w:space="0" w:color="auto"/>
              <w:right w:val="single" w:sz="4" w:space="0" w:color="auto"/>
            </w:tcBorders>
          </w:tcPr>
          <w:p w:rsidR="009B406A" w:rsidRPr="007D33B4" w:rsidRDefault="009B406A" w:rsidP="00021560">
            <w:pPr>
              <w:pStyle w:val="TableText"/>
              <w:rPr>
                <w:bCs w:val="0"/>
              </w:rPr>
            </w:pPr>
            <w:r w:rsidRPr="007D33B4">
              <w:rPr>
                <w:bCs w:val="0"/>
              </w:rPr>
              <w:t>Clinical criteria:</w:t>
            </w:r>
          </w:p>
        </w:tc>
        <w:tc>
          <w:tcPr>
            <w:tcW w:w="7056" w:type="dxa"/>
            <w:gridSpan w:val="6"/>
            <w:tcBorders>
              <w:top w:val="single" w:sz="4" w:space="0" w:color="auto"/>
              <w:left w:val="single" w:sz="4" w:space="0" w:color="auto"/>
              <w:bottom w:val="single" w:sz="4" w:space="0" w:color="auto"/>
              <w:right w:val="single" w:sz="4" w:space="0" w:color="auto"/>
            </w:tcBorders>
          </w:tcPr>
          <w:p w:rsidR="009B406A" w:rsidRPr="007D33B4" w:rsidRDefault="009B406A" w:rsidP="00021560">
            <w:pPr>
              <w:pStyle w:val="TableText"/>
              <w:rPr>
                <w:rFonts w:cs="Arial"/>
              </w:rPr>
            </w:pPr>
            <w:r w:rsidRPr="007D33B4">
              <w:rPr>
                <w:rFonts w:cs="Arial"/>
              </w:rPr>
              <w:t>Patient must not have developed disease progression while receiving PBS-subsidised treatment with this drug for this condition</w:t>
            </w:r>
          </w:p>
          <w:p w:rsidR="009B406A" w:rsidRPr="007D33B4" w:rsidRDefault="009B406A" w:rsidP="00021560">
            <w:pPr>
              <w:pStyle w:val="TableText"/>
              <w:rPr>
                <w:rFonts w:cs="Arial"/>
              </w:rPr>
            </w:pPr>
            <w:r w:rsidRPr="007D33B4">
              <w:rPr>
                <w:rFonts w:cs="Arial"/>
              </w:rPr>
              <w:t>Progressive disease monitoring via a complete blood count must be taken at the end of each cycle.</w:t>
            </w:r>
          </w:p>
          <w:p w:rsidR="009B406A" w:rsidRPr="007D33B4" w:rsidRDefault="009B406A" w:rsidP="00021560">
            <w:pPr>
              <w:pStyle w:val="TableText"/>
              <w:rPr>
                <w:rFonts w:cs="Arial"/>
              </w:rPr>
            </w:pPr>
            <w:r w:rsidRPr="007D33B4">
              <w:rPr>
                <w:rFonts w:cs="Arial"/>
              </w:rPr>
              <w:t>If abnormal blood counts suggest the potential for relapsed AML, a bone marrow biopsy must be performed to confirm the absence of progressive disease for the patient to be eligible for further cycles.</w:t>
            </w:r>
          </w:p>
          <w:p w:rsidR="009B406A" w:rsidRPr="007D33B4" w:rsidRDefault="009B406A" w:rsidP="00021560">
            <w:pPr>
              <w:pStyle w:val="TableText"/>
              <w:rPr>
                <w:rFonts w:cs="Arial"/>
              </w:rPr>
            </w:pPr>
            <w:r w:rsidRPr="007D33B4">
              <w:rPr>
                <w:rFonts w:cs="Arial"/>
              </w:rPr>
              <w:t>Progressive disease is defined as the presence of any of the following:</w:t>
            </w:r>
          </w:p>
          <w:p w:rsidR="009B406A" w:rsidRPr="007D33B4" w:rsidRDefault="009B406A" w:rsidP="00E73CF7">
            <w:pPr>
              <w:pStyle w:val="Tabletext0"/>
              <w:numPr>
                <w:ilvl w:val="0"/>
                <w:numId w:val="5"/>
              </w:numPr>
              <w:spacing w:before="0" w:after="0"/>
              <w:ind w:left="714" w:hanging="357"/>
              <w:rPr>
                <w:rFonts w:cs="Arial"/>
              </w:rPr>
            </w:pPr>
            <w:r w:rsidRPr="007D33B4">
              <w:rPr>
                <w:rFonts w:cs="Arial"/>
              </w:rPr>
              <w:tab/>
              <w:t>Leukaemic cells in the CSF;</w:t>
            </w:r>
          </w:p>
          <w:p w:rsidR="009B406A" w:rsidRPr="007D33B4" w:rsidRDefault="009B406A" w:rsidP="00E73CF7">
            <w:pPr>
              <w:pStyle w:val="Tabletext0"/>
              <w:numPr>
                <w:ilvl w:val="0"/>
                <w:numId w:val="5"/>
              </w:numPr>
              <w:spacing w:before="0" w:after="0"/>
              <w:ind w:left="714" w:hanging="357"/>
              <w:rPr>
                <w:rFonts w:cs="Arial"/>
              </w:rPr>
            </w:pPr>
            <w:r w:rsidRPr="007D33B4">
              <w:rPr>
                <w:rFonts w:cs="Arial"/>
              </w:rPr>
              <w:t>Re-appearance of circulating blast cells in the peripheral blood, not attributable to overshoot following recovery from myeloablative therapy;</w:t>
            </w:r>
          </w:p>
          <w:p w:rsidR="009B406A" w:rsidRPr="007D33B4" w:rsidRDefault="009B406A" w:rsidP="00E73CF7">
            <w:pPr>
              <w:pStyle w:val="Tabletext0"/>
              <w:numPr>
                <w:ilvl w:val="0"/>
                <w:numId w:val="5"/>
              </w:numPr>
              <w:spacing w:before="0" w:after="0"/>
              <w:ind w:left="714" w:hanging="357"/>
              <w:rPr>
                <w:rFonts w:cs="Arial"/>
              </w:rPr>
            </w:pPr>
            <w:r w:rsidRPr="007D33B4">
              <w:rPr>
                <w:rFonts w:cs="Arial"/>
              </w:rPr>
              <w:t>Greater than 5 % blasts in the marrow not attributable to bone marrow regeneration or another cause;</w:t>
            </w:r>
          </w:p>
          <w:p w:rsidR="009B406A" w:rsidRPr="007D33B4" w:rsidRDefault="009B406A" w:rsidP="00E73CF7">
            <w:pPr>
              <w:pStyle w:val="Tabletext0"/>
              <w:numPr>
                <w:ilvl w:val="0"/>
                <w:numId w:val="5"/>
              </w:numPr>
              <w:spacing w:before="0" w:after="0"/>
              <w:ind w:left="714" w:hanging="357"/>
              <w:rPr>
                <w:rFonts w:cs="Arial"/>
              </w:rPr>
            </w:pPr>
            <w:r w:rsidRPr="007D33B4">
              <w:rPr>
                <w:rFonts w:cs="Arial"/>
              </w:rPr>
              <w:t>Extramedullary leukaemia.</w:t>
            </w:r>
          </w:p>
          <w:p w:rsidR="009B406A" w:rsidRPr="007D33B4" w:rsidRDefault="009B406A" w:rsidP="00021560">
            <w:pPr>
              <w:pStyle w:val="TableText"/>
              <w:rPr>
                <w:rFonts w:cs="Arial"/>
              </w:rPr>
            </w:pPr>
            <w:r w:rsidRPr="007D33B4">
              <w:rPr>
                <w:rFonts w:cs="Arial"/>
              </w:rPr>
              <w:t>A patient who has progressive disease when treated with this drug is no longer eligible for PBS-subsidised treatment with this drug.</w:t>
            </w:r>
          </w:p>
        </w:tc>
      </w:tr>
      <w:tr w:rsidR="009B406A" w:rsidRPr="007D33B4" w:rsidTr="00C870DD">
        <w:tblPrEx>
          <w:tblBorders>
            <w:top w:val="none" w:sz="0" w:space="0" w:color="auto"/>
            <w:bottom w:val="none" w:sz="0" w:space="0" w:color="auto"/>
            <w:insideH w:val="none" w:sz="0" w:space="0" w:color="auto"/>
          </w:tblBorders>
          <w:tblLook w:val="0000" w:firstRow="0" w:lastRow="0" w:firstColumn="0" w:lastColumn="0" w:noHBand="0" w:noVBand="0"/>
        </w:tblPrEx>
        <w:trPr>
          <w:cantSplit/>
        </w:trPr>
        <w:tc>
          <w:tcPr>
            <w:tcW w:w="1961" w:type="dxa"/>
            <w:tcBorders>
              <w:top w:val="single" w:sz="4" w:space="0" w:color="auto"/>
              <w:left w:val="single" w:sz="4" w:space="0" w:color="auto"/>
              <w:bottom w:val="single" w:sz="4" w:space="0" w:color="auto"/>
              <w:right w:val="single" w:sz="4" w:space="0" w:color="auto"/>
            </w:tcBorders>
          </w:tcPr>
          <w:p w:rsidR="009B406A" w:rsidRPr="007D33B4" w:rsidRDefault="009B406A" w:rsidP="00021560">
            <w:pPr>
              <w:pStyle w:val="TableText"/>
              <w:rPr>
                <w:bCs w:val="0"/>
              </w:rPr>
            </w:pPr>
            <w:r w:rsidRPr="007D33B4">
              <w:rPr>
                <w:bCs w:val="0"/>
              </w:rPr>
              <w:t>Administrative Advice:</w:t>
            </w:r>
          </w:p>
        </w:tc>
        <w:tc>
          <w:tcPr>
            <w:tcW w:w="7056" w:type="dxa"/>
            <w:gridSpan w:val="6"/>
            <w:tcBorders>
              <w:top w:val="single" w:sz="4" w:space="0" w:color="auto"/>
              <w:left w:val="single" w:sz="4" w:space="0" w:color="auto"/>
              <w:bottom w:val="single" w:sz="4" w:space="0" w:color="auto"/>
              <w:right w:val="single" w:sz="4" w:space="0" w:color="auto"/>
            </w:tcBorders>
          </w:tcPr>
          <w:p w:rsidR="009B406A" w:rsidRPr="007D33B4" w:rsidRDefault="009B406A" w:rsidP="00021560">
            <w:pPr>
              <w:pStyle w:val="TableText"/>
            </w:pPr>
            <w:r w:rsidRPr="007D33B4">
              <w:t>Special Pricing Arrangements Apply</w:t>
            </w:r>
          </w:p>
        </w:tc>
      </w:tr>
    </w:tbl>
    <w:p w:rsidR="007867AC" w:rsidRPr="007D33B4" w:rsidRDefault="007867AC" w:rsidP="00A52084">
      <w:pPr>
        <w:pStyle w:val="TableFigureFooter"/>
      </w:pPr>
      <w:r w:rsidRPr="007D33B4">
        <w:t xml:space="preserve">Source: Table 9, pp26-27 of the submission. </w:t>
      </w:r>
    </w:p>
    <w:p w:rsidR="008541C3" w:rsidRPr="00AE7193" w:rsidRDefault="005713E6" w:rsidP="005713E6">
      <w:pPr>
        <w:pStyle w:val="ExecSumBodyText"/>
      </w:pPr>
      <w:r w:rsidRPr="007D33B4">
        <w:t xml:space="preserve">The submission </w:t>
      </w:r>
      <w:r w:rsidR="00F93643" w:rsidRPr="007D33B4">
        <w:t xml:space="preserve">requested </w:t>
      </w:r>
      <w:r w:rsidRPr="007D33B4">
        <w:t>a special pricing arrangement, with an effective approved ex manufacturer price (AEMP</w:t>
      </w:r>
      <w:r w:rsidR="00634343" w:rsidRPr="007D33B4">
        <w:t>)</w:t>
      </w:r>
      <w:r w:rsidRPr="007D33B4">
        <w:t xml:space="preserve"> of $</w:t>
      </w:r>
      <w:r w:rsidR="00DD7357">
        <w:rPr>
          <w:noProof/>
          <w:color w:val="000000"/>
          <w:highlight w:val="black"/>
        </w:rPr>
        <w:t>'''''''''''''</w:t>
      </w:r>
      <w:r w:rsidRPr="007D33B4">
        <w:t xml:space="preserve"> per pack</w:t>
      </w:r>
      <w:r w:rsidR="00634343" w:rsidRPr="007D33B4">
        <w:t>,</w:t>
      </w:r>
      <w:r w:rsidRPr="007D33B4">
        <w:t xml:space="preserve"> </w:t>
      </w:r>
      <w:r w:rsidR="00C74C4F" w:rsidRPr="007D33B4">
        <w:t>and a</w:t>
      </w:r>
      <w:r w:rsidRPr="007D33B4">
        <w:t xml:space="preserve"> published AEMP of $</w:t>
      </w:r>
      <w:r w:rsidR="00DD7357">
        <w:rPr>
          <w:noProof/>
          <w:color w:val="000000"/>
          <w:highlight w:val="black"/>
        </w:rPr>
        <w:t>''''''''''''''</w:t>
      </w:r>
      <w:r w:rsidRPr="007D33B4">
        <w:t>.</w:t>
      </w:r>
      <w:r w:rsidR="00F93643" w:rsidRPr="007D33B4">
        <w:t xml:space="preserve"> The pre-PBAC response indicated that the sponsor </w:t>
      </w:r>
      <w:r w:rsidR="007D33B4">
        <w:t xml:space="preserve">would be </w:t>
      </w:r>
      <w:r w:rsidR="006A4022">
        <w:t xml:space="preserve">proposing </w:t>
      </w:r>
      <w:r w:rsidR="007D33B4">
        <w:t xml:space="preserve">a price reduction, but </w:t>
      </w:r>
      <w:r w:rsidR="00F93643" w:rsidRPr="007D33B4">
        <w:t xml:space="preserve">was unable to </w:t>
      </w:r>
      <w:r w:rsidR="007D33B4">
        <w:t xml:space="preserve">do so </w:t>
      </w:r>
      <w:r w:rsidR="00F93643">
        <w:t>in the timeframe prior to the PBAC meeting.</w:t>
      </w:r>
    </w:p>
    <w:p w:rsidR="00B13FBA" w:rsidRPr="00C00A16" w:rsidRDefault="00B13FBA" w:rsidP="00A52084">
      <w:pPr>
        <w:pStyle w:val="ExecSumBodyText"/>
        <w:rPr>
          <w:color w:val="0066FF"/>
        </w:rPr>
      </w:pPr>
      <w:r w:rsidRPr="00AE7193">
        <w:t>A dose increase to 200 mg/day is recommended when response has not been achieved after 4 weeks of treatment</w:t>
      </w:r>
      <w:r w:rsidR="00F93643">
        <w:t xml:space="preserve"> at 120 mg/day</w:t>
      </w:r>
      <w:r w:rsidRPr="00AE7193">
        <w:t xml:space="preserve">. For these patients, an increase in the maximum quantity </w:t>
      </w:r>
      <w:r w:rsidR="00F93643">
        <w:t>would</w:t>
      </w:r>
      <w:r w:rsidR="00F93643" w:rsidRPr="00AE7193">
        <w:t xml:space="preserve"> </w:t>
      </w:r>
      <w:r w:rsidRPr="00AE7193">
        <w:t>be required.</w:t>
      </w:r>
      <w:r w:rsidR="00E472BF">
        <w:t xml:space="preserve"> </w:t>
      </w:r>
      <w:r w:rsidR="00E472BF" w:rsidRPr="00C00A16">
        <w:t xml:space="preserve">The ESC noted </w:t>
      </w:r>
      <w:r w:rsidR="00582D90" w:rsidRPr="00C00A16">
        <w:t>that in the ADMIRAL trial</w:t>
      </w:r>
      <w:r w:rsidR="00F93643">
        <w:t>,</w:t>
      </w:r>
      <w:r w:rsidR="00582D90" w:rsidRPr="00C00A16">
        <w:t xml:space="preserve"> 31.6% (78/247) patients required a dose increase</w:t>
      </w:r>
      <w:r w:rsidR="00721C8E" w:rsidRPr="00C00A16">
        <w:t xml:space="preserve"> </w:t>
      </w:r>
      <w:r w:rsidR="00F76B52" w:rsidRPr="00C00A16">
        <w:t>to 200 mg/day</w:t>
      </w:r>
      <w:r w:rsidR="00582D90" w:rsidRPr="00C00A16">
        <w:t xml:space="preserve"> and 23.5% (58/247) required a dose reduction to 80 mg/day. </w:t>
      </w:r>
      <w:r w:rsidR="006937AF" w:rsidRPr="00C00A16">
        <w:t xml:space="preserve">The ESC considered it would be </w:t>
      </w:r>
      <w:bookmarkStart w:id="5" w:name="_Hlk89248572"/>
      <w:r w:rsidR="006937AF" w:rsidRPr="00C00A16">
        <w:t xml:space="preserve">appropriate for the initial gilteritinib listing to align with a response assessment at 4 weeks (i.e. max qty 1, with 0 repeats). </w:t>
      </w:r>
      <w:r w:rsidR="00582D90" w:rsidRPr="00C00A16">
        <w:t xml:space="preserve">The ESC </w:t>
      </w:r>
      <w:r w:rsidR="00F76B52" w:rsidRPr="00C00A16">
        <w:t xml:space="preserve">considered that a corresponding increase in the number of repeats for the continuing phase (i.e. max qty 1, with 4 repeats) may also be appropriate and </w:t>
      </w:r>
      <w:r w:rsidR="00582D90" w:rsidRPr="00C00A16">
        <w:t xml:space="preserve">noted that </w:t>
      </w:r>
      <w:r w:rsidR="00E472BF" w:rsidRPr="00C00A16">
        <w:t>a maximum quantity multiplier of 2</w:t>
      </w:r>
      <w:r w:rsidR="006937AF" w:rsidRPr="00C00A16">
        <w:t xml:space="preserve"> applied to the continuing treatment restriction</w:t>
      </w:r>
      <w:r w:rsidR="00E472BF" w:rsidRPr="00C00A16">
        <w:t>, would be sufficient to allow a maximum quantity of 168 tablets for patients needing</w:t>
      </w:r>
      <w:r w:rsidR="000D1689">
        <w:t xml:space="preserve"> a</w:t>
      </w:r>
      <w:r w:rsidR="00E472BF" w:rsidRPr="00C00A16">
        <w:t xml:space="preserve"> 200 mg dose</w:t>
      </w:r>
      <w:r w:rsidR="00F76B52" w:rsidRPr="00C00A16">
        <w:t>.</w:t>
      </w:r>
      <w:bookmarkEnd w:id="5"/>
      <w:r w:rsidR="00F76B52" w:rsidRPr="00C00A16">
        <w:t xml:space="preserve"> </w:t>
      </w:r>
      <w:r w:rsidR="00E472BF" w:rsidRPr="00C00A16">
        <w:t>H</w:t>
      </w:r>
      <w:r w:rsidR="00582D90" w:rsidRPr="00C00A16">
        <w:t>owever,</w:t>
      </w:r>
      <w:r w:rsidR="00E472BF" w:rsidRPr="00C00A16">
        <w:t xml:space="preserve"> a maximum quantity multiplier of 2 would provide more than 28 days</w:t>
      </w:r>
      <w:r w:rsidR="00FD5104" w:rsidRPr="00C00A16">
        <w:t>’</w:t>
      </w:r>
      <w:r w:rsidR="00E472BF" w:rsidRPr="00C00A16">
        <w:t xml:space="preserve"> supply per prescription.</w:t>
      </w:r>
      <w:r w:rsidR="00A203BC" w:rsidRPr="00C00A16">
        <w:t xml:space="preserve"> Equally, the supply of 84 tablets, as per the maximum quantity specified in the restriction, </w:t>
      </w:r>
      <w:r w:rsidR="000D1689">
        <w:t>would</w:t>
      </w:r>
      <w:r w:rsidR="000D1689" w:rsidRPr="00C00A16">
        <w:t xml:space="preserve"> </w:t>
      </w:r>
      <w:r w:rsidR="00A203BC" w:rsidRPr="00C00A16">
        <w:t>result in more than 28 days</w:t>
      </w:r>
      <w:r w:rsidR="00FD5104" w:rsidRPr="00C00A16">
        <w:t>’</w:t>
      </w:r>
      <w:r w:rsidR="00A203BC" w:rsidRPr="00C00A16">
        <w:t xml:space="preserve"> supply for patients who require a dose reduction. </w:t>
      </w:r>
      <w:r w:rsidR="00E472BF" w:rsidRPr="00C00A16">
        <w:t xml:space="preserve"> </w:t>
      </w:r>
    </w:p>
    <w:p w:rsidR="00591957" w:rsidRPr="00C00A16" w:rsidRDefault="007867AC" w:rsidP="00B13FBA">
      <w:pPr>
        <w:pStyle w:val="ExecSumBodyText"/>
        <w:rPr>
          <w:color w:val="0066FF"/>
        </w:rPr>
      </w:pPr>
      <w:r w:rsidRPr="00AE7193">
        <w:t>The requested restrictions were narrower than the TGA indication, in that the requested restrictions exclude patients with acute promyelocytic leukaemia</w:t>
      </w:r>
      <w:r w:rsidR="00765DDE">
        <w:t xml:space="preserve"> (APML)</w:t>
      </w:r>
      <w:r w:rsidRPr="00AE7193">
        <w:t>.</w:t>
      </w:r>
      <w:r w:rsidRPr="00AE7193">
        <w:rPr>
          <w:color w:val="0066FF"/>
        </w:rPr>
        <w:t xml:space="preserve"> </w:t>
      </w:r>
      <w:r w:rsidR="009E153A" w:rsidRPr="00C00A16">
        <w:t xml:space="preserve">The ESC </w:t>
      </w:r>
      <w:r w:rsidR="00107201" w:rsidRPr="00C00A16">
        <w:t>considered the</w:t>
      </w:r>
      <w:r w:rsidR="009E153A" w:rsidRPr="00C00A16">
        <w:t xml:space="preserve"> exclusion of patients with</w:t>
      </w:r>
      <w:r w:rsidR="009E153A" w:rsidRPr="00C00A16">
        <w:rPr>
          <w:color w:val="0066FF"/>
        </w:rPr>
        <w:t xml:space="preserve"> </w:t>
      </w:r>
      <w:r w:rsidR="00765DDE">
        <w:t>APML was</w:t>
      </w:r>
      <w:r w:rsidR="00107201" w:rsidRPr="00C00A16">
        <w:t xml:space="preserve"> reasonable and noted this was consistent with the ADMIRAL trial. </w:t>
      </w:r>
    </w:p>
    <w:p w:rsidR="00F67A69" w:rsidRPr="000D1689" w:rsidRDefault="007867AC" w:rsidP="00F9393E">
      <w:pPr>
        <w:pStyle w:val="ExecSumBodyText"/>
        <w:rPr>
          <w:color w:val="0066FF"/>
        </w:rPr>
      </w:pPr>
      <w:r w:rsidRPr="00AE7193">
        <w:rPr>
          <w:iCs/>
        </w:rPr>
        <w:t xml:space="preserve">The proposed restriction </w:t>
      </w:r>
      <w:r w:rsidR="000D254B" w:rsidRPr="00AE7193">
        <w:rPr>
          <w:iCs/>
        </w:rPr>
        <w:t xml:space="preserve">did </w:t>
      </w:r>
      <w:r w:rsidRPr="00AE7193">
        <w:rPr>
          <w:iCs/>
        </w:rPr>
        <w:t xml:space="preserve">not specify an </w:t>
      </w:r>
      <w:r w:rsidR="00765DDE" w:rsidRPr="003253E7">
        <w:t xml:space="preserve">Eastern Cooperative Oncology Group </w:t>
      </w:r>
      <w:r w:rsidR="00765DDE">
        <w:t xml:space="preserve">(ECOG) </w:t>
      </w:r>
      <w:r w:rsidR="00765DDE" w:rsidRPr="003253E7">
        <w:t xml:space="preserve">Performance Status </w:t>
      </w:r>
      <w:r w:rsidRPr="00AE7193">
        <w:rPr>
          <w:iCs/>
        </w:rPr>
        <w:t>range, whereas the ADMIRAL trial</w:t>
      </w:r>
      <w:r w:rsidR="00AE0ACF" w:rsidRPr="00AE7193">
        <w:rPr>
          <w:iCs/>
        </w:rPr>
        <w:t xml:space="preserve"> (the primary source of evidence presented in the submission)</w:t>
      </w:r>
      <w:r w:rsidRPr="00AE7193">
        <w:rPr>
          <w:iCs/>
        </w:rPr>
        <w:t xml:space="preserve"> included only patients with ECOG status of 0 to 2 (with 83</w:t>
      </w:r>
      <w:r w:rsidR="00584F84">
        <w:rPr>
          <w:iCs/>
        </w:rPr>
        <w:t>.8</w:t>
      </w:r>
      <w:r w:rsidRPr="00AE7193">
        <w:rPr>
          <w:iCs/>
        </w:rPr>
        <w:t xml:space="preserve">% of patients with baseline ECOG status of 0 or 1). </w:t>
      </w:r>
    </w:p>
    <w:p w:rsidR="000D1689" w:rsidRPr="00AE7193" w:rsidRDefault="000D1689" w:rsidP="000D1689">
      <w:pPr>
        <w:pStyle w:val="ExecSumBodyText"/>
      </w:pPr>
      <w:r w:rsidRPr="000D1689">
        <w:t xml:space="preserve">On all phases of listing, the submission included the midostaurin </w:t>
      </w:r>
      <w:r w:rsidR="00C870DD">
        <w:t xml:space="preserve">PBS listing </w:t>
      </w:r>
      <w:r w:rsidRPr="000D1689">
        <w:t xml:space="preserve">prescriber instructions about monitoring for progressive disease and cessation of therapy. </w:t>
      </w:r>
      <w:r w:rsidR="00BE1A3A" w:rsidRPr="00AE7193">
        <w:t xml:space="preserve"> </w:t>
      </w:r>
    </w:p>
    <w:p w:rsidR="00E276E9" w:rsidRDefault="00E276E9" w:rsidP="007867AC">
      <w:pPr>
        <w:pStyle w:val="ExecSumBodyText"/>
        <w:rPr>
          <w:iCs/>
        </w:rPr>
      </w:pPr>
      <w:r>
        <w:rPr>
          <w:iCs/>
        </w:rPr>
        <w:t>The requested PBS continuation phase listing was intended to also allow for maintenance therapy post-</w:t>
      </w:r>
      <w:r w:rsidRPr="00E276E9">
        <w:rPr>
          <w:iCs/>
        </w:rPr>
        <w:t>haematopoietic cell transplant (HSCT)</w:t>
      </w:r>
      <w:r>
        <w:rPr>
          <w:iCs/>
        </w:rPr>
        <w:t xml:space="preserve">, in patients who had received </w:t>
      </w:r>
      <w:r w:rsidR="00057F1C">
        <w:rPr>
          <w:iCs/>
        </w:rPr>
        <w:t>prior</w:t>
      </w:r>
      <w:r>
        <w:rPr>
          <w:iCs/>
        </w:rPr>
        <w:t xml:space="preserve"> treatment with gilteritinib</w:t>
      </w:r>
      <w:r w:rsidR="00BE1A3A">
        <w:rPr>
          <w:iCs/>
        </w:rPr>
        <w:t xml:space="preserve"> in the relapsed/refractory setting</w:t>
      </w:r>
      <w:r>
        <w:rPr>
          <w:iCs/>
        </w:rPr>
        <w:t xml:space="preserve">. The submission stated this would be consistent with the ADMIRAL trial and the TGA Product Information. However, the ESC had </w:t>
      </w:r>
      <w:r w:rsidR="00BE1A3A">
        <w:rPr>
          <w:iCs/>
        </w:rPr>
        <w:t>considered that a treatment benefit was not supported in these patients</w:t>
      </w:r>
      <w:r>
        <w:rPr>
          <w:iCs/>
        </w:rPr>
        <w:t>. Thus, the pre-PBAC response proposed to withdraw the request for maintenance use post-HSCT</w:t>
      </w:r>
      <w:r w:rsidR="00BE1A3A">
        <w:rPr>
          <w:iCs/>
        </w:rPr>
        <w:t xml:space="preserve"> at this time</w:t>
      </w:r>
      <w:r>
        <w:rPr>
          <w:iCs/>
        </w:rPr>
        <w:t xml:space="preserve">. </w:t>
      </w:r>
    </w:p>
    <w:p w:rsidR="009033DC" w:rsidRDefault="009033DC" w:rsidP="007867AC">
      <w:pPr>
        <w:pStyle w:val="ExecSumBodyText"/>
        <w:rPr>
          <w:iCs/>
        </w:rPr>
      </w:pPr>
      <w:r>
        <w:rPr>
          <w:lang w:val="en-GB" w:eastAsia="en-US"/>
        </w:rPr>
        <w:t>The PBAC noted that the midostaurin ‘Induction/Consolidation therapy’ restriction was an Authority Required (Telephone/Electronic) listing. Whereas the ‘maintenance therapy – initial treatment’ listing required prescribers to seek Authority via an application form submitted online or via post, which was recommended to</w:t>
      </w:r>
      <w:r w:rsidRPr="001B1221">
        <w:rPr>
          <w:lang w:val="en-GB" w:eastAsia="en-US"/>
        </w:rPr>
        <w:t xml:space="preserve"> manage the risk of use outside the intended population, including in patients post stem cell transplant and with FLT3 wild type AML (paragraphs 2.7 and 6.65, midostaurin </w:t>
      </w:r>
      <w:r w:rsidR="00DA1F75" w:rsidRPr="005743F7">
        <w:t xml:space="preserve">Public Summary Document </w:t>
      </w:r>
      <w:r w:rsidR="00DA1F75">
        <w:t>(</w:t>
      </w:r>
      <w:r w:rsidRPr="001B1221">
        <w:rPr>
          <w:lang w:val="en-GB" w:eastAsia="en-US"/>
        </w:rPr>
        <w:t>PSD</w:t>
      </w:r>
      <w:r w:rsidR="00DA1F75">
        <w:rPr>
          <w:lang w:val="en-GB" w:eastAsia="en-US"/>
        </w:rPr>
        <w:t>)</w:t>
      </w:r>
      <w:r w:rsidRPr="001B1221">
        <w:rPr>
          <w:lang w:val="en-GB" w:eastAsia="en-US"/>
        </w:rPr>
        <w:t xml:space="preserve">, July 2018 PBAC meeting). </w:t>
      </w:r>
      <w:r>
        <w:rPr>
          <w:lang w:val="en-GB" w:eastAsia="en-US"/>
        </w:rPr>
        <w:t>Noting the withdrawal of the request for gilteritinib maintenance use post-HSCT</w:t>
      </w:r>
      <w:r w:rsidR="00694644">
        <w:rPr>
          <w:lang w:val="en-GB" w:eastAsia="en-US"/>
        </w:rPr>
        <w:t>,</w:t>
      </w:r>
      <w:r>
        <w:rPr>
          <w:lang w:val="en-GB" w:eastAsia="en-US"/>
        </w:rPr>
        <w:t xml:space="preserve"> the PBAC considered an Authority Required (Telephone/Electronic) listing likely appropriate. </w:t>
      </w:r>
    </w:p>
    <w:p w:rsidR="007867AC" w:rsidRPr="002332F5" w:rsidRDefault="007867AC" w:rsidP="007867AC">
      <w:pPr>
        <w:pStyle w:val="ExecSumBodyText"/>
        <w:rPr>
          <w:color w:val="0066FF"/>
        </w:rPr>
      </w:pPr>
      <w:r w:rsidRPr="003253E7">
        <w:t>The submission</w:t>
      </w:r>
      <w:r w:rsidR="000D254B">
        <w:t xml:space="preserve"> </w:t>
      </w:r>
      <w:r w:rsidRPr="003253E7">
        <w:t>proposed a grandfather</w:t>
      </w:r>
      <w:r w:rsidR="00D55851">
        <w:t>ing</w:t>
      </w:r>
      <w:r w:rsidRPr="003253E7">
        <w:t xml:space="preserve"> restriction for an estimated </w:t>
      </w:r>
      <w:r w:rsidR="0032454A">
        <w:t>&lt; 500 </w:t>
      </w:r>
      <w:r w:rsidRPr="003253E7">
        <w:t>patients.</w:t>
      </w:r>
    </w:p>
    <w:p w:rsidR="002332F5" w:rsidRPr="003253E7" w:rsidRDefault="002332F5" w:rsidP="002332F5">
      <w:pPr>
        <w:pStyle w:val="ExecSumBodyText"/>
        <w:numPr>
          <w:ilvl w:val="0"/>
          <w:numId w:val="0"/>
        </w:numPr>
        <w:ind w:left="720"/>
        <w:rPr>
          <w:color w:val="0066FF"/>
        </w:rPr>
      </w:pPr>
      <w:r w:rsidRPr="00C33D30">
        <w:rPr>
          <w:i/>
        </w:rPr>
        <w:t>For more detail on PBAC’s view, see section 7 PBAC outcome</w:t>
      </w:r>
    </w:p>
    <w:p w:rsidR="00B50DB8" w:rsidRPr="003253E7" w:rsidRDefault="00203181" w:rsidP="004E18E9">
      <w:pPr>
        <w:pStyle w:val="2-SectionHeading"/>
      </w:pPr>
      <w:bookmarkStart w:id="6" w:name="_Toc82605752"/>
      <w:r w:rsidRPr="003253E7">
        <w:t xml:space="preserve">Population and </w:t>
      </w:r>
      <w:r w:rsidR="008E0D3C" w:rsidRPr="003253E7">
        <w:t>d</w:t>
      </w:r>
      <w:r w:rsidRPr="003253E7">
        <w:t>isease</w:t>
      </w:r>
      <w:bookmarkEnd w:id="6"/>
    </w:p>
    <w:p w:rsidR="00AC2546" w:rsidRPr="003253E7" w:rsidRDefault="00AC2546" w:rsidP="004E18E9">
      <w:pPr>
        <w:pStyle w:val="ExecSumBodyText"/>
        <w:rPr>
          <w:color w:val="0066FF"/>
        </w:rPr>
      </w:pPr>
      <w:r w:rsidRPr="003253E7">
        <w:t>AML is a type of blood cancer which develops when the body makes too many immature white blood cells known as myeloid blasts. These immature and abnormal blast cells are also known as leukaemia cells. They do not perform the usual infection-fighting function of white blood cells, but also crowd out normal white blood cells, impairing their function. When the bone marrow is filled with leukaemia cells, there is less room for healthy red blood cells and platelets to be produced. Patients with AML typically experience fatigue, weakness or breathlessness, memory loss, bruising, bleeding</w:t>
      </w:r>
      <w:r w:rsidR="000D254B">
        <w:t>,</w:t>
      </w:r>
      <w:r w:rsidRPr="003253E7">
        <w:t xml:space="preserve"> and frequent infections.</w:t>
      </w:r>
      <w:r w:rsidRPr="003253E7">
        <w:rPr>
          <w:color w:val="0066FF"/>
        </w:rPr>
        <w:t xml:space="preserve"> </w:t>
      </w:r>
    </w:p>
    <w:p w:rsidR="00AC2546" w:rsidRPr="003253E7" w:rsidRDefault="00AC2546" w:rsidP="004E18E9">
      <w:pPr>
        <w:pStyle w:val="ExecSumBodyText"/>
        <w:rPr>
          <w:color w:val="0066FF"/>
        </w:rPr>
      </w:pPr>
      <w:r w:rsidRPr="003253E7">
        <w:t xml:space="preserve">AML is the most common type of acute leukaemia in adults. The disease becomes more common with age, mostly occurring after 65 years, and affects more males than females. AML is associated with rapid progression and poor prognosis, with a 5-year relative survival in all ages </w:t>
      </w:r>
      <w:r w:rsidR="00765DDE" w:rsidRPr="00610FCD">
        <w:t>of 26.3% (2013-2017 period, AIHW Cancer data in Australia, 2021</w:t>
      </w:r>
      <w:r w:rsidRPr="003253E7">
        <w:t xml:space="preserve">). The majority of cases occur </w:t>
      </w:r>
      <w:r w:rsidRPr="003253E7">
        <w:rPr>
          <w:i/>
        </w:rPr>
        <w:t>de novo</w:t>
      </w:r>
      <w:r w:rsidRPr="003253E7">
        <w:t>, however, there are a minority of cases with subtypes of AML, including APML and secondary AML</w:t>
      </w:r>
      <w:r w:rsidR="000D254B">
        <w:t>,</w:t>
      </w:r>
      <w:r w:rsidRPr="003253E7">
        <w:t xml:space="preserve"> which is associated with prior myelodysplastic syndrome</w:t>
      </w:r>
      <w:r w:rsidR="00505CA9" w:rsidRPr="003253E7">
        <w:t>,</w:t>
      </w:r>
      <w:r w:rsidRPr="003253E7">
        <w:t xml:space="preserve"> myeloproliferative disease</w:t>
      </w:r>
      <w:r w:rsidR="00505CA9" w:rsidRPr="003253E7">
        <w:t>,</w:t>
      </w:r>
      <w:r w:rsidRPr="003253E7">
        <w:t xml:space="preserve"> prior cytotoxic chemotherapy or radia</w:t>
      </w:r>
      <w:r w:rsidRPr="003253E7">
        <w:rPr>
          <w:rFonts w:eastAsia="Calibri" w:cs="Calibri"/>
        </w:rPr>
        <w:t>ti</w:t>
      </w:r>
      <w:r w:rsidRPr="003253E7">
        <w:t xml:space="preserve">on for an unrelated malignancy. These subtypes are biologically and clinically distinct variants, which are associated with relatively poorer treatment response and prognosis and are treated differently to </w:t>
      </w:r>
      <w:r w:rsidRPr="003253E7">
        <w:rPr>
          <w:i/>
        </w:rPr>
        <w:t>de novo</w:t>
      </w:r>
      <w:r w:rsidRPr="003253E7">
        <w:t xml:space="preserve"> AML.</w:t>
      </w:r>
      <w:r w:rsidRPr="003253E7">
        <w:rPr>
          <w:color w:val="0066FF"/>
        </w:rPr>
        <w:t xml:space="preserve"> </w:t>
      </w:r>
      <w:r w:rsidR="001B186C" w:rsidRPr="003253E7">
        <w:t>The submission’s proposed population exclude</w:t>
      </w:r>
      <w:r w:rsidR="00765DDE">
        <w:t>d</w:t>
      </w:r>
      <w:r w:rsidR="001B186C" w:rsidRPr="003253E7">
        <w:t xml:space="preserve"> patients with APML as this subtype was excluded from the pivotal trial for gilteritinib</w:t>
      </w:r>
      <w:r w:rsidR="006374C9" w:rsidRPr="003253E7">
        <w:t xml:space="preserve"> (ADMIRAL)</w:t>
      </w:r>
      <w:r w:rsidR="001B186C" w:rsidRPr="003253E7">
        <w:t>.</w:t>
      </w:r>
    </w:p>
    <w:p w:rsidR="001B186C" w:rsidRPr="003253E7" w:rsidRDefault="001B186C" w:rsidP="004E18E9">
      <w:pPr>
        <w:pStyle w:val="ExecSumBodyText"/>
        <w:rPr>
          <w:color w:val="0066FF"/>
        </w:rPr>
      </w:pPr>
      <w:r w:rsidRPr="003253E7">
        <w:t xml:space="preserve">AML is initially diagnosed by bone marrow aspirate and biopsy using morphologic, cytochemical, immunophenotypic and cytogenetic/molecular analyses. An AML diagnosis requires patients to have a bone marrow or peripheral blood blast count of at least 20% and blast forms identified as cells of the myeloid lineage (rather than lymphoid). The presence of specific cytogenetic abnormalities is used to classify patients into favourable, intermediate and poor-risk categories. Treatment recommendations and outcomes are also influenced by patient characteristics such as age and </w:t>
      </w:r>
      <w:r w:rsidR="00765DDE">
        <w:t>ECOG</w:t>
      </w:r>
      <w:r w:rsidRPr="003253E7">
        <w:t xml:space="preserve"> Performance Status.</w:t>
      </w:r>
      <w:r w:rsidRPr="003253E7">
        <w:rPr>
          <w:color w:val="0066FF"/>
        </w:rPr>
        <w:t xml:space="preserve"> </w:t>
      </w:r>
    </w:p>
    <w:p w:rsidR="001B186C" w:rsidRPr="003253E7" w:rsidRDefault="001B186C" w:rsidP="004E18E9">
      <w:pPr>
        <w:pStyle w:val="ExecSumBodyText"/>
        <w:rPr>
          <w:color w:val="0066FF"/>
        </w:rPr>
      </w:pPr>
      <w:r w:rsidRPr="003253E7">
        <w:t xml:space="preserve">The target population in the submission </w:t>
      </w:r>
      <w:r w:rsidR="000D254B">
        <w:t>was</w:t>
      </w:r>
      <w:r w:rsidRPr="003253E7">
        <w:t xml:space="preserve"> patients with relapsed or refractory </w:t>
      </w:r>
      <w:r w:rsidR="000D254B">
        <w:t>AML</w:t>
      </w:r>
      <w:r w:rsidRPr="003253E7">
        <w:t xml:space="preserve"> with FLT3 mutation. Mutations in FLT3 are the most common genetic alteration in AML, identified in approximately one third of newly diagnosed patients (De Kouchkovsky 2016). </w:t>
      </w:r>
      <w:r w:rsidRPr="005743F7">
        <w:t>The PBAC has previously accepted a FLT3-mutation positivity of 34% for newly diagnosed AML (</w:t>
      </w:r>
      <w:r w:rsidR="000D254B" w:rsidRPr="005743F7">
        <w:t>p</w:t>
      </w:r>
      <w:r w:rsidRPr="005743F7">
        <w:t>ara 6.54, midostaurin PSD, July 2018 PBAC Meeting).</w:t>
      </w:r>
      <w:r w:rsidRPr="003253E7">
        <w:t xml:space="preserve"> The most frequently occurring FLT3 mutations are the internal tandem duplication (ITD) and the tyrosine kinase domain (TKD) point mutations. FLT3/ITD mutations are more common than TKD mutations and appear to have a greater negative influence on disease prognosis, including shorter remission durations and poorer survival outcomes compared to patients who have wild-type FLT3. The impact of the TKD point mutation on disease trajectory is less clear (National Comprehensive Cancer Network </w:t>
      </w:r>
      <w:r w:rsidR="00806612">
        <w:t>g</w:t>
      </w:r>
      <w:r w:rsidRPr="003253E7">
        <w:t xml:space="preserve">uidelines for AML, NCCN </w:t>
      </w:r>
      <w:r w:rsidR="00765DDE">
        <w:t>v3.</w:t>
      </w:r>
      <w:r w:rsidRPr="003253E7">
        <w:t>2021). FLT3 mutation status has been shown to change between diagnosis and relapse, with one study reporting 30% FLT3/ITD mutation at diagnosis, increasing to 38% at first relapse (McCormick et al 2010).</w:t>
      </w:r>
    </w:p>
    <w:p w:rsidR="003311BB" w:rsidRPr="00D903D1" w:rsidRDefault="001B186C" w:rsidP="003311BB">
      <w:pPr>
        <w:pStyle w:val="ExecSumBodyText"/>
        <w:rPr>
          <w:i/>
        </w:rPr>
      </w:pPr>
      <w:bookmarkStart w:id="7" w:name="_Ref89097375"/>
      <w:r w:rsidRPr="003253E7">
        <w:t xml:space="preserve">In Australia, the mean age at diagnosis of all types of AML is 66 years (median 71 years, </w:t>
      </w:r>
      <w:r w:rsidR="0071595F">
        <w:t xml:space="preserve">2017 data, </w:t>
      </w:r>
      <w:r w:rsidRPr="003253E7">
        <w:t>AIHW 202</w:t>
      </w:r>
      <w:r w:rsidR="0071595F">
        <w:t>1</w:t>
      </w:r>
      <w:r w:rsidRPr="003253E7">
        <w:t xml:space="preserve">). The submission argued that it is very likely that the FLT3-positive </w:t>
      </w:r>
      <w:r w:rsidR="00970C67" w:rsidRPr="003253E7">
        <w:t xml:space="preserve">AML </w:t>
      </w:r>
      <w:r w:rsidRPr="003253E7">
        <w:t>population is at a younger age at diagnosis, report</w:t>
      </w:r>
      <w:r w:rsidR="00645943" w:rsidRPr="003253E7">
        <w:t>ing</w:t>
      </w:r>
      <w:r w:rsidRPr="003253E7">
        <w:t xml:space="preserve"> that that the mean age of 184 Australian FLT3-positive patients at the time of first relapse or refractory event was 57 years (from </w:t>
      </w:r>
      <w:r w:rsidR="00AD1E72" w:rsidRPr="003253E7">
        <w:t>Australasian Leukaemia and Lymphoma Group</w:t>
      </w:r>
      <w:r w:rsidR="00AD1E72">
        <w:t xml:space="preserve"> (ALLG)</w:t>
      </w:r>
      <w:r w:rsidRPr="003253E7">
        <w:t xml:space="preserve"> 2020, an Australian registry study). </w:t>
      </w:r>
      <w:r w:rsidRPr="00860DD2">
        <w:t>The ALLG study authors noted that the study primarily recruited younger patients and that the results may not be generalisable to elderly patients.</w:t>
      </w:r>
      <w:bookmarkEnd w:id="7"/>
    </w:p>
    <w:p w:rsidR="00DB7343" w:rsidRPr="00C00A16" w:rsidRDefault="00DB7343" w:rsidP="003311BB">
      <w:pPr>
        <w:pStyle w:val="ExecSumBodyText"/>
        <w:rPr>
          <w:color w:val="0066FF"/>
        </w:rPr>
      </w:pPr>
      <w:r w:rsidRPr="003253E7">
        <w:t xml:space="preserve">The clinical management algorithm was broadly based on US </w:t>
      </w:r>
      <w:r w:rsidR="001A751E">
        <w:t>NCCN</w:t>
      </w:r>
      <w:r w:rsidRPr="003253E7">
        <w:t xml:space="preserve"> guidelines for AML (v3.2021), with consideration of Australian registered and reimbursed treatments (eviQ – Acute Myeloid Leukaemia)</w:t>
      </w:r>
      <w:r w:rsidR="0071595F">
        <w:t xml:space="preserve">, </w:t>
      </w:r>
      <w:r w:rsidRPr="003253E7">
        <w:t>other international guidelines (European LeukemiaNET, European Society for Medical Oncology), and expert opinion.</w:t>
      </w:r>
      <w:r w:rsidR="005C0D29">
        <w:t xml:space="preserve"> </w:t>
      </w:r>
      <w:r w:rsidR="005C0D29" w:rsidRPr="00C00A16">
        <w:t>The</w:t>
      </w:r>
      <w:r w:rsidR="002D59AC">
        <w:t xml:space="preserve"> PBAC agreed with the</w:t>
      </w:r>
      <w:r w:rsidR="005C0D29" w:rsidRPr="00C00A16">
        <w:t xml:space="preserve"> ESC </w:t>
      </w:r>
      <w:r w:rsidR="002D59AC">
        <w:t xml:space="preserve">that </w:t>
      </w:r>
      <w:r w:rsidR="005C0D29" w:rsidRPr="00C00A16">
        <w:t xml:space="preserve">the clinical management algorithm was largely consistent with current Australian practice, with the exception that response is assessed at 28 days rather than after </w:t>
      </w:r>
      <w:r w:rsidR="00860DD2" w:rsidRPr="00C00A16">
        <w:t>14-21 days</w:t>
      </w:r>
      <w:r w:rsidR="005C0D29" w:rsidRPr="00C00A16">
        <w:t>.</w:t>
      </w:r>
    </w:p>
    <w:p w:rsidR="002C2775" w:rsidRPr="002332F5" w:rsidRDefault="00DB7343" w:rsidP="004E18E9">
      <w:pPr>
        <w:pStyle w:val="ExecSumBodyText"/>
        <w:rPr>
          <w:color w:val="0066FF"/>
        </w:rPr>
      </w:pPr>
      <w:r w:rsidRPr="003253E7">
        <w:t>Gilteritinib</w:t>
      </w:r>
      <w:r w:rsidR="00AC0520" w:rsidRPr="003253E7">
        <w:t>, an FLT3 inhibitor administered as an oral tablet,</w:t>
      </w:r>
      <w:r w:rsidRPr="003253E7">
        <w:t xml:space="preserve"> was positioned as </w:t>
      </w:r>
      <w:bookmarkStart w:id="8" w:name="_Hlk89251022"/>
      <w:r w:rsidRPr="003253E7">
        <w:t xml:space="preserve">an alternative to salvage chemotherapy or enrolment in a clinical trial for relapsed or refractory FLT3 positive patients, regardless of the number or type of prior chemotherapy regimens received. </w:t>
      </w:r>
      <w:bookmarkEnd w:id="8"/>
      <w:r w:rsidRPr="003253E7">
        <w:t>The proposed algorithm position</w:t>
      </w:r>
      <w:r w:rsidR="00BE3240">
        <w:t>ed</w:t>
      </w:r>
      <w:r w:rsidRPr="003253E7">
        <w:t xml:space="preserve"> gilteritinib as a means of achieving remission in order to continue to potentially curative HSCT, but also as an ongoing treatment to be continued until relapse or disease progression. Patients may have received prior treatment with high-intensity chemotherapy (with or without midostaurin) or low-intensity chemotherapy. Some patients requiring treatment with gilteritinib may have relapsed after a prior HSCT. </w:t>
      </w:r>
      <w:r w:rsidRPr="005743F7">
        <w:rPr>
          <w:iCs/>
        </w:rPr>
        <w:t>The proposed algorithm did not nominate specific salvage chemotherapy treatment regimens.</w:t>
      </w:r>
      <w:r w:rsidRPr="003253E7">
        <w:rPr>
          <w:i/>
          <w:iCs/>
        </w:rPr>
        <w:t xml:space="preserve"> </w:t>
      </w:r>
      <w:r w:rsidRPr="003253E7">
        <w:t xml:space="preserve">The submission referred to NCCN guidelines, which recommend repeat induction therapy or HSCT in patients who have relapsed a year or more after treatment, and HSCT or a chemotherapy regimen not previously trialled for patients whose relapse comes less than 12 months after treatment. </w:t>
      </w:r>
      <w:r w:rsidR="008854AF">
        <w:t>As noted above, t</w:t>
      </w:r>
      <w:r w:rsidR="000A3951" w:rsidRPr="003253E7">
        <w:t>he submission also proposed the r</w:t>
      </w:r>
      <w:r w:rsidRPr="003253E7">
        <w:t xml:space="preserve">esumption of treatment with gilteritinib </w:t>
      </w:r>
      <w:r w:rsidR="000A3951" w:rsidRPr="003253E7">
        <w:t xml:space="preserve">in patients achieving complete remission after </w:t>
      </w:r>
      <w:r w:rsidRPr="003253E7">
        <w:t>HSCT</w:t>
      </w:r>
      <w:r w:rsidR="008854AF">
        <w:t>, however this request was withdrawn in the pre-PBAC response</w:t>
      </w:r>
      <w:r w:rsidRPr="003253E7">
        <w:t>.</w:t>
      </w:r>
    </w:p>
    <w:p w:rsidR="002332F5" w:rsidRPr="003253E7" w:rsidRDefault="002332F5" w:rsidP="002332F5">
      <w:pPr>
        <w:pStyle w:val="ExecSumBodyText"/>
        <w:numPr>
          <w:ilvl w:val="0"/>
          <w:numId w:val="0"/>
        </w:numPr>
        <w:ind w:left="720"/>
        <w:rPr>
          <w:color w:val="0066FF"/>
        </w:rPr>
      </w:pPr>
      <w:r w:rsidRPr="00C33D30">
        <w:rPr>
          <w:i/>
        </w:rPr>
        <w:t>For more detail on PBAC’s view, see section 7 PBAC outcome</w:t>
      </w:r>
    </w:p>
    <w:p w:rsidR="00B50DB8" w:rsidRPr="003253E7" w:rsidRDefault="00B50DB8" w:rsidP="004E18E9">
      <w:pPr>
        <w:pStyle w:val="2-SectionHeading"/>
      </w:pPr>
      <w:bookmarkStart w:id="9" w:name="_Toc82605753"/>
      <w:r w:rsidRPr="003253E7">
        <w:t>Comparator</w:t>
      </w:r>
      <w:bookmarkEnd w:id="9"/>
    </w:p>
    <w:p w:rsidR="00645943" w:rsidRPr="003253E7" w:rsidRDefault="00645943" w:rsidP="00882E3C">
      <w:pPr>
        <w:pStyle w:val="ExecSumBodyText"/>
        <w:rPr>
          <w:snapToGrid/>
        </w:rPr>
      </w:pPr>
      <w:r w:rsidRPr="003253E7">
        <w:t xml:space="preserve">The </w:t>
      </w:r>
      <w:r w:rsidRPr="005743F7">
        <w:t>submission appropriately nominated</w:t>
      </w:r>
      <w:r w:rsidRPr="003253E7">
        <w:t xml:space="preserve"> salvage chemotherapy as the main comparator. Treatment options for patients with relapsed/refractory AML are dependent on a number of patient- and disease-related factors, including age, comorbidities, performance status, cytogenetic and molecular abnormalities, prior lines of chemotherapy, history of prior HSCT, and time to relapse after previous complete remission. Younger ‘fit’ patients who have not received prior HSCT have the option of receiving high-intensity chemotherapy, and if adequate response is obtained, HSCT with curative intent. Older patients or those who have already relapsed after HSCT are treated with a variety of lower intensity options, with the goal of achieving a durable remission.</w:t>
      </w:r>
      <w:r w:rsidRPr="003253E7">
        <w:rPr>
          <w:color w:val="0066FF"/>
        </w:rPr>
        <w:t xml:space="preserve"> </w:t>
      </w:r>
    </w:p>
    <w:p w:rsidR="00CA3924" w:rsidRPr="005743F7" w:rsidRDefault="000A3951" w:rsidP="000A3951">
      <w:pPr>
        <w:pStyle w:val="ExecSumBodyText"/>
      </w:pPr>
      <w:r w:rsidRPr="003253E7">
        <w:t>The submission</w:t>
      </w:r>
      <w:r w:rsidR="00CA3924" w:rsidRPr="003253E7">
        <w:t xml:space="preserve"> proposed</w:t>
      </w:r>
      <w:r w:rsidRPr="003253E7">
        <w:t xml:space="preserve"> a blended</w:t>
      </w:r>
      <w:r w:rsidR="00CA3924" w:rsidRPr="003253E7">
        <w:t xml:space="preserve"> comparator based on the</w:t>
      </w:r>
      <w:r w:rsidRPr="003253E7">
        <w:t xml:space="preserve"> treatment regimens administered in the salvage chemotherapy arm of the key </w:t>
      </w:r>
      <w:r w:rsidR="00CA3924" w:rsidRPr="003253E7">
        <w:t>gilteritinib trial, ADMIRAL, as follows:</w:t>
      </w:r>
      <w:r w:rsidRPr="003253E7">
        <w:t xml:space="preserve"> low dose cytarabine, azacitidine monotherapy, MEC induction chemotherapy (mitoxantrone, etoposide, cytarabine) and FLAG-IDA induction chemotherapy (fludarabine, cytarabine, idarubicin, G-CSF). The submission claimed the distribution of use of these regimens in the trial (13.7% low dose cytarabine, </w:t>
      </w:r>
      <w:r w:rsidR="00BE3240" w:rsidRPr="003253E7">
        <w:t xml:space="preserve">25.8% azacitidine, </w:t>
      </w:r>
      <w:r w:rsidRPr="003253E7">
        <w:t>26.6% MEC</w:t>
      </w:r>
      <w:r w:rsidR="008854AF">
        <w:t xml:space="preserve"> and </w:t>
      </w:r>
      <w:r w:rsidR="008854AF" w:rsidRPr="003253E7">
        <w:t>33.9% FLAG-IDA</w:t>
      </w:r>
      <w:r w:rsidRPr="003253E7">
        <w:t xml:space="preserve">) </w:t>
      </w:r>
      <w:r w:rsidR="00054645" w:rsidRPr="003253E7">
        <w:t>was</w:t>
      </w:r>
      <w:r w:rsidRPr="003253E7">
        <w:t xml:space="preserve"> representative of use in the </w:t>
      </w:r>
      <w:r w:rsidR="008854AF">
        <w:t xml:space="preserve">proposed </w:t>
      </w:r>
      <w:r w:rsidRPr="003253E7">
        <w:t xml:space="preserve">PBS population. </w:t>
      </w:r>
      <w:r w:rsidR="00860DD2" w:rsidRPr="00C00A16">
        <w:t>T</w:t>
      </w:r>
      <w:r w:rsidR="00CA3924" w:rsidRPr="00C00A16">
        <w:t xml:space="preserve">he </w:t>
      </w:r>
      <w:r w:rsidR="00860DD2" w:rsidRPr="00C00A16">
        <w:t xml:space="preserve">ESC considered the </w:t>
      </w:r>
      <w:r w:rsidR="00CA3924" w:rsidRPr="00C00A16">
        <w:t>salvage</w:t>
      </w:r>
      <w:r w:rsidR="00CA3924" w:rsidRPr="005743F7">
        <w:t xml:space="preserve"> chemotherapy regimens</w:t>
      </w:r>
      <w:r w:rsidRPr="005743F7">
        <w:t xml:space="preserve"> and distribution of </w:t>
      </w:r>
      <w:r w:rsidR="00CA3924" w:rsidRPr="005743F7">
        <w:t xml:space="preserve">use in the ADMIRAL trial </w:t>
      </w:r>
      <w:r w:rsidRPr="005743F7">
        <w:t xml:space="preserve">was applicable to the </w:t>
      </w:r>
      <w:r w:rsidR="008854AF">
        <w:t xml:space="preserve">proposed </w:t>
      </w:r>
      <w:r w:rsidRPr="005743F7">
        <w:t>PBS population</w:t>
      </w:r>
      <w:r w:rsidR="00CA3924" w:rsidRPr="005743F7">
        <w:t>.</w:t>
      </w:r>
    </w:p>
    <w:p w:rsidR="009464DD" w:rsidRPr="005743F7" w:rsidRDefault="001A751E" w:rsidP="003B6523">
      <w:pPr>
        <w:pStyle w:val="ExecSumBodyText"/>
      </w:pPr>
      <w:r>
        <w:t>The evaluation considered that b</w:t>
      </w:r>
      <w:r w:rsidR="00DB7343" w:rsidRPr="005743F7">
        <w:t>est supportive care</w:t>
      </w:r>
      <w:r w:rsidR="009F1607" w:rsidRPr="005743F7">
        <w:t xml:space="preserve"> (</w:t>
      </w:r>
      <w:r w:rsidR="002718D5" w:rsidRPr="005743F7">
        <w:t>e.g.</w:t>
      </w:r>
      <w:r w:rsidR="009F1607" w:rsidRPr="005743F7">
        <w:t xml:space="preserve"> symptom management, </w:t>
      </w:r>
      <w:r w:rsidR="002718D5" w:rsidRPr="005743F7">
        <w:t>blood transfusions</w:t>
      </w:r>
      <w:r w:rsidR="009F1607" w:rsidRPr="005743F7">
        <w:t xml:space="preserve"> and infection control)</w:t>
      </w:r>
      <w:r w:rsidR="00DB7343" w:rsidRPr="005743F7">
        <w:t xml:space="preserve"> may</w:t>
      </w:r>
      <w:r w:rsidR="00BE3240" w:rsidRPr="005743F7">
        <w:t xml:space="preserve"> also</w:t>
      </w:r>
      <w:r w:rsidR="00DB7343" w:rsidRPr="005743F7">
        <w:t xml:space="preserve"> be a relevant comparator. Some patients may not opt for active treatment, for a variety of reasons including age, fitness, tolerability or treatment burden.</w:t>
      </w:r>
    </w:p>
    <w:p w:rsidR="002332F5" w:rsidRPr="005743F7" w:rsidRDefault="002332F5" w:rsidP="002332F5">
      <w:pPr>
        <w:pStyle w:val="ExecSumBodyText"/>
        <w:numPr>
          <w:ilvl w:val="0"/>
          <w:numId w:val="0"/>
        </w:numPr>
        <w:ind w:left="720"/>
      </w:pPr>
      <w:r w:rsidRPr="00C33D30">
        <w:rPr>
          <w:i/>
        </w:rPr>
        <w:t>For more detail on PBAC’s view, see section 7 PBAC outcome</w:t>
      </w:r>
    </w:p>
    <w:p w:rsidR="00223D5A" w:rsidRDefault="00223D5A" w:rsidP="00223D5A">
      <w:pPr>
        <w:pStyle w:val="2-SectionHeading"/>
        <w:numPr>
          <w:ilvl w:val="0"/>
          <w:numId w:val="1"/>
        </w:numPr>
      </w:pPr>
      <w:bookmarkStart w:id="10" w:name="_Toc82605754"/>
      <w:bookmarkStart w:id="11" w:name="_Toc22897640"/>
      <w:r w:rsidRPr="003253E7">
        <w:t>Consideration of the evidence</w:t>
      </w:r>
      <w:bookmarkEnd w:id="10"/>
    </w:p>
    <w:p w:rsidR="00033149" w:rsidRPr="00033149" w:rsidRDefault="00033149" w:rsidP="00033149">
      <w:pPr>
        <w:pStyle w:val="3-SubsectionHeading"/>
      </w:pPr>
      <w:bookmarkStart w:id="12" w:name="_Toc82605755"/>
      <w:r w:rsidRPr="00033149">
        <w:t>Sponsor hearing</w:t>
      </w:r>
    </w:p>
    <w:p w:rsidR="00033149" w:rsidRPr="00033149" w:rsidRDefault="00033149" w:rsidP="00033149">
      <w:pPr>
        <w:pStyle w:val="ExecSumBodyText"/>
      </w:pPr>
      <w:r w:rsidRPr="00033149">
        <w:t xml:space="preserve">The sponsor requested a hearing for this item.  The clinician discussed the natural history of the disease, stating that AML patients with FLT3 mutation are generally younger than those without FLT3 mutation. The clinician noted that a high proportion of patients will relapse or are refractory to initial treatment, indicating a high clinical need for new effective treatment options. The clinician then outlined the expected benefits for gilteritinib use in terms of improved response rates, overall survival, and greater delivery to HSCT compared with standard of care, noting that HSCT is currently the only potentially curative option for AML patients. The clinician also considered that there was a strong biological rationale for </w:t>
      </w:r>
      <w:r w:rsidR="00545535">
        <w:t xml:space="preserve">the </w:t>
      </w:r>
      <w:r w:rsidRPr="00033149">
        <w:t xml:space="preserve">use of FLT3 inhibitors post HSCT. Furthermore, it was suggested that patients who have had prior </w:t>
      </w:r>
      <w:r w:rsidR="0098136F">
        <w:t>FLT3 inhibitor</w:t>
      </w:r>
      <w:r w:rsidRPr="00033149">
        <w:t xml:space="preserve"> treatment would also be expected to receive substantial clinical benefit from gilteritinib. The clinician highlighted that gilteritinib had a convenient and well-tolerated oral administration, which would be expected to provide hospital day bed savings. </w:t>
      </w:r>
    </w:p>
    <w:p w:rsidR="00033149" w:rsidRPr="00033149" w:rsidRDefault="00033149" w:rsidP="00033149">
      <w:pPr>
        <w:pStyle w:val="3-SubsectionHeading"/>
      </w:pPr>
      <w:r w:rsidRPr="00033149">
        <w:t>Consumer comments</w:t>
      </w:r>
    </w:p>
    <w:p w:rsidR="00033149" w:rsidRPr="00033149" w:rsidRDefault="00033149" w:rsidP="00033149">
      <w:pPr>
        <w:widowControl w:val="0"/>
        <w:numPr>
          <w:ilvl w:val="1"/>
          <w:numId w:val="1"/>
        </w:numPr>
        <w:spacing w:after="120"/>
        <w:rPr>
          <w:rFonts w:asciiTheme="minorHAnsi" w:hAnsiTheme="minorHAnsi"/>
          <w:bCs/>
          <w:snapToGrid w:val="0"/>
          <w:lang w:eastAsia="en-US"/>
        </w:rPr>
      </w:pPr>
      <w:r w:rsidRPr="00033149">
        <w:rPr>
          <w:rFonts w:asciiTheme="minorHAnsi" w:hAnsiTheme="minorHAnsi"/>
          <w:bCs/>
          <w:snapToGrid w:val="0"/>
          <w:lang w:eastAsia="en-US"/>
        </w:rPr>
        <w:t xml:space="preserve">The PBAC noted and welcomed the input from health care professionals (2) and organisations (1) via the Consumer Comments facility on the PBS website. The comments described a range of benefits of treatment with gilteritinib including its method of administration (oral therapy), which would allow patients to be treated at home rather than in a hospital setting and its manageable side effect profile compared to </w:t>
      </w:r>
      <w:r w:rsidRPr="00033149">
        <w:t>salvage chemotherapy. The comments from the Leukaemia Foundation highlighted the potential for improvements in quality of life and suggested there was a high unmet need for alternative treatment options for patients with this condition.</w:t>
      </w:r>
    </w:p>
    <w:p w:rsidR="00B60939" w:rsidRPr="003253E7" w:rsidRDefault="00B60939" w:rsidP="002E4F02">
      <w:pPr>
        <w:pStyle w:val="3-SubsectionHeading"/>
      </w:pPr>
      <w:r w:rsidRPr="003253E7">
        <w:t>Clinical trials</w:t>
      </w:r>
      <w:bookmarkEnd w:id="11"/>
      <w:bookmarkEnd w:id="12"/>
    </w:p>
    <w:p w:rsidR="0026090A" w:rsidRPr="003253E7" w:rsidRDefault="000A3951" w:rsidP="001E2B70">
      <w:pPr>
        <w:pStyle w:val="ExecSumBodyText"/>
        <w:rPr>
          <w:color w:val="0066FF"/>
        </w:rPr>
      </w:pPr>
      <w:r w:rsidRPr="003253E7">
        <w:t>The submission was based on one head-to-head randomised trial comparing gilteritinib to salvage chemotherapy (ADMIRAL), in patients with relapsed/refractory FLT3 mutation positive AML</w:t>
      </w:r>
      <w:r w:rsidR="0026090A" w:rsidRPr="003253E7">
        <w:t>, with a median duration of follow up of 17.8 months</w:t>
      </w:r>
      <w:r w:rsidRPr="003253E7">
        <w:t xml:space="preserve">.  </w:t>
      </w:r>
    </w:p>
    <w:p w:rsidR="0026090A" w:rsidRPr="003253E7" w:rsidRDefault="000A3951" w:rsidP="00951245">
      <w:pPr>
        <w:pStyle w:val="ExecSumBodyText"/>
        <w:spacing w:after="0"/>
        <w:rPr>
          <w:color w:val="0066FF"/>
        </w:rPr>
      </w:pPr>
      <w:r w:rsidRPr="003253E7">
        <w:t>Additional data from one year after the primary cut-off date (September 2019</w:t>
      </w:r>
      <w:r w:rsidR="0026090A" w:rsidRPr="003253E7">
        <w:t>, median duration of follow-up 29.2 months</w:t>
      </w:r>
      <w:r w:rsidRPr="003253E7">
        <w:t>) included</w:t>
      </w:r>
      <w:r w:rsidR="0026090A" w:rsidRPr="003253E7">
        <w:t>:</w:t>
      </w:r>
    </w:p>
    <w:p w:rsidR="00951245" w:rsidRPr="003253E7" w:rsidRDefault="00951245" w:rsidP="00E73CF7">
      <w:pPr>
        <w:pStyle w:val="ExecSumBodyText"/>
        <w:numPr>
          <w:ilvl w:val="0"/>
          <w:numId w:val="6"/>
        </w:numPr>
        <w:ind w:left="1077" w:hanging="357"/>
        <w:contextualSpacing/>
      </w:pPr>
      <w:r w:rsidRPr="003253E7">
        <w:rPr>
          <w:rFonts w:eastAsia="Calibri"/>
        </w:rPr>
        <w:t>o</w:t>
      </w:r>
      <w:r w:rsidR="000A3951" w:rsidRPr="003253E7">
        <w:rPr>
          <w:rFonts w:eastAsia="Calibri"/>
        </w:rPr>
        <w:t>verall survival</w:t>
      </w:r>
      <w:r w:rsidR="00E2169A">
        <w:rPr>
          <w:rFonts w:eastAsia="Calibri"/>
        </w:rPr>
        <w:t xml:space="preserve"> (OS)</w:t>
      </w:r>
      <w:r w:rsidR="000A3951" w:rsidRPr="003253E7">
        <w:rPr>
          <w:rFonts w:eastAsia="Calibri"/>
        </w:rPr>
        <w:t xml:space="preserve"> </w:t>
      </w:r>
      <w:r w:rsidR="00B842C9">
        <w:rPr>
          <w:rFonts w:eastAsia="Calibri"/>
        </w:rPr>
        <w:t>for</w:t>
      </w:r>
      <w:r w:rsidR="00B842C9" w:rsidRPr="003253E7">
        <w:rPr>
          <w:rFonts w:eastAsia="Calibri"/>
        </w:rPr>
        <w:t xml:space="preserve"> </w:t>
      </w:r>
      <w:r w:rsidRPr="003253E7">
        <w:rPr>
          <w:rFonts w:eastAsia="Calibri"/>
        </w:rPr>
        <w:t xml:space="preserve">both treatment arms </w:t>
      </w:r>
      <w:r w:rsidR="000A3951" w:rsidRPr="003253E7">
        <w:rPr>
          <w:rFonts w:eastAsia="Calibri"/>
        </w:rPr>
        <w:t xml:space="preserve">one </w:t>
      </w:r>
      <w:r w:rsidRPr="003253E7">
        <w:rPr>
          <w:rFonts w:eastAsia="Calibri"/>
        </w:rPr>
        <w:t>year after the primary analysis;</w:t>
      </w:r>
    </w:p>
    <w:p w:rsidR="0024504E" w:rsidRPr="003253E7" w:rsidRDefault="0024504E" w:rsidP="00E73CF7">
      <w:pPr>
        <w:pStyle w:val="ExecSumBodyText"/>
        <w:numPr>
          <w:ilvl w:val="0"/>
          <w:numId w:val="6"/>
        </w:numPr>
        <w:ind w:left="1077" w:hanging="357"/>
        <w:contextualSpacing/>
      </w:pPr>
      <w:r w:rsidRPr="003253E7">
        <w:rPr>
          <w:rFonts w:eastAsia="Calibri"/>
        </w:rPr>
        <w:t xml:space="preserve">patient characteristics and </w:t>
      </w:r>
      <w:r w:rsidR="000A3951" w:rsidRPr="003253E7">
        <w:rPr>
          <w:rFonts w:eastAsia="Calibri"/>
        </w:rPr>
        <w:t xml:space="preserve">treatment </w:t>
      </w:r>
      <w:r w:rsidR="000A3951" w:rsidRPr="00CE2E9C">
        <w:rPr>
          <w:rFonts w:eastAsia="Calibri"/>
        </w:rPr>
        <w:t>response in 49 patients from</w:t>
      </w:r>
      <w:r w:rsidR="000A3951" w:rsidRPr="003253E7">
        <w:rPr>
          <w:rFonts w:eastAsia="Calibri"/>
        </w:rPr>
        <w:t xml:space="preserve"> the gilteritinib arm of the trial who had an overall survival duration of 18 months or longer (termed “long-term survivors”), 20 of whom remained on gilteritinib at the t</w:t>
      </w:r>
      <w:r w:rsidRPr="003253E7">
        <w:rPr>
          <w:rFonts w:eastAsia="Calibri"/>
        </w:rPr>
        <w:t>ime of the analysis;</w:t>
      </w:r>
    </w:p>
    <w:p w:rsidR="0024504E" w:rsidRPr="003253E7" w:rsidRDefault="0024504E" w:rsidP="00E73CF7">
      <w:pPr>
        <w:pStyle w:val="ExecSumBodyText"/>
        <w:numPr>
          <w:ilvl w:val="0"/>
          <w:numId w:val="6"/>
        </w:numPr>
        <w:ind w:left="1077" w:hanging="357"/>
        <w:contextualSpacing/>
      </w:pPr>
      <w:r w:rsidRPr="003253E7">
        <w:rPr>
          <w:rFonts w:eastAsia="Calibri"/>
        </w:rPr>
        <w:t xml:space="preserve">subsequent </w:t>
      </w:r>
      <w:r w:rsidR="00054645" w:rsidRPr="003253E7">
        <w:rPr>
          <w:rFonts w:eastAsia="Calibri"/>
        </w:rPr>
        <w:t xml:space="preserve">AML </w:t>
      </w:r>
      <w:r w:rsidRPr="003253E7">
        <w:rPr>
          <w:rFonts w:eastAsia="Calibri"/>
        </w:rPr>
        <w:t>therapies</w:t>
      </w:r>
      <w:r w:rsidR="00054645" w:rsidRPr="003253E7">
        <w:rPr>
          <w:rFonts w:eastAsia="Calibri"/>
        </w:rPr>
        <w:t xml:space="preserve"> received after study treatment discontinuation</w:t>
      </w:r>
      <w:r w:rsidRPr="003253E7">
        <w:rPr>
          <w:rFonts w:eastAsia="Calibri"/>
        </w:rPr>
        <w:t>;</w:t>
      </w:r>
    </w:p>
    <w:p w:rsidR="00951245" w:rsidRPr="003253E7" w:rsidRDefault="0024504E" w:rsidP="00E73CF7">
      <w:pPr>
        <w:pStyle w:val="ExecSumBodyText"/>
        <w:numPr>
          <w:ilvl w:val="0"/>
          <w:numId w:val="6"/>
        </w:numPr>
        <w:ind w:left="1077" w:hanging="357"/>
      </w:pPr>
      <w:r w:rsidRPr="003253E7">
        <w:rPr>
          <w:rFonts w:eastAsia="Calibri"/>
        </w:rPr>
        <w:t xml:space="preserve">long-term safety </w:t>
      </w:r>
      <w:r w:rsidR="00B842C9">
        <w:rPr>
          <w:rFonts w:eastAsia="Calibri"/>
        </w:rPr>
        <w:t>outcomes</w:t>
      </w:r>
      <w:r w:rsidR="00A52084">
        <w:rPr>
          <w:rFonts w:eastAsia="Calibri"/>
        </w:rPr>
        <w:t xml:space="preserve"> </w:t>
      </w:r>
      <w:r w:rsidRPr="003253E7">
        <w:rPr>
          <w:rFonts w:eastAsia="Calibri"/>
        </w:rPr>
        <w:t>(Perl 2020).</w:t>
      </w:r>
      <w:r w:rsidR="000A3951" w:rsidRPr="003253E7">
        <w:t xml:space="preserve"> </w:t>
      </w:r>
    </w:p>
    <w:p w:rsidR="00951245" w:rsidRPr="003253E7" w:rsidRDefault="000A3951" w:rsidP="0024504E">
      <w:pPr>
        <w:pStyle w:val="ExecSumBodyText"/>
        <w:spacing w:after="0"/>
      </w:pPr>
      <w:r w:rsidRPr="003253E7">
        <w:t>A further analysis of data two years after the primary cut-off date (September 2020</w:t>
      </w:r>
      <w:r w:rsidR="0024504E" w:rsidRPr="003253E7">
        <w:t xml:space="preserve">, median duration of follow-up </w:t>
      </w:r>
      <w:r w:rsidR="008856D5" w:rsidRPr="003253E7">
        <w:t>37.1 months</w:t>
      </w:r>
      <w:r w:rsidRPr="003253E7">
        <w:t>) included</w:t>
      </w:r>
      <w:r w:rsidR="00951245" w:rsidRPr="003253E7">
        <w:t>:</w:t>
      </w:r>
    </w:p>
    <w:p w:rsidR="0024504E" w:rsidRPr="003253E7" w:rsidRDefault="00E2169A" w:rsidP="00E73CF7">
      <w:pPr>
        <w:pStyle w:val="ExecSumBodyText"/>
        <w:numPr>
          <w:ilvl w:val="0"/>
          <w:numId w:val="6"/>
        </w:numPr>
        <w:ind w:left="1077" w:hanging="357"/>
        <w:contextualSpacing/>
        <w:rPr>
          <w:rFonts w:eastAsia="Calibri"/>
        </w:rPr>
      </w:pPr>
      <w:r>
        <w:rPr>
          <w:rFonts w:eastAsia="Calibri"/>
        </w:rPr>
        <w:t>OS</w:t>
      </w:r>
      <w:r w:rsidR="000A3951" w:rsidRPr="003253E7">
        <w:rPr>
          <w:rFonts w:eastAsia="Calibri"/>
        </w:rPr>
        <w:t xml:space="preserve"> for both treatment arms</w:t>
      </w:r>
      <w:r w:rsidR="0024504E" w:rsidRPr="003253E7">
        <w:rPr>
          <w:rFonts w:eastAsia="Calibri"/>
        </w:rPr>
        <w:t xml:space="preserve"> two years after the primary analysis;</w:t>
      </w:r>
    </w:p>
    <w:p w:rsidR="00951245" w:rsidRPr="003253E7" w:rsidRDefault="0024504E" w:rsidP="00E73CF7">
      <w:pPr>
        <w:pStyle w:val="ExecSumBodyText"/>
        <w:numPr>
          <w:ilvl w:val="0"/>
          <w:numId w:val="6"/>
        </w:numPr>
        <w:ind w:left="1077" w:hanging="357"/>
        <w:contextualSpacing/>
        <w:rPr>
          <w:rFonts w:eastAsia="Calibri"/>
        </w:rPr>
      </w:pPr>
      <w:r w:rsidRPr="003253E7">
        <w:rPr>
          <w:rFonts w:eastAsia="Calibri"/>
        </w:rPr>
        <w:t>duration of response and cumulative relapse rates in the gilteritinib arm;</w:t>
      </w:r>
    </w:p>
    <w:p w:rsidR="0024504E" w:rsidRPr="003253E7" w:rsidRDefault="0024504E" w:rsidP="00E73CF7">
      <w:pPr>
        <w:pStyle w:val="ExecSumBodyText"/>
        <w:numPr>
          <w:ilvl w:val="0"/>
          <w:numId w:val="6"/>
        </w:numPr>
        <w:ind w:left="1077" w:hanging="357"/>
        <w:contextualSpacing/>
        <w:rPr>
          <w:rFonts w:eastAsia="Calibri"/>
        </w:rPr>
      </w:pPr>
      <w:r w:rsidRPr="003253E7">
        <w:rPr>
          <w:rFonts w:eastAsia="Calibri"/>
        </w:rPr>
        <w:t>descriptions of gilteritinib-treated patients relapse-free for at least 2 years;</w:t>
      </w:r>
    </w:p>
    <w:p w:rsidR="000A3951" w:rsidRPr="003253E7" w:rsidRDefault="0024504E" w:rsidP="00E73CF7">
      <w:pPr>
        <w:pStyle w:val="ExecSumBodyText"/>
        <w:numPr>
          <w:ilvl w:val="0"/>
          <w:numId w:val="6"/>
        </w:numPr>
        <w:ind w:left="1077" w:hanging="357"/>
        <w:contextualSpacing/>
        <w:rPr>
          <w:rFonts w:eastAsia="Calibri"/>
        </w:rPr>
      </w:pPr>
      <w:r w:rsidRPr="003253E7">
        <w:rPr>
          <w:rFonts w:eastAsia="Calibri"/>
        </w:rPr>
        <w:t>o</w:t>
      </w:r>
      <w:r w:rsidR="000A3951" w:rsidRPr="003253E7">
        <w:rPr>
          <w:rFonts w:eastAsia="Calibri"/>
        </w:rPr>
        <w:t>utcomes in patients who u</w:t>
      </w:r>
      <w:r w:rsidRPr="003253E7">
        <w:rPr>
          <w:rFonts w:eastAsia="Calibri"/>
        </w:rPr>
        <w:t>nderwent HSCT;</w:t>
      </w:r>
    </w:p>
    <w:p w:rsidR="0024504E" w:rsidRPr="003253E7" w:rsidRDefault="0024504E" w:rsidP="00E73CF7">
      <w:pPr>
        <w:pStyle w:val="ExecSumBodyText"/>
        <w:numPr>
          <w:ilvl w:val="0"/>
          <w:numId w:val="6"/>
        </w:numPr>
        <w:ind w:left="1077" w:hanging="357"/>
        <w:contextualSpacing/>
        <w:rPr>
          <w:rFonts w:eastAsia="Calibri"/>
        </w:rPr>
      </w:pPr>
      <w:r w:rsidRPr="003253E7">
        <w:rPr>
          <w:rFonts w:eastAsia="Calibri"/>
        </w:rPr>
        <w:t>post-HSCT gilteritinib</w:t>
      </w:r>
      <w:r w:rsidR="00CE2E9C">
        <w:rPr>
          <w:rFonts w:eastAsia="Calibri"/>
        </w:rPr>
        <w:t xml:space="preserve"> maintenance</w:t>
      </w:r>
      <w:r w:rsidRPr="003253E7">
        <w:rPr>
          <w:rFonts w:eastAsia="Calibri"/>
        </w:rPr>
        <w:t xml:space="preserve"> treatment</w:t>
      </w:r>
      <w:r w:rsidR="00B842C9">
        <w:rPr>
          <w:rFonts w:eastAsia="Calibri"/>
        </w:rPr>
        <w:t>;</w:t>
      </w:r>
    </w:p>
    <w:p w:rsidR="0024504E" w:rsidRPr="003253E7" w:rsidRDefault="0024504E" w:rsidP="00E73CF7">
      <w:pPr>
        <w:pStyle w:val="ExecSumBodyText"/>
        <w:numPr>
          <w:ilvl w:val="0"/>
          <w:numId w:val="6"/>
        </w:numPr>
        <w:ind w:left="1077" w:hanging="357"/>
        <w:rPr>
          <w:rFonts w:eastAsia="Calibri"/>
        </w:rPr>
      </w:pPr>
      <w:r w:rsidRPr="003253E7">
        <w:rPr>
          <w:rFonts w:eastAsia="Calibri"/>
        </w:rPr>
        <w:t>long</w:t>
      </w:r>
      <w:r w:rsidR="00B842C9">
        <w:rPr>
          <w:rFonts w:eastAsia="Calibri"/>
        </w:rPr>
        <w:t>-</w:t>
      </w:r>
      <w:r w:rsidRPr="003253E7">
        <w:rPr>
          <w:rFonts w:eastAsia="Calibri"/>
        </w:rPr>
        <w:t>term safety outcomes (Perl 2021).</w:t>
      </w:r>
    </w:p>
    <w:p w:rsidR="00862502" w:rsidRPr="003253E7" w:rsidRDefault="00A73134" w:rsidP="002E4F02">
      <w:pPr>
        <w:pStyle w:val="ExecSumBodyText"/>
      </w:pPr>
      <w:r w:rsidRPr="003253E7">
        <w:rPr>
          <w:snapToGrid/>
        </w:rPr>
        <w:t>Details of the trial presented in the submission are provided in the table below.</w:t>
      </w:r>
      <w:r w:rsidR="00BC591F" w:rsidRPr="003253E7">
        <w:rPr>
          <w:snapToGrid/>
        </w:rPr>
        <w:t xml:space="preserve"> </w:t>
      </w:r>
    </w:p>
    <w:p w:rsidR="008E0D3C" w:rsidRPr="003253E7" w:rsidRDefault="00FD4C43" w:rsidP="00A10711">
      <w:pPr>
        <w:pStyle w:val="Tableheadingrow"/>
      </w:pPr>
      <w:r>
        <w:t xml:space="preserve">Table </w:t>
      </w:r>
      <w:r w:rsidR="002B6D54">
        <w:rPr>
          <w:noProof/>
        </w:rPr>
        <w:t>2</w:t>
      </w:r>
      <w:r w:rsidR="008E0D3C" w:rsidRPr="003253E7">
        <w:t>:</w:t>
      </w:r>
      <w:r w:rsidR="00BC591F" w:rsidRPr="003253E7">
        <w:t xml:space="preserve"> </w:t>
      </w:r>
      <w:r w:rsidR="008E0D3C" w:rsidRPr="003253E7">
        <w:t>Trial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435"/>
        <w:gridCol w:w="5459"/>
        <w:gridCol w:w="2123"/>
      </w:tblGrid>
      <w:tr w:rsidR="006A6F78" w:rsidRPr="003253E7" w:rsidTr="003311BB">
        <w:trPr>
          <w:tblHeader/>
        </w:trPr>
        <w:tc>
          <w:tcPr>
            <w:tcW w:w="796" w:type="pct"/>
            <w:vAlign w:val="center"/>
          </w:tcPr>
          <w:p w:rsidR="006A6F78" w:rsidRPr="003253E7" w:rsidRDefault="006A6F78" w:rsidP="00D906AE">
            <w:pPr>
              <w:pStyle w:val="Tableheadingrow"/>
              <w:rPr>
                <w:lang w:val="en-AU"/>
              </w:rPr>
            </w:pPr>
            <w:r w:rsidRPr="003253E7">
              <w:rPr>
                <w:lang w:val="en-AU"/>
              </w:rPr>
              <w:t>Trial ID</w:t>
            </w:r>
          </w:p>
        </w:tc>
        <w:tc>
          <w:tcPr>
            <w:tcW w:w="3027" w:type="pct"/>
            <w:vAlign w:val="center"/>
          </w:tcPr>
          <w:p w:rsidR="006A6F78" w:rsidRPr="003253E7" w:rsidRDefault="006A6F78" w:rsidP="00D906AE">
            <w:pPr>
              <w:pStyle w:val="Tableheadingrow"/>
              <w:rPr>
                <w:lang w:val="en-AU"/>
              </w:rPr>
            </w:pPr>
            <w:r w:rsidRPr="003253E7">
              <w:rPr>
                <w:lang w:val="en-AU"/>
              </w:rPr>
              <w:t>Protocol title/ Publication title</w:t>
            </w:r>
          </w:p>
        </w:tc>
        <w:tc>
          <w:tcPr>
            <w:tcW w:w="1177" w:type="pct"/>
            <w:vAlign w:val="center"/>
          </w:tcPr>
          <w:p w:rsidR="006A6F78" w:rsidRPr="003253E7" w:rsidRDefault="006A6F78" w:rsidP="00D906AE">
            <w:pPr>
              <w:pStyle w:val="Tableheadingrow"/>
              <w:rPr>
                <w:lang w:val="en-AU"/>
              </w:rPr>
            </w:pPr>
            <w:r w:rsidRPr="003253E7">
              <w:rPr>
                <w:lang w:val="en-AU"/>
              </w:rPr>
              <w:t>Publication citation</w:t>
            </w:r>
          </w:p>
        </w:tc>
      </w:tr>
      <w:tr w:rsidR="006A6F78" w:rsidRPr="003253E7" w:rsidTr="003311BB">
        <w:tc>
          <w:tcPr>
            <w:tcW w:w="796" w:type="pct"/>
            <w:vMerge w:val="restart"/>
            <w:vAlign w:val="center"/>
          </w:tcPr>
          <w:p w:rsidR="006A6F78" w:rsidRPr="003253E7" w:rsidRDefault="006A6F78" w:rsidP="00D906AE">
            <w:pPr>
              <w:pStyle w:val="TableText"/>
            </w:pPr>
            <w:r w:rsidRPr="003253E7">
              <w:t>ADMIRAL</w:t>
            </w:r>
          </w:p>
        </w:tc>
        <w:tc>
          <w:tcPr>
            <w:tcW w:w="3027" w:type="pct"/>
            <w:tcBorders>
              <w:bottom w:val="nil"/>
            </w:tcBorders>
          </w:tcPr>
          <w:p w:rsidR="006A6F78" w:rsidRPr="003253E7" w:rsidRDefault="006A6F78" w:rsidP="003311BB">
            <w:pPr>
              <w:pStyle w:val="TableText"/>
              <w:rPr>
                <w:szCs w:val="20"/>
              </w:rPr>
            </w:pPr>
            <w:r w:rsidRPr="003253E7">
              <w:rPr>
                <w:szCs w:val="20"/>
              </w:rPr>
              <w:t xml:space="preserve">A phase 3 open-label, multicenter, randomized study of ASP2215 versus salvage chemotherapy in patients with relapsed or refractory acute myeloid leukaemia (AML) with FLT3 mutation </w:t>
            </w:r>
            <w:r w:rsidRPr="003253E7">
              <w:rPr>
                <w:rFonts w:cs="Arial"/>
                <w:szCs w:val="20"/>
              </w:rPr>
              <w:t>(NCT02421939)</w:t>
            </w:r>
          </w:p>
        </w:tc>
        <w:tc>
          <w:tcPr>
            <w:tcW w:w="1177" w:type="pct"/>
            <w:tcBorders>
              <w:bottom w:val="nil"/>
            </w:tcBorders>
          </w:tcPr>
          <w:p w:rsidR="006A6F78" w:rsidRPr="003253E7" w:rsidRDefault="006A6F78" w:rsidP="003311BB">
            <w:pPr>
              <w:pStyle w:val="TableText"/>
              <w:rPr>
                <w:szCs w:val="20"/>
              </w:rPr>
            </w:pPr>
            <w:r w:rsidRPr="003253E7">
              <w:rPr>
                <w:szCs w:val="20"/>
              </w:rPr>
              <w:t>Clinical Study Report, 24 January 2019</w:t>
            </w:r>
          </w:p>
        </w:tc>
      </w:tr>
      <w:tr w:rsidR="006A6F78" w:rsidRPr="003253E7" w:rsidTr="003311BB">
        <w:tc>
          <w:tcPr>
            <w:tcW w:w="796" w:type="pct"/>
            <w:vMerge/>
            <w:vAlign w:val="center"/>
          </w:tcPr>
          <w:p w:rsidR="006A6F78" w:rsidRPr="003253E7" w:rsidRDefault="006A6F78" w:rsidP="00D906AE">
            <w:pPr>
              <w:pStyle w:val="TableText"/>
            </w:pPr>
          </w:p>
        </w:tc>
        <w:tc>
          <w:tcPr>
            <w:tcW w:w="3027" w:type="pct"/>
            <w:tcBorders>
              <w:top w:val="nil"/>
              <w:bottom w:val="nil"/>
            </w:tcBorders>
          </w:tcPr>
          <w:p w:rsidR="006A6F78" w:rsidRPr="003253E7" w:rsidRDefault="006A6F78" w:rsidP="003311BB">
            <w:pPr>
              <w:pStyle w:val="TableText"/>
              <w:rPr>
                <w:szCs w:val="20"/>
              </w:rPr>
            </w:pPr>
            <w:r w:rsidRPr="003253E7">
              <w:rPr>
                <w:szCs w:val="20"/>
              </w:rPr>
              <w:t xml:space="preserve">Perl AE, Martinelli G, Cortes JE, Neubauer A, Berman E, Paolini S, et al. Gilteritinib or chemotherapy for relapsed or refractory FLT3-mutated AML. </w:t>
            </w:r>
          </w:p>
        </w:tc>
        <w:tc>
          <w:tcPr>
            <w:tcW w:w="1177" w:type="pct"/>
            <w:tcBorders>
              <w:top w:val="nil"/>
              <w:bottom w:val="nil"/>
            </w:tcBorders>
          </w:tcPr>
          <w:p w:rsidR="006A6F78" w:rsidRPr="003253E7" w:rsidRDefault="006A6F78" w:rsidP="003311BB">
            <w:pPr>
              <w:pStyle w:val="TableText"/>
              <w:rPr>
                <w:szCs w:val="20"/>
              </w:rPr>
            </w:pPr>
            <w:r w:rsidRPr="003253E7">
              <w:rPr>
                <w:i/>
                <w:szCs w:val="20"/>
              </w:rPr>
              <w:t>New Engl J Med</w:t>
            </w:r>
            <w:r w:rsidRPr="003253E7">
              <w:rPr>
                <w:szCs w:val="20"/>
              </w:rPr>
              <w:t xml:space="preserve"> 2019; 381(18):1728-40.</w:t>
            </w:r>
          </w:p>
        </w:tc>
      </w:tr>
      <w:tr w:rsidR="006A6F78" w:rsidRPr="003253E7" w:rsidTr="003311BB">
        <w:tc>
          <w:tcPr>
            <w:tcW w:w="796" w:type="pct"/>
            <w:vMerge/>
            <w:vAlign w:val="center"/>
          </w:tcPr>
          <w:p w:rsidR="006A6F78" w:rsidRPr="003253E7" w:rsidRDefault="006A6F78" w:rsidP="00D906AE">
            <w:pPr>
              <w:pStyle w:val="TableText"/>
            </w:pPr>
          </w:p>
        </w:tc>
        <w:tc>
          <w:tcPr>
            <w:tcW w:w="3027" w:type="pct"/>
            <w:tcBorders>
              <w:top w:val="nil"/>
              <w:bottom w:val="nil"/>
            </w:tcBorders>
          </w:tcPr>
          <w:p w:rsidR="006A6F78" w:rsidRPr="003253E7" w:rsidRDefault="006A6F78" w:rsidP="003311BB">
            <w:pPr>
              <w:pStyle w:val="TableText"/>
              <w:rPr>
                <w:szCs w:val="20"/>
                <w:highlight w:val="yellow"/>
              </w:rPr>
            </w:pPr>
            <w:r w:rsidRPr="003253E7">
              <w:rPr>
                <w:szCs w:val="20"/>
              </w:rPr>
              <w:t>Perl AE, Martinelli G, Neubauer A, et al. Long-term survivors and gilteritinib safety beyond one year in FLT3-mutated R/R AML: ADMIRAL trial follow-up.</w:t>
            </w:r>
          </w:p>
        </w:tc>
        <w:tc>
          <w:tcPr>
            <w:tcW w:w="1177" w:type="pct"/>
            <w:tcBorders>
              <w:top w:val="nil"/>
              <w:bottom w:val="nil"/>
            </w:tcBorders>
          </w:tcPr>
          <w:p w:rsidR="006A6F78" w:rsidRPr="003253E7" w:rsidRDefault="006A6F78" w:rsidP="003311BB">
            <w:pPr>
              <w:pStyle w:val="TableText"/>
              <w:rPr>
                <w:i/>
                <w:szCs w:val="20"/>
                <w:highlight w:val="yellow"/>
              </w:rPr>
            </w:pPr>
            <w:r w:rsidRPr="003253E7">
              <w:rPr>
                <w:i/>
                <w:szCs w:val="20"/>
              </w:rPr>
              <w:t>J Clin Oncol</w:t>
            </w:r>
            <w:r w:rsidRPr="003253E7">
              <w:rPr>
                <w:szCs w:val="20"/>
              </w:rPr>
              <w:t xml:space="preserve"> 2020; 38 (suppl 15); Abstract 7514</w:t>
            </w:r>
          </w:p>
        </w:tc>
      </w:tr>
      <w:tr w:rsidR="006A6F78" w:rsidRPr="003253E7" w:rsidTr="003311BB">
        <w:tc>
          <w:tcPr>
            <w:tcW w:w="796" w:type="pct"/>
            <w:vMerge/>
            <w:vAlign w:val="center"/>
          </w:tcPr>
          <w:p w:rsidR="006A6F78" w:rsidRPr="003253E7" w:rsidRDefault="006A6F78" w:rsidP="00D906AE">
            <w:pPr>
              <w:pStyle w:val="TableText"/>
            </w:pPr>
          </w:p>
        </w:tc>
        <w:tc>
          <w:tcPr>
            <w:tcW w:w="3027" w:type="pct"/>
            <w:tcBorders>
              <w:top w:val="nil"/>
              <w:bottom w:val="single" w:sz="4" w:space="0" w:color="auto"/>
            </w:tcBorders>
          </w:tcPr>
          <w:p w:rsidR="006A6F78" w:rsidRPr="003253E7" w:rsidRDefault="006A6F78" w:rsidP="003311BB">
            <w:pPr>
              <w:pStyle w:val="TableText"/>
              <w:rPr>
                <w:szCs w:val="20"/>
              </w:rPr>
            </w:pPr>
            <w:r w:rsidRPr="003253E7">
              <w:rPr>
                <w:szCs w:val="20"/>
              </w:rPr>
              <w:t>Perl AE, Larson RA, Podoktsev NA, et al. Follow-up of patients with FLT3-Mutated R/R AML in the Phase 3 ADMIRAL trial.</w:t>
            </w:r>
          </w:p>
        </w:tc>
        <w:tc>
          <w:tcPr>
            <w:tcW w:w="1177" w:type="pct"/>
            <w:tcBorders>
              <w:top w:val="nil"/>
              <w:bottom w:val="single" w:sz="4" w:space="0" w:color="auto"/>
            </w:tcBorders>
          </w:tcPr>
          <w:p w:rsidR="006A6F78" w:rsidRPr="003253E7" w:rsidRDefault="006A6F78" w:rsidP="003311BB">
            <w:pPr>
              <w:pStyle w:val="TableText"/>
              <w:rPr>
                <w:szCs w:val="20"/>
              </w:rPr>
            </w:pPr>
            <w:r w:rsidRPr="003253E7">
              <w:rPr>
                <w:i/>
                <w:szCs w:val="20"/>
              </w:rPr>
              <w:t>J Clin Oncol</w:t>
            </w:r>
            <w:r w:rsidRPr="003253E7">
              <w:rPr>
                <w:szCs w:val="20"/>
              </w:rPr>
              <w:t xml:space="preserve"> 2021; 39 (suppl 15); Abstract 7013</w:t>
            </w:r>
          </w:p>
        </w:tc>
      </w:tr>
    </w:tbl>
    <w:p w:rsidR="006A6F78" w:rsidRPr="003253E7" w:rsidRDefault="006A6F78" w:rsidP="006A6F78">
      <w:pPr>
        <w:pStyle w:val="TableFigureFooter"/>
      </w:pPr>
      <w:r w:rsidRPr="003253E7">
        <w:t>Source: Table 13, pp38-40 of the submission.</w:t>
      </w:r>
    </w:p>
    <w:p w:rsidR="007F1017" w:rsidRPr="003253E7" w:rsidRDefault="008F120A" w:rsidP="00EC5836">
      <w:pPr>
        <w:pStyle w:val="ExecSumBodyText"/>
        <w:rPr>
          <w:color w:val="0066FF"/>
        </w:rPr>
      </w:pPr>
      <w:r w:rsidRPr="003253E7">
        <w:t xml:space="preserve">The key features of the </w:t>
      </w:r>
      <w:r w:rsidR="006A6F78" w:rsidRPr="003253E7">
        <w:t>ADMIRAL trial</w:t>
      </w:r>
      <w:r w:rsidRPr="003253E7">
        <w:t xml:space="preserve"> are summarised in the table below.</w:t>
      </w:r>
    </w:p>
    <w:p w:rsidR="007F1017" w:rsidRPr="003253E7" w:rsidRDefault="00FD4C43" w:rsidP="00A10711">
      <w:pPr>
        <w:pStyle w:val="Tableheadingrow"/>
      </w:pPr>
      <w:r>
        <w:t xml:space="preserve">Table </w:t>
      </w:r>
      <w:r w:rsidR="002B6D54">
        <w:rPr>
          <w:noProof/>
        </w:rPr>
        <w:t>3</w:t>
      </w:r>
      <w:r w:rsidR="007F1017" w:rsidRPr="003253E7">
        <w:t>: 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847"/>
        <w:gridCol w:w="423"/>
        <w:gridCol w:w="2552"/>
        <w:gridCol w:w="709"/>
        <w:gridCol w:w="1560"/>
        <w:gridCol w:w="1234"/>
        <w:gridCol w:w="1692"/>
      </w:tblGrid>
      <w:tr w:rsidR="00B41614" w:rsidRPr="003253E7" w:rsidTr="00A10711">
        <w:trPr>
          <w:cantSplit/>
          <w:tblHeader/>
        </w:trPr>
        <w:tc>
          <w:tcPr>
            <w:tcW w:w="470" w:type="pct"/>
            <w:shd w:val="clear" w:color="auto" w:fill="auto"/>
            <w:vAlign w:val="center"/>
          </w:tcPr>
          <w:p w:rsidR="007F1017" w:rsidRPr="003253E7" w:rsidRDefault="007F1017" w:rsidP="006374C9">
            <w:pPr>
              <w:pStyle w:val="Tableheadingrow"/>
              <w:jc w:val="center"/>
              <w:rPr>
                <w:lang w:val="en-AU"/>
              </w:rPr>
            </w:pPr>
            <w:r w:rsidRPr="003253E7">
              <w:rPr>
                <w:lang w:val="en-AU"/>
              </w:rPr>
              <w:t>Trial</w:t>
            </w:r>
          </w:p>
        </w:tc>
        <w:tc>
          <w:tcPr>
            <w:tcW w:w="235" w:type="pct"/>
            <w:shd w:val="clear" w:color="auto" w:fill="auto"/>
            <w:vAlign w:val="center"/>
          </w:tcPr>
          <w:p w:rsidR="007F1017" w:rsidRPr="003253E7" w:rsidRDefault="007F1017" w:rsidP="00EC5836">
            <w:pPr>
              <w:pStyle w:val="Tableheadingrow"/>
              <w:jc w:val="center"/>
              <w:rPr>
                <w:lang w:val="en-AU"/>
              </w:rPr>
            </w:pPr>
            <w:r w:rsidRPr="003253E7">
              <w:rPr>
                <w:lang w:val="en-AU"/>
              </w:rPr>
              <w:t>N</w:t>
            </w:r>
          </w:p>
        </w:tc>
        <w:tc>
          <w:tcPr>
            <w:tcW w:w="1415" w:type="pct"/>
            <w:shd w:val="clear" w:color="auto" w:fill="auto"/>
            <w:vAlign w:val="center"/>
          </w:tcPr>
          <w:p w:rsidR="007F1017" w:rsidRPr="003253E7" w:rsidRDefault="007F1017" w:rsidP="00EC5836">
            <w:pPr>
              <w:pStyle w:val="Tableheadingrow"/>
              <w:jc w:val="center"/>
              <w:rPr>
                <w:lang w:val="en-AU"/>
              </w:rPr>
            </w:pPr>
            <w:r w:rsidRPr="003253E7">
              <w:rPr>
                <w:lang w:val="en-AU"/>
              </w:rPr>
              <w:t>Design/ duration</w:t>
            </w:r>
          </w:p>
        </w:tc>
        <w:tc>
          <w:tcPr>
            <w:tcW w:w="393" w:type="pct"/>
            <w:shd w:val="clear" w:color="auto" w:fill="auto"/>
            <w:vAlign w:val="center"/>
          </w:tcPr>
          <w:p w:rsidR="007F1017" w:rsidRPr="003253E7" w:rsidRDefault="007F1017" w:rsidP="00EC5836">
            <w:pPr>
              <w:pStyle w:val="Tableheadingrow"/>
              <w:jc w:val="center"/>
              <w:rPr>
                <w:lang w:val="en-AU"/>
              </w:rPr>
            </w:pPr>
            <w:r w:rsidRPr="003253E7">
              <w:rPr>
                <w:lang w:val="en-AU"/>
              </w:rPr>
              <w:t>Risk of bias</w:t>
            </w:r>
          </w:p>
        </w:tc>
        <w:tc>
          <w:tcPr>
            <w:tcW w:w="865" w:type="pct"/>
            <w:shd w:val="clear" w:color="auto" w:fill="auto"/>
            <w:vAlign w:val="center"/>
          </w:tcPr>
          <w:p w:rsidR="007F1017" w:rsidRPr="003253E7" w:rsidRDefault="007F1017" w:rsidP="00EC5836">
            <w:pPr>
              <w:pStyle w:val="Tableheadingrow"/>
              <w:jc w:val="center"/>
              <w:rPr>
                <w:lang w:val="en-AU"/>
              </w:rPr>
            </w:pPr>
            <w:r w:rsidRPr="003253E7">
              <w:rPr>
                <w:lang w:val="en-AU"/>
              </w:rPr>
              <w:t>Patient population</w:t>
            </w:r>
          </w:p>
        </w:tc>
        <w:tc>
          <w:tcPr>
            <w:tcW w:w="684" w:type="pct"/>
            <w:shd w:val="clear" w:color="auto" w:fill="auto"/>
            <w:vAlign w:val="center"/>
          </w:tcPr>
          <w:p w:rsidR="007F1017" w:rsidRPr="003253E7" w:rsidRDefault="007F1017" w:rsidP="00EC5836">
            <w:pPr>
              <w:pStyle w:val="Tableheadingrow"/>
              <w:jc w:val="center"/>
              <w:rPr>
                <w:lang w:val="en-AU"/>
              </w:rPr>
            </w:pPr>
            <w:r w:rsidRPr="003253E7">
              <w:rPr>
                <w:lang w:val="en-AU"/>
              </w:rPr>
              <w:t>Outcome(s)</w:t>
            </w:r>
          </w:p>
        </w:tc>
        <w:tc>
          <w:tcPr>
            <w:tcW w:w="938" w:type="pct"/>
            <w:shd w:val="clear" w:color="auto" w:fill="auto"/>
            <w:vAlign w:val="center"/>
          </w:tcPr>
          <w:p w:rsidR="007F1017" w:rsidRPr="003253E7" w:rsidRDefault="007F1017" w:rsidP="00EC5836">
            <w:pPr>
              <w:pStyle w:val="Tableheadingrow"/>
              <w:jc w:val="center"/>
              <w:rPr>
                <w:lang w:val="en-AU"/>
              </w:rPr>
            </w:pPr>
            <w:r w:rsidRPr="003253E7">
              <w:rPr>
                <w:lang w:val="en-AU"/>
              </w:rPr>
              <w:t>Use in modelled evaluation</w:t>
            </w:r>
          </w:p>
        </w:tc>
      </w:tr>
      <w:tr w:rsidR="00B41614" w:rsidRPr="003253E7" w:rsidTr="00A10711">
        <w:trPr>
          <w:cantSplit/>
        </w:trPr>
        <w:tc>
          <w:tcPr>
            <w:tcW w:w="470" w:type="pct"/>
            <w:shd w:val="clear" w:color="auto" w:fill="auto"/>
            <w:vAlign w:val="center"/>
          </w:tcPr>
          <w:p w:rsidR="007F1017" w:rsidRPr="003253E7" w:rsidRDefault="006A6F78" w:rsidP="00EC5836">
            <w:pPr>
              <w:pStyle w:val="TableText"/>
            </w:pPr>
            <w:r w:rsidRPr="003253E7">
              <w:t>ADMIRAL</w:t>
            </w:r>
          </w:p>
        </w:tc>
        <w:tc>
          <w:tcPr>
            <w:tcW w:w="235" w:type="pct"/>
            <w:shd w:val="clear" w:color="auto" w:fill="auto"/>
            <w:vAlign w:val="center"/>
          </w:tcPr>
          <w:p w:rsidR="007F1017" w:rsidRPr="003253E7" w:rsidRDefault="006A6F78" w:rsidP="00EC5836">
            <w:pPr>
              <w:pStyle w:val="TableText"/>
              <w:jc w:val="center"/>
            </w:pPr>
            <w:r w:rsidRPr="003253E7">
              <w:t>371</w:t>
            </w:r>
          </w:p>
        </w:tc>
        <w:tc>
          <w:tcPr>
            <w:tcW w:w="1415" w:type="pct"/>
            <w:shd w:val="clear" w:color="auto" w:fill="auto"/>
            <w:vAlign w:val="center"/>
          </w:tcPr>
          <w:p w:rsidR="007F1017" w:rsidRPr="003253E7" w:rsidRDefault="006A6F78" w:rsidP="00A10711">
            <w:pPr>
              <w:pStyle w:val="TableText"/>
              <w:jc w:val="center"/>
              <w:rPr>
                <w:rFonts w:eastAsiaTheme="minorHAnsi" w:cstheme="minorBidi"/>
                <w:szCs w:val="22"/>
                <w:lang w:eastAsia="en-US"/>
              </w:rPr>
            </w:pPr>
            <w:r w:rsidRPr="003253E7">
              <w:rPr>
                <w:rFonts w:eastAsiaTheme="minorHAnsi" w:cstheme="minorBidi"/>
                <w:szCs w:val="22"/>
                <w:lang w:eastAsia="en-US"/>
              </w:rPr>
              <w:t xml:space="preserve">Phase 3, multi-centre, open-label, parallel-group, randomised controlled trial (median follow-up duration of 17.8 months for </w:t>
            </w:r>
            <w:r w:rsidR="00E2169A">
              <w:rPr>
                <w:rFonts w:eastAsiaTheme="minorHAnsi" w:cstheme="minorBidi"/>
                <w:szCs w:val="22"/>
                <w:lang w:eastAsia="en-US"/>
              </w:rPr>
              <w:t>OS</w:t>
            </w:r>
            <w:r w:rsidRPr="003253E7">
              <w:rPr>
                <w:rFonts w:eastAsiaTheme="minorHAnsi" w:cstheme="minorBidi"/>
                <w:szCs w:val="22"/>
                <w:lang w:eastAsia="en-US"/>
              </w:rPr>
              <w:t xml:space="preserve">, 17 September 2018 </w:t>
            </w:r>
            <w:r w:rsidR="00FE7362" w:rsidRPr="003253E7">
              <w:rPr>
                <w:rFonts w:eastAsiaTheme="minorHAnsi" w:cstheme="minorBidi"/>
                <w:szCs w:val="22"/>
                <w:lang w:eastAsia="en-US"/>
              </w:rPr>
              <w:t>data cut</w:t>
            </w:r>
            <w:r w:rsidRPr="003253E7">
              <w:rPr>
                <w:rFonts w:eastAsiaTheme="minorHAnsi" w:cstheme="minorBidi"/>
                <w:szCs w:val="22"/>
                <w:lang w:eastAsia="en-US"/>
              </w:rPr>
              <w:t>).</w:t>
            </w:r>
          </w:p>
          <w:p w:rsidR="00AC0520" w:rsidRPr="003253E7" w:rsidRDefault="00AC0520" w:rsidP="00A10711">
            <w:pPr>
              <w:pStyle w:val="TableText"/>
              <w:jc w:val="center"/>
            </w:pPr>
            <w:r w:rsidRPr="003253E7">
              <w:rPr>
                <w:rFonts w:eastAsiaTheme="minorHAnsi" w:cstheme="minorBidi"/>
                <w:szCs w:val="22"/>
                <w:lang w:eastAsia="en-US"/>
              </w:rPr>
              <w:t>Long-term analyses at 1 year (September 2019) and 2 years (September 2020) after the primary cut-off date</w:t>
            </w:r>
          </w:p>
        </w:tc>
        <w:tc>
          <w:tcPr>
            <w:tcW w:w="393" w:type="pct"/>
            <w:shd w:val="clear" w:color="auto" w:fill="auto"/>
            <w:vAlign w:val="center"/>
          </w:tcPr>
          <w:p w:rsidR="007F1017" w:rsidRPr="00C00A16" w:rsidRDefault="006A6F78" w:rsidP="00B842C9">
            <w:pPr>
              <w:pStyle w:val="TableText"/>
              <w:jc w:val="center"/>
            </w:pPr>
            <w:r w:rsidRPr="00C00A16">
              <w:t>High</w:t>
            </w:r>
          </w:p>
        </w:tc>
        <w:tc>
          <w:tcPr>
            <w:tcW w:w="865" w:type="pct"/>
            <w:shd w:val="clear" w:color="auto" w:fill="auto"/>
            <w:vAlign w:val="center"/>
          </w:tcPr>
          <w:p w:rsidR="007F1017" w:rsidRPr="003253E7" w:rsidRDefault="006A6F78" w:rsidP="00A10711">
            <w:pPr>
              <w:pStyle w:val="TableText"/>
              <w:jc w:val="center"/>
            </w:pPr>
            <w:r w:rsidRPr="003253E7">
              <w:t xml:space="preserve">Adults with FLT3 mutation positive AML who were refractory to or had relapsed after first-line AML therapy, ECOG PS </w:t>
            </w:r>
            <w:r w:rsidRPr="003253E7">
              <w:rPr>
                <w:snapToGrid w:val="0"/>
                <w:szCs w:val="20"/>
                <w:lang w:eastAsia="en-US"/>
              </w:rPr>
              <w:t>≤ 2 and eligible for preselected chemotherapy</w:t>
            </w:r>
          </w:p>
        </w:tc>
        <w:tc>
          <w:tcPr>
            <w:tcW w:w="684" w:type="pct"/>
            <w:shd w:val="clear" w:color="auto" w:fill="auto"/>
            <w:vAlign w:val="center"/>
          </w:tcPr>
          <w:p w:rsidR="006A6F78" w:rsidRPr="003253E7" w:rsidRDefault="006A6F78" w:rsidP="00A10711">
            <w:pPr>
              <w:pStyle w:val="TableText"/>
              <w:jc w:val="center"/>
            </w:pPr>
            <w:r w:rsidRPr="003253E7">
              <w:t xml:space="preserve">Primary: </w:t>
            </w:r>
            <w:r w:rsidR="007F1017" w:rsidRPr="003253E7">
              <w:t>OS</w:t>
            </w:r>
            <w:r w:rsidR="00A10711">
              <w:t>, CR/CRh</w:t>
            </w:r>
            <w:r w:rsidR="005713E6">
              <w:t xml:space="preserve"> </w:t>
            </w:r>
            <w:r w:rsidR="005713E6">
              <w:rPr>
                <w:vertAlign w:val="superscript"/>
              </w:rPr>
              <w:t>a</w:t>
            </w:r>
          </w:p>
          <w:p w:rsidR="00C90F41" w:rsidRDefault="006A6F78" w:rsidP="00A10711">
            <w:pPr>
              <w:pStyle w:val="TableText"/>
              <w:jc w:val="center"/>
            </w:pPr>
            <w:r w:rsidRPr="003253E7">
              <w:t xml:space="preserve">Secondary: EFS, </w:t>
            </w:r>
            <w:r w:rsidR="003B6834" w:rsidRPr="003253E7">
              <w:t xml:space="preserve">LFS, CR, </w:t>
            </w:r>
            <w:r w:rsidR="00F86265" w:rsidRPr="003253E7">
              <w:t>duration of remission, rate of HSCT</w:t>
            </w:r>
            <w:r w:rsidR="00AC0520" w:rsidRPr="003253E7">
              <w:t xml:space="preserve">, </w:t>
            </w:r>
          </w:p>
          <w:p w:rsidR="007F1017" w:rsidRPr="003253E7" w:rsidRDefault="00AC0520" w:rsidP="00A10711">
            <w:pPr>
              <w:pStyle w:val="TableText"/>
              <w:jc w:val="center"/>
            </w:pPr>
            <w:r w:rsidRPr="003253E7">
              <w:t>EQ-5D-5L</w:t>
            </w:r>
          </w:p>
        </w:tc>
        <w:tc>
          <w:tcPr>
            <w:tcW w:w="938" w:type="pct"/>
            <w:shd w:val="clear" w:color="auto" w:fill="auto"/>
            <w:vAlign w:val="center"/>
          </w:tcPr>
          <w:p w:rsidR="007F1017" w:rsidRPr="003253E7" w:rsidRDefault="00537862" w:rsidP="00A10711">
            <w:pPr>
              <w:pStyle w:val="TableText"/>
              <w:jc w:val="center"/>
            </w:pPr>
            <w:r w:rsidRPr="003253E7">
              <w:t xml:space="preserve">HSCT rates, average time to HSCT, OS and EFS in No HSCT subgroup, </w:t>
            </w:r>
            <w:r w:rsidR="00775005" w:rsidRPr="003253E7">
              <w:t>post</w:t>
            </w:r>
            <w:r w:rsidRPr="003253E7">
              <w:t>-HSCT OS, adverse events, EQ-5D-5L data, gilteritinib treatment duration, salvage chemotherapy treatment duration, subsequent therapies treatment duration</w:t>
            </w:r>
          </w:p>
        </w:tc>
      </w:tr>
    </w:tbl>
    <w:p w:rsidR="00045017" w:rsidRPr="003253E7" w:rsidRDefault="00F86265" w:rsidP="00F86265">
      <w:pPr>
        <w:widowControl w:val="0"/>
        <w:rPr>
          <w:rFonts w:ascii="Arial Narrow" w:hAnsi="Arial Narrow"/>
          <w:snapToGrid w:val="0"/>
          <w:sz w:val="18"/>
          <w:szCs w:val="22"/>
          <w:lang w:eastAsia="en-US"/>
        </w:rPr>
      </w:pPr>
      <w:r w:rsidRPr="003253E7">
        <w:rPr>
          <w:rFonts w:ascii="Arial Narrow" w:hAnsi="Arial Narrow"/>
          <w:snapToGrid w:val="0"/>
          <w:sz w:val="18"/>
          <w:szCs w:val="22"/>
          <w:lang w:eastAsia="en-US"/>
        </w:rPr>
        <w:t xml:space="preserve">Source: Section 2.2.1, p35; Section 2.3.1, p42 of the submission </w:t>
      </w:r>
    </w:p>
    <w:p w:rsidR="00620C25" w:rsidRDefault="00F86265" w:rsidP="00F86265">
      <w:pPr>
        <w:widowControl w:val="0"/>
        <w:rPr>
          <w:rFonts w:ascii="Arial Narrow" w:hAnsi="Arial Narrow"/>
          <w:snapToGrid w:val="0"/>
          <w:sz w:val="18"/>
          <w:szCs w:val="22"/>
          <w:lang w:eastAsia="en-US"/>
        </w:rPr>
      </w:pPr>
      <w:r w:rsidRPr="003253E7">
        <w:rPr>
          <w:rFonts w:ascii="Arial Narrow" w:hAnsi="Arial Narrow"/>
          <w:snapToGrid w:val="0"/>
          <w:sz w:val="18"/>
          <w:szCs w:val="22"/>
          <w:lang w:eastAsia="en-US"/>
        </w:rPr>
        <w:t>AML, acute myeloid leukaemia; CR, complete remission;</w:t>
      </w:r>
      <w:r w:rsidR="00A10711">
        <w:rPr>
          <w:rFonts w:ascii="Arial Narrow" w:hAnsi="Arial Narrow"/>
          <w:snapToGrid w:val="0"/>
          <w:sz w:val="18"/>
          <w:szCs w:val="22"/>
          <w:lang w:eastAsia="en-US"/>
        </w:rPr>
        <w:t xml:space="preserve"> CRh, complete remission with partial haematologic </w:t>
      </w:r>
      <w:r w:rsidR="00C90F41">
        <w:rPr>
          <w:rFonts w:ascii="Arial Narrow" w:hAnsi="Arial Narrow"/>
          <w:snapToGrid w:val="0"/>
          <w:sz w:val="18"/>
          <w:szCs w:val="22"/>
          <w:lang w:eastAsia="en-US"/>
        </w:rPr>
        <w:t xml:space="preserve">recovery; </w:t>
      </w:r>
      <w:r w:rsidR="00C90F41" w:rsidRPr="003253E7">
        <w:rPr>
          <w:rFonts w:ascii="Arial Narrow" w:hAnsi="Arial Narrow"/>
          <w:snapToGrid w:val="0"/>
          <w:sz w:val="18"/>
          <w:szCs w:val="22"/>
          <w:lang w:eastAsia="en-US"/>
        </w:rPr>
        <w:t>ECOG</w:t>
      </w:r>
      <w:r w:rsidRPr="003253E7">
        <w:rPr>
          <w:rFonts w:ascii="Arial Narrow" w:hAnsi="Arial Narrow"/>
          <w:snapToGrid w:val="0"/>
          <w:sz w:val="18"/>
          <w:szCs w:val="22"/>
          <w:lang w:eastAsia="en-US"/>
        </w:rPr>
        <w:t xml:space="preserve"> PS, Eastern Cooperative Oncology Group Performance Status; HSCT, haematopoietic stem cell transplant; LFS, leukaemia free survival; OS, overall survival</w:t>
      </w:r>
      <w:r w:rsidR="00B842C9">
        <w:rPr>
          <w:rFonts w:ascii="Arial Narrow" w:hAnsi="Arial Narrow"/>
          <w:snapToGrid w:val="0"/>
          <w:sz w:val="18"/>
          <w:szCs w:val="22"/>
          <w:lang w:eastAsia="en-US"/>
        </w:rPr>
        <w:t>.</w:t>
      </w:r>
    </w:p>
    <w:p w:rsidR="005713E6" w:rsidRPr="003253E7" w:rsidRDefault="005713E6" w:rsidP="00F86265">
      <w:pPr>
        <w:widowControl w:val="0"/>
        <w:rPr>
          <w:rFonts w:ascii="Arial Narrow" w:hAnsi="Arial Narrow"/>
          <w:snapToGrid w:val="0"/>
          <w:sz w:val="18"/>
          <w:szCs w:val="22"/>
          <w:lang w:eastAsia="en-US"/>
        </w:rPr>
      </w:pPr>
      <w:r>
        <w:rPr>
          <w:rFonts w:ascii="Arial Narrow" w:hAnsi="Arial Narrow"/>
          <w:snapToGrid w:val="0"/>
          <w:sz w:val="18"/>
          <w:szCs w:val="22"/>
          <w:vertAlign w:val="superscript"/>
          <w:lang w:eastAsia="en-US"/>
        </w:rPr>
        <w:t>a</w:t>
      </w:r>
      <w:r>
        <w:rPr>
          <w:rFonts w:ascii="Arial Narrow" w:hAnsi="Arial Narrow"/>
          <w:snapToGrid w:val="0"/>
          <w:sz w:val="18"/>
          <w:szCs w:val="22"/>
          <w:lang w:eastAsia="en-US"/>
        </w:rPr>
        <w:t xml:space="preserve"> Results of the co-primary outcome of CR/CRh were only calculated at an interim analysis, for the gilteritinib-treated patients only, to determine whether the trial should continue. Results of the interim analysis met the pre-specified criteria for continuation. </w:t>
      </w:r>
    </w:p>
    <w:p w:rsidR="00F86265" w:rsidRPr="003253E7" w:rsidRDefault="00F86265" w:rsidP="00F86265">
      <w:pPr>
        <w:widowControl w:val="0"/>
        <w:rPr>
          <w:rFonts w:ascii="Arial Narrow" w:hAnsi="Arial Narrow"/>
          <w:snapToGrid w:val="0"/>
          <w:sz w:val="18"/>
          <w:szCs w:val="22"/>
          <w:lang w:eastAsia="en-US"/>
        </w:rPr>
      </w:pPr>
    </w:p>
    <w:p w:rsidR="00FA323B" w:rsidRPr="00C00A16" w:rsidRDefault="00F86265" w:rsidP="00EC5836">
      <w:pPr>
        <w:pStyle w:val="ExecSumBodyText"/>
        <w:rPr>
          <w:color w:val="0066FF"/>
        </w:rPr>
      </w:pPr>
      <w:bookmarkStart w:id="13" w:name="_Ref89259937"/>
      <w:r w:rsidRPr="005743F7">
        <w:rPr>
          <w:iCs/>
        </w:rPr>
        <w:t xml:space="preserve">The open-label trial design for ADMIRAL has the potential to introduce bias as knowledge of treatment assignment may affect disease management decisions as well as the reporting of subjective outcomes that were not centrally assessed during the trial. </w:t>
      </w:r>
      <w:r w:rsidR="00DC56CD" w:rsidRPr="005743F7">
        <w:rPr>
          <w:iCs/>
        </w:rPr>
        <w:t xml:space="preserve">The last </w:t>
      </w:r>
      <w:r w:rsidR="00054645" w:rsidRPr="005743F7">
        <w:rPr>
          <w:iCs/>
        </w:rPr>
        <w:t>timepoint</w:t>
      </w:r>
      <w:r w:rsidR="00DC56CD" w:rsidRPr="005743F7">
        <w:rPr>
          <w:iCs/>
        </w:rPr>
        <w:t xml:space="preserve"> for central laboratory assessment was within seven days after treatment discontinuation, after which only investigator-reported </w:t>
      </w:r>
      <w:r w:rsidR="00DC56CD" w:rsidRPr="005743F7">
        <w:t xml:space="preserve">adverse events, survival, and subsequent anti-leukaemia therapies and their outcomes were recorded during </w:t>
      </w:r>
      <w:r w:rsidR="000A3951" w:rsidRPr="005743F7">
        <w:t>long-term follow-up.</w:t>
      </w:r>
      <w:r w:rsidR="00C1410D">
        <w:t xml:space="preserve"> </w:t>
      </w:r>
      <w:bookmarkStart w:id="14" w:name="_Hlk89255371"/>
      <w:r w:rsidR="00C1410D" w:rsidRPr="00C00A16">
        <w:t>The ESC consider</w:t>
      </w:r>
      <w:r w:rsidR="00495B3F" w:rsidRPr="00C00A16">
        <w:t xml:space="preserve">ed the potential for bias with the open-label </w:t>
      </w:r>
      <w:r w:rsidR="00C1410D" w:rsidRPr="00C00A16">
        <w:t xml:space="preserve">design </w:t>
      </w:r>
      <w:r w:rsidR="00495B3F" w:rsidRPr="00C00A16">
        <w:t>of the ADMIRAL study was reduced by the objective nature of the majority of the key outcomes investigated.</w:t>
      </w:r>
      <w:bookmarkEnd w:id="13"/>
      <w:bookmarkEnd w:id="14"/>
    </w:p>
    <w:p w:rsidR="00DC56CD" w:rsidRPr="008B0C28" w:rsidRDefault="00DC56CD" w:rsidP="00DC56CD">
      <w:pPr>
        <w:pStyle w:val="ExecSumBodyText"/>
        <w:rPr>
          <w:color w:val="0066FF"/>
        </w:rPr>
      </w:pPr>
      <w:bookmarkStart w:id="15" w:name="_Ref89259962"/>
      <w:r w:rsidRPr="008B0C28">
        <w:t xml:space="preserve">The </w:t>
      </w:r>
      <w:r w:rsidR="00A522F1" w:rsidRPr="008B0C28">
        <w:t xml:space="preserve">ESC noted the </w:t>
      </w:r>
      <w:r w:rsidRPr="008B0C28">
        <w:t>treatment</w:t>
      </w:r>
      <w:r w:rsidRPr="005743F7">
        <w:t xml:space="preserve"> duration in the salvage chemotherapy arm was short, with most patients </w:t>
      </w:r>
      <w:r w:rsidRPr="008B0C28">
        <w:t>completing only one 28-day cycle</w:t>
      </w:r>
      <w:r w:rsidR="0009329E" w:rsidRPr="008B0C28">
        <w:t>.</w:t>
      </w:r>
      <w:r w:rsidR="00A613BD" w:rsidRPr="008B0C28">
        <w:t xml:space="preserve"> This ESC considered that </w:t>
      </w:r>
      <w:r w:rsidR="0009329E" w:rsidRPr="008B0C28">
        <w:t xml:space="preserve">a short treatment duration with salvage chemotherapy was </w:t>
      </w:r>
      <w:r w:rsidR="00A613BD" w:rsidRPr="008B0C28">
        <w:t>consistent with</w:t>
      </w:r>
      <w:r w:rsidR="0009329E" w:rsidRPr="008B0C28">
        <w:t xml:space="preserve"> current clinical practice</w:t>
      </w:r>
      <w:r w:rsidR="00A613BD" w:rsidRPr="008B0C28">
        <w:t>, although many patients would be expected to complete two 28-day cycles. The ESC was concerned that a</w:t>
      </w:r>
      <w:r w:rsidRPr="008B0C28">
        <w:t xml:space="preserve">pproximately 40% of salvage chemotherapy patients had no evaluable </w:t>
      </w:r>
      <w:r w:rsidR="00805386" w:rsidRPr="008B0C28">
        <w:t>post-baseline</w:t>
      </w:r>
      <w:r w:rsidRPr="008B0C28">
        <w:t xml:space="preserve"> response assessment, meaning secondary outcomes such as </w:t>
      </w:r>
      <w:r w:rsidR="00E2169A" w:rsidRPr="008B0C28">
        <w:t>event free survival (EFS)</w:t>
      </w:r>
      <w:r w:rsidRPr="008B0C28">
        <w:t xml:space="preserve"> or duration of response were unable to be reliably assessed in the comparator arm.</w:t>
      </w:r>
      <w:r w:rsidR="00A522F1" w:rsidRPr="008B0C28">
        <w:t xml:space="preserve"> </w:t>
      </w:r>
      <w:bookmarkEnd w:id="15"/>
    </w:p>
    <w:p w:rsidR="00DC56CD" w:rsidRPr="008B0C28" w:rsidRDefault="00DC56CD" w:rsidP="00DC56CD">
      <w:pPr>
        <w:pStyle w:val="ExecSumBodyText"/>
        <w:rPr>
          <w:color w:val="0066FF"/>
        </w:rPr>
      </w:pPr>
      <w:r w:rsidRPr="008B0C28">
        <w:t xml:space="preserve">Gilteritinib-treated patients who underwent HSCT </w:t>
      </w:r>
      <w:r w:rsidR="00B842C9" w:rsidRPr="008B0C28">
        <w:t>could</w:t>
      </w:r>
      <w:r w:rsidRPr="008B0C28">
        <w:t xml:space="preserve"> re-start treatment with gilteritinib post-transplant. </w:t>
      </w:r>
    </w:p>
    <w:p w:rsidR="00045017" w:rsidRPr="005743F7" w:rsidRDefault="00D45DFC" w:rsidP="00EC5836">
      <w:pPr>
        <w:pStyle w:val="ExecSumBodyText"/>
        <w:rPr>
          <w:color w:val="0066FF"/>
        </w:rPr>
      </w:pPr>
      <w:bookmarkStart w:id="16" w:name="_Ref89259988"/>
      <w:r w:rsidRPr="008B0C28">
        <w:t>While all randomised patients were included in the main analyses of efficacy endpoints, there was differential discontinuation</w:t>
      </w:r>
      <w:r w:rsidRPr="005743F7">
        <w:rPr>
          <w:iCs/>
        </w:rPr>
        <w:t xml:space="preserve"> from the treatment arms in terms of patient-initiated withdrawals (2.0% gilteritinib versus 19.4% salvage chemotherapy) and physician decision to withdraw patients (4.5% versus 8.9%). </w:t>
      </w:r>
      <w:r w:rsidRPr="005743F7">
        <w:t xml:space="preserve">The submission suggested that the higher proportion of patient-initiated withdrawals from treatment in the salvage chemotherapy arm compared to the gilteritinib arm appeared to include 14 of the 15 patients who did not receive therapy at all, which may be a reflection of other experimental treatments being available that were more desirable for those randomised to standard salvage chemotherapy in the trial. Whether these patients who withdrew from the study would have </w:t>
      </w:r>
      <w:r w:rsidR="00970C67" w:rsidRPr="005743F7">
        <w:t xml:space="preserve">a </w:t>
      </w:r>
      <w:r w:rsidRPr="005743F7">
        <w:t>similar</w:t>
      </w:r>
      <w:r w:rsidR="00970C67" w:rsidRPr="005743F7">
        <w:t xml:space="preserve"> treatment response to</w:t>
      </w:r>
      <w:r w:rsidRPr="005743F7">
        <w:t xml:space="preserve"> those remaining in the study is unknown.</w:t>
      </w:r>
      <w:bookmarkEnd w:id="16"/>
    </w:p>
    <w:p w:rsidR="00445DBA" w:rsidRPr="00071137" w:rsidRDefault="00B95ADA" w:rsidP="00B358E9">
      <w:pPr>
        <w:pStyle w:val="ExecSumBodyText"/>
        <w:rPr>
          <w:i/>
        </w:rPr>
      </w:pPr>
      <w:bookmarkStart w:id="17" w:name="_Ref89260020"/>
      <w:r w:rsidRPr="003253E7">
        <w:t>The patients in the ADMIRAL trial were younger (mean age 58.5 years, median 62 years, median 5</w:t>
      </w:r>
      <w:r w:rsidR="00584F84">
        <w:t>.60</w:t>
      </w:r>
      <w:r w:rsidRPr="003253E7">
        <w:t xml:space="preserve"> months since diagnosis) than Australian patients with AML (age at diagnosis 66 years, median 71 years, </w:t>
      </w:r>
      <w:r w:rsidR="008B4E85">
        <w:t xml:space="preserve">2017 data, </w:t>
      </w:r>
      <w:r w:rsidRPr="003253E7">
        <w:t xml:space="preserve">AIHW 2021). </w:t>
      </w:r>
      <w:r w:rsidR="00B05779" w:rsidRPr="003253E7">
        <w:t>The</w:t>
      </w:r>
      <w:r w:rsidR="00775005" w:rsidRPr="003253E7">
        <w:t xml:space="preserve"> submission argued that FLT3 mutation-positive patients are younger than </w:t>
      </w:r>
      <w:r w:rsidRPr="003253E7">
        <w:t xml:space="preserve">the general </w:t>
      </w:r>
      <w:r w:rsidR="00775005" w:rsidRPr="003253E7">
        <w:t>AML p</w:t>
      </w:r>
      <w:r w:rsidRPr="003253E7">
        <w:t>opulation</w:t>
      </w:r>
      <w:r w:rsidR="003D02EA" w:rsidRPr="003253E7">
        <w:t xml:space="preserve"> based on published sources (</w:t>
      </w:r>
      <w:r w:rsidR="00775005" w:rsidRPr="003253E7">
        <w:t>ALLG 2020</w:t>
      </w:r>
      <w:r w:rsidR="003D02EA" w:rsidRPr="003253E7">
        <w:t>, Chua 2020</w:t>
      </w:r>
      <w:r w:rsidR="00775005" w:rsidRPr="003253E7">
        <w:t>).</w:t>
      </w:r>
      <w:r w:rsidR="003D02EA" w:rsidRPr="003253E7">
        <w:t xml:space="preserve"> </w:t>
      </w:r>
      <w:r w:rsidR="00497BB0" w:rsidRPr="00C00A16">
        <w:t xml:space="preserve">The Pre-Sub-Committee response (PSCR) </w:t>
      </w:r>
      <w:r w:rsidR="00B77FBC" w:rsidRPr="00C00A16">
        <w:t xml:space="preserve">argued that </w:t>
      </w:r>
      <w:r w:rsidR="00CC78D4">
        <w:t>the</w:t>
      </w:r>
      <w:r w:rsidR="00B77FBC" w:rsidRPr="00C00A16">
        <w:t xml:space="preserve"> single arm </w:t>
      </w:r>
      <w:r w:rsidR="00CC78D4">
        <w:t xml:space="preserve">AMLSG 16-10 </w:t>
      </w:r>
      <w:r w:rsidR="00B77FBC" w:rsidRPr="00C00A16">
        <w:t>study by Schlenk 2019</w:t>
      </w:r>
      <w:r w:rsidR="008A75AC">
        <w:t xml:space="preserve"> </w:t>
      </w:r>
      <w:r w:rsidR="00015EB3">
        <w:t>(</w:t>
      </w:r>
      <w:r w:rsidR="00B77FBC" w:rsidRPr="00C00A16">
        <w:t>mean age 54.1 years</w:t>
      </w:r>
      <w:r w:rsidR="00015EB3">
        <w:t>) and the RATIFY trial (mean age 45 years)</w:t>
      </w:r>
      <w:r w:rsidR="00057F1C">
        <w:t>, both</w:t>
      </w:r>
      <w:r w:rsidR="00015EB3">
        <w:t xml:space="preserve"> of midostaurin use in FLT3-positive patients</w:t>
      </w:r>
      <w:r w:rsidR="00B77FBC" w:rsidRPr="00C00A16">
        <w:t xml:space="preserve">, supported the claim that FLT3 mutation-positive patients were younger than the general AML population. </w:t>
      </w:r>
      <w:r w:rsidR="008A75AC">
        <w:t>T</w:t>
      </w:r>
      <w:r w:rsidR="00B77FBC" w:rsidRPr="00C00A16">
        <w:t>he ESC noted the age of eligible participants in these studies was capped – 64 years for Chua (2020), 59 years for RATIFY, and 70 years for Schlenk (2019). The</w:t>
      </w:r>
      <w:r w:rsidR="00B358E9" w:rsidRPr="00C00A16">
        <w:t xml:space="preserve"> ESC also noted the ALLG study </w:t>
      </w:r>
      <w:r w:rsidR="00B77FBC" w:rsidRPr="00C00A16">
        <w:t xml:space="preserve">primarily recruited younger patients </w:t>
      </w:r>
      <w:r w:rsidR="00B358E9" w:rsidRPr="00C00A16">
        <w:t>(</w:t>
      </w:r>
      <w:r w:rsidR="00B358E9" w:rsidRPr="008A75AC">
        <w:t xml:space="preserve">see paragraph </w:t>
      </w:r>
      <w:r w:rsidR="008A75AC" w:rsidRPr="008A75AC">
        <w:t>4.5</w:t>
      </w:r>
      <w:r w:rsidR="00B358E9" w:rsidRPr="008A75AC">
        <w:t>).</w:t>
      </w:r>
      <w:r w:rsidR="00B358E9" w:rsidRPr="00C00A16">
        <w:t xml:space="preserve"> As such</w:t>
      </w:r>
      <w:r w:rsidR="00A613BD" w:rsidRPr="00C00A16">
        <w:t>,</w:t>
      </w:r>
      <w:r w:rsidR="00B358E9" w:rsidRPr="00C00A16">
        <w:t xml:space="preserve"> the </w:t>
      </w:r>
      <w:r w:rsidR="00D903D1" w:rsidRPr="00C00A16">
        <w:t>ESC considered the</w:t>
      </w:r>
      <w:r w:rsidR="00D903D1" w:rsidRPr="00B358E9">
        <w:rPr>
          <w:i/>
        </w:rPr>
        <w:t xml:space="preserve"> </w:t>
      </w:r>
      <w:r w:rsidR="003D02EA" w:rsidRPr="005743F7">
        <w:t>populations recruited in these studies may not be applicable to the PBS population</w:t>
      </w:r>
      <w:r w:rsidR="00435C1F">
        <w:t xml:space="preserve"> in terms of age</w:t>
      </w:r>
      <w:r w:rsidR="00A613BD">
        <w:t>.</w:t>
      </w:r>
      <w:bookmarkEnd w:id="17"/>
    </w:p>
    <w:p w:rsidR="003D02EA" w:rsidRPr="005743F7" w:rsidRDefault="003D02EA" w:rsidP="00BE00D0">
      <w:pPr>
        <w:pStyle w:val="ExecSumBodyText"/>
      </w:pPr>
      <w:bookmarkStart w:id="18" w:name="_Ref89260023"/>
      <w:r w:rsidRPr="005743F7">
        <w:rPr>
          <w:iCs/>
        </w:rPr>
        <w:t xml:space="preserve">Overall, the ADMIRAL trial population </w:t>
      </w:r>
      <w:r w:rsidR="00CC495E">
        <w:rPr>
          <w:iCs/>
        </w:rPr>
        <w:t>may</w:t>
      </w:r>
      <w:r w:rsidRPr="005743F7">
        <w:rPr>
          <w:iCs/>
        </w:rPr>
        <w:t xml:space="preserve"> be younger and fitter compared to the PBS population. The magnitude of benefit with gilteritinib treatment is likely to differ as age and fitness are known progno</w:t>
      </w:r>
      <w:r w:rsidR="00054645" w:rsidRPr="005743F7">
        <w:rPr>
          <w:iCs/>
        </w:rPr>
        <w:t>stic</w:t>
      </w:r>
      <w:r w:rsidRPr="005743F7">
        <w:rPr>
          <w:iCs/>
        </w:rPr>
        <w:t xml:space="preserve"> factors for treatment response and survival. There may also be differences in treatment options for Australian patients who have failed multiple lines of therapy, including best supportive care.</w:t>
      </w:r>
      <w:bookmarkEnd w:id="18"/>
    </w:p>
    <w:p w:rsidR="00D24C1F" w:rsidRPr="005743F7" w:rsidRDefault="003D02EA" w:rsidP="001E2B70">
      <w:pPr>
        <w:pStyle w:val="ExecSumBodyText"/>
        <w:rPr>
          <w:color w:val="0066FF"/>
        </w:rPr>
      </w:pPr>
      <w:bookmarkStart w:id="19" w:name="_Ref89260328"/>
      <w:r w:rsidRPr="003253E7">
        <w:t xml:space="preserve">Prior use of FLT3 inhibitors, including midostaurin, may generate resistance to FLT3-targeted therapy and subsequently alter gilteritinib activity (Perl 2019). </w:t>
      </w:r>
      <w:r w:rsidR="007A6F95" w:rsidRPr="00C00A16">
        <w:t>The ESC noted that o</w:t>
      </w:r>
      <w:r w:rsidR="00AB1534" w:rsidRPr="00C00A16">
        <w:t>nly a</w:t>
      </w:r>
      <w:r w:rsidR="00AB1534" w:rsidRPr="003253E7">
        <w:t xml:space="preserve"> very small number of patients in the ADMIRAL trial had been treated with an FLT3 inhibitor prior to entering the trial (6.5% sorafenib, 5.7% midostaurin</w:t>
      </w:r>
      <w:r w:rsidR="00AB1534" w:rsidRPr="005743F7">
        <w:t xml:space="preserve">). </w:t>
      </w:r>
      <w:r w:rsidR="000D651F" w:rsidRPr="005743F7">
        <w:t xml:space="preserve">The use of midostaurin in Australian clinical practice is likely to be more widespread </w:t>
      </w:r>
      <w:r w:rsidR="00AB1534" w:rsidRPr="005743F7">
        <w:t>than</w:t>
      </w:r>
      <w:r w:rsidR="000D651F" w:rsidRPr="005743F7">
        <w:t xml:space="preserve"> in the trial, and the potential impact of prior FLT3 inhibitor use on the efficacy of gilteritinib in the Australian patient population</w:t>
      </w:r>
      <w:r w:rsidR="00E13883">
        <w:t xml:space="preserve"> </w:t>
      </w:r>
      <w:r w:rsidR="007A16F2">
        <w:t xml:space="preserve">is unclear </w:t>
      </w:r>
      <w:r w:rsidR="00E13883">
        <w:t>(see paragraph</w:t>
      </w:r>
      <w:r w:rsidR="007A16F2">
        <w:t xml:space="preserve"> 6.24 and 6.25</w:t>
      </w:r>
      <w:r w:rsidR="00E13883">
        <w:t>)</w:t>
      </w:r>
      <w:r w:rsidR="000D651F" w:rsidRPr="005743F7">
        <w:t>.</w:t>
      </w:r>
      <w:bookmarkEnd w:id="19"/>
    </w:p>
    <w:p w:rsidR="00054645" w:rsidRPr="005743F7" w:rsidRDefault="00054645" w:rsidP="00054645">
      <w:pPr>
        <w:pStyle w:val="ExecSumBodyText"/>
      </w:pPr>
      <w:bookmarkStart w:id="20" w:name="_Ref89260489"/>
      <w:r w:rsidRPr="003253E7">
        <w:t xml:space="preserve">The submission argued that HSCT rates in the Australian setting are likely to be higher </w:t>
      </w:r>
      <w:r w:rsidR="005077D0">
        <w:t xml:space="preserve">overall </w:t>
      </w:r>
      <w:r w:rsidRPr="003253E7">
        <w:t xml:space="preserve">than observed in the ADMIRAL trial (gilteritinib 25.5%; salvage chemotherapy 15.3%) based on expert </w:t>
      </w:r>
      <w:r w:rsidRPr="005743F7">
        <w:t xml:space="preserve">opinion that 60% of patients with composite complete remission (CRc) would receive HSCT (derived HSCT rates: gilteritinib 32.6%; salvage chemotherapy 13.1%). The expert opinion was not provided in the submission. The submission also claimed HSCT rates in the ALLG (2020) registry study suggest higher rates in the Australian setting, based on </w:t>
      </w:r>
      <w:r w:rsidRPr="007672C8">
        <w:t>31</w:t>
      </w:r>
      <w:r w:rsidRPr="005743F7">
        <w:t xml:space="preserve">% of relapsed or refractory patients receiving HSCT. The ALLG study population was </w:t>
      </w:r>
      <w:r w:rsidRPr="007672C8">
        <w:t>relatively young</w:t>
      </w:r>
      <w:r w:rsidRPr="005743F7">
        <w:t xml:space="preserve"> (mean age </w:t>
      </w:r>
      <w:r w:rsidRPr="007672C8">
        <w:t>57</w:t>
      </w:r>
      <w:r w:rsidRPr="005743F7">
        <w:t xml:space="preserve"> years) with </w:t>
      </w:r>
      <w:r w:rsidRPr="007672C8">
        <w:t>few</w:t>
      </w:r>
      <w:r w:rsidRPr="005743F7">
        <w:t xml:space="preserve"> FLT3</w:t>
      </w:r>
      <w:r w:rsidR="007078E5">
        <w:t xml:space="preserve"> mutation-</w:t>
      </w:r>
      <w:r w:rsidRPr="005743F7">
        <w:t>positive patients who received HSCT (</w:t>
      </w:r>
      <w:r w:rsidRPr="007672C8">
        <w:t>2 of 9 patients</w:t>
      </w:r>
      <w:r w:rsidRPr="005743F7">
        <w:t xml:space="preserve">). </w:t>
      </w:r>
      <w:r w:rsidRPr="00C00A16">
        <w:t xml:space="preserve">The </w:t>
      </w:r>
      <w:r w:rsidR="00896194" w:rsidRPr="00C00A16">
        <w:t xml:space="preserve">ESC considered these </w:t>
      </w:r>
      <w:r w:rsidRPr="00C00A16">
        <w:t>data may not be applicable to the PBS population</w:t>
      </w:r>
      <w:r w:rsidR="007078E5">
        <w:t>,</w:t>
      </w:r>
      <w:r w:rsidRPr="00C00A16">
        <w:t xml:space="preserve"> which</w:t>
      </w:r>
      <w:r w:rsidRPr="005743F7">
        <w:t xml:space="preserve"> may be older and less fit compared to participants in the registry.</w:t>
      </w:r>
      <w:r w:rsidR="00896194">
        <w:t xml:space="preserve"> </w:t>
      </w:r>
      <w:bookmarkEnd w:id="20"/>
    </w:p>
    <w:p w:rsidR="00054645" w:rsidRPr="005743F7" w:rsidRDefault="007078E5" w:rsidP="00054645">
      <w:pPr>
        <w:pStyle w:val="ExecSumBodyText"/>
      </w:pPr>
      <w:r>
        <w:t>Overall, t</w:t>
      </w:r>
      <w:r w:rsidR="00054645" w:rsidRPr="005743F7">
        <w:t>he applicability of HSCT rates from the trial to Australian practice was unclear. It is</w:t>
      </w:r>
      <w:r w:rsidR="005077D0">
        <w:t xml:space="preserve"> also</w:t>
      </w:r>
      <w:r w:rsidR="00054645" w:rsidRPr="005743F7">
        <w:t xml:space="preserve"> possible that the younger, fitter population in the ADMIRAL trial may have permitted higher rates of HSCT than would be observed in the Australian population.</w:t>
      </w:r>
      <w:r w:rsidR="00CF327D" w:rsidRPr="005743F7">
        <w:t xml:space="preserve"> HSCT is the only potentially curative treatment for AML</w:t>
      </w:r>
      <w:r w:rsidR="005A6F51" w:rsidRPr="005743F7">
        <w:t xml:space="preserve"> and a higher rate of HSCT in the trial may have resulted in more favourable treatment outcomes than would be observed in the Australian population</w:t>
      </w:r>
      <w:r w:rsidR="00CF327D" w:rsidRPr="005743F7">
        <w:t>.</w:t>
      </w:r>
    </w:p>
    <w:p w:rsidR="00B60939" w:rsidRPr="003253E7" w:rsidRDefault="003D02EA" w:rsidP="00EC5836">
      <w:pPr>
        <w:pStyle w:val="3-SubsectionHeading"/>
      </w:pPr>
      <w:bookmarkStart w:id="21" w:name="_Toc22897641"/>
      <w:bookmarkStart w:id="22" w:name="_Toc82605756"/>
      <w:r w:rsidRPr="003253E7">
        <w:t>Comparative effectiveness</w:t>
      </w:r>
      <w:bookmarkEnd w:id="21"/>
      <w:bookmarkEnd w:id="22"/>
    </w:p>
    <w:p w:rsidR="006F35E4" w:rsidRPr="003253E7" w:rsidRDefault="006F35E4" w:rsidP="00AF4281">
      <w:pPr>
        <w:pStyle w:val="4-SubsectSubhead"/>
      </w:pPr>
      <w:r w:rsidRPr="003253E7">
        <w:t>Overall survival</w:t>
      </w:r>
    </w:p>
    <w:p w:rsidR="002C2775" w:rsidRPr="003253E7" w:rsidRDefault="006F35E4" w:rsidP="00EC5836">
      <w:pPr>
        <w:pStyle w:val="ExecSumBodyText"/>
      </w:pPr>
      <w:r w:rsidRPr="003253E7">
        <w:t xml:space="preserve">The </w:t>
      </w:r>
      <w:r w:rsidR="007B41E3" w:rsidRPr="003253E7">
        <w:t>f</w:t>
      </w:r>
      <w:r w:rsidRPr="003253E7">
        <w:t xml:space="preserve">igure below presents the Kaplan-Meier plot of </w:t>
      </w:r>
      <w:r w:rsidR="00E2169A">
        <w:t>OS</w:t>
      </w:r>
      <w:r w:rsidRPr="003253E7">
        <w:t xml:space="preserve"> in the ITT population at the primary </w:t>
      </w:r>
      <w:r w:rsidR="00FE7362" w:rsidRPr="003253E7">
        <w:t>data cut</w:t>
      </w:r>
      <w:r w:rsidRPr="003253E7">
        <w:t xml:space="preserve"> (September 2018). The median duration of follow-up for </w:t>
      </w:r>
      <w:r w:rsidR="00E2169A">
        <w:t>OS</w:t>
      </w:r>
      <w:r w:rsidRPr="003253E7">
        <w:t xml:space="preserve"> was 17.8 months.</w:t>
      </w:r>
    </w:p>
    <w:p w:rsidR="006F35E4" w:rsidRPr="003253E7" w:rsidRDefault="00FD4C43" w:rsidP="00A10711">
      <w:pPr>
        <w:pStyle w:val="Tableheadingrow"/>
        <w:rPr>
          <w:snapToGrid w:val="0"/>
          <w:sz w:val="18"/>
          <w:szCs w:val="22"/>
        </w:rPr>
      </w:pPr>
      <w:r>
        <w:t xml:space="preserve">Figure </w:t>
      </w:r>
      <w:r w:rsidR="00C90F41">
        <w:rPr>
          <w:noProof/>
        </w:rPr>
        <w:t>1</w:t>
      </w:r>
      <w:r w:rsidR="006F35E4" w:rsidRPr="003253E7">
        <w:t xml:space="preserve">: Kaplan-Meier plot of overall survival, ITT population of ADMIRAL trial (September 2018 </w:t>
      </w:r>
      <w:r w:rsidR="00FE7362" w:rsidRPr="003253E7">
        <w:t>data cut</w:t>
      </w:r>
      <w:r w:rsidR="006F35E4" w:rsidRPr="003253E7">
        <w:t>)</w:t>
      </w:r>
      <w:r w:rsidR="006F35E4" w:rsidRPr="003253E7">
        <w:rPr>
          <w:noProof/>
          <w:bdr w:val="single" w:sz="4" w:space="0" w:color="auto"/>
          <w:lang w:val="en-AU"/>
        </w:rPr>
        <w:drawing>
          <wp:inline distT="0" distB="0" distL="0" distR="0" wp14:anchorId="217D322D" wp14:editId="5AFAAC3B">
            <wp:extent cx="5732145" cy="3171350"/>
            <wp:effectExtent l="19050" t="19050" r="20955" b="10160"/>
            <wp:docPr id="6" name="image2.png"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2.png" descr="Chart, line chart&#10;&#10;Description automatically generated"/>
                    <pic:cNvPicPr/>
                  </pic:nvPicPr>
                  <pic:blipFill>
                    <a:blip r:embed="rId8" cstate="print"/>
                    <a:stretch>
                      <a:fillRect/>
                    </a:stretch>
                  </pic:blipFill>
                  <pic:spPr>
                    <a:xfrm>
                      <a:off x="0" y="0"/>
                      <a:ext cx="5732145" cy="3171350"/>
                    </a:xfrm>
                    <a:prstGeom prst="rect">
                      <a:avLst/>
                    </a:prstGeom>
                    <a:ln>
                      <a:solidFill>
                        <a:schemeClr val="accent1"/>
                      </a:solidFill>
                    </a:ln>
                  </pic:spPr>
                </pic:pic>
              </a:graphicData>
            </a:graphic>
          </wp:inline>
        </w:drawing>
      </w:r>
      <w:r w:rsidR="006F35E4" w:rsidRPr="00AF4281">
        <w:rPr>
          <w:rStyle w:val="TableFooterChar"/>
          <w:b w:val="0"/>
          <w:bCs/>
        </w:rPr>
        <w:t>Source: Figure 5, p66 of the submission.</w:t>
      </w:r>
    </w:p>
    <w:p w:rsidR="006F35E4" w:rsidRPr="003253E7" w:rsidRDefault="006F35E4" w:rsidP="006F35E4">
      <w:pPr>
        <w:pStyle w:val="TableFigureFooter"/>
      </w:pPr>
      <w:r w:rsidRPr="003253E7">
        <w:t>ASP2215, gilteritinib; Chemo, salvage chemotherapy; HR, hazard ratio.</w:t>
      </w:r>
    </w:p>
    <w:p w:rsidR="006F35E4" w:rsidRPr="003253E7" w:rsidRDefault="00E2169A" w:rsidP="00EC5836">
      <w:pPr>
        <w:pStyle w:val="ExecSumBodyText"/>
      </w:pPr>
      <w:r>
        <w:t>OS</w:t>
      </w:r>
      <w:r w:rsidR="00AE51E3" w:rsidRPr="003253E7">
        <w:t xml:space="preserve"> was statistically significantly longer for patients in the gilteritinib arm (median OS 9.3 months) than in the salvage chemotherapy arm (median OS 5.6</w:t>
      </w:r>
      <w:r w:rsidR="00A6410E">
        <w:t> </w:t>
      </w:r>
      <w:r w:rsidR="00AE51E3" w:rsidRPr="003253E7">
        <w:t>months; HR 0.637, 95% CI 0.49, 0.83).</w:t>
      </w:r>
    </w:p>
    <w:p w:rsidR="00D65E34" w:rsidRPr="005743F7" w:rsidRDefault="00E2169A" w:rsidP="000541D2">
      <w:pPr>
        <w:pStyle w:val="ExecSumBodyText"/>
      </w:pPr>
      <w:r w:rsidRPr="005743F7">
        <w:rPr>
          <w:iCs/>
        </w:rPr>
        <w:t>OS</w:t>
      </w:r>
      <w:r w:rsidR="003D02EA" w:rsidRPr="005743F7">
        <w:rPr>
          <w:iCs/>
        </w:rPr>
        <w:t xml:space="preserve"> may be subject to confounding due to differential use of subsequent therapies. In particular, more patients in the gilteritinib arm received HSCT (25.5%) compared to patients in the salvage chemotherapy arm (15.3%). </w:t>
      </w:r>
      <w:r w:rsidR="005563C1" w:rsidRPr="005743F7">
        <w:t>The results of pre-specified sensitivity analyses, censoring patients who underwent HSCT (HR 0.575, 95% CI 0.434, 0.762), and censoring patients at the time of receiving any new anti</w:t>
      </w:r>
      <w:r w:rsidR="00806612" w:rsidRPr="005743F7">
        <w:t>-</w:t>
      </w:r>
      <w:r w:rsidR="005563C1" w:rsidRPr="005743F7">
        <w:t xml:space="preserve">leukaemia therapy after study drug discontinuation (HR 0.447, 95% CI 0.312, 0.639) were consistent with the overall ITT population. </w:t>
      </w:r>
      <w:r w:rsidR="00D65E34" w:rsidRPr="00C00A16">
        <w:t xml:space="preserve">The submission </w:t>
      </w:r>
      <w:r w:rsidR="00E17B42" w:rsidRPr="00C00A16">
        <w:t xml:space="preserve">and PSCR </w:t>
      </w:r>
      <w:r w:rsidR="00D65E34" w:rsidRPr="00C00A16">
        <w:t xml:space="preserve">suggested that these results indicate the survival benefit associated with gilteritinib was </w:t>
      </w:r>
      <w:r w:rsidR="000541D2" w:rsidRPr="00C00A16">
        <w:t xml:space="preserve">also apparent in patients who did not undergo HSCT or those who did not receive any subsequent anti-leukaemia therapies. </w:t>
      </w:r>
      <w:r w:rsidR="00E17B42" w:rsidRPr="00C00A16">
        <w:t xml:space="preserve">The ESC agreed with the evaluation that </w:t>
      </w:r>
      <w:r w:rsidR="00E17B42" w:rsidRPr="00C00A16">
        <w:rPr>
          <w:iCs/>
        </w:rPr>
        <w:t>i</w:t>
      </w:r>
      <w:r w:rsidR="000541D2" w:rsidRPr="00C00A16">
        <w:rPr>
          <w:iCs/>
        </w:rPr>
        <w:t xml:space="preserve">t was unclear whether there </w:t>
      </w:r>
      <w:r w:rsidR="00A6410E" w:rsidRPr="00C00A16">
        <w:rPr>
          <w:iCs/>
        </w:rPr>
        <w:t xml:space="preserve">were </w:t>
      </w:r>
      <w:r w:rsidR="000541D2" w:rsidRPr="00C00A16">
        <w:rPr>
          <w:iCs/>
        </w:rPr>
        <w:t xml:space="preserve">potential differences in patient or disease characteristics that may be contributing to differences in </w:t>
      </w:r>
      <w:r w:rsidRPr="00C00A16">
        <w:rPr>
          <w:iCs/>
        </w:rPr>
        <w:t>OS</w:t>
      </w:r>
      <w:r w:rsidR="000541D2" w:rsidRPr="00C00A16">
        <w:rPr>
          <w:iCs/>
        </w:rPr>
        <w:t xml:space="preserve"> between arms. Subgroup characteristics by HSCT and by subsequent therapies were not provided in the submission</w:t>
      </w:r>
      <w:r w:rsidR="000541D2" w:rsidRPr="005743F7">
        <w:rPr>
          <w:iCs/>
        </w:rPr>
        <w:t>.</w:t>
      </w:r>
      <w:r w:rsidR="00A613BD">
        <w:rPr>
          <w:iCs/>
        </w:rPr>
        <w:t xml:space="preserve"> </w:t>
      </w:r>
    </w:p>
    <w:p w:rsidR="009E6166" w:rsidRPr="003253E7" w:rsidRDefault="00AE51E3" w:rsidP="009E6166">
      <w:pPr>
        <w:pStyle w:val="ExecSumBodyText"/>
      </w:pPr>
      <w:r w:rsidRPr="003253E7">
        <w:t xml:space="preserve">Supplementary analyses of OS were performed on updated </w:t>
      </w:r>
      <w:r w:rsidR="00FE7362" w:rsidRPr="003253E7">
        <w:t>data cut</w:t>
      </w:r>
      <w:r w:rsidRPr="003253E7">
        <w:t xml:space="preserve">s at one year (September 2019) and two years (September 2020) after the primary analysis (Perl 2020, Perl 2021). </w:t>
      </w:r>
      <w:r w:rsidR="00D8640E">
        <w:t>C</w:t>
      </w:r>
      <w:r w:rsidR="009E6166" w:rsidRPr="003253E7">
        <w:t>omparison</w:t>
      </w:r>
      <w:r w:rsidR="00D8640E">
        <w:t>s</w:t>
      </w:r>
      <w:r w:rsidR="009E6166" w:rsidRPr="003253E7">
        <w:t xml:space="preserve"> of </w:t>
      </w:r>
      <w:r w:rsidR="00E2169A">
        <w:t>OS</w:t>
      </w:r>
      <w:r w:rsidR="009E6166" w:rsidRPr="003253E7">
        <w:t xml:space="preserve"> rates at 6, 12, and 24 months for the original </w:t>
      </w:r>
      <w:r w:rsidR="00FE7362" w:rsidRPr="003253E7">
        <w:t>data cut</w:t>
      </w:r>
      <w:r w:rsidR="009E6166" w:rsidRPr="003253E7">
        <w:t xml:space="preserve"> (September 2018), and later </w:t>
      </w:r>
      <w:r w:rsidR="00FE7362" w:rsidRPr="003253E7">
        <w:t>data cut</w:t>
      </w:r>
      <w:r w:rsidR="009E6166" w:rsidRPr="003253E7">
        <w:t xml:space="preserve">s (September 2019, September 2020) are summarised in the table below. </w:t>
      </w:r>
    </w:p>
    <w:p w:rsidR="000541D2" w:rsidRPr="003253E7" w:rsidRDefault="00FD4C43" w:rsidP="00E2169A">
      <w:pPr>
        <w:pStyle w:val="Tableheadingrow"/>
      </w:pPr>
      <w:bookmarkStart w:id="23" w:name="_Ref89174669"/>
      <w:r>
        <w:t xml:space="preserve">Table </w:t>
      </w:r>
      <w:r w:rsidR="002B6D54">
        <w:rPr>
          <w:noProof/>
        </w:rPr>
        <w:t>4</w:t>
      </w:r>
      <w:bookmarkEnd w:id="23"/>
      <w:r w:rsidR="000541D2" w:rsidRPr="003253E7">
        <w:t>: Overall survival in ITT population at data-cut off points (September 2018, September 2019, and September 2020)</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413"/>
        <w:gridCol w:w="1346"/>
        <w:gridCol w:w="1347"/>
        <w:gridCol w:w="1346"/>
        <w:gridCol w:w="1347"/>
        <w:gridCol w:w="1109"/>
        <w:gridCol w:w="1109"/>
      </w:tblGrid>
      <w:tr w:rsidR="000541D2" w:rsidRPr="003253E7" w:rsidTr="001E2B70">
        <w:trPr>
          <w:tblHeader/>
        </w:trPr>
        <w:tc>
          <w:tcPr>
            <w:tcW w:w="1413" w:type="dxa"/>
            <w:vMerge w:val="restart"/>
            <w:tcBorders>
              <w:top w:val="single" w:sz="4" w:space="0" w:color="auto"/>
              <w:left w:val="single" w:sz="4" w:space="0" w:color="auto"/>
              <w:right w:val="single" w:sz="4" w:space="0" w:color="auto"/>
            </w:tcBorders>
            <w:vAlign w:val="center"/>
            <w:hideMark/>
          </w:tcPr>
          <w:p w:rsidR="000541D2" w:rsidRPr="003253E7" w:rsidRDefault="000541D2" w:rsidP="001E2B70">
            <w:pPr>
              <w:jc w:val="left"/>
              <w:rPr>
                <w:rFonts w:ascii="Arial Narrow" w:eastAsiaTheme="minorHAnsi" w:hAnsi="Arial Narrow" w:cstheme="minorBidi"/>
                <w:b/>
                <w:sz w:val="20"/>
                <w:szCs w:val="22"/>
                <w:lang w:eastAsia="en-US"/>
              </w:rPr>
            </w:pPr>
          </w:p>
        </w:tc>
        <w:tc>
          <w:tcPr>
            <w:tcW w:w="2693" w:type="dxa"/>
            <w:gridSpan w:val="2"/>
            <w:tcBorders>
              <w:top w:val="single" w:sz="4" w:space="0" w:color="auto"/>
              <w:left w:val="single" w:sz="4" w:space="0" w:color="auto"/>
              <w:bottom w:val="single" w:sz="4" w:space="0" w:color="auto"/>
              <w:right w:val="single" w:sz="4" w:space="0" w:color="auto"/>
            </w:tcBorders>
            <w:vAlign w:val="center"/>
          </w:tcPr>
          <w:p w:rsidR="000541D2" w:rsidRPr="003253E7" w:rsidRDefault="000541D2" w:rsidP="001E2B70">
            <w:pPr>
              <w:jc w:val="center"/>
              <w:rPr>
                <w:rFonts w:ascii="Arial Narrow" w:eastAsiaTheme="minorHAnsi" w:hAnsi="Arial Narrow" w:cstheme="minorBidi"/>
                <w:b/>
                <w:sz w:val="20"/>
                <w:szCs w:val="22"/>
                <w:lang w:eastAsia="en-US"/>
              </w:rPr>
            </w:pPr>
            <w:r w:rsidRPr="003253E7">
              <w:rPr>
                <w:rFonts w:ascii="Arial Narrow" w:eastAsiaTheme="minorHAnsi" w:hAnsi="Arial Narrow" w:cstheme="minorBidi"/>
                <w:b/>
                <w:sz w:val="20"/>
                <w:szCs w:val="22"/>
                <w:lang w:eastAsia="en-US"/>
              </w:rPr>
              <w:t>September 2018</w:t>
            </w:r>
          </w:p>
        </w:tc>
        <w:tc>
          <w:tcPr>
            <w:tcW w:w="2693" w:type="dxa"/>
            <w:gridSpan w:val="2"/>
            <w:tcBorders>
              <w:top w:val="single" w:sz="4" w:space="0" w:color="auto"/>
              <w:left w:val="single" w:sz="4" w:space="0" w:color="auto"/>
              <w:bottom w:val="single" w:sz="4" w:space="0" w:color="auto"/>
              <w:right w:val="single" w:sz="4" w:space="0" w:color="auto"/>
            </w:tcBorders>
          </w:tcPr>
          <w:p w:rsidR="000541D2" w:rsidRPr="003253E7" w:rsidRDefault="000541D2" w:rsidP="001E2B70">
            <w:pPr>
              <w:jc w:val="center"/>
              <w:rPr>
                <w:rFonts w:ascii="Arial Narrow" w:eastAsiaTheme="minorHAnsi" w:hAnsi="Arial Narrow" w:cstheme="minorBidi"/>
                <w:b/>
                <w:sz w:val="20"/>
                <w:szCs w:val="22"/>
                <w:lang w:eastAsia="en-US"/>
              </w:rPr>
            </w:pPr>
            <w:r w:rsidRPr="003253E7">
              <w:rPr>
                <w:rFonts w:ascii="Arial Narrow" w:eastAsiaTheme="minorHAnsi" w:hAnsi="Arial Narrow" w:cstheme="minorBidi"/>
                <w:b/>
                <w:sz w:val="20"/>
                <w:szCs w:val="22"/>
                <w:lang w:eastAsia="en-US"/>
              </w:rPr>
              <w:t>September 2019</w:t>
            </w:r>
          </w:p>
        </w:tc>
        <w:tc>
          <w:tcPr>
            <w:tcW w:w="2218" w:type="dxa"/>
            <w:gridSpan w:val="2"/>
            <w:tcBorders>
              <w:top w:val="single" w:sz="4" w:space="0" w:color="auto"/>
              <w:left w:val="single" w:sz="4" w:space="0" w:color="auto"/>
              <w:bottom w:val="single" w:sz="4" w:space="0" w:color="auto"/>
              <w:right w:val="single" w:sz="4" w:space="0" w:color="auto"/>
            </w:tcBorders>
          </w:tcPr>
          <w:p w:rsidR="000541D2" w:rsidRPr="003253E7" w:rsidRDefault="000541D2" w:rsidP="001E2B70">
            <w:pPr>
              <w:jc w:val="center"/>
              <w:rPr>
                <w:rFonts w:ascii="Arial Narrow" w:eastAsiaTheme="minorHAnsi" w:hAnsi="Arial Narrow" w:cstheme="minorBidi"/>
                <w:b/>
                <w:sz w:val="20"/>
                <w:szCs w:val="22"/>
                <w:lang w:eastAsia="en-US"/>
              </w:rPr>
            </w:pPr>
            <w:r w:rsidRPr="003253E7">
              <w:rPr>
                <w:rFonts w:ascii="Arial Narrow" w:eastAsiaTheme="minorHAnsi" w:hAnsi="Arial Narrow" w:cstheme="minorBidi"/>
                <w:b/>
                <w:sz w:val="20"/>
                <w:szCs w:val="22"/>
                <w:lang w:eastAsia="en-US"/>
              </w:rPr>
              <w:t>September 2020</w:t>
            </w:r>
          </w:p>
        </w:tc>
      </w:tr>
      <w:tr w:rsidR="000541D2" w:rsidRPr="003253E7" w:rsidTr="001E2B70">
        <w:trPr>
          <w:tblHeader/>
        </w:trPr>
        <w:tc>
          <w:tcPr>
            <w:tcW w:w="1413" w:type="dxa"/>
            <w:vMerge/>
            <w:tcBorders>
              <w:left w:val="single" w:sz="4" w:space="0" w:color="auto"/>
              <w:bottom w:val="single" w:sz="4" w:space="0" w:color="auto"/>
              <w:right w:val="single" w:sz="4" w:space="0" w:color="auto"/>
            </w:tcBorders>
            <w:vAlign w:val="center"/>
          </w:tcPr>
          <w:p w:rsidR="000541D2" w:rsidRPr="003253E7" w:rsidRDefault="000541D2" w:rsidP="001E2B70">
            <w:pPr>
              <w:jc w:val="left"/>
              <w:rPr>
                <w:rFonts w:ascii="Arial Narrow" w:eastAsiaTheme="minorHAnsi" w:hAnsi="Arial Narrow" w:cstheme="minorBidi"/>
                <w:b/>
                <w:sz w:val="20"/>
                <w:szCs w:val="22"/>
                <w:lang w:eastAsia="en-US"/>
              </w:rPr>
            </w:pPr>
          </w:p>
        </w:tc>
        <w:tc>
          <w:tcPr>
            <w:tcW w:w="1346" w:type="dxa"/>
            <w:tcBorders>
              <w:top w:val="single" w:sz="4" w:space="0" w:color="auto"/>
              <w:left w:val="single" w:sz="4" w:space="0" w:color="auto"/>
              <w:bottom w:val="single" w:sz="4" w:space="0" w:color="auto"/>
              <w:right w:val="single" w:sz="4" w:space="0" w:color="auto"/>
            </w:tcBorders>
            <w:vAlign w:val="center"/>
          </w:tcPr>
          <w:p w:rsidR="000541D2" w:rsidRPr="003253E7" w:rsidRDefault="000541D2" w:rsidP="001E2B70">
            <w:pPr>
              <w:jc w:val="center"/>
              <w:rPr>
                <w:rFonts w:ascii="Arial Narrow" w:eastAsiaTheme="minorHAnsi" w:hAnsi="Arial Narrow" w:cstheme="minorBidi"/>
                <w:b/>
                <w:sz w:val="20"/>
                <w:szCs w:val="22"/>
                <w:lang w:eastAsia="en-US"/>
              </w:rPr>
            </w:pPr>
            <w:r w:rsidRPr="003253E7">
              <w:rPr>
                <w:rFonts w:ascii="Arial Narrow" w:eastAsiaTheme="minorHAnsi" w:hAnsi="Arial Narrow" w:cstheme="minorBidi"/>
                <w:b/>
                <w:sz w:val="20"/>
                <w:szCs w:val="22"/>
                <w:lang w:eastAsia="en-US"/>
              </w:rPr>
              <w:t>GILT</w:t>
            </w:r>
          </w:p>
        </w:tc>
        <w:tc>
          <w:tcPr>
            <w:tcW w:w="1347" w:type="dxa"/>
            <w:tcBorders>
              <w:top w:val="single" w:sz="4" w:space="0" w:color="auto"/>
              <w:left w:val="single" w:sz="4" w:space="0" w:color="auto"/>
              <w:bottom w:val="single" w:sz="4" w:space="0" w:color="auto"/>
              <w:right w:val="single" w:sz="4" w:space="0" w:color="auto"/>
            </w:tcBorders>
            <w:vAlign w:val="center"/>
          </w:tcPr>
          <w:p w:rsidR="000541D2" w:rsidRPr="003253E7" w:rsidRDefault="000541D2" w:rsidP="001E2B70">
            <w:pPr>
              <w:jc w:val="center"/>
              <w:rPr>
                <w:rFonts w:ascii="Arial Narrow" w:eastAsiaTheme="minorHAnsi" w:hAnsi="Arial Narrow" w:cstheme="minorBidi"/>
                <w:b/>
                <w:sz w:val="20"/>
                <w:szCs w:val="22"/>
                <w:lang w:eastAsia="en-US"/>
              </w:rPr>
            </w:pPr>
            <w:r w:rsidRPr="003253E7">
              <w:rPr>
                <w:rFonts w:ascii="Arial Narrow" w:eastAsiaTheme="minorHAnsi" w:hAnsi="Arial Narrow" w:cstheme="minorBidi"/>
                <w:b/>
                <w:sz w:val="20"/>
                <w:szCs w:val="22"/>
                <w:lang w:eastAsia="en-US"/>
              </w:rPr>
              <w:t>SC</w:t>
            </w:r>
          </w:p>
        </w:tc>
        <w:tc>
          <w:tcPr>
            <w:tcW w:w="1346" w:type="dxa"/>
            <w:tcBorders>
              <w:top w:val="single" w:sz="4" w:space="0" w:color="auto"/>
              <w:left w:val="single" w:sz="4" w:space="0" w:color="auto"/>
              <w:bottom w:val="single" w:sz="4" w:space="0" w:color="auto"/>
              <w:right w:val="single" w:sz="4" w:space="0" w:color="auto"/>
            </w:tcBorders>
            <w:vAlign w:val="center"/>
          </w:tcPr>
          <w:p w:rsidR="000541D2" w:rsidRPr="003253E7" w:rsidRDefault="000541D2" w:rsidP="001E2B70">
            <w:pPr>
              <w:jc w:val="center"/>
              <w:rPr>
                <w:rFonts w:ascii="Arial Narrow" w:eastAsiaTheme="minorHAnsi" w:hAnsi="Arial Narrow" w:cstheme="minorBidi"/>
                <w:b/>
                <w:sz w:val="20"/>
                <w:szCs w:val="22"/>
                <w:lang w:eastAsia="en-US"/>
              </w:rPr>
            </w:pPr>
            <w:r w:rsidRPr="003253E7">
              <w:rPr>
                <w:rFonts w:ascii="Arial Narrow" w:eastAsiaTheme="minorHAnsi" w:hAnsi="Arial Narrow" w:cstheme="minorBidi"/>
                <w:b/>
                <w:sz w:val="20"/>
                <w:szCs w:val="22"/>
                <w:lang w:eastAsia="en-US"/>
              </w:rPr>
              <w:t>GILT</w:t>
            </w:r>
          </w:p>
        </w:tc>
        <w:tc>
          <w:tcPr>
            <w:tcW w:w="1347" w:type="dxa"/>
            <w:tcBorders>
              <w:top w:val="single" w:sz="4" w:space="0" w:color="auto"/>
              <w:left w:val="single" w:sz="4" w:space="0" w:color="auto"/>
              <w:bottom w:val="single" w:sz="4" w:space="0" w:color="auto"/>
              <w:right w:val="single" w:sz="4" w:space="0" w:color="auto"/>
            </w:tcBorders>
            <w:vAlign w:val="center"/>
          </w:tcPr>
          <w:p w:rsidR="000541D2" w:rsidRPr="003253E7" w:rsidRDefault="000541D2" w:rsidP="001E2B70">
            <w:pPr>
              <w:jc w:val="center"/>
              <w:rPr>
                <w:rFonts w:ascii="Arial Narrow" w:eastAsiaTheme="minorHAnsi" w:hAnsi="Arial Narrow" w:cstheme="minorBidi"/>
                <w:b/>
                <w:sz w:val="20"/>
                <w:szCs w:val="22"/>
                <w:lang w:eastAsia="en-US"/>
              </w:rPr>
            </w:pPr>
            <w:r w:rsidRPr="003253E7">
              <w:rPr>
                <w:rFonts w:ascii="Arial Narrow" w:eastAsiaTheme="minorHAnsi" w:hAnsi="Arial Narrow" w:cstheme="minorBidi"/>
                <w:b/>
                <w:sz w:val="20"/>
                <w:szCs w:val="22"/>
                <w:lang w:eastAsia="en-US"/>
              </w:rPr>
              <w:t>SC</w:t>
            </w:r>
          </w:p>
        </w:tc>
        <w:tc>
          <w:tcPr>
            <w:tcW w:w="1109" w:type="dxa"/>
            <w:tcBorders>
              <w:top w:val="single" w:sz="4" w:space="0" w:color="auto"/>
              <w:left w:val="single" w:sz="4" w:space="0" w:color="auto"/>
              <w:bottom w:val="single" w:sz="4" w:space="0" w:color="auto"/>
              <w:right w:val="single" w:sz="4" w:space="0" w:color="auto"/>
            </w:tcBorders>
            <w:vAlign w:val="center"/>
          </w:tcPr>
          <w:p w:rsidR="000541D2" w:rsidRPr="003253E7" w:rsidRDefault="000541D2" w:rsidP="001E2B70">
            <w:pPr>
              <w:jc w:val="center"/>
              <w:rPr>
                <w:rFonts w:ascii="Arial Narrow" w:eastAsiaTheme="minorHAnsi" w:hAnsi="Arial Narrow" w:cstheme="minorBidi"/>
                <w:b/>
                <w:sz w:val="20"/>
                <w:szCs w:val="22"/>
                <w:lang w:eastAsia="en-US"/>
              </w:rPr>
            </w:pPr>
            <w:r w:rsidRPr="003253E7">
              <w:rPr>
                <w:rFonts w:ascii="Arial Narrow" w:eastAsiaTheme="minorHAnsi" w:hAnsi="Arial Narrow" w:cstheme="minorBidi"/>
                <w:b/>
                <w:sz w:val="20"/>
                <w:szCs w:val="22"/>
                <w:lang w:eastAsia="en-US"/>
              </w:rPr>
              <w:t>GILT</w:t>
            </w:r>
          </w:p>
        </w:tc>
        <w:tc>
          <w:tcPr>
            <w:tcW w:w="1109" w:type="dxa"/>
            <w:tcBorders>
              <w:top w:val="single" w:sz="4" w:space="0" w:color="auto"/>
              <w:left w:val="single" w:sz="4" w:space="0" w:color="auto"/>
              <w:bottom w:val="single" w:sz="4" w:space="0" w:color="auto"/>
              <w:right w:val="single" w:sz="4" w:space="0" w:color="auto"/>
            </w:tcBorders>
            <w:vAlign w:val="center"/>
          </w:tcPr>
          <w:p w:rsidR="000541D2" w:rsidRPr="003253E7" w:rsidRDefault="000541D2" w:rsidP="001E2B70">
            <w:pPr>
              <w:jc w:val="center"/>
              <w:rPr>
                <w:rFonts w:ascii="Arial Narrow" w:eastAsiaTheme="minorHAnsi" w:hAnsi="Arial Narrow" w:cstheme="minorBidi"/>
                <w:b/>
                <w:sz w:val="20"/>
                <w:szCs w:val="22"/>
                <w:lang w:eastAsia="en-US"/>
              </w:rPr>
            </w:pPr>
            <w:r w:rsidRPr="003253E7">
              <w:rPr>
                <w:rFonts w:ascii="Arial Narrow" w:eastAsiaTheme="minorHAnsi" w:hAnsi="Arial Narrow" w:cstheme="minorBidi"/>
                <w:b/>
                <w:sz w:val="20"/>
                <w:szCs w:val="22"/>
                <w:lang w:eastAsia="en-US"/>
              </w:rPr>
              <w:t>SC</w:t>
            </w:r>
          </w:p>
        </w:tc>
      </w:tr>
      <w:tr w:rsidR="000541D2" w:rsidRPr="003253E7" w:rsidTr="001E2B70">
        <w:trPr>
          <w:tblHeader/>
        </w:trPr>
        <w:tc>
          <w:tcPr>
            <w:tcW w:w="1413" w:type="dxa"/>
            <w:tcBorders>
              <w:top w:val="single" w:sz="4" w:space="0" w:color="auto"/>
              <w:left w:val="single" w:sz="4" w:space="0" w:color="auto"/>
              <w:bottom w:val="single" w:sz="4" w:space="0" w:color="auto"/>
              <w:right w:val="single" w:sz="4" w:space="0" w:color="auto"/>
            </w:tcBorders>
            <w:vAlign w:val="center"/>
          </w:tcPr>
          <w:p w:rsidR="000541D2" w:rsidRPr="003253E7" w:rsidRDefault="000541D2" w:rsidP="001E2B70">
            <w:pPr>
              <w:jc w:val="left"/>
              <w:rPr>
                <w:rFonts w:ascii="Arial Narrow" w:eastAsiaTheme="minorHAnsi" w:hAnsi="Arial Narrow" w:cstheme="minorBidi"/>
                <w:b/>
                <w:sz w:val="20"/>
                <w:szCs w:val="22"/>
                <w:lang w:eastAsia="en-US"/>
              </w:rPr>
            </w:pPr>
            <w:r w:rsidRPr="003253E7">
              <w:rPr>
                <w:rFonts w:ascii="Arial Narrow" w:eastAsiaTheme="minorHAnsi" w:hAnsi="Arial Narrow" w:cstheme="minorBidi"/>
                <w:b/>
                <w:sz w:val="20"/>
                <w:szCs w:val="22"/>
                <w:lang w:eastAsia="en-US"/>
              </w:rPr>
              <w:t>Median follow-up</w:t>
            </w:r>
          </w:p>
        </w:tc>
        <w:tc>
          <w:tcPr>
            <w:tcW w:w="2693" w:type="dxa"/>
            <w:gridSpan w:val="2"/>
            <w:tcBorders>
              <w:top w:val="single" w:sz="4" w:space="0" w:color="auto"/>
              <w:left w:val="single" w:sz="4" w:space="0" w:color="auto"/>
              <w:bottom w:val="single" w:sz="4" w:space="0" w:color="auto"/>
              <w:right w:val="single" w:sz="4" w:space="0" w:color="auto"/>
            </w:tcBorders>
            <w:vAlign w:val="center"/>
          </w:tcPr>
          <w:p w:rsidR="000541D2" w:rsidRPr="003253E7" w:rsidRDefault="000541D2" w:rsidP="001E2B70">
            <w:pPr>
              <w:jc w:val="center"/>
              <w:rPr>
                <w:rFonts w:ascii="Arial Narrow" w:eastAsiaTheme="minorHAnsi" w:hAnsi="Arial Narrow" w:cstheme="minorBidi"/>
                <w:sz w:val="20"/>
                <w:szCs w:val="22"/>
                <w:lang w:eastAsia="en-US"/>
              </w:rPr>
            </w:pPr>
            <w:r w:rsidRPr="003253E7">
              <w:rPr>
                <w:rFonts w:ascii="Arial Narrow" w:eastAsiaTheme="minorHAnsi" w:hAnsi="Arial Narrow" w:cstheme="minorBidi"/>
                <w:sz w:val="20"/>
                <w:szCs w:val="22"/>
                <w:lang w:eastAsia="en-US"/>
              </w:rPr>
              <w:t>17.8 months</w:t>
            </w:r>
          </w:p>
        </w:tc>
        <w:tc>
          <w:tcPr>
            <w:tcW w:w="2693" w:type="dxa"/>
            <w:gridSpan w:val="2"/>
            <w:tcBorders>
              <w:top w:val="single" w:sz="4" w:space="0" w:color="auto"/>
              <w:left w:val="single" w:sz="4" w:space="0" w:color="auto"/>
              <w:bottom w:val="single" w:sz="4" w:space="0" w:color="auto"/>
              <w:right w:val="single" w:sz="4" w:space="0" w:color="auto"/>
            </w:tcBorders>
            <w:vAlign w:val="center"/>
          </w:tcPr>
          <w:p w:rsidR="000541D2" w:rsidRPr="003253E7" w:rsidRDefault="000541D2" w:rsidP="001E2B70">
            <w:pPr>
              <w:jc w:val="center"/>
              <w:rPr>
                <w:rFonts w:ascii="Arial Narrow" w:eastAsiaTheme="minorHAnsi" w:hAnsi="Arial Narrow" w:cstheme="minorBidi"/>
                <w:sz w:val="20"/>
                <w:szCs w:val="22"/>
                <w:lang w:eastAsia="en-US"/>
              </w:rPr>
            </w:pPr>
            <w:r w:rsidRPr="003253E7">
              <w:rPr>
                <w:rFonts w:ascii="Arial Narrow" w:eastAsiaTheme="minorHAnsi" w:hAnsi="Arial Narrow" w:cstheme="minorBidi"/>
                <w:sz w:val="20"/>
                <w:szCs w:val="22"/>
                <w:lang w:eastAsia="en-US"/>
              </w:rPr>
              <w:t>29.2 months</w:t>
            </w:r>
          </w:p>
        </w:tc>
        <w:tc>
          <w:tcPr>
            <w:tcW w:w="2218" w:type="dxa"/>
            <w:gridSpan w:val="2"/>
            <w:tcBorders>
              <w:top w:val="single" w:sz="4" w:space="0" w:color="auto"/>
              <w:left w:val="single" w:sz="4" w:space="0" w:color="auto"/>
              <w:bottom w:val="nil"/>
              <w:right w:val="single" w:sz="4" w:space="0" w:color="auto"/>
            </w:tcBorders>
            <w:vAlign w:val="center"/>
          </w:tcPr>
          <w:p w:rsidR="000541D2" w:rsidRPr="003253E7" w:rsidRDefault="000541D2" w:rsidP="001E2B70">
            <w:pPr>
              <w:jc w:val="center"/>
              <w:rPr>
                <w:rFonts w:ascii="Arial Narrow" w:eastAsiaTheme="minorHAnsi" w:hAnsi="Arial Narrow" w:cstheme="minorBidi"/>
                <w:sz w:val="20"/>
                <w:szCs w:val="22"/>
                <w:lang w:eastAsia="en-US"/>
              </w:rPr>
            </w:pPr>
            <w:r w:rsidRPr="003253E7">
              <w:rPr>
                <w:rFonts w:ascii="Arial Narrow" w:eastAsiaTheme="minorHAnsi" w:hAnsi="Arial Narrow" w:cstheme="minorBidi"/>
                <w:sz w:val="20"/>
                <w:szCs w:val="22"/>
                <w:lang w:eastAsia="en-US"/>
              </w:rPr>
              <w:t>37.1 months</w:t>
            </w:r>
          </w:p>
        </w:tc>
      </w:tr>
      <w:tr w:rsidR="000541D2" w:rsidRPr="003253E7" w:rsidTr="001E2B70">
        <w:trPr>
          <w:tblHeader/>
        </w:trPr>
        <w:tc>
          <w:tcPr>
            <w:tcW w:w="1413" w:type="dxa"/>
            <w:tcBorders>
              <w:top w:val="single" w:sz="4" w:space="0" w:color="auto"/>
              <w:left w:val="single" w:sz="4" w:space="0" w:color="auto"/>
              <w:bottom w:val="single" w:sz="4" w:space="0" w:color="auto"/>
              <w:right w:val="single" w:sz="4" w:space="0" w:color="auto"/>
            </w:tcBorders>
            <w:vAlign w:val="center"/>
          </w:tcPr>
          <w:p w:rsidR="000541D2" w:rsidRPr="003253E7" w:rsidRDefault="000541D2" w:rsidP="001E2B70">
            <w:pPr>
              <w:jc w:val="left"/>
              <w:rPr>
                <w:rFonts w:ascii="Arial Narrow" w:eastAsiaTheme="minorHAnsi" w:hAnsi="Arial Narrow" w:cstheme="minorBidi"/>
                <w:b/>
                <w:sz w:val="20"/>
                <w:szCs w:val="22"/>
                <w:lang w:eastAsia="en-US"/>
              </w:rPr>
            </w:pPr>
            <w:r w:rsidRPr="003253E7">
              <w:rPr>
                <w:rFonts w:ascii="Arial Narrow" w:eastAsiaTheme="minorHAnsi" w:hAnsi="Arial Narrow" w:cstheme="minorBidi"/>
                <w:b/>
                <w:sz w:val="20"/>
                <w:szCs w:val="22"/>
                <w:lang w:eastAsia="en-US"/>
              </w:rPr>
              <w:t>Median OS</w:t>
            </w:r>
          </w:p>
        </w:tc>
        <w:tc>
          <w:tcPr>
            <w:tcW w:w="1346" w:type="dxa"/>
            <w:tcBorders>
              <w:top w:val="single" w:sz="4" w:space="0" w:color="auto"/>
              <w:left w:val="single" w:sz="4" w:space="0" w:color="auto"/>
              <w:bottom w:val="single" w:sz="4" w:space="0" w:color="auto"/>
              <w:right w:val="single" w:sz="4" w:space="0" w:color="auto"/>
            </w:tcBorders>
            <w:vAlign w:val="center"/>
          </w:tcPr>
          <w:p w:rsidR="000541D2" w:rsidRPr="003253E7" w:rsidRDefault="000541D2" w:rsidP="001E2B70">
            <w:pPr>
              <w:jc w:val="center"/>
              <w:rPr>
                <w:rFonts w:ascii="Arial Narrow" w:eastAsiaTheme="minorHAnsi" w:hAnsi="Arial Narrow" w:cstheme="minorBidi"/>
                <w:sz w:val="20"/>
                <w:szCs w:val="22"/>
                <w:lang w:eastAsia="en-US"/>
              </w:rPr>
            </w:pPr>
            <w:r w:rsidRPr="003253E7">
              <w:rPr>
                <w:rFonts w:ascii="Arial Narrow" w:eastAsiaTheme="minorHAnsi" w:hAnsi="Arial Narrow" w:cstheme="minorBidi"/>
                <w:sz w:val="20"/>
                <w:szCs w:val="22"/>
                <w:lang w:eastAsia="en-US"/>
              </w:rPr>
              <w:t>9.3 months</w:t>
            </w:r>
          </w:p>
        </w:tc>
        <w:tc>
          <w:tcPr>
            <w:tcW w:w="1347" w:type="dxa"/>
            <w:tcBorders>
              <w:top w:val="single" w:sz="4" w:space="0" w:color="auto"/>
              <w:left w:val="single" w:sz="4" w:space="0" w:color="auto"/>
              <w:bottom w:val="single" w:sz="4" w:space="0" w:color="auto"/>
              <w:right w:val="single" w:sz="4" w:space="0" w:color="auto"/>
            </w:tcBorders>
            <w:vAlign w:val="center"/>
          </w:tcPr>
          <w:p w:rsidR="000541D2" w:rsidRPr="003253E7" w:rsidRDefault="000541D2" w:rsidP="001E2B70">
            <w:pPr>
              <w:jc w:val="center"/>
              <w:rPr>
                <w:rFonts w:ascii="Arial Narrow" w:eastAsiaTheme="minorHAnsi" w:hAnsi="Arial Narrow" w:cstheme="minorBidi"/>
                <w:sz w:val="20"/>
                <w:szCs w:val="22"/>
                <w:lang w:eastAsia="en-US"/>
              </w:rPr>
            </w:pPr>
            <w:r w:rsidRPr="003253E7">
              <w:rPr>
                <w:rFonts w:ascii="Arial Narrow" w:eastAsiaTheme="minorHAnsi" w:hAnsi="Arial Narrow" w:cstheme="minorBidi"/>
                <w:sz w:val="20"/>
                <w:szCs w:val="22"/>
                <w:lang w:eastAsia="en-US"/>
              </w:rPr>
              <w:t>5.6 months</w:t>
            </w:r>
          </w:p>
        </w:tc>
        <w:tc>
          <w:tcPr>
            <w:tcW w:w="1346" w:type="dxa"/>
            <w:tcBorders>
              <w:top w:val="single" w:sz="4" w:space="0" w:color="auto"/>
              <w:left w:val="single" w:sz="4" w:space="0" w:color="auto"/>
              <w:bottom w:val="single" w:sz="4" w:space="0" w:color="auto"/>
              <w:right w:val="single" w:sz="4" w:space="0" w:color="auto"/>
            </w:tcBorders>
            <w:vAlign w:val="center"/>
          </w:tcPr>
          <w:p w:rsidR="000541D2" w:rsidRPr="003253E7" w:rsidRDefault="000541D2" w:rsidP="001E2B70">
            <w:pPr>
              <w:jc w:val="center"/>
              <w:rPr>
                <w:rFonts w:ascii="Arial Narrow" w:eastAsiaTheme="minorHAnsi" w:hAnsi="Arial Narrow" w:cstheme="minorBidi"/>
                <w:sz w:val="20"/>
                <w:szCs w:val="22"/>
                <w:lang w:eastAsia="en-US"/>
              </w:rPr>
            </w:pPr>
            <w:r w:rsidRPr="003253E7">
              <w:rPr>
                <w:rFonts w:ascii="Arial Narrow" w:eastAsiaTheme="minorHAnsi" w:hAnsi="Arial Narrow" w:cstheme="minorBidi"/>
                <w:sz w:val="20"/>
                <w:szCs w:val="22"/>
                <w:lang w:eastAsia="en-US"/>
              </w:rPr>
              <w:t>9.3 months</w:t>
            </w:r>
          </w:p>
        </w:tc>
        <w:tc>
          <w:tcPr>
            <w:tcW w:w="1347" w:type="dxa"/>
            <w:tcBorders>
              <w:top w:val="single" w:sz="4" w:space="0" w:color="auto"/>
              <w:left w:val="single" w:sz="4" w:space="0" w:color="auto"/>
              <w:bottom w:val="single" w:sz="4" w:space="0" w:color="auto"/>
              <w:right w:val="single" w:sz="4" w:space="0" w:color="auto"/>
            </w:tcBorders>
            <w:vAlign w:val="center"/>
          </w:tcPr>
          <w:p w:rsidR="000541D2" w:rsidRPr="003253E7" w:rsidRDefault="000541D2" w:rsidP="001E2B70">
            <w:pPr>
              <w:jc w:val="center"/>
              <w:rPr>
                <w:rFonts w:ascii="Arial Narrow" w:eastAsiaTheme="minorHAnsi" w:hAnsi="Arial Narrow" w:cstheme="minorBidi"/>
                <w:sz w:val="20"/>
                <w:szCs w:val="22"/>
                <w:lang w:eastAsia="en-US"/>
              </w:rPr>
            </w:pPr>
            <w:r w:rsidRPr="003253E7">
              <w:rPr>
                <w:rFonts w:ascii="Arial Narrow" w:eastAsiaTheme="minorHAnsi" w:hAnsi="Arial Narrow" w:cstheme="minorBidi"/>
                <w:sz w:val="20"/>
                <w:szCs w:val="22"/>
                <w:lang w:eastAsia="en-US"/>
              </w:rPr>
              <w:t>5.6 months</w:t>
            </w:r>
          </w:p>
        </w:tc>
        <w:tc>
          <w:tcPr>
            <w:tcW w:w="1109" w:type="dxa"/>
            <w:tcBorders>
              <w:top w:val="single" w:sz="4" w:space="0" w:color="auto"/>
              <w:left w:val="single" w:sz="4" w:space="0" w:color="auto"/>
              <w:bottom w:val="nil"/>
              <w:right w:val="single" w:sz="4" w:space="0" w:color="auto"/>
            </w:tcBorders>
            <w:vAlign w:val="center"/>
          </w:tcPr>
          <w:p w:rsidR="000541D2" w:rsidRPr="003253E7" w:rsidRDefault="000541D2" w:rsidP="001E2B70">
            <w:pPr>
              <w:jc w:val="center"/>
              <w:rPr>
                <w:rFonts w:ascii="Arial Narrow" w:eastAsiaTheme="minorHAnsi" w:hAnsi="Arial Narrow" w:cstheme="minorBidi"/>
                <w:sz w:val="20"/>
                <w:szCs w:val="22"/>
                <w:lang w:eastAsia="en-US"/>
              </w:rPr>
            </w:pPr>
            <w:r w:rsidRPr="003253E7">
              <w:rPr>
                <w:rFonts w:ascii="Arial Narrow" w:eastAsiaTheme="minorHAnsi" w:hAnsi="Arial Narrow" w:cstheme="minorBidi"/>
                <w:sz w:val="20"/>
                <w:szCs w:val="22"/>
                <w:lang w:eastAsia="en-US"/>
              </w:rPr>
              <w:t>9.</w:t>
            </w:r>
            <w:r w:rsidR="00584F84">
              <w:rPr>
                <w:rFonts w:ascii="Arial Narrow" w:eastAsiaTheme="minorHAnsi" w:hAnsi="Arial Narrow" w:cstheme="minorBidi"/>
                <w:sz w:val="20"/>
                <w:szCs w:val="22"/>
                <w:lang w:eastAsia="en-US"/>
              </w:rPr>
              <w:t>3</w:t>
            </w:r>
            <w:r w:rsidRPr="003253E7">
              <w:rPr>
                <w:rFonts w:ascii="Arial Narrow" w:eastAsiaTheme="minorHAnsi" w:hAnsi="Arial Narrow" w:cstheme="minorBidi"/>
                <w:sz w:val="20"/>
                <w:szCs w:val="22"/>
                <w:lang w:eastAsia="en-US"/>
              </w:rPr>
              <w:t xml:space="preserve"> months</w:t>
            </w:r>
          </w:p>
        </w:tc>
        <w:tc>
          <w:tcPr>
            <w:tcW w:w="1109" w:type="dxa"/>
            <w:tcBorders>
              <w:top w:val="single" w:sz="4" w:space="0" w:color="auto"/>
              <w:left w:val="single" w:sz="4" w:space="0" w:color="auto"/>
              <w:bottom w:val="nil"/>
              <w:right w:val="single" w:sz="4" w:space="0" w:color="auto"/>
            </w:tcBorders>
            <w:vAlign w:val="center"/>
          </w:tcPr>
          <w:p w:rsidR="000541D2" w:rsidRPr="003253E7" w:rsidRDefault="000541D2" w:rsidP="001E2B70">
            <w:pPr>
              <w:jc w:val="center"/>
              <w:rPr>
                <w:rFonts w:ascii="Arial Narrow" w:eastAsiaTheme="minorHAnsi" w:hAnsi="Arial Narrow" w:cstheme="minorBidi"/>
                <w:sz w:val="20"/>
                <w:szCs w:val="22"/>
                <w:lang w:eastAsia="en-US"/>
              </w:rPr>
            </w:pPr>
            <w:r w:rsidRPr="003253E7">
              <w:rPr>
                <w:rFonts w:ascii="Arial Narrow" w:eastAsiaTheme="minorHAnsi" w:hAnsi="Arial Narrow" w:cstheme="minorBidi"/>
                <w:sz w:val="20"/>
                <w:szCs w:val="22"/>
                <w:lang w:eastAsia="en-US"/>
              </w:rPr>
              <w:t>5.6 months</w:t>
            </w:r>
          </w:p>
        </w:tc>
      </w:tr>
      <w:tr w:rsidR="000541D2" w:rsidRPr="003253E7" w:rsidTr="001E2B70">
        <w:trPr>
          <w:tblHeader/>
        </w:trPr>
        <w:tc>
          <w:tcPr>
            <w:tcW w:w="1413" w:type="dxa"/>
            <w:tcBorders>
              <w:top w:val="single" w:sz="4" w:space="0" w:color="auto"/>
              <w:left w:val="single" w:sz="4" w:space="0" w:color="auto"/>
              <w:bottom w:val="single" w:sz="4" w:space="0" w:color="auto"/>
              <w:right w:val="single" w:sz="4" w:space="0" w:color="auto"/>
            </w:tcBorders>
            <w:vAlign w:val="center"/>
          </w:tcPr>
          <w:p w:rsidR="000541D2" w:rsidRPr="003253E7" w:rsidRDefault="000541D2" w:rsidP="001E2B70">
            <w:pPr>
              <w:jc w:val="left"/>
              <w:rPr>
                <w:rFonts w:ascii="Arial Narrow" w:eastAsiaTheme="minorHAnsi" w:hAnsi="Arial Narrow" w:cstheme="minorBidi"/>
                <w:b/>
                <w:sz w:val="20"/>
                <w:szCs w:val="22"/>
                <w:lang w:eastAsia="en-US"/>
              </w:rPr>
            </w:pPr>
            <w:r w:rsidRPr="003253E7">
              <w:rPr>
                <w:rFonts w:ascii="Arial Narrow" w:eastAsiaTheme="minorHAnsi" w:hAnsi="Arial Narrow" w:cstheme="minorBidi"/>
                <w:sz w:val="20"/>
                <w:szCs w:val="22"/>
                <w:lang w:eastAsia="en-US"/>
              </w:rPr>
              <w:t xml:space="preserve">OS HR (95% CI) </w:t>
            </w:r>
          </w:p>
        </w:tc>
        <w:tc>
          <w:tcPr>
            <w:tcW w:w="2693" w:type="dxa"/>
            <w:gridSpan w:val="2"/>
            <w:tcBorders>
              <w:top w:val="single" w:sz="4" w:space="0" w:color="auto"/>
              <w:left w:val="single" w:sz="4" w:space="0" w:color="auto"/>
              <w:bottom w:val="single" w:sz="4" w:space="0" w:color="auto"/>
              <w:right w:val="single" w:sz="4" w:space="0" w:color="auto"/>
            </w:tcBorders>
            <w:vAlign w:val="center"/>
          </w:tcPr>
          <w:p w:rsidR="000541D2" w:rsidRPr="003253E7" w:rsidRDefault="000541D2" w:rsidP="001E2B70">
            <w:pPr>
              <w:jc w:val="center"/>
              <w:rPr>
                <w:rFonts w:ascii="Arial Narrow" w:eastAsiaTheme="minorHAnsi" w:hAnsi="Arial Narrow" w:cstheme="minorBidi"/>
                <w:sz w:val="20"/>
                <w:szCs w:val="22"/>
                <w:lang w:eastAsia="en-US"/>
              </w:rPr>
            </w:pPr>
            <w:r w:rsidRPr="003253E7">
              <w:rPr>
                <w:rFonts w:ascii="Arial Narrow" w:eastAsiaTheme="minorHAnsi" w:hAnsi="Arial Narrow" w:cstheme="minorBidi"/>
                <w:sz w:val="20"/>
                <w:szCs w:val="22"/>
                <w:lang w:eastAsia="en-US"/>
              </w:rPr>
              <w:t>0.637 (0.490, 0.830)</w:t>
            </w:r>
          </w:p>
        </w:tc>
        <w:tc>
          <w:tcPr>
            <w:tcW w:w="2693" w:type="dxa"/>
            <w:gridSpan w:val="2"/>
            <w:tcBorders>
              <w:top w:val="single" w:sz="4" w:space="0" w:color="auto"/>
              <w:left w:val="single" w:sz="4" w:space="0" w:color="auto"/>
              <w:bottom w:val="single" w:sz="4" w:space="0" w:color="auto"/>
              <w:right w:val="single" w:sz="4" w:space="0" w:color="auto"/>
            </w:tcBorders>
            <w:vAlign w:val="center"/>
          </w:tcPr>
          <w:p w:rsidR="000541D2" w:rsidRPr="003253E7" w:rsidRDefault="000541D2" w:rsidP="001E2B70">
            <w:pPr>
              <w:jc w:val="center"/>
              <w:rPr>
                <w:rFonts w:ascii="Arial Narrow" w:eastAsiaTheme="minorHAnsi" w:hAnsi="Arial Narrow" w:cstheme="minorBidi"/>
                <w:sz w:val="20"/>
                <w:szCs w:val="22"/>
                <w:lang w:eastAsia="en-US"/>
              </w:rPr>
            </w:pPr>
            <w:r w:rsidRPr="003253E7">
              <w:rPr>
                <w:rFonts w:ascii="Arial Narrow" w:eastAsiaTheme="minorHAnsi" w:hAnsi="Arial Narrow" w:cstheme="minorBidi"/>
                <w:sz w:val="20"/>
                <w:szCs w:val="22"/>
                <w:lang w:eastAsia="en-US"/>
              </w:rPr>
              <w:t>0.679 (0.527, 0.875)</w:t>
            </w:r>
          </w:p>
        </w:tc>
        <w:tc>
          <w:tcPr>
            <w:tcW w:w="2218" w:type="dxa"/>
            <w:gridSpan w:val="2"/>
            <w:tcBorders>
              <w:top w:val="single" w:sz="4" w:space="0" w:color="auto"/>
              <w:left w:val="single" w:sz="4" w:space="0" w:color="auto"/>
              <w:bottom w:val="nil"/>
              <w:right w:val="single" w:sz="4" w:space="0" w:color="auto"/>
            </w:tcBorders>
            <w:vAlign w:val="center"/>
          </w:tcPr>
          <w:p w:rsidR="000541D2" w:rsidRPr="003253E7" w:rsidRDefault="000541D2" w:rsidP="001E2B70">
            <w:pPr>
              <w:jc w:val="center"/>
              <w:rPr>
                <w:rFonts w:ascii="Arial Narrow" w:eastAsiaTheme="minorHAnsi" w:hAnsi="Arial Narrow" w:cstheme="minorBidi"/>
                <w:sz w:val="20"/>
                <w:szCs w:val="22"/>
                <w:lang w:eastAsia="en-US"/>
              </w:rPr>
            </w:pPr>
            <w:r w:rsidRPr="003253E7">
              <w:rPr>
                <w:rFonts w:ascii="Arial Narrow" w:eastAsiaTheme="minorHAnsi" w:hAnsi="Arial Narrow" w:cstheme="minorBidi"/>
                <w:sz w:val="20"/>
                <w:szCs w:val="22"/>
                <w:lang w:eastAsia="en-US"/>
              </w:rPr>
              <w:t>0.665 (0.518, 0.853)</w:t>
            </w:r>
          </w:p>
        </w:tc>
      </w:tr>
      <w:tr w:rsidR="000541D2" w:rsidRPr="003253E7" w:rsidTr="001E2B70">
        <w:trPr>
          <w:tblHeader/>
        </w:trPr>
        <w:tc>
          <w:tcPr>
            <w:tcW w:w="9017" w:type="dxa"/>
            <w:gridSpan w:val="7"/>
            <w:tcBorders>
              <w:top w:val="single" w:sz="4" w:space="0" w:color="auto"/>
              <w:left w:val="single" w:sz="4" w:space="0" w:color="auto"/>
              <w:bottom w:val="single" w:sz="4" w:space="0" w:color="auto"/>
            </w:tcBorders>
            <w:vAlign w:val="center"/>
          </w:tcPr>
          <w:p w:rsidR="000541D2" w:rsidRPr="003253E7" w:rsidRDefault="00E2169A" w:rsidP="001E2B70">
            <w:pPr>
              <w:jc w:val="left"/>
              <w:rPr>
                <w:rFonts w:ascii="Arial Narrow" w:eastAsiaTheme="minorHAnsi" w:hAnsi="Arial Narrow" w:cstheme="minorBidi"/>
                <w:b/>
                <w:sz w:val="20"/>
                <w:szCs w:val="22"/>
                <w:lang w:eastAsia="en-US"/>
              </w:rPr>
            </w:pPr>
            <w:r>
              <w:rPr>
                <w:rFonts w:ascii="Arial Narrow" w:eastAsiaTheme="minorHAnsi" w:hAnsi="Arial Narrow" w:cstheme="minorBidi"/>
                <w:b/>
                <w:sz w:val="20"/>
                <w:szCs w:val="22"/>
                <w:lang w:eastAsia="en-US"/>
              </w:rPr>
              <w:t>OS</w:t>
            </w:r>
            <w:r w:rsidR="000541D2" w:rsidRPr="003253E7">
              <w:rPr>
                <w:rFonts w:ascii="Arial Narrow" w:eastAsiaTheme="minorHAnsi" w:hAnsi="Arial Narrow" w:cstheme="minorBidi"/>
                <w:b/>
                <w:sz w:val="20"/>
                <w:szCs w:val="22"/>
                <w:lang w:eastAsia="en-US"/>
              </w:rPr>
              <w:t xml:space="preserve"> rate, % (95% CI)</w:t>
            </w:r>
          </w:p>
        </w:tc>
      </w:tr>
      <w:tr w:rsidR="000541D2" w:rsidRPr="003253E7" w:rsidTr="001E2B70">
        <w:trPr>
          <w:tblHeader/>
        </w:trPr>
        <w:tc>
          <w:tcPr>
            <w:tcW w:w="1413" w:type="dxa"/>
            <w:tcBorders>
              <w:top w:val="single" w:sz="4" w:space="0" w:color="auto"/>
              <w:left w:val="single" w:sz="4" w:space="0" w:color="auto"/>
              <w:bottom w:val="single" w:sz="4" w:space="0" w:color="auto"/>
              <w:right w:val="single" w:sz="4" w:space="0" w:color="auto"/>
            </w:tcBorders>
            <w:vAlign w:val="center"/>
          </w:tcPr>
          <w:p w:rsidR="000541D2" w:rsidRPr="003253E7" w:rsidRDefault="000541D2" w:rsidP="001E2B70">
            <w:pPr>
              <w:jc w:val="left"/>
              <w:rPr>
                <w:rFonts w:ascii="Arial Narrow" w:eastAsiaTheme="minorHAnsi" w:hAnsi="Arial Narrow" w:cstheme="minorBidi"/>
                <w:sz w:val="20"/>
                <w:szCs w:val="22"/>
                <w:lang w:eastAsia="en-US"/>
              </w:rPr>
            </w:pPr>
            <w:r w:rsidRPr="003253E7">
              <w:rPr>
                <w:rFonts w:ascii="Arial Narrow" w:eastAsiaTheme="minorHAnsi" w:hAnsi="Arial Narrow" w:cstheme="minorBidi"/>
                <w:sz w:val="20"/>
                <w:szCs w:val="22"/>
                <w:lang w:eastAsia="en-US"/>
              </w:rPr>
              <w:t>6 months</w:t>
            </w:r>
          </w:p>
        </w:tc>
        <w:tc>
          <w:tcPr>
            <w:tcW w:w="1346" w:type="dxa"/>
            <w:tcBorders>
              <w:top w:val="single" w:sz="4" w:space="0" w:color="auto"/>
              <w:left w:val="single" w:sz="4" w:space="0" w:color="auto"/>
              <w:bottom w:val="single" w:sz="4" w:space="0" w:color="auto"/>
              <w:right w:val="single" w:sz="4" w:space="0" w:color="auto"/>
            </w:tcBorders>
            <w:vAlign w:val="center"/>
          </w:tcPr>
          <w:p w:rsidR="000541D2" w:rsidRPr="003253E7" w:rsidRDefault="000541D2" w:rsidP="001E2B70">
            <w:pPr>
              <w:jc w:val="center"/>
              <w:rPr>
                <w:rFonts w:ascii="Arial Narrow" w:eastAsiaTheme="minorHAnsi" w:hAnsi="Arial Narrow" w:cstheme="minorBidi"/>
                <w:sz w:val="20"/>
                <w:szCs w:val="22"/>
                <w:lang w:eastAsia="en-US"/>
              </w:rPr>
            </w:pPr>
            <w:r w:rsidRPr="003253E7">
              <w:rPr>
                <w:rFonts w:ascii="Arial Narrow" w:hAnsi="Arial Narrow"/>
                <w:sz w:val="20"/>
                <w:szCs w:val="20"/>
              </w:rPr>
              <w:t>65.5 (59.2, 71.1)</w:t>
            </w:r>
          </w:p>
        </w:tc>
        <w:tc>
          <w:tcPr>
            <w:tcW w:w="1347" w:type="dxa"/>
            <w:tcBorders>
              <w:top w:val="single" w:sz="4" w:space="0" w:color="auto"/>
              <w:left w:val="single" w:sz="4" w:space="0" w:color="auto"/>
              <w:bottom w:val="single" w:sz="4" w:space="0" w:color="auto"/>
              <w:right w:val="single" w:sz="4" w:space="0" w:color="auto"/>
            </w:tcBorders>
            <w:vAlign w:val="center"/>
          </w:tcPr>
          <w:p w:rsidR="000541D2" w:rsidRPr="003253E7" w:rsidRDefault="000541D2" w:rsidP="001E2B70">
            <w:pPr>
              <w:jc w:val="center"/>
              <w:rPr>
                <w:rFonts w:ascii="Arial Narrow" w:eastAsiaTheme="minorHAnsi" w:hAnsi="Arial Narrow" w:cstheme="minorBidi"/>
                <w:i/>
                <w:sz w:val="20"/>
                <w:szCs w:val="22"/>
                <w:lang w:eastAsia="en-US"/>
              </w:rPr>
            </w:pPr>
            <w:r w:rsidRPr="003253E7">
              <w:rPr>
                <w:rFonts w:ascii="Arial Narrow" w:hAnsi="Arial Narrow"/>
                <w:sz w:val="20"/>
                <w:szCs w:val="20"/>
              </w:rPr>
              <w:t>48.9 (39.3, 57.8)</w:t>
            </w:r>
          </w:p>
        </w:tc>
        <w:tc>
          <w:tcPr>
            <w:tcW w:w="1346" w:type="dxa"/>
            <w:tcBorders>
              <w:top w:val="single" w:sz="4" w:space="0" w:color="auto"/>
              <w:left w:val="single" w:sz="4" w:space="0" w:color="auto"/>
              <w:bottom w:val="single" w:sz="4" w:space="0" w:color="auto"/>
              <w:right w:val="single" w:sz="4" w:space="0" w:color="auto"/>
            </w:tcBorders>
            <w:vAlign w:val="center"/>
          </w:tcPr>
          <w:p w:rsidR="000541D2" w:rsidRPr="003253E7" w:rsidRDefault="000541D2" w:rsidP="001E2B70">
            <w:pPr>
              <w:jc w:val="center"/>
              <w:rPr>
                <w:rFonts w:ascii="Arial Narrow" w:eastAsiaTheme="minorHAnsi" w:hAnsi="Arial Narrow" w:cstheme="minorBidi"/>
                <w:sz w:val="20"/>
                <w:szCs w:val="22"/>
                <w:lang w:eastAsia="en-US"/>
              </w:rPr>
            </w:pPr>
            <w:r w:rsidRPr="003253E7">
              <w:rPr>
                <w:rFonts w:ascii="Arial Narrow" w:eastAsiaTheme="minorHAnsi" w:hAnsi="Arial Narrow" w:cstheme="minorBidi"/>
                <w:sz w:val="20"/>
                <w:szCs w:val="22"/>
                <w:lang w:eastAsia="en-US"/>
              </w:rPr>
              <w:t>NR</w:t>
            </w:r>
          </w:p>
        </w:tc>
        <w:tc>
          <w:tcPr>
            <w:tcW w:w="1347" w:type="dxa"/>
            <w:tcBorders>
              <w:top w:val="single" w:sz="4" w:space="0" w:color="auto"/>
              <w:left w:val="single" w:sz="4" w:space="0" w:color="auto"/>
              <w:bottom w:val="single" w:sz="4" w:space="0" w:color="auto"/>
              <w:right w:val="single" w:sz="4" w:space="0" w:color="auto"/>
            </w:tcBorders>
            <w:vAlign w:val="center"/>
          </w:tcPr>
          <w:p w:rsidR="000541D2" w:rsidRPr="003253E7" w:rsidRDefault="000541D2" w:rsidP="001E2B70">
            <w:pPr>
              <w:jc w:val="center"/>
              <w:rPr>
                <w:rFonts w:ascii="Arial Narrow" w:eastAsiaTheme="minorHAnsi" w:hAnsi="Arial Narrow" w:cstheme="minorBidi"/>
                <w:sz w:val="20"/>
                <w:szCs w:val="22"/>
                <w:lang w:eastAsia="en-US"/>
              </w:rPr>
            </w:pPr>
            <w:r w:rsidRPr="003253E7">
              <w:rPr>
                <w:rFonts w:ascii="Arial Narrow" w:eastAsiaTheme="minorHAnsi" w:hAnsi="Arial Narrow" w:cstheme="minorBidi"/>
                <w:sz w:val="20"/>
                <w:szCs w:val="22"/>
                <w:lang w:eastAsia="en-US"/>
              </w:rPr>
              <w:t>NR</w:t>
            </w:r>
          </w:p>
        </w:tc>
        <w:tc>
          <w:tcPr>
            <w:tcW w:w="1109" w:type="dxa"/>
            <w:tcBorders>
              <w:top w:val="single" w:sz="4" w:space="0" w:color="auto"/>
              <w:left w:val="single" w:sz="4" w:space="0" w:color="auto"/>
              <w:bottom w:val="single" w:sz="4" w:space="0" w:color="auto"/>
              <w:right w:val="single" w:sz="4" w:space="0" w:color="auto"/>
            </w:tcBorders>
            <w:vAlign w:val="center"/>
          </w:tcPr>
          <w:p w:rsidR="000541D2" w:rsidRPr="003253E7" w:rsidRDefault="000541D2" w:rsidP="001E2B70">
            <w:pPr>
              <w:jc w:val="center"/>
              <w:rPr>
                <w:rFonts w:ascii="Arial Narrow" w:eastAsiaTheme="minorHAnsi" w:hAnsi="Arial Narrow" w:cstheme="minorBidi"/>
                <w:sz w:val="20"/>
                <w:szCs w:val="22"/>
                <w:lang w:eastAsia="en-US"/>
              </w:rPr>
            </w:pPr>
            <w:r w:rsidRPr="003253E7">
              <w:rPr>
                <w:rFonts w:ascii="Arial Narrow" w:eastAsiaTheme="minorHAnsi" w:hAnsi="Arial Narrow" w:cstheme="minorBidi"/>
                <w:sz w:val="20"/>
                <w:szCs w:val="22"/>
                <w:lang w:eastAsia="en-US"/>
              </w:rPr>
              <w:t>NR</w:t>
            </w:r>
          </w:p>
        </w:tc>
        <w:tc>
          <w:tcPr>
            <w:tcW w:w="1109" w:type="dxa"/>
            <w:tcBorders>
              <w:top w:val="single" w:sz="4" w:space="0" w:color="auto"/>
              <w:left w:val="single" w:sz="4" w:space="0" w:color="auto"/>
              <w:bottom w:val="single" w:sz="4" w:space="0" w:color="auto"/>
              <w:right w:val="single" w:sz="4" w:space="0" w:color="auto"/>
            </w:tcBorders>
            <w:vAlign w:val="center"/>
          </w:tcPr>
          <w:p w:rsidR="000541D2" w:rsidRPr="003253E7" w:rsidRDefault="000541D2" w:rsidP="001E2B70">
            <w:pPr>
              <w:jc w:val="center"/>
              <w:rPr>
                <w:rFonts w:ascii="Arial Narrow" w:eastAsiaTheme="minorHAnsi" w:hAnsi="Arial Narrow" w:cstheme="minorBidi"/>
                <w:sz w:val="20"/>
                <w:szCs w:val="22"/>
                <w:lang w:eastAsia="en-US"/>
              </w:rPr>
            </w:pPr>
            <w:r w:rsidRPr="003253E7">
              <w:rPr>
                <w:rFonts w:ascii="Arial Narrow" w:eastAsiaTheme="minorHAnsi" w:hAnsi="Arial Narrow" w:cstheme="minorBidi"/>
                <w:sz w:val="20"/>
                <w:szCs w:val="22"/>
                <w:lang w:eastAsia="en-US"/>
              </w:rPr>
              <w:t>NR</w:t>
            </w:r>
          </w:p>
        </w:tc>
      </w:tr>
      <w:tr w:rsidR="000541D2" w:rsidRPr="003253E7" w:rsidTr="001E2B70">
        <w:trPr>
          <w:tblHeader/>
        </w:trPr>
        <w:tc>
          <w:tcPr>
            <w:tcW w:w="1413" w:type="dxa"/>
            <w:tcBorders>
              <w:top w:val="single" w:sz="4" w:space="0" w:color="auto"/>
              <w:left w:val="single" w:sz="4" w:space="0" w:color="auto"/>
              <w:bottom w:val="single" w:sz="4" w:space="0" w:color="auto"/>
              <w:right w:val="single" w:sz="4" w:space="0" w:color="auto"/>
            </w:tcBorders>
            <w:vAlign w:val="center"/>
          </w:tcPr>
          <w:p w:rsidR="000541D2" w:rsidRPr="003253E7" w:rsidRDefault="000541D2" w:rsidP="001E2B70">
            <w:pPr>
              <w:jc w:val="left"/>
              <w:rPr>
                <w:rFonts w:ascii="Arial Narrow" w:eastAsiaTheme="minorHAnsi" w:hAnsi="Arial Narrow" w:cstheme="minorBidi"/>
                <w:sz w:val="20"/>
                <w:szCs w:val="22"/>
                <w:lang w:eastAsia="en-US"/>
              </w:rPr>
            </w:pPr>
            <w:r w:rsidRPr="003253E7">
              <w:rPr>
                <w:rFonts w:ascii="Arial Narrow" w:eastAsiaTheme="minorHAnsi" w:hAnsi="Arial Narrow" w:cstheme="minorBidi"/>
                <w:sz w:val="20"/>
                <w:szCs w:val="22"/>
                <w:lang w:eastAsia="en-US"/>
              </w:rPr>
              <w:t>12 months</w:t>
            </w:r>
          </w:p>
        </w:tc>
        <w:tc>
          <w:tcPr>
            <w:tcW w:w="1346" w:type="dxa"/>
            <w:tcBorders>
              <w:top w:val="single" w:sz="4" w:space="0" w:color="auto"/>
              <w:left w:val="single" w:sz="4" w:space="0" w:color="auto"/>
              <w:bottom w:val="single" w:sz="4" w:space="0" w:color="auto"/>
              <w:right w:val="single" w:sz="4" w:space="0" w:color="auto"/>
            </w:tcBorders>
            <w:vAlign w:val="center"/>
          </w:tcPr>
          <w:p w:rsidR="000541D2" w:rsidRPr="003253E7" w:rsidRDefault="000541D2" w:rsidP="001E2B70">
            <w:pPr>
              <w:jc w:val="center"/>
              <w:rPr>
                <w:rFonts w:ascii="Arial Narrow" w:eastAsiaTheme="minorHAnsi" w:hAnsi="Arial Narrow" w:cstheme="minorBidi"/>
                <w:sz w:val="20"/>
                <w:szCs w:val="22"/>
                <w:lang w:eastAsia="en-US"/>
              </w:rPr>
            </w:pPr>
            <w:r w:rsidRPr="003253E7">
              <w:rPr>
                <w:rFonts w:ascii="Arial Narrow" w:hAnsi="Arial Narrow"/>
                <w:sz w:val="20"/>
                <w:szCs w:val="20"/>
              </w:rPr>
              <w:t>37.1 (30.7, 43.6)</w:t>
            </w:r>
          </w:p>
        </w:tc>
        <w:tc>
          <w:tcPr>
            <w:tcW w:w="1347" w:type="dxa"/>
            <w:tcBorders>
              <w:top w:val="single" w:sz="4" w:space="0" w:color="auto"/>
              <w:left w:val="single" w:sz="4" w:space="0" w:color="auto"/>
              <w:bottom w:val="single" w:sz="4" w:space="0" w:color="auto"/>
              <w:right w:val="single" w:sz="4" w:space="0" w:color="auto"/>
            </w:tcBorders>
            <w:vAlign w:val="center"/>
          </w:tcPr>
          <w:p w:rsidR="000541D2" w:rsidRPr="003253E7" w:rsidRDefault="000541D2" w:rsidP="001E2B70">
            <w:pPr>
              <w:jc w:val="center"/>
              <w:rPr>
                <w:rFonts w:ascii="Arial Narrow" w:eastAsiaTheme="minorHAnsi" w:hAnsi="Arial Narrow" w:cstheme="minorBidi"/>
                <w:i/>
                <w:sz w:val="20"/>
                <w:szCs w:val="22"/>
                <w:lang w:eastAsia="en-US"/>
              </w:rPr>
            </w:pPr>
            <w:r w:rsidRPr="003253E7">
              <w:rPr>
                <w:rFonts w:ascii="Arial Narrow" w:hAnsi="Arial Narrow"/>
                <w:sz w:val="20"/>
                <w:szCs w:val="20"/>
              </w:rPr>
              <w:t>16.7 (9.9, 25.0)</w:t>
            </w:r>
          </w:p>
        </w:tc>
        <w:tc>
          <w:tcPr>
            <w:tcW w:w="1346" w:type="dxa"/>
            <w:tcBorders>
              <w:top w:val="single" w:sz="4" w:space="0" w:color="auto"/>
              <w:left w:val="single" w:sz="4" w:space="0" w:color="auto"/>
              <w:bottom w:val="single" w:sz="4" w:space="0" w:color="auto"/>
              <w:right w:val="single" w:sz="4" w:space="0" w:color="auto"/>
            </w:tcBorders>
            <w:vAlign w:val="center"/>
          </w:tcPr>
          <w:p w:rsidR="000541D2" w:rsidRPr="003253E7" w:rsidRDefault="000541D2" w:rsidP="001E2B70">
            <w:pPr>
              <w:jc w:val="center"/>
              <w:rPr>
                <w:rFonts w:ascii="Arial Narrow" w:eastAsiaTheme="minorHAnsi" w:hAnsi="Arial Narrow" w:cstheme="minorBidi"/>
                <w:sz w:val="20"/>
                <w:szCs w:val="22"/>
                <w:lang w:eastAsia="en-US"/>
              </w:rPr>
            </w:pPr>
            <w:r w:rsidRPr="003253E7">
              <w:rPr>
                <w:rFonts w:ascii="Arial Narrow" w:eastAsiaTheme="minorHAnsi" w:hAnsi="Arial Narrow" w:cstheme="minorBidi"/>
                <w:sz w:val="20"/>
                <w:szCs w:val="22"/>
                <w:lang w:eastAsia="en-US"/>
              </w:rPr>
              <w:t>36.6 (30.6, 42.7)</w:t>
            </w:r>
          </w:p>
        </w:tc>
        <w:tc>
          <w:tcPr>
            <w:tcW w:w="1347" w:type="dxa"/>
            <w:tcBorders>
              <w:top w:val="single" w:sz="4" w:space="0" w:color="auto"/>
              <w:left w:val="single" w:sz="4" w:space="0" w:color="auto"/>
              <w:bottom w:val="single" w:sz="4" w:space="0" w:color="auto"/>
              <w:right w:val="single" w:sz="4" w:space="0" w:color="auto"/>
            </w:tcBorders>
          </w:tcPr>
          <w:p w:rsidR="000541D2" w:rsidRPr="003253E7" w:rsidRDefault="000541D2" w:rsidP="001E2B70">
            <w:pPr>
              <w:jc w:val="center"/>
              <w:rPr>
                <w:rFonts w:ascii="Arial Narrow" w:eastAsiaTheme="minorHAnsi" w:hAnsi="Arial Narrow" w:cstheme="minorBidi"/>
                <w:sz w:val="20"/>
                <w:szCs w:val="22"/>
                <w:lang w:eastAsia="en-US"/>
              </w:rPr>
            </w:pPr>
            <w:r w:rsidRPr="003253E7">
              <w:rPr>
                <w:rFonts w:ascii="Arial Narrow" w:eastAsiaTheme="minorHAnsi" w:hAnsi="Arial Narrow" w:cstheme="minorBidi"/>
                <w:sz w:val="20"/>
                <w:szCs w:val="22"/>
                <w:lang w:eastAsia="en-US"/>
              </w:rPr>
              <w:t>19.2 (12.4, 27.2)</w:t>
            </w:r>
          </w:p>
        </w:tc>
        <w:tc>
          <w:tcPr>
            <w:tcW w:w="1109" w:type="dxa"/>
            <w:tcBorders>
              <w:top w:val="single" w:sz="4" w:space="0" w:color="auto"/>
              <w:left w:val="single" w:sz="4" w:space="0" w:color="auto"/>
              <w:bottom w:val="single" w:sz="4" w:space="0" w:color="auto"/>
              <w:right w:val="single" w:sz="4" w:space="0" w:color="auto"/>
            </w:tcBorders>
            <w:vAlign w:val="center"/>
          </w:tcPr>
          <w:p w:rsidR="000541D2" w:rsidRPr="003253E7" w:rsidRDefault="000541D2" w:rsidP="001E2B70">
            <w:pPr>
              <w:jc w:val="center"/>
              <w:rPr>
                <w:rFonts w:ascii="Arial Narrow" w:eastAsiaTheme="minorHAnsi" w:hAnsi="Arial Narrow" w:cstheme="minorBidi"/>
                <w:sz w:val="20"/>
                <w:szCs w:val="22"/>
                <w:lang w:eastAsia="en-US"/>
              </w:rPr>
            </w:pPr>
            <w:r w:rsidRPr="003253E7">
              <w:rPr>
                <w:rFonts w:ascii="Arial Narrow" w:eastAsiaTheme="minorHAnsi" w:hAnsi="Arial Narrow" w:cstheme="minorBidi"/>
                <w:sz w:val="20"/>
                <w:szCs w:val="22"/>
                <w:lang w:eastAsia="en-US"/>
              </w:rPr>
              <w:t>36.6</w:t>
            </w:r>
          </w:p>
        </w:tc>
        <w:tc>
          <w:tcPr>
            <w:tcW w:w="1109" w:type="dxa"/>
            <w:tcBorders>
              <w:top w:val="single" w:sz="4" w:space="0" w:color="auto"/>
              <w:left w:val="single" w:sz="4" w:space="0" w:color="auto"/>
              <w:bottom w:val="single" w:sz="4" w:space="0" w:color="auto"/>
              <w:right w:val="single" w:sz="4" w:space="0" w:color="auto"/>
            </w:tcBorders>
            <w:vAlign w:val="center"/>
          </w:tcPr>
          <w:p w:rsidR="000541D2" w:rsidRPr="003253E7" w:rsidRDefault="000541D2" w:rsidP="001E2B70">
            <w:pPr>
              <w:jc w:val="center"/>
              <w:rPr>
                <w:rFonts w:ascii="Arial Narrow" w:eastAsiaTheme="minorHAnsi" w:hAnsi="Arial Narrow" w:cstheme="minorBidi"/>
                <w:sz w:val="20"/>
                <w:szCs w:val="22"/>
                <w:lang w:eastAsia="en-US"/>
              </w:rPr>
            </w:pPr>
            <w:r w:rsidRPr="003253E7">
              <w:rPr>
                <w:rFonts w:ascii="Arial Narrow" w:eastAsiaTheme="minorHAnsi" w:hAnsi="Arial Narrow" w:cstheme="minorBidi"/>
                <w:sz w:val="20"/>
                <w:szCs w:val="22"/>
                <w:lang w:eastAsia="en-US"/>
              </w:rPr>
              <w:t>19.2</w:t>
            </w:r>
          </w:p>
        </w:tc>
      </w:tr>
      <w:tr w:rsidR="000541D2" w:rsidRPr="003253E7" w:rsidTr="001E2B70">
        <w:trPr>
          <w:tblHeader/>
        </w:trPr>
        <w:tc>
          <w:tcPr>
            <w:tcW w:w="1413" w:type="dxa"/>
            <w:tcBorders>
              <w:top w:val="single" w:sz="4" w:space="0" w:color="auto"/>
              <w:left w:val="single" w:sz="4" w:space="0" w:color="auto"/>
              <w:bottom w:val="single" w:sz="4" w:space="0" w:color="auto"/>
              <w:right w:val="single" w:sz="4" w:space="0" w:color="auto"/>
            </w:tcBorders>
            <w:vAlign w:val="center"/>
          </w:tcPr>
          <w:p w:rsidR="000541D2" w:rsidRPr="003253E7" w:rsidRDefault="000541D2" w:rsidP="001E2B70">
            <w:pPr>
              <w:jc w:val="left"/>
              <w:rPr>
                <w:rFonts w:ascii="Arial Narrow" w:eastAsiaTheme="minorHAnsi" w:hAnsi="Arial Narrow" w:cstheme="minorBidi"/>
                <w:sz w:val="20"/>
                <w:szCs w:val="22"/>
                <w:lang w:eastAsia="en-US"/>
              </w:rPr>
            </w:pPr>
            <w:r w:rsidRPr="003253E7">
              <w:rPr>
                <w:rFonts w:ascii="Arial Narrow" w:eastAsiaTheme="minorHAnsi" w:hAnsi="Arial Narrow" w:cstheme="minorBidi"/>
                <w:sz w:val="20"/>
                <w:szCs w:val="22"/>
                <w:lang w:eastAsia="en-US"/>
              </w:rPr>
              <w:t>18 months</w:t>
            </w:r>
          </w:p>
        </w:tc>
        <w:tc>
          <w:tcPr>
            <w:tcW w:w="1346" w:type="dxa"/>
            <w:tcBorders>
              <w:top w:val="single" w:sz="4" w:space="0" w:color="auto"/>
              <w:left w:val="single" w:sz="4" w:space="0" w:color="auto"/>
              <w:bottom w:val="single" w:sz="4" w:space="0" w:color="auto"/>
              <w:right w:val="single" w:sz="4" w:space="0" w:color="auto"/>
            </w:tcBorders>
            <w:vAlign w:val="center"/>
          </w:tcPr>
          <w:p w:rsidR="000541D2" w:rsidRPr="003253E7" w:rsidRDefault="000541D2" w:rsidP="001E2B70">
            <w:pPr>
              <w:jc w:val="center"/>
              <w:rPr>
                <w:rFonts w:ascii="Arial Narrow" w:hAnsi="Arial Narrow"/>
                <w:sz w:val="20"/>
                <w:szCs w:val="20"/>
              </w:rPr>
            </w:pPr>
            <w:r w:rsidRPr="003253E7">
              <w:rPr>
                <w:rFonts w:ascii="Arial Narrow" w:hAnsi="Arial Narrow"/>
                <w:sz w:val="20"/>
                <w:szCs w:val="20"/>
              </w:rPr>
              <w:t>NR</w:t>
            </w:r>
          </w:p>
        </w:tc>
        <w:tc>
          <w:tcPr>
            <w:tcW w:w="1347" w:type="dxa"/>
            <w:tcBorders>
              <w:top w:val="single" w:sz="4" w:space="0" w:color="auto"/>
              <w:left w:val="single" w:sz="4" w:space="0" w:color="auto"/>
              <w:bottom w:val="single" w:sz="4" w:space="0" w:color="auto"/>
              <w:right w:val="single" w:sz="4" w:space="0" w:color="auto"/>
            </w:tcBorders>
            <w:vAlign w:val="center"/>
          </w:tcPr>
          <w:p w:rsidR="000541D2" w:rsidRPr="003253E7" w:rsidRDefault="000541D2" w:rsidP="001E2B70">
            <w:pPr>
              <w:jc w:val="center"/>
              <w:rPr>
                <w:rFonts w:ascii="Arial Narrow" w:hAnsi="Arial Narrow"/>
                <w:sz w:val="20"/>
                <w:szCs w:val="20"/>
              </w:rPr>
            </w:pPr>
            <w:r w:rsidRPr="003253E7">
              <w:rPr>
                <w:rFonts w:ascii="Arial Narrow" w:hAnsi="Arial Narrow"/>
                <w:sz w:val="20"/>
                <w:szCs w:val="20"/>
              </w:rPr>
              <w:t>NR</w:t>
            </w:r>
          </w:p>
        </w:tc>
        <w:tc>
          <w:tcPr>
            <w:tcW w:w="1346" w:type="dxa"/>
            <w:tcBorders>
              <w:top w:val="single" w:sz="4" w:space="0" w:color="auto"/>
              <w:left w:val="single" w:sz="4" w:space="0" w:color="auto"/>
              <w:bottom w:val="single" w:sz="4" w:space="0" w:color="auto"/>
              <w:right w:val="single" w:sz="4" w:space="0" w:color="auto"/>
            </w:tcBorders>
            <w:vAlign w:val="center"/>
          </w:tcPr>
          <w:p w:rsidR="000541D2" w:rsidRPr="003253E7" w:rsidRDefault="000541D2" w:rsidP="001E2B70">
            <w:pPr>
              <w:jc w:val="center"/>
              <w:rPr>
                <w:rFonts w:ascii="Arial Narrow" w:eastAsiaTheme="minorHAnsi" w:hAnsi="Arial Narrow" w:cstheme="minorBidi"/>
                <w:sz w:val="20"/>
                <w:szCs w:val="22"/>
                <w:lang w:eastAsia="en-US"/>
              </w:rPr>
            </w:pPr>
            <w:r w:rsidRPr="003253E7">
              <w:rPr>
                <w:rFonts w:ascii="Arial Narrow" w:eastAsiaTheme="minorHAnsi" w:hAnsi="Arial Narrow" w:cstheme="minorBidi"/>
                <w:sz w:val="20"/>
                <w:szCs w:val="22"/>
                <w:lang w:eastAsia="en-US"/>
              </w:rPr>
              <w:t>27 (21.1, 32.2)</w:t>
            </w:r>
          </w:p>
        </w:tc>
        <w:tc>
          <w:tcPr>
            <w:tcW w:w="1347" w:type="dxa"/>
            <w:tcBorders>
              <w:top w:val="single" w:sz="4" w:space="0" w:color="auto"/>
              <w:left w:val="single" w:sz="4" w:space="0" w:color="auto"/>
              <w:bottom w:val="single" w:sz="4" w:space="0" w:color="auto"/>
              <w:right w:val="single" w:sz="4" w:space="0" w:color="auto"/>
            </w:tcBorders>
          </w:tcPr>
          <w:p w:rsidR="000541D2" w:rsidRPr="003253E7" w:rsidRDefault="000541D2" w:rsidP="001E2B70">
            <w:pPr>
              <w:jc w:val="center"/>
              <w:rPr>
                <w:rFonts w:ascii="Arial Narrow" w:eastAsiaTheme="minorHAnsi" w:hAnsi="Arial Narrow" w:cstheme="minorBidi"/>
                <w:sz w:val="20"/>
                <w:szCs w:val="22"/>
                <w:lang w:eastAsia="en-US"/>
              </w:rPr>
            </w:pPr>
            <w:r w:rsidRPr="003253E7">
              <w:rPr>
                <w:rFonts w:ascii="Arial Narrow" w:eastAsiaTheme="minorHAnsi" w:hAnsi="Arial Narrow" w:cstheme="minorBidi"/>
                <w:sz w:val="20"/>
                <w:szCs w:val="22"/>
                <w:lang w:eastAsia="en-US"/>
              </w:rPr>
              <w:t>15 (9.1, 22.8)</w:t>
            </w:r>
          </w:p>
        </w:tc>
        <w:tc>
          <w:tcPr>
            <w:tcW w:w="1109" w:type="dxa"/>
            <w:tcBorders>
              <w:top w:val="single" w:sz="4" w:space="0" w:color="auto"/>
              <w:left w:val="single" w:sz="4" w:space="0" w:color="auto"/>
              <w:bottom w:val="single" w:sz="4" w:space="0" w:color="auto"/>
              <w:right w:val="single" w:sz="4" w:space="0" w:color="auto"/>
            </w:tcBorders>
            <w:vAlign w:val="center"/>
          </w:tcPr>
          <w:p w:rsidR="000541D2" w:rsidRPr="003253E7" w:rsidRDefault="000541D2" w:rsidP="001E2B70">
            <w:pPr>
              <w:jc w:val="center"/>
              <w:rPr>
                <w:rFonts w:ascii="Arial Narrow" w:eastAsiaTheme="minorHAnsi" w:hAnsi="Arial Narrow" w:cstheme="minorBidi"/>
                <w:sz w:val="20"/>
                <w:szCs w:val="22"/>
                <w:lang w:eastAsia="en-US"/>
              </w:rPr>
            </w:pPr>
            <w:r w:rsidRPr="003253E7">
              <w:rPr>
                <w:rFonts w:ascii="Arial Narrow" w:eastAsiaTheme="minorHAnsi" w:hAnsi="Arial Narrow" w:cstheme="minorBidi"/>
                <w:sz w:val="20"/>
                <w:szCs w:val="22"/>
                <w:lang w:eastAsia="en-US"/>
              </w:rPr>
              <w:t>NR</w:t>
            </w:r>
          </w:p>
        </w:tc>
        <w:tc>
          <w:tcPr>
            <w:tcW w:w="1109" w:type="dxa"/>
            <w:tcBorders>
              <w:top w:val="single" w:sz="4" w:space="0" w:color="auto"/>
              <w:left w:val="single" w:sz="4" w:space="0" w:color="auto"/>
              <w:bottom w:val="single" w:sz="4" w:space="0" w:color="auto"/>
              <w:right w:val="single" w:sz="4" w:space="0" w:color="auto"/>
            </w:tcBorders>
            <w:vAlign w:val="center"/>
          </w:tcPr>
          <w:p w:rsidR="000541D2" w:rsidRPr="003253E7" w:rsidRDefault="000541D2" w:rsidP="001E2B70">
            <w:pPr>
              <w:jc w:val="center"/>
              <w:rPr>
                <w:rFonts w:ascii="Arial Narrow" w:eastAsiaTheme="minorHAnsi" w:hAnsi="Arial Narrow" w:cstheme="minorBidi"/>
                <w:sz w:val="20"/>
                <w:szCs w:val="22"/>
                <w:lang w:eastAsia="en-US"/>
              </w:rPr>
            </w:pPr>
            <w:r w:rsidRPr="003253E7">
              <w:rPr>
                <w:rFonts w:ascii="Arial Narrow" w:eastAsiaTheme="minorHAnsi" w:hAnsi="Arial Narrow" w:cstheme="minorBidi"/>
                <w:sz w:val="20"/>
                <w:szCs w:val="22"/>
                <w:lang w:eastAsia="en-US"/>
              </w:rPr>
              <w:t>NR</w:t>
            </w:r>
          </w:p>
        </w:tc>
      </w:tr>
      <w:tr w:rsidR="000541D2" w:rsidRPr="003253E7" w:rsidTr="001E2B70">
        <w:trPr>
          <w:tblHeader/>
        </w:trPr>
        <w:tc>
          <w:tcPr>
            <w:tcW w:w="1413" w:type="dxa"/>
            <w:tcBorders>
              <w:top w:val="single" w:sz="4" w:space="0" w:color="auto"/>
              <w:left w:val="single" w:sz="4" w:space="0" w:color="auto"/>
              <w:bottom w:val="single" w:sz="4" w:space="0" w:color="auto"/>
              <w:right w:val="single" w:sz="4" w:space="0" w:color="auto"/>
            </w:tcBorders>
            <w:vAlign w:val="center"/>
          </w:tcPr>
          <w:p w:rsidR="000541D2" w:rsidRPr="003253E7" w:rsidRDefault="000541D2" w:rsidP="001E2B70">
            <w:pPr>
              <w:jc w:val="left"/>
              <w:rPr>
                <w:rFonts w:ascii="Arial Narrow" w:eastAsiaTheme="minorHAnsi" w:hAnsi="Arial Narrow" w:cstheme="minorBidi"/>
                <w:sz w:val="20"/>
                <w:szCs w:val="22"/>
                <w:lang w:eastAsia="en-US"/>
              </w:rPr>
            </w:pPr>
            <w:r w:rsidRPr="003253E7">
              <w:rPr>
                <w:rFonts w:ascii="Arial Narrow" w:eastAsiaTheme="minorHAnsi" w:hAnsi="Arial Narrow" w:cstheme="minorBidi"/>
                <w:sz w:val="20"/>
                <w:szCs w:val="22"/>
                <w:lang w:eastAsia="en-US"/>
              </w:rPr>
              <w:t>24 months</w:t>
            </w:r>
          </w:p>
        </w:tc>
        <w:tc>
          <w:tcPr>
            <w:tcW w:w="1346" w:type="dxa"/>
            <w:tcBorders>
              <w:top w:val="single" w:sz="4" w:space="0" w:color="auto"/>
              <w:left w:val="single" w:sz="4" w:space="0" w:color="auto"/>
              <w:bottom w:val="single" w:sz="4" w:space="0" w:color="auto"/>
              <w:right w:val="single" w:sz="4" w:space="0" w:color="auto"/>
            </w:tcBorders>
            <w:vAlign w:val="center"/>
          </w:tcPr>
          <w:p w:rsidR="000541D2" w:rsidRPr="003253E7" w:rsidRDefault="000541D2" w:rsidP="001E2B70">
            <w:pPr>
              <w:jc w:val="center"/>
              <w:rPr>
                <w:rFonts w:ascii="Arial Narrow" w:eastAsiaTheme="minorHAnsi" w:hAnsi="Arial Narrow" w:cstheme="minorBidi"/>
                <w:sz w:val="20"/>
                <w:szCs w:val="22"/>
                <w:lang w:eastAsia="en-US"/>
              </w:rPr>
            </w:pPr>
            <w:r w:rsidRPr="003253E7">
              <w:rPr>
                <w:rFonts w:ascii="Arial Narrow" w:hAnsi="Arial Narrow"/>
                <w:sz w:val="20"/>
                <w:szCs w:val="20"/>
              </w:rPr>
              <w:t>19.0 (12.8, 26.0)</w:t>
            </w:r>
          </w:p>
        </w:tc>
        <w:tc>
          <w:tcPr>
            <w:tcW w:w="1347" w:type="dxa"/>
            <w:tcBorders>
              <w:top w:val="single" w:sz="4" w:space="0" w:color="auto"/>
              <w:left w:val="single" w:sz="4" w:space="0" w:color="auto"/>
              <w:bottom w:val="single" w:sz="4" w:space="0" w:color="auto"/>
              <w:right w:val="single" w:sz="4" w:space="0" w:color="auto"/>
            </w:tcBorders>
            <w:vAlign w:val="center"/>
          </w:tcPr>
          <w:p w:rsidR="000541D2" w:rsidRPr="003253E7" w:rsidRDefault="000541D2" w:rsidP="001E2B70">
            <w:pPr>
              <w:jc w:val="center"/>
              <w:rPr>
                <w:rFonts w:ascii="Arial Narrow" w:eastAsiaTheme="minorHAnsi" w:hAnsi="Arial Narrow" w:cstheme="minorBidi"/>
                <w:sz w:val="20"/>
                <w:szCs w:val="22"/>
                <w:lang w:eastAsia="en-US"/>
              </w:rPr>
            </w:pPr>
            <w:r w:rsidRPr="003253E7">
              <w:rPr>
                <w:rFonts w:ascii="Arial Narrow" w:hAnsi="Arial Narrow"/>
                <w:sz w:val="20"/>
                <w:szCs w:val="20"/>
              </w:rPr>
              <w:t>13.8 (7.5, 22.0)</w:t>
            </w:r>
          </w:p>
        </w:tc>
        <w:tc>
          <w:tcPr>
            <w:tcW w:w="1346" w:type="dxa"/>
            <w:tcBorders>
              <w:top w:val="single" w:sz="4" w:space="0" w:color="auto"/>
              <w:left w:val="single" w:sz="4" w:space="0" w:color="auto"/>
              <w:bottom w:val="single" w:sz="4" w:space="0" w:color="auto"/>
              <w:right w:val="single" w:sz="4" w:space="0" w:color="auto"/>
            </w:tcBorders>
          </w:tcPr>
          <w:p w:rsidR="000541D2" w:rsidRPr="003253E7" w:rsidRDefault="000541D2" w:rsidP="001E2B70">
            <w:pPr>
              <w:jc w:val="center"/>
              <w:rPr>
                <w:rFonts w:ascii="Arial Narrow" w:eastAsiaTheme="minorHAnsi" w:hAnsi="Arial Narrow" w:cstheme="minorBidi"/>
                <w:sz w:val="20"/>
                <w:szCs w:val="22"/>
                <w:lang w:eastAsia="en-US"/>
              </w:rPr>
            </w:pPr>
            <w:r w:rsidRPr="003253E7">
              <w:rPr>
                <w:rFonts w:ascii="Arial Narrow" w:eastAsiaTheme="minorHAnsi" w:hAnsi="Arial Narrow" w:cstheme="minorBidi"/>
                <w:sz w:val="20"/>
                <w:szCs w:val="22"/>
                <w:lang w:eastAsia="en-US"/>
              </w:rPr>
              <w:t>20 (15.4, 25.7)</w:t>
            </w:r>
          </w:p>
        </w:tc>
        <w:tc>
          <w:tcPr>
            <w:tcW w:w="1347" w:type="dxa"/>
            <w:tcBorders>
              <w:top w:val="single" w:sz="4" w:space="0" w:color="auto"/>
              <w:left w:val="single" w:sz="4" w:space="0" w:color="auto"/>
              <w:bottom w:val="single" w:sz="4" w:space="0" w:color="auto"/>
              <w:right w:val="single" w:sz="4" w:space="0" w:color="auto"/>
            </w:tcBorders>
          </w:tcPr>
          <w:p w:rsidR="000541D2" w:rsidRPr="003253E7" w:rsidRDefault="000541D2" w:rsidP="001E2B70">
            <w:pPr>
              <w:jc w:val="center"/>
              <w:rPr>
                <w:rFonts w:ascii="Arial Narrow" w:eastAsiaTheme="minorHAnsi" w:hAnsi="Arial Narrow" w:cstheme="minorBidi"/>
                <w:sz w:val="20"/>
                <w:szCs w:val="22"/>
                <w:lang w:eastAsia="en-US"/>
              </w:rPr>
            </w:pPr>
            <w:r w:rsidRPr="003253E7">
              <w:rPr>
                <w:rFonts w:ascii="Arial Narrow" w:eastAsiaTheme="minorHAnsi" w:hAnsi="Arial Narrow" w:cstheme="minorBidi"/>
                <w:sz w:val="20"/>
                <w:szCs w:val="22"/>
                <w:lang w:eastAsia="en-US"/>
              </w:rPr>
              <w:t>14 (8.3, 21.6)</w:t>
            </w:r>
          </w:p>
        </w:tc>
        <w:tc>
          <w:tcPr>
            <w:tcW w:w="1109" w:type="dxa"/>
            <w:tcBorders>
              <w:top w:val="single" w:sz="4" w:space="0" w:color="auto"/>
              <w:left w:val="single" w:sz="4" w:space="0" w:color="auto"/>
              <w:bottom w:val="single" w:sz="4" w:space="0" w:color="auto"/>
              <w:right w:val="single" w:sz="4" w:space="0" w:color="auto"/>
            </w:tcBorders>
            <w:vAlign w:val="center"/>
          </w:tcPr>
          <w:p w:rsidR="000541D2" w:rsidRPr="003253E7" w:rsidRDefault="000541D2" w:rsidP="001E2B70">
            <w:pPr>
              <w:jc w:val="center"/>
              <w:rPr>
                <w:rFonts w:ascii="Arial Narrow" w:eastAsiaTheme="minorHAnsi" w:hAnsi="Arial Narrow" w:cstheme="minorBidi"/>
                <w:sz w:val="20"/>
                <w:szCs w:val="22"/>
                <w:lang w:eastAsia="en-US"/>
              </w:rPr>
            </w:pPr>
            <w:r w:rsidRPr="003253E7">
              <w:rPr>
                <w:rFonts w:ascii="Arial Narrow" w:eastAsiaTheme="minorHAnsi" w:hAnsi="Arial Narrow" w:cstheme="minorBidi"/>
                <w:sz w:val="20"/>
                <w:szCs w:val="22"/>
                <w:lang w:eastAsia="en-US"/>
              </w:rPr>
              <w:t>20.6</w:t>
            </w:r>
          </w:p>
        </w:tc>
        <w:tc>
          <w:tcPr>
            <w:tcW w:w="1109" w:type="dxa"/>
            <w:tcBorders>
              <w:top w:val="single" w:sz="4" w:space="0" w:color="auto"/>
              <w:left w:val="single" w:sz="4" w:space="0" w:color="auto"/>
              <w:bottom w:val="single" w:sz="4" w:space="0" w:color="auto"/>
              <w:right w:val="single" w:sz="4" w:space="0" w:color="auto"/>
            </w:tcBorders>
            <w:vAlign w:val="center"/>
          </w:tcPr>
          <w:p w:rsidR="000541D2" w:rsidRPr="003253E7" w:rsidRDefault="000541D2" w:rsidP="001E2B70">
            <w:pPr>
              <w:jc w:val="center"/>
              <w:rPr>
                <w:rFonts w:ascii="Arial Narrow" w:eastAsiaTheme="minorHAnsi" w:hAnsi="Arial Narrow" w:cstheme="minorBidi"/>
                <w:sz w:val="20"/>
                <w:szCs w:val="22"/>
                <w:lang w:eastAsia="en-US"/>
              </w:rPr>
            </w:pPr>
            <w:r w:rsidRPr="003253E7">
              <w:rPr>
                <w:rFonts w:ascii="Arial Narrow" w:eastAsiaTheme="minorHAnsi" w:hAnsi="Arial Narrow" w:cstheme="minorBidi"/>
                <w:sz w:val="20"/>
                <w:szCs w:val="22"/>
                <w:lang w:eastAsia="en-US"/>
              </w:rPr>
              <w:t>14.2</w:t>
            </w:r>
          </w:p>
        </w:tc>
      </w:tr>
    </w:tbl>
    <w:p w:rsidR="000541D2" w:rsidRPr="003253E7" w:rsidRDefault="000541D2" w:rsidP="000541D2">
      <w:pPr>
        <w:rPr>
          <w:rFonts w:ascii="Arial Narrow" w:hAnsi="Arial Narrow"/>
          <w:snapToGrid w:val="0"/>
          <w:sz w:val="18"/>
          <w:szCs w:val="22"/>
        </w:rPr>
      </w:pPr>
      <w:r w:rsidRPr="003253E7">
        <w:rPr>
          <w:rFonts w:ascii="Arial Narrow" w:hAnsi="Arial Narrow"/>
          <w:snapToGrid w:val="0"/>
          <w:sz w:val="18"/>
          <w:szCs w:val="22"/>
        </w:rPr>
        <w:t>Source: Table 22, p67; Table 40, p96 of the submission; Perl 2020; Perl 2021</w:t>
      </w:r>
    </w:p>
    <w:p w:rsidR="000541D2" w:rsidRPr="003253E7" w:rsidRDefault="000541D2" w:rsidP="000541D2">
      <w:pPr>
        <w:rPr>
          <w:rFonts w:ascii="Arial Narrow" w:hAnsi="Arial Narrow"/>
          <w:snapToGrid w:val="0"/>
          <w:sz w:val="18"/>
          <w:szCs w:val="22"/>
        </w:rPr>
      </w:pPr>
      <w:r w:rsidRPr="003253E7">
        <w:rPr>
          <w:rFonts w:ascii="Arial Narrow" w:hAnsi="Arial Narrow"/>
          <w:snapToGrid w:val="0"/>
          <w:sz w:val="18"/>
          <w:szCs w:val="22"/>
        </w:rPr>
        <w:t>CI, confidence interval; GILT, gilteritinib; HR, hazard ratio; ITT, intent-to-treat; NR, not reported; OS, overall survival; SC, salvage chemotherapy</w:t>
      </w:r>
    </w:p>
    <w:p w:rsidR="00E62497" w:rsidRPr="003253E7" w:rsidRDefault="00E62497" w:rsidP="00E62497">
      <w:pPr>
        <w:widowControl w:val="0"/>
        <w:rPr>
          <w:rFonts w:ascii="Arial Narrow" w:hAnsi="Arial Narrow"/>
          <w:snapToGrid w:val="0"/>
          <w:sz w:val="18"/>
          <w:szCs w:val="22"/>
          <w:lang w:eastAsia="en-US"/>
        </w:rPr>
      </w:pPr>
    </w:p>
    <w:p w:rsidR="009E6166" w:rsidRPr="003253E7" w:rsidRDefault="009E6166" w:rsidP="009E6166">
      <w:pPr>
        <w:pStyle w:val="ExecSumBodyText"/>
        <w:rPr>
          <w:color w:val="0066FF"/>
        </w:rPr>
      </w:pPr>
      <w:r w:rsidRPr="003253E7">
        <w:t xml:space="preserve">The median OS remained longer with gilteritinib than with salvage chemotherapy at the later </w:t>
      </w:r>
      <w:r w:rsidR="00FE7362" w:rsidRPr="003253E7">
        <w:t>data cut</w:t>
      </w:r>
      <w:r w:rsidRPr="003253E7">
        <w:t xml:space="preserve"> points. The submission noted that the median OS did not change as the data were already reasonably mature by the initial September 2018 </w:t>
      </w:r>
      <w:r w:rsidR="00FE7362" w:rsidRPr="003253E7">
        <w:t>data cut</w:t>
      </w:r>
      <w:r w:rsidRPr="003253E7">
        <w:t>, however survival in the later periods was more robust.</w:t>
      </w:r>
    </w:p>
    <w:p w:rsidR="00AE46CD" w:rsidRPr="00AE46CD" w:rsidRDefault="00AE51E3" w:rsidP="00EC5836">
      <w:pPr>
        <w:pStyle w:val="ExecSumBodyText"/>
      </w:pPr>
      <w:bookmarkStart w:id="24" w:name="_Ref89098027"/>
      <w:r w:rsidRPr="005743F7">
        <w:t xml:space="preserve">These analyses suggest a survival benefit for gilteritinib over salvage chemotherapy. However, long-term survival data may be confounded by the introduction of subsequent leukaemia therapies in some patients </w:t>
      </w:r>
      <w:r w:rsidR="00D35EE7" w:rsidRPr="005743F7">
        <w:t>after discontinuing study</w:t>
      </w:r>
      <w:r w:rsidRPr="005743F7">
        <w:t xml:space="preserve"> treatment, and small patient numbers at later </w:t>
      </w:r>
      <w:r w:rsidR="00054645" w:rsidRPr="005743F7">
        <w:t>timepoint</w:t>
      </w:r>
      <w:r w:rsidRPr="005743F7">
        <w:t>s.</w:t>
      </w:r>
      <w:bookmarkEnd w:id="24"/>
      <w:r w:rsidR="00B358E9">
        <w:t xml:space="preserve"> </w:t>
      </w:r>
    </w:p>
    <w:p w:rsidR="00D4115D" w:rsidRPr="00C00A16" w:rsidRDefault="00E96B1E" w:rsidP="00E17B42">
      <w:pPr>
        <w:pStyle w:val="ExecSumBodyText"/>
        <w:rPr>
          <w:color w:val="0066FF"/>
        </w:rPr>
      </w:pPr>
      <w:r w:rsidRPr="00C00A16">
        <w:t>T</w:t>
      </w:r>
      <w:r w:rsidR="00AE46CD" w:rsidRPr="00C00A16">
        <w:t>he PSCR argued that t</w:t>
      </w:r>
      <w:r w:rsidRPr="00C00A16">
        <w:t xml:space="preserve">wo large RCTs with gilteritinib </w:t>
      </w:r>
      <w:r w:rsidR="00D8640E">
        <w:t xml:space="preserve">had </w:t>
      </w:r>
      <w:r w:rsidRPr="00C00A16">
        <w:t>demonstrate</w:t>
      </w:r>
      <w:r w:rsidR="00D8640E">
        <w:t>d</w:t>
      </w:r>
      <w:r w:rsidRPr="00C00A16">
        <w:t xml:space="preserve"> an OS gain, and long-term survi</w:t>
      </w:r>
      <w:r w:rsidR="00AE46CD" w:rsidRPr="00C00A16">
        <w:t xml:space="preserve">vors, over salvage chemotherapy: ADMIRAL and COMMODORE. </w:t>
      </w:r>
      <w:r w:rsidRPr="00C00A16">
        <w:t xml:space="preserve">The </w:t>
      </w:r>
      <w:r w:rsidR="00090B3E" w:rsidRPr="00C00A16">
        <w:t>PSCR argued</w:t>
      </w:r>
      <w:r w:rsidR="00AE46CD" w:rsidRPr="00C00A16">
        <w:t xml:space="preserve"> the </w:t>
      </w:r>
      <w:r w:rsidRPr="00C00A16">
        <w:t xml:space="preserve">ADMIRAL </w:t>
      </w:r>
      <w:r w:rsidR="00090B3E" w:rsidRPr="00C00A16">
        <w:t xml:space="preserve">trial </w:t>
      </w:r>
      <w:r w:rsidR="00AE46CD" w:rsidRPr="00C00A16">
        <w:t xml:space="preserve">demonstrated </w:t>
      </w:r>
      <w:r w:rsidRPr="00C00A16">
        <w:t xml:space="preserve">superior OS at primary analysis, and one and two-year updates. </w:t>
      </w:r>
      <w:r w:rsidR="00D4115D" w:rsidRPr="00C00A16">
        <w:t xml:space="preserve"> </w:t>
      </w:r>
      <w:r w:rsidR="0032743B" w:rsidRPr="00C00A16">
        <w:t>The PSCR</w:t>
      </w:r>
      <w:r w:rsidR="00192F67">
        <w:t xml:space="preserve"> </w:t>
      </w:r>
      <w:r w:rsidR="004123EB">
        <w:t>reiterated the submission’s comment</w:t>
      </w:r>
      <w:r w:rsidR="0032743B" w:rsidRPr="00C00A16">
        <w:t xml:space="preserve"> that the survival benefit of gilteritinib has also been observed in the COMMODORE phase 3 RCT (n=</w:t>
      </w:r>
      <w:r w:rsidR="00584F84" w:rsidRPr="00C00A16">
        <w:t>2</w:t>
      </w:r>
      <w:r w:rsidR="00584F84">
        <w:t>34</w:t>
      </w:r>
      <w:r w:rsidR="0032743B" w:rsidRPr="00C00A16">
        <w:t>) confirmatory trial (NCT03182244)</w:t>
      </w:r>
      <w:r w:rsidR="004123EB">
        <w:t>,</w:t>
      </w:r>
      <w:r w:rsidR="0032743B" w:rsidRPr="00C00A16">
        <w:t xml:space="preserve"> which met its primary end point of improving OS compared with chemotherapy in patients with R/R FLT3 AML</w:t>
      </w:r>
      <w:r w:rsidR="004123EB">
        <w:t>, as reported in a sponsor press release</w:t>
      </w:r>
      <w:r w:rsidR="0032743B" w:rsidRPr="00C00A16">
        <w:t xml:space="preserve">. </w:t>
      </w:r>
      <w:r w:rsidR="00C90F83" w:rsidRPr="00C00A16">
        <w:t xml:space="preserve">The ESC noted that limited published information was available on the COMMODORE trial but considered the ADMIRAL trial data supported the submissions superior efficacy claim in terms of an </w:t>
      </w:r>
      <w:r w:rsidR="00AC5251">
        <w:t>OS</w:t>
      </w:r>
      <w:r w:rsidR="00C90F83" w:rsidRPr="00C00A16">
        <w:t xml:space="preserve"> gain</w:t>
      </w:r>
      <w:r w:rsidR="00C00A16">
        <w:t>.</w:t>
      </w:r>
    </w:p>
    <w:p w:rsidR="00D450C8" w:rsidRPr="005743F7" w:rsidRDefault="0023584E" w:rsidP="0023584E">
      <w:pPr>
        <w:pStyle w:val="ExecSumBodyText"/>
      </w:pPr>
      <w:bookmarkStart w:id="25" w:name="_Ref89296755"/>
      <w:r w:rsidRPr="003253E7">
        <w:t>There was no increase in OS with gilteritinib treatment compared to salvage chemotherapy for patients previously treated with an FLT3 inhibitor (HR 0.7</w:t>
      </w:r>
      <w:r>
        <w:t>1</w:t>
      </w:r>
      <w:r w:rsidRPr="003253E7">
        <w:t>; 95% CI 0.3</w:t>
      </w:r>
      <w:r>
        <w:t>5</w:t>
      </w:r>
      <w:r w:rsidRPr="003253E7">
        <w:t>, 1.4</w:t>
      </w:r>
      <w:r>
        <w:t>4</w:t>
      </w:r>
      <w:r w:rsidRPr="003253E7">
        <w:t xml:space="preserve">), </w:t>
      </w:r>
      <w:r w:rsidRPr="005743F7">
        <w:rPr>
          <w:iCs/>
        </w:rPr>
        <w:t>although small patient numbers (32 gilteritinib treated patients and 14 salvage chemotherapy patients)</w:t>
      </w:r>
      <w:r w:rsidR="00BA3FBD">
        <w:rPr>
          <w:iCs/>
        </w:rPr>
        <w:t>,</w:t>
      </w:r>
      <w:r w:rsidRPr="005743F7">
        <w:rPr>
          <w:iCs/>
        </w:rPr>
        <w:t xml:space="preserve"> and limited use of midostaurin (21 total patients) may limit the generalisability of these results to the Australian patient population.</w:t>
      </w:r>
      <w:r w:rsidRPr="005743F7">
        <w:t xml:space="preserve"> </w:t>
      </w:r>
      <w:bookmarkEnd w:id="25"/>
    </w:p>
    <w:p w:rsidR="0023584E" w:rsidRPr="00C00A16" w:rsidRDefault="0023584E" w:rsidP="0023584E">
      <w:pPr>
        <w:pStyle w:val="ExecSumBodyText"/>
        <w:rPr>
          <w:color w:val="0066FF"/>
        </w:rPr>
      </w:pPr>
      <w:bookmarkStart w:id="26" w:name="_Ref89180472"/>
      <w:r w:rsidRPr="003253E7">
        <w:t>The submission also included a retrospective analysis of results from relapsed/refractory AML patients treated with FLT3 inhibitors midostaurin or sorafenib, before receiving 120 mg or 200 mg gilteritinib in the phase 1 CHRYSALIS study (n=33 patients, all who received prior sorafenib), or before receiving 120 mg gilteritinib in the ADMIRAL trial (Perl 2020b). Results suggest</w:t>
      </w:r>
      <w:r>
        <w:t>ed that</w:t>
      </w:r>
      <w:r w:rsidRPr="003253E7">
        <w:t xml:space="preserve"> similar proportions of patients achieve</w:t>
      </w:r>
      <w:r>
        <w:t>d</w:t>
      </w:r>
      <w:r w:rsidRPr="003253E7">
        <w:t xml:space="preserve"> composite complete remission with and without prior FLT3 </w:t>
      </w:r>
      <w:r w:rsidRPr="005743F7">
        <w:t>inhibitor use</w:t>
      </w:r>
      <w:r w:rsidR="00B358E9" w:rsidRPr="00C00A16">
        <w:t>.</w:t>
      </w:r>
      <w:r w:rsidRPr="00C00A16">
        <w:t xml:space="preserve"> </w:t>
      </w:r>
      <w:r w:rsidR="000E519F" w:rsidRPr="00C00A16">
        <w:t>The ESC considered that in current practice almost 100% of patients would be using midostaurin in the first line treatment setting. The ESC considered that d</w:t>
      </w:r>
      <w:r w:rsidRPr="00C00A16">
        <w:t>ue to small patient numbers</w:t>
      </w:r>
      <w:r w:rsidR="000E519F" w:rsidRPr="00C00A16">
        <w:t xml:space="preserve"> in both the ADMIRAL and CHRYSALIS trials</w:t>
      </w:r>
      <w:r w:rsidRPr="00C00A16">
        <w:t>, the impact of prior FLT3 inhibitor use (particularly of midostaurin) on the efficacy of gilteritinib was unclear.</w:t>
      </w:r>
      <w:bookmarkEnd w:id="26"/>
    </w:p>
    <w:p w:rsidR="00CA1150" w:rsidRPr="003253E7" w:rsidRDefault="00E2169A" w:rsidP="00AF4281">
      <w:pPr>
        <w:pStyle w:val="4-SubsectSubhead"/>
      </w:pPr>
      <w:r>
        <w:t>Event free survival</w:t>
      </w:r>
    </w:p>
    <w:p w:rsidR="00D35EE7" w:rsidRPr="003253E7" w:rsidRDefault="00E2169A" w:rsidP="00EC5836">
      <w:pPr>
        <w:pStyle w:val="ExecSumBodyText"/>
        <w:rPr>
          <w:color w:val="0066FF"/>
        </w:rPr>
      </w:pPr>
      <w:r>
        <w:t>EFS</w:t>
      </w:r>
      <w:r w:rsidR="00D35EE7" w:rsidRPr="003253E7">
        <w:t xml:space="preserve"> was defined in the ADMIRAL trial as time from randomisation until date of documented relapse, treatment failure or death from any cause within 30 days after the last dose of study drug. A Kaplan-Meier plot of </w:t>
      </w:r>
      <w:r>
        <w:t>EFS</w:t>
      </w:r>
      <w:r w:rsidR="00D35EE7" w:rsidRPr="003253E7">
        <w:t xml:space="preserve"> is presented in the figure below.</w:t>
      </w:r>
    </w:p>
    <w:p w:rsidR="00D35EE7" w:rsidRPr="003253E7" w:rsidRDefault="00FD4C43" w:rsidP="00E2169A">
      <w:pPr>
        <w:pStyle w:val="Tableheadingrow"/>
      </w:pPr>
      <w:r>
        <w:t xml:space="preserve">Figure </w:t>
      </w:r>
      <w:r w:rsidR="00C90F41">
        <w:rPr>
          <w:noProof/>
        </w:rPr>
        <w:t>2</w:t>
      </w:r>
      <w:r w:rsidR="00D35EE7" w:rsidRPr="003253E7">
        <w:t xml:space="preserve">: Kaplan-Meier plot of event free survival, ITT population of ADMIRAL trial (September 2018 </w:t>
      </w:r>
      <w:r w:rsidR="00FE7362" w:rsidRPr="003253E7">
        <w:t>data cut</w:t>
      </w:r>
      <w:r w:rsidR="00D35EE7" w:rsidRPr="003253E7">
        <w:t>)</w:t>
      </w:r>
    </w:p>
    <w:p w:rsidR="00D35EE7" w:rsidRPr="003253E7" w:rsidRDefault="00D35EE7" w:rsidP="00D35EE7">
      <w:r w:rsidRPr="003253E7">
        <w:rPr>
          <w:noProof/>
        </w:rPr>
        <w:drawing>
          <wp:inline distT="0" distB="0" distL="0" distR="0" wp14:anchorId="0D168C17" wp14:editId="350912BB">
            <wp:extent cx="5732145" cy="3107055"/>
            <wp:effectExtent l="19050" t="19050" r="20955" b="17145"/>
            <wp:docPr id="2" name="Picture 2" descr="Chart&#10;&#10;Description automatically generated"/>
            <wp:cNvGraphicFramePr/>
            <a:graphic xmlns:a="http://schemas.openxmlformats.org/drawingml/2006/main">
              <a:graphicData uri="http://schemas.openxmlformats.org/drawingml/2006/picture">
                <pic:pic xmlns:pic="http://schemas.openxmlformats.org/drawingml/2006/picture">
                  <pic:nvPicPr>
                    <pic:cNvPr id="24" name="Picture 24" descr="Chart&#10;&#10;Description automatically generated"/>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32145" cy="3107055"/>
                    </a:xfrm>
                    <a:prstGeom prst="rect">
                      <a:avLst/>
                    </a:prstGeom>
                    <a:noFill/>
                    <a:ln>
                      <a:solidFill>
                        <a:schemeClr val="accent1"/>
                      </a:solidFill>
                    </a:ln>
                  </pic:spPr>
                </pic:pic>
              </a:graphicData>
            </a:graphic>
          </wp:inline>
        </w:drawing>
      </w:r>
    </w:p>
    <w:p w:rsidR="00D35EE7" w:rsidRPr="003253E7" w:rsidRDefault="00D35EE7" w:rsidP="00D35EE7">
      <w:pPr>
        <w:widowControl w:val="0"/>
        <w:rPr>
          <w:rFonts w:ascii="Arial Narrow" w:hAnsi="Arial Narrow"/>
          <w:snapToGrid w:val="0"/>
          <w:sz w:val="18"/>
          <w:szCs w:val="22"/>
          <w:lang w:eastAsia="en-US"/>
        </w:rPr>
      </w:pPr>
      <w:r w:rsidRPr="003253E7">
        <w:rPr>
          <w:rFonts w:ascii="Arial Narrow" w:hAnsi="Arial Narrow"/>
          <w:snapToGrid w:val="0"/>
          <w:sz w:val="18"/>
          <w:szCs w:val="22"/>
          <w:lang w:eastAsia="en-US"/>
        </w:rPr>
        <w:t>Source: Figure 8, p75 of the submission.</w:t>
      </w:r>
    </w:p>
    <w:p w:rsidR="00D35EE7" w:rsidRPr="003253E7" w:rsidRDefault="00D35EE7" w:rsidP="00D35EE7">
      <w:pPr>
        <w:widowControl w:val="0"/>
        <w:rPr>
          <w:rFonts w:ascii="Arial Narrow" w:hAnsi="Arial Narrow"/>
          <w:snapToGrid w:val="0"/>
          <w:sz w:val="18"/>
          <w:szCs w:val="22"/>
          <w:lang w:eastAsia="en-US"/>
        </w:rPr>
      </w:pPr>
      <w:r w:rsidRPr="003253E7">
        <w:rPr>
          <w:rFonts w:ascii="Arial Narrow" w:hAnsi="Arial Narrow"/>
          <w:snapToGrid w:val="0"/>
          <w:sz w:val="18"/>
          <w:szCs w:val="22"/>
          <w:lang w:eastAsia="en-US"/>
        </w:rPr>
        <w:t>ASP2215, gilteritinib; Chemo, salvage chemotherapy; CI, confidence interval; HR, hazard ratio</w:t>
      </w:r>
    </w:p>
    <w:p w:rsidR="00AB1534" w:rsidRPr="003253E7" w:rsidRDefault="00AB1534" w:rsidP="00D35EE7">
      <w:pPr>
        <w:widowControl w:val="0"/>
        <w:rPr>
          <w:rFonts w:ascii="Arial Narrow" w:hAnsi="Arial Narrow"/>
          <w:snapToGrid w:val="0"/>
          <w:sz w:val="18"/>
          <w:szCs w:val="22"/>
          <w:lang w:eastAsia="en-US"/>
        </w:rPr>
      </w:pPr>
      <w:r w:rsidRPr="003253E7">
        <w:rPr>
          <w:rFonts w:ascii="Arial Narrow" w:hAnsi="Arial Narrow"/>
          <w:snapToGrid w:val="0"/>
          <w:sz w:val="18"/>
          <w:szCs w:val="22"/>
          <w:lang w:eastAsia="en-US"/>
        </w:rPr>
        <w:t xml:space="preserve">Note: EFS drops to approximately 60% in both treatment arms on Day 0 (randomisation date) because patients who discontinued treatment and failed to achieve a response during their treatment period (having either partial or no response) were defined as having an EFS event related to treatment failure and the event date was set at the date of randomisation. </w:t>
      </w:r>
    </w:p>
    <w:p w:rsidR="008871D5" w:rsidRPr="003253E7" w:rsidRDefault="008871D5" w:rsidP="00D35EE7">
      <w:pPr>
        <w:widowControl w:val="0"/>
        <w:rPr>
          <w:rFonts w:ascii="Arial Narrow" w:hAnsi="Arial Narrow"/>
          <w:snapToGrid w:val="0"/>
          <w:sz w:val="18"/>
          <w:szCs w:val="22"/>
          <w:lang w:eastAsia="en-US"/>
        </w:rPr>
      </w:pPr>
    </w:p>
    <w:p w:rsidR="00D35EE7" w:rsidRPr="005743F7" w:rsidRDefault="00894228" w:rsidP="00AC0520">
      <w:pPr>
        <w:pStyle w:val="ExecSumBodyText"/>
        <w:rPr>
          <w:color w:val="0066FF"/>
        </w:rPr>
      </w:pPr>
      <w:r w:rsidRPr="003253E7">
        <w:t xml:space="preserve">There was a trend toward longer </w:t>
      </w:r>
      <w:r w:rsidR="00AB1534" w:rsidRPr="003253E7">
        <w:t>EFS in the gilteritinib arm (</w:t>
      </w:r>
      <w:r w:rsidR="00781760" w:rsidRPr="003253E7">
        <w:t xml:space="preserve">median </w:t>
      </w:r>
      <w:r w:rsidR="00AB1534" w:rsidRPr="003253E7">
        <w:t>EFS</w:t>
      </w:r>
      <w:r w:rsidR="00781760" w:rsidRPr="003253E7">
        <w:t xml:space="preserve"> 2.8 months</w:t>
      </w:r>
      <w:r w:rsidR="00AB1534" w:rsidRPr="003253E7">
        <w:t>) compared to the salvage chemotherapy arm (</w:t>
      </w:r>
      <w:r w:rsidR="00781760" w:rsidRPr="003253E7">
        <w:t>0.7 months</w:t>
      </w:r>
      <w:r w:rsidR="00AB1534" w:rsidRPr="003253E7">
        <w:t xml:space="preserve">, </w:t>
      </w:r>
      <w:r w:rsidR="00781760" w:rsidRPr="003253E7">
        <w:t>HR 0.79; 95% CI 0.58, 1.09)</w:t>
      </w:r>
      <w:r w:rsidR="00AB1534" w:rsidRPr="003253E7">
        <w:t xml:space="preserve">, but the endpoint </w:t>
      </w:r>
      <w:r w:rsidR="00AB1534" w:rsidRPr="005743F7">
        <w:t>did not meet the pre-specified criteria for statistical significance</w:t>
      </w:r>
      <w:r w:rsidR="00781760" w:rsidRPr="005743F7">
        <w:t xml:space="preserve">. </w:t>
      </w:r>
      <w:r w:rsidR="00E2169A" w:rsidRPr="005743F7">
        <w:t>EFS</w:t>
      </w:r>
      <w:r w:rsidR="00781760" w:rsidRPr="005743F7">
        <w:t xml:space="preserve"> could not be reliably estimated in the salvage chemotherapy arm</w:t>
      </w:r>
      <w:r w:rsidR="00192F67">
        <w:t xml:space="preserve"> as</w:t>
      </w:r>
      <w:r w:rsidR="00781760" w:rsidRPr="005743F7">
        <w:t xml:space="preserve"> the majority of salvage chemotherapy patients finished the study </w:t>
      </w:r>
      <w:r w:rsidR="0029199C">
        <w:t>before</w:t>
      </w:r>
      <w:r w:rsidR="0029199C" w:rsidRPr="005743F7">
        <w:t xml:space="preserve"> </w:t>
      </w:r>
      <w:r w:rsidR="00781760" w:rsidRPr="005743F7">
        <w:t>cycle 2 of treatment</w:t>
      </w:r>
      <w:r w:rsidR="00C304ED" w:rsidRPr="005743F7">
        <w:t xml:space="preserve">, </w:t>
      </w:r>
      <w:r w:rsidR="00192F67">
        <w:t xml:space="preserve">and so </w:t>
      </w:r>
      <w:r w:rsidR="00C304ED" w:rsidRPr="005743F7">
        <w:t>there was limited follow-up of response</w:t>
      </w:r>
      <w:r w:rsidR="00781760" w:rsidRPr="005743F7">
        <w:t xml:space="preserve"> (with no systematic/standard measurement of disease for relapse) and high censoring.</w:t>
      </w:r>
    </w:p>
    <w:p w:rsidR="005277F8" w:rsidRPr="005743F7" w:rsidRDefault="000541D2" w:rsidP="001E2B70">
      <w:pPr>
        <w:pStyle w:val="ExecSumBodyText"/>
      </w:pPr>
      <w:r w:rsidRPr="003253E7">
        <w:t>An</w:t>
      </w:r>
      <w:r w:rsidR="00AE36FF" w:rsidRPr="003253E7">
        <w:t xml:space="preserve"> </w:t>
      </w:r>
      <w:r w:rsidR="00AE36FF" w:rsidRPr="005A6F51">
        <w:rPr>
          <w:i/>
          <w:iCs/>
        </w:rPr>
        <w:t>ad hoc</w:t>
      </w:r>
      <w:r w:rsidR="005277F8" w:rsidRPr="003253E7">
        <w:t xml:space="preserve"> sensitivity analysis was performed that also considered investigator-reported events</w:t>
      </w:r>
      <w:r w:rsidRPr="003253E7">
        <w:t xml:space="preserve"> (relapse and deaths off treatment and new AML therapy). The number of censored events was reduced in this analysis compared to the ITT analysis</w:t>
      </w:r>
      <w:r w:rsidR="005277F8" w:rsidRPr="003253E7">
        <w:t>.</w:t>
      </w:r>
      <w:r w:rsidR="00AE36FF" w:rsidRPr="003253E7">
        <w:t xml:space="preserve"> A</w:t>
      </w:r>
      <w:r w:rsidR="005277F8" w:rsidRPr="003253E7">
        <w:t xml:space="preserve"> nominally greater median EFS of 2.3 months </w:t>
      </w:r>
      <w:r w:rsidR="00AE36FF" w:rsidRPr="003253E7">
        <w:t xml:space="preserve">was observed </w:t>
      </w:r>
      <w:r w:rsidR="005277F8" w:rsidRPr="003253E7">
        <w:t>in the gilteritinib arm compared to 0.7 months in the chemotherapy arm (HR 0.50, 95% CI 0.39, 0.64)</w:t>
      </w:r>
      <w:r w:rsidR="00AC5251">
        <w:t>. However,</w:t>
      </w:r>
      <w:r w:rsidR="0029199C">
        <w:t xml:space="preserve"> the evaluation considered that</w:t>
      </w:r>
      <w:r w:rsidRPr="003253E7">
        <w:t xml:space="preserve"> </w:t>
      </w:r>
      <w:r w:rsidR="0029199C">
        <w:t>t</w:t>
      </w:r>
      <w:r w:rsidRPr="005743F7">
        <w:t>hese results should also be interpreted with caution</w:t>
      </w:r>
      <w:r w:rsidR="00FB1C38" w:rsidRPr="005743F7">
        <w:t xml:space="preserve"> given the</w:t>
      </w:r>
      <w:r w:rsidR="003D7507" w:rsidRPr="005743F7">
        <w:t xml:space="preserve"> lack of central assessment of response or relapse after treatment discontinuation and the differences in treatment duration between gilteritinib and salvage chemotherapy arms.</w:t>
      </w:r>
      <w:r w:rsidRPr="005743F7">
        <w:t xml:space="preserve"> </w:t>
      </w:r>
      <w:r w:rsidR="005277F8" w:rsidRPr="005743F7">
        <w:t xml:space="preserve"> </w:t>
      </w:r>
    </w:p>
    <w:p w:rsidR="00CA1150" w:rsidRPr="003253E7" w:rsidRDefault="005277F8" w:rsidP="00EC5836">
      <w:pPr>
        <w:pStyle w:val="ExecSumBodyText"/>
        <w:rPr>
          <w:color w:val="0066FF"/>
        </w:rPr>
      </w:pPr>
      <w:r w:rsidRPr="003253E7">
        <w:t xml:space="preserve">The submission also presented results for leukaemia-free survival, but noted similar censoring of salvage chemotherapy patients as in the </w:t>
      </w:r>
      <w:r w:rsidR="00E2169A">
        <w:t>EFS</w:t>
      </w:r>
      <w:r w:rsidRPr="003253E7">
        <w:t xml:space="preserve"> analysis, which made the survival curve estimate un</w:t>
      </w:r>
      <w:r w:rsidR="00AE36FF" w:rsidRPr="003253E7">
        <w:t>reliable for this treatment arm.</w:t>
      </w:r>
    </w:p>
    <w:p w:rsidR="00CA1150" w:rsidRPr="003253E7" w:rsidRDefault="00CA1150" w:rsidP="00AF4281">
      <w:pPr>
        <w:pStyle w:val="4-SubsectSubhead"/>
      </w:pPr>
      <w:r w:rsidRPr="003253E7">
        <w:t>Response to treatment</w:t>
      </w:r>
    </w:p>
    <w:p w:rsidR="008E5996" w:rsidRPr="003253E7" w:rsidRDefault="008871D5" w:rsidP="00CA1150">
      <w:pPr>
        <w:pStyle w:val="ExecSumBodyText"/>
        <w:rPr>
          <w:color w:val="0066FF"/>
        </w:rPr>
      </w:pPr>
      <w:r w:rsidRPr="003253E7">
        <w:t>Response outcomes at the final analysis were summarised descriptively for both treatment arms (see table below).</w:t>
      </w:r>
      <w:r w:rsidR="008E5996" w:rsidRPr="003253E7">
        <w:rPr>
          <w:snapToGrid/>
          <w:color w:val="0066FF"/>
        </w:rPr>
        <w:t xml:space="preserve"> </w:t>
      </w:r>
    </w:p>
    <w:p w:rsidR="008871D5" w:rsidRPr="003253E7" w:rsidRDefault="00FD4C43" w:rsidP="004D66F8">
      <w:pPr>
        <w:pStyle w:val="Tableheadingrow"/>
        <w:keepLines/>
      </w:pPr>
      <w:bookmarkStart w:id="27" w:name="_Ref89174613"/>
      <w:bookmarkStart w:id="28" w:name="_Ref89174610"/>
      <w:r>
        <w:t xml:space="preserve">Table </w:t>
      </w:r>
      <w:r w:rsidR="002B6D54">
        <w:rPr>
          <w:noProof/>
        </w:rPr>
        <w:t>5</w:t>
      </w:r>
      <w:bookmarkEnd w:id="27"/>
      <w:r w:rsidR="008871D5" w:rsidRPr="003253E7">
        <w:t xml:space="preserve">: Best overall response rates in ADMIRAL trial, ITT population, September 2018 </w:t>
      </w:r>
      <w:r w:rsidR="00FE7362" w:rsidRPr="003253E7">
        <w:t>data cut</w:t>
      </w:r>
      <w:bookmarkEnd w:id="28"/>
    </w:p>
    <w:tbl>
      <w:tblPr>
        <w:tblW w:w="5000" w:type="pct"/>
        <w:tblBorders>
          <w:top w:val="single" w:sz="6" w:space="0" w:color="auto"/>
          <w:left w:val="single" w:sz="6" w:space="0" w:color="auto"/>
          <w:bottom w:val="single" w:sz="6" w:space="0" w:color="auto"/>
          <w:right w:val="single" w:sz="6"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1698"/>
        <w:gridCol w:w="2437"/>
        <w:gridCol w:w="2438"/>
        <w:gridCol w:w="2438"/>
      </w:tblGrid>
      <w:tr w:rsidR="008871D5" w:rsidRPr="003253E7" w:rsidTr="00294866">
        <w:trPr>
          <w:cantSplit/>
          <w:tblHeader/>
        </w:trPr>
        <w:tc>
          <w:tcPr>
            <w:tcW w:w="942" w:type="pct"/>
            <w:tcBorders>
              <w:top w:val="single" w:sz="6" w:space="0" w:color="auto"/>
              <w:left w:val="single" w:sz="6" w:space="0" w:color="auto"/>
              <w:bottom w:val="single" w:sz="2" w:space="0" w:color="auto"/>
              <w:right w:val="single" w:sz="2" w:space="0" w:color="auto"/>
            </w:tcBorders>
            <w:shd w:val="clear" w:color="auto" w:fill="auto"/>
            <w:tcMar>
              <w:top w:w="0" w:type="dxa"/>
              <w:left w:w="108" w:type="dxa"/>
              <w:bottom w:w="0" w:type="dxa"/>
              <w:right w:w="108" w:type="dxa"/>
            </w:tcMar>
            <w:vAlign w:val="center"/>
            <w:hideMark/>
          </w:tcPr>
          <w:p w:rsidR="008871D5" w:rsidRPr="003253E7" w:rsidRDefault="008871D5" w:rsidP="004D66F8">
            <w:pPr>
              <w:pStyle w:val="TableText"/>
              <w:keepLines/>
              <w:rPr>
                <w:rFonts w:cstheme="minorBidi"/>
                <w:b/>
                <w:szCs w:val="22"/>
                <w:lang w:eastAsia="en-US"/>
              </w:rPr>
            </w:pPr>
            <w:r w:rsidRPr="003253E7">
              <w:rPr>
                <w:b/>
                <w:lang w:eastAsia="en-US"/>
              </w:rPr>
              <w:t>Response rate</w:t>
            </w:r>
          </w:p>
        </w:tc>
        <w:tc>
          <w:tcPr>
            <w:tcW w:w="1352" w:type="pct"/>
            <w:tcBorders>
              <w:top w:val="single" w:sz="6" w:space="0" w:color="auto"/>
              <w:left w:val="single" w:sz="2" w:space="0" w:color="auto"/>
              <w:bottom w:val="single" w:sz="2" w:space="0" w:color="auto"/>
              <w:right w:val="single" w:sz="4" w:space="0" w:color="auto"/>
            </w:tcBorders>
            <w:shd w:val="clear" w:color="auto" w:fill="auto"/>
            <w:vAlign w:val="center"/>
            <w:hideMark/>
          </w:tcPr>
          <w:p w:rsidR="008871D5" w:rsidRPr="003253E7" w:rsidRDefault="008871D5" w:rsidP="004D66F8">
            <w:pPr>
              <w:pStyle w:val="TableText"/>
              <w:keepLines/>
              <w:ind w:left="57"/>
              <w:jc w:val="center"/>
              <w:rPr>
                <w:b/>
                <w:lang w:eastAsia="en-US"/>
              </w:rPr>
            </w:pPr>
            <w:r w:rsidRPr="003253E7">
              <w:rPr>
                <w:b/>
                <w:lang w:eastAsia="en-US"/>
              </w:rPr>
              <w:t>Gilteritinib</w:t>
            </w:r>
          </w:p>
          <w:p w:rsidR="008871D5" w:rsidRPr="003253E7" w:rsidRDefault="008871D5" w:rsidP="004D66F8">
            <w:pPr>
              <w:pStyle w:val="TableText"/>
              <w:keepLines/>
              <w:ind w:left="57"/>
              <w:jc w:val="center"/>
              <w:rPr>
                <w:b/>
                <w:lang w:eastAsia="en-US"/>
              </w:rPr>
            </w:pPr>
            <w:r w:rsidRPr="003253E7">
              <w:rPr>
                <w:b/>
                <w:lang w:eastAsia="en-US"/>
              </w:rPr>
              <w:t>(N = 247)</w:t>
            </w:r>
            <w:r w:rsidR="00103C70">
              <w:rPr>
                <w:b/>
                <w:lang w:eastAsia="en-US"/>
              </w:rPr>
              <w:t xml:space="preserve">, </w:t>
            </w:r>
            <w:r w:rsidRPr="003253E7">
              <w:rPr>
                <w:b/>
                <w:lang w:eastAsia="en-US"/>
              </w:rPr>
              <w:t>n (%)</w:t>
            </w:r>
          </w:p>
        </w:tc>
        <w:tc>
          <w:tcPr>
            <w:tcW w:w="1352" w:type="pct"/>
            <w:tcBorders>
              <w:top w:val="single" w:sz="6" w:space="0" w:color="auto"/>
              <w:left w:val="single" w:sz="4" w:space="0" w:color="auto"/>
              <w:bottom w:val="single" w:sz="2" w:space="0" w:color="auto"/>
              <w:right w:val="single" w:sz="2" w:space="0" w:color="auto"/>
            </w:tcBorders>
            <w:shd w:val="clear" w:color="auto" w:fill="auto"/>
            <w:vAlign w:val="center"/>
            <w:hideMark/>
          </w:tcPr>
          <w:p w:rsidR="008871D5" w:rsidRPr="003253E7" w:rsidRDefault="008871D5" w:rsidP="004D66F8">
            <w:pPr>
              <w:pStyle w:val="TableText"/>
              <w:keepLines/>
              <w:ind w:left="57"/>
              <w:jc w:val="center"/>
              <w:rPr>
                <w:b/>
                <w:lang w:eastAsia="en-US"/>
              </w:rPr>
            </w:pPr>
            <w:r w:rsidRPr="003253E7">
              <w:rPr>
                <w:b/>
                <w:lang w:eastAsia="en-US"/>
              </w:rPr>
              <w:t>Chemotherapy</w:t>
            </w:r>
            <w:r w:rsidRPr="003253E7">
              <w:rPr>
                <w:b/>
                <w:lang w:eastAsia="en-US"/>
              </w:rPr>
              <w:br/>
              <w:t>(</w:t>
            </w:r>
            <w:r w:rsidR="001C7D22">
              <w:rPr>
                <w:b/>
                <w:lang w:eastAsia="en-US"/>
              </w:rPr>
              <w:t>N</w:t>
            </w:r>
            <w:r w:rsidRPr="003253E7">
              <w:rPr>
                <w:b/>
                <w:lang w:eastAsia="en-US"/>
              </w:rPr>
              <w:t xml:space="preserve"> = 124)</w:t>
            </w:r>
            <w:r w:rsidR="00103C70">
              <w:rPr>
                <w:b/>
                <w:lang w:eastAsia="en-US"/>
              </w:rPr>
              <w:t xml:space="preserve">, </w:t>
            </w:r>
            <w:r w:rsidRPr="003253E7">
              <w:rPr>
                <w:b/>
                <w:lang w:eastAsia="en-US"/>
              </w:rPr>
              <w:t>n (%)</w:t>
            </w:r>
          </w:p>
        </w:tc>
        <w:tc>
          <w:tcPr>
            <w:tcW w:w="1353" w:type="pct"/>
            <w:tcBorders>
              <w:top w:val="single" w:sz="6" w:space="0" w:color="auto"/>
              <w:left w:val="single" w:sz="4" w:space="0" w:color="auto"/>
              <w:bottom w:val="single" w:sz="2" w:space="0" w:color="auto"/>
              <w:right w:val="single" w:sz="6" w:space="0" w:color="auto"/>
            </w:tcBorders>
            <w:shd w:val="clear" w:color="auto" w:fill="auto"/>
            <w:vAlign w:val="center"/>
            <w:hideMark/>
          </w:tcPr>
          <w:p w:rsidR="008871D5" w:rsidRPr="003253E7" w:rsidRDefault="008871D5" w:rsidP="004D66F8">
            <w:pPr>
              <w:pStyle w:val="TableText"/>
              <w:keepLines/>
              <w:ind w:left="57"/>
              <w:jc w:val="center"/>
              <w:rPr>
                <w:b/>
                <w:lang w:eastAsia="en-US"/>
              </w:rPr>
            </w:pPr>
            <w:r w:rsidRPr="003253E7">
              <w:rPr>
                <w:b/>
                <w:lang w:eastAsia="en-US"/>
              </w:rPr>
              <w:t>Adjusted treatment difference (95% CI)</w:t>
            </w:r>
            <w:r w:rsidRPr="003253E7">
              <w:rPr>
                <w:b/>
                <w:vertAlign w:val="superscript"/>
                <w:lang w:eastAsia="en-US"/>
              </w:rPr>
              <w:t>a</w:t>
            </w:r>
          </w:p>
        </w:tc>
      </w:tr>
      <w:tr w:rsidR="008871D5" w:rsidRPr="003253E7" w:rsidTr="00294866">
        <w:trPr>
          <w:cantSplit/>
        </w:trPr>
        <w:tc>
          <w:tcPr>
            <w:tcW w:w="942" w:type="pct"/>
            <w:tcBorders>
              <w:top w:val="single" w:sz="2" w:space="0" w:color="auto"/>
              <w:left w:val="single" w:sz="6" w:space="0" w:color="auto"/>
              <w:bottom w:val="single" w:sz="2" w:space="0" w:color="auto"/>
              <w:right w:val="single" w:sz="2" w:space="0" w:color="auto"/>
            </w:tcBorders>
            <w:tcMar>
              <w:top w:w="0" w:type="dxa"/>
              <w:left w:w="108" w:type="dxa"/>
              <w:bottom w:w="0" w:type="dxa"/>
              <w:right w:w="108" w:type="dxa"/>
            </w:tcMar>
            <w:vAlign w:val="center"/>
            <w:hideMark/>
          </w:tcPr>
          <w:p w:rsidR="008871D5" w:rsidRPr="003253E7" w:rsidRDefault="00EA4412" w:rsidP="004D66F8">
            <w:pPr>
              <w:pStyle w:val="TableText"/>
              <w:keepLines/>
              <w:rPr>
                <w:lang w:eastAsia="en-US"/>
              </w:rPr>
            </w:pPr>
            <w:r>
              <w:rPr>
                <w:lang w:eastAsia="en-US"/>
              </w:rPr>
              <w:t>CR</w:t>
            </w:r>
          </w:p>
        </w:tc>
        <w:tc>
          <w:tcPr>
            <w:tcW w:w="1352" w:type="pct"/>
            <w:tcBorders>
              <w:top w:val="single" w:sz="2" w:space="0" w:color="auto"/>
              <w:left w:val="single" w:sz="2" w:space="0" w:color="auto"/>
              <w:bottom w:val="single" w:sz="2" w:space="0" w:color="auto"/>
              <w:right w:val="single" w:sz="4" w:space="0" w:color="auto"/>
            </w:tcBorders>
            <w:vAlign w:val="center"/>
            <w:hideMark/>
          </w:tcPr>
          <w:p w:rsidR="008871D5" w:rsidRPr="003253E7" w:rsidRDefault="008871D5" w:rsidP="004D66F8">
            <w:pPr>
              <w:pStyle w:val="TableText"/>
              <w:keepLines/>
              <w:jc w:val="center"/>
              <w:rPr>
                <w:lang w:eastAsia="en-US"/>
              </w:rPr>
            </w:pPr>
            <w:r w:rsidRPr="003253E7">
              <w:rPr>
                <w:lang w:eastAsia="en-US"/>
              </w:rPr>
              <w:t>52 (21.1)</w:t>
            </w:r>
          </w:p>
        </w:tc>
        <w:tc>
          <w:tcPr>
            <w:tcW w:w="1352" w:type="pct"/>
            <w:tcBorders>
              <w:top w:val="single" w:sz="2" w:space="0" w:color="auto"/>
              <w:left w:val="single" w:sz="4" w:space="0" w:color="auto"/>
              <w:bottom w:val="single" w:sz="2" w:space="0" w:color="auto"/>
              <w:right w:val="single" w:sz="2" w:space="0" w:color="auto"/>
            </w:tcBorders>
            <w:vAlign w:val="center"/>
            <w:hideMark/>
          </w:tcPr>
          <w:p w:rsidR="008871D5" w:rsidRPr="003253E7" w:rsidRDefault="008871D5" w:rsidP="004D66F8">
            <w:pPr>
              <w:pStyle w:val="TableText"/>
              <w:keepLines/>
              <w:ind w:left="57"/>
              <w:jc w:val="center"/>
              <w:rPr>
                <w:lang w:eastAsia="en-US"/>
              </w:rPr>
            </w:pPr>
            <w:r w:rsidRPr="003253E7">
              <w:rPr>
                <w:lang w:eastAsia="en-US"/>
              </w:rPr>
              <w:t>13 (10.5)</w:t>
            </w:r>
          </w:p>
        </w:tc>
        <w:tc>
          <w:tcPr>
            <w:tcW w:w="1353" w:type="pct"/>
            <w:tcBorders>
              <w:top w:val="single" w:sz="2" w:space="0" w:color="auto"/>
              <w:left w:val="single" w:sz="4" w:space="0" w:color="auto"/>
              <w:bottom w:val="single" w:sz="2" w:space="0" w:color="auto"/>
              <w:right w:val="single" w:sz="6" w:space="0" w:color="auto"/>
            </w:tcBorders>
            <w:vAlign w:val="center"/>
            <w:hideMark/>
          </w:tcPr>
          <w:p w:rsidR="008871D5" w:rsidRPr="003253E7" w:rsidRDefault="008871D5" w:rsidP="004D66F8">
            <w:pPr>
              <w:pStyle w:val="TableText"/>
              <w:keepLines/>
              <w:ind w:left="57"/>
              <w:jc w:val="center"/>
              <w:rPr>
                <w:lang w:eastAsia="en-US"/>
              </w:rPr>
            </w:pPr>
            <w:r w:rsidRPr="003253E7">
              <w:rPr>
                <w:lang w:eastAsia="en-US"/>
              </w:rPr>
              <w:t>10.6 (2.8, 18.4)</w:t>
            </w:r>
          </w:p>
        </w:tc>
      </w:tr>
      <w:tr w:rsidR="008871D5" w:rsidRPr="003253E7" w:rsidTr="00294866">
        <w:trPr>
          <w:cantSplit/>
        </w:trPr>
        <w:tc>
          <w:tcPr>
            <w:tcW w:w="942" w:type="pct"/>
            <w:tcBorders>
              <w:top w:val="single" w:sz="2" w:space="0" w:color="auto"/>
              <w:left w:val="single" w:sz="6" w:space="0" w:color="auto"/>
              <w:bottom w:val="single" w:sz="2" w:space="0" w:color="auto"/>
              <w:right w:val="single" w:sz="2" w:space="0" w:color="auto"/>
            </w:tcBorders>
            <w:tcMar>
              <w:top w:w="0" w:type="dxa"/>
              <w:left w:w="108" w:type="dxa"/>
              <w:bottom w:w="0" w:type="dxa"/>
              <w:right w:w="108" w:type="dxa"/>
            </w:tcMar>
            <w:vAlign w:val="center"/>
          </w:tcPr>
          <w:p w:rsidR="008871D5" w:rsidRPr="003253E7" w:rsidRDefault="005A6F51" w:rsidP="004D66F8">
            <w:pPr>
              <w:pStyle w:val="TableText"/>
              <w:keepLines/>
              <w:rPr>
                <w:lang w:eastAsia="en-US"/>
              </w:rPr>
            </w:pPr>
            <w:r>
              <w:rPr>
                <w:lang w:eastAsia="en-US"/>
              </w:rPr>
              <w:t>CR/CRh</w:t>
            </w:r>
          </w:p>
        </w:tc>
        <w:tc>
          <w:tcPr>
            <w:tcW w:w="1352" w:type="pct"/>
            <w:tcBorders>
              <w:top w:val="single" w:sz="2" w:space="0" w:color="auto"/>
              <w:left w:val="single" w:sz="2" w:space="0" w:color="auto"/>
              <w:bottom w:val="single" w:sz="2" w:space="0" w:color="auto"/>
              <w:right w:val="single" w:sz="4" w:space="0" w:color="auto"/>
            </w:tcBorders>
            <w:vAlign w:val="center"/>
          </w:tcPr>
          <w:p w:rsidR="008871D5" w:rsidRPr="003253E7" w:rsidRDefault="008871D5" w:rsidP="004D66F8">
            <w:pPr>
              <w:pStyle w:val="TableText"/>
              <w:keepLines/>
              <w:ind w:left="57"/>
              <w:jc w:val="center"/>
              <w:rPr>
                <w:lang w:eastAsia="en-US"/>
              </w:rPr>
            </w:pPr>
            <w:r w:rsidRPr="003253E7">
              <w:rPr>
                <w:position w:val="2"/>
                <w:lang w:eastAsia="en-US"/>
              </w:rPr>
              <w:t>84 (34.0</w:t>
            </w:r>
            <w:r w:rsidR="002B3598">
              <w:rPr>
                <w:position w:val="2"/>
                <w:lang w:eastAsia="en-US"/>
              </w:rPr>
              <w:t>)</w:t>
            </w:r>
          </w:p>
        </w:tc>
        <w:tc>
          <w:tcPr>
            <w:tcW w:w="1352" w:type="pct"/>
            <w:tcBorders>
              <w:top w:val="single" w:sz="2" w:space="0" w:color="auto"/>
              <w:left w:val="single" w:sz="4" w:space="0" w:color="auto"/>
              <w:bottom w:val="single" w:sz="2" w:space="0" w:color="auto"/>
              <w:right w:val="single" w:sz="2" w:space="0" w:color="auto"/>
            </w:tcBorders>
            <w:vAlign w:val="center"/>
          </w:tcPr>
          <w:p w:rsidR="008871D5" w:rsidRPr="003253E7" w:rsidRDefault="008871D5" w:rsidP="004D66F8">
            <w:pPr>
              <w:pStyle w:val="TableText"/>
              <w:keepLines/>
              <w:ind w:left="57"/>
              <w:jc w:val="center"/>
              <w:rPr>
                <w:lang w:eastAsia="en-US"/>
              </w:rPr>
            </w:pPr>
            <w:r w:rsidRPr="003253E7">
              <w:rPr>
                <w:position w:val="2"/>
                <w:lang w:eastAsia="en-US"/>
              </w:rPr>
              <w:t>19 (15.3</w:t>
            </w:r>
            <w:r w:rsidR="00D8340C">
              <w:rPr>
                <w:lang w:eastAsia="ja-JP"/>
              </w:rPr>
              <w:t>)</w:t>
            </w:r>
          </w:p>
        </w:tc>
        <w:tc>
          <w:tcPr>
            <w:tcW w:w="1353" w:type="pct"/>
            <w:tcBorders>
              <w:top w:val="single" w:sz="2" w:space="0" w:color="auto"/>
              <w:left w:val="single" w:sz="4" w:space="0" w:color="auto"/>
              <w:bottom w:val="single" w:sz="2" w:space="0" w:color="auto"/>
              <w:right w:val="single" w:sz="6" w:space="0" w:color="auto"/>
            </w:tcBorders>
            <w:vAlign w:val="center"/>
          </w:tcPr>
          <w:p w:rsidR="008871D5" w:rsidRPr="003253E7" w:rsidRDefault="008871D5" w:rsidP="004D66F8">
            <w:pPr>
              <w:pStyle w:val="TableText"/>
              <w:keepLines/>
              <w:ind w:left="57"/>
              <w:jc w:val="center"/>
              <w:rPr>
                <w:lang w:eastAsia="en-US"/>
              </w:rPr>
            </w:pPr>
            <w:r w:rsidRPr="003253E7">
              <w:rPr>
                <w:lang w:eastAsia="ja-JP"/>
              </w:rPr>
              <w:t>18.6 (9.8, 27.4)</w:t>
            </w:r>
          </w:p>
        </w:tc>
      </w:tr>
      <w:tr w:rsidR="008871D5" w:rsidRPr="003253E7" w:rsidTr="00294866">
        <w:trPr>
          <w:cantSplit/>
        </w:trPr>
        <w:tc>
          <w:tcPr>
            <w:tcW w:w="942" w:type="pct"/>
            <w:tcBorders>
              <w:top w:val="single" w:sz="2" w:space="0" w:color="auto"/>
              <w:left w:val="single" w:sz="6" w:space="0" w:color="auto"/>
              <w:bottom w:val="single" w:sz="2" w:space="0" w:color="auto"/>
              <w:right w:val="single" w:sz="2" w:space="0" w:color="auto"/>
            </w:tcBorders>
            <w:tcMar>
              <w:top w:w="0" w:type="dxa"/>
              <w:left w:w="108" w:type="dxa"/>
              <w:bottom w:w="0" w:type="dxa"/>
              <w:right w:w="108" w:type="dxa"/>
            </w:tcMar>
            <w:vAlign w:val="center"/>
          </w:tcPr>
          <w:p w:rsidR="008871D5" w:rsidRPr="003253E7" w:rsidRDefault="008871D5" w:rsidP="004D66F8">
            <w:pPr>
              <w:pStyle w:val="TableText"/>
              <w:keepLines/>
              <w:rPr>
                <w:lang w:eastAsia="en-US"/>
              </w:rPr>
            </w:pPr>
            <w:r w:rsidRPr="003253E7">
              <w:rPr>
                <w:lang w:eastAsia="en-US"/>
              </w:rPr>
              <w:t>CRc</w:t>
            </w:r>
            <w:r w:rsidRPr="003253E7">
              <w:rPr>
                <w:vertAlign w:val="superscript"/>
                <w:lang w:eastAsia="en-US"/>
              </w:rPr>
              <w:t>b</w:t>
            </w:r>
          </w:p>
        </w:tc>
        <w:tc>
          <w:tcPr>
            <w:tcW w:w="1352" w:type="pct"/>
            <w:tcBorders>
              <w:top w:val="single" w:sz="2" w:space="0" w:color="auto"/>
              <w:left w:val="single" w:sz="2" w:space="0" w:color="auto"/>
              <w:bottom w:val="single" w:sz="2" w:space="0" w:color="auto"/>
              <w:right w:val="single" w:sz="4" w:space="0" w:color="auto"/>
            </w:tcBorders>
            <w:vAlign w:val="center"/>
          </w:tcPr>
          <w:p w:rsidR="008871D5" w:rsidRPr="003253E7" w:rsidRDefault="008871D5" w:rsidP="004D66F8">
            <w:pPr>
              <w:pStyle w:val="TableText"/>
              <w:keepLines/>
              <w:ind w:left="57"/>
              <w:jc w:val="center"/>
              <w:rPr>
                <w:position w:val="2"/>
                <w:lang w:eastAsia="en-US"/>
              </w:rPr>
            </w:pPr>
            <w:r w:rsidRPr="003253E7">
              <w:rPr>
                <w:position w:val="2"/>
                <w:lang w:eastAsia="en-US"/>
              </w:rPr>
              <w:t>134 (54.3)</w:t>
            </w:r>
          </w:p>
        </w:tc>
        <w:tc>
          <w:tcPr>
            <w:tcW w:w="1352" w:type="pct"/>
            <w:tcBorders>
              <w:top w:val="single" w:sz="2" w:space="0" w:color="auto"/>
              <w:left w:val="single" w:sz="4" w:space="0" w:color="auto"/>
              <w:bottom w:val="single" w:sz="2" w:space="0" w:color="auto"/>
              <w:right w:val="single" w:sz="2" w:space="0" w:color="auto"/>
            </w:tcBorders>
            <w:vAlign w:val="center"/>
          </w:tcPr>
          <w:p w:rsidR="008871D5" w:rsidRPr="003253E7" w:rsidRDefault="008871D5" w:rsidP="004D66F8">
            <w:pPr>
              <w:pStyle w:val="TableText"/>
              <w:keepLines/>
              <w:ind w:left="57"/>
              <w:jc w:val="center"/>
              <w:rPr>
                <w:position w:val="2"/>
                <w:lang w:eastAsia="en-US"/>
              </w:rPr>
            </w:pPr>
            <w:r w:rsidRPr="003253E7">
              <w:rPr>
                <w:position w:val="2"/>
                <w:lang w:eastAsia="en-US"/>
              </w:rPr>
              <w:t>27 (21.8)</w:t>
            </w:r>
          </w:p>
        </w:tc>
        <w:tc>
          <w:tcPr>
            <w:tcW w:w="1353" w:type="pct"/>
            <w:tcBorders>
              <w:top w:val="single" w:sz="2" w:space="0" w:color="auto"/>
              <w:left w:val="single" w:sz="4" w:space="0" w:color="auto"/>
              <w:bottom w:val="single" w:sz="2" w:space="0" w:color="auto"/>
              <w:right w:val="single" w:sz="6" w:space="0" w:color="auto"/>
            </w:tcBorders>
            <w:vAlign w:val="center"/>
          </w:tcPr>
          <w:p w:rsidR="008871D5" w:rsidRPr="003253E7" w:rsidRDefault="008871D5" w:rsidP="004D66F8">
            <w:pPr>
              <w:pStyle w:val="TableText"/>
              <w:keepLines/>
              <w:ind w:left="57"/>
              <w:jc w:val="center"/>
              <w:rPr>
                <w:lang w:eastAsia="ja-JP"/>
              </w:rPr>
            </w:pPr>
            <w:r w:rsidRPr="003253E7">
              <w:rPr>
                <w:lang w:eastAsia="ja-JP"/>
              </w:rPr>
              <w:t>32.5 (22.3, 42.6)</w:t>
            </w:r>
            <w:r w:rsidRPr="003253E7">
              <w:rPr>
                <w:b/>
                <w:bCs w:val="0"/>
                <w:vertAlign w:val="superscript"/>
                <w:lang w:eastAsia="ja-JP"/>
              </w:rPr>
              <w:t>c</w:t>
            </w:r>
          </w:p>
        </w:tc>
      </w:tr>
      <w:tr w:rsidR="008871D5" w:rsidRPr="003253E7" w:rsidTr="00294866">
        <w:trPr>
          <w:cantSplit/>
        </w:trPr>
        <w:tc>
          <w:tcPr>
            <w:tcW w:w="942" w:type="pct"/>
            <w:tcBorders>
              <w:top w:val="single" w:sz="2" w:space="0" w:color="auto"/>
              <w:left w:val="single" w:sz="6" w:space="0" w:color="auto"/>
              <w:bottom w:val="single" w:sz="2" w:space="0" w:color="auto"/>
              <w:right w:val="single" w:sz="2" w:space="0" w:color="auto"/>
            </w:tcBorders>
            <w:tcMar>
              <w:top w:w="0" w:type="dxa"/>
              <w:left w:w="108" w:type="dxa"/>
              <w:bottom w:w="0" w:type="dxa"/>
              <w:right w:w="108" w:type="dxa"/>
            </w:tcMar>
            <w:vAlign w:val="center"/>
          </w:tcPr>
          <w:p w:rsidR="008871D5" w:rsidRPr="003253E7" w:rsidRDefault="008871D5" w:rsidP="004D66F8">
            <w:pPr>
              <w:pStyle w:val="TableText"/>
              <w:keepLines/>
              <w:rPr>
                <w:lang w:eastAsia="en-US"/>
              </w:rPr>
            </w:pPr>
            <w:r w:rsidRPr="003253E7">
              <w:rPr>
                <w:lang w:eastAsia="en-US"/>
              </w:rPr>
              <w:t>Partial response</w:t>
            </w:r>
          </w:p>
        </w:tc>
        <w:tc>
          <w:tcPr>
            <w:tcW w:w="1352" w:type="pct"/>
            <w:tcBorders>
              <w:top w:val="single" w:sz="2" w:space="0" w:color="auto"/>
              <w:left w:val="single" w:sz="2" w:space="0" w:color="auto"/>
              <w:bottom w:val="single" w:sz="2" w:space="0" w:color="auto"/>
              <w:right w:val="single" w:sz="4" w:space="0" w:color="auto"/>
            </w:tcBorders>
          </w:tcPr>
          <w:p w:rsidR="008871D5" w:rsidRPr="003253E7" w:rsidRDefault="00F76501" w:rsidP="004D66F8">
            <w:pPr>
              <w:pStyle w:val="TableText"/>
              <w:keepLines/>
              <w:ind w:left="57"/>
              <w:jc w:val="center"/>
              <w:rPr>
                <w:position w:val="2"/>
                <w:lang w:eastAsia="en-US"/>
              </w:rPr>
            </w:pPr>
            <w:r w:rsidRPr="003253E7">
              <w:t>33 (13.4)</w:t>
            </w:r>
          </w:p>
        </w:tc>
        <w:tc>
          <w:tcPr>
            <w:tcW w:w="1352" w:type="pct"/>
            <w:tcBorders>
              <w:top w:val="single" w:sz="2" w:space="0" w:color="auto"/>
              <w:left w:val="single" w:sz="4" w:space="0" w:color="auto"/>
              <w:bottom w:val="single" w:sz="2" w:space="0" w:color="auto"/>
              <w:right w:val="single" w:sz="2" w:space="0" w:color="auto"/>
            </w:tcBorders>
          </w:tcPr>
          <w:p w:rsidR="008871D5" w:rsidRPr="003253E7" w:rsidRDefault="008871D5" w:rsidP="004D66F8">
            <w:pPr>
              <w:pStyle w:val="TableText"/>
              <w:keepLines/>
              <w:ind w:left="57"/>
              <w:jc w:val="center"/>
              <w:rPr>
                <w:position w:val="2"/>
                <w:lang w:eastAsia="en-US"/>
              </w:rPr>
            </w:pPr>
            <w:r w:rsidRPr="003253E7">
              <w:t>5 (4.0)</w:t>
            </w:r>
          </w:p>
        </w:tc>
        <w:tc>
          <w:tcPr>
            <w:tcW w:w="1353" w:type="pct"/>
            <w:tcBorders>
              <w:top w:val="single" w:sz="2" w:space="0" w:color="auto"/>
              <w:left w:val="single" w:sz="4" w:space="0" w:color="auto"/>
              <w:bottom w:val="single" w:sz="2" w:space="0" w:color="auto"/>
              <w:right w:val="single" w:sz="6" w:space="0" w:color="auto"/>
            </w:tcBorders>
            <w:vAlign w:val="center"/>
          </w:tcPr>
          <w:p w:rsidR="008871D5" w:rsidRPr="003253E7" w:rsidRDefault="00F76501" w:rsidP="004D66F8">
            <w:pPr>
              <w:pStyle w:val="TableText"/>
              <w:keepLines/>
              <w:ind w:left="57"/>
              <w:jc w:val="center"/>
              <w:rPr>
                <w:lang w:eastAsia="ja-JP"/>
              </w:rPr>
            </w:pPr>
            <w:r w:rsidRPr="003253E7">
              <w:rPr>
                <w:lang w:eastAsia="ja-JP"/>
              </w:rPr>
              <w:t>NR</w:t>
            </w:r>
          </w:p>
        </w:tc>
      </w:tr>
      <w:tr w:rsidR="008871D5" w:rsidRPr="003253E7" w:rsidTr="00294866">
        <w:trPr>
          <w:cantSplit/>
        </w:trPr>
        <w:tc>
          <w:tcPr>
            <w:tcW w:w="942" w:type="pct"/>
            <w:tcBorders>
              <w:top w:val="single" w:sz="2" w:space="0" w:color="auto"/>
              <w:left w:val="single" w:sz="6" w:space="0" w:color="auto"/>
              <w:bottom w:val="single" w:sz="2" w:space="0" w:color="auto"/>
              <w:right w:val="single" w:sz="2" w:space="0" w:color="auto"/>
            </w:tcBorders>
            <w:tcMar>
              <w:top w:w="0" w:type="dxa"/>
              <w:left w:w="108" w:type="dxa"/>
              <w:bottom w:w="0" w:type="dxa"/>
              <w:right w:w="108" w:type="dxa"/>
            </w:tcMar>
            <w:vAlign w:val="center"/>
          </w:tcPr>
          <w:p w:rsidR="008871D5" w:rsidRPr="003253E7" w:rsidRDefault="008871D5" w:rsidP="004D66F8">
            <w:pPr>
              <w:pStyle w:val="TableText"/>
              <w:keepLines/>
              <w:rPr>
                <w:lang w:eastAsia="en-US"/>
              </w:rPr>
            </w:pPr>
            <w:r w:rsidRPr="003253E7">
              <w:rPr>
                <w:lang w:eastAsia="en-US"/>
              </w:rPr>
              <w:t>No response</w:t>
            </w:r>
          </w:p>
        </w:tc>
        <w:tc>
          <w:tcPr>
            <w:tcW w:w="1352" w:type="pct"/>
            <w:tcBorders>
              <w:top w:val="single" w:sz="2" w:space="0" w:color="auto"/>
              <w:left w:val="single" w:sz="2" w:space="0" w:color="auto"/>
              <w:bottom w:val="single" w:sz="2" w:space="0" w:color="auto"/>
              <w:right w:val="single" w:sz="4" w:space="0" w:color="auto"/>
            </w:tcBorders>
            <w:vAlign w:val="center"/>
          </w:tcPr>
          <w:p w:rsidR="008871D5" w:rsidRPr="003253E7" w:rsidRDefault="008871D5" w:rsidP="004D66F8">
            <w:pPr>
              <w:pStyle w:val="TableText"/>
              <w:keepLines/>
              <w:ind w:left="57"/>
              <w:jc w:val="center"/>
              <w:rPr>
                <w:position w:val="2"/>
                <w:lang w:eastAsia="en-US"/>
              </w:rPr>
            </w:pPr>
            <w:r w:rsidRPr="003253E7">
              <w:rPr>
                <w:position w:val="2"/>
                <w:lang w:eastAsia="en-US"/>
              </w:rPr>
              <w:t>66 (26.7)</w:t>
            </w:r>
          </w:p>
        </w:tc>
        <w:tc>
          <w:tcPr>
            <w:tcW w:w="1352" w:type="pct"/>
            <w:tcBorders>
              <w:top w:val="single" w:sz="2" w:space="0" w:color="auto"/>
              <w:left w:val="single" w:sz="4" w:space="0" w:color="auto"/>
              <w:bottom w:val="single" w:sz="2" w:space="0" w:color="auto"/>
              <w:right w:val="single" w:sz="2" w:space="0" w:color="auto"/>
            </w:tcBorders>
            <w:vAlign w:val="center"/>
          </w:tcPr>
          <w:p w:rsidR="008871D5" w:rsidRPr="003253E7" w:rsidRDefault="008871D5" w:rsidP="004D66F8">
            <w:pPr>
              <w:pStyle w:val="TableText"/>
              <w:keepLines/>
              <w:ind w:left="57"/>
              <w:jc w:val="center"/>
              <w:rPr>
                <w:position w:val="2"/>
                <w:lang w:eastAsia="en-US"/>
              </w:rPr>
            </w:pPr>
            <w:r w:rsidRPr="003253E7">
              <w:rPr>
                <w:position w:val="2"/>
                <w:lang w:eastAsia="en-US"/>
              </w:rPr>
              <w:t>43 (34.7)</w:t>
            </w:r>
          </w:p>
        </w:tc>
        <w:tc>
          <w:tcPr>
            <w:tcW w:w="1353" w:type="pct"/>
            <w:tcBorders>
              <w:top w:val="single" w:sz="2" w:space="0" w:color="auto"/>
              <w:left w:val="single" w:sz="4" w:space="0" w:color="auto"/>
              <w:bottom w:val="single" w:sz="2" w:space="0" w:color="auto"/>
              <w:right w:val="single" w:sz="6" w:space="0" w:color="auto"/>
            </w:tcBorders>
            <w:vAlign w:val="center"/>
          </w:tcPr>
          <w:p w:rsidR="008871D5" w:rsidRPr="003253E7" w:rsidRDefault="008871D5" w:rsidP="004D66F8">
            <w:pPr>
              <w:pStyle w:val="TableText"/>
              <w:keepLines/>
              <w:ind w:left="57"/>
              <w:jc w:val="center"/>
              <w:rPr>
                <w:lang w:eastAsia="ja-JP"/>
              </w:rPr>
            </w:pPr>
            <w:r w:rsidRPr="003253E7">
              <w:rPr>
                <w:lang w:eastAsia="ja-JP"/>
              </w:rPr>
              <w:t>NR</w:t>
            </w:r>
          </w:p>
        </w:tc>
      </w:tr>
      <w:tr w:rsidR="008871D5" w:rsidRPr="003253E7" w:rsidTr="00294866">
        <w:trPr>
          <w:cantSplit/>
        </w:trPr>
        <w:tc>
          <w:tcPr>
            <w:tcW w:w="942" w:type="pct"/>
            <w:tcBorders>
              <w:top w:val="single" w:sz="2" w:space="0" w:color="auto"/>
              <w:left w:val="single" w:sz="6" w:space="0" w:color="auto"/>
              <w:bottom w:val="single" w:sz="2" w:space="0" w:color="auto"/>
              <w:right w:val="single" w:sz="2" w:space="0" w:color="auto"/>
            </w:tcBorders>
            <w:tcMar>
              <w:top w:w="0" w:type="dxa"/>
              <w:left w:w="108" w:type="dxa"/>
              <w:bottom w:w="0" w:type="dxa"/>
              <w:right w:w="108" w:type="dxa"/>
            </w:tcMar>
            <w:vAlign w:val="center"/>
          </w:tcPr>
          <w:p w:rsidR="008871D5" w:rsidRPr="003253E7" w:rsidRDefault="008871D5" w:rsidP="004D66F8">
            <w:pPr>
              <w:pStyle w:val="TableText"/>
              <w:keepLines/>
              <w:rPr>
                <w:lang w:eastAsia="en-US"/>
              </w:rPr>
            </w:pPr>
            <w:r w:rsidRPr="003253E7">
              <w:rPr>
                <w:lang w:eastAsia="en-US"/>
              </w:rPr>
              <w:t>Not evaluable</w:t>
            </w:r>
          </w:p>
        </w:tc>
        <w:tc>
          <w:tcPr>
            <w:tcW w:w="1352" w:type="pct"/>
            <w:tcBorders>
              <w:top w:val="single" w:sz="2" w:space="0" w:color="auto"/>
              <w:left w:val="single" w:sz="2" w:space="0" w:color="auto"/>
              <w:bottom w:val="single" w:sz="2" w:space="0" w:color="auto"/>
              <w:right w:val="single" w:sz="4" w:space="0" w:color="auto"/>
            </w:tcBorders>
            <w:vAlign w:val="center"/>
          </w:tcPr>
          <w:p w:rsidR="008871D5" w:rsidRPr="003253E7" w:rsidRDefault="008871D5" w:rsidP="004D66F8">
            <w:pPr>
              <w:pStyle w:val="TableText"/>
              <w:keepLines/>
              <w:ind w:left="57"/>
              <w:jc w:val="center"/>
              <w:rPr>
                <w:position w:val="2"/>
                <w:lang w:eastAsia="en-US"/>
              </w:rPr>
            </w:pPr>
            <w:r w:rsidRPr="003253E7">
              <w:rPr>
                <w:position w:val="2"/>
                <w:lang w:eastAsia="en-US"/>
              </w:rPr>
              <w:t>14 (5.7)</w:t>
            </w:r>
          </w:p>
        </w:tc>
        <w:tc>
          <w:tcPr>
            <w:tcW w:w="1352" w:type="pct"/>
            <w:tcBorders>
              <w:top w:val="single" w:sz="2" w:space="0" w:color="auto"/>
              <w:left w:val="single" w:sz="4" w:space="0" w:color="auto"/>
              <w:bottom w:val="single" w:sz="2" w:space="0" w:color="auto"/>
              <w:right w:val="single" w:sz="2" w:space="0" w:color="auto"/>
            </w:tcBorders>
            <w:vAlign w:val="center"/>
          </w:tcPr>
          <w:p w:rsidR="008871D5" w:rsidRPr="003253E7" w:rsidRDefault="008871D5" w:rsidP="004D66F8">
            <w:pPr>
              <w:pStyle w:val="TableText"/>
              <w:keepLines/>
              <w:ind w:left="57"/>
              <w:jc w:val="center"/>
              <w:rPr>
                <w:position w:val="2"/>
                <w:lang w:eastAsia="en-US"/>
              </w:rPr>
            </w:pPr>
            <w:r w:rsidRPr="003253E7">
              <w:rPr>
                <w:position w:val="2"/>
                <w:lang w:eastAsia="en-US"/>
              </w:rPr>
              <w:t>49 (39.5)</w:t>
            </w:r>
          </w:p>
        </w:tc>
        <w:tc>
          <w:tcPr>
            <w:tcW w:w="1353" w:type="pct"/>
            <w:tcBorders>
              <w:top w:val="single" w:sz="2" w:space="0" w:color="auto"/>
              <w:left w:val="single" w:sz="4" w:space="0" w:color="auto"/>
              <w:bottom w:val="single" w:sz="2" w:space="0" w:color="auto"/>
              <w:right w:val="single" w:sz="6" w:space="0" w:color="auto"/>
            </w:tcBorders>
            <w:vAlign w:val="center"/>
          </w:tcPr>
          <w:p w:rsidR="008871D5" w:rsidRPr="003253E7" w:rsidRDefault="008871D5" w:rsidP="004D66F8">
            <w:pPr>
              <w:pStyle w:val="TableText"/>
              <w:keepLines/>
              <w:ind w:left="57"/>
              <w:jc w:val="center"/>
              <w:rPr>
                <w:lang w:eastAsia="ja-JP"/>
              </w:rPr>
            </w:pPr>
            <w:r w:rsidRPr="003253E7">
              <w:rPr>
                <w:lang w:eastAsia="ja-JP"/>
              </w:rPr>
              <w:t>NR</w:t>
            </w:r>
          </w:p>
        </w:tc>
      </w:tr>
      <w:tr w:rsidR="008871D5" w:rsidRPr="003253E7" w:rsidTr="00775005">
        <w:trPr>
          <w:cantSplit/>
        </w:trPr>
        <w:tc>
          <w:tcPr>
            <w:tcW w:w="5000" w:type="pct"/>
            <w:gridSpan w:val="4"/>
            <w:tcBorders>
              <w:top w:val="single" w:sz="2" w:space="0" w:color="auto"/>
              <w:left w:val="single" w:sz="6" w:space="0" w:color="auto"/>
              <w:bottom w:val="single" w:sz="2" w:space="0" w:color="auto"/>
            </w:tcBorders>
            <w:tcMar>
              <w:top w:w="0" w:type="dxa"/>
              <w:left w:w="108" w:type="dxa"/>
              <w:bottom w:w="0" w:type="dxa"/>
              <w:right w:w="108" w:type="dxa"/>
            </w:tcMar>
            <w:vAlign w:val="center"/>
          </w:tcPr>
          <w:p w:rsidR="008871D5" w:rsidRPr="003253E7" w:rsidRDefault="008871D5" w:rsidP="004D66F8">
            <w:pPr>
              <w:pStyle w:val="TableText"/>
              <w:keepLines/>
              <w:rPr>
                <w:b/>
                <w:lang w:eastAsia="en-US"/>
              </w:rPr>
            </w:pPr>
            <w:r w:rsidRPr="003253E7">
              <w:rPr>
                <w:b/>
                <w:lang w:eastAsia="en-US"/>
              </w:rPr>
              <w:t xml:space="preserve">Treatment response prior to HSCT (patients achieving CR or CRh prior to HSCT at any </w:t>
            </w:r>
            <w:r w:rsidR="00805386" w:rsidRPr="003253E7">
              <w:rPr>
                <w:b/>
                <w:lang w:eastAsia="en-US"/>
              </w:rPr>
              <w:t>post-baseline</w:t>
            </w:r>
            <w:r w:rsidRPr="003253E7">
              <w:rPr>
                <w:b/>
                <w:lang w:eastAsia="en-US"/>
              </w:rPr>
              <w:t xml:space="preserve"> visit)</w:t>
            </w:r>
          </w:p>
        </w:tc>
      </w:tr>
      <w:tr w:rsidR="008871D5" w:rsidRPr="003253E7" w:rsidTr="00294866">
        <w:trPr>
          <w:cantSplit/>
        </w:trPr>
        <w:tc>
          <w:tcPr>
            <w:tcW w:w="942" w:type="pct"/>
            <w:tcBorders>
              <w:top w:val="single" w:sz="2" w:space="0" w:color="auto"/>
              <w:left w:val="single" w:sz="6" w:space="0" w:color="auto"/>
              <w:bottom w:val="single" w:sz="2" w:space="0" w:color="auto"/>
              <w:right w:val="single" w:sz="2" w:space="0" w:color="auto"/>
            </w:tcBorders>
            <w:tcMar>
              <w:top w:w="0" w:type="dxa"/>
              <w:left w:w="108" w:type="dxa"/>
              <w:bottom w:w="0" w:type="dxa"/>
              <w:right w:w="108" w:type="dxa"/>
            </w:tcMar>
            <w:vAlign w:val="center"/>
            <w:hideMark/>
          </w:tcPr>
          <w:p w:rsidR="008871D5" w:rsidRPr="003253E7" w:rsidRDefault="008931C4" w:rsidP="004D66F8">
            <w:pPr>
              <w:pStyle w:val="TableText"/>
              <w:keepLines/>
              <w:rPr>
                <w:lang w:eastAsia="en-US"/>
              </w:rPr>
            </w:pPr>
            <w:r>
              <w:rPr>
                <w:lang w:eastAsia="en-US"/>
              </w:rPr>
              <w:t>CR</w:t>
            </w:r>
          </w:p>
        </w:tc>
        <w:tc>
          <w:tcPr>
            <w:tcW w:w="1352" w:type="pct"/>
            <w:tcBorders>
              <w:top w:val="single" w:sz="2" w:space="0" w:color="auto"/>
              <w:left w:val="single" w:sz="2" w:space="0" w:color="auto"/>
              <w:bottom w:val="single" w:sz="2" w:space="0" w:color="auto"/>
              <w:right w:val="single" w:sz="4" w:space="0" w:color="auto"/>
            </w:tcBorders>
            <w:vAlign w:val="center"/>
            <w:hideMark/>
          </w:tcPr>
          <w:p w:rsidR="008871D5" w:rsidRPr="003253E7" w:rsidRDefault="008871D5" w:rsidP="004D66F8">
            <w:pPr>
              <w:pStyle w:val="TableText"/>
              <w:keepLines/>
              <w:ind w:left="57"/>
              <w:jc w:val="center"/>
              <w:rPr>
                <w:lang w:eastAsia="en-US"/>
              </w:rPr>
            </w:pPr>
            <w:r w:rsidRPr="003253E7">
              <w:rPr>
                <w:lang w:eastAsia="en-US"/>
              </w:rPr>
              <w:t>34 (13.8)</w:t>
            </w:r>
          </w:p>
        </w:tc>
        <w:tc>
          <w:tcPr>
            <w:tcW w:w="1353" w:type="pct"/>
            <w:tcBorders>
              <w:top w:val="single" w:sz="2" w:space="0" w:color="auto"/>
              <w:left w:val="single" w:sz="4" w:space="0" w:color="auto"/>
              <w:bottom w:val="single" w:sz="2" w:space="0" w:color="auto"/>
              <w:right w:val="single" w:sz="2" w:space="0" w:color="auto"/>
            </w:tcBorders>
            <w:vAlign w:val="center"/>
            <w:hideMark/>
          </w:tcPr>
          <w:p w:rsidR="008871D5" w:rsidRPr="003253E7" w:rsidRDefault="008871D5" w:rsidP="004D66F8">
            <w:pPr>
              <w:pStyle w:val="TableText"/>
              <w:keepLines/>
              <w:ind w:left="57"/>
              <w:jc w:val="center"/>
              <w:rPr>
                <w:lang w:eastAsia="en-US"/>
              </w:rPr>
            </w:pPr>
            <w:r w:rsidRPr="003253E7">
              <w:rPr>
                <w:lang w:eastAsia="en-US"/>
              </w:rPr>
              <w:t>13 (10.5)</w:t>
            </w:r>
          </w:p>
        </w:tc>
        <w:tc>
          <w:tcPr>
            <w:tcW w:w="1353" w:type="pct"/>
            <w:tcBorders>
              <w:top w:val="single" w:sz="2" w:space="0" w:color="auto"/>
              <w:left w:val="single" w:sz="4" w:space="0" w:color="auto"/>
              <w:bottom w:val="single" w:sz="2" w:space="0" w:color="auto"/>
              <w:right w:val="single" w:sz="6" w:space="0" w:color="auto"/>
            </w:tcBorders>
            <w:vAlign w:val="center"/>
            <w:hideMark/>
          </w:tcPr>
          <w:p w:rsidR="008871D5" w:rsidRPr="003253E7" w:rsidRDefault="008871D5" w:rsidP="004D66F8">
            <w:pPr>
              <w:pStyle w:val="TableText"/>
              <w:keepLines/>
              <w:ind w:left="57"/>
              <w:jc w:val="center"/>
              <w:rPr>
                <w:lang w:eastAsia="en-US"/>
              </w:rPr>
            </w:pPr>
            <w:r w:rsidRPr="003253E7">
              <w:rPr>
                <w:lang w:eastAsia="en-US"/>
              </w:rPr>
              <w:t>3.3 (-4.0. 10.5)</w:t>
            </w:r>
          </w:p>
        </w:tc>
      </w:tr>
      <w:tr w:rsidR="008871D5" w:rsidRPr="003253E7" w:rsidTr="00294866">
        <w:trPr>
          <w:cantSplit/>
        </w:trPr>
        <w:tc>
          <w:tcPr>
            <w:tcW w:w="942" w:type="pct"/>
            <w:tcBorders>
              <w:top w:val="single" w:sz="2" w:space="0" w:color="auto"/>
              <w:left w:val="single" w:sz="6" w:space="0" w:color="auto"/>
              <w:bottom w:val="single" w:sz="4" w:space="0" w:color="auto"/>
              <w:right w:val="single" w:sz="2" w:space="0" w:color="auto"/>
            </w:tcBorders>
            <w:tcMar>
              <w:top w:w="0" w:type="dxa"/>
              <w:left w:w="108" w:type="dxa"/>
              <w:bottom w:w="0" w:type="dxa"/>
              <w:right w:w="108" w:type="dxa"/>
            </w:tcMar>
            <w:vAlign w:val="center"/>
            <w:hideMark/>
          </w:tcPr>
          <w:p w:rsidR="008871D5" w:rsidRPr="003253E7" w:rsidRDefault="008931C4" w:rsidP="004D66F8">
            <w:pPr>
              <w:pStyle w:val="TableText"/>
              <w:keepLines/>
              <w:rPr>
                <w:lang w:eastAsia="en-US"/>
              </w:rPr>
            </w:pPr>
            <w:r>
              <w:rPr>
                <w:lang w:eastAsia="en-US"/>
              </w:rPr>
              <w:t>CR/CRh</w:t>
            </w:r>
          </w:p>
        </w:tc>
        <w:tc>
          <w:tcPr>
            <w:tcW w:w="1352" w:type="pct"/>
            <w:tcBorders>
              <w:top w:val="single" w:sz="2" w:space="0" w:color="auto"/>
              <w:left w:val="single" w:sz="2" w:space="0" w:color="auto"/>
              <w:bottom w:val="single" w:sz="4" w:space="0" w:color="auto"/>
              <w:right w:val="single" w:sz="4" w:space="0" w:color="auto"/>
            </w:tcBorders>
            <w:vAlign w:val="center"/>
          </w:tcPr>
          <w:p w:rsidR="008871D5" w:rsidRPr="003253E7" w:rsidRDefault="008871D5" w:rsidP="004D66F8">
            <w:pPr>
              <w:pStyle w:val="TableText"/>
              <w:keepLines/>
              <w:ind w:left="57"/>
              <w:jc w:val="center"/>
              <w:rPr>
                <w:position w:val="2"/>
                <w:lang w:eastAsia="en-US"/>
              </w:rPr>
            </w:pPr>
            <w:r w:rsidRPr="003253E7">
              <w:rPr>
                <w:position w:val="2"/>
                <w:lang w:eastAsia="en-US"/>
              </w:rPr>
              <w:t>65 (26.3)</w:t>
            </w:r>
          </w:p>
        </w:tc>
        <w:tc>
          <w:tcPr>
            <w:tcW w:w="1353" w:type="pct"/>
            <w:tcBorders>
              <w:top w:val="single" w:sz="2" w:space="0" w:color="auto"/>
              <w:left w:val="single" w:sz="4" w:space="0" w:color="auto"/>
              <w:bottom w:val="single" w:sz="4" w:space="0" w:color="auto"/>
              <w:right w:val="single" w:sz="2" w:space="0" w:color="auto"/>
            </w:tcBorders>
            <w:vAlign w:val="center"/>
          </w:tcPr>
          <w:p w:rsidR="008871D5" w:rsidRPr="003253E7" w:rsidRDefault="008871D5" w:rsidP="004D66F8">
            <w:pPr>
              <w:pStyle w:val="TableText"/>
              <w:keepLines/>
              <w:ind w:left="57"/>
              <w:jc w:val="center"/>
              <w:rPr>
                <w:lang w:eastAsia="en-US"/>
              </w:rPr>
            </w:pPr>
            <w:r w:rsidRPr="003253E7">
              <w:rPr>
                <w:position w:val="2"/>
                <w:lang w:eastAsia="en-US"/>
              </w:rPr>
              <w:t>19 (15.3</w:t>
            </w:r>
            <w:r w:rsidR="002B3598">
              <w:rPr>
                <w:position w:val="2"/>
                <w:lang w:eastAsia="en-US"/>
              </w:rPr>
              <w:t>)</w:t>
            </w:r>
          </w:p>
        </w:tc>
        <w:tc>
          <w:tcPr>
            <w:tcW w:w="1353" w:type="pct"/>
            <w:tcBorders>
              <w:top w:val="single" w:sz="2" w:space="0" w:color="auto"/>
              <w:left w:val="single" w:sz="4" w:space="0" w:color="auto"/>
              <w:bottom w:val="single" w:sz="2" w:space="0" w:color="auto"/>
              <w:right w:val="single" w:sz="6" w:space="0" w:color="auto"/>
            </w:tcBorders>
            <w:vAlign w:val="center"/>
            <w:hideMark/>
          </w:tcPr>
          <w:p w:rsidR="008871D5" w:rsidRPr="003253E7" w:rsidRDefault="008871D5" w:rsidP="004D66F8">
            <w:pPr>
              <w:pStyle w:val="TableText"/>
              <w:keepLines/>
              <w:ind w:left="57"/>
              <w:jc w:val="center"/>
              <w:rPr>
                <w:lang w:eastAsia="en-US"/>
              </w:rPr>
            </w:pPr>
            <w:r w:rsidRPr="003253E7">
              <w:rPr>
                <w:lang w:eastAsia="ja-JP"/>
              </w:rPr>
              <w:t>10.9 (2.4, 19.5)</w:t>
            </w:r>
          </w:p>
        </w:tc>
      </w:tr>
    </w:tbl>
    <w:p w:rsidR="008871D5" w:rsidRPr="003253E7" w:rsidRDefault="008871D5" w:rsidP="004D66F8">
      <w:pPr>
        <w:keepNext/>
        <w:keepLines/>
        <w:widowControl w:val="0"/>
        <w:rPr>
          <w:rFonts w:ascii="Arial Narrow" w:hAnsi="Arial Narrow"/>
          <w:snapToGrid w:val="0"/>
          <w:sz w:val="18"/>
          <w:szCs w:val="22"/>
          <w:lang w:eastAsia="en-US"/>
        </w:rPr>
      </w:pPr>
      <w:r w:rsidRPr="003253E7">
        <w:rPr>
          <w:rFonts w:ascii="Arial Narrow" w:hAnsi="Arial Narrow"/>
          <w:snapToGrid w:val="0"/>
          <w:sz w:val="18"/>
          <w:szCs w:val="22"/>
          <w:lang w:eastAsia="en-US"/>
        </w:rPr>
        <w:t>Source: Table 24, p72 of the submission</w:t>
      </w:r>
      <w:r w:rsidR="00F76501" w:rsidRPr="003253E7">
        <w:rPr>
          <w:rFonts w:ascii="Arial Narrow" w:hAnsi="Arial Narrow"/>
          <w:snapToGrid w:val="0"/>
          <w:sz w:val="18"/>
          <w:szCs w:val="22"/>
          <w:lang w:eastAsia="en-US"/>
        </w:rPr>
        <w:t>, ADMIRAL CSR</w:t>
      </w:r>
    </w:p>
    <w:p w:rsidR="008871D5" w:rsidRPr="003253E7" w:rsidRDefault="008871D5" w:rsidP="004D66F8">
      <w:pPr>
        <w:keepNext/>
        <w:keepLines/>
        <w:widowControl w:val="0"/>
        <w:rPr>
          <w:rFonts w:ascii="Arial Narrow" w:hAnsi="Arial Narrow"/>
          <w:snapToGrid w:val="0"/>
          <w:sz w:val="18"/>
          <w:szCs w:val="22"/>
          <w:lang w:eastAsia="en-US"/>
        </w:rPr>
      </w:pPr>
      <w:r w:rsidRPr="003253E7">
        <w:rPr>
          <w:rFonts w:ascii="Arial Narrow" w:hAnsi="Arial Narrow"/>
          <w:snapToGrid w:val="0"/>
          <w:sz w:val="18"/>
          <w:szCs w:val="22"/>
          <w:lang w:eastAsia="en-US"/>
        </w:rPr>
        <w:t>CI, confidence intervals; CR, complete remission;</w:t>
      </w:r>
      <w:r w:rsidR="00294866">
        <w:rPr>
          <w:rFonts w:ascii="Arial Narrow" w:hAnsi="Arial Narrow"/>
          <w:snapToGrid w:val="0"/>
          <w:sz w:val="18"/>
          <w:szCs w:val="22"/>
          <w:lang w:eastAsia="en-US"/>
        </w:rPr>
        <w:t xml:space="preserve"> CRc, composite complete remission;</w:t>
      </w:r>
      <w:r w:rsidRPr="003253E7">
        <w:rPr>
          <w:rFonts w:ascii="Arial Narrow" w:hAnsi="Arial Narrow"/>
          <w:snapToGrid w:val="0"/>
          <w:sz w:val="18"/>
          <w:szCs w:val="22"/>
          <w:lang w:eastAsia="en-US"/>
        </w:rPr>
        <w:t xml:space="preserve"> CRh, complete remission with partial haematological recovery; HSCT, haematopoietic stem cell transplant; NR, not reported</w:t>
      </w:r>
    </w:p>
    <w:p w:rsidR="008871D5" w:rsidRPr="003253E7" w:rsidRDefault="008871D5" w:rsidP="004D66F8">
      <w:pPr>
        <w:keepNext/>
        <w:keepLines/>
        <w:widowControl w:val="0"/>
        <w:rPr>
          <w:rFonts w:ascii="Arial Narrow" w:hAnsi="Arial Narrow"/>
          <w:snapToGrid w:val="0"/>
          <w:sz w:val="18"/>
          <w:szCs w:val="22"/>
          <w:lang w:eastAsia="en-US"/>
        </w:rPr>
      </w:pPr>
      <w:r w:rsidRPr="003253E7">
        <w:rPr>
          <w:rFonts w:ascii="Arial Narrow" w:hAnsi="Arial Narrow"/>
          <w:snapToGrid w:val="0"/>
          <w:sz w:val="18"/>
          <w:szCs w:val="22"/>
          <w:vertAlign w:val="superscript"/>
          <w:lang w:eastAsia="en-US"/>
        </w:rPr>
        <w:t>a</w:t>
      </w:r>
      <w:r w:rsidRPr="003253E7">
        <w:rPr>
          <w:rFonts w:ascii="Arial Narrow" w:hAnsi="Arial Narrow"/>
          <w:snapToGrid w:val="0"/>
          <w:sz w:val="18"/>
          <w:szCs w:val="22"/>
          <w:lang w:eastAsia="en-US"/>
        </w:rPr>
        <w:t xml:space="preserve"> Based on stratified Cochran-Mantel-Haenszel test.  Stratification factors were response to first-line AML therapy and preselected salvage chemotherapy. Treatment differences were adjusted based on pooled strata (including relapse/refractory to first line therapy, HSCT/no HSCT, high/low intensity chemotherapy).  </w:t>
      </w:r>
    </w:p>
    <w:p w:rsidR="008871D5" w:rsidRPr="003253E7" w:rsidRDefault="008871D5" w:rsidP="004D66F8">
      <w:pPr>
        <w:keepNext/>
        <w:keepLines/>
        <w:widowControl w:val="0"/>
        <w:rPr>
          <w:rFonts w:ascii="Arial Narrow" w:hAnsi="Arial Narrow"/>
          <w:snapToGrid w:val="0"/>
          <w:sz w:val="18"/>
          <w:szCs w:val="22"/>
          <w:lang w:eastAsia="en-US"/>
        </w:rPr>
      </w:pPr>
      <w:r w:rsidRPr="003253E7">
        <w:rPr>
          <w:rFonts w:ascii="Arial Narrow" w:hAnsi="Arial Narrow"/>
          <w:snapToGrid w:val="0"/>
          <w:sz w:val="18"/>
          <w:szCs w:val="22"/>
          <w:vertAlign w:val="superscript"/>
          <w:lang w:eastAsia="en-US"/>
        </w:rPr>
        <w:t>b</w:t>
      </w:r>
      <w:r w:rsidRPr="003253E7">
        <w:rPr>
          <w:rFonts w:ascii="Arial Narrow" w:hAnsi="Arial Narrow"/>
          <w:snapToGrid w:val="0"/>
          <w:sz w:val="18"/>
          <w:szCs w:val="22"/>
          <w:lang w:eastAsia="en-US"/>
        </w:rPr>
        <w:t xml:space="preserve"> CRc defined as the combination of complete remission, complete remission with incomplete haematologic recovery and complete remission with incomplete platelet recovery</w:t>
      </w:r>
      <w:r w:rsidR="000A0FBF">
        <w:rPr>
          <w:rFonts w:ascii="Arial Narrow" w:hAnsi="Arial Narrow"/>
          <w:snapToGrid w:val="0"/>
          <w:sz w:val="18"/>
          <w:szCs w:val="22"/>
          <w:lang w:eastAsia="en-US"/>
        </w:rPr>
        <w:t>.</w:t>
      </w:r>
    </w:p>
    <w:p w:rsidR="008871D5" w:rsidRPr="003253E7" w:rsidRDefault="008871D5" w:rsidP="004D66F8">
      <w:pPr>
        <w:keepNext/>
        <w:keepLines/>
        <w:widowControl w:val="0"/>
        <w:rPr>
          <w:rFonts w:ascii="Arial Narrow" w:hAnsi="Arial Narrow"/>
          <w:snapToGrid w:val="0"/>
          <w:sz w:val="18"/>
          <w:szCs w:val="22"/>
          <w:lang w:eastAsia="en-US"/>
        </w:rPr>
      </w:pPr>
      <w:r w:rsidRPr="003253E7">
        <w:rPr>
          <w:rFonts w:ascii="Arial Narrow" w:hAnsi="Arial Narrow"/>
          <w:snapToGrid w:val="0"/>
          <w:sz w:val="18"/>
          <w:szCs w:val="22"/>
          <w:vertAlign w:val="superscript"/>
          <w:lang w:eastAsia="en-US"/>
        </w:rPr>
        <w:t>c</w:t>
      </w:r>
      <w:r w:rsidRPr="003253E7">
        <w:rPr>
          <w:rFonts w:ascii="Arial Narrow" w:hAnsi="Arial Narrow"/>
          <w:snapToGrid w:val="0"/>
          <w:sz w:val="18"/>
          <w:szCs w:val="22"/>
          <w:lang w:eastAsia="en-US"/>
        </w:rPr>
        <w:t xml:space="preserve"> Stratified analysis was not conducted, results from unstratified analysis shown. Treatment difference = gilteritinib - chemotherapy. 95% CI were asymptotic confidence limits using the normal approximation to the binomial distribution. P value based on 2-sided Fisher's exact test</w:t>
      </w:r>
      <w:r w:rsidR="000A0FBF">
        <w:rPr>
          <w:rFonts w:ascii="Arial Narrow" w:hAnsi="Arial Narrow"/>
          <w:snapToGrid w:val="0"/>
          <w:sz w:val="18"/>
          <w:szCs w:val="22"/>
          <w:lang w:eastAsia="en-US"/>
        </w:rPr>
        <w:t>.</w:t>
      </w:r>
    </w:p>
    <w:p w:rsidR="008871D5" w:rsidRPr="003253E7" w:rsidRDefault="008871D5" w:rsidP="008871D5">
      <w:pPr>
        <w:widowControl w:val="0"/>
        <w:rPr>
          <w:rFonts w:ascii="Arial Narrow" w:hAnsi="Arial Narrow"/>
          <w:snapToGrid w:val="0"/>
          <w:sz w:val="18"/>
          <w:szCs w:val="22"/>
          <w:lang w:eastAsia="en-US"/>
        </w:rPr>
      </w:pPr>
    </w:p>
    <w:p w:rsidR="00CA1150" w:rsidRPr="005743F7" w:rsidRDefault="00F76501" w:rsidP="00CA1150">
      <w:pPr>
        <w:pStyle w:val="ExecSumBodyText"/>
        <w:rPr>
          <w:color w:val="0066FF"/>
        </w:rPr>
      </w:pPr>
      <w:r w:rsidRPr="003253E7">
        <w:t xml:space="preserve">In the ITT population, rates of complete remission with or without partial haematological recovery and composite complete remission were numerically higher in the gilteritinib arm than the salvage chemotherapy arm. Fewer patients in the gilteritinib arm achieved complete remission prior to HSCT, but rates remained numerically higher than in the salvage chemotherapy arm. </w:t>
      </w:r>
      <w:r w:rsidRPr="005743F7">
        <w:t xml:space="preserve">Results of these comparisons were nominal rather than confirmatory as a prior analysis of EFS was not statistically significant in the pre-planned hierarchical testing procedure. Furthermore, </w:t>
      </w:r>
      <w:r w:rsidR="008120D0" w:rsidRPr="00C00A16">
        <w:t xml:space="preserve">the ESC noted </w:t>
      </w:r>
      <w:r w:rsidRPr="00C00A16">
        <w:t xml:space="preserve">the majority of salvage chemotherapy patients (74.2%) had either no response during treatment, or no evaluable post-baseline assessment of response, </w:t>
      </w:r>
      <w:r w:rsidR="008120D0" w:rsidRPr="00C00A16">
        <w:t>and considered this</w:t>
      </w:r>
      <w:r w:rsidR="008120D0">
        <w:rPr>
          <w:i/>
        </w:rPr>
        <w:t xml:space="preserve"> </w:t>
      </w:r>
      <w:r w:rsidRPr="005743F7">
        <w:t>limit</w:t>
      </w:r>
      <w:r w:rsidR="008120D0">
        <w:t>ed</w:t>
      </w:r>
      <w:r w:rsidRPr="005743F7">
        <w:t xml:space="preserve"> the usefulness of the comparison.</w:t>
      </w:r>
      <w:r w:rsidR="00CA1150" w:rsidRPr="005743F7">
        <w:rPr>
          <w:snapToGrid/>
          <w:color w:val="0066FF"/>
        </w:rPr>
        <w:t xml:space="preserve"> </w:t>
      </w:r>
    </w:p>
    <w:p w:rsidR="008E5996" w:rsidRPr="005743F7" w:rsidRDefault="008E5996" w:rsidP="005277F8">
      <w:pPr>
        <w:pStyle w:val="ExecSumBodyText"/>
        <w:rPr>
          <w:snapToGrid/>
        </w:rPr>
      </w:pPr>
      <w:r w:rsidRPr="003253E7">
        <w:rPr>
          <w:snapToGrid/>
        </w:rPr>
        <w:t xml:space="preserve">In the gilteritinib arm, </w:t>
      </w:r>
      <w:r w:rsidRPr="005743F7">
        <w:rPr>
          <w:snapToGrid/>
        </w:rPr>
        <w:t>median duration of complete remission (CR) was 14.8</w:t>
      </w:r>
      <w:r w:rsidR="009D493A">
        <w:rPr>
          <w:snapToGrid/>
        </w:rPr>
        <w:t> </w:t>
      </w:r>
      <w:r w:rsidRPr="005743F7">
        <w:rPr>
          <w:snapToGrid/>
        </w:rPr>
        <w:t xml:space="preserve">months (95% CI 11.0, </w:t>
      </w:r>
      <w:r w:rsidR="000541D2" w:rsidRPr="005743F7">
        <w:rPr>
          <w:snapToGrid/>
        </w:rPr>
        <w:t>not estimable</w:t>
      </w:r>
      <w:r w:rsidRPr="005743F7">
        <w:rPr>
          <w:snapToGrid/>
        </w:rPr>
        <w:t xml:space="preserve">) and median duration of CR with or without partial haematologic recovery was 11 months (95% CI </w:t>
      </w:r>
      <w:r w:rsidR="00F76501" w:rsidRPr="005743F7">
        <w:rPr>
          <w:snapToGrid/>
        </w:rPr>
        <w:t>4.6</w:t>
      </w:r>
      <w:r w:rsidRPr="005743F7">
        <w:rPr>
          <w:snapToGrid/>
        </w:rPr>
        <w:t xml:space="preserve">, </w:t>
      </w:r>
      <w:r w:rsidR="00F76501" w:rsidRPr="005743F7">
        <w:rPr>
          <w:snapToGrid/>
        </w:rPr>
        <w:t>not estimable</w:t>
      </w:r>
      <w:r w:rsidRPr="005743F7">
        <w:rPr>
          <w:snapToGrid/>
        </w:rPr>
        <w:t>). Duration of remission could not be reliably estimated in the salvage chemotherapy arm, given the limited follow-up of response to treatment and high censoring rate.</w:t>
      </w:r>
      <w:r w:rsidR="00EF2AB8">
        <w:rPr>
          <w:snapToGrid/>
        </w:rPr>
        <w:t xml:space="preserve"> </w:t>
      </w:r>
    </w:p>
    <w:p w:rsidR="0023584E" w:rsidRPr="005743F7" w:rsidRDefault="0023584E" w:rsidP="0023584E">
      <w:pPr>
        <w:pStyle w:val="ExecSumBodyText"/>
      </w:pPr>
      <w:r w:rsidRPr="005743F7">
        <w:t xml:space="preserve">The submission presented a </w:t>
      </w:r>
      <w:r w:rsidRPr="0040595A">
        <w:rPr>
          <w:i/>
        </w:rPr>
        <w:t>post hoc</w:t>
      </w:r>
      <w:r w:rsidRPr="005743F7">
        <w:t xml:space="preserve"> analysis of duration of remission in long-term survivors in the gilteritinib arm of the ADMIRAL trial (September 2019 data cut). A total </w:t>
      </w:r>
      <w:r w:rsidRPr="005628E4">
        <w:t>of 63/247 (25.5%) patients treated with gilteritinib were alive for at least 18 months and were considered long-term survivors, of whom 47.6%</w:t>
      </w:r>
      <w:r w:rsidR="0082796F" w:rsidRPr="00975066">
        <w:t xml:space="preserve"> (n=30)</w:t>
      </w:r>
      <w:r w:rsidRPr="00975066">
        <w:t xml:space="preserve"> achieved complete remission</w:t>
      </w:r>
      <w:r w:rsidR="005628E4" w:rsidRPr="00975066">
        <w:t xml:space="preserve"> with or without partial haematological recovery</w:t>
      </w:r>
      <w:r w:rsidRPr="00975066">
        <w:t xml:space="preserve"> </w:t>
      </w:r>
      <w:r w:rsidRPr="005628E4">
        <w:t>(CR</w:t>
      </w:r>
      <w:r w:rsidR="005628E4" w:rsidRPr="005628E4">
        <w:t>/CRh</w:t>
      </w:r>
      <w:r w:rsidRPr="005628E4">
        <w:t>) and 71.4%</w:t>
      </w:r>
      <w:r w:rsidR="0082796F" w:rsidRPr="005628E4">
        <w:t xml:space="preserve"> (n=45)</w:t>
      </w:r>
      <w:r w:rsidRPr="007E54A1">
        <w:t xml:space="preserve"> achieved </w:t>
      </w:r>
      <w:r w:rsidR="005628E4" w:rsidRPr="007E54A1">
        <w:t xml:space="preserve">composite </w:t>
      </w:r>
      <w:r w:rsidRPr="0022556D">
        <w:t xml:space="preserve">complete remission </w:t>
      </w:r>
      <w:r w:rsidRPr="00975066">
        <w:t>(</w:t>
      </w:r>
      <w:r w:rsidRPr="005628E4">
        <w:t>CR</w:t>
      </w:r>
      <w:r w:rsidR="005628E4" w:rsidRPr="005628E4">
        <w:t>c</w:t>
      </w:r>
      <w:r w:rsidRPr="005628E4">
        <w:t>).</w:t>
      </w:r>
      <w:r w:rsidRPr="005743F7">
        <w:t xml:space="preserve"> Based on the Kaplan-Meier plot for duration of remission</w:t>
      </w:r>
      <w:r w:rsidR="00D84F41">
        <w:t>,</w:t>
      </w:r>
      <w:r w:rsidRPr="005743F7">
        <w:t xml:space="preserve"> approximately 60-65% of long-term survivors who had achieved remission </w:t>
      </w:r>
      <w:r w:rsidRPr="007E54A1">
        <w:t>(CR or CR/CRh)</w:t>
      </w:r>
      <w:r w:rsidRPr="005743F7">
        <w:t xml:space="preserve"> remained in remission at 18 months. The submission stated the median durations of </w:t>
      </w:r>
      <w:r w:rsidRPr="007E54A1">
        <w:t>CR or CR/CRh</w:t>
      </w:r>
      <w:r w:rsidRPr="005743F7">
        <w:t xml:space="preserve"> in long-term survivors had not been reached and the data indicated a plateau in survival risk. This claim could not be verified due to poor documentation in the submission. The available data were presented in a poster format only with limited reporting regarding the method of analysis and duration of follow-up. </w:t>
      </w:r>
      <w:r w:rsidRPr="005743F7">
        <w:rPr>
          <w:iCs/>
        </w:rPr>
        <w:t>During the evaluation, the estimated proportion of long-term survivors remaining in remission at 18 months was calculated as 30% in CR and 46% in CR/CRh. These estimates were consistent with an analysis of subsequent therapies in long-term survivors provided in the Perl 2020 poster, with 50% of patients receiving treatments due to relapse and/or treatment failure following gilteritinib treatment. The data suggested the majority of long-term survivors were likely to have some form of active disease (e.g. relapsed or treatment failure).</w:t>
      </w:r>
    </w:p>
    <w:p w:rsidR="0023584E" w:rsidRPr="00D84F41" w:rsidRDefault="0023584E" w:rsidP="0023584E">
      <w:pPr>
        <w:pStyle w:val="ExecSumBodyText"/>
      </w:pPr>
      <w:r w:rsidRPr="005743F7">
        <w:t xml:space="preserve">A </w:t>
      </w:r>
      <w:r w:rsidRPr="0040595A">
        <w:rPr>
          <w:i/>
        </w:rPr>
        <w:t>post hoc</w:t>
      </w:r>
      <w:r w:rsidRPr="005743F7">
        <w:t xml:space="preserve"> analysis of treatment response in the ADMIRAL trial was also provided at the September 2020 data cut (Perl 2021 poster). At the time of this analysis, 49 patients in the gilteritinib arm and 14 patients in the salvage chemotherapy arm remained alive for at least 2 years after randomisation. Of the 49 patients who were alive in the gilteritinib arm, 26 patients were relapse-free. No relapse outcomes were available for the salvage chemotherapy arm. The data were consistent with analyses based on the September 2019 data cut, suggesting that approximately half of long-term survivors had experienced disease relapse. The median duration of CR for gilteritinib-treated patients at the September 2020 data cut was 23.0 months (interquartile range: 4.9, not evaluable), and the median duration of CRc was 4.6 months (interquartile range: 1.9, 24.0). The 2-year cumulative relapse rates in patients who achieved CR or CRc were 52.6% and 75.7%, respectively. The analysis suggested that most relapses after CRc occurred within 12 months and few events occurred after 18 months. </w:t>
      </w:r>
      <w:r w:rsidR="007E54A1" w:rsidRPr="005743F7">
        <w:rPr>
          <w:iCs/>
        </w:rPr>
        <w:t>The</w:t>
      </w:r>
      <w:r w:rsidR="007E54A1">
        <w:rPr>
          <w:iCs/>
        </w:rPr>
        <w:t xml:space="preserve"> evaluation advised that</w:t>
      </w:r>
      <w:r w:rsidR="007E54A1" w:rsidRPr="005743F7">
        <w:rPr>
          <w:iCs/>
        </w:rPr>
        <w:t xml:space="preserve"> </w:t>
      </w:r>
      <w:r w:rsidRPr="005743F7">
        <w:rPr>
          <w:iCs/>
        </w:rPr>
        <w:t xml:space="preserve">results of this </w:t>
      </w:r>
      <w:r w:rsidRPr="00AD5EC6">
        <w:rPr>
          <w:i/>
        </w:rPr>
        <w:t>post hoc</w:t>
      </w:r>
      <w:r w:rsidRPr="005743F7">
        <w:rPr>
          <w:iCs/>
        </w:rPr>
        <w:t xml:space="preserve"> analysis should be interpreted with caution as data beyond 18 months were informed by a relatively small number of patients.</w:t>
      </w:r>
    </w:p>
    <w:p w:rsidR="000B4966" w:rsidRPr="00C00A16" w:rsidRDefault="000B4966" w:rsidP="000B0BAA">
      <w:pPr>
        <w:pStyle w:val="ExecSumBodyText"/>
      </w:pPr>
      <w:r w:rsidRPr="00C00A16">
        <w:t xml:space="preserve">The ESC noted that a </w:t>
      </w:r>
      <w:r w:rsidRPr="00AD5EC6">
        <w:rPr>
          <w:i/>
          <w:iCs/>
        </w:rPr>
        <w:t>post hoc</w:t>
      </w:r>
      <w:r w:rsidRPr="00C00A16">
        <w:t xml:space="preserve"> analysis of response rates was reported for the 55% (136/247) </w:t>
      </w:r>
      <w:r w:rsidR="00E74B70" w:rsidRPr="00C00A16">
        <w:t xml:space="preserve">of patients </w:t>
      </w:r>
      <w:r w:rsidRPr="00C00A16">
        <w:t>who either had their gilteritinib dose increased to 200 mg (n=78) or decreased to 80 mg (n=58). The ESC noted that response rates were l</w:t>
      </w:r>
      <w:r w:rsidR="00F64097" w:rsidRPr="00C00A16">
        <w:t>ower in patients whose</w:t>
      </w:r>
      <w:r w:rsidRPr="00C00A16">
        <w:t xml:space="preserve"> gilteritinib dose </w:t>
      </w:r>
      <w:r w:rsidR="00F64097" w:rsidRPr="00C00A16">
        <w:t>was increased to 200 mg</w:t>
      </w:r>
      <w:r w:rsidRPr="00C00A16">
        <w:t xml:space="preserve"> (CR 7 (9.0%), CR/CRh 12 (15.4%)</w:t>
      </w:r>
      <w:r w:rsidR="00F64097" w:rsidRPr="00C00A16">
        <w:t>,</w:t>
      </w:r>
      <w:r w:rsidRPr="00C00A16">
        <w:t xml:space="preserve"> CRc 25 (32.1%)) compared to</w:t>
      </w:r>
      <w:r w:rsidR="00F64097" w:rsidRPr="00C00A16">
        <w:t xml:space="preserve"> those reported for</w:t>
      </w:r>
      <w:r w:rsidRPr="00C00A16">
        <w:t xml:space="preserve"> </w:t>
      </w:r>
      <w:r w:rsidR="00F64097" w:rsidRPr="00C00A16">
        <w:t xml:space="preserve">gilteritinib ITT population in </w:t>
      </w:r>
      <w:r w:rsidR="00AD5EC6">
        <w:t xml:space="preserve">Table </w:t>
      </w:r>
      <w:r w:rsidR="00AD5EC6">
        <w:rPr>
          <w:noProof/>
        </w:rPr>
        <w:t>5</w:t>
      </w:r>
      <w:r w:rsidR="00F64097" w:rsidRPr="00C00A16">
        <w:t>,</w:t>
      </w:r>
      <w:r w:rsidR="00486663" w:rsidRPr="00C00A16">
        <w:t xml:space="preserve"> potentially reflecting that the dose was increased in</w:t>
      </w:r>
      <w:r w:rsidR="00F64097" w:rsidRPr="00C00A16">
        <w:t xml:space="preserve"> patients </w:t>
      </w:r>
      <w:r w:rsidR="00486663" w:rsidRPr="00C00A16">
        <w:t>not</w:t>
      </w:r>
      <w:r w:rsidR="00F64097" w:rsidRPr="00C00A16">
        <w:t xml:space="preserve"> respond</w:t>
      </w:r>
      <w:r w:rsidR="00486663" w:rsidRPr="00C00A16">
        <w:t>ing</w:t>
      </w:r>
      <w:r w:rsidR="00F64097" w:rsidRPr="00C00A16">
        <w:t xml:space="preserve"> to treatment. The ESC also noted that a dose reduction to 80 mg did not appear to adversely affect response rates (CR 14 (24.1%), CR/CRh 24 (41.4%), CRc 32 (55.2%)). </w:t>
      </w:r>
    </w:p>
    <w:p w:rsidR="00CA1150" w:rsidRPr="003253E7" w:rsidRDefault="00CA1150" w:rsidP="001B740C">
      <w:pPr>
        <w:pStyle w:val="4-SubsectSubhead"/>
        <w:tabs>
          <w:tab w:val="left" w:pos="2993"/>
        </w:tabs>
      </w:pPr>
      <w:r w:rsidRPr="003253E7">
        <w:t>Quality of life</w:t>
      </w:r>
      <w:r w:rsidR="00AD5EC6">
        <w:tab/>
      </w:r>
    </w:p>
    <w:p w:rsidR="008D74E2" w:rsidRPr="003253E7" w:rsidRDefault="00CA1150" w:rsidP="008D74E2">
      <w:pPr>
        <w:pStyle w:val="ExecSumBodyText"/>
      </w:pPr>
      <w:r w:rsidRPr="003253E7">
        <w:t>Patient-reported outcomes</w:t>
      </w:r>
      <w:r w:rsidR="00BE00D0" w:rsidRPr="003253E7">
        <w:t xml:space="preserve"> were measure</w:t>
      </w:r>
      <w:r w:rsidR="008E5996" w:rsidRPr="003253E7">
        <w:t>d</w:t>
      </w:r>
      <w:r w:rsidR="00BE00D0" w:rsidRPr="003253E7">
        <w:t xml:space="preserve"> using the</w:t>
      </w:r>
      <w:r w:rsidRPr="003253E7">
        <w:t xml:space="preserve"> Brief Fatigue Inventory</w:t>
      </w:r>
      <w:r w:rsidR="008E5996" w:rsidRPr="003253E7">
        <w:t xml:space="preserve"> and the EQ-5D-5L. Results indicated </w:t>
      </w:r>
      <w:r w:rsidR="008D74E2" w:rsidRPr="003253E7">
        <w:t xml:space="preserve">little change from baseline on both measures in </w:t>
      </w:r>
      <w:r w:rsidR="00AE36FF" w:rsidRPr="003253E7">
        <w:t>each</w:t>
      </w:r>
      <w:r w:rsidR="008D74E2" w:rsidRPr="003253E7">
        <w:t xml:space="preserve"> treatment group during the first cycle of treatment. There were very limited data for salvage chemotherapy patients by the second cycle of treatment, and the comparative impact of treatment on long-term quality of life is unknown.</w:t>
      </w:r>
    </w:p>
    <w:p w:rsidR="00CA1150" w:rsidRPr="003253E7" w:rsidRDefault="008D74E2" w:rsidP="00AF4281">
      <w:pPr>
        <w:pStyle w:val="4-SubsectSubhead"/>
      </w:pPr>
      <w:r w:rsidRPr="003253E7">
        <w:t>Post-HSCT survival and gilteritinib maintenance therapy</w:t>
      </w:r>
    </w:p>
    <w:p w:rsidR="00F24646" w:rsidRPr="003253E7" w:rsidRDefault="00F24646" w:rsidP="00CA1150">
      <w:pPr>
        <w:pStyle w:val="ExecSumBodyText"/>
        <w:rPr>
          <w:color w:val="0066FF"/>
        </w:rPr>
      </w:pPr>
      <w:r w:rsidRPr="003253E7">
        <w:t xml:space="preserve">A </w:t>
      </w:r>
      <w:r w:rsidRPr="0056121D">
        <w:rPr>
          <w:i/>
          <w:iCs/>
        </w:rPr>
        <w:t>post hoc</w:t>
      </w:r>
      <w:r w:rsidRPr="003253E7">
        <w:t xml:space="preserve"> analysis of </w:t>
      </w:r>
      <w:r w:rsidR="00E2169A">
        <w:t>OS</w:t>
      </w:r>
      <w:r w:rsidRPr="003253E7">
        <w:t xml:space="preserve"> was presented for patients who underwent HSCT during the trial, using updated data from the September 2019 </w:t>
      </w:r>
      <w:r w:rsidR="00FE7362" w:rsidRPr="003253E7">
        <w:t>data cut</w:t>
      </w:r>
      <w:r w:rsidRPr="003253E7">
        <w:t xml:space="preserve"> (see </w:t>
      </w:r>
      <w:r w:rsidR="007B41E3" w:rsidRPr="003253E7">
        <w:t>f</w:t>
      </w:r>
      <w:r w:rsidRPr="003253E7">
        <w:t>igure below). There were 63 gilteritinib treated patients (25.5%) and 19 salvage chemotherapy patients (15.3%) who underwent HSCT.</w:t>
      </w:r>
    </w:p>
    <w:p w:rsidR="00F24646" w:rsidRPr="003253E7" w:rsidRDefault="00FD4C43" w:rsidP="0056121D">
      <w:pPr>
        <w:pStyle w:val="Tableheadingrow"/>
      </w:pPr>
      <w:r>
        <w:t xml:space="preserve">Figure </w:t>
      </w:r>
      <w:r w:rsidR="00C90F41">
        <w:rPr>
          <w:noProof/>
        </w:rPr>
        <w:t>3</w:t>
      </w:r>
      <w:r w:rsidR="00F24646" w:rsidRPr="003253E7">
        <w:t xml:space="preserve">: </w:t>
      </w:r>
      <w:r w:rsidR="00F24646" w:rsidRPr="0056121D">
        <w:rPr>
          <w:i/>
          <w:iCs/>
        </w:rPr>
        <w:t>Post hoc</w:t>
      </w:r>
      <w:r w:rsidR="00F24646" w:rsidRPr="003253E7">
        <w:t xml:space="preserve"> analysis of survival after HSCT (ITT population, September 2019 </w:t>
      </w:r>
      <w:r w:rsidR="00FE7362" w:rsidRPr="003253E7">
        <w:t>data cut</w:t>
      </w:r>
      <w:r w:rsidR="00F24646" w:rsidRPr="003253E7">
        <w:t>)</w:t>
      </w:r>
    </w:p>
    <w:p w:rsidR="00F24646" w:rsidRPr="003253E7" w:rsidRDefault="00F24646" w:rsidP="00F24646">
      <w:r w:rsidRPr="003253E7">
        <w:rPr>
          <w:noProof/>
        </w:rPr>
        <w:drawing>
          <wp:inline distT="0" distB="0" distL="0" distR="0" wp14:anchorId="0CB95E7E" wp14:editId="3E6ACBF5">
            <wp:extent cx="5667375" cy="3925790"/>
            <wp:effectExtent l="19050" t="19050" r="9525" b="17780"/>
            <wp:docPr id="14" name="Picture 14"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685143" cy="3938098"/>
                    </a:xfrm>
                    <a:prstGeom prst="rect">
                      <a:avLst/>
                    </a:prstGeom>
                    <a:ln>
                      <a:solidFill>
                        <a:schemeClr val="accent1"/>
                      </a:solidFill>
                    </a:ln>
                  </pic:spPr>
                </pic:pic>
              </a:graphicData>
            </a:graphic>
          </wp:inline>
        </w:drawing>
      </w:r>
    </w:p>
    <w:p w:rsidR="00F24646" w:rsidRPr="003253E7" w:rsidRDefault="00F24646" w:rsidP="00F24646">
      <w:pPr>
        <w:widowControl w:val="0"/>
        <w:rPr>
          <w:rFonts w:ascii="Arial Narrow" w:hAnsi="Arial Narrow"/>
          <w:snapToGrid w:val="0"/>
          <w:sz w:val="18"/>
          <w:szCs w:val="22"/>
          <w:lang w:eastAsia="en-US"/>
        </w:rPr>
      </w:pPr>
      <w:r w:rsidRPr="003253E7">
        <w:rPr>
          <w:rFonts w:ascii="Arial Narrow" w:hAnsi="Arial Narrow"/>
          <w:snapToGrid w:val="0"/>
          <w:sz w:val="18"/>
          <w:szCs w:val="22"/>
          <w:lang w:eastAsia="en-US"/>
        </w:rPr>
        <w:t>Source: Figure 11, p98 of the submission</w:t>
      </w:r>
    </w:p>
    <w:p w:rsidR="00F24646" w:rsidRPr="003253E7" w:rsidRDefault="00F24646" w:rsidP="00F24646">
      <w:pPr>
        <w:widowControl w:val="0"/>
        <w:rPr>
          <w:rFonts w:ascii="Arial Narrow" w:hAnsi="Arial Narrow"/>
          <w:snapToGrid w:val="0"/>
          <w:sz w:val="18"/>
          <w:szCs w:val="22"/>
          <w:lang w:eastAsia="en-US"/>
        </w:rPr>
      </w:pPr>
      <w:r w:rsidRPr="003253E7">
        <w:rPr>
          <w:rFonts w:ascii="Arial Narrow" w:hAnsi="Arial Narrow"/>
          <w:snapToGrid w:val="0"/>
          <w:sz w:val="18"/>
          <w:szCs w:val="22"/>
          <w:lang w:eastAsia="en-US"/>
        </w:rPr>
        <w:t>ASP2215, gilteritinib; HSCT, haematopoietic stem cell transplant; ITT, intent-to-treat</w:t>
      </w:r>
    </w:p>
    <w:p w:rsidR="00F24646" w:rsidRPr="003253E7" w:rsidRDefault="00F24646" w:rsidP="00F24646">
      <w:pPr>
        <w:widowControl w:val="0"/>
        <w:rPr>
          <w:rFonts w:ascii="Arial Narrow" w:hAnsi="Arial Narrow"/>
          <w:snapToGrid w:val="0"/>
          <w:sz w:val="18"/>
          <w:szCs w:val="22"/>
          <w:lang w:eastAsia="en-US"/>
        </w:rPr>
      </w:pPr>
    </w:p>
    <w:p w:rsidR="00F24646" w:rsidRPr="005743F7" w:rsidRDefault="00F24646" w:rsidP="00F24646">
      <w:pPr>
        <w:pStyle w:val="ExecSumBodyText"/>
      </w:pPr>
      <w:r w:rsidRPr="003253E7">
        <w:t>Median OS was longer in post-HSCT patients receiving gilteritinib (610 days) compared to those receiving salvage chemotherapy (482 days, HR 1.1</w:t>
      </w:r>
      <w:r w:rsidR="004B7064">
        <w:t>1</w:t>
      </w:r>
      <w:r w:rsidRPr="003253E7">
        <w:t>, 95% CI 0.5</w:t>
      </w:r>
      <w:r w:rsidR="004B7064">
        <w:t>4</w:t>
      </w:r>
      <w:r w:rsidRPr="003253E7">
        <w:t>, 2.</w:t>
      </w:r>
      <w:r w:rsidR="004B7064">
        <w:t>30</w:t>
      </w:r>
      <w:r w:rsidRPr="003253E7">
        <w:t>), but the result was not statistically significant. The submission noted the crossing Kaplan-Meier survival curves, suggesting unreliable HR and median OS estimates</w:t>
      </w:r>
      <w:r w:rsidRPr="005743F7">
        <w:t xml:space="preserve">. The analysis could not be adequately assessed as the source was not provided with the submission. A further analysis of post-HSCT survival was conducted using updated data from the September 2020 </w:t>
      </w:r>
      <w:r w:rsidR="00FE7362" w:rsidRPr="005743F7">
        <w:t>data cut</w:t>
      </w:r>
      <w:r w:rsidRPr="005743F7">
        <w:t xml:space="preserve"> reported in the Perl 2021 abstract. Median post-HSCT </w:t>
      </w:r>
      <w:r w:rsidR="00465469" w:rsidRPr="005743F7">
        <w:t>OS</w:t>
      </w:r>
      <w:r w:rsidRPr="005743F7">
        <w:t xml:space="preserve"> landmarked to HSCT date was similar across arms (gilteritinib, 16.1 months; salvage chemotherapy, 15.3 months; HR 1.0</w:t>
      </w:r>
      <w:r w:rsidR="004B7064" w:rsidRPr="005743F7">
        <w:t>8</w:t>
      </w:r>
      <w:r w:rsidRPr="005743F7">
        <w:t>; 95% CI: 0.5</w:t>
      </w:r>
      <w:r w:rsidR="004B7064" w:rsidRPr="005743F7">
        <w:t>4</w:t>
      </w:r>
      <w:r w:rsidRPr="005743F7">
        <w:t xml:space="preserve">, 2.16). </w:t>
      </w:r>
      <w:r w:rsidRPr="005743F7">
        <w:rPr>
          <w:iCs/>
        </w:rPr>
        <w:t xml:space="preserve">There was no corresponding Kaplan-Meier plot in the abstract. The results were difficult to interpret due to limited reporting. </w:t>
      </w:r>
      <w:bookmarkStart w:id="29" w:name="_Hlk89268306"/>
      <w:r w:rsidRPr="005743F7">
        <w:t xml:space="preserve">The submission claimed there was a trend in favour of gilteritinib compared to salvage chemotherapy in terms of </w:t>
      </w:r>
      <w:r w:rsidR="00465469" w:rsidRPr="005743F7">
        <w:t>OS</w:t>
      </w:r>
      <w:r w:rsidRPr="005743F7">
        <w:t xml:space="preserve"> following HSCT. </w:t>
      </w:r>
      <w:bookmarkEnd w:id="29"/>
      <w:r w:rsidRPr="00C00A16">
        <w:rPr>
          <w:iCs/>
        </w:rPr>
        <w:t xml:space="preserve">The </w:t>
      </w:r>
      <w:r w:rsidR="003F02FE" w:rsidRPr="00C00A16">
        <w:rPr>
          <w:iCs/>
        </w:rPr>
        <w:t xml:space="preserve">ESC considered the </w:t>
      </w:r>
      <w:r w:rsidRPr="00C00A16">
        <w:rPr>
          <w:iCs/>
        </w:rPr>
        <w:t>data were inconclusive, with the updated analysis using the most recent</w:t>
      </w:r>
      <w:r w:rsidRPr="005743F7">
        <w:rPr>
          <w:iCs/>
        </w:rPr>
        <w:t xml:space="preserve"> cut-off (September 2020) indicating no difference in median </w:t>
      </w:r>
      <w:r w:rsidR="00465469" w:rsidRPr="005743F7">
        <w:rPr>
          <w:iCs/>
        </w:rPr>
        <w:t>OS</w:t>
      </w:r>
      <w:r w:rsidRPr="005743F7">
        <w:rPr>
          <w:iCs/>
        </w:rPr>
        <w:t xml:space="preserve"> between arms.</w:t>
      </w:r>
    </w:p>
    <w:p w:rsidR="00F24646" w:rsidRPr="003253E7" w:rsidRDefault="00F24646" w:rsidP="00F24646">
      <w:pPr>
        <w:pStyle w:val="ExecSumBodyText"/>
        <w:rPr>
          <w:color w:val="0066FF"/>
        </w:rPr>
      </w:pPr>
      <w:r w:rsidRPr="003253E7">
        <w:t xml:space="preserve">The figure below presents a </w:t>
      </w:r>
      <w:r w:rsidRPr="0056121D">
        <w:rPr>
          <w:i/>
          <w:iCs/>
        </w:rPr>
        <w:t>post hoc</w:t>
      </w:r>
      <w:r w:rsidRPr="003253E7">
        <w:t xml:space="preserve"> analysis of </w:t>
      </w:r>
      <w:r w:rsidR="00465469">
        <w:t>OS</w:t>
      </w:r>
      <w:r w:rsidRPr="003253E7">
        <w:t xml:space="preserve"> in patients in the gilteritinib arm who restarted gilteritinib after HSCT, compared with those who did not restart, based on the September 2019 data cut of the ADMIRAL trial. Of the 63 patients in the gilteritinib arm who proceeded to HSCT, 40 (63.5%) re-started gilteritinib while 23 (36.5%) did not.</w:t>
      </w:r>
    </w:p>
    <w:p w:rsidR="00F24646" w:rsidRPr="003253E7" w:rsidRDefault="00FD4C43" w:rsidP="0056121D">
      <w:pPr>
        <w:pStyle w:val="Tableheadingrow"/>
      </w:pPr>
      <w:r>
        <w:t xml:space="preserve">Figure </w:t>
      </w:r>
      <w:r w:rsidR="00C90F41">
        <w:rPr>
          <w:noProof/>
        </w:rPr>
        <w:t>4</w:t>
      </w:r>
      <w:r w:rsidR="00F24646" w:rsidRPr="003253E7">
        <w:t>: Post-HSCT overall survival in gilteritinib restarters versus non-restarters in the ADMIRAL trial (September 2019 data cut)</w:t>
      </w:r>
    </w:p>
    <w:p w:rsidR="00F24646" w:rsidRPr="003253E7" w:rsidRDefault="00F24646" w:rsidP="00F24646">
      <w:r w:rsidRPr="003253E7">
        <w:rPr>
          <w:noProof/>
        </w:rPr>
        <w:drawing>
          <wp:inline distT="0" distB="0" distL="0" distR="0" wp14:anchorId="75792796" wp14:editId="43F0900A">
            <wp:extent cx="5755005" cy="3822700"/>
            <wp:effectExtent l="0" t="0" r="0" b="6350"/>
            <wp:docPr id="15" name="Picture 15" title="Figure 4: Post-HSCT overall survival in gilteritinib restarters versus non-restarters in the ADMIRAL trial (September 2019 data cu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55005" cy="3822700"/>
                    </a:xfrm>
                    <a:prstGeom prst="rect">
                      <a:avLst/>
                    </a:prstGeom>
                    <a:noFill/>
                  </pic:spPr>
                </pic:pic>
              </a:graphicData>
            </a:graphic>
          </wp:inline>
        </w:drawing>
      </w:r>
    </w:p>
    <w:p w:rsidR="00F24646" w:rsidRPr="003253E7" w:rsidRDefault="00F24646" w:rsidP="00F24646">
      <w:pPr>
        <w:widowControl w:val="0"/>
        <w:rPr>
          <w:rFonts w:ascii="Arial Narrow" w:hAnsi="Arial Narrow"/>
          <w:snapToGrid w:val="0"/>
          <w:sz w:val="18"/>
          <w:szCs w:val="22"/>
          <w:lang w:eastAsia="en-US"/>
        </w:rPr>
      </w:pPr>
      <w:r w:rsidRPr="003253E7">
        <w:rPr>
          <w:rFonts w:ascii="Arial Narrow" w:hAnsi="Arial Narrow"/>
          <w:snapToGrid w:val="0"/>
          <w:sz w:val="18"/>
          <w:szCs w:val="22"/>
          <w:lang w:eastAsia="en-US"/>
        </w:rPr>
        <w:t xml:space="preserve">Source: Figure 12, p99 of the submission </w:t>
      </w:r>
    </w:p>
    <w:p w:rsidR="00F24646" w:rsidRPr="003253E7" w:rsidRDefault="00F24646" w:rsidP="00F24646">
      <w:pPr>
        <w:widowControl w:val="0"/>
        <w:rPr>
          <w:rFonts w:ascii="Arial Narrow" w:hAnsi="Arial Narrow"/>
          <w:snapToGrid w:val="0"/>
          <w:sz w:val="18"/>
          <w:szCs w:val="22"/>
          <w:lang w:eastAsia="en-US"/>
        </w:rPr>
      </w:pPr>
    </w:p>
    <w:p w:rsidR="004879CF" w:rsidRDefault="0039132C" w:rsidP="004879CF">
      <w:pPr>
        <w:pStyle w:val="ExecSumBodyText"/>
      </w:pPr>
      <w:bookmarkStart w:id="30" w:name="_Ref89088921"/>
      <w:r w:rsidRPr="003253E7">
        <w:t xml:space="preserve">The hazard ratio for </w:t>
      </w:r>
      <w:r w:rsidR="00E2169A">
        <w:t>OS</w:t>
      </w:r>
      <w:r w:rsidRPr="003253E7">
        <w:t xml:space="preserve"> in restarters versus non-restarters was 0.46 (95%</w:t>
      </w:r>
      <w:r w:rsidR="00AD5EC6">
        <w:t xml:space="preserve"> </w:t>
      </w:r>
      <w:r w:rsidRPr="003253E7">
        <w:t xml:space="preserve">CI 0.24, 0.88). The submission claimed that this supported improved survival benefit with gilteritinib maintenance therapy </w:t>
      </w:r>
      <w:r w:rsidRPr="005743F7">
        <w:t xml:space="preserve">after HSCT. The analysis could not be adequately assessed during the evaluation as the source was not provided in the submission. The submission acknowledged the analysis was limited by the relatively small patient numbers in the non-restarter group making the reliability of treatment estimates uncertain. The results were also difficult to compare with survival estimates in the salvage chemotherapy arm, which were also limited by small patient numbers. It </w:t>
      </w:r>
      <w:r w:rsidR="00465469" w:rsidRPr="005743F7">
        <w:t>was</w:t>
      </w:r>
      <w:r w:rsidRPr="005743F7">
        <w:t xml:space="preserve"> unclear whether the subgroups of gilteritinib patients who did or did not resume gilteritinib after HSCT were comparable. Only those patients who were in composite complete remission after HSCT and who did not have Grade 2 or higher acute graft versus host disease were able to recommence gilteritinib. Differences in survival between gilteritinib restarters and non-restarters may therefore be due to differences between groups in response to HSCT, rather than the effects of post-gilteritinib treatment.</w:t>
      </w:r>
      <w:bookmarkEnd w:id="30"/>
      <w:r w:rsidRPr="005743F7">
        <w:t xml:space="preserve"> </w:t>
      </w:r>
    </w:p>
    <w:p w:rsidR="008120D0" w:rsidRPr="00C00A16" w:rsidRDefault="00B47A54" w:rsidP="008C7DFF">
      <w:pPr>
        <w:pStyle w:val="ExecSumBodyText"/>
      </w:pPr>
      <w:r w:rsidRPr="00C00A16">
        <w:t>The PSCR reported on the use of FLT3 inhibitors post</w:t>
      </w:r>
      <w:r w:rsidR="00994D2E">
        <w:t xml:space="preserve"> </w:t>
      </w:r>
      <w:r w:rsidRPr="00C00A16">
        <w:t>HSCT to redu</w:t>
      </w:r>
      <w:r w:rsidR="00014A33" w:rsidRPr="00C00A16">
        <w:t xml:space="preserve">ce the risk of relapse </w:t>
      </w:r>
      <w:r w:rsidRPr="00C00A16">
        <w:t>explored in a phase 2 RCT of sorafenib (</w:t>
      </w:r>
      <w:r w:rsidR="00467586">
        <w:t xml:space="preserve">SORMAIN, </w:t>
      </w:r>
      <w:r w:rsidRPr="00C00A16">
        <w:t>Burchert et al 2020</w:t>
      </w:r>
      <w:r w:rsidR="00467586">
        <w:t>,</w:t>
      </w:r>
      <w:r w:rsidR="002C6F14" w:rsidRPr="00C00A16">
        <w:t xml:space="preserve"> n = 83</w:t>
      </w:r>
      <w:r w:rsidR="00994D2E">
        <w:t>, n = 43 treated with sorafenib</w:t>
      </w:r>
      <w:r w:rsidRPr="00C00A16">
        <w:t xml:space="preserve">) and a large retrospective </w:t>
      </w:r>
      <w:r w:rsidR="00994D2E">
        <w:t>chart review</w:t>
      </w:r>
      <w:r w:rsidR="00994D2E" w:rsidRPr="00C00A16">
        <w:t xml:space="preserve"> </w:t>
      </w:r>
      <w:r w:rsidRPr="00C00A16">
        <w:t>(Griffin et al 2021</w:t>
      </w:r>
      <w:r w:rsidR="00467586">
        <w:t>,</w:t>
      </w:r>
      <w:r w:rsidR="002C6F14" w:rsidRPr="00C00A16">
        <w:t xml:space="preserve"> n = 1,208</w:t>
      </w:r>
      <w:r w:rsidR="00555E13">
        <w:t>, where</w:t>
      </w:r>
      <w:r w:rsidR="00994D2E">
        <w:t xml:space="preserve"> 18.1% of patients (n = 219) received FLT3 inhibitors post HSCT</w:t>
      </w:r>
      <w:r w:rsidR="002C6F14" w:rsidRPr="00C00A16">
        <w:t>)</w:t>
      </w:r>
      <w:r w:rsidRPr="00C00A16">
        <w:t>.</w:t>
      </w:r>
      <w:r w:rsidR="00014A33" w:rsidRPr="00C00A16">
        <w:t xml:space="preserve"> The PSCR argued that together these studies suggest that maintenance therapy with FLT3 inhibitors post HSCT in FLT3-positive patients is clinically feasible and associated with prolonged relapse free survival. </w:t>
      </w:r>
    </w:p>
    <w:p w:rsidR="00B47A54" w:rsidRPr="00C00A16" w:rsidRDefault="008C7DFF" w:rsidP="008C7DFF">
      <w:pPr>
        <w:pStyle w:val="ExecSumBodyText"/>
      </w:pPr>
      <w:r w:rsidRPr="00C00A16">
        <w:t xml:space="preserve">The ESC </w:t>
      </w:r>
      <w:r w:rsidR="008120D0" w:rsidRPr="00C00A16">
        <w:t xml:space="preserve">agreed with the evaluation that the differences between gilteritinib restarters and non-restarters could be due to differences between the patient groups rather than due to a treatment effect with gilteritinib (see paragraph </w:t>
      </w:r>
      <w:r w:rsidR="00467586">
        <w:t>6.40</w:t>
      </w:r>
      <w:r w:rsidR="008120D0" w:rsidRPr="00C00A16">
        <w:t xml:space="preserve">). The ESC </w:t>
      </w:r>
      <w:r w:rsidRPr="00C00A16">
        <w:t xml:space="preserve">considered the benefit of post HSCT gilteritinib maintenance therapy was not supported by the evidence presented in the submission or PSCR. </w:t>
      </w:r>
      <w:r w:rsidR="00467586">
        <w:t>As mentioned above, the pre-PBAC response withdrew the request for listing in this setting.</w:t>
      </w:r>
    </w:p>
    <w:p w:rsidR="004879CF" w:rsidRPr="003253E7" w:rsidRDefault="004879CF" w:rsidP="00AF4281">
      <w:pPr>
        <w:pStyle w:val="4-SubsectSubhead"/>
      </w:pPr>
      <w:r w:rsidRPr="003253E7">
        <w:t>Survival without HSCT</w:t>
      </w:r>
    </w:p>
    <w:p w:rsidR="0039132C" w:rsidRPr="003253E7" w:rsidRDefault="0039132C" w:rsidP="00CA1150">
      <w:pPr>
        <w:pStyle w:val="ExecSumBodyText"/>
        <w:rPr>
          <w:color w:val="0066FF"/>
        </w:rPr>
      </w:pPr>
      <w:r w:rsidRPr="003253E7">
        <w:t xml:space="preserve">The following </w:t>
      </w:r>
      <w:r w:rsidR="00E2169A">
        <w:t>OS</w:t>
      </w:r>
      <w:r w:rsidRPr="003253E7">
        <w:t xml:space="preserve"> data were included in </w:t>
      </w:r>
      <w:r w:rsidR="00465469">
        <w:t xml:space="preserve">the </w:t>
      </w:r>
      <w:r w:rsidR="0056121D">
        <w:t>economic evaluation</w:t>
      </w:r>
      <w:r w:rsidR="00465469">
        <w:t xml:space="preserve"> section</w:t>
      </w:r>
      <w:r w:rsidRPr="003253E7">
        <w:t xml:space="preserve"> of the submission, derived from </w:t>
      </w:r>
      <w:r w:rsidR="00C311FC" w:rsidRPr="003253E7">
        <w:t xml:space="preserve">a </w:t>
      </w:r>
      <w:r w:rsidRPr="0056121D">
        <w:rPr>
          <w:i/>
          <w:iCs/>
        </w:rPr>
        <w:t>post hoc</w:t>
      </w:r>
      <w:r w:rsidRPr="003253E7">
        <w:t xml:space="preserve"> </w:t>
      </w:r>
      <w:r w:rsidR="00C311FC" w:rsidRPr="003253E7">
        <w:t xml:space="preserve">analysis of </w:t>
      </w:r>
      <w:r w:rsidRPr="003253E7">
        <w:t xml:space="preserve">individual patient data from the ADMIRAL trial based on the ITT population who did not receive subsequent HSCT (gilteritinib, 184 patients; salvage chemotherapy, 105 patients). </w:t>
      </w:r>
      <w:r w:rsidRPr="005743F7">
        <w:rPr>
          <w:iCs/>
        </w:rPr>
        <w:t>The data cut used in the analyses was not specified in the submission.</w:t>
      </w:r>
      <w:r w:rsidRPr="003253E7">
        <w:rPr>
          <w:i/>
          <w:iCs/>
        </w:rPr>
        <w:t xml:space="preserve"> </w:t>
      </w:r>
    </w:p>
    <w:p w:rsidR="0039132C" w:rsidRPr="003253E7" w:rsidRDefault="00FD4C43" w:rsidP="0056121D">
      <w:pPr>
        <w:pStyle w:val="Tableheadingrow"/>
      </w:pPr>
      <w:r>
        <w:t xml:space="preserve">Figure </w:t>
      </w:r>
      <w:r w:rsidR="00C90F41">
        <w:rPr>
          <w:noProof/>
        </w:rPr>
        <w:t>5</w:t>
      </w:r>
      <w:r w:rsidR="0039132C" w:rsidRPr="003253E7">
        <w:t>: Kaplan-Meier plot of overall survival in the subgroup who did not receive HSCT (data cut not reported)</w:t>
      </w:r>
    </w:p>
    <w:p w:rsidR="0039132C" w:rsidRPr="003253E7" w:rsidRDefault="0039132C" w:rsidP="0039132C">
      <w:r w:rsidRPr="003253E7">
        <w:rPr>
          <w:noProof/>
        </w:rPr>
        <w:drawing>
          <wp:inline distT="0" distB="0" distL="0" distR="0" wp14:anchorId="3957F47C" wp14:editId="7E4B0BD7">
            <wp:extent cx="5758132" cy="4286250"/>
            <wp:effectExtent l="0" t="0" r="0" b="0"/>
            <wp:docPr id="18" name="Picture 18" title="Figure 5: Kaplan-Meier plot of overall survival in the subgroup who did not receive HSCT (data cut not repo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59942" cy="4287597"/>
                    </a:xfrm>
                    <a:prstGeom prst="rect">
                      <a:avLst/>
                    </a:prstGeom>
                    <a:noFill/>
                  </pic:spPr>
                </pic:pic>
              </a:graphicData>
            </a:graphic>
          </wp:inline>
        </w:drawing>
      </w:r>
    </w:p>
    <w:p w:rsidR="0039132C" w:rsidRPr="003253E7" w:rsidRDefault="0039132C" w:rsidP="0039132C">
      <w:pPr>
        <w:widowControl w:val="0"/>
        <w:rPr>
          <w:rFonts w:ascii="Arial Narrow" w:hAnsi="Arial Narrow"/>
          <w:snapToGrid w:val="0"/>
          <w:sz w:val="18"/>
          <w:szCs w:val="22"/>
          <w:lang w:eastAsia="en-US"/>
        </w:rPr>
      </w:pPr>
      <w:r w:rsidRPr="003253E7">
        <w:rPr>
          <w:rFonts w:ascii="Arial Narrow" w:hAnsi="Arial Narrow"/>
          <w:snapToGrid w:val="0"/>
          <w:sz w:val="18"/>
          <w:szCs w:val="22"/>
          <w:lang w:eastAsia="en-US"/>
        </w:rPr>
        <w:t>Source: Figure 24, p 145 of the submission</w:t>
      </w:r>
    </w:p>
    <w:p w:rsidR="0039132C" w:rsidRPr="003253E7" w:rsidRDefault="0039132C" w:rsidP="0039132C">
      <w:pPr>
        <w:widowControl w:val="0"/>
        <w:rPr>
          <w:rFonts w:ascii="Arial Narrow" w:hAnsi="Arial Narrow"/>
          <w:snapToGrid w:val="0"/>
          <w:sz w:val="18"/>
          <w:szCs w:val="22"/>
          <w:lang w:eastAsia="en-US"/>
        </w:rPr>
      </w:pPr>
      <w:r w:rsidRPr="003253E7">
        <w:rPr>
          <w:rFonts w:ascii="Arial Narrow" w:hAnsi="Arial Narrow"/>
          <w:snapToGrid w:val="0"/>
          <w:sz w:val="18"/>
          <w:szCs w:val="22"/>
          <w:lang w:eastAsia="en-US"/>
        </w:rPr>
        <w:t>Note: ASP2215 is gilteritinib</w:t>
      </w:r>
    </w:p>
    <w:p w:rsidR="0039132C" w:rsidRPr="003253E7" w:rsidRDefault="0039132C" w:rsidP="0039132C">
      <w:pPr>
        <w:widowControl w:val="0"/>
        <w:rPr>
          <w:rFonts w:ascii="Arial Narrow" w:hAnsi="Arial Narrow"/>
          <w:snapToGrid w:val="0"/>
          <w:sz w:val="18"/>
          <w:szCs w:val="22"/>
          <w:lang w:eastAsia="en-US"/>
        </w:rPr>
      </w:pPr>
    </w:p>
    <w:p w:rsidR="00934988" w:rsidRPr="005743F7" w:rsidRDefault="0039132C" w:rsidP="0039132C">
      <w:pPr>
        <w:pStyle w:val="ExecSumBodyText"/>
      </w:pPr>
      <w:r w:rsidRPr="003253E7">
        <w:t xml:space="preserve">Based on treatment effect estimates, gilteritinib treatment was associated with improved </w:t>
      </w:r>
      <w:r w:rsidR="00E2169A">
        <w:t>OS</w:t>
      </w:r>
      <w:r w:rsidRPr="003253E7">
        <w:t xml:space="preserve"> compared to salvage chemotherapy in patients who did not receive HSCT during the trial follow-up (HR 0.662, 95% CI: 0.507, 0.863). </w:t>
      </w:r>
      <w:r w:rsidRPr="005743F7">
        <w:rPr>
          <w:iCs/>
        </w:rPr>
        <w:t xml:space="preserve">The results appeared consistent with results from the overall ITT population. However, the </w:t>
      </w:r>
      <w:r w:rsidR="00522C42">
        <w:rPr>
          <w:iCs/>
        </w:rPr>
        <w:t xml:space="preserve">evaluation advised that the </w:t>
      </w:r>
      <w:r w:rsidRPr="005743F7">
        <w:rPr>
          <w:iCs/>
        </w:rPr>
        <w:t xml:space="preserve">analysis should be interpreted with caution given the lack of details required for adequate assessment including the data cut used, duration of follow-up, number of events and censoring, median </w:t>
      </w:r>
      <w:r w:rsidR="00E2169A" w:rsidRPr="005743F7">
        <w:rPr>
          <w:iCs/>
        </w:rPr>
        <w:t>OS</w:t>
      </w:r>
      <w:r w:rsidRPr="005743F7">
        <w:rPr>
          <w:iCs/>
        </w:rPr>
        <w:t xml:space="preserve"> estimates and patient characteristics</w:t>
      </w:r>
      <w:r w:rsidRPr="00C00A16">
        <w:rPr>
          <w:iCs/>
        </w:rPr>
        <w:t>.</w:t>
      </w:r>
      <w:r w:rsidR="00CE2F35" w:rsidRPr="00C00A16">
        <w:rPr>
          <w:iCs/>
        </w:rPr>
        <w:t xml:space="preserve"> </w:t>
      </w:r>
      <w:r w:rsidR="003F02FE" w:rsidRPr="00C00A16">
        <w:rPr>
          <w:iCs/>
        </w:rPr>
        <w:t xml:space="preserve">In addition, the ESC considered </w:t>
      </w:r>
      <w:r w:rsidR="00554E2A" w:rsidRPr="00C00A16">
        <w:rPr>
          <w:iCs/>
        </w:rPr>
        <w:t>there was insufficient data to determine</w:t>
      </w:r>
      <w:r w:rsidR="003F02FE" w:rsidRPr="00C00A16">
        <w:rPr>
          <w:iCs/>
        </w:rPr>
        <w:t xml:space="preserve"> if OS plateaus from 24 months.</w:t>
      </w:r>
      <w:r w:rsidR="003F02FE">
        <w:rPr>
          <w:i/>
          <w:iCs/>
        </w:rPr>
        <w:t xml:space="preserve"> </w:t>
      </w:r>
    </w:p>
    <w:p w:rsidR="000541D2" w:rsidRPr="003253E7" w:rsidRDefault="000541D2" w:rsidP="00AF4281">
      <w:pPr>
        <w:pStyle w:val="4-SubsectSubhead"/>
      </w:pPr>
      <w:r w:rsidRPr="003253E7">
        <w:t>Long-term survival and cure</w:t>
      </w:r>
    </w:p>
    <w:p w:rsidR="00054645" w:rsidRPr="005743F7" w:rsidRDefault="00054645" w:rsidP="00054645">
      <w:pPr>
        <w:pStyle w:val="ExecSumBodyText"/>
      </w:pPr>
      <w:r w:rsidRPr="003253E7">
        <w:t>In the economic model, the submission assumed all patients remaining alive at 2 years (subdivided by No HSCT and</w:t>
      </w:r>
      <w:r w:rsidR="0082413B" w:rsidRPr="003253E7">
        <w:t xml:space="preserve"> With</w:t>
      </w:r>
      <w:r w:rsidRPr="003253E7">
        <w:t xml:space="preserve"> HSCT cohorts) were cured, irrespective of disease status or treatment status. </w:t>
      </w:r>
      <w:r w:rsidR="000541D2" w:rsidRPr="003253E7">
        <w:t>The submission claimed that gilteritinib treatment was associated with sustained remission</w:t>
      </w:r>
      <w:r w:rsidR="00195095">
        <w:t>,</w:t>
      </w:r>
      <w:r w:rsidR="000541D2" w:rsidRPr="003253E7">
        <w:t xml:space="preserve"> which was likely to translate to cure and ongoing survival benefit. </w:t>
      </w:r>
      <w:r w:rsidRPr="003253E7">
        <w:t xml:space="preserve">The submission claimed the ongoing survival benefit was driven by long-term survivors who had undergone HSCT. </w:t>
      </w:r>
      <w:r w:rsidRPr="005743F7">
        <w:t xml:space="preserve">No data were presented on long-term survivors stratified by those with and without HSCT in the ADMIRAL trial. </w:t>
      </w:r>
    </w:p>
    <w:p w:rsidR="000541D2" w:rsidRPr="00C00A16" w:rsidRDefault="008D5CE8" w:rsidP="000541D2">
      <w:pPr>
        <w:pStyle w:val="ExecSumBodyText"/>
      </w:pPr>
      <w:r w:rsidRPr="00C00A16">
        <w:rPr>
          <w:iCs/>
        </w:rPr>
        <w:t>The ESC considered that o</w:t>
      </w:r>
      <w:r w:rsidR="000541D2" w:rsidRPr="00C00A16">
        <w:rPr>
          <w:iCs/>
        </w:rPr>
        <w:t xml:space="preserve">verall, long-term survival benefits and the likely proportion achieving cure due to gilteritinib treatment were uncertain. Data based on later </w:t>
      </w:r>
      <w:r w:rsidR="00054645" w:rsidRPr="00C00A16">
        <w:rPr>
          <w:iCs/>
        </w:rPr>
        <w:t>data cuts</w:t>
      </w:r>
      <w:r w:rsidR="000541D2" w:rsidRPr="00C00A16">
        <w:rPr>
          <w:iCs/>
        </w:rPr>
        <w:t xml:space="preserve"> of the ADMIRAL trial suggest</w:t>
      </w:r>
      <w:r w:rsidR="00195095" w:rsidRPr="00C00A16">
        <w:rPr>
          <w:iCs/>
        </w:rPr>
        <w:t>ed</w:t>
      </w:r>
      <w:r w:rsidR="000541D2" w:rsidRPr="00C00A16">
        <w:rPr>
          <w:iCs/>
        </w:rPr>
        <w:t xml:space="preserve"> that not all long-term survivors achieved durable remission and at 2</w:t>
      </w:r>
      <w:r w:rsidR="00195095" w:rsidRPr="00C00A16">
        <w:rPr>
          <w:iCs/>
        </w:rPr>
        <w:t> </w:t>
      </w:r>
      <w:r w:rsidR="000541D2" w:rsidRPr="00C00A16">
        <w:rPr>
          <w:iCs/>
        </w:rPr>
        <w:t>years, a substantial proportion surviving patients had experienced an event (relapse or treatment failure).</w:t>
      </w:r>
      <w:r w:rsidR="000541D2" w:rsidRPr="00C00A16">
        <w:t xml:space="preserve"> </w:t>
      </w:r>
      <w:r w:rsidR="00EE5F8A" w:rsidRPr="00C00A16">
        <w:t>The ESC advised</w:t>
      </w:r>
      <w:r w:rsidR="00923651" w:rsidRPr="00C00A16">
        <w:t xml:space="preserve"> that pa</w:t>
      </w:r>
      <w:r w:rsidRPr="00C00A16">
        <w:t xml:space="preserve">tients with ongoing disease </w:t>
      </w:r>
      <w:r w:rsidR="00680899" w:rsidRPr="00C00A16">
        <w:t>cannot</w:t>
      </w:r>
      <w:r w:rsidR="00923651" w:rsidRPr="00C00A16">
        <w:t xml:space="preserve"> be considered cured. </w:t>
      </w:r>
    </w:p>
    <w:p w:rsidR="000541D2" w:rsidRPr="003253E7" w:rsidRDefault="000541D2" w:rsidP="000541D2">
      <w:pPr>
        <w:pStyle w:val="ExecSumBodyText"/>
      </w:pPr>
      <w:r w:rsidRPr="003253E7">
        <w:t xml:space="preserve">The submission argued that a cure assumption was reasonable in patients receiving HSCT as it is a potentially curative treatment, particularly in relapsed/refractory AML patients who have no other effective therapeutic options. The submission claimed the cure assumption was supported by </w:t>
      </w:r>
      <w:bookmarkStart w:id="31" w:name="_Hlk89259197"/>
      <w:r w:rsidRPr="0056121D">
        <w:rPr>
          <w:i/>
          <w:iCs/>
        </w:rPr>
        <w:t>post</w:t>
      </w:r>
      <w:r w:rsidR="00195095" w:rsidRPr="0056121D">
        <w:rPr>
          <w:i/>
          <w:iCs/>
        </w:rPr>
        <w:t xml:space="preserve"> </w:t>
      </w:r>
      <w:r w:rsidRPr="0056121D">
        <w:rPr>
          <w:i/>
          <w:iCs/>
        </w:rPr>
        <w:t>hoc</w:t>
      </w:r>
      <w:r w:rsidRPr="003253E7">
        <w:t xml:space="preserve"> analyses of post-HSCT </w:t>
      </w:r>
      <w:r w:rsidR="00E2169A">
        <w:t>OS</w:t>
      </w:r>
      <w:r w:rsidRPr="003253E7">
        <w:t xml:space="preserve"> in the ADMIRAL trial </w:t>
      </w:r>
      <w:bookmarkEnd w:id="31"/>
      <w:r w:rsidRPr="003253E7">
        <w:t xml:space="preserve">(see </w:t>
      </w:r>
      <w:r w:rsidR="00FB1C38" w:rsidRPr="003253E7">
        <w:t>figure below</w:t>
      </w:r>
      <w:r w:rsidRPr="003253E7">
        <w:t xml:space="preserve">). The submission </w:t>
      </w:r>
      <w:bookmarkStart w:id="32" w:name="_Hlk89318537"/>
      <w:r w:rsidRPr="003253E7">
        <w:t xml:space="preserve">used pooled data to predict </w:t>
      </w:r>
      <w:r w:rsidR="00E2169A">
        <w:t>OS</w:t>
      </w:r>
      <w:r w:rsidRPr="003253E7">
        <w:t xml:space="preserve"> after HSCT in the economic model, claiming no difference in post-HSCT survival between treatment arms</w:t>
      </w:r>
      <w:r w:rsidR="00602069">
        <w:t>.</w:t>
      </w:r>
      <w:r w:rsidR="00522C42">
        <w:t xml:space="preserve"> </w:t>
      </w:r>
      <w:bookmarkEnd w:id="32"/>
    </w:p>
    <w:p w:rsidR="000541D2" w:rsidRPr="003253E7" w:rsidRDefault="00FD4C43" w:rsidP="0056121D">
      <w:pPr>
        <w:pStyle w:val="Tableheadingrow"/>
      </w:pPr>
      <w:r>
        <w:t xml:space="preserve">Figure </w:t>
      </w:r>
      <w:r w:rsidR="00C90F41">
        <w:rPr>
          <w:noProof/>
        </w:rPr>
        <w:t>6</w:t>
      </w:r>
      <w:r w:rsidR="000541D2" w:rsidRPr="003253E7">
        <w:t>: Kaplan-Meier plot of overall survival post-HSCT, pooled across treatment arm</w:t>
      </w:r>
      <w:r w:rsidR="00970C67" w:rsidRPr="003253E7">
        <w:t>s (September 2019 data cut-off)</w:t>
      </w:r>
    </w:p>
    <w:p w:rsidR="000541D2" w:rsidRPr="003253E7" w:rsidRDefault="000541D2" w:rsidP="000541D2">
      <w:pPr>
        <w:pStyle w:val="Tableheadingrow"/>
        <w:rPr>
          <w:lang w:val="en-AU"/>
        </w:rPr>
      </w:pPr>
      <w:r w:rsidRPr="003253E7">
        <w:rPr>
          <w:noProof/>
          <w:lang w:val="en-AU"/>
        </w:rPr>
        <w:drawing>
          <wp:inline distT="0" distB="0" distL="0" distR="0" wp14:anchorId="3B5D8CEE" wp14:editId="0EF46792">
            <wp:extent cx="5755005" cy="3335020"/>
            <wp:effectExtent l="0" t="0" r="0" b="0"/>
            <wp:docPr id="20" name="Picture 20" title="Figure 6: Kaplan-Meier plot of overall survival post-HSCT, pooled across treatment arms (September 2019 data cut-o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55005" cy="3335020"/>
                    </a:xfrm>
                    <a:prstGeom prst="rect">
                      <a:avLst/>
                    </a:prstGeom>
                    <a:noFill/>
                  </pic:spPr>
                </pic:pic>
              </a:graphicData>
            </a:graphic>
          </wp:inline>
        </w:drawing>
      </w:r>
    </w:p>
    <w:p w:rsidR="000541D2" w:rsidRPr="003253E7" w:rsidRDefault="000541D2" w:rsidP="000541D2">
      <w:pPr>
        <w:widowControl w:val="0"/>
        <w:rPr>
          <w:rFonts w:ascii="Arial Narrow" w:hAnsi="Arial Narrow"/>
          <w:snapToGrid w:val="0"/>
          <w:sz w:val="18"/>
          <w:szCs w:val="22"/>
          <w:lang w:eastAsia="en-US"/>
        </w:rPr>
      </w:pPr>
      <w:r w:rsidRPr="003253E7">
        <w:rPr>
          <w:rFonts w:ascii="Arial Narrow" w:hAnsi="Arial Narrow"/>
          <w:snapToGrid w:val="0"/>
          <w:sz w:val="18"/>
          <w:szCs w:val="22"/>
          <w:lang w:eastAsia="en-US"/>
        </w:rPr>
        <w:t>Source: Figure 31, p 152 of the submission</w:t>
      </w:r>
    </w:p>
    <w:p w:rsidR="000541D2" w:rsidRPr="003253E7" w:rsidRDefault="000541D2" w:rsidP="000541D2">
      <w:pPr>
        <w:widowControl w:val="0"/>
        <w:rPr>
          <w:rFonts w:ascii="Arial Narrow" w:hAnsi="Arial Narrow"/>
          <w:snapToGrid w:val="0"/>
          <w:sz w:val="18"/>
          <w:szCs w:val="22"/>
          <w:lang w:eastAsia="en-US"/>
        </w:rPr>
      </w:pPr>
    </w:p>
    <w:p w:rsidR="00FB1C38" w:rsidRPr="005743F7" w:rsidRDefault="00FB1C38" w:rsidP="000541D2">
      <w:pPr>
        <w:pStyle w:val="ExecSumBodyText"/>
        <w:rPr>
          <w:color w:val="0066FF"/>
        </w:rPr>
      </w:pPr>
      <w:r w:rsidRPr="003253E7">
        <w:t xml:space="preserve">The submission also claimed the plateau at the tail-end of the Kaplan-Meier plot of pooled post-HSCT </w:t>
      </w:r>
      <w:r w:rsidR="00E2169A">
        <w:t>OS</w:t>
      </w:r>
      <w:r w:rsidRPr="003253E7">
        <w:t xml:space="preserve"> beginning at 22 months was representative of cure in 39.7% of patients remaining alive at that </w:t>
      </w:r>
      <w:r w:rsidR="00054645" w:rsidRPr="003253E7">
        <w:t>timepoint</w:t>
      </w:r>
      <w:r w:rsidRPr="003253E7">
        <w:t xml:space="preserve"> (see figure </w:t>
      </w:r>
      <w:r w:rsidR="0056121D">
        <w:t>above</w:t>
      </w:r>
      <w:r w:rsidRPr="003253E7">
        <w:t xml:space="preserve">, September 2019 data cut). </w:t>
      </w:r>
      <w:r w:rsidRPr="005743F7">
        <w:rPr>
          <w:iCs/>
        </w:rPr>
        <w:t xml:space="preserve">The plateau was informed by a relatively small number of patients with unknown follow-up duration. Corresponding pooled post-HSCT </w:t>
      </w:r>
      <w:r w:rsidR="00E2169A" w:rsidRPr="005743F7">
        <w:rPr>
          <w:iCs/>
        </w:rPr>
        <w:t>OS</w:t>
      </w:r>
      <w:r w:rsidRPr="005743F7">
        <w:rPr>
          <w:iCs/>
        </w:rPr>
        <w:t xml:space="preserve"> data using a more recent data cut (September 2020) were not provided in the submission.</w:t>
      </w:r>
    </w:p>
    <w:p w:rsidR="000541D2" w:rsidRPr="005743F7" w:rsidRDefault="000541D2" w:rsidP="000541D2">
      <w:pPr>
        <w:pStyle w:val="ExecSumBodyText"/>
        <w:rPr>
          <w:iCs/>
          <w:color w:val="0066FF"/>
        </w:rPr>
      </w:pPr>
      <w:r w:rsidRPr="005743F7">
        <w:rPr>
          <w:iCs/>
        </w:rPr>
        <w:t xml:space="preserve">No justification was provided in support of a cure assumption in the </w:t>
      </w:r>
      <w:r w:rsidR="00467586">
        <w:rPr>
          <w:iCs/>
        </w:rPr>
        <w:t>N</w:t>
      </w:r>
      <w:r w:rsidRPr="005743F7">
        <w:rPr>
          <w:iCs/>
        </w:rPr>
        <w:t xml:space="preserve">o HSCT cohort of the model, </w:t>
      </w:r>
      <w:r w:rsidR="002F1DF5">
        <w:rPr>
          <w:iCs/>
        </w:rPr>
        <w:t>and it</w:t>
      </w:r>
      <w:r w:rsidR="002F1DF5" w:rsidRPr="005743F7">
        <w:rPr>
          <w:iCs/>
        </w:rPr>
        <w:t xml:space="preserve"> </w:t>
      </w:r>
      <w:r w:rsidRPr="005743F7">
        <w:rPr>
          <w:iCs/>
        </w:rPr>
        <w:t xml:space="preserve">was inconsistent with the submission’s claim that there were no other effective therapeutic options apart from HSCT. The economic model assumed a difference in cure rates between treatment arms leading to survival benefit with gilteritinib treatment in patients who do not undergo HSCT. </w:t>
      </w:r>
    </w:p>
    <w:p w:rsidR="000541D2" w:rsidRPr="005743F7" w:rsidRDefault="000541D2" w:rsidP="00FB1C38">
      <w:pPr>
        <w:pStyle w:val="ExecSumBodyText"/>
        <w:rPr>
          <w:color w:val="0066FF"/>
        </w:rPr>
      </w:pPr>
      <w:r w:rsidRPr="003253E7">
        <w:t xml:space="preserve">The submission acknowledged that the analysis of </w:t>
      </w:r>
      <w:r w:rsidR="00E2169A">
        <w:t>OS</w:t>
      </w:r>
      <w:r w:rsidRPr="003253E7">
        <w:t xml:space="preserve"> in the subgroup receiving HSCT was limited as the data were informed by a small number of patients (8</w:t>
      </w:r>
      <w:r w:rsidR="00584F84">
        <w:t>2</w:t>
      </w:r>
      <w:r w:rsidRPr="003253E7">
        <w:t xml:space="preserve"> patients, 63 in the gilteritinib arm and 19 in the salvage chemotherapy arm). </w:t>
      </w:r>
      <w:r w:rsidR="00FB1C38" w:rsidRPr="003253E7">
        <w:t>To support the ADMIRAL data, the submission conducted a review of the published literature, which identified 13 publications reporting post-HSCT survival in AML patients.</w:t>
      </w:r>
      <w:r w:rsidRPr="003253E7">
        <w:t xml:space="preserve"> </w:t>
      </w:r>
      <w:r w:rsidRPr="005743F7">
        <w:rPr>
          <w:iCs/>
        </w:rPr>
        <w:t>There was substantial variance in survival estimates across the included studies in the submission</w:t>
      </w:r>
      <w:r w:rsidR="00195095" w:rsidRPr="005743F7">
        <w:rPr>
          <w:iCs/>
        </w:rPr>
        <w:t>,</w:t>
      </w:r>
      <w:r w:rsidRPr="005743F7">
        <w:rPr>
          <w:iCs/>
        </w:rPr>
        <w:t xml:space="preserve"> which were difficult to interpret and compare. The assessment of the evidence was challenging due to numerous issues surrounding heterogeneity and applicability to the PBS population (e.g. age of study, study design, population and disease characteristics, and healthcare settings).</w:t>
      </w:r>
    </w:p>
    <w:p w:rsidR="000541D2" w:rsidRPr="003253E7" w:rsidRDefault="000541D2" w:rsidP="000541D2">
      <w:pPr>
        <w:pStyle w:val="ExecSumBodyText"/>
        <w:rPr>
          <w:color w:val="0066FF"/>
        </w:rPr>
      </w:pPr>
      <w:r w:rsidRPr="005743F7">
        <w:t xml:space="preserve">The </w:t>
      </w:r>
      <w:r w:rsidRPr="005743F7">
        <w:rPr>
          <w:iCs/>
        </w:rPr>
        <w:t>Poire 2018 study provide</w:t>
      </w:r>
      <w:r w:rsidR="00FB1C38" w:rsidRPr="005743F7">
        <w:rPr>
          <w:iCs/>
        </w:rPr>
        <w:t>d</w:t>
      </w:r>
      <w:r w:rsidRPr="005743F7">
        <w:rPr>
          <w:iCs/>
        </w:rPr>
        <w:t xml:space="preserve"> a subgroup analysis of </w:t>
      </w:r>
      <w:r w:rsidR="00E2169A" w:rsidRPr="005743F7">
        <w:rPr>
          <w:iCs/>
        </w:rPr>
        <w:t>OS</w:t>
      </w:r>
      <w:r w:rsidRPr="005743F7">
        <w:rPr>
          <w:iCs/>
        </w:rPr>
        <w:t xml:space="preserve"> after HSCT in patients who were FLT3-ITD mutation positive, aged ≥60 years who were in second complete remission (i.e. relapsed). The study reported a 2-year </w:t>
      </w:r>
      <w:r w:rsidR="00E2169A" w:rsidRPr="005743F7">
        <w:rPr>
          <w:iCs/>
        </w:rPr>
        <w:t>OS</w:t>
      </w:r>
      <w:r w:rsidRPr="005743F7">
        <w:rPr>
          <w:iCs/>
        </w:rPr>
        <w:t xml:space="preserve"> of 29% following HSCT. Overall, there was no clear consensus on the impact of FLT3 mutation status on survival outcomes after HSCT, particularly in patients who are relapsed/refractory. In general, both relapsed/refractory patients and FLT3 mutation positive patients have poorer prognosis and are more likely to relapse following subsequent therapies.</w:t>
      </w:r>
    </w:p>
    <w:p w:rsidR="000541D2" w:rsidRPr="003253E7" w:rsidRDefault="000541D2" w:rsidP="000541D2">
      <w:pPr>
        <w:pStyle w:val="ExecSumBodyText"/>
        <w:rPr>
          <w:color w:val="0066FF"/>
        </w:rPr>
      </w:pPr>
      <w:r w:rsidRPr="003253E7">
        <w:t>The submission claimed that despite the diversity across the identified studies, the data support a plateau in the risk of death at approximately 2 years after HSCT. A selection of survival curves from the most recent of the identified studies is presented in the figure below.</w:t>
      </w:r>
    </w:p>
    <w:p w:rsidR="000541D2" w:rsidRPr="003253E7" w:rsidRDefault="00FD4C43" w:rsidP="0056121D">
      <w:pPr>
        <w:pStyle w:val="Tableheadingrow"/>
      </w:pPr>
      <w:r>
        <w:t xml:space="preserve">Figure </w:t>
      </w:r>
      <w:r w:rsidR="00C90F41">
        <w:rPr>
          <w:noProof/>
        </w:rPr>
        <w:t>7</w:t>
      </w:r>
      <w:r w:rsidR="000541D2" w:rsidRPr="003253E7">
        <w:t>: Comparison of post-HSCT overall survival in the ADMIRAL trial (pooled data) and published studies</w:t>
      </w:r>
    </w:p>
    <w:p w:rsidR="000541D2" w:rsidRPr="003253E7" w:rsidRDefault="000541D2" w:rsidP="000541D2">
      <w:pPr>
        <w:pStyle w:val="Tableheadingrow"/>
        <w:rPr>
          <w:lang w:val="en-AU"/>
        </w:rPr>
      </w:pPr>
      <w:r w:rsidRPr="003253E7">
        <w:rPr>
          <w:noProof/>
          <w:lang w:val="en-AU"/>
        </w:rPr>
        <w:drawing>
          <wp:inline distT="0" distB="0" distL="0" distR="0" wp14:anchorId="51360F19" wp14:editId="21EE21BA">
            <wp:extent cx="5669915" cy="3456940"/>
            <wp:effectExtent l="0" t="0" r="6985" b="0"/>
            <wp:docPr id="22" name="Picture 22" title="Figure 7: Comparison of post-HSCT overall survival in the ADMIRAL trial (pooled data) and published stud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669915" cy="3456940"/>
                    </a:xfrm>
                    <a:prstGeom prst="rect">
                      <a:avLst/>
                    </a:prstGeom>
                    <a:noFill/>
                  </pic:spPr>
                </pic:pic>
              </a:graphicData>
            </a:graphic>
          </wp:inline>
        </w:drawing>
      </w:r>
    </w:p>
    <w:p w:rsidR="000541D2" w:rsidRPr="003253E7" w:rsidRDefault="000541D2" w:rsidP="000541D2">
      <w:pPr>
        <w:pStyle w:val="TableFigureFooter"/>
      </w:pPr>
      <w:r w:rsidRPr="003253E7">
        <w:t>Source: Figure 38, p 162 of the submission</w:t>
      </w:r>
    </w:p>
    <w:p w:rsidR="000541D2" w:rsidRPr="003253E7" w:rsidRDefault="000541D2" w:rsidP="000541D2">
      <w:pPr>
        <w:pStyle w:val="TableFigureFooter"/>
      </w:pPr>
      <w:r w:rsidRPr="003253E7">
        <w:t>CR2, second complete remission; MAC, myeloablative conditioning</w:t>
      </w:r>
    </w:p>
    <w:p w:rsidR="000541D2" w:rsidRPr="003253E7" w:rsidRDefault="000541D2" w:rsidP="000541D2">
      <w:pPr>
        <w:pStyle w:val="TableFigureFooter"/>
      </w:pPr>
      <w:r w:rsidRPr="003253E7">
        <w:t xml:space="preserve">Note: The Dillon study was based on patients enrolled in the NCRI AML17 study in the UK. </w:t>
      </w:r>
      <w:r w:rsidRPr="00047E73">
        <w:rPr>
          <w:i/>
        </w:rPr>
        <w:t>The OS plot appeared to be based on overall survival in the subgroup of patients who were FLT-ITD mutation positive.</w:t>
      </w:r>
    </w:p>
    <w:p w:rsidR="000541D2" w:rsidRPr="003253E7" w:rsidRDefault="000541D2" w:rsidP="000541D2">
      <w:pPr>
        <w:pStyle w:val="ExecSumBodyText"/>
      </w:pPr>
      <w:r w:rsidRPr="003253E7">
        <w:t>Post-HSCT survival estimates in the Poire study, which included a subgroup of FLT3-ITD mutation positive refractory patients, appeared lower than that observed in the ADMIRAL trial. The reasons for this difference were unclear. While the Poire study was aimed at older patients, the median age in this study was similar to the ITT population in the ADMIRAL trial (64 years versus 62 years, respectively).</w:t>
      </w:r>
    </w:p>
    <w:p w:rsidR="00F149AE" w:rsidRPr="00923651" w:rsidRDefault="000541D2" w:rsidP="000541D2">
      <w:pPr>
        <w:pStyle w:val="ExecSumBodyText"/>
        <w:rPr>
          <w:color w:val="0066FF"/>
        </w:rPr>
      </w:pPr>
      <w:r w:rsidRPr="003253E7">
        <w:t xml:space="preserve">The submission claimed that the post-HSCT survival curves generally flatten at the 18- to 24-month </w:t>
      </w:r>
      <w:r w:rsidR="00054645" w:rsidRPr="003253E7">
        <w:t>timepoint</w:t>
      </w:r>
      <w:r w:rsidRPr="003253E7">
        <w:t xml:space="preserve">, supporting 2 years as a suitable cure </w:t>
      </w:r>
      <w:r w:rsidR="00054645" w:rsidRPr="003253E7">
        <w:t>timepoint</w:t>
      </w:r>
      <w:r w:rsidRPr="003253E7">
        <w:t xml:space="preserve"> for patients following HSCT. </w:t>
      </w:r>
      <w:r w:rsidRPr="005743F7">
        <w:rPr>
          <w:iCs/>
        </w:rPr>
        <w:t>In general, the plateaus were informed by relatively few patients remaining at risk</w:t>
      </w:r>
      <w:r w:rsidR="0022556D">
        <w:rPr>
          <w:iCs/>
        </w:rPr>
        <w:t>, and may not be a reasonable representation of cure</w:t>
      </w:r>
      <w:r w:rsidRPr="005743F7">
        <w:rPr>
          <w:iCs/>
        </w:rPr>
        <w:t xml:space="preserve">. In addition, reported leukaemia-free survival estimates were consistently lower than </w:t>
      </w:r>
      <w:r w:rsidR="00E2169A" w:rsidRPr="005743F7">
        <w:rPr>
          <w:iCs/>
        </w:rPr>
        <w:t>OS</w:t>
      </w:r>
      <w:r w:rsidRPr="005743F7">
        <w:rPr>
          <w:iCs/>
        </w:rPr>
        <w:t xml:space="preserve"> estimates across the identified studies. The assumption of cure based on </w:t>
      </w:r>
      <w:r w:rsidR="00E2169A" w:rsidRPr="005743F7">
        <w:rPr>
          <w:iCs/>
        </w:rPr>
        <w:t>OS</w:t>
      </w:r>
      <w:r w:rsidRPr="005743F7">
        <w:rPr>
          <w:iCs/>
        </w:rPr>
        <w:t xml:space="preserve"> alone appeared optimistic given the estimates include</w:t>
      </w:r>
      <w:r w:rsidR="0022556D">
        <w:rPr>
          <w:iCs/>
        </w:rPr>
        <w:t>d</w:t>
      </w:r>
      <w:r w:rsidRPr="005743F7">
        <w:rPr>
          <w:iCs/>
        </w:rPr>
        <w:t xml:space="preserve"> patients with active disease.</w:t>
      </w:r>
      <w:r w:rsidR="00574A1B">
        <w:rPr>
          <w:i/>
          <w:iCs/>
        </w:rPr>
        <w:t xml:space="preserve"> </w:t>
      </w:r>
    </w:p>
    <w:p w:rsidR="00923651" w:rsidRPr="00C00A16" w:rsidRDefault="00B977D2" w:rsidP="00263BE8">
      <w:pPr>
        <w:pStyle w:val="ExecSumBodyText"/>
      </w:pPr>
      <w:bookmarkStart w:id="33" w:name="_Ref89322191"/>
      <w:r w:rsidRPr="00C00A16">
        <w:t xml:space="preserve">The </w:t>
      </w:r>
      <w:r w:rsidR="00923651" w:rsidRPr="00C00A16">
        <w:t xml:space="preserve">ESC considered that the </w:t>
      </w:r>
      <w:r w:rsidRPr="00C00A16">
        <w:t xml:space="preserve">cure of all patients alive at 2 years </w:t>
      </w:r>
      <w:r w:rsidR="0022556D">
        <w:t>was</w:t>
      </w:r>
      <w:r w:rsidRPr="00C00A16">
        <w:t xml:space="preserve"> not supported</w:t>
      </w:r>
      <w:r w:rsidR="00923651" w:rsidRPr="00C00A16">
        <w:t xml:space="preserve"> by the evidence presente</w:t>
      </w:r>
      <w:r w:rsidR="0077071F" w:rsidRPr="00C00A16">
        <w:t>d. T</w:t>
      </w:r>
      <w:r w:rsidR="00923651" w:rsidRPr="00C00A16">
        <w:t xml:space="preserve">he ESC considered that </w:t>
      </w:r>
      <w:r w:rsidR="001E0D87" w:rsidRPr="00C00A16">
        <w:t xml:space="preserve">only </w:t>
      </w:r>
      <w:r w:rsidRPr="00C00A16">
        <w:t xml:space="preserve">patients who </w:t>
      </w:r>
      <w:r w:rsidR="00923651" w:rsidRPr="00C00A16">
        <w:t>are alive at 2 years and</w:t>
      </w:r>
      <w:r w:rsidR="00526BCE" w:rsidRPr="00C00A16">
        <w:t xml:space="preserve"> disease free </w:t>
      </w:r>
      <w:r w:rsidR="001E0D87" w:rsidRPr="00C00A16">
        <w:t>could be considered</w:t>
      </w:r>
      <w:r w:rsidRPr="00C00A16">
        <w:t xml:space="preserve"> to be cured, more so if they are post HSCT. </w:t>
      </w:r>
      <w:r w:rsidR="0077071F" w:rsidRPr="00C00A16">
        <w:t>However, t</w:t>
      </w:r>
      <w:r w:rsidR="00526BCE" w:rsidRPr="00C00A16">
        <w:t>he ESC advised that in clinical practice 5 years disease free is generally</w:t>
      </w:r>
      <w:r w:rsidR="001E0D87" w:rsidRPr="00C00A16">
        <w:t xml:space="preserve"> a more </w:t>
      </w:r>
      <w:r w:rsidR="006437BA">
        <w:t>accepted</w:t>
      </w:r>
      <w:r w:rsidR="006437BA" w:rsidRPr="00C00A16">
        <w:t xml:space="preserve"> </w:t>
      </w:r>
      <w:r w:rsidR="001E0D87" w:rsidRPr="00C00A16">
        <w:t>definition of</w:t>
      </w:r>
      <w:r w:rsidR="00526BCE" w:rsidRPr="00C00A16">
        <w:t xml:space="preserve"> a cure. </w:t>
      </w:r>
      <w:r w:rsidR="00923651" w:rsidRPr="00C00A16">
        <w:t xml:space="preserve">The ESC noted that </w:t>
      </w:r>
      <w:r w:rsidR="008D5CE8" w:rsidRPr="00C00A16">
        <w:t xml:space="preserve">such </w:t>
      </w:r>
      <w:r w:rsidR="00E27528" w:rsidRPr="00C00A16">
        <w:t>patients’</w:t>
      </w:r>
      <w:r w:rsidR="008D5CE8" w:rsidRPr="00C00A16">
        <w:t xml:space="preserve"> morbidity and morta</w:t>
      </w:r>
      <w:r w:rsidRPr="00C00A16">
        <w:t xml:space="preserve">lity will be greater than </w:t>
      </w:r>
      <w:r w:rsidR="008D5CE8" w:rsidRPr="00C00A16">
        <w:t xml:space="preserve">the general </w:t>
      </w:r>
      <w:r w:rsidRPr="00C00A16">
        <w:t>population due to co</w:t>
      </w:r>
      <w:r w:rsidR="008D5CE8" w:rsidRPr="00C00A16">
        <w:t>mplications of treatment</w:t>
      </w:r>
      <w:r w:rsidRPr="00C00A16">
        <w:t xml:space="preserve">. </w:t>
      </w:r>
      <w:r w:rsidR="001E0D87" w:rsidRPr="00C00A16">
        <w:t>The ESC advised that patients with ongoing disease cannot be considered cured.</w:t>
      </w:r>
      <w:bookmarkEnd w:id="33"/>
    </w:p>
    <w:p w:rsidR="00B60939" w:rsidRPr="003253E7" w:rsidRDefault="000541D2" w:rsidP="00D86231">
      <w:pPr>
        <w:pStyle w:val="3-SubsectionHeading"/>
      </w:pPr>
      <w:bookmarkStart w:id="34" w:name="_Toc22897642"/>
      <w:bookmarkStart w:id="35" w:name="_Toc82605757"/>
      <w:r w:rsidRPr="003253E7">
        <w:t>Comparative harms</w:t>
      </w:r>
      <w:bookmarkEnd w:id="34"/>
      <w:bookmarkEnd w:id="35"/>
    </w:p>
    <w:p w:rsidR="00B60939" w:rsidRPr="003253E7" w:rsidRDefault="00D906AE" w:rsidP="00D86231">
      <w:pPr>
        <w:pStyle w:val="ExecSumBodyText"/>
        <w:rPr>
          <w:color w:val="0066FF"/>
        </w:rPr>
      </w:pPr>
      <w:r w:rsidRPr="003253E7">
        <w:t>Due to the longer duration of treatment exposure in the ADMIRAL trial (gilteritinib median 126 days; salvage chemotherapy median 28 days), adverse event data were presented with adjustment for treatment exposure. T</w:t>
      </w:r>
      <w:r w:rsidR="00D80606" w:rsidRPr="003253E7">
        <w:t>he t</w:t>
      </w:r>
      <w:r w:rsidRPr="003253E7">
        <w:t xml:space="preserve">able </w:t>
      </w:r>
      <w:r w:rsidR="00D80606" w:rsidRPr="003253E7">
        <w:t>below</w:t>
      </w:r>
      <w:r w:rsidRPr="003253E7">
        <w:t xml:space="preserve"> presents the incidence of adverse events unadjusted and adjusted for patient years of exposure, based on the primary analysis </w:t>
      </w:r>
      <w:r w:rsidR="00FE7362" w:rsidRPr="003253E7">
        <w:t>data cut</w:t>
      </w:r>
      <w:r w:rsidRPr="003253E7">
        <w:t xml:space="preserve"> (September 2018).</w:t>
      </w:r>
    </w:p>
    <w:p w:rsidR="00B60939" w:rsidRPr="003253E7" w:rsidRDefault="00FD4C43" w:rsidP="0056121D">
      <w:pPr>
        <w:pStyle w:val="Tableheadingrow"/>
      </w:pPr>
      <w:r>
        <w:t xml:space="preserve">Table </w:t>
      </w:r>
      <w:r w:rsidR="002B6D54">
        <w:rPr>
          <w:noProof/>
        </w:rPr>
        <w:t>6</w:t>
      </w:r>
      <w:r w:rsidR="005D26B4" w:rsidRPr="003253E7">
        <w:t>:</w:t>
      </w:r>
      <w:r w:rsidR="00BC591F" w:rsidRPr="003253E7">
        <w:t xml:space="preserve"> </w:t>
      </w:r>
      <w:r w:rsidR="005D26B4" w:rsidRPr="003253E7">
        <w:t>Summary of key adverse events in the trials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1511"/>
        <w:gridCol w:w="1511"/>
        <w:gridCol w:w="1511"/>
        <w:gridCol w:w="1512"/>
      </w:tblGrid>
      <w:tr w:rsidR="00D906AE" w:rsidRPr="003253E7" w:rsidTr="00D906AE">
        <w:trPr>
          <w:tblHeader/>
        </w:trPr>
        <w:tc>
          <w:tcPr>
            <w:tcW w:w="2972" w:type="dxa"/>
            <w:vMerge w:val="restart"/>
            <w:vAlign w:val="center"/>
          </w:tcPr>
          <w:p w:rsidR="00D906AE" w:rsidRPr="003253E7" w:rsidRDefault="00D906AE" w:rsidP="00D906AE">
            <w:pPr>
              <w:pStyle w:val="Tableheadingrow"/>
              <w:rPr>
                <w:lang w:val="en-AU"/>
              </w:rPr>
            </w:pPr>
            <w:r w:rsidRPr="003253E7">
              <w:rPr>
                <w:lang w:val="en-AU"/>
              </w:rPr>
              <w:t>Adverse events</w:t>
            </w:r>
          </w:p>
        </w:tc>
        <w:tc>
          <w:tcPr>
            <w:tcW w:w="3022" w:type="dxa"/>
            <w:gridSpan w:val="2"/>
            <w:vAlign w:val="center"/>
          </w:tcPr>
          <w:p w:rsidR="00D906AE" w:rsidRPr="003253E7" w:rsidRDefault="00D906AE" w:rsidP="00D906AE">
            <w:pPr>
              <w:pStyle w:val="Tableheadingrow"/>
              <w:jc w:val="center"/>
              <w:rPr>
                <w:lang w:val="en-AU"/>
              </w:rPr>
            </w:pPr>
            <w:r w:rsidRPr="003253E7">
              <w:rPr>
                <w:lang w:val="en-AU"/>
              </w:rPr>
              <w:t>Gilteritinib</w:t>
            </w:r>
          </w:p>
          <w:p w:rsidR="00D906AE" w:rsidRPr="003253E7" w:rsidRDefault="00D906AE" w:rsidP="00D906AE">
            <w:pPr>
              <w:pStyle w:val="Tableheadingrow"/>
              <w:jc w:val="center"/>
              <w:rPr>
                <w:lang w:val="en-AU"/>
              </w:rPr>
            </w:pPr>
            <w:r w:rsidRPr="003253E7">
              <w:rPr>
                <w:lang w:val="en-AU"/>
              </w:rPr>
              <w:t>N = 246, PY = 121.7</w:t>
            </w:r>
          </w:p>
        </w:tc>
        <w:tc>
          <w:tcPr>
            <w:tcW w:w="3023" w:type="dxa"/>
            <w:gridSpan w:val="2"/>
            <w:vAlign w:val="center"/>
          </w:tcPr>
          <w:p w:rsidR="00D906AE" w:rsidRPr="003253E7" w:rsidRDefault="00D906AE" w:rsidP="00D906AE">
            <w:pPr>
              <w:pStyle w:val="Tableheadingrow"/>
              <w:jc w:val="center"/>
              <w:rPr>
                <w:lang w:val="en-AU"/>
              </w:rPr>
            </w:pPr>
            <w:r w:rsidRPr="003253E7">
              <w:rPr>
                <w:lang w:val="en-AU"/>
              </w:rPr>
              <w:t>Salvage chemotherapy</w:t>
            </w:r>
          </w:p>
          <w:p w:rsidR="00D906AE" w:rsidRPr="003253E7" w:rsidRDefault="00D906AE" w:rsidP="00D906AE">
            <w:pPr>
              <w:pStyle w:val="Tableheadingrow"/>
              <w:jc w:val="center"/>
              <w:rPr>
                <w:lang w:val="en-AU"/>
              </w:rPr>
            </w:pPr>
            <w:r w:rsidRPr="003253E7">
              <w:rPr>
                <w:lang w:val="en-AU"/>
              </w:rPr>
              <w:t>N = 109, PY = 11.9</w:t>
            </w:r>
          </w:p>
        </w:tc>
      </w:tr>
      <w:tr w:rsidR="00D906AE" w:rsidRPr="003253E7" w:rsidTr="00D906AE">
        <w:trPr>
          <w:tblHeader/>
        </w:trPr>
        <w:tc>
          <w:tcPr>
            <w:tcW w:w="2972" w:type="dxa"/>
            <w:vMerge/>
            <w:vAlign w:val="center"/>
          </w:tcPr>
          <w:p w:rsidR="00D906AE" w:rsidRPr="003253E7" w:rsidRDefault="00D906AE" w:rsidP="00D906AE">
            <w:pPr>
              <w:pStyle w:val="Tableheadingrow"/>
              <w:rPr>
                <w:lang w:val="en-AU"/>
              </w:rPr>
            </w:pPr>
          </w:p>
        </w:tc>
        <w:tc>
          <w:tcPr>
            <w:tcW w:w="1511" w:type="dxa"/>
            <w:vAlign w:val="center"/>
          </w:tcPr>
          <w:p w:rsidR="00D906AE" w:rsidRPr="003253E7" w:rsidRDefault="00D906AE" w:rsidP="00D906AE">
            <w:pPr>
              <w:pStyle w:val="Tableheadingrow"/>
              <w:jc w:val="center"/>
              <w:rPr>
                <w:lang w:val="en-AU"/>
              </w:rPr>
            </w:pPr>
            <w:r w:rsidRPr="003253E7">
              <w:rPr>
                <w:lang w:val="en-AU"/>
              </w:rPr>
              <w:t>Patients, n (%)</w:t>
            </w:r>
          </w:p>
        </w:tc>
        <w:tc>
          <w:tcPr>
            <w:tcW w:w="1511" w:type="dxa"/>
            <w:vAlign w:val="center"/>
          </w:tcPr>
          <w:p w:rsidR="00D906AE" w:rsidRPr="003253E7" w:rsidRDefault="00D906AE" w:rsidP="00D906AE">
            <w:pPr>
              <w:pStyle w:val="Tableheadingrow"/>
              <w:jc w:val="center"/>
              <w:rPr>
                <w:lang w:val="en-AU"/>
              </w:rPr>
            </w:pPr>
            <w:r w:rsidRPr="003253E7">
              <w:rPr>
                <w:lang w:val="en-AU"/>
              </w:rPr>
              <w:t>Events (E/PY)</w:t>
            </w:r>
          </w:p>
        </w:tc>
        <w:tc>
          <w:tcPr>
            <w:tcW w:w="1511" w:type="dxa"/>
            <w:vAlign w:val="center"/>
          </w:tcPr>
          <w:p w:rsidR="00D906AE" w:rsidRPr="003253E7" w:rsidRDefault="00D906AE" w:rsidP="00D906AE">
            <w:pPr>
              <w:pStyle w:val="Tableheadingrow"/>
              <w:jc w:val="center"/>
              <w:rPr>
                <w:lang w:val="en-AU"/>
              </w:rPr>
            </w:pPr>
            <w:r w:rsidRPr="003253E7">
              <w:rPr>
                <w:lang w:val="en-AU"/>
              </w:rPr>
              <w:t>Patients, n (%)</w:t>
            </w:r>
          </w:p>
        </w:tc>
        <w:tc>
          <w:tcPr>
            <w:tcW w:w="1512" w:type="dxa"/>
            <w:vAlign w:val="center"/>
          </w:tcPr>
          <w:p w:rsidR="00D906AE" w:rsidRPr="003253E7" w:rsidRDefault="00D906AE" w:rsidP="00D906AE">
            <w:pPr>
              <w:pStyle w:val="Tableheadingrow"/>
              <w:jc w:val="center"/>
              <w:rPr>
                <w:lang w:val="en-AU"/>
              </w:rPr>
            </w:pPr>
            <w:r w:rsidRPr="003253E7">
              <w:rPr>
                <w:lang w:val="en-AU"/>
              </w:rPr>
              <w:t>Events (E/PY)</w:t>
            </w:r>
          </w:p>
        </w:tc>
      </w:tr>
      <w:tr w:rsidR="00D906AE" w:rsidRPr="003253E7" w:rsidTr="00D906AE">
        <w:tc>
          <w:tcPr>
            <w:tcW w:w="2972" w:type="dxa"/>
            <w:vAlign w:val="center"/>
          </w:tcPr>
          <w:p w:rsidR="00D906AE" w:rsidRPr="003253E7" w:rsidRDefault="00D906AE" w:rsidP="00D906AE">
            <w:pPr>
              <w:pStyle w:val="TableText"/>
            </w:pPr>
            <w:r w:rsidRPr="003253E7">
              <w:t>TEAE</w:t>
            </w:r>
          </w:p>
        </w:tc>
        <w:tc>
          <w:tcPr>
            <w:tcW w:w="1511" w:type="dxa"/>
            <w:vAlign w:val="center"/>
          </w:tcPr>
          <w:p w:rsidR="00D906AE" w:rsidRPr="003253E7" w:rsidRDefault="00D906AE" w:rsidP="00D906AE">
            <w:pPr>
              <w:pStyle w:val="TableText"/>
              <w:jc w:val="center"/>
            </w:pPr>
            <w:r w:rsidRPr="003253E7">
              <w:t>246 (100)</w:t>
            </w:r>
          </w:p>
        </w:tc>
        <w:tc>
          <w:tcPr>
            <w:tcW w:w="1511" w:type="dxa"/>
            <w:vAlign w:val="center"/>
          </w:tcPr>
          <w:p w:rsidR="00D906AE" w:rsidRPr="003253E7" w:rsidRDefault="00D906AE" w:rsidP="00D906AE">
            <w:pPr>
              <w:pStyle w:val="TableText"/>
              <w:jc w:val="center"/>
            </w:pPr>
            <w:r w:rsidRPr="003253E7">
              <w:t>8464 (69.6)</w:t>
            </w:r>
          </w:p>
        </w:tc>
        <w:tc>
          <w:tcPr>
            <w:tcW w:w="1511" w:type="dxa"/>
            <w:vAlign w:val="center"/>
          </w:tcPr>
          <w:p w:rsidR="00D906AE" w:rsidRPr="003253E7" w:rsidRDefault="00D906AE" w:rsidP="00D906AE">
            <w:pPr>
              <w:pStyle w:val="TableText"/>
              <w:jc w:val="center"/>
            </w:pPr>
            <w:r w:rsidRPr="003253E7">
              <w:t>107 (98.2)</w:t>
            </w:r>
          </w:p>
        </w:tc>
        <w:tc>
          <w:tcPr>
            <w:tcW w:w="1512" w:type="dxa"/>
            <w:vAlign w:val="center"/>
          </w:tcPr>
          <w:p w:rsidR="00D906AE" w:rsidRPr="003253E7" w:rsidRDefault="00D906AE" w:rsidP="00D906AE">
            <w:pPr>
              <w:pStyle w:val="TableText"/>
              <w:jc w:val="center"/>
            </w:pPr>
            <w:r w:rsidRPr="003253E7">
              <w:t>1596 (134.1)</w:t>
            </w:r>
          </w:p>
        </w:tc>
      </w:tr>
      <w:tr w:rsidR="00D906AE" w:rsidRPr="003253E7" w:rsidTr="00D906AE">
        <w:tc>
          <w:tcPr>
            <w:tcW w:w="2972" w:type="dxa"/>
            <w:vAlign w:val="center"/>
          </w:tcPr>
          <w:p w:rsidR="00D906AE" w:rsidRPr="003253E7" w:rsidRDefault="00D906AE" w:rsidP="00D906AE">
            <w:pPr>
              <w:pStyle w:val="TableText"/>
            </w:pPr>
            <w:r w:rsidRPr="003253E7">
              <w:t>Serious TEAE</w:t>
            </w:r>
          </w:p>
        </w:tc>
        <w:tc>
          <w:tcPr>
            <w:tcW w:w="1511" w:type="dxa"/>
            <w:vAlign w:val="center"/>
          </w:tcPr>
          <w:p w:rsidR="00D906AE" w:rsidRPr="003253E7" w:rsidRDefault="00D906AE" w:rsidP="00D906AE">
            <w:pPr>
              <w:pStyle w:val="TableText"/>
              <w:jc w:val="center"/>
            </w:pPr>
            <w:r w:rsidRPr="003253E7">
              <w:t>205 (83.3)</w:t>
            </w:r>
          </w:p>
        </w:tc>
        <w:tc>
          <w:tcPr>
            <w:tcW w:w="1511" w:type="dxa"/>
            <w:vAlign w:val="center"/>
          </w:tcPr>
          <w:p w:rsidR="00D906AE" w:rsidRPr="003253E7" w:rsidRDefault="00D906AE" w:rsidP="00D906AE">
            <w:pPr>
              <w:pStyle w:val="TableText"/>
              <w:jc w:val="center"/>
            </w:pPr>
            <w:r w:rsidRPr="003253E7">
              <w:t>865 (7.1)</w:t>
            </w:r>
          </w:p>
        </w:tc>
        <w:tc>
          <w:tcPr>
            <w:tcW w:w="1511" w:type="dxa"/>
            <w:vAlign w:val="center"/>
          </w:tcPr>
          <w:p w:rsidR="00D906AE" w:rsidRPr="003253E7" w:rsidRDefault="00D906AE" w:rsidP="00D906AE">
            <w:pPr>
              <w:pStyle w:val="TableText"/>
              <w:jc w:val="center"/>
            </w:pPr>
            <w:r w:rsidRPr="003253E7">
              <w:t>34 (31.2)</w:t>
            </w:r>
          </w:p>
        </w:tc>
        <w:tc>
          <w:tcPr>
            <w:tcW w:w="1512" w:type="dxa"/>
            <w:vAlign w:val="center"/>
          </w:tcPr>
          <w:p w:rsidR="00D906AE" w:rsidRPr="003253E7" w:rsidRDefault="00D906AE" w:rsidP="00D906AE">
            <w:pPr>
              <w:pStyle w:val="TableText"/>
              <w:jc w:val="center"/>
            </w:pPr>
            <w:r w:rsidRPr="003253E7">
              <w:t>110 (9.2)</w:t>
            </w:r>
          </w:p>
        </w:tc>
      </w:tr>
      <w:tr w:rsidR="00D906AE" w:rsidRPr="003253E7" w:rsidTr="00D906AE">
        <w:tc>
          <w:tcPr>
            <w:tcW w:w="2972" w:type="dxa"/>
            <w:vAlign w:val="center"/>
          </w:tcPr>
          <w:p w:rsidR="00D906AE" w:rsidRPr="003253E7" w:rsidRDefault="00D906AE" w:rsidP="00D906AE">
            <w:pPr>
              <w:pStyle w:val="TableText"/>
            </w:pPr>
            <w:r w:rsidRPr="003253E7">
              <w:t>TEAE leading to death</w:t>
            </w:r>
          </w:p>
        </w:tc>
        <w:tc>
          <w:tcPr>
            <w:tcW w:w="1511" w:type="dxa"/>
            <w:vAlign w:val="center"/>
          </w:tcPr>
          <w:p w:rsidR="00D906AE" w:rsidRPr="003253E7" w:rsidRDefault="00D906AE" w:rsidP="00D906AE">
            <w:pPr>
              <w:pStyle w:val="TableText"/>
              <w:jc w:val="center"/>
            </w:pPr>
            <w:r w:rsidRPr="003253E7">
              <w:t>71 (28.9)</w:t>
            </w:r>
          </w:p>
        </w:tc>
        <w:tc>
          <w:tcPr>
            <w:tcW w:w="1511" w:type="dxa"/>
            <w:vAlign w:val="center"/>
          </w:tcPr>
          <w:p w:rsidR="00D906AE" w:rsidRPr="003253E7" w:rsidRDefault="00D906AE" w:rsidP="00D906AE">
            <w:pPr>
              <w:pStyle w:val="TableText"/>
              <w:jc w:val="center"/>
            </w:pPr>
            <w:r w:rsidRPr="003253E7">
              <w:t>87 (0.7)</w:t>
            </w:r>
          </w:p>
        </w:tc>
        <w:tc>
          <w:tcPr>
            <w:tcW w:w="1511" w:type="dxa"/>
            <w:vAlign w:val="center"/>
          </w:tcPr>
          <w:p w:rsidR="00D906AE" w:rsidRPr="003253E7" w:rsidRDefault="00D906AE" w:rsidP="00D906AE">
            <w:pPr>
              <w:pStyle w:val="TableText"/>
              <w:jc w:val="center"/>
            </w:pPr>
            <w:r w:rsidRPr="003253E7">
              <w:t>16 (14.7)</w:t>
            </w:r>
          </w:p>
        </w:tc>
        <w:tc>
          <w:tcPr>
            <w:tcW w:w="1512" w:type="dxa"/>
            <w:vAlign w:val="center"/>
          </w:tcPr>
          <w:p w:rsidR="00D906AE" w:rsidRPr="003253E7" w:rsidRDefault="00D906AE" w:rsidP="00D906AE">
            <w:pPr>
              <w:pStyle w:val="TableText"/>
              <w:jc w:val="center"/>
            </w:pPr>
            <w:r w:rsidRPr="003253E7">
              <w:t>23 (1.9)</w:t>
            </w:r>
          </w:p>
        </w:tc>
      </w:tr>
      <w:tr w:rsidR="00D906AE" w:rsidRPr="003253E7" w:rsidTr="00D906AE">
        <w:tc>
          <w:tcPr>
            <w:tcW w:w="2972" w:type="dxa"/>
            <w:vAlign w:val="center"/>
          </w:tcPr>
          <w:p w:rsidR="00D906AE" w:rsidRPr="003253E7" w:rsidRDefault="00D906AE" w:rsidP="00D906AE">
            <w:pPr>
              <w:pStyle w:val="TableText"/>
            </w:pPr>
            <w:r w:rsidRPr="003253E7">
              <w:t>TEAE leading to withdrawals</w:t>
            </w:r>
          </w:p>
        </w:tc>
        <w:tc>
          <w:tcPr>
            <w:tcW w:w="1511" w:type="dxa"/>
            <w:vAlign w:val="center"/>
          </w:tcPr>
          <w:p w:rsidR="00D906AE" w:rsidRPr="003253E7" w:rsidRDefault="00D906AE" w:rsidP="00D906AE">
            <w:pPr>
              <w:pStyle w:val="TableText"/>
              <w:jc w:val="center"/>
            </w:pPr>
            <w:r w:rsidRPr="003253E7">
              <w:t>58 (23.6)</w:t>
            </w:r>
          </w:p>
        </w:tc>
        <w:tc>
          <w:tcPr>
            <w:tcW w:w="1511" w:type="dxa"/>
            <w:vAlign w:val="center"/>
          </w:tcPr>
          <w:p w:rsidR="00D906AE" w:rsidRPr="003253E7" w:rsidRDefault="00D906AE" w:rsidP="00D906AE">
            <w:pPr>
              <w:pStyle w:val="TableText"/>
              <w:jc w:val="center"/>
            </w:pPr>
            <w:r w:rsidRPr="003253E7">
              <w:t>80 (0.7)</w:t>
            </w:r>
          </w:p>
        </w:tc>
        <w:tc>
          <w:tcPr>
            <w:tcW w:w="1511" w:type="dxa"/>
            <w:vAlign w:val="center"/>
          </w:tcPr>
          <w:p w:rsidR="00D906AE" w:rsidRPr="003253E7" w:rsidRDefault="00D906AE" w:rsidP="00D906AE">
            <w:pPr>
              <w:pStyle w:val="TableText"/>
              <w:jc w:val="center"/>
            </w:pPr>
            <w:r w:rsidRPr="003253E7">
              <w:t>13 (11.9)</w:t>
            </w:r>
          </w:p>
        </w:tc>
        <w:tc>
          <w:tcPr>
            <w:tcW w:w="1512" w:type="dxa"/>
            <w:vAlign w:val="center"/>
          </w:tcPr>
          <w:p w:rsidR="00D906AE" w:rsidRPr="003253E7" w:rsidRDefault="00D906AE" w:rsidP="00D906AE">
            <w:pPr>
              <w:pStyle w:val="TableText"/>
              <w:jc w:val="center"/>
            </w:pPr>
            <w:r w:rsidRPr="003253E7">
              <w:t>18 (1.5)</w:t>
            </w:r>
          </w:p>
        </w:tc>
      </w:tr>
      <w:tr w:rsidR="00D906AE" w:rsidRPr="003253E7" w:rsidTr="00D906AE">
        <w:tc>
          <w:tcPr>
            <w:tcW w:w="2972" w:type="dxa"/>
            <w:vAlign w:val="center"/>
          </w:tcPr>
          <w:p w:rsidR="00D906AE" w:rsidRPr="003253E7" w:rsidRDefault="00D906AE" w:rsidP="00D906AE">
            <w:pPr>
              <w:pStyle w:val="TableText"/>
            </w:pPr>
            <w:r w:rsidRPr="003253E7">
              <w:t>NCI-CTCAE Grade 3 or higher TEAE</w:t>
            </w:r>
          </w:p>
        </w:tc>
        <w:tc>
          <w:tcPr>
            <w:tcW w:w="1511" w:type="dxa"/>
            <w:vAlign w:val="center"/>
          </w:tcPr>
          <w:p w:rsidR="00D906AE" w:rsidRPr="003253E7" w:rsidRDefault="00D906AE" w:rsidP="00D906AE">
            <w:pPr>
              <w:pStyle w:val="TableText"/>
              <w:jc w:val="center"/>
            </w:pPr>
            <w:r w:rsidRPr="003253E7">
              <w:t>236 (95.9)</w:t>
            </w:r>
          </w:p>
        </w:tc>
        <w:tc>
          <w:tcPr>
            <w:tcW w:w="1511" w:type="dxa"/>
            <w:vAlign w:val="center"/>
          </w:tcPr>
          <w:p w:rsidR="00D906AE" w:rsidRPr="003253E7" w:rsidRDefault="00D906AE" w:rsidP="00D906AE">
            <w:pPr>
              <w:pStyle w:val="TableText"/>
              <w:jc w:val="center"/>
            </w:pPr>
            <w:r w:rsidRPr="003253E7">
              <w:t>2354 (19.3)</w:t>
            </w:r>
          </w:p>
        </w:tc>
        <w:tc>
          <w:tcPr>
            <w:tcW w:w="1511" w:type="dxa"/>
            <w:vAlign w:val="center"/>
          </w:tcPr>
          <w:p w:rsidR="00D906AE" w:rsidRPr="003253E7" w:rsidRDefault="00D906AE" w:rsidP="00D906AE">
            <w:pPr>
              <w:pStyle w:val="TableText"/>
              <w:jc w:val="center"/>
            </w:pPr>
            <w:r w:rsidRPr="003253E7">
              <w:t>94 (86.2)</w:t>
            </w:r>
          </w:p>
        </w:tc>
        <w:tc>
          <w:tcPr>
            <w:tcW w:w="1512" w:type="dxa"/>
            <w:vAlign w:val="center"/>
          </w:tcPr>
          <w:p w:rsidR="00D906AE" w:rsidRPr="003253E7" w:rsidRDefault="00D906AE" w:rsidP="00D906AE">
            <w:pPr>
              <w:pStyle w:val="TableText"/>
              <w:jc w:val="center"/>
            </w:pPr>
            <w:r w:rsidRPr="003253E7">
              <w:t>505 (42.4)</w:t>
            </w:r>
          </w:p>
        </w:tc>
      </w:tr>
      <w:tr w:rsidR="00D906AE" w:rsidRPr="003253E7" w:rsidTr="00D906AE">
        <w:tc>
          <w:tcPr>
            <w:tcW w:w="2972" w:type="dxa"/>
            <w:vAlign w:val="center"/>
          </w:tcPr>
          <w:p w:rsidR="00D906AE" w:rsidRPr="003253E7" w:rsidRDefault="00D906AE" w:rsidP="00D906AE">
            <w:pPr>
              <w:pStyle w:val="TableText"/>
            </w:pPr>
            <w:r w:rsidRPr="003253E7">
              <w:t>Any death after first dose of study drug</w:t>
            </w:r>
          </w:p>
        </w:tc>
        <w:tc>
          <w:tcPr>
            <w:tcW w:w="1511" w:type="dxa"/>
            <w:vAlign w:val="center"/>
          </w:tcPr>
          <w:p w:rsidR="00D906AE" w:rsidRPr="003253E7" w:rsidRDefault="00D906AE" w:rsidP="00D906AE">
            <w:pPr>
              <w:pStyle w:val="TableText"/>
              <w:jc w:val="center"/>
            </w:pPr>
            <w:r w:rsidRPr="003253E7">
              <w:t>170 (69.1)</w:t>
            </w:r>
          </w:p>
        </w:tc>
        <w:tc>
          <w:tcPr>
            <w:tcW w:w="1511" w:type="dxa"/>
            <w:vAlign w:val="center"/>
          </w:tcPr>
          <w:p w:rsidR="00D906AE" w:rsidRPr="003253E7" w:rsidRDefault="00D906AE" w:rsidP="00D906AE">
            <w:pPr>
              <w:pStyle w:val="TableText"/>
              <w:jc w:val="center"/>
            </w:pPr>
            <w:r w:rsidRPr="003253E7">
              <w:t>170 (1.40)</w:t>
            </w:r>
          </w:p>
        </w:tc>
        <w:tc>
          <w:tcPr>
            <w:tcW w:w="1511" w:type="dxa"/>
            <w:vAlign w:val="center"/>
          </w:tcPr>
          <w:p w:rsidR="00D906AE" w:rsidRPr="003253E7" w:rsidRDefault="00D906AE" w:rsidP="00D906AE">
            <w:pPr>
              <w:pStyle w:val="TableText"/>
              <w:jc w:val="center"/>
            </w:pPr>
            <w:r w:rsidRPr="003253E7">
              <w:t>81 (74.3)</w:t>
            </w:r>
          </w:p>
        </w:tc>
        <w:tc>
          <w:tcPr>
            <w:tcW w:w="1512" w:type="dxa"/>
            <w:vAlign w:val="center"/>
          </w:tcPr>
          <w:p w:rsidR="00D906AE" w:rsidRPr="003253E7" w:rsidRDefault="00D906AE" w:rsidP="00D906AE">
            <w:pPr>
              <w:pStyle w:val="TableText"/>
              <w:jc w:val="center"/>
            </w:pPr>
            <w:r w:rsidRPr="003253E7">
              <w:t>81 (6.81)</w:t>
            </w:r>
          </w:p>
        </w:tc>
      </w:tr>
    </w:tbl>
    <w:p w:rsidR="00D906AE" w:rsidRPr="003253E7" w:rsidRDefault="00D906AE" w:rsidP="00D906AE">
      <w:pPr>
        <w:pStyle w:val="TableFigureFooter"/>
        <w:rPr>
          <w:sz w:val="20"/>
        </w:rPr>
      </w:pPr>
      <w:r w:rsidRPr="003253E7">
        <w:t>Source: Table 36, pp85-86 of the submission.</w:t>
      </w:r>
    </w:p>
    <w:p w:rsidR="00D906AE" w:rsidRPr="003253E7" w:rsidRDefault="00D906AE" w:rsidP="00D906AE">
      <w:pPr>
        <w:pStyle w:val="TableFigureFooter"/>
      </w:pPr>
      <w:r w:rsidRPr="003253E7">
        <w:rPr>
          <w:rFonts w:eastAsia="Calibri"/>
        </w:rPr>
        <w:t xml:space="preserve">E, events; NCI-CTCAE, National Cancer Institute - Common Terminology Criteria for Adverse Events; PY, patient-year; TEAE, treatment emergent adverse event </w:t>
      </w:r>
    </w:p>
    <w:p w:rsidR="00D906AE" w:rsidRPr="005743F7" w:rsidRDefault="008D62B5" w:rsidP="001E2B70">
      <w:pPr>
        <w:pStyle w:val="ExecSumBodyText"/>
        <w:rPr>
          <w:color w:val="0066FF"/>
        </w:rPr>
      </w:pPr>
      <w:bookmarkStart w:id="36" w:name="_Ref89180310"/>
      <w:r w:rsidRPr="003253E7">
        <w:t>A greater proportion of gilteritinib patients experienced all key treatment-emergent adverse event types compared to salvage chemotherapy patients, with the exception of any death after the first dose of study drug. However, when adjusted for treatment exposure time, overall treatment emergent adverse events per patient year were lower in the gilteritinib arm (69.6 events/patient year) than the salvage chemotherapy arm (1</w:t>
      </w:r>
      <w:r w:rsidR="008D74E2" w:rsidRPr="003253E7">
        <w:t>3</w:t>
      </w:r>
      <w:r w:rsidRPr="003253E7">
        <w:t>4.1 events/patient year), and for all other treatment emergent adverse event measures, regardless of severity or relatedness to treatment.</w:t>
      </w:r>
      <w:r w:rsidR="00D158AC" w:rsidRPr="003253E7">
        <w:t xml:space="preserve"> </w:t>
      </w:r>
      <w:r w:rsidR="00D158AC" w:rsidRPr="005743F7">
        <w:t>The safety profiles of gilteritinib and salvage chemotherapy were difficult to compare due to differences in treatment modality. Gilteritinib is used as ongoing treatment until disease progression whereas the use of salvage chemotherapy differed depending on high-intensity (1-2 cycles) or low-intensity (ongoing until discontinuation criteria met) regimens. No adverse event data were presented comparing gilteritinib with salvage chemotherapies by subgroups of high- and low-intensity regimens.</w:t>
      </w:r>
      <w:bookmarkEnd w:id="36"/>
      <w:r w:rsidR="00D158AC" w:rsidRPr="005743F7">
        <w:t xml:space="preserve">  </w:t>
      </w:r>
    </w:p>
    <w:p w:rsidR="009E673D" w:rsidRPr="003253E7" w:rsidRDefault="009E673D" w:rsidP="009E673D">
      <w:pPr>
        <w:pStyle w:val="ExecSumBodyText"/>
        <w:rPr>
          <w:color w:val="0066FF"/>
        </w:rPr>
      </w:pPr>
      <w:r w:rsidRPr="003253E7">
        <w:t>All patients in the gilteritinib arm and 98.2% in the salvage chemotherapy arm experienced an adverse event. The most common adverse events in the gilteritinib arm were anaemia (47.2%), febrile neutropenia (46.7%), pyrexia (42.7%), alanine aminotransferase increased (41.9%), aspartate aminotransferase increased (40.2%), diarrhoea (32.9%), and nausea (32.1%). In the salvage chemotherapy arm, the most common adverse events included febrile neutropenia (36.7%), anaemia (34.9%), nausea (33.0%), hypokalaemia (31.2%), pyrexia (29.4%), and diarrhoea (29.4%).</w:t>
      </w:r>
    </w:p>
    <w:p w:rsidR="005978E5" w:rsidRPr="003253E7" w:rsidRDefault="005978E5" w:rsidP="005978E5">
      <w:pPr>
        <w:pStyle w:val="ExecSumBodyText"/>
      </w:pPr>
      <w:r w:rsidRPr="003253E7">
        <w:t>The most frequently reported serious adverse events in gilteritinib-treated patients were febrile neutropenia (30.9% of patients), pyrexia (13.0%) and pneumonia (10.6%); and in salvage chemotherapy treated patients were febrile neutropenia (8.3%) and sepsis (6.4%).</w:t>
      </w:r>
    </w:p>
    <w:p w:rsidR="00BA73A5" w:rsidRPr="003253E7" w:rsidRDefault="005978E5" w:rsidP="00BA73A5">
      <w:pPr>
        <w:pStyle w:val="ExecSumBodyText"/>
      </w:pPr>
      <w:r w:rsidRPr="003253E7">
        <w:t>There were 170 (69.1%) total deaths in gilteritinib treated patients (1.40</w:t>
      </w:r>
      <w:r w:rsidR="00063E9C">
        <w:t> </w:t>
      </w:r>
      <w:r w:rsidRPr="003253E7">
        <w:t>events/patient year) and 81 (74.3%) in salvage chemotherapy treated patients (6.81 events/patient year). Treatment-emergent adverse events leading to death were recorded in 71 (28.9%) gilteritinib patients and 16 (14.7%) salvage chemotherapy patients. In the gilteritinib arm</w:t>
      </w:r>
      <w:r w:rsidR="00063E9C">
        <w:t>,</w:t>
      </w:r>
      <w:r w:rsidRPr="003253E7">
        <w:t xml:space="preserve"> deaths were most frequently due to AML (11.4%), septic shock (2.8%), sepsis (2.0%), cardiac arrest (1.6%), lung infection (1.6%) and pneumonia (1.2%). In the salvage chemotherapy arm, deaths were most frequently due to AML (3.7%), sepsis (2.8%), and respiratory failure (1.8%).</w:t>
      </w:r>
    </w:p>
    <w:p w:rsidR="0039132C" w:rsidRPr="003253E7" w:rsidRDefault="00BA73A5" w:rsidP="006919AB">
      <w:pPr>
        <w:pStyle w:val="ExecSumBodyText"/>
      </w:pPr>
      <w:r w:rsidRPr="003253E7">
        <w:t>Several events of special safety interest were defined in the ADMIRAL trial, including liver toxicity, cardiac failure, arrhythmia, muscle injury and gastrointestinal events, as well as posterior reversible encephalopathy syndrome (PRES), differentiation syndrome, and squamous cell skin cancer. In the gilteritinib arm, these events (unadjusted for treatment duration) were experienced by 73.2% of patients, including ALT increased (41.9%), AST increased (40.2%), creatine phosphokinase increased (26.0%), blood bilirubin increased (8.5%), muscle weakness (8.1%), arrhythmia due to QT prolongation (14.2%), and blood creatine phosphokinase increased (5.3%). PRES was recorded in 3.3% of gilteritinib patients. Withdrawal of treatment was reported for patients experiencing increased ALT (1.2%), AST (1.6%), and blood bilirubin (0.4%). In the salvage chemotherapy arm, 33% of patients experienced an event of special safety interest, including ALT increased (9.2%), AST increased (11.9%) and blood bilirubin increased (6.4%). Arrhythmia due to QT prolongation was noted in 1.8%, and PRES in 3.7% of chemotherapy patients. No patients in either treatment arm experienced differentiation syndrome. The submission noted that the different treatment durations across treatment arms should be considered when interpreting these results.</w:t>
      </w:r>
    </w:p>
    <w:p w:rsidR="00D158AC" w:rsidRPr="005743F7" w:rsidRDefault="00D158AC" w:rsidP="006919AB">
      <w:pPr>
        <w:pStyle w:val="ExecSumBodyText"/>
      </w:pPr>
      <w:r w:rsidRPr="005743F7">
        <w:t>Long-term safety data (from later data cuts) indicate</w:t>
      </w:r>
      <w:r w:rsidR="00063E9C" w:rsidRPr="005743F7">
        <w:t>d</w:t>
      </w:r>
      <w:r w:rsidRPr="005743F7">
        <w:t xml:space="preserve"> a lower incidence of adverse events with gilteritinib treatment, but </w:t>
      </w:r>
      <w:r w:rsidR="0022556D">
        <w:t xml:space="preserve">the evaluation advised that </w:t>
      </w:r>
      <w:r w:rsidRPr="005743F7">
        <w:t>small patient numbers remaining alive for up to two years after the primary analysis may limit the generalisability of these results. There was no information regarding safety in post-HSCT gilteritinib patients or comparative safety in patients with or without HSCT in the available published sources.</w:t>
      </w:r>
    </w:p>
    <w:p w:rsidR="00C57321" w:rsidRPr="003253E7" w:rsidRDefault="00C57321" w:rsidP="00C57321">
      <w:pPr>
        <w:pStyle w:val="ExecSumBodyText"/>
      </w:pPr>
      <w:r w:rsidRPr="003253E7">
        <w:t>Important identified risks from the gilteritinib Periodic Safety Update Report (May 2021) include</w:t>
      </w:r>
      <w:r w:rsidR="00346146">
        <w:t>d</w:t>
      </w:r>
      <w:r w:rsidRPr="003253E7">
        <w:t xml:space="preserve">: PRES and differentiation syndrome. Important potential risks include Torsade de Pointes (and implicit prolonged QT), eye disorders, serious gastrointestinal disorders (including bleeding, perforation and paralysis), serious hepatotoxicity, pulmonary adverse events, pancreatitis, embryo-foetal lethality, suppressed foetal growth and teratogenicity. </w:t>
      </w:r>
      <w:r w:rsidR="0022556D">
        <w:t>M</w:t>
      </w:r>
      <w:r w:rsidRPr="003253E7">
        <w:t>issing information include</w:t>
      </w:r>
      <w:r w:rsidR="00063E9C">
        <w:t>d</w:t>
      </w:r>
      <w:r w:rsidRPr="003253E7">
        <w:t xml:space="preserve"> the long-term safety profile for gilteritinib, and safety in patients with renal impairment. </w:t>
      </w:r>
    </w:p>
    <w:p w:rsidR="007F1017" w:rsidRPr="003253E7" w:rsidRDefault="007F1017" w:rsidP="00D86231">
      <w:pPr>
        <w:pStyle w:val="3-SubsectionHeading"/>
      </w:pPr>
      <w:bookmarkStart w:id="37" w:name="_Toc22897643"/>
      <w:bookmarkStart w:id="38" w:name="_Toc82605758"/>
      <w:r w:rsidRPr="003253E7">
        <w:t>Benefits/harms</w:t>
      </w:r>
      <w:bookmarkEnd w:id="37"/>
      <w:bookmarkEnd w:id="38"/>
    </w:p>
    <w:p w:rsidR="00856E0B" w:rsidRPr="003253E7" w:rsidRDefault="00C26AFB" w:rsidP="00856E0B">
      <w:pPr>
        <w:pStyle w:val="ExecSumBodyText"/>
        <w:spacing w:after="0"/>
      </w:pPr>
      <w:bookmarkStart w:id="39" w:name="_Toc22897644"/>
      <w:r w:rsidRPr="003253E7">
        <w:t xml:space="preserve">On the basis of direct evidence presented in the submission (ADMIRAL whole trial population), after approximately </w:t>
      </w:r>
      <w:r w:rsidR="000331EC" w:rsidRPr="003253E7">
        <w:t xml:space="preserve">3 years, </w:t>
      </w:r>
      <w:r w:rsidR="00856E0B" w:rsidRPr="003253E7">
        <w:t>patients treated with gilteritinib compared to salvage chemotherapy had:</w:t>
      </w:r>
    </w:p>
    <w:p w:rsidR="00856E0B" w:rsidRPr="003253E7" w:rsidRDefault="00856E0B" w:rsidP="00E73CF7">
      <w:pPr>
        <w:pStyle w:val="ExecSumBodyText"/>
        <w:numPr>
          <w:ilvl w:val="0"/>
          <w:numId w:val="6"/>
        </w:numPr>
        <w:ind w:left="1077" w:hanging="357"/>
        <w:rPr>
          <w:rFonts w:eastAsia="Calibri"/>
        </w:rPr>
      </w:pPr>
      <w:r w:rsidRPr="003253E7">
        <w:rPr>
          <w:rFonts w:eastAsia="Calibri"/>
        </w:rPr>
        <w:t xml:space="preserve">longer </w:t>
      </w:r>
      <w:r w:rsidR="00E2169A">
        <w:rPr>
          <w:rFonts w:eastAsia="Calibri"/>
        </w:rPr>
        <w:t>OS</w:t>
      </w:r>
      <w:r w:rsidRPr="003253E7">
        <w:rPr>
          <w:rFonts w:eastAsia="Calibri"/>
        </w:rPr>
        <w:t xml:space="preserve"> of approximately 4.3 months.</w:t>
      </w:r>
    </w:p>
    <w:p w:rsidR="00C26AFB" w:rsidRPr="003253E7" w:rsidRDefault="00856E0B" w:rsidP="00A34DD3">
      <w:pPr>
        <w:pStyle w:val="ExecSumBodyText"/>
        <w:numPr>
          <w:ilvl w:val="0"/>
          <w:numId w:val="0"/>
        </w:numPr>
        <w:spacing w:after="0"/>
        <w:ind w:left="720"/>
      </w:pPr>
      <w:r w:rsidRPr="003253E7">
        <w:t>F</w:t>
      </w:r>
      <w:r w:rsidR="00EF3759" w:rsidRPr="003253E7">
        <w:t xml:space="preserve">or every 100 </w:t>
      </w:r>
      <w:r w:rsidR="000331EC" w:rsidRPr="003253E7">
        <w:t>patients treated with gilteritinib compared to salvage chemotherapy:</w:t>
      </w:r>
    </w:p>
    <w:p w:rsidR="005533CF" w:rsidRDefault="005533CF" w:rsidP="00E73CF7">
      <w:pPr>
        <w:pStyle w:val="ExecSumBodyText"/>
        <w:numPr>
          <w:ilvl w:val="0"/>
          <w:numId w:val="6"/>
        </w:numPr>
        <w:ind w:left="1077" w:hanging="357"/>
        <w:contextualSpacing/>
        <w:rPr>
          <w:rFonts w:eastAsia="Calibri"/>
        </w:rPr>
      </w:pPr>
      <w:r>
        <w:rPr>
          <w:rFonts w:eastAsia="Calibri"/>
        </w:rPr>
        <w:t>17</w:t>
      </w:r>
      <w:r w:rsidRPr="003253E7">
        <w:rPr>
          <w:rFonts w:eastAsia="Calibri"/>
        </w:rPr>
        <w:t xml:space="preserve"> additional</w:t>
      </w:r>
      <w:r>
        <w:rPr>
          <w:rFonts w:eastAsia="Calibri"/>
        </w:rPr>
        <w:t xml:space="preserve"> patients would be alive after 1</w:t>
      </w:r>
      <w:r w:rsidRPr="003253E7">
        <w:rPr>
          <w:rFonts w:eastAsia="Calibri"/>
        </w:rPr>
        <w:t xml:space="preserve"> years</w:t>
      </w:r>
      <w:r w:rsidR="00346146">
        <w:rPr>
          <w:rFonts w:eastAsia="Calibri"/>
        </w:rPr>
        <w:t>.</w:t>
      </w:r>
      <w:r w:rsidRPr="003253E7">
        <w:rPr>
          <w:rFonts w:eastAsia="Calibri"/>
        </w:rPr>
        <w:t xml:space="preserve"> </w:t>
      </w:r>
    </w:p>
    <w:p w:rsidR="000331EC" w:rsidRPr="003253E7" w:rsidRDefault="00856E0B" w:rsidP="00E73CF7">
      <w:pPr>
        <w:pStyle w:val="ExecSumBodyText"/>
        <w:numPr>
          <w:ilvl w:val="0"/>
          <w:numId w:val="6"/>
        </w:numPr>
        <w:ind w:left="1077" w:hanging="357"/>
        <w:contextualSpacing/>
        <w:rPr>
          <w:rFonts w:eastAsia="Calibri"/>
        </w:rPr>
      </w:pPr>
      <w:r w:rsidRPr="003253E7">
        <w:rPr>
          <w:rFonts w:eastAsia="Calibri"/>
        </w:rPr>
        <w:t>6 additional patients would be alive after 2 years</w:t>
      </w:r>
      <w:r w:rsidR="00346146">
        <w:rPr>
          <w:rFonts w:eastAsia="Calibri"/>
        </w:rPr>
        <w:t>.</w:t>
      </w:r>
    </w:p>
    <w:p w:rsidR="00EF3759" w:rsidRPr="003253E7" w:rsidRDefault="00856E0B" w:rsidP="00E73CF7">
      <w:pPr>
        <w:pStyle w:val="ExecSumBodyText"/>
        <w:numPr>
          <w:ilvl w:val="0"/>
          <w:numId w:val="6"/>
        </w:numPr>
        <w:ind w:left="1077" w:hanging="357"/>
        <w:rPr>
          <w:rFonts w:eastAsia="Calibri"/>
        </w:rPr>
      </w:pPr>
      <w:r w:rsidRPr="003253E7">
        <w:rPr>
          <w:rFonts w:eastAsia="Calibri"/>
        </w:rPr>
        <w:t>33 additional patients would achieve complete remission (with or without incomplete haematologic or platelet recovery).</w:t>
      </w:r>
      <w:bookmarkEnd w:id="39"/>
    </w:p>
    <w:p w:rsidR="00856E0B" w:rsidRPr="005743F7" w:rsidRDefault="00856E0B" w:rsidP="00826D2C">
      <w:pPr>
        <w:pStyle w:val="ExecSumBodyText"/>
      </w:pPr>
      <w:r w:rsidRPr="005743F7">
        <w:rPr>
          <w:rFonts w:eastAsia="Calibri"/>
        </w:rPr>
        <w:t xml:space="preserve">It was not possible to </w:t>
      </w:r>
      <w:r w:rsidR="00826D2C">
        <w:rPr>
          <w:rFonts w:eastAsia="Calibri"/>
        </w:rPr>
        <w:t xml:space="preserve">reliably </w:t>
      </w:r>
      <w:r w:rsidRPr="005743F7">
        <w:rPr>
          <w:rFonts w:eastAsia="Calibri"/>
        </w:rPr>
        <w:t xml:space="preserve">determine the difference between treatments in the duration of </w:t>
      </w:r>
      <w:r w:rsidR="00E2169A" w:rsidRPr="005743F7">
        <w:rPr>
          <w:rFonts w:eastAsia="Calibri"/>
        </w:rPr>
        <w:t>EFS</w:t>
      </w:r>
      <w:r w:rsidRPr="005743F7">
        <w:rPr>
          <w:rFonts w:eastAsia="Calibri"/>
        </w:rPr>
        <w:t xml:space="preserve"> or duration of remission.</w:t>
      </w:r>
    </w:p>
    <w:p w:rsidR="00EF3759" w:rsidRPr="005743F7" w:rsidRDefault="00EF3759" w:rsidP="00346146">
      <w:pPr>
        <w:pStyle w:val="ExecSumBodyText"/>
        <w:spacing w:after="0"/>
      </w:pPr>
      <w:r w:rsidRPr="005743F7">
        <w:t>A comparison of safety was not possible</w:t>
      </w:r>
      <w:r w:rsidR="00084135">
        <w:t xml:space="preserve"> due to </w:t>
      </w:r>
      <w:r w:rsidR="00B85BAA">
        <w:t xml:space="preserve">significant </w:t>
      </w:r>
      <w:r w:rsidR="00084135">
        <w:t>differences in treatment modality (</w:t>
      </w:r>
      <w:r w:rsidR="00084135" w:rsidRPr="00826D2C">
        <w:t xml:space="preserve">see paragraph </w:t>
      </w:r>
      <w:r w:rsidR="00346146" w:rsidRPr="00826D2C">
        <w:t>6.57</w:t>
      </w:r>
      <w:r w:rsidR="00084135" w:rsidRPr="00826D2C">
        <w:t>)</w:t>
      </w:r>
      <w:r w:rsidRPr="00826D2C">
        <w:t>.</w:t>
      </w:r>
      <w:r w:rsidRPr="005743F7">
        <w:t xml:space="preserve"> </w:t>
      </w:r>
    </w:p>
    <w:p w:rsidR="00EF3759" w:rsidRPr="003253E7" w:rsidRDefault="00EF3759" w:rsidP="00EF3759">
      <w:pPr>
        <w:pStyle w:val="3-SubsectionHeading"/>
      </w:pPr>
      <w:bookmarkStart w:id="40" w:name="_Toc82605759"/>
      <w:r w:rsidRPr="003253E7">
        <w:t>Clinical claim</w:t>
      </w:r>
      <w:bookmarkEnd w:id="40"/>
    </w:p>
    <w:p w:rsidR="00EF3759" w:rsidRPr="005743F7" w:rsidRDefault="00EF3759" w:rsidP="0023584E">
      <w:pPr>
        <w:pStyle w:val="ExecSumBodyText"/>
        <w:rPr>
          <w:rFonts w:eastAsia="Calibri"/>
        </w:rPr>
      </w:pPr>
      <w:r w:rsidRPr="003253E7">
        <w:rPr>
          <w:rFonts w:eastAsia="Calibri"/>
        </w:rPr>
        <w:t xml:space="preserve">The submission described gilteritinib as superior in terms of effectiveness compared to salvage chemotherapy. </w:t>
      </w:r>
      <w:r w:rsidRPr="00C00A16">
        <w:t xml:space="preserve">The </w:t>
      </w:r>
      <w:r w:rsidR="000223B4" w:rsidRPr="00C00A16">
        <w:t>ESC agreed with the evaluation that the</w:t>
      </w:r>
      <w:r w:rsidR="000223B4">
        <w:rPr>
          <w:i/>
        </w:rPr>
        <w:t xml:space="preserve"> </w:t>
      </w:r>
      <w:r w:rsidRPr="005743F7">
        <w:t xml:space="preserve">submission’s efficacy claim may be reasonable in terms of </w:t>
      </w:r>
      <w:r w:rsidR="00E2169A" w:rsidRPr="005743F7">
        <w:t>OS</w:t>
      </w:r>
      <w:r w:rsidRPr="005743F7">
        <w:t xml:space="preserve"> versus salvage chemotherapy. However, long-term survival data may be confounded by the introduction of subsequent leukaemia therapies in some patients after ceasing study treatment, and small patient numbers at later time points. The magnitude of survival benefit in subgroups of patients who do or do not proceed to HSCT </w:t>
      </w:r>
      <w:r w:rsidR="00063E9C" w:rsidRPr="005743F7">
        <w:t>was</w:t>
      </w:r>
      <w:r w:rsidRPr="005743F7">
        <w:t xml:space="preserve"> uncertain. The </w:t>
      </w:r>
      <w:r w:rsidR="00826D2C">
        <w:t xml:space="preserve">evaluation advised that the </w:t>
      </w:r>
      <w:r w:rsidRPr="005743F7">
        <w:t>following issues should be considered:</w:t>
      </w:r>
    </w:p>
    <w:p w:rsidR="00F61E77" w:rsidRDefault="00EF3759" w:rsidP="00E73CF7">
      <w:pPr>
        <w:pStyle w:val="ExecSumBodyText"/>
        <w:numPr>
          <w:ilvl w:val="0"/>
          <w:numId w:val="6"/>
        </w:numPr>
        <w:ind w:left="1077" w:hanging="357"/>
        <w:rPr>
          <w:rFonts w:eastAsia="Calibri"/>
        </w:rPr>
      </w:pPr>
      <w:r w:rsidRPr="003253E7">
        <w:rPr>
          <w:rFonts w:eastAsia="Calibri"/>
        </w:rPr>
        <w:t xml:space="preserve">Salvage chemotherapy treatment duration was considerably shorter than for gilteritinib, and central assessment of response was only performed while on study treatment. Although response rates for gilteritinib treated patients were nominally higher than for salvage chemotherapy patients, measures of duration of response, including </w:t>
      </w:r>
      <w:r w:rsidR="00E2169A">
        <w:rPr>
          <w:rFonts w:eastAsia="Calibri"/>
        </w:rPr>
        <w:t>EFS</w:t>
      </w:r>
      <w:r w:rsidRPr="003253E7">
        <w:rPr>
          <w:rFonts w:eastAsia="Calibri"/>
        </w:rPr>
        <w:t xml:space="preserve">, were unreliable due to a lack of long-term follow up of response </w:t>
      </w:r>
      <w:r w:rsidR="007D09FF" w:rsidRPr="003253E7">
        <w:rPr>
          <w:rFonts w:eastAsia="Calibri"/>
        </w:rPr>
        <w:t>in</w:t>
      </w:r>
      <w:r w:rsidRPr="003253E7">
        <w:rPr>
          <w:rFonts w:eastAsia="Calibri"/>
        </w:rPr>
        <w:t xml:space="preserve"> salvage chemotherapy patients, and a large proportion of patients with no evaluable post-baseline response assessments in the salvage chemotherapy arm.</w:t>
      </w:r>
    </w:p>
    <w:p w:rsidR="00EF3759" w:rsidRPr="00F61E77" w:rsidRDefault="00F61E77" w:rsidP="00E73CF7">
      <w:pPr>
        <w:pStyle w:val="ExecSumBodyText"/>
        <w:numPr>
          <w:ilvl w:val="0"/>
          <w:numId w:val="6"/>
        </w:numPr>
        <w:ind w:left="1077" w:hanging="357"/>
        <w:rPr>
          <w:rFonts w:eastAsia="Calibri"/>
        </w:rPr>
      </w:pPr>
      <w:r w:rsidRPr="00E13883">
        <w:rPr>
          <w:rFonts w:eastAsia="Calibri"/>
        </w:rPr>
        <w:t xml:space="preserve">The applicability of the ADMIRAL trial results to the Australian patient population was highly uncertain, with patients in the trial likely younger and fitter, and with less prior midostaurin use, than the Australian population. </w:t>
      </w:r>
      <w:r w:rsidRPr="00C00A16">
        <w:rPr>
          <w:rFonts w:eastAsia="Calibri"/>
        </w:rPr>
        <w:t xml:space="preserve">The ESC considered that in current practice almost 100% of patients would be using midostaurin in the first line treatment setting and that the impact of prior FLT3 inhibitor use on the efficacy of gilteritinib was uncertain (see paragraph </w:t>
      </w:r>
      <w:r w:rsidR="00346146">
        <w:rPr>
          <w:rFonts w:eastAsia="Calibri"/>
        </w:rPr>
        <w:t>6.25</w:t>
      </w:r>
      <w:r w:rsidRPr="00C00A16">
        <w:rPr>
          <w:rFonts w:eastAsia="Calibri"/>
        </w:rPr>
        <w:t>).</w:t>
      </w:r>
      <w:r>
        <w:rPr>
          <w:rFonts w:eastAsia="Calibri"/>
          <w:i/>
        </w:rPr>
        <w:t xml:space="preserve"> </w:t>
      </w:r>
      <w:r w:rsidRPr="00E13883">
        <w:rPr>
          <w:rFonts w:eastAsia="Calibri"/>
        </w:rPr>
        <w:t xml:space="preserve">The applicability of HSCT rates from the trial to Australian practice was </w:t>
      </w:r>
      <w:r>
        <w:rPr>
          <w:rFonts w:eastAsia="Calibri"/>
        </w:rPr>
        <w:t xml:space="preserve">also </w:t>
      </w:r>
      <w:r w:rsidRPr="00E13883">
        <w:rPr>
          <w:rFonts w:eastAsia="Calibri"/>
        </w:rPr>
        <w:t>unclear. It is possible that the younger, fitter population in the ADMIRAL trial may have permitted higher rates of HSCT than would be observed in the Australian population.</w:t>
      </w:r>
    </w:p>
    <w:p w:rsidR="00EF3759" w:rsidRPr="003253E7" w:rsidRDefault="000223B4" w:rsidP="00E73CF7">
      <w:pPr>
        <w:pStyle w:val="ExecSumBodyText"/>
        <w:numPr>
          <w:ilvl w:val="0"/>
          <w:numId w:val="6"/>
        </w:numPr>
        <w:ind w:left="1077" w:hanging="357"/>
        <w:rPr>
          <w:rFonts w:eastAsia="Calibri"/>
        </w:rPr>
      </w:pPr>
      <w:r w:rsidRPr="00C00A16">
        <w:rPr>
          <w:rFonts w:eastAsia="Calibri"/>
        </w:rPr>
        <w:t>The ESC considered</w:t>
      </w:r>
      <w:r>
        <w:rPr>
          <w:rFonts w:eastAsia="Calibri"/>
          <w:i/>
        </w:rPr>
        <w:t xml:space="preserve"> </w:t>
      </w:r>
      <w:r>
        <w:rPr>
          <w:rFonts w:eastAsia="Calibri"/>
        </w:rPr>
        <w:t>a</w:t>
      </w:r>
      <w:r w:rsidR="00EF3759" w:rsidRPr="003253E7">
        <w:rPr>
          <w:rFonts w:eastAsia="Calibri"/>
        </w:rPr>
        <w:t xml:space="preserve"> treatment benefit for gilteritinib in the post-HSCT maintenance setting was not</w:t>
      </w:r>
      <w:r>
        <w:rPr>
          <w:rFonts w:eastAsia="Calibri"/>
        </w:rPr>
        <w:t xml:space="preserve"> </w:t>
      </w:r>
      <w:r w:rsidR="00EF3759" w:rsidRPr="003253E7">
        <w:rPr>
          <w:rFonts w:eastAsia="Calibri"/>
        </w:rPr>
        <w:t xml:space="preserve">supported, with a lack of documentation and small patient numbers limiting the usefulness of the submission’s analysis. Patients in the trial were only able to resume gilteritinib treatment after a favourable response to HSCT, and it </w:t>
      </w:r>
      <w:r w:rsidR="00757E8C">
        <w:rPr>
          <w:rFonts w:eastAsia="Calibri"/>
        </w:rPr>
        <w:t>was</w:t>
      </w:r>
      <w:r w:rsidR="00EF3759" w:rsidRPr="003253E7">
        <w:rPr>
          <w:rFonts w:eastAsia="Calibri"/>
        </w:rPr>
        <w:t xml:space="preserve"> unclear whether the post-HSCT survival was influenced by differing responses to HSCT rather than resumption of gilteritinib.</w:t>
      </w:r>
      <w:r w:rsidR="00985C9B">
        <w:rPr>
          <w:rFonts w:eastAsia="Calibri"/>
        </w:rPr>
        <w:t xml:space="preserve"> The PBAC agreed with this assessment.</w:t>
      </w:r>
    </w:p>
    <w:p w:rsidR="00EF3759" w:rsidRPr="003253E7" w:rsidRDefault="00EF3759" w:rsidP="00E73CF7">
      <w:pPr>
        <w:pStyle w:val="ExecSumBodyText"/>
        <w:numPr>
          <w:ilvl w:val="0"/>
          <w:numId w:val="6"/>
        </w:numPr>
        <w:ind w:left="1077" w:hanging="357"/>
        <w:rPr>
          <w:rFonts w:eastAsia="Calibri"/>
        </w:rPr>
      </w:pPr>
      <w:r w:rsidRPr="003253E7">
        <w:rPr>
          <w:rFonts w:eastAsia="Calibri"/>
        </w:rPr>
        <w:t>There was limited evidence to support the submission’s claim of cure in all patients who remain alive at 2 years, regardless of disease or HSCT status. There may be potential for cure in patients who maintain durable remission, however available data for gilteritinib patients suggest</w:t>
      </w:r>
      <w:r w:rsidR="00757E8C">
        <w:rPr>
          <w:rFonts w:eastAsia="Calibri"/>
        </w:rPr>
        <w:t>ed</w:t>
      </w:r>
      <w:r w:rsidRPr="003253E7">
        <w:rPr>
          <w:rFonts w:eastAsia="Calibri"/>
        </w:rPr>
        <w:t xml:space="preserve"> that </w:t>
      </w:r>
      <w:r w:rsidR="006B3BB3" w:rsidRPr="003253E7">
        <w:rPr>
          <w:rFonts w:eastAsia="Calibri"/>
        </w:rPr>
        <w:t xml:space="preserve">a </w:t>
      </w:r>
      <w:r w:rsidR="00543D4D" w:rsidRPr="003253E7">
        <w:rPr>
          <w:rFonts w:eastAsia="Calibri"/>
        </w:rPr>
        <w:t>pro</w:t>
      </w:r>
      <w:r w:rsidR="006B3BB3" w:rsidRPr="003253E7">
        <w:rPr>
          <w:rFonts w:eastAsia="Calibri"/>
        </w:rPr>
        <w:t>portion of long-term survivors have some form of active disease (i.e. relapse or treatment failure)</w:t>
      </w:r>
      <w:r w:rsidRPr="003253E7">
        <w:rPr>
          <w:rFonts w:eastAsia="Calibri"/>
        </w:rPr>
        <w:t xml:space="preserve">. </w:t>
      </w:r>
      <w:r w:rsidR="006B3BB3" w:rsidRPr="003253E7">
        <w:rPr>
          <w:rFonts w:eastAsia="Calibri"/>
        </w:rPr>
        <w:t>Therefore</w:t>
      </w:r>
      <w:r w:rsidR="00757E8C">
        <w:rPr>
          <w:rFonts w:eastAsia="Calibri"/>
        </w:rPr>
        <w:t>,</w:t>
      </w:r>
      <w:r w:rsidR="006B3BB3" w:rsidRPr="003253E7">
        <w:rPr>
          <w:rFonts w:eastAsia="Calibri"/>
        </w:rPr>
        <w:t xml:space="preserve"> the assumption that all patients who are alive at 2 years achieve cure appear</w:t>
      </w:r>
      <w:r w:rsidR="00757E8C">
        <w:rPr>
          <w:rFonts w:eastAsia="Calibri"/>
        </w:rPr>
        <w:t>ed</w:t>
      </w:r>
      <w:r w:rsidR="006B3BB3" w:rsidRPr="003253E7">
        <w:rPr>
          <w:rFonts w:eastAsia="Calibri"/>
        </w:rPr>
        <w:t xml:space="preserve"> optimistic. </w:t>
      </w:r>
      <w:r w:rsidRPr="003253E7">
        <w:rPr>
          <w:rFonts w:eastAsia="Calibri"/>
        </w:rPr>
        <w:t xml:space="preserve">Long-term survivor outcomes in the salvage chemotherapy arm were limited and there was a lack of remission and relapse outcomes due to limited follow-up in the ADMIRAL trial. No data were presented on long-term survivors stratified by those with and without HSCT in the ADMIRAL trial. </w:t>
      </w:r>
    </w:p>
    <w:p w:rsidR="005F7588" w:rsidRPr="00B977D2" w:rsidRDefault="00EF3759" w:rsidP="0023584E">
      <w:pPr>
        <w:pStyle w:val="ExecSumBodyText"/>
        <w:rPr>
          <w:rFonts w:eastAsia="Calibri"/>
        </w:rPr>
      </w:pPr>
      <w:r w:rsidRPr="003253E7">
        <w:rPr>
          <w:rFonts w:eastAsia="Calibri"/>
        </w:rPr>
        <w:t xml:space="preserve">The submission described gilteritinib as superior in terms of safety over a comparable time period compared to salvage chemotherapy. </w:t>
      </w:r>
      <w:r w:rsidRPr="005743F7">
        <w:rPr>
          <w:rFonts w:eastAsia="Calibri"/>
        </w:rPr>
        <w:t>Comparison of safety was difficult due to differences in treatment modality. The comparative safety of gilteritinib v</w:t>
      </w:r>
      <w:r w:rsidR="007D09FF" w:rsidRPr="005743F7">
        <w:rPr>
          <w:rFonts w:eastAsia="Calibri"/>
        </w:rPr>
        <w:t>ersu</w:t>
      </w:r>
      <w:r w:rsidRPr="005743F7">
        <w:rPr>
          <w:rFonts w:eastAsia="Calibri"/>
        </w:rPr>
        <w:t>s high and low intensity treatments is likely to be different, however, no data were provided in the submission.</w:t>
      </w:r>
      <w:r w:rsidR="00B85BAA">
        <w:rPr>
          <w:rFonts w:eastAsia="Calibri"/>
          <w:i/>
        </w:rPr>
        <w:t xml:space="preserve"> </w:t>
      </w:r>
    </w:p>
    <w:p w:rsidR="000223B4" w:rsidRDefault="00B85BAA" w:rsidP="0091620B">
      <w:pPr>
        <w:pStyle w:val="ExecSumBodyText"/>
        <w:rPr>
          <w:rFonts w:eastAsia="Calibri"/>
        </w:rPr>
      </w:pPr>
      <w:r w:rsidRPr="00C00A16">
        <w:rPr>
          <w:rFonts w:eastAsia="Calibri"/>
        </w:rPr>
        <w:t xml:space="preserve">The ESC considered </w:t>
      </w:r>
      <w:r w:rsidR="000223B4" w:rsidRPr="00C00A16">
        <w:rPr>
          <w:rFonts w:eastAsia="Calibri"/>
        </w:rPr>
        <w:t>the safety profiles of gilteritinib and salvage chemotherapy were similar in int</w:t>
      </w:r>
      <w:r w:rsidR="005E655F" w:rsidRPr="00C00A16">
        <w:rPr>
          <w:rFonts w:eastAsia="Calibri"/>
        </w:rPr>
        <w:t>ensity but with some important</w:t>
      </w:r>
      <w:r w:rsidR="000223B4" w:rsidRPr="00C00A16">
        <w:rPr>
          <w:rFonts w:eastAsia="Calibri"/>
        </w:rPr>
        <w:t xml:space="preserve"> differences in both type and incidence of adverse effects encountered. Overall, the ESC considered the claim of superior safety was not supported by the data presented in the submission. </w:t>
      </w:r>
      <w:r w:rsidR="00985C9B">
        <w:rPr>
          <w:rFonts w:eastAsia="Calibri"/>
        </w:rPr>
        <w:t>The PBAC agreed with this assessment.</w:t>
      </w:r>
    </w:p>
    <w:p w:rsidR="00985C9B" w:rsidRPr="00985C9B" w:rsidRDefault="00985C9B" w:rsidP="00985C9B">
      <w:pPr>
        <w:pStyle w:val="ExecSumBodyText"/>
      </w:pPr>
      <w:bookmarkStart w:id="41" w:name="_Hlk76376200"/>
      <w:bookmarkStart w:id="42" w:name="_Toc22897645"/>
      <w:bookmarkStart w:id="43" w:name="_Toc22898857"/>
      <w:bookmarkStart w:id="44" w:name="_Toc82605760"/>
      <w:r w:rsidRPr="00985C9B">
        <w:rPr>
          <w:iCs/>
        </w:rPr>
        <w:t>The</w:t>
      </w:r>
      <w:r w:rsidRPr="00985C9B">
        <w:t xml:space="preserve"> PBAC considered that the claim of superior comparative effectiveness was likely reasonable in terms of improved OS over the trial duration, however agreed with the ESC that the magnitude of benefit </w:t>
      </w:r>
      <w:r>
        <w:t xml:space="preserve">over the long term </w:t>
      </w:r>
      <w:r w:rsidRPr="00985C9B">
        <w:t>was uncertain due to issues described above. The PBAC also considered that the long-term remission and relapse outcomes were unclear, although there was a trend towards longer EFS.</w:t>
      </w:r>
    </w:p>
    <w:bookmarkEnd w:id="41"/>
    <w:p w:rsidR="004B44FC" w:rsidRPr="003253E7" w:rsidRDefault="004B44FC" w:rsidP="004B44FC">
      <w:pPr>
        <w:pStyle w:val="3-SubsectionHeading"/>
      </w:pPr>
      <w:r w:rsidRPr="003253E7">
        <w:t>Economic analysis</w:t>
      </w:r>
      <w:bookmarkEnd w:id="42"/>
      <w:bookmarkEnd w:id="43"/>
      <w:bookmarkEnd w:id="44"/>
      <w:r w:rsidRPr="003253E7">
        <w:t xml:space="preserve"> </w:t>
      </w:r>
    </w:p>
    <w:p w:rsidR="004B44FC" w:rsidRPr="003253E7" w:rsidRDefault="004B44FC" w:rsidP="004B44FC">
      <w:pPr>
        <w:pStyle w:val="ExecSumBodyText"/>
      </w:pPr>
      <w:r w:rsidRPr="003253E7">
        <w:t xml:space="preserve">The submission presented a modelled economic evaluation of gilteritinib monotherapy compared to salvage chemotherapy for the treatment of patients with relapsed or refractory AML who have FLT3 mutation. The economic evaluation was based on data from the ADMIRAL trial as well as other modelled variables. The economic evaluation was presented as a cost-utility analysis. </w:t>
      </w:r>
    </w:p>
    <w:p w:rsidR="004B44FC" w:rsidRPr="003253E7" w:rsidRDefault="00FD4C43" w:rsidP="0056121D">
      <w:pPr>
        <w:pStyle w:val="Tableheadingrow"/>
      </w:pPr>
      <w:r>
        <w:t xml:space="preserve">Table </w:t>
      </w:r>
      <w:r w:rsidR="002B6D54">
        <w:rPr>
          <w:noProof/>
        </w:rPr>
        <w:t>7</w:t>
      </w:r>
      <w:r w:rsidR="004B44FC" w:rsidRPr="003253E7">
        <w:t>: Key components of the economic evaluation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311"/>
        <w:gridCol w:w="7706"/>
      </w:tblGrid>
      <w:tr w:rsidR="004B44FC" w:rsidRPr="003253E7" w:rsidTr="0056121D">
        <w:trPr>
          <w:cantSplit/>
          <w:tblHeader/>
        </w:trPr>
        <w:tc>
          <w:tcPr>
            <w:tcW w:w="727" w:type="pct"/>
            <w:shd w:val="clear" w:color="auto" w:fill="auto"/>
            <w:vAlign w:val="center"/>
          </w:tcPr>
          <w:p w:rsidR="004B44FC" w:rsidRPr="003253E7" w:rsidRDefault="004B44FC" w:rsidP="002A46E8">
            <w:pPr>
              <w:keepNext/>
              <w:widowControl w:val="0"/>
              <w:jc w:val="left"/>
              <w:rPr>
                <w:rFonts w:ascii="Arial Narrow" w:eastAsiaTheme="majorEastAsia" w:hAnsi="Arial Narrow" w:cs="Times New Roman"/>
                <w:b/>
                <w:sz w:val="20"/>
              </w:rPr>
            </w:pPr>
            <w:r w:rsidRPr="003253E7">
              <w:rPr>
                <w:rFonts w:ascii="Arial Narrow" w:eastAsiaTheme="majorEastAsia" w:hAnsi="Arial Narrow" w:cs="Times New Roman"/>
                <w:b/>
                <w:sz w:val="20"/>
              </w:rPr>
              <w:t>Component</w:t>
            </w:r>
          </w:p>
        </w:tc>
        <w:tc>
          <w:tcPr>
            <w:tcW w:w="4273" w:type="pct"/>
            <w:shd w:val="clear" w:color="auto" w:fill="auto"/>
            <w:vAlign w:val="center"/>
          </w:tcPr>
          <w:p w:rsidR="004B44FC" w:rsidRPr="003253E7" w:rsidRDefault="004B44FC" w:rsidP="002A46E8">
            <w:pPr>
              <w:keepNext/>
              <w:widowControl w:val="0"/>
              <w:jc w:val="left"/>
              <w:rPr>
                <w:rFonts w:ascii="Arial Narrow" w:eastAsiaTheme="majorEastAsia" w:hAnsi="Arial Narrow" w:cs="Times New Roman"/>
                <w:b/>
                <w:sz w:val="20"/>
              </w:rPr>
            </w:pPr>
            <w:r w:rsidRPr="003253E7">
              <w:rPr>
                <w:rFonts w:ascii="Arial Narrow" w:eastAsiaTheme="majorEastAsia" w:hAnsi="Arial Narrow" w:cs="Times New Roman"/>
                <w:b/>
                <w:sz w:val="20"/>
              </w:rPr>
              <w:t>Summary</w:t>
            </w:r>
          </w:p>
        </w:tc>
      </w:tr>
      <w:tr w:rsidR="004B44FC" w:rsidRPr="003253E7" w:rsidTr="0056121D">
        <w:trPr>
          <w:cantSplit/>
        </w:trPr>
        <w:tc>
          <w:tcPr>
            <w:tcW w:w="727" w:type="pct"/>
            <w:shd w:val="clear" w:color="auto" w:fill="auto"/>
            <w:vAlign w:val="center"/>
          </w:tcPr>
          <w:p w:rsidR="004B44FC" w:rsidRPr="003253E7" w:rsidRDefault="004B44FC" w:rsidP="002A46E8">
            <w:pPr>
              <w:keepNext/>
              <w:widowControl w:val="0"/>
              <w:jc w:val="left"/>
              <w:rPr>
                <w:rFonts w:ascii="Arial Narrow" w:eastAsiaTheme="majorEastAsia" w:hAnsi="Arial Narrow" w:cstheme="majorBidi"/>
                <w:bCs/>
                <w:sz w:val="20"/>
              </w:rPr>
            </w:pPr>
            <w:r w:rsidRPr="003253E7">
              <w:rPr>
                <w:rFonts w:ascii="Arial Narrow" w:eastAsiaTheme="majorEastAsia" w:hAnsi="Arial Narrow" w:cstheme="majorBidi"/>
                <w:bCs/>
                <w:sz w:val="20"/>
              </w:rPr>
              <w:t>Treatments</w:t>
            </w:r>
          </w:p>
        </w:tc>
        <w:tc>
          <w:tcPr>
            <w:tcW w:w="4273" w:type="pct"/>
            <w:shd w:val="clear" w:color="auto" w:fill="auto"/>
            <w:vAlign w:val="center"/>
          </w:tcPr>
          <w:p w:rsidR="004B44FC" w:rsidRPr="003253E7" w:rsidRDefault="004B44FC" w:rsidP="002A46E8">
            <w:pPr>
              <w:keepNext/>
              <w:widowControl w:val="0"/>
              <w:jc w:val="left"/>
              <w:rPr>
                <w:rFonts w:ascii="Arial Narrow" w:eastAsiaTheme="majorEastAsia" w:hAnsi="Arial Narrow" w:cstheme="majorBidi"/>
                <w:bCs/>
                <w:sz w:val="20"/>
              </w:rPr>
            </w:pPr>
            <w:r w:rsidRPr="003253E7">
              <w:rPr>
                <w:rFonts w:ascii="Arial Narrow" w:eastAsiaTheme="majorEastAsia" w:hAnsi="Arial Narrow" w:cstheme="majorBidi"/>
                <w:bCs/>
                <w:sz w:val="20"/>
              </w:rPr>
              <w:t xml:space="preserve">Gilteritinib monotherapy versus salvage chemotherapy (weighted based on distribution of use in the ADMIRAL trial of </w:t>
            </w:r>
            <w:r w:rsidR="005405C7" w:rsidRPr="003253E7">
              <w:rPr>
                <w:rFonts w:ascii="Arial Narrow" w:eastAsiaTheme="majorEastAsia" w:hAnsi="Arial Narrow" w:cstheme="majorBidi"/>
                <w:bCs/>
                <w:sz w:val="20"/>
              </w:rPr>
              <w:t xml:space="preserve">13.7% low dose cytarabine, </w:t>
            </w:r>
            <w:r w:rsidRPr="003253E7">
              <w:rPr>
                <w:rFonts w:ascii="Arial Narrow" w:eastAsiaTheme="majorEastAsia" w:hAnsi="Arial Narrow" w:cstheme="majorBidi"/>
                <w:bCs/>
                <w:sz w:val="20"/>
              </w:rPr>
              <w:t>25.8% azacitidine, 26.6% MEC</w:t>
            </w:r>
            <w:r w:rsidR="005405C7">
              <w:rPr>
                <w:rFonts w:ascii="Arial Narrow" w:eastAsiaTheme="majorEastAsia" w:hAnsi="Arial Narrow" w:cstheme="majorBidi"/>
                <w:bCs/>
                <w:sz w:val="20"/>
              </w:rPr>
              <w:t xml:space="preserve"> and </w:t>
            </w:r>
            <w:r w:rsidR="005405C7" w:rsidRPr="003253E7">
              <w:rPr>
                <w:rFonts w:ascii="Arial Narrow" w:eastAsiaTheme="majorEastAsia" w:hAnsi="Arial Narrow" w:cstheme="majorBidi"/>
                <w:bCs/>
                <w:sz w:val="20"/>
              </w:rPr>
              <w:t>33.9% FLAG-IDA</w:t>
            </w:r>
            <w:r w:rsidRPr="003253E7">
              <w:rPr>
                <w:rFonts w:ascii="Arial Narrow" w:eastAsiaTheme="majorEastAsia" w:hAnsi="Arial Narrow" w:cstheme="majorBidi"/>
                <w:bCs/>
                <w:sz w:val="20"/>
              </w:rPr>
              <w:t>)</w:t>
            </w:r>
          </w:p>
        </w:tc>
      </w:tr>
      <w:tr w:rsidR="004B44FC" w:rsidRPr="003253E7" w:rsidTr="0056121D">
        <w:trPr>
          <w:cantSplit/>
        </w:trPr>
        <w:tc>
          <w:tcPr>
            <w:tcW w:w="727" w:type="pct"/>
            <w:shd w:val="clear" w:color="auto" w:fill="auto"/>
            <w:vAlign w:val="center"/>
          </w:tcPr>
          <w:p w:rsidR="004B44FC" w:rsidRPr="003253E7" w:rsidRDefault="004B44FC" w:rsidP="001E2B70">
            <w:pPr>
              <w:widowControl w:val="0"/>
              <w:jc w:val="left"/>
              <w:rPr>
                <w:rFonts w:ascii="Arial Narrow" w:eastAsiaTheme="majorEastAsia" w:hAnsi="Arial Narrow" w:cstheme="majorBidi"/>
                <w:bCs/>
                <w:sz w:val="20"/>
              </w:rPr>
            </w:pPr>
            <w:r w:rsidRPr="003253E7">
              <w:rPr>
                <w:rFonts w:ascii="Arial Narrow" w:eastAsiaTheme="majorEastAsia" w:hAnsi="Arial Narrow" w:cstheme="majorBidi"/>
                <w:bCs/>
                <w:sz w:val="20"/>
              </w:rPr>
              <w:t>Time horizon</w:t>
            </w:r>
          </w:p>
        </w:tc>
        <w:tc>
          <w:tcPr>
            <w:tcW w:w="4273" w:type="pct"/>
            <w:shd w:val="clear" w:color="auto" w:fill="auto"/>
            <w:vAlign w:val="center"/>
          </w:tcPr>
          <w:p w:rsidR="004B44FC" w:rsidRPr="003253E7" w:rsidRDefault="004B44FC" w:rsidP="001E2B70">
            <w:pPr>
              <w:widowControl w:val="0"/>
              <w:jc w:val="left"/>
              <w:rPr>
                <w:rFonts w:ascii="Arial Narrow" w:eastAsiaTheme="majorEastAsia" w:hAnsi="Arial Narrow" w:cstheme="majorBidi"/>
                <w:bCs/>
                <w:sz w:val="20"/>
              </w:rPr>
            </w:pPr>
            <w:r w:rsidRPr="003253E7">
              <w:rPr>
                <w:rFonts w:ascii="Arial Narrow" w:eastAsiaTheme="majorEastAsia" w:hAnsi="Arial Narrow" w:cstheme="majorBidi"/>
                <w:bCs/>
                <w:sz w:val="20"/>
              </w:rPr>
              <w:t>40 years in the model base case versus median follow-up of 30 months in the ADMIRAL trial</w:t>
            </w:r>
          </w:p>
        </w:tc>
      </w:tr>
      <w:tr w:rsidR="004B44FC" w:rsidRPr="003253E7" w:rsidTr="0056121D">
        <w:trPr>
          <w:cantSplit/>
        </w:trPr>
        <w:tc>
          <w:tcPr>
            <w:tcW w:w="727" w:type="pct"/>
            <w:shd w:val="clear" w:color="auto" w:fill="auto"/>
            <w:vAlign w:val="center"/>
          </w:tcPr>
          <w:p w:rsidR="004B44FC" w:rsidRPr="003253E7" w:rsidRDefault="004B44FC" w:rsidP="001E2B70">
            <w:pPr>
              <w:widowControl w:val="0"/>
              <w:jc w:val="left"/>
              <w:rPr>
                <w:rFonts w:ascii="Arial Narrow" w:eastAsiaTheme="majorEastAsia" w:hAnsi="Arial Narrow" w:cstheme="majorBidi"/>
                <w:bCs/>
                <w:sz w:val="20"/>
              </w:rPr>
            </w:pPr>
            <w:r w:rsidRPr="003253E7">
              <w:rPr>
                <w:rFonts w:ascii="Arial Narrow" w:eastAsiaTheme="majorEastAsia" w:hAnsi="Arial Narrow" w:cstheme="majorBidi"/>
                <w:bCs/>
                <w:sz w:val="20"/>
              </w:rPr>
              <w:t>Outcomes</w:t>
            </w:r>
          </w:p>
        </w:tc>
        <w:tc>
          <w:tcPr>
            <w:tcW w:w="4273" w:type="pct"/>
            <w:shd w:val="clear" w:color="auto" w:fill="auto"/>
            <w:vAlign w:val="center"/>
          </w:tcPr>
          <w:p w:rsidR="004B44FC" w:rsidRPr="003253E7" w:rsidRDefault="004B44FC" w:rsidP="001E2B70">
            <w:pPr>
              <w:widowControl w:val="0"/>
              <w:jc w:val="left"/>
              <w:rPr>
                <w:rFonts w:ascii="Arial Narrow" w:eastAsiaTheme="majorEastAsia" w:hAnsi="Arial Narrow" w:cstheme="majorBidi"/>
                <w:bCs/>
                <w:sz w:val="20"/>
              </w:rPr>
            </w:pPr>
            <w:r w:rsidRPr="003253E7">
              <w:rPr>
                <w:rFonts w:ascii="Arial Narrow" w:eastAsiaTheme="majorEastAsia" w:hAnsi="Arial Narrow" w:cstheme="majorBidi"/>
                <w:bCs/>
                <w:sz w:val="20"/>
              </w:rPr>
              <w:t>Life years, quality-adjusted life years</w:t>
            </w:r>
          </w:p>
        </w:tc>
      </w:tr>
      <w:tr w:rsidR="004B44FC" w:rsidRPr="003253E7" w:rsidTr="0056121D">
        <w:trPr>
          <w:cantSplit/>
        </w:trPr>
        <w:tc>
          <w:tcPr>
            <w:tcW w:w="727" w:type="pct"/>
            <w:shd w:val="clear" w:color="auto" w:fill="auto"/>
            <w:vAlign w:val="center"/>
          </w:tcPr>
          <w:p w:rsidR="004B44FC" w:rsidRPr="003253E7" w:rsidRDefault="004B44FC" w:rsidP="001E2B70">
            <w:pPr>
              <w:widowControl w:val="0"/>
              <w:jc w:val="left"/>
              <w:rPr>
                <w:rFonts w:ascii="Arial Narrow" w:eastAsiaTheme="majorEastAsia" w:hAnsi="Arial Narrow" w:cstheme="majorBidi"/>
                <w:bCs/>
                <w:sz w:val="20"/>
              </w:rPr>
            </w:pPr>
            <w:r w:rsidRPr="003253E7">
              <w:rPr>
                <w:rFonts w:ascii="Arial Narrow" w:eastAsiaTheme="majorEastAsia" w:hAnsi="Arial Narrow" w:cstheme="majorBidi"/>
                <w:bCs/>
                <w:sz w:val="20"/>
              </w:rPr>
              <w:t>Methods used to generate results</w:t>
            </w:r>
          </w:p>
        </w:tc>
        <w:tc>
          <w:tcPr>
            <w:tcW w:w="4273" w:type="pct"/>
            <w:shd w:val="clear" w:color="auto" w:fill="auto"/>
            <w:vAlign w:val="center"/>
          </w:tcPr>
          <w:p w:rsidR="004B44FC" w:rsidRPr="003253E7" w:rsidRDefault="004B44FC" w:rsidP="001E2B70">
            <w:pPr>
              <w:widowControl w:val="0"/>
              <w:jc w:val="left"/>
              <w:rPr>
                <w:rFonts w:ascii="Arial Narrow" w:eastAsiaTheme="majorEastAsia" w:hAnsi="Arial Narrow" w:cstheme="majorBidi"/>
                <w:bCs/>
                <w:sz w:val="20"/>
              </w:rPr>
            </w:pPr>
            <w:r w:rsidRPr="003253E7">
              <w:rPr>
                <w:rFonts w:ascii="Arial Narrow" w:eastAsiaTheme="majorEastAsia" w:hAnsi="Arial Narrow" w:cstheme="majorBidi"/>
                <w:bCs/>
                <w:sz w:val="20"/>
              </w:rPr>
              <w:t>Hybrid decision-tree and partitioned survival analysis</w:t>
            </w:r>
          </w:p>
        </w:tc>
      </w:tr>
      <w:tr w:rsidR="004B44FC" w:rsidRPr="003253E7" w:rsidTr="0056121D">
        <w:trPr>
          <w:cantSplit/>
        </w:trPr>
        <w:tc>
          <w:tcPr>
            <w:tcW w:w="727" w:type="pct"/>
            <w:shd w:val="clear" w:color="auto" w:fill="auto"/>
            <w:vAlign w:val="center"/>
          </w:tcPr>
          <w:p w:rsidR="004B44FC" w:rsidRPr="003253E7" w:rsidRDefault="004B44FC" w:rsidP="001E2B70">
            <w:pPr>
              <w:widowControl w:val="0"/>
              <w:jc w:val="left"/>
              <w:rPr>
                <w:rFonts w:ascii="Arial Narrow" w:eastAsiaTheme="majorEastAsia" w:hAnsi="Arial Narrow" w:cstheme="majorBidi"/>
                <w:bCs/>
                <w:sz w:val="20"/>
              </w:rPr>
            </w:pPr>
            <w:r w:rsidRPr="003253E7">
              <w:rPr>
                <w:rFonts w:ascii="Arial Narrow" w:eastAsiaTheme="majorEastAsia" w:hAnsi="Arial Narrow" w:cstheme="majorBidi"/>
                <w:bCs/>
                <w:sz w:val="20"/>
              </w:rPr>
              <w:t>Health states</w:t>
            </w:r>
          </w:p>
        </w:tc>
        <w:tc>
          <w:tcPr>
            <w:tcW w:w="4273" w:type="pct"/>
            <w:shd w:val="clear" w:color="auto" w:fill="auto"/>
            <w:vAlign w:val="center"/>
          </w:tcPr>
          <w:p w:rsidR="004B44FC" w:rsidRPr="003253E7" w:rsidRDefault="004B44FC" w:rsidP="001E2B70">
            <w:pPr>
              <w:widowControl w:val="0"/>
              <w:jc w:val="left"/>
              <w:rPr>
                <w:rFonts w:ascii="Arial Narrow" w:eastAsiaTheme="majorEastAsia" w:hAnsi="Arial Narrow" w:cstheme="majorBidi"/>
                <w:bCs/>
                <w:sz w:val="20"/>
              </w:rPr>
            </w:pPr>
            <w:r w:rsidRPr="003253E7">
              <w:rPr>
                <w:rFonts w:ascii="Arial Narrow" w:eastAsiaTheme="majorEastAsia" w:hAnsi="Arial Narrow" w:cstheme="majorBidi"/>
                <w:bCs/>
                <w:sz w:val="20"/>
              </w:rPr>
              <w:t>Decision-tree stratified patients to With HSCT and No HSCT cohorts, followed by two separate partitioned survival analyses with three states (event-free, post-event and dead).</w:t>
            </w:r>
          </w:p>
        </w:tc>
      </w:tr>
      <w:tr w:rsidR="004B44FC" w:rsidRPr="003253E7" w:rsidTr="0056121D">
        <w:trPr>
          <w:cantSplit/>
        </w:trPr>
        <w:tc>
          <w:tcPr>
            <w:tcW w:w="727" w:type="pct"/>
            <w:shd w:val="clear" w:color="auto" w:fill="auto"/>
            <w:vAlign w:val="center"/>
          </w:tcPr>
          <w:p w:rsidR="004B44FC" w:rsidRPr="003253E7" w:rsidRDefault="004B44FC" w:rsidP="001E2B70">
            <w:pPr>
              <w:widowControl w:val="0"/>
              <w:jc w:val="left"/>
              <w:rPr>
                <w:rFonts w:ascii="Arial Narrow" w:eastAsiaTheme="majorEastAsia" w:hAnsi="Arial Narrow" w:cstheme="majorBidi"/>
                <w:bCs/>
                <w:sz w:val="20"/>
              </w:rPr>
            </w:pPr>
            <w:r w:rsidRPr="003253E7">
              <w:rPr>
                <w:rFonts w:ascii="Arial Narrow" w:eastAsiaTheme="majorEastAsia" w:hAnsi="Arial Narrow" w:cstheme="majorBidi"/>
                <w:bCs/>
                <w:sz w:val="20"/>
              </w:rPr>
              <w:t>Cycle length</w:t>
            </w:r>
          </w:p>
        </w:tc>
        <w:tc>
          <w:tcPr>
            <w:tcW w:w="4273" w:type="pct"/>
            <w:shd w:val="clear" w:color="auto" w:fill="auto"/>
            <w:vAlign w:val="center"/>
          </w:tcPr>
          <w:p w:rsidR="004B44FC" w:rsidRPr="003253E7" w:rsidRDefault="004B44FC" w:rsidP="001E2B70">
            <w:pPr>
              <w:widowControl w:val="0"/>
              <w:jc w:val="left"/>
              <w:rPr>
                <w:rFonts w:ascii="Arial Narrow" w:eastAsiaTheme="majorEastAsia" w:hAnsi="Arial Narrow" w:cstheme="majorBidi"/>
                <w:bCs/>
                <w:sz w:val="20"/>
              </w:rPr>
            </w:pPr>
            <w:r w:rsidRPr="003253E7">
              <w:rPr>
                <w:rFonts w:ascii="Arial Narrow" w:eastAsiaTheme="majorEastAsia" w:hAnsi="Arial Narrow" w:cstheme="majorBidi"/>
                <w:bCs/>
                <w:sz w:val="20"/>
              </w:rPr>
              <w:t>1 month</w:t>
            </w:r>
          </w:p>
        </w:tc>
      </w:tr>
      <w:tr w:rsidR="004B44FC" w:rsidRPr="003253E7" w:rsidTr="0056121D">
        <w:trPr>
          <w:cantSplit/>
        </w:trPr>
        <w:tc>
          <w:tcPr>
            <w:tcW w:w="727" w:type="pct"/>
            <w:shd w:val="clear" w:color="auto" w:fill="auto"/>
            <w:vAlign w:val="center"/>
          </w:tcPr>
          <w:p w:rsidR="004B44FC" w:rsidRPr="003253E7" w:rsidRDefault="004B44FC" w:rsidP="001E2B70">
            <w:pPr>
              <w:widowControl w:val="0"/>
              <w:jc w:val="left"/>
              <w:rPr>
                <w:rFonts w:ascii="Arial Narrow" w:eastAsiaTheme="majorEastAsia" w:hAnsi="Arial Narrow" w:cstheme="majorBidi"/>
                <w:bCs/>
                <w:sz w:val="20"/>
              </w:rPr>
            </w:pPr>
            <w:r w:rsidRPr="003253E7">
              <w:rPr>
                <w:rFonts w:ascii="Arial Narrow" w:eastAsiaTheme="majorEastAsia" w:hAnsi="Arial Narrow" w:cstheme="majorBidi"/>
                <w:bCs/>
                <w:sz w:val="20"/>
              </w:rPr>
              <w:t>Allocation to health states</w:t>
            </w:r>
          </w:p>
        </w:tc>
        <w:tc>
          <w:tcPr>
            <w:tcW w:w="4273" w:type="pct"/>
            <w:shd w:val="clear" w:color="auto" w:fill="auto"/>
            <w:vAlign w:val="center"/>
          </w:tcPr>
          <w:p w:rsidR="004B44FC" w:rsidRPr="003253E7" w:rsidRDefault="004B44FC" w:rsidP="001E2B70">
            <w:pPr>
              <w:widowControl w:val="0"/>
              <w:jc w:val="left"/>
              <w:rPr>
                <w:rFonts w:ascii="Arial Narrow" w:eastAsiaTheme="majorEastAsia" w:hAnsi="Arial Narrow" w:cstheme="majorBidi"/>
                <w:bCs/>
                <w:sz w:val="20"/>
              </w:rPr>
            </w:pPr>
            <w:r w:rsidRPr="003253E7">
              <w:rPr>
                <w:rFonts w:ascii="Arial Narrow" w:eastAsiaTheme="majorEastAsia" w:hAnsi="Arial Narrow" w:cstheme="majorBidi"/>
                <w:bCs/>
                <w:sz w:val="20"/>
              </w:rPr>
              <w:t xml:space="preserve">After initiating treatment with gilteritinib or salvage chemotherapy, patients </w:t>
            </w:r>
            <w:r w:rsidR="00757E8C">
              <w:rPr>
                <w:rFonts w:ascii="Arial Narrow" w:eastAsiaTheme="majorEastAsia" w:hAnsi="Arial Narrow" w:cstheme="majorBidi"/>
                <w:bCs/>
                <w:sz w:val="20"/>
              </w:rPr>
              <w:t>were</w:t>
            </w:r>
            <w:r w:rsidR="00757E8C" w:rsidRPr="003253E7">
              <w:rPr>
                <w:rFonts w:ascii="Arial Narrow" w:eastAsiaTheme="majorEastAsia" w:hAnsi="Arial Narrow" w:cstheme="majorBidi"/>
                <w:bCs/>
                <w:sz w:val="20"/>
              </w:rPr>
              <w:t xml:space="preserve"> </w:t>
            </w:r>
            <w:r w:rsidRPr="003253E7">
              <w:rPr>
                <w:rFonts w:ascii="Arial Narrow" w:eastAsiaTheme="majorEastAsia" w:hAnsi="Arial Narrow" w:cstheme="majorBidi"/>
                <w:bCs/>
                <w:sz w:val="20"/>
              </w:rPr>
              <w:t xml:space="preserve">subdivided into two groups </w:t>
            </w:r>
            <w:r w:rsidR="007C5A0E">
              <w:rPr>
                <w:rFonts w:ascii="Arial Narrow" w:eastAsiaTheme="majorEastAsia" w:hAnsi="Arial Narrow" w:cstheme="majorBidi"/>
                <w:bCs/>
                <w:sz w:val="20"/>
              </w:rPr>
              <w:t xml:space="preserve">(With HSCT and No HSCT) </w:t>
            </w:r>
            <w:r w:rsidRPr="003253E7">
              <w:rPr>
                <w:rFonts w:ascii="Arial Narrow" w:eastAsiaTheme="majorEastAsia" w:hAnsi="Arial Narrow" w:cstheme="majorBidi"/>
                <w:bCs/>
                <w:sz w:val="20"/>
              </w:rPr>
              <w:t>according to whether they receive</w:t>
            </w:r>
            <w:r w:rsidR="00757E8C">
              <w:rPr>
                <w:rFonts w:ascii="Arial Narrow" w:eastAsiaTheme="majorEastAsia" w:hAnsi="Arial Narrow" w:cstheme="majorBidi"/>
                <w:bCs/>
                <w:sz w:val="20"/>
              </w:rPr>
              <w:t>d</w:t>
            </w:r>
            <w:r w:rsidRPr="003253E7">
              <w:rPr>
                <w:rFonts w:ascii="Arial Narrow" w:eastAsiaTheme="majorEastAsia" w:hAnsi="Arial Narrow" w:cstheme="majorBidi"/>
                <w:bCs/>
                <w:sz w:val="20"/>
              </w:rPr>
              <w:t xml:space="preserve"> HSCT after initial treatment in the ADMIRAL trial (gilteritinib 25.5%, salvage chemotherapy, 15.3%).  For each treatment option, separate partitioned survival analyses </w:t>
            </w:r>
            <w:r w:rsidR="00757E8C">
              <w:rPr>
                <w:rFonts w:ascii="Arial Narrow" w:eastAsiaTheme="majorEastAsia" w:hAnsi="Arial Narrow" w:cstheme="majorBidi"/>
                <w:bCs/>
                <w:sz w:val="20"/>
              </w:rPr>
              <w:t>were</w:t>
            </w:r>
            <w:r w:rsidR="00757E8C" w:rsidRPr="003253E7">
              <w:rPr>
                <w:rFonts w:ascii="Arial Narrow" w:eastAsiaTheme="majorEastAsia" w:hAnsi="Arial Narrow" w:cstheme="majorBidi"/>
                <w:bCs/>
                <w:sz w:val="20"/>
              </w:rPr>
              <w:t xml:space="preserve"> </w:t>
            </w:r>
            <w:r w:rsidRPr="003253E7">
              <w:rPr>
                <w:rFonts w:ascii="Arial Narrow" w:eastAsiaTheme="majorEastAsia" w:hAnsi="Arial Narrow" w:cstheme="majorBidi"/>
                <w:bCs/>
                <w:sz w:val="20"/>
              </w:rPr>
              <w:t>used to estimate health state occupancy in three states (event-free, post-event and dead). The probability of entering/remaining in these states was dependent on cumulative probabilities derived from separately modelled EFS and OS survival curves for the No HSCT and With HSCT cohorts. To determine health state occupancy for the overall population, HSCT rates in the ADMIRAL trial were used to combine the With HSCT and No HSCT cohorts into a single model trace. This trace formed the basis for the cost and QALY calculations for each treatment group.</w:t>
            </w:r>
          </w:p>
          <w:p w:rsidR="004B44FC" w:rsidRPr="003253E7" w:rsidRDefault="004B44FC" w:rsidP="001E2B70">
            <w:pPr>
              <w:widowControl w:val="0"/>
              <w:jc w:val="left"/>
              <w:rPr>
                <w:rFonts w:ascii="Arial Narrow" w:eastAsiaTheme="majorEastAsia" w:hAnsi="Arial Narrow" w:cstheme="majorBidi"/>
                <w:bCs/>
                <w:sz w:val="20"/>
              </w:rPr>
            </w:pPr>
          </w:p>
          <w:p w:rsidR="004B44FC" w:rsidRPr="003253E7" w:rsidRDefault="004B44FC" w:rsidP="001E2B70">
            <w:pPr>
              <w:widowControl w:val="0"/>
              <w:jc w:val="left"/>
              <w:rPr>
                <w:rFonts w:ascii="Arial Narrow" w:eastAsiaTheme="majorEastAsia" w:hAnsi="Arial Narrow" w:cstheme="majorBidi"/>
                <w:bCs/>
                <w:sz w:val="20"/>
              </w:rPr>
            </w:pPr>
            <w:r w:rsidRPr="003253E7">
              <w:rPr>
                <w:rFonts w:ascii="Arial Narrow" w:eastAsiaTheme="majorEastAsia" w:hAnsi="Arial Narrow" w:cstheme="majorBidi"/>
                <w:bCs/>
                <w:sz w:val="20"/>
              </w:rPr>
              <w:t xml:space="preserve">No HSCT OS was modelled using individual arm KM data from the ADMIRAL trial (data cut unreported) until 12 months in the gilteritinib arm and 9 months in the salvage chemotherapy arm, then extrapolated using the log-logistic function to 2 years. From 2 years to 40 years, OS was informed by general population mortality adjusted using a </w:t>
            </w:r>
            <w:r w:rsidR="00685CC9">
              <w:rPr>
                <w:rFonts w:ascii="Arial Narrow" w:eastAsiaTheme="majorEastAsia" w:hAnsi="Arial Narrow" w:cstheme="majorBidi"/>
                <w:bCs/>
                <w:sz w:val="20"/>
              </w:rPr>
              <w:t>standardised mortality ratio</w:t>
            </w:r>
            <w:r w:rsidR="00685CC9" w:rsidRPr="003253E7">
              <w:rPr>
                <w:rFonts w:ascii="Arial Narrow" w:eastAsiaTheme="majorEastAsia" w:hAnsi="Arial Narrow" w:cstheme="majorBidi"/>
                <w:bCs/>
                <w:sz w:val="20"/>
              </w:rPr>
              <w:t xml:space="preserve"> </w:t>
            </w:r>
            <w:r w:rsidR="00685CC9">
              <w:rPr>
                <w:rFonts w:ascii="Arial Narrow" w:eastAsiaTheme="majorEastAsia" w:hAnsi="Arial Narrow" w:cstheme="majorBidi"/>
                <w:bCs/>
                <w:sz w:val="20"/>
              </w:rPr>
              <w:t>(</w:t>
            </w:r>
            <w:r w:rsidRPr="003253E7">
              <w:rPr>
                <w:rFonts w:ascii="Arial Narrow" w:eastAsiaTheme="majorEastAsia" w:hAnsi="Arial Narrow" w:cstheme="majorBidi"/>
                <w:bCs/>
                <w:sz w:val="20"/>
              </w:rPr>
              <w:t>SMR</w:t>
            </w:r>
            <w:r w:rsidR="00685CC9">
              <w:rPr>
                <w:rFonts w:ascii="Arial Narrow" w:eastAsiaTheme="majorEastAsia" w:hAnsi="Arial Narrow" w:cstheme="majorBidi"/>
                <w:bCs/>
                <w:sz w:val="20"/>
              </w:rPr>
              <w:t>)</w:t>
            </w:r>
            <w:r w:rsidRPr="003253E7">
              <w:rPr>
                <w:rFonts w:ascii="Arial Narrow" w:eastAsiaTheme="majorEastAsia" w:hAnsi="Arial Narrow" w:cstheme="majorBidi"/>
                <w:bCs/>
                <w:sz w:val="20"/>
              </w:rPr>
              <w:t xml:space="preserve"> of 2.0.</w:t>
            </w:r>
          </w:p>
          <w:p w:rsidR="004B44FC" w:rsidRPr="003253E7" w:rsidRDefault="004B44FC" w:rsidP="001E2B70">
            <w:pPr>
              <w:widowControl w:val="0"/>
              <w:jc w:val="left"/>
              <w:rPr>
                <w:rFonts w:ascii="Arial Narrow" w:eastAsiaTheme="majorEastAsia" w:hAnsi="Arial Narrow" w:cstheme="majorBidi"/>
                <w:bCs/>
                <w:sz w:val="20"/>
              </w:rPr>
            </w:pPr>
          </w:p>
          <w:p w:rsidR="004B44FC" w:rsidRPr="003253E7" w:rsidRDefault="004B44FC" w:rsidP="001E2B70">
            <w:pPr>
              <w:widowControl w:val="0"/>
              <w:jc w:val="left"/>
              <w:rPr>
                <w:rFonts w:ascii="Arial Narrow" w:eastAsiaTheme="majorEastAsia" w:hAnsi="Arial Narrow" w:cstheme="majorBidi"/>
                <w:bCs/>
                <w:sz w:val="20"/>
              </w:rPr>
            </w:pPr>
            <w:r w:rsidRPr="003253E7">
              <w:rPr>
                <w:rFonts w:ascii="Arial Narrow" w:eastAsiaTheme="majorEastAsia" w:hAnsi="Arial Narrow" w:cstheme="majorBidi"/>
                <w:bCs/>
                <w:sz w:val="20"/>
              </w:rPr>
              <w:t>No HSCT EFS was modelled using individual arm KM data from the ADMIRAL trial (data cut unreported, adjusted for treatment failures at Day 0) until 6 months, then extrapolated to 40 years using the log-logistic function in the gilteritinib arm and the log-normal function in the salvage chemotherapy arm.</w:t>
            </w:r>
          </w:p>
          <w:p w:rsidR="004B44FC" w:rsidRPr="003253E7" w:rsidRDefault="004B44FC" w:rsidP="001E2B70">
            <w:pPr>
              <w:widowControl w:val="0"/>
              <w:jc w:val="left"/>
              <w:rPr>
                <w:rFonts w:ascii="Arial Narrow" w:eastAsiaTheme="majorEastAsia" w:hAnsi="Arial Narrow" w:cstheme="majorBidi"/>
                <w:bCs/>
                <w:sz w:val="20"/>
              </w:rPr>
            </w:pPr>
          </w:p>
          <w:p w:rsidR="004B44FC" w:rsidRPr="003253E7" w:rsidRDefault="004B44FC" w:rsidP="001E2B70">
            <w:pPr>
              <w:widowControl w:val="0"/>
              <w:jc w:val="left"/>
              <w:rPr>
                <w:rFonts w:ascii="Arial Narrow" w:eastAsiaTheme="majorEastAsia" w:hAnsi="Arial Narrow" w:cstheme="majorBidi"/>
                <w:bCs/>
                <w:sz w:val="20"/>
              </w:rPr>
            </w:pPr>
            <w:r w:rsidRPr="003253E7">
              <w:rPr>
                <w:rFonts w:ascii="Arial Narrow" w:eastAsiaTheme="majorEastAsia" w:hAnsi="Arial Narrow" w:cstheme="majorBidi"/>
                <w:bCs/>
                <w:sz w:val="20"/>
              </w:rPr>
              <w:t>In the With HSCT cohort, no deaths or events were assumed to occur from baseline to 4 months in the gilteritinib arm and to 3 months in the salvage chemotherapy arm (</w:t>
            </w:r>
            <w:r w:rsidR="00386891">
              <w:rPr>
                <w:rFonts w:ascii="Arial Narrow" w:eastAsiaTheme="majorEastAsia" w:hAnsi="Arial Narrow" w:cstheme="majorBidi"/>
                <w:bCs/>
                <w:sz w:val="20"/>
              </w:rPr>
              <w:t>fixed interval</w:t>
            </w:r>
            <w:r w:rsidR="00CC1D1A">
              <w:rPr>
                <w:rFonts w:ascii="Arial Narrow" w:eastAsiaTheme="majorEastAsia" w:hAnsi="Arial Narrow" w:cstheme="majorBidi"/>
                <w:bCs/>
                <w:sz w:val="20"/>
              </w:rPr>
              <w:t>s</w:t>
            </w:r>
            <w:r w:rsidR="00386891">
              <w:rPr>
                <w:rFonts w:ascii="Arial Narrow" w:eastAsiaTheme="majorEastAsia" w:hAnsi="Arial Narrow" w:cstheme="majorBidi"/>
                <w:bCs/>
                <w:sz w:val="20"/>
              </w:rPr>
              <w:t xml:space="preserve"> </w:t>
            </w:r>
            <w:r w:rsidR="00CC1D1A">
              <w:rPr>
                <w:rFonts w:ascii="Arial Narrow" w:eastAsiaTheme="majorEastAsia" w:hAnsi="Arial Narrow" w:cstheme="majorBidi"/>
                <w:bCs/>
                <w:sz w:val="20"/>
              </w:rPr>
              <w:t>based on an analysis of ADMIRAL trial</w:t>
            </w:r>
            <w:r w:rsidR="00685DD6">
              <w:rPr>
                <w:rFonts w:ascii="Arial Narrow" w:eastAsiaTheme="majorEastAsia" w:hAnsi="Arial Narrow" w:cstheme="majorBidi"/>
                <w:bCs/>
                <w:sz w:val="20"/>
              </w:rPr>
              <w:t xml:space="preserve"> data</w:t>
            </w:r>
            <w:r w:rsidR="00CC1D1A">
              <w:rPr>
                <w:rFonts w:ascii="Arial Narrow" w:eastAsiaTheme="majorEastAsia" w:hAnsi="Arial Narrow" w:cstheme="majorBidi"/>
                <w:bCs/>
                <w:sz w:val="20"/>
              </w:rPr>
              <w:t xml:space="preserve">, </w:t>
            </w:r>
            <w:r w:rsidRPr="003253E7">
              <w:rPr>
                <w:rFonts w:ascii="Arial Narrow" w:eastAsiaTheme="majorEastAsia" w:hAnsi="Arial Narrow" w:cstheme="majorBidi"/>
                <w:bCs/>
                <w:sz w:val="20"/>
              </w:rPr>
              <w:t xml:space="preserve">source not provided). </w:t>
            </w:r>
          </w:p>
          <w:p w:rsidR="004B44FC" w:rsidRPr="003253E7" w:rsidRDefault="004B44FC" w:rsidP="001E2B70">
            <w:pPr>
              <w:widowControl w:val="0"/>
              <w:jc w:val="left"/>
              <w:rPr>
                <w:rFonts w:ascii="Arial Narrow" w:eastAsiaTheme="majorEastAsia" w:hAnsi="Arial Narrow" w:cstheme="majorBidi"/>
                <w:bCs/>
                <w:sz w:val="20"/>
              </w:rPr>
            </w:pPr>
          </w:p>
          <w:p w:rsidR="004B44FC" w:rsidRPr="003253E7" w:rsidRDefault="004B44FC" w:rsidP="001E2B70">
            <w:pPr>
              <w:widowControl w:val="0"/>
              <w:jc w:val="left"/>
              <w:rPr>
                <w:rFonts w:ascii="Arial Narrow" w:eastAsiaTheme="majorEastAsia" w:hAnsi="Arial Narrow" w:cstheme="majorBidi"/>
                <w:bCs/>
                <w:sz w:val="20"/>
              </w:rPr>
            </w:pPr>
            <w:r w:rsidRPr="003253E7">
              <w:rPr>
                <w:rFonts w:ascii="Arial Narrow" w:eastAsiaTheme="majorEastAsia" w:hAnsi="Arial Narrow" w:cstheme="majorBidi"/>
                <w:bCs/>
                <w:sz w:val="20"/>
              </w:rPr>
              <w:t>Following the fixed interval, With HSCT OS was modelled using pooled treatment arm KM data from the ADMIRAL trial (Sept 2019 data cut) until 2 years. In the gilteritinib arm, OS estimates were adjusted with the inclusion of post-HSCT gilteritinib maintenance treatment benefit</w:t>
            </w:r>
            <w:r w:rsidR="003A52B7">
              <w:rPr>
                <w:rFonts w:ascii="Arial Narrow" w:eastAsiaTheme="majorEastAsia" w:hAnsi="Arial Narrow" w:cstheme="majorBidi"/>
                <w:bCs/>
                <w:sz w:val="20"/>
              </w:rPr>
              <w:t xml:space="preserve"> (removed in the pre-PBAC response)</w:t>
            </w:r>
            <w:r w:rsidRPr="003253E7">
              <w:rPr>
                <w:rFonts w:ascii="Arial Narrow" w:eastAsiaTheme="majorEastAsia" w:hAnsi="Arial Narrow" w:cstheme="majorBidi"/>
                <w:bCs/>
                <w:sz w:val="20"/>
              </w:rPr>
              <w:t>. From 2 years to 40 years, OS was informed by general population mortality adjusted using an SMR of 2.0.</w:t>
            </w:r>
          </w:p>
          <w:p w:rsidR="004B44FC" w:rsidRPr="003253E7" w:rsidRDefault="004B44FC" w:rsidP="001E2B70">
            <w:pPr>
              <w:widowControl w:val="0"/>
              <w:jc w:val="left"/>
              <w:rPr>
                <w:rFonts w:ascii="Arial Narrow" w:eastAsiaTheme="majorEastAsia" w:hAnsi="Arial Narrow" w:cstheme="majorBidi"/>
                <w:bCs/>
                <w:sz w:val="20"/>
              </w:rPr>
            </w:pPr>
          </w:p>
          <w:p w:rsidR="004B44FC" w:rsidRPr="003253E7" w:rsidRDefault="004B44FC" w:rsidP="001E2B70">
            <w:pPr>
              <w:widowControl w:val="0"/>
              <w:jc w:val="left"/>
              <w:rPr>
                <w:rFonts w:ascii="Arial Narrow" w:eastAsiaTheme="majorEastAsia" w:hAnsi="Arial Narrow" w:cstheme="majorBidi"/>
                <w:bCs/>
                <w:sz w:val="20"/>
              </w:rPr>
            </w:pPr>
            <w:r w:rsidRPr="003253E7">
              <w:rPr>
                <w:rFonts w:ascii="Arial Narrow" w:eastAsiaTheme="majorEastAsia" w:hAnsi="Arial Narrow" w:cstheme="majorBidi"/>
                <w:bCs/>
                <w:sz w:val="20"/>
              </w:rPr>
              <w:t>Following the fixed interval, With HSCT EFS was synthesised based on a hazard ratio of 0.89 derived from external data (Ustun 2017 study) applied to the modelled With HSCT OS curve. The hazard ratio was applied until 2 years. Beyond this timepoint, EFS was assumed to remain constant (i.e. no events or deaths) until the EFS and OS curves converge at 10 years in the gilteritinib arm and at 11 years in the salvage chemotherapy arm. From those convergence points until 40 years, EFS and OS were equivalent.</w:t>
            </w:r>
          </w:p>
          <w:p w:rsidR="004B44FC" w:rsidRPr="003253E7" w:rsidRDefault="004B44FC" w:rsidP="001E2B70">
            <w:pPr>
              <w:widowControl w:val="0"/>
              <w:jc w:val="left"/>
              <w:rPr>
                <w:rFonts w:ascii="Arial Narrow" w:eastAsiaTheme="majorEastAsia" w:hAnsi="Arial Narrow" w:cstheme="majorBidi"/>
                <w:bCs/>
                <w:sz w:val="20"/>
              </w:rPr>
            </w:pPr>
          </w:p>
          <w:p w:rsidR="004B44FC" w:rsidRPr="003253E7" w:rsidRDefault="004B44FC" w:rsidP="001E2B70">
            <w:pPr>
              <w:widowControl w:val="0"/>
              <w:jc w:val="left"/>
              <w:rPr>
                <w:rFonts w:ascii="Arial Narrow" w:eastAsiaTheme="majorEastAsia" w:hAnsi="Arial Narrow" w:cstheme="majorBidi"/>
                <w:bCs/>
                <w:sz w:val="20"/>
              </w:rPr>
            </w:pPr>
            <w:r w:rsidRPr="003253E7">
              <w:rPr>
                <w:rFonts w:ascii="Arial Narrow" w:eastAsiaTheme="majorEastAsia" w:hAnsi="Arial Narrow" w:cstheme="majorBidi"/>
                <w:bCs/>
                <w:sz w:val="20"/>
              </w:rPr>
              <w:t>The model assume</w:t>
            </w:r>
            <w:r w:rsidR="00685CC9">
              <w:rPr>
                <w:rFonts w:ascii="Arial Narrow" w:eastAsiaTheme="majorEastAsia" w:hAnsi="Arial Narrow" w:cstheme="majorBidi"/>
                <w:bCs/>
                <w:sz w:val="20"/>
              </w:rPr>
              <w:t>d</w:t>
            </w:r>
            <w:r w:rsidRPr="003253E7">
              <w:rPr>
                <w:rFonts w:ascii="Arial Narrow" w:eastAsiaTheme="majorEastAsia" w:hAnsi="Arial Narrow" w:cstheme="majorBidi"/>
                <w:bCs/>
                <w:sz w:val="20"/>
              </w:rPr>
              <w:t xml:space="preserve"> that all patients who remain alive at 2 years are cured, irrespective of whether they are event-free and irrespective of whether they have received HSCT.</w:t>
            </w:r>
            <w:r w:rsidR="000C54DA">
              <w:rPr>
                <w:rFonts w:ascii="Arial Narrow" w:eastAsiaTheme="majorEastAsia" w:hAnsi="Arial Narrow" w:cstheme="majorBidi"/>
                <w:bCs/>
                <w:sz w:val="20"/>
              </w:rPr>
              <w:t xml:space="preserve"> This was adjusted in the pre-PBAC response.</w:t>
            </w:r>
            <w:r w:rsidRPr="003253E7">
              <w:rPr>
                <w:rFonts w:ascii="Arial Narrow" w:eastAsiaTheme="majorEastAsia" w:hAnsi="Arial Narrow" w:cstheme="majorBidi"/>
                <w:bCs/>
                <w:sz w:val="20"/>
              </w:rPr>
              <w:t xml:space="preserve"> The subsequent survival prognosis for these patients </w:t>
            </w:r>
            <w:r w:rsidR="00685CC9">
              <w:rPr>
                <w:rFonts w:ascii="Arial Narrow" w:eastAsiaTheme="majorEastAsia" w:hAnsi="Arial Narrow" w:cstheme="majorBidi"/>
                <w:bCs/>
                <w:sz w:val="20"/>
              </w:rPr>
              <w:t>was</w:t>
            </w:r>
            <w:r w:rsidRPr="003253E7">
              <w:rPr>
                <w:rFonts w:ascii="Arial Narrow" w:eastAsiaTheme="majorEastAsia" w:hAnsi="Arial Narrow" w:cstheme="majorBidi"/>
                <w:bCs/>
                <w:sz w:val="20"/>
              </w:rPr>
              <w:t xml:space="preserve"> modelled based on a two-fold increase in general population mortality. All costs and utilities applied after 2 years to surviving patients </w:t>
            </w:r>
            <w:r w:rsidR="00444404">
              <w:rPr>
                <w:rFonts w:ascii="Arial Narrow" w:eastAsiaTheme="majorEastAsia" w:hAnsi="Arial Narrow" w:cstheme="majorBidi"/>
                <w:bCs/>
                <w:sz w:val="20"/>
              </w:rPr>
              <w:t>were</w:t>
            </w:r>
            <w:r w:rsidR="00444404" w:rsidRPr="003253E7">
              <w:rPr>
                <w:rFonts w:ascii="Arial Narrow" w:eastAsiaTheme="majorEastAsia" w:hAnsi="Arial Narrow" w:cstheme="majorBidi"/>
                <w:bCs/>
                <w:sz w:val="20"/>
              </w:rPr>
              <w:t xml:space="preserve"> </w:t>
            </w:r>
            <w:r w:rsidRPr="003253E7">
              <w:rPr>
                <w:rFonts w:ascii="Arial Narrow" w:eastAsiaTheme="majorEastAsia" w:hAnsi="Arial Narrow" w:cstheme="majorBidi"/>
                <w:bCs/>
                <w:sz w:val="20"/>
              </w:rPr>
              <w:t xml:space="preserve">based on long-term survivor estimates. The application of the cure assumption overrides all other modelled inputs. </w:t>
            </w:r>
          </w:p>
          <w:p w:rsidR="004B44FC" w:rsidRPr="003253E7" w:rsidRDefault="004B44FC" w:rsidP="001E2B70">
            <w:pPr>
              <w:widowControl w:val="0"/>
              <w:jc w:val="left"/>
              <w:rPr>
                <w:rFonts w:ascii="Arial Narrow" w:eastAsiaTheme="majorEastAsia" w:hAnsi="Arial Narrow" w:cstheme="majorBidi"/>
                <w:bCs/>
                <w:sz w:val="20"/>
              </w:rPr>
            </w:pPr>
          </w:p>
          <w:p w:rsidR="004B44FC" w:rsidRPr="003253E7" w:rsidRDefault="004B44FC" w:rsidP="001E2B70">
            <w:pPr>
              <w:widowControl w:val="0"/>
              <w:jc w:val="left"/>
              <w:rPr>
                <w:rFonts w:ascii="Arial Narrow" w:eastAsiaTheme="majorEastAsia" w:hAnsi="Arial Narrow" w:cstheme="majorBidi"/>
                <w:bCs/>
                <w:sz w:val="20"/>
              </w:rPr>
            </w:pPr>
            <w:r w:rsidRPr="003253E7">
              <w:rPr>
                <w:rFonts w:ascii="Arial Narrow" w:eastAsiaTheme="majorEastAsia" w:hAnsi="Arial Narrow" w:cstheme="majorBidi"/>
                <w:bCs/>
                <w:sz w:val="20"/>
              </w:rPr>
              <w:t>All of the incremental costs (</w:t>
            </w:r>
            <w:r w:rsidRPr="007672C8">
              <w:rPr>
                <w:rFonts w:ascii="Arial Narrow" w:eastAsiaTheme="majorEastAsia" w:hAnsi="Arial Narrow" w:cstheme="majorBidi"/>
                <w:bCs/>
                <w:sz w:val="20"/>
              </w:rPr>
              <w:t>103%</w:t>
            </w:r>
            <w:r w:rsidRPr="003253E7">
              <w:rPr>
                <w:rFonts w:ascii="Arial Narrow" w:eastAsiaTheme="majorEastAsia" w:hAnsi="Arial Narrow" w:cstheme="majorBidi"/>
                <w:bCs/>
                <w:sz w:val="20"/>
              </w:rPr>
              <w:t>) occurred during the trial period while the majority of incremental QALYs (</w:t>
            </w:r>
            <w:r w:rsidRPr="007672C8">
              <w:rPr>
                <w:rFonts w:ascii="Arial Narrow" w:eastAsiaTheme="majorEastAsia" w:hAnsi="Arial Narrow" w:cstheme="majorBidi"/>
                <w:bCs/>
                <w:sz w:val="20"/>
              </w:rPr>
              <w:t>78%)</w:t>
            </w:r>
            <w:r w:rsidRPr="003253E7">
              <w:rPr>
                <w:rFonts w:ascii="Arial Narrow" w:eastAsiaTheme="majorEastAsia" w:hAnsi="Arial Narrow" w:cstheme="majorBidi"/>
                <w:bCs/>
                <w:sz w:val="20"/>
              </w:rPr>
              <w:t xml:space="preserve"> were accrued in the extrapolated period beyond 30 months in long-term survivors.</w:t>
            </w:r>
          </w:p>
        </w:tc>
      </w:tr>
      <w:tr w:rsidR="004B44FC" w:rsidRPr="003253E7" w:rsidTr="0056121D">
        <w:trPr>
          <w:cantSplit/>
        </w:trPr>
        <w:tc>
          <w:tcPr>
            <w:tcW w:w="727" w:type="pct"/>
            <w:shd w:val="clear" w:color="auto" w:fill="auto"/>
            <w:vAlign w:val="center"/>
          </w:tcPr>
          <w:p w:rsidR="004B44FC" w:rsidRPr="003253E7" w:rsidRDefault="004B44FC" w:rsidP="001E2B70">
            <w:pPr>
              <w:widowControl w:val="0"/>
              <w:jc w:val="left"/>
              <w:rPr>
                <w:rFonts w:ascii="Arial Narrow" w:eastAsiaTheme="majorEastAsia" w:hAnsi="Arial Narrow" w:cstheme="majorBidi"/>
                <w:bCs/>
                <w:sz w:val="20"/>
              </w:rPr>
            </w:pPr>
            <w:r w:rsidRPr="003253E7">
              <w:rPr>
                <w:rFonts w:ascii="Arial Narrow" w:eastAsiaTheme="majorEastAsia" w:hAnsi="Arial Narrow" w:cstheme="majorBidi"/>
                <w:bCs/>
                <w:sz w:val="20"/>
              </w:rPr>
              <w:t>Health state and event costs</w:t>
            </w:r>
          </w:p>
        </w:tc>
        <w:tc>
          <w:tcPr>
            <w:tcW w:w="4273" w:type="pct"/>
            <w:shd w:val="clear" w:color="auto" w:fill="auto"/>
            <w:vAlign w:val="center"/>
          </w:tcPr>
          <w:p w:rsidR="004B44FC" w:rsidRPr="003253E7" w:rsidRDefault="004B44FC" w:rsidP="001E2B70">
            <w:pPr>
              <w:widowControl w:val="0"/>
              <w:jc w:val="left"/>
              <w:rPr>
                <w:rFonts w:ascii="Arial Narrow" w:hAnsi="Arial Narrow"/>
                <w:iCs/>
                <w:sz w:val="20"/>
                <w:szCs w:val="20"/>
              </w:rPr>
            </w:pPr>
            <w:r w:rsidRPr="003253E7">
              <w:rPr>
                <w:rFonts w:ascii="Arial Narrow" w:hAnsi="Arial Narrow"/>
                <w:iCs/>
                <w:sz w:val="20"/>
                <w:szCs w:val="20"/>
              </w:rPr>
              <w:t xml:space="preserve">Once-off costs for diagnostic testing, drug acquisition and administration for gilteritinib and all comparators, adverse events and HSCT were included in the model. Subsequent therapy drug and administration costs were applied to all incident patients experiencing an event. Monthly costs were included for disease management by health state (event-free, post-event) and for long-term survivors. Once-off terminal care costs were also included. </w:t>
            </w:r>
          </w:p>
        </w:tc>
      </w:tr>
      <w:tr w:rsidR="004B44FC" w:rsidRPr="003253E7" w:rsidTr="0056121D">
        <w:trPr>
          <w:cantSplit/>
        </w:trPr>
        <w:tc>
          <w:tcPr>
            <w:tcW w:w="727" w:type="pct"/>
            <w:shd w:val="clear" w:color="auto" w:fill="auto"/>
            <w:vAlign w:val="center"/>
          </w:tcPr>
          <w:p w:rsidR="004B44FC" w:rsidRPr="003253E7" w:rsidRDefault="004B44FC" w:rsidP="001E2B70">
            <w:pPr>
              <w:widowControl w:val="0"/>
              <w:jc w:val="left"/>
              <w:rPr>
                <w:rFonts w:ascii="Arial Narrow" w:eastAsiaTheme="majorEastAsia" w:hAnsi="Arial Narrow" w:cstheme="majorBidi"/>
                <w:bCs/>
                <w:sz w:val="20"/>
              </w:rPr>
            </w:pPr>
            <w:r w:rsidRPr="003253E7">
              <w:rPr>
                <w:rFonts w:ascii="Arial Narrow" w:eastAsiaTheme="majorEastAsia" w:hAnsi="Arial Narrow" w:cstheme="majorBidi"/>
                <w:bCs/>
                <w:sz w:val="20"/>
              </w:rPr>
              <w:t>Health related quality of life</w:t>
            </w:r>
          </w:p>
        </w:tc>
        <w:tc>
          <w:tcPr>
            <w:tcW w:w="4273" w:type="pct"/>
            <w:shd w:val="clear" w:color="auto" w:fill="auto"/>
            <w:vAlign w:val="center"/>
          </w:tcPr>
          <w:p w:rsidR="004B44FC" w:rsidRPr="003253E7" w:rsidRDefault="004B44FC" w:rsidP="001E2B70">
            <w:pPr>
              <w:widowControl w:val="0"/>
              <w:jc w:val="left"/>
              <w:rPr>
                <w:rFonts w:ascii="Arial Narrow" w:eastAsiaTheme="majorEastAsia" w:hAnsi="Arial Narrow" w:cstheme="majorBidi"/>
                <w:bCs/>
                <w:sz w:val="20"/>
              </w:rPr>
            </w:pPr>
            <w:r w:rsidRPr="003253E7">
              <w:rPr>
                <w:rFonts w:ascii="Arial Narrow" w:eastAsiaTheme="majorEastAsia" w:hAnsi="Arial Narrow" w:cstheme="majorBidi"/>
                <w:bCs/>
                <w:sz w:val="20"/>
              </w:rPr>
              <w:t xml:space="preserve">No HSCT event-free state 0.801; No HSCT post-event state 0.696; With HSCT event-free state 0.818; With HSCT post-event state 0.746. Based on EQ-5D-3L (UK value set) utilities cross-walked from EQ-5D-5L data from the ADMIRAL trial (Cella 2020 abstract). </w:t>
            </w:r>
          </w:p>
          <w:p w:rsidR="004B44FC" w:rsidRPr="003253E7" w:rsidRDefault="004B44FC" w:rsidP="001E2B70">
            <w:pPr>
              <w:widowControl w:val="0"/>
              <w:jc w:val="left"/>
              <w:rPr>
                <w:rFonts w:ascii="Arial Narrow" w:eastAsiaTheme="majorEastAsia" w:hAnsi="Arial Narrow" w:cstheme="majorBidi"/>
                <w:bCs/>
                <w:sz w:val="20"/>
              </w:rPr>
            </w:pPr>
            <w:r w:rsidRPr="003253E7">
              <w:rPr>
                <w:rFonts w:ascii="Arial Narrow" w:eastAsiaTheme="majorEastAsia" w:hAnsi="Arial Narrow" w:cstheme="majorBidi"/>
                <w:bCs/>
                <w:sz w:val="20"/>
              </w:rPr>
              <w:t>HSCT recovery EQ-5D-5L utility of 0.750 applied for 6 months after HSCT based on published literature (Joshi 2019). Long-term survivor EQ-5D-5L utilities based on the McCaffrey 2016 study (55-64 years 0.89; 65-74 years 0.87; 75+ years 0.830). HSCT procedure disutility of -0.210 (one</w:t>
            </w:r>
            <w:r w:rsidR="00A41CCD">
              <w:rPr>
                <w:rFonts w:ascii="Arial Narrow" w:eastAsiaTheme="majorEastAsia" w:hAnsi="Arial Narrow" w:cstheme="majorBidi"/>
                <w:bCs/>
                <w:sz w:val="20"/>
              </w:rPr>
              <w:t>-</w:t>
            </w:r>
            <w:r w:rsidRPr="003253E7">
              <w:rPr>
                <w:rFonts w:ascii="Arial Narrow" w:eastAsiaTheme="majorEastAsia" w:hAnsi="Arial Narrow" w:cstheme="majorBidi"/>
                <w:bCs/>
                <w:sz w:val="20"/>
              </w:rPr>
              <w:t>month duration assumed) based on Joshi 2019 study. Adverse event disutilities based on multiple publications (Swinburn 2010, Lloyd 2006, Nafees 2008; one</w:t>
            </w:r>
            <w:r w:rsidR="00A41CCD">
              <w:rPr>
                <w:rFonts w:ascii="Arial Narrow" w:eastAsiaTheme="majorEastAsia" w:hAnsi="Arial Narrow" w:cstheme="majorBidi"/>
                <w:bCs/>
                <w:sz w:val="20"/>
              </w:rPr>
              <w:t>-</w:t>
            </w:r>
            <w:r w:rsidRPr="003253E7">
              <w:rPr>
                <w:rFonts w:ascii="Arial Narrow" w:eastAsiaTheme="majorEastAsia" w:hAnsi="Arial Narrow" w:cstheme="majorBidi"/>
                <w:bCs/>
                <w:sz w:val="20"/>
              </w:rPr>
              <w:t xml:space="preserve">month duration assumed) and incidence of severe (≥ Grade 3) adverse events in the ADMIRAL trial. </w:t>
            </w:r>
          </w:p>
        </w:tc>
      </w:tr>
      <w:tr w:rsidR="004B44FC" w:rsidRPr="003253E7" w:rsidTr="0056121D">
        <w:trPr>
          <w:cantSplit/>
        </w:trPr>
        <w:tc>
          <w:tcPr>
            <w:tcW w:w="727" w:type="pct"/>
            <w:shd w:val="clear" w:color="auto" w:fill="auto"/>
            <w:vAlign w:val="center"/>
          </w:tcPr>
          <w:p w:rsidR="004B44FC" w:rsidRPr="003253E7" w:rsidRDefault="004B44FC" w:rsidP="001E2B70">
            <w:pPr>
              <w:widowControl w:val="0"/>
              <w:jc w:val="left"/>
              <w:rPr>
                <w:rFonts w:ascii="Arial Narrow" w:eastAsiaTheme="majorEastAsia" w:hAnsi="Arial Narrow" w:cstheme="majorBidi"/>
                <w:bCs/>
                <w:sz w:val="20"/>
              </w:rPr>
            </w:pPr>
            <w:r w:rsidRPr="003253E7">
              <w:rPr>
                <w:rFonts w:ascii="Arial Narrow" w:eastAsiaTheme="majorEastAsia" w:hAnsi="Arial Narrow" w:cstheme="majorBidi"/>
                <w:bCs/>
                <w:sz w:val="20"/>
              </w:rPr>
              <w:t>Discount rate</w:t>
            </w:r>
          </w:p>
        </w:tc>
        <w:tc>
          <w:tcPr>
            <w:tcW w:w="4273" w:type="pct"/>
            <w:shd w:val="clear" w:color="auto" w:fill="auto"/>
            <w:vAlign w:val="center"/>
          </w:tcPr>
          <w:p w:rsidR="004B44FC" w:rsidRPr="003253E7" w:rsidRDefault="004B44FC" w:rsidP="00AA38AA">
            <w:pPr>
              <w:widowControl w:val="0"/>
              <w:jc w:val="left"/>
              <w:rPr>
                <w:rFonts w:ascii="Arial Narrow" w:eastAsiaTheme="majorEastAsia" w:hAnsi="Arial Narrow" w:cstheme="majorBidi"/>
                <w:bCs/>
                <w:sz w:val="20"/>
              </w:rPr>
            </w:pPr>
            <w:r w:rsidRPr="003253E7">
              <w:rPr>
                <w:rFonts w:ascii="Arial Narrow" w:eastAsiaTheme="majorEastAsia" w:hAnsi="Arial Narrow" w:cstheme="majorBidi"/>
                <w:bCs/>
                <w:sz w:val="20"/>
              </w:rPr>
              <w:t>5% discounting per annum</w:t>
            </w:r>
            <w:r w:rsidR="001B599A">
              <w:rPr>
                <w:rFonts w:ascii="Arial Narrow" w:eastAsiaTheme="majorEastAsia" w:hAnsi="Arial Narrow" w:cstheme="majorBidi"/>
                <w:bCs/>
                <w:sz w:val="20"/>
              </w:rPr>
              <w:t xml:space="preserve">, applied to some costs and outcomes only. </w:t>
            </w:r>
          </w:p>
        </w:tc>
      </w:tr>
    </w:tbl>
    <w:p w:rsidR="004B44FC" w:rsidRPr="003253E7" w:rsidRDefault="004B44FC" w:rsidP="004B44FC">
      <w:pPr>
        <w:spacing w:after="120"/>
        <w:contextualSpacing/>
        <w:rPr>
          <w:rFonts w:ascii="Arial Narrow" w:hAnsi="Arial Narrow"/>
          <w:snapToGrid w:val="0"/>
          <w:sz w:val="18"/>
          <w:szCs w:val="22"/>
        </w:rPr>
      </w:pPr>
      <w:r w:rsidRPr="003253E7">
        <w:rPr>
          <w:rFonts w:ascii="Arial Narrow" w:hAnsi="Arial Narrow"/>
          <w:snapToGrid w:val="0"/>
          <w:sz w:val="18"/>
          <w:szCs w:val="22"/>
        </w:rPr>
        <w:t>Source: Table 47, p 125 of the submission</w:t>
      </w:r>
    </w:p>
    <w:p w:rsidR="004B44FC" w:rsidRPr="003253E7" w:rsidRDefault="004B44FC" w:rsidP="004B44FC">
      <w:pPr>
        <w:spacing w:after="120"/>
        <w:contextualSpacing/>
        <w:rPr>
          <w:rFonts w:ascii="Arial Narrow" w:hAnsi="Arial Narrow"/>
          <w:snapToGrid w:val="0"/>
          <w:sz w:val="18"/>
          <w:szCs w:val="22"/>
        </w:rPr>
      </w:pPr>
      <w:r w:rsidRPr="003253E7">
        <w:rPr>
          <w:rFonts w:ascii="Arial Narrow" w:hAnsi="Arial Narrow"/>
          <w:snapToGrid w:val="0"/>
          <w:sz w:val="18"/>
          <w:szCs w:val="22"/>
        </w:rPr>
        <w:t xml:space="preserve">EFS, </w:t>
      </w:r>
      <w:r w:rsidR="00E2169A">
        <w:rPr>
          <w:rFonts w:ascii="Arial Narrow" w:hAnsi="Arial Narrow"/>
          <w:snapToGrid w:val="0"/>
          <w:sz w:val="18"/>
          <w:szCs w:val="22"/>
        </w:rPr>
        <w:t>event free survival</w:t>
      </w:r>
      <w:r w:rsidRPr="003253E7">
        <w:rPr>
          <w:rFonts w:ascii="Arial Narrow" w:hAnsi="Arial Narrow"/>
          <w:snapToGrid w:val="0"/>
          <w:sz w:val="18"/>
          <w:szCs w:val="22"/>
        </w:rPr>
        <w:t>; HSCT, haematopoietic stem cell transplant; KM, Kaplan-Meier; OS, overall survival; QALY, quality-adjusted life year</w:t>
      </w:r>
    </w:p>
    <w:p w:rsidR="004B44FC" w:rsidRPr="003253E7" w:rsidRDefault="004B44FC" w:rsidP="004B44FC">
      <w:pPr>
        <w:pStyle w:val="ExecSumBodyText"/>
      </w:pPr>
      <w:r w:rsidRPr="003253E7">
        <w:t xml:space="preserve">The model structure </w:t>
      </w:r>
      <w:r w:rsidR="00757E8C">
        <w:t>was</w:t>
      </w:r>
      <w:r w:rsidRPr="003253E7">
        <w:t xml:space="preserve"> comprised of a decision-tree component to stratify patients based on their subsequent HSCT status, followed by two separate three-state partitioned survival models; presented in the figure below.</w:t>
      </w:r>
      <w:r w:rsidR="009979FA">
        <w:t xml:space="preserve"> </w:t>
      </w:r>
      <w:r w:rsidR="009979FA" w:rsidRPr="00C00A16">
        <w:t xml:space="preserve">The ESC considered the separate modelling of patients receiving subsequent HSCT </w:t>
      </w:r>
      <w:r w:rsidR="0063609E">
        <w:t xml:space="preserve">was </w:t>
      </w:r>
      <w:r w:rsidR="009979FA" w:rsidRPr="00C00A16">
        <w:t>reasonable.</w:t>
      </w:r>
      <w:r w:rsidR="009979FA">
        <w:rPr>
          <w:i/>
        </w:rPr>
        <w:t xml:space="preserve"> </w:t>
      </w:r>
    </w:p>
    <w:p w:rsidR="004B44FC" w:rsidRPr="003253E7" w:rsidRDefault="00FD4C43" w:rsidP="00FD4C43">
      <w:pPr>
        <w:pStyle w:val="Tableheadingrow"/>
      </w:pPr>
      <w:r>
        <w:t xml:space="preserve">Figure </w:t>
      </w:r>
      <w:r w:rsidR="00C90F41">
        <w:rPr>
          <w:noProof/>
        </w:rPr>
        <w:t>8</w:t>
      </w:r>
      <w:r w:rsidR="004B44FC" w:rsidRPr="003253E7">
        <w:t>: Model structure and health states of the economic model</w:t>
      </w:r>
    </w:p>
    <w:p w:rsidR="004B44FC" w:rsidRPr="003253E7" w:rsidRDefault="004B44FC" w:rsidP="004B44FC">
      <w:pPr>
        <w:pStyle w:val="Tableheadingrow"/>
        <w:rPr>
          <w:lang w:val="en-AU"/>
        </w:rPr>
      </w:pPr>
      <w:r w:rsidRPr="003253E7">
        <w:rPr>
          <w:noProof/>
          <w:lang w:val="en-AU"/>
        </w:rPr>
        <w:drawing>
          <wp:inline distT="0" distB="0" distL="0" distR="0" wp14:anchorId="6113FA2D" wp14:editId="4CDD6108">
            <wp:extent cx="4300670" cy="3228975"/>
            <wp:effectExtent l="0" t="0" r="5080" b="0"/>
            <wp:docPr id="13" name="Picture 13" title="Figure 8: Model structure and health states of the economic mod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323414" cy="3246052"/>
                    </a:xfrm>
                    <a:prstGeom prst="rect">
                      <a:avLst/>
                    </a:prstGeom>
                    <a:noFill/>
                  </pic:spPr>
                </pic:pic>
              </a:graphicData>
            </a:graphic>
          </wp:inline>
        </w:drawing>
      </w:r>
    </w:p>
    <w:p w:rsidR="004B44FC" w:rsidRPr="003253E7" w:rsidRDefault="004B44FC" w:rsidP="004B44FC">
      <w:pPr>
        <w:pStyle w:val="TableFigureFooter"/>
      </w:pPr>
      <w:r w:rsidRPr="003253E7">
        <w:t>Source: Figure 22, p132 of the submission</w:t>
      </w:r>
    </w:p>
    <w:p w:rsidR="004B44FC" w:rsidRPr="003253E7" w:rsidRDefault="004B44FC" w:rsidP="004B44FC">
      <w:pPr>
        <w:pStyle w:val="ExecSumBodyText"/>
        <w:rPr>
          <w:i/>
          <w:iCs/>
        </w:rPr>
      </w:pPr>
      <w:r w:rsidRPr="003253E7">
        <w:t xml:space="preserve">The submission claimed the decision-tree component of the model was necessary to account for the waiting time of patients prior to receiving a stem cell transplant. During the waiting period before HSCT (4 months in the gilteritinib arm and 3 months in the salvage chemotherapy arm), all patients who subsequently receive HSCT were assumed to remain alive and event-free. After this period, the cumulative probabilities of </w:t>
      </w:r>
      <w:r w:rsidR="00E2169A">
        <w:t>EFS</w:t>
      </w:r>
      <w:r w:rsidRPr="003253E7">
        <w:t xml:space="preserve"> and </w:t>
      </w:r>
      <w:r w:rsidR="00E2169A">
        <w:t>OS</w:t>
      </w:r>
      <w:r w:rsidRPr="003253E7">
        <w:t xml:space="preserve"> were based on modelled survival curves in the partitioned survival analysis. In the No HSCT subgroup of patients, the cumulative probabilities of </w:t>
      </w:r>
      <w:r w:rsidR="00E2169A">
        <w:t>EFS</w:t>
      </w:r>
      <w:r w:rsidRPr="003253E7">
        <w:t xml:space="preserve"> and </w:t>
      </w:r>
      <w:r w:rsidR="00E2169A">
        <w:t>OS</w:t>
      </w:r>
      <w:r w:rsidRPr="003253E7">
        <w:t xml:space="preserve"> were based on modelled survival curves from baseline.</w:t>
      </w:r>
    </w:p>
    <w:p w:rsidR="004B44FC" w:rsidRPr="005743F7" w:rsidRDefault="004B44FC" w:rsidP="004B44FC">
      <w:pPr>
        <w:pStyle w:val="ExecSumBodyText"/>
        <w:rPr>
          <w:iCs/>
        </w:rPr>
      </w:pPr>
      <w:r w:rsidRPr="005743F7">
        <w:rPr>
          <w:iCs/>
        </w:rPr>
        <w:t>The appropriateness of the structural assumption of HSCT at a fixed timepoint was unclear</w:t>
      </w:r>
      <w:r w:rsidR="000C54DA">
        <w:rPr>
          <w:iCs/>
        </w:rPr>
        <w:t xml:space="preserve"> to the evaluator</w:t>
      </w:r>
      <w:r w:rsidRPr="005743F7">
        <w:rPr>
          <w:iCs/>
        </w:rPr>
        <w:t xml:space="preserve">. The timing of HSCT is likely to be variable as it is dependent on multiple factors including disease status and donor availability. The applicability of mean time to transplant estimates (with no measures of variance) from the ADMIRAL trial could not be adequately assessed during the evaluation as the source was not provided in the submission. The </w:t>
      </w:r>
      <w:r w:rsidR="00192BC0">
        <w:rPr>
          <w:iCs/>
        </w:rPr>
        <w:t xml:space="preserve">evaluation considered that the </w:t>
      </w:r>
      <w:r w:rsidRPr="005743F7">
        <w:rPr>
          <w:iCs/>
        </w:rPr>
        <w:t xml:space="preserve">implementation of the hybrid decision-tree and partitioned survival analysis model structure may </w:t>
      </w:r>
      <w:r w:rsidR="00192BC0">
        <w:rPr>
          <w:iCs/>
        </w:rPr>
        <w:t>have</w:t>
      </w:r>
      <w:r w:rsidR="00192BC0" w:rsidRPr="005743F7">
        <w:rPr>
          <w:iCs/>
        </w:rPr>
        <w:t xml:space="preserve"> </w:t>
      </w:r>
      <w:r w:rsidRPr="005743F7">
        <w:rPr>
          <w:iCs/>
        </w:rPr>
        <w:t>contribut</w:t>
      </w:r>
      <w:r w:rsidR="00192BC0">
        <w:rPr>
          <w:iCs/>
        </w:rPr>
        <w:t>ed</w:t>
      </w:r>
      <w:r w:rsidRPr="005743F7">
        <w:rPr>
          <w:iCs/>
        </w:rPr>
        <w:t xml:space="preserve"> to the apparent inconsistencies between the model-predicted </w:t>
      </w:r>
      <w:r w:rsidR="00E2169A" w:rsidRPr="005743F7">
        <w:rPr>
          <w:iCs/>
        </w:rPr>
        <w:t>OS</w:t>
      </w:r>
      <w:r w:rsidRPr="005743F7">
        <w:rPr>
          <w:iCs/>
        </w:rPr>
        <w:t xml:space="preserve"> and observed OS in the ADMIRAL </w:t>
      </w:r>
      <w:r w:rsidRPr="000C54DA">
        <w:rPr>
          <w:iCs/>
        </w:rPr>
        <w:t xml:space="preserve">trial (see </w:t>
      </w:r>
      <w:r w:rsidR="000C54DA" w:rsidRPr="000C54DA">
        <w:t xml:space="preserve">Table </w:t>
      </w:r>
      <w:r w:rsidR="000C54DA" w:rsidRPr="000C54DA">
        <w:rPr>
          <w:noProof/>
        </w:rPr>
        <w:t>8</w:t>
      </w:r>
      <w:r w:rsidR="007229BC" w:rsidRPr="000C54DA">
        <w:rPr>
          <w:iCs/>
        </w:rPr>
        <w:t xml:space="preserve"> </w:t>
      </w:r>
      <w:r w:rsidRPr="000C54DA">
        <w:rPr>
          <w:iCs/>
        </w:rPr>
        <w:t>below).</w:t>
      </w:r>
    </w:p>
    <w:p w:rsidR="004B44FC" w:rsidRPr="0091620B" w:rsidRDefault="004B44FC" w:rsidP="004B44FC">
      <w:pPr>
        <w:pStyle w:val="ExecSumBodyText"/>
        <w:rPr>
          <w:iCs/>
        </w:rPr>
      </w:pPr>
      <w:r w:rsidRPr="005743F7">
        <w:t>The submission claimed the partitioned survival analysis allowed the direct use of time-to-event outcomes from the ADMIRAL trial to estimate health state occupancy, thereby avoiding the need for assumptions regarding transitions between health states.</w:t>
      </w:r>
      <w:r w:rsidRPr="005743F7">
        <w:rPr>
          <w:iCs/>
        </w:rPr>
        <w:t xml:space="preserve"> Modelled outcomes were not fully reliant on ADMIRAL trial data, particularly in the With HSCT cohort. </w:t>
      </w:r>
      <w:r w:rsidR="006D0CAD">
        <w:rPr>
          <w:iCs/>
        </w:rPr>
        <w:t>There, t</w:t>
      </w:r>
      <w:r w:rsidRPr="005743F7">
        <w:rPr>
          <w:iCs/>
        </w:rPr>
        <w:t xml:space="preserve">he model included additional survival benefit due to post-HSCT gilteritinib treatment that was applied to OS in the gilteritinib arm of the With HSCT cohort </w:t>
      </w:r>
      <w:r w:rsidR="000C54DA">
        <w:rPr>
          <w:iCs/>
        </w:rPr>
        <w:t xml:space="preserve">(removed in the pre-PBAC response) </w:t>
      </w:r>
      <w:r w:rsidRPr="005743F7">
        <w:rPr>
          <w:iCs/>
        </w:rPr>
        <w:t xml:space="preserve">and used external data to inform EFS in both arms of the With HSCT cohort. </w:t>
      </w:r>
    </w:p>
    <w:p w:rsidR="004B44FC" w:rsidRPr="000B0BAA" w:rsidRDefault="004B44FC" w:rsidP="004B44FC">
      <w:pPr>
        <w:pStyle w:val="ExecSumBodyText"/>
        <w:rPr>
          <w:i/>
          <w:iCs/>
        </w:rPr>
      </w:pPr>
      <w:r w:rsidRPr="0091620B">
        <w:t xml:space="preserve">The application of the fixed cure point within a partitioned survival analysis </w:t>
      </w:r>
      <w:r w:rsidR="005156FF" w:rsidRPr="0091620B">
        <w:t xml:space="preserve">meant </w:t>
      </w:r>
      <w:r w:rsidRPr="0091620B">
        <w:t xml:space="preserve">that all patients surviving up to that timepoint </w:t>
      </w:r>
      <w:r w:rsidR="005156FF" w:rsidRPr="0091620B">
        <w:t xml:space="preserve">were </w:t>
      </w:r>
      <w:r w:rsidRPr="0091620B">
        <w:t>assumed to be cured, irrespective of whether they were event-free and whether they received HSCT.</w:t>
      </w:r>
      <w:r w:rsidRPr="0091620B">
        <w:rPr>
          <w:i/>
          <w:iCs/>
        </w:rPr>
        <w:t xml:space="preserve"> </w:t>
      </w:r>
      <w:r w:rsidRPr="0091620B">
        <w:rPr>
          <w:iCs/>
        </w:rPr>
        <w:t>This appear</w:t>
      </w:r>
      <w:r w:rsidR="005156FF" w:rsidRPr="0091620B">
        <w:rPr>
          <w:iCs/>
        </w:rPr>
        <w:t>ed</w:t>
      </w:r>
      <w:r w:rsidRPr="0091620B">
        <w:rPr>
          <w:iCs/>
        </w:rPr>
        <w:t xml:space="preserve"> clinically implausible and </w:t>
      </w:r>
      <w:r w:rsidR="005156FF" w:rsidRPr="0091620B">
        <w:rPr>
          <w:iCs/>
        </w:rPr>
        <w:t>was</w:t>
      </w:r>
      <w:r w:rsidRPr="0091620B">
        <w:rPr>
          <w:iCs/>
        </w:rPr>
        <w:t xml:space="preserve"> a consequence of the inability to specify mortality risk separately for each health state</w:t>
      </w:r>
      <w:r w:rsidR="005156FF" w:rsidRPr="0091620B">
        <w:rPr>
          <w:iCs/>
        </w:rPr>
        <w:t>,</w:t>
      </w:r>
      <w:r w:rsidRPr="0091620B">
        <w:rPr>
          <w:iCs/>
        </w:rPr>
        <w:t xml:space="preserve"> which is a structural limitation of partitioned survival analyses. The application of the fixed cure point and fixed time to HSCT resulted in cure points earlier than 2 years after HSCT which was inadequately justified in the submission.</w:t>
      </w:r>
      <w:r w:rsidR="00905AC4" w:rsidRPr="0091620B">
        <w:rPr>
          <w:iCs/>
        </w:rPr>
        <w:t xml:space="preserve"> </w:t>
      </w:r>
      <w:r w:rsidR="00905AC4" w:rsidRPr="00C00A16">
        <w:rPr>
          <w:iCs/>
        </w:rPr>
        <w:t>Further, the ESC noted the cure assumption caused a significant point of inflection in the survival curve</w:t>
      </w:r>
      <w:r w:rsidR="00042AE0" w:rsidRPr="00C00A16">
        <w:rPr>
          <w:iCs/>
        </w:rPr>
        <w:t xml:space="preserve"> (</w:t>
      </w:r>
      <w:r w:rsidR="00042AE0" w:rsidRPr="00FA6337">
        <w:t xml:space="preserve">see </w:t>
      </w:r>
      <w:r w:rsidR="00FA6337" w:rsidRPr="00FA6337">
        <w:t xml:space="preserve">Figure 9 and </w:t>
      </w:r>
      <w:r w:rsidR="00FA6337" w:rsidRPr="00FA6337">
        <w:rPr>
          <w:rFonts w:eastAsiaTheme="majorEastAsia"/>
        </w:rPr>
        <w:t>Figure 10</w:t>
      </w:r>
      <w:r w:rsidR="00042AE0" w:rsidRPr="00FA6337">
        <w:t>)</w:t>
      </w:r>
      <w:r w:rsidR="00905AC4" w:rsidRPr="00FA6337">
        <w:t>,</w:t>
      </w:r>
      <w:r w:rsidR="00905AC4" w:rsidRPr="00C00A16">
        <w:rPr>
          <w:iCs/>
        </w:rPr>
        <w:t xml:space="preserve"> which was thought to be</w:t>
      </w:r>
      <w:r w:rsidR="006D0CAD" w:rsidRPr="00C00A16">
        <w:rPr>
          <w:iCs/>
        </w:rPr>
        <w:t xml:space="preserve"> a strong indication that the implementation of the assumption led to</w:t>
      </w:r>
      <w:r w:rsidR="00905AC4" w:rsidRPr="00C00A16">
        <w:rPr>
          <w:iCs/>
        </w:rPr>
        <w:t xml:space="preserve"> unrealistic</w:t>
      </w:r>
      <w:r w:rsidR="006D0CAD" w:rsidRPr="00C00A16">
        <w:rPr>
          <w:iCs/>
        </w:rPr>
        <w:t xml:space="preserve"> extrapolation</w:t>
      </w:r>
      <w:r w:rsidR="00905AC4" w:rsidRPr="00C00A16">
        <w:rPr>
          <w:iCs/>
        </w:rPr>
        <w:t>.</w:t>
      </w:r>
    </w:p>
    <w:p w:rsidR="004B44FC" w:rsidRPr="003253E7" w:rsidRDefault="00FD4C43" w:rsidP="00E2169A">
      <w:pPr>
        <w:pStyle w:val="Tableheadingrow"/>
      </w:pPr>
      <w:bookmarkStart w:id="45" w:name="_Ref89185331"/>
      <w:r>
        <w:t xml:space="preserve">Figure </w:t>
      </w:r>
      <w:r w:rsidR="00C90F41">
        <w:rPr>
          <w:noProof/>
        </w:rPr>
        <w:t>9</w:t>
      </w:r>
      <w:bookmarkEnd w:id="45"/>
      <w:r w:rsidR="004B44FC" w:rsidRPr="003253E7">
        <w:t xml:space="preserve">: </w:t>
      </w:r>
      <w:r w:rsidR="00DD7749" w:rsidRPr="003253E7">
        <w:t xml:space="preserve">Overall survival and </w:t>
      </w:r>
      <w:r w:rsidR="00DD7749">
        <w:t>event free survival</w:t>
      </w:r>
      <w:r w:rsidR="00DD7749" w:rsidRPr="003253E7">
        <w:t xml:space="preserve"> curves in the No HSCT cohort of the model</w:t>
      </w:r>
      <w:r w:rsidR="00DD7749" w:rsidRPr="003253E7" w:rsidDel="00DD7749">
        <w:t xml:space="preserve"> </w:t>
      </w:r>
    </w:p>
    <w:p w:rsidR="004B44FC" w:rsidRPr="003253E7" w:rsidRDefault="00DD7749" w:rsidP="004B44FC">
      <w:pPr>
        <w:pStyle w:val="TableFigureFooter"/>
      </w:pPr>
      <w:r>
        <w:rPr>
          <w:noProof/>
        </w:rPr>
        <w:drawing>
          <wp:inline distT="0" distB="0" distL="0" distR="0" wp14:anchorId="635F1134" wp14:editId="6A51E116">
            <wp:extent cx="5212715" cy="3255645"/>
            <wp:effectExtent l="0" t="0" r="6985" b="1905"/>
            <wp:docPr id="1" name="Picture 1" title="Figure 9: Overall survival and event free survival curves in the No HSCT cohort of the mode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12715" cy="3255645"/>
                    </a:xfrm>
                    <a:prstGeom prst="rect">
                      <a:avLst/>
                    </a:prstGeom>
                    <a:noFill/>
                  </pic:spPr>
                </pic:pic>
              </a:graphicData>
            </a:graphic>
          </wp:inline>
        </w:drawing>
      </w:r>
    </w:p>
    <w:p w:rsidR="004B44FC" w:rsidRPr="003253E7" w:rsidRDefault="004B44FC" w:rsidP="004B44FC">
      <w:pPr>
        <w:pStyle w:val="TableFigureFooter"/>
      </w:pPr>
      <w:r w:rsidRPr="003253E7">
        <w:t>Source: Constructed during the evaluation using the Xospata Economic Model Excel spreadsheet of the submission</w:t>
      </w:r>
    </w:p>
    <w:p w:rsidR="004B44FC" w:rsidRDefault="004B44FC" w:rsidP="004B44FC">
      <w:pPr>
        <w:pStyle w:val="TableFigureFooter"/>
      </w:pPr>
      <w:r w:rsidRPr="003253E7">
        <w:t xml:space="preserve">EFS, </w:t>
      </w:r>
      <w:r w:rsidR="00E2169A">
        <w:t>event free survival</w:t>
      </w:r>
      <w:r w:rsidRPr="003253E7">
        <w:t>; OS, overall survival</w:t>
      </w:r>
    </w:p>
    <w:p w:rsidR="00DD7749" w:rsidRDefault="00DD7749" w:rsidP="004B44FC">
      <w:pPr>
        <w:pStyle w:val="TableFigureFooter"/>
      </w:pPr>
    </w:p>
    <w:p w:rsidR="00DD7749" w:rsidRDefault="00DD7749" w:rsidP="004B44FC">
      <w:pPr>
        <w:pStyle w:val="TableFigureFooter"/>
        <w:rPr>
          <w:rFonts w:eastAsiaTheme="majorEastAsia" w:cs="Times New Roman"/>
          <w:b/>
          <w:snapToGrid/>
          <w:sz w:val="20"/>
          <w:szCs w:val="24"/>
          <w:lang w:val="en-US"/>
        </w:rPr>
      </w:pPr>
      <w:bookmarkStart w:id="46" w:name="_Ref89185338"/>
      <w:r w:rsidRPr="000B0BAA">
        <w:rPr>
          <w:rFonts w:eastAsiaTheme="majorEastAsia" w:cs="Times New Roman"/>
          <w:b/>
          <w:snapToGrid/>
          <w:sz w:val="20"/>
          <w:szCs w:val="24"/>
          <w:lang w:val="en-US"/>
        </w:rPr>
        <w:t xml:space="preserve">Figure </w:t>
      </w:r>
      <w:r w:rsidR="00C90F41">
        <w:rPr>
          <w:rFonts w:eastAsiaTheme="majorEastAsia" w:cs="Times New Roman"/>
          <w:b/>
          <w:noProof/>
          <w:snapToGrid/>
          <w:sz w:val="20"/>
          <w:szCs w:val="24"/>
          <w:lang w:val="en-US"/>
        </w:rPr>
        <w:t>10</w:t>
      </w:r>
      <w:bookmarkEnd w:id="46"/>
      <w:r w:rsidRPr="000B0BAA">
        <w:rPr>
          <w:rFonts w:eastAsiaTheme="majorEastAsia" w:cs="Times New Roman"/>
          <w:b/>
          <w:snapToGrid/>
          <w:sz w:val="20"/>
          <w:szCs w:val="24"/>
          <w:lang w:val="en-US"/>
        </w:rPr>
        <w:t>: Overall survival and event free survival curves in the With HSCT cohort of the model</w:t>
      </w:r>
    </w:p>
    <w:p w:rsidR="00DD7749" w:rsidRDefault="00DD7749" w:rsidP="004B44FC">
      <w:pPr>
        <w:pStyle w:val="TableFigureFooter"/>
      </w:pPr>
      <w:r>
        <w:rPr>
          <w:noProof/>
        </w:rPr>
        <w:drawing>
          <wp:inline distT="0" distB="0" distL="0" distR="0" wp14:anchorId="1A95FC1A" wp14:editId="2064479A">
            <wp:extent cx="5170170" cy="3042285"/>
            <wp:effectExtent l="0" t="0" r="0" b="5715"/>
            <wp:docPr id="3" name="Picture 3" title="Figure 10: Overall survival and event free survival curves in the With HSCT cohort of the mod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170170" cy="3042285"/>
                    </a:xfrm>
                    <a:prstGeom prst="rect">
                      <a:avLst/>
                    </a:prstGeom>
                    <a:noFill/>
                  </pic:spPr>
                </pic:pic>
              </a:graphicData>
            </a:graphic>
          </wp:inline>
        </w:drawing>
      </w:r>
    </w:p>
    <w:p w:rsidR="00DD7749" w:rsidRPr="003253E7" w:rsidRDefault="00DD7749" w:rsidP="00DD7749">
      <w:pPr>
        <w:pStyle w:val="TableFigureFooter"/>
      </w:pPr>
      <w:r w:rsidRPr="003253E7">
        <w:t>Source: Constructed during the evaluation using the Xospata Economic Model Excel spreadsheet of the submission</w:t>
      </w:r>
    </w:p>
    <w:p w:rsidR="00DD7749" w:rsidRPr="003253E7" w:rsidRDefault="00DD7749" w:rsidP="00DD7749">
      <w:pPr>
        <w:pStyle w:val="TableFigureFooter"/>
      </w:pPr>
      <w:r w:rsidRPr="003253E7">
        <w:t xml:space="preserve">EFS, </w:t>
      </w:r>
      <w:r>
        <w:t>event free survival</w:t>
      </w:r>
      <w:r w:rsidRPr="003253E7">
        <w:t>; OS, overall survival</w:t>
      </w:r>
    </w:p>
    <w:p w:rsidR="00DD7749" w:rsidRPr="003253E7" w:rsidRDefault="00DD7749" w:rsidP="004B44FC">
      <w:pPr>
        <w:pStyle w:val="TableFigureFooter"/>
      </w:pPr>
    </w:p>
    <w:p w:rsidR="00DD7749" w:rsidRPr="00C00A16" w:rsidRDefault="00DD7749" w:rsidP="0091620B">
      <w:pPr>
        <w:pStyle w:val="ExecSumBodyText"/>
      </w:pPr>
      <w:r w:rsidRPr="00C00A16">
        <w:t>T</w:t>
      </w:r>
      <w:r w:rsidR="00AD57FF" w:rsidRPr="00C00A16">
        <w:t>he ESC noted t</w:t>
      </w:r>
      <w:r w:rsidRPr="00C00A16">
        <w:t xml:space="preserve">here was a rapid decline in OS in both treatment arms until the point of the cure assumption (2 years). The introduction of the cure assumption substantially decreased the risk of mortality for the remainder of the model. </w:t>
      </w:r>
      <w:r w:rsidR="004B44FC" w:rsidRPr="00C00A16">
        <w:t>Th</w:t>
      </w:r>
      <w:r w:rsidR="00AD57FF" w:rsidRPr="00C00A16">
        <w:t>e ESC considered th</w:t>
      </w:r>
      <w:r w:rsidR="004B44FC" w:rsidRPr="00C00A16">
        <w:t>is approach resulted in substantial post-event survival that did not appear clinically plausible</w:t>
      </w:r>
      <w:r w:rsidR="00AD57FF" w:rsidRPr="00C00A16">
        <w:t xml:space="preserve"> given the majority of patients in both arms had experienced an event at that timepoint.</w:t>
      </w:r>
      <w:r w:rsidR="004B44FC" w:rsidRPr="00C00A16">
        <w:t xml:space="preserve"> Treatment benefit with gilteritinib was primarily driven by survival benefit in patients who received HSCT.</w:t>
      </w:r>
    </w:p>
    <w:p w:rsidR="004B44FC" w:rsidRPr="003253E7" w:rsidRDefault="004B44FC" w:rsidP="00C61F21">
      <w:pPr>
        <w:pStyle w:val="ExecSumBodyText"/>
      </w:pPr>
      <w:r w:rsidRPr="003253E7">
        <w:t xml:space="preserve">The submission presented the results of a validation exercise comparing modelled </w:t>
      </w:r>
      <w:r w:rsidR="00E2169A">
        <w:t>OS</w:t>
      </w:r>
      <w:r w:rsidRPr="003253E7">
        <w:t xml:space="preserve"> with estimates from the ADMIRAL trial</w:t>
      </w:r>
      <w:r w:rsidR="00C7109D">
        <w:t>.</w:t>
      </w:r>
      <w:r w:rsidR="00C61F21">
        <w:t xml:space="preserve"> </w:t>
      </w:r>
      <w:r w:rsidRPr="003253E7">
        <w:t>In the gilteritinib arm, the model appeared to overestimate survival at the 6- and 12-month timepoints, was similar to trial-based estimates at the 18- and 24-month timepoints and was overestimated at the 30- and 36-month timepoints. Modelled survival in the salvage chemotherapy arm appeared overestimated up to 18 months in the model, was underestimated at 24 months and was similar to the September 2020 data cut at the 30- and 36-month timepoints.</w:t>
      </w:r>
    </w:p>
    <w:p w:rsidR="00C7109D" w:rsidRPr="0091620B" w:rsidRDefault="004B44FC" w:rsidP="0091620B">
      <w:pPr>
        <w:pStyle w:val="ExecSumBodyText"/>
      </w:pPr>
      <w:r w:rsidRPr="0091620B">
        <w:t>The apparent discrepancy between the trial data and modelled OS was a consequence of multiple factors including the use of a fixed timepoint for HSCT instead of a time-to-event distribution, the inclusion of additional post-HSCT survival benefit due to maintenance therapy with gilteritinib and the 2-year cure assumption.</w:t>
      </w:r>
    </w:p>
    <w:p w:rsidR="004B44FC" w:rsidRPr="005743F7" w:rsidRDefault="004B44FC" w:rsidP="004B44FC">
      <w:pPr>
        <w:pStyle w:val="ExecSumBodyText"/>
        <w:rPr>
          <w:iCs/>
        </w:rPr>
      </w:pPr>
      <w:r w:rsidRPr="005743F7">
        <w:rPr>
          <w:iCs/>
        </w:rPr>
        <w:t>Long-term survival in the model was driven by the cure assumption introduced at 2</w:t>
      </w:r>
      <w:r w:rsidR="005156FF" w:rsidRPr="005743F7">
        <w:rPr>
          <w:iCs/>
        </w:rPr>
        <w:t> </w:t>
      </w:r>
      <w:r w:rsidRPr="005743F7">
        <w:rPr>
          <w:iCs/>
        </w:rPr>
        <w:t>years from baseline in the model, and post-HSCT gilteritinib survival benefit</w:t>
      </w:r>
      <w:r w:rsidR="00FA6337">
        <w:rPr>
          <w:iCs/>
        </w:rPr>
        <w:t xml:space="preserve"> (the latter removed in the pre-PBAC response)</w:t>
      </w:r>
      <w:r w:rsidRPr="005743F7">
        <w:rPr>
          <w:iCs/>
        </w:rPr>
        <w:t>. The table below was constructed during the evaluation, summarising the probability of being cured in the base case and in sensitivity analyses using a 3-year cure assumption and without post-HSCT gilteritinib survival benefit.</w:t>
      </w:r>
    </w:p>
    <w:p w:rsidR="004B44FC" w:rsidRPr="003253E7" w:rsidRDefault="002B6D54" w:rsidP="002B6D54">
      <w:pPr>
        <w:pStyle w:val="Tableheadingrow"/>
      </w:pPr>
      <w:bookmarkStart w:id="47" w:name="_Ref89321552"/>
      <w:r>
        <w:t xml:space="preserve">Table </w:t>
      </w:r>
      <w:r>
        <w:rPr>
          <w:noProof/>
        </w:rPr>
        <w:t>8</w:t>
      </w:r>
      <w:bookmarkEnd w:id="47"/>
      <w:r>
        <w:t>:</w:t>
      </w:r>
      <w:r w:rsidR="004B44FC" w:rsidRPr="003253E7">
        <w:t xml:space="preserve"> Probability of being cured in the economic model (unweighted no HSCT and with HSCT cohorts, half-cycle corrected)</w:t>
      </w:r>
    </w:p>
    <w:tbl>
      <w:tblPr>
        <w:tblStyle w:val="TableGrid"/>
        <w:tblW w:w="0" w:type="auto"/>
        <w:tblLook w:val="04A0" w:firstRow="1" w:lastRow="0" w:firstColumn="1" w:lastColumn="0" w:noHBand="0" w:noVBand="1"/>
        <w:tblCaption w:val="Table 8: Probability of being cured in the economic model (unweighted no HSCT and with HSCT cohorts, half-cycle corrected)"/>
      </w:tblPr>
      <w:tblGrid>
        <w:gridCol w:w="1535"/>
        <w:gridCol w:w="2494"/>
        <w:gridCol w:w="2494"/>
        <w:gridCol w:w="2494"/>
      </w:tblGrid>
      <w:tr w:rsidR="004B44FC" w:rsidRPr="003253E7" w:rsidTr="000449C3">
        <w:trPr>
          <w:tblHeader/>
        </w:trPr>
        <w:tc>
          <w:tcPr>
            <w:tcW w:w="1535" w:type="dxa"/>
          </w:tcPr>
          <w:p w:rsidR="004B44FC" w:rsidRPr="003253E7" w:rsidRDefault="004B44FC" w:rsidP="001E2B70">
            <w:pPr>
              <w:pStyle w:val="TableText"/>
              <w:rPr>
                <w:b/>
                <w:bCs w:val="0"/>
              </w:rPr>
            </w:pPr>
            <w:r w:rsidRPr="003253E7">
              <w:rPr>
                <w:b/>
                <w:bCs w:val="0"/>
              </w:rPr>
              <w:t>Cohort</w:t>
            </w:r>
          </w:p>
        </w:tc>
        <w:tc>
          <w:tcPr>
            <w:tcW w:w="2494" w:type="dxa"/>
            <w:vAlign w:val="center"/>
          </w:tcPr>
          <w:p w:rsidR="004B44FC" w:rsidRPr="003253E7" w:rsidRDefault="004B44FC" w:rsidP="001E2B70">
            <w:pPr>
              <w:pStyle w:val="TableText"/>
              <w:jc w:val="center"/>
              <w:rPr>
                <w:b/>
                <w:bCs w:val="0"/>
              </w:rPr>
            </w:pPr>
            <w:r w:rsidRPr="003253E7">
              <w:rPr>
                <w:b/>
                <w:bCs w:val="0"/>
              </w:rPr>
              <w:t>Health state</w:t>
            </w:r>
          </w:p>
        </w:tc>
        <w:tc>
          <w:tcPr>
            <w:tcW w:w="2494" w:type="dxa"/>
            <w:vAlign w:val="center"/>
          </w:tcPr>
          <w:p w:rsidR="004B44FC" w:rsidRPr="003253E7" w:rsidRDefault="004B44FC" w:rsidP="001E2B70">
            <w:pPr>
              <w:pStyle w:val="TableText"/>
              <w:jc w:val="center"/>
              <w:rPr>
                <w:b/>
                <w:bCs w:val="0"/>
              </w:rPr>
            </w:pPr>
            <w:r w:rsidRPr="003253E7">
              <w:rPr>
                <w:b/>
                <w:bCs w:val="0"/>
              </w:rPr>
              <w:t>Gilteritinib</w:t>
            </w:r>
          </w:p>
        </w:tc>
        <w:tc>
          <w:tcPr>
            <w:tcW w:w="2494" w:type="dxa"/>
            <w:vAlign w:val="center"/>
          </w:tcPr>
          <w:p w:rsidR="004B44FC" w:rsidRPr="003253E7" w:rsidRDefault="004B44FC" w:rsidP="001E2B70">
            <w:pPr>
              <w:pStyle w:val="TableText"/>
              <w:jc w:val="center"/>
              <w:rPr>
                <w:b/>
                <w:bCs w:val="0"/>
              </w:rPr>
            </w:pPr>
            <w:r w:rsidRPr="003253E7">
              <w:rPr>
                <w:b/>
                <w:bCs w:val="0"/>
              </w:rPr>
              <w:t>Salvage chemotherapy</w:t>
            </w:r>
          </w:p>
        </w:tc>
      </w:tr>
      <w:tr w:rsidR="004B44FC" w:rsidRPr="003253E7" w:rsidTr="001E2B70">
        <w:tc>
          <w:tcPr>
            <w:tcW w:w="9017" w:type="dxa"/>
            <w:gridSpan w:val="4"/>
          </w:tcPr>
          <w:p w:rsidR="004B44FC" w:rsidRPr="003253E7" w:rsidRDefault="004B44FC" w:rsidP="001E2B70">
            <w:pPr>
              <w:pStyle w:val="TableText"/>
              <w:rPr>
                <w:b/>
                <w:bCs w:val="0"/>
              </w:rPr>
            </w:pPr>
            <w:r w:rsidRPr="003253E7">
              <w:rPr>
                <w:b/>
                <w:bCs w:val="0"/>
              </w:rPr>
              <w:t>2-year cure assumption with post- HSCT gilteritinib treatment benefit (base case)</w:t>
            </w:r>
          </w:p>
        </w:tc>
      </w:tr>
      <w:tr w:rsidR="004B44FC" w:rsidRPr="003253E7" w:rsidTr="007672C8">
        <w:tc>
          <w:tcPr>
            <w:tcW w:w="1535" w:type="dxa"/>
            <w:vMerge w:val="restart"/>
            <w:vAlign w:val="center"/>
          </w:tcPr>
          <w:p w:rsidR="004B44FC" w:rsidRPr="003253E7" w:rsidRDefault="004B44FC" w:rsidP="001E2B70">
            <w:pPr>
              <w:pStyle w:val="TableText"/>
            </w:pPr>
            <w:r w:rsidRPr="003253E7">
              <w:t>No HSCT</w:t>
            </w:r>
          </w:p>
        </w:tc>
        <w:tc>
          <w:tcPr>
            <w:tcW w:w="2494" w:type="dxa"/>
          </w:tcPr>
          <w:p w:rsidR="004B44FC" w:rsidRPr="003253E7" w:rsidRDefault="004B44FC" w:rsidP="001E2B70">
            <w:pPr>
              <w:pStyle w:val="TableText"/>
              <w:jc w:val="center"/>
            </w:pPr>
            <w:r w:rsidRPr="003253E7">
              <w:t>Event-free</w:t>
            </w:r>
          </w:p>
        </w:tc>
        <w:tc>
          <w:tcPr>
            <w:tcW w:w="2494" w:type="dxa"/>
            <w:shd w:val="clear" w:color="auto" w:fill="auto"/>
          </w:tcPr>
          <w:p w:rsidR="004B44FC" w:rsidRPr="007672C8" w:rsidRDefault="004B44FC" w:rsidP="001E2B70">
            <w:pPr>
              <w:pStyle w:val="TableText"/>
              <w:jc w:val="center"/>
            </w:pPr>
            <w:r w:rsidRPr="007672C8">
              <w:t>4.8%</w:t>
            </w:r>
          </w:p>
        </w:tc>
        <w:tc>
          <w:tcPr>
            <w:tcW w:w="2494" w:type="dxa"/>
            <w:shd w:val="clear" w:color="auto" w:fill="auto"/>
          </w:tcPr>
          <w:p w:rsidR="004B44FC" w:rsidRPr="007672C8" w:rsidRDefault="004B44FC" w:rsidP="001E2B70">
            <w:pPr>
              <w:pStyle w:val="TableText"/>
              <w:jc w:val="center"/>
            </w:pPr>
            <w:r w:rsidRPr="007672C8">
              <w:t>2.1%</w:t>
            </w:r>
          </w:p>
        </w:tc>
      </w:tr>
      <w:tr w:rsidR="004B44FC" w:rsidRPr="003253E7" w:rsidTr="007672C8">
        <w:tc>
          <w:tcPr>
            <w:tcW w:w="1535" w:type="dxa"/>
            <w:vMerge/>
          </w:tcPr>
          <w:p w:rsidR="004B44FC" w:rsidRPr="003253E7" w:rsidRDefault="004B44FC" w:rsidP="001E2B70">
            <w:pPr>
              <w:pStyle w:val="TableText"/>
            </w:pPr>
          </w:p>
        </w:tc>
        <w:tc>
          <w:tcPr>
            <w:tcW w:w="2494" w:type="dxa"/>
          </w:tcPr>
          <w:p w:rsidR="004B44FC" w:rsidRPr="003253E7" w:rsidRDefault="004B44FC" w:rsidP="001E2B70">
            <w:pPr>
              <w:pStyle w:val="TableText"/>
              <w:jc w:val="center"/>
            </w:pPr>
            <w:r w:rsidRPr="003253E7">
              <w:t>Post-event</w:t>
            </w:r>
          </w:p>
        </w:tc>
        <w:tc>
          <w:tcPr>
            <w:tcW w:w="2494" w:type="dxa"/>
            <w:shd w:val="clear" w:color="auto" w:fill="auto"/>
          </w:tcPr>
          <w:p w:rsidR="004B44FC" w:rsidRPr="007672C8" w:rsidRDefault="004B44FC" w:rsidP="001E2B70">
            <w:pPr>
              <w:pStyle w:val="TableText"/>
              <w:jc w:val="center"/>
            </w:pPr>
            <w:r w:rsidRPr="007672C8">
              <w:t>5.3%</w:t>
            </w:r>
          </w:p>
        </w:tc>
        <w:tc>
          <w:tcPr>
            <w:tcW w:w="2494" w:type="dxa"/>
            <w:shd w:val="clear" w:color="auto" w:fill="auto"/>
          </w:tcPr>
          <w:p w:rsidR="004B44FC" w:rsidRPr="007672C8" w:rsidRDefault="004B44FC" w:rsidP="001E2B70">
            <w:pPr>
              <w:pStyle w:val="TableText"/>
              <w:jc w:val="center"/>
            </w:pPr>
            <w:r w:rsidRPr="007672C8">
              <w:t>3.9%</w:t>
            </w:r>
          </w:p>
        </w:tc>
      </w:tr>
      <w:tr w:rsidR="004B44FC" w:rsidRPr="003253E7" w:rsidTr="007672C8">
        <w:tc>
          <w:tcPr>
            <w:tcW w:w="1535" w:type="dxa"/>
            <w:vMerge/>
          </w:tcPr>
          <w:p w:rsidR="004B44FC" w:rsidRPr="003253E7" w:rsidRDefault="004B44FC" w:rsidP="001E2B70">
            <w:pPr>
              <w:pStyle w:val="TableText"/>
            </w:pPr>
          </w:p>
        </w:tc>
        <w:tc>
          <w:tcPr>
            <w:tcW w:w="2494" w:type="dxa"/>
          </w:tcPr>
          <w:p w:rsidR="004B44FC" w:rsidRPr="003253E7" w:rsidRDefault="004B44FC" w:rsidP="001E2B70">
            <w:pPr>
              <w:pStyle w:val="TableText"/>
              <w:jc w:val="center"/>
            </w:pPr>
            <w:r w:rsidRPr="003253E7">
              <w:t>Cure rate</w:t>
            </w:r>
          </w:p>
        </w:tc>
        <w:tc>
          <w:tcPr>
            <w:tcW w:w="2494" w:type="dxa"/>
            <w:shd w:val="clear" w:color="auto" w:fill="auto"/>
          </w:tcPr>
          <w:p w:rsidR="004B44FC" w:rsidRPr="007672C8" w:rsidRDefault="004B44FC" w:rsidP="001E2B70">
            <w:pPr>
              <w:pStyle w:val="TableText"/>
              <w:jc w:val="center"/>
            </w:pPr>
            <w:r w:rsidRPr="007672C8">
              <w:t>10.1%</w:t>
            </w:r>
          </w:p>
        </w:tc>
        <w:tc>
          <w:tcPr>
            <w:tcW w:w="2494" w:type="dxa"/>
            <w:shd w:val="clear" w:color="auto" w:fill="auto"/>
          </w:tcPr>
          <w:p w:rsidR="004B44FC" w:rsidRPr="007672C8" w:rsidRDefault="004B44FC" w:rsidP="001E2B70">
            <w:pPr>
              <w:pStyle w:val="TableText"/>
              <w:jc w:val="center"/>
            </w:pPr>
            <w:r w:rsidRPr="007672C8">
              <w:t>6.0%</w:t>
            </w:r>
          </w:p>
        </w:tc>
      </w:tr>
      <w:tr w:rsidR="004B44FC" w:rsidRPr="003253E7" w:rsidTr="007672C8">
        <w:tc>
          <w:tcPr>
            <w:tcW w:w="1535" w:type="dxa"/>
            <w:vMerge w:val="restart"/>
            <w:vAlign w:val="center"/>
          </w:tcPr>
          <w:p w:rsidR="004B44FC" w:rsidRPr="003253E7" w:rsidRDefault="004B44FC" w:rsidP="001E2B70">
            <w:pPr>
              <w:pStyle w:val="TableText"/>
            </w:pPr>
            <w:r w:rsidRPr="003253E7">
              <w:t>With HSCT</w:t>
            </w:r>
          </w:p>
        </w:tc>
        <w:tc>
          <w:tcPr>
            <w:tcW w:w="2494" w:type="dxa"/>
          </w:tcPr>
          <w:p w:rsidR="004B44FC" w:rsidRPr="003253E7" w:rsidRDefault="004B44FC" w:rsidP="001E2B70">
            <w:pPr>
              <w:pStyle w:val="TableText"/>
              <w:jc w:val="center"/>
            </w:pPr>
            <w:r w:rsidRPr="003253E7">
              <w:t>Event-free</w:t>
            </w:r>
          </w:p>
        </w:tc>
        <w:tc>
          <w:tcPr>
            <w:tcW w:w="2494" w:type="dxa"/>
            <w:shd w:val="clear" w:color="auto" w:fill="auto"/>
          </w:tcPr>
          <w:p w:rsidR="004B44FC" w:rsidRPr="007672C8" w:rsidRDefault="004B44FC" w:rsidP="001E2B70">
            <w:pPr>
              <w:pStyle w:val="TableText"/>
              <w:jc w:val="center"/>
            </w:pPr>
            <w:r w:rsidRPr="007672C8">
              <w:t>47.6%</w:t>
            </w:r>
          </w:p>
        </w:tc>
        <w:tc>
          <w:tcPr>
            <w:tcW w:w="2494" w:type="dxa"/>
            <w:shd w:val="clear" w:color="auto" w:fill="auto"/>
          </w:tcPr>
          <w:p w:rsidR="004B44FC" w:rsidRPr="007672C8" w:rsidRDefault="004B44FC" w:rsidP="001E2B70">
            <w:pPr>
              <w:pStyle w:val="TableText"/>
              <w:jc w:val="center"/>
            </w:pPr>
            <w:r w:rsidRPr="007672C8">
              <w:t>38.6%</w:t>
            </w:r>
          </w:p>
        </w:tc>
      </w:tr>
      <w:tr w:rsidR="004B44FC" w:rsidRPr="003253E7" w:rsidTr="007672C8">
        <w:tc>
          <w:tcPr>
            <w:tcW w:w="1535" w:type="dxa"/>
            <w:vMerge/>
          </w:tcPr>
          <w:p w:rsidR="004B44FC" w:rsidRPr="003253E7" w:rsidRDefault="004B44FC" w:rsidP="001E2B70">
            <w:pPr>
              <w:pStyle w:val="TableText"/>
            </w:pPr>
          </w:p>
        </w:tc>
        <w:tc>
          <w:tcPr>
            <w:tcW w:w="2494" w:type="dxa"/>
          </w:tcPr>
          <w:p w:rsidR="004B44FC" w:rsidRPr="003253E7" w:rsidRDefault="004B44FC" w:rsidP="001E2B70">
            <w:pPr>
              <w:pStyle w:val="TableText"/>
              <w:jc w:val="center"/>
            </w:pPr>
            <w:r w:rsidRPr="003253E7">
              <w:t>Post-event</w:t>
            </w:r>
          </w:p>
        </w:tc>
        <w:tc>
          <w:tcPr>
            <w:tcW w:w="2494" w:type="dxa"/>
            <w:shd w:val="clear" w:color="auto" w:fill="auto"/>
          </w:tcPr>
          <w:p w:rsidR="004B44FC" w:rsidRPr="007672C8" w:rsidRDefault="004B44FC" w:rsidP="001E2B70">
            <w:pPr>
              <w:pStyle w:val="TableText"/>
              <w:jc w:val="center"/>
            </w:pPr>
            <w:r w:rsidRPr="007672C8">
              <w:t>4.0%</w:t>
            </w:r>
          </w:p>
        </w:tc>
        <w:tc>
          <w:tcPr>
            <w:tcW w:w="2494" w:type="dxa"/>
            <w:shd w:val="clear" w:color="auto" w:fill="auto"/>
          </w:tcPr>
          <w:p w:rsidR="004B44FC" w:rsidRPr="007672C8" w:rsidRDefault="004B44FC" w:rsidP="001E2B70">
            <w:pPr>
              <w:pStyle w:val="TableText"/>
              <w:jc w:val="center"/>
            </w:pPr>
            <w:r w:rsidRPr="007672C8">
              <w:t>4.2%</w:t>
            </w:r>
          </w:p>
        </w:tc>
      </w:tr>
      <w:tr w:rsidR="004B44FC" w:rsidRPr="003253E7" w:rsidTr="007672C8">
        <w:tc>
          <w:tcPr>
            <w:tcW w:w="1535" w:type="dxa"/>
            <w:vMerge/>
          </w:tcPr>
          <w:p w:rsidR="004B44FC" w:rsidRPr="003253E7" w:rsidRDefault="004B44FC" w:rsidP="001E2B70">
            <w:pPr>
              <w:pStyle w:val="TableText"/>
            </w:pPr>
          </w:p>
        </w:tc>
        <w:tc>
          <w:tcPr>
            <w:tcW w:w="2494" w:type="dxa"/>
          </w:tcPr>
          <w:p w:rsidR="004B44FC" w:rsidRPr="003253E7" w:rsidRDefault="004B44FC" w:rsidP="001E2B70">
            <w:pPr>
              <w:pStyle w:val="TableText"/>
              <w:jc w:val="center"/>
            </w:pPr>
            <w:r w:rsidRPr="003253E7">
              <w:t>Cure rate</w:t>
            </w:r>
          </w:p>
        </w:tc>
        <w:tc>
          <w:tcPr>
            <w:tcW w:w="2494" w:type="dxa"/>
            <w:shd w:val="clear" w:color="auto" w:fill="auto"/>
          </w:tcPr>
          <w:p w:rsidR="004B44FC" w:rsidRPr="007672C8" w:rsidRDefault="004B44FC" w:rsidP="001E2B70">
            <w:pPr>
              <w:pStyle w:val="TableText"/>
              <w:jc w:val="center"/>
            </w:pPr>
            <w:r w:rsidRPr="007672C8">
              <w:t>51.6%</w:t>
            </w:r>
          </w:p>
        </w:tc>
        <w:tc>
          <w:tcPr>
            <w:tcW w:w="2494" w:type="dxa"/>
            <w:shd w:val="clear" w:color="auto" w:fill="auto"/>
          </w:tcPr>
          <w:p w:rsidR="004B44FC" w:rsidRPr="007672C8" w:rsidRDefault="004B44FC" w:rsidP="001E2B70">
            <w:pPr>
              <w:pStyle w:val="TableText"/>
              <w:jc w:val="center"/>
            </w:pPr>
            <w:r w:rsidRPr="007672C8">
              <w:t>42.8%</w:t>
            </w:r>
          </w:p>
        </w:tc>
      </w:tr>
      <w:tr w:rsidR="004B44FC" w:rsidRPr="003253E7" w:rsidTr="007672C8">
        <w:tc>
          <w:tcPr>
            <w:tcW w:w="9017" w:type="dxa"/>
            <w:gridSpan w:val="4"/>
            <w:shd w:val="clear" w:color="auto" w:fill="auto"/>
          </w:tcPr>
          <w:p w:rsidR="004B44FC" w:rsidRPr="007672C8" w:rsidRDefault="004B44FC" w:rsidP="001E2B70">
            <w:pPr>
              <w:pStyle w:val="TableText"/>
              <w:rPr>
                <w:b/>
                <w:bCs w:val="0"/>
              </w:rPr>
            </w:pPr>
            <w:r w:rsidRPr="007672C8">
              <w:rPr>
                <w:b/>
                <w:bCs w:val="0"/>
              </w:rPr>
              <w:t>3-year cure assumption with post-HSCT gilteritinib treatment benefit (sensitivity analysis)</w:t>
            </w:r>
          </w:p>
        </w:tc>
      </w:tr>
      <w:tr w:rsidR="004B44FC" w:rsidRPr="003253E7" w:rsidTr="007672C8">
        <w:tc>
          <w:tcPr>
            <w:tcW w:w="1535" w:type="dxa"/>
            <w:vMerge w:val="restart"/>
            <w:vAlign w:val="center"/>
          </w:tcPr>
          <w:p w:rsidR="004B44FC" w:rsidRPr="003253E7" w:rsidRDefault="004B44FC" w:rsidP="001E2B70">
            <w:pPr>
              <w:pStyle w:val="TableText"/>
            </w:pPr>
            <w:r w:rsidRPr="003253E7">
              <w:t>No HSCT</w:t>
            </w:r>
          </w:p>
        </w:tc>
        <w:tc>
          <w:tcPr>
            <w:tcW w:w="2494" w:type="dxa"/>
            <w:vAlign w:val="center"/>
          </w:tcPr>
          <w:p w:rsidR="004B44FC" w:rsidRPr="003253E7" w:rsidRDefault="004B44FC" w:rsidP="001E2B70">
            <w:pPr>
              <w:pStyle w:val="TableText"/>
              <w:jc w:val="center"/>
            </w:pPr>
            <w:r w:rsidRPr="003253E7">
              <w:t>Event-free</w:t>
            </w:r>
          </w:p>
        </w:tc>
        <w:tc>
          <w:tcPr>
            <w:tcW w:w="2494" w:type="dxa"/>
            <w:shd w:val="clear" w:color="auto" w:fill="auto"/>
            <w:vAlign w:val="center"/>
          </w:tcPr>
          <w:p w:rsidR="004B44FC" w:rsidRPr="007672C8" w:rsidRDefault="004B44FC" w:rsidP="001E2B70">
            <w:pPr>
              <w:pStyle w:val="TableText"/>
              <w:jc w:val="center"/>
            </w:pPr>
            <w:r w:rsidRPr="007672C8">
              <w:t>2.7%</w:t>
            </w:r>
          </w:p>
        </w:tc>
        <w:tc>
          <w:tcPr>
            <w:tcW w:w="2494" w:type="dxa"/>
            <w:shd w:val="clear" w:color="auto" w:fill="auto"/>
            <w:vAlign w:val="center"/>
          </w:tcPr>
          <w:p w:rsidR="004B44FC" w:rsidRPr="007672C8" w:rsidRDefault="004B44FC" w:rsidP="001E2B70">
            <w:pPr>
              <w:pStyle w:val="TableText"/>
              <w:jc w:val="center"/>
            </w:pPr>
            <w:r w:rsidRPr="007672C8">
              <w:t>0.9%</w:t>
            </w:r>
          </w:p>
        </w:tc>
      </w:tr>
      <w:tr w:rsidR="004B44FC" w:rsidRPr="003253E7" w:rsidTr="007672C8">
        <w:tc>
          <w:tcPr>
            <w:tcW w:w="1535" w:type="dxa"/>
            <w:vMerge/>
            <w:vAlign w:val="center"/>
          </w:tcPr>
          <w:p w:rsidR="004B44FC" w:rsidRPr="003253E7" w:rsidRDefault="004B44FC" w:rsidP="001E2B70">
            <w:pPr>
              <w:pStyle w:val="TableText"/>
            </w:pPr>
          </w:p>
        </w:tc>
        <w:tc>
          <w:tcPr>
            <w:tcW w:w="2494" w:type="dxa"/>
            <w:vAlign w:val="center"/>
          </w:tcPr>
          <w:p w:rsidR="004B44FC" w:rsidRPr="003253E7" w:rsidRDefault="004B44FC" w:rsidP="001E2B70">
            <w:pPr>
              <w:pStyle w:val="TableText"/>
              <w:jc w:val="center"/>
            </w:pPr>
            <w:r w:rsidRPr="003253E7">
              <w:t>Post-event</w:t>
            </w:r>
          </w:p>
        </w:tc>
        <w:tc>
          <w:tcPr>
            <w:tcW w:w="2494" w:type="dxa"/>
            <w:shd w:val="clear" w:color="auto" w:fill="auto"/>
            <w:vAlign w:val="center"/>
          </w:tcPr>
          <w:p w:rsidR="004B44FC" w:rsidRPr="007672C8" w:rsidRDefault="004B44FC" w:rsidP="001E2B70">
            <w:pPr>
              <w:pStyle w:val="TableText"/>
              <w:jc w:val="center"/>
            </w:pPr>
            <w:r w:rsidRPr="007672C8">
              <w:t>2.5%</w:t>
            </w:r>
          </w:p>
        </w:tc>
        <w:tc>
          <w:tcPr>
            <w:tcW w:w="2494" w:type="dxa"/>
            <w:shd w:val="clear" w:color="auto" w:fill="auto"/>
            <w:vAlign w:val="center"/>
          </w:tcPr>
          <w:p w:rsidR="004B44FC" w:rsidRPr="007672C8" w:rsidRDefault="004B44FC" w:rsidP="001E2B70">
            <w:pPr>
              <w:pStyle w:val="TableText"/>
              <w:jc w:val="center"/>
            </w:pPr>
            <w:r w:rsidRPr="007672C8">
              <w:t>2.2%</w:t>
            </w:r>
          </w:p>
        </w:tc>
      </w:tr>
      <w:tr w:rsidR="004B44FC" w:rsidRPr="003253E7" w:rsidTr="007672C8">
        <w:tc>
          <w:tcPr>
            <w:tcW w:w="1535" w:type="dxa"/>
            <w:vMerge/>
            <w:vAlign w:val="center"/>
          </w:tcPr>
          <w:p w:rsidR="004B44FC" w:rsidRPr="003253E7" w:rsidRDefault="004B44FC" w:rsidP="001E2B70">
            <w:pPr>
              <w:pStyle w:val="TableText"/>
            </w:pPr>
          </w:p>
        </w:tc>
        <w:tc>
          <w:tcPr>
            <w:tcW w:w="2494" w:type="dxa"/>
            <w:vAlign w:val="center"/>
          </w:tcPr>
          <w:p w:rsidR="004B44FC" w:rsidRPr="003253E7" w:rsidRDefault="004B44FC" w:rsidP="001E2B70">
            <w:pPr>
              <w:pStyle w:val="TableText"/>
              <w:jc w:val="center"/>
            </w:pPr>
            <w:r w:rsidRPr="003253E7">
              <w:t>Cure rate</w:t>
            </w:r>
          </w:p>
        </w:tc>
        <w:tc>
          <w:tcPr>
            <w:tcW w:w="2494" w:type="dxa"/>
            <w:shd w:val="clear" w:color="auto" w:fill="auto"/>
            <w:vAlign w:val="center"/>
          </w:tcPr>
          <w:p w:rsidR="004B44FC" w:rsidRPr="007672C8" w:rsidRDefault="004B44FC" w:rsidP="001E2B70">
            <w:pPr>
              <w:pStyle w:val="TableText"/>
              <w:jc w:val="center"/>
            </w:pPr>
            <w:r w:rsidRPr="007672C8">
              <w:t>5.2%</w:t>
            </w:r>
          </w:p>
        </w:tc>
        <w:tc>
          <w:tcPr>
            <w:tcW w:w="2494" w:type="dxa"/>
            <w:shd w:val="clear" w:color="auto" w:fill="auto"/>
            <w:vAlign w:val="center"/>
          </w:tcPr>
          <w:p w:rsidR="004B44FC" w:rsidRPr="007672C8" w:rsidRDefault="004B44FC" w:rsidP="001E2B70">
            <w:pPr>
              <w:pStyle w:val="TableText"/>
              <w:jc w:val="center"/>
            </w:pPr>
            <w:r w:rsidRPr="007672C8">
              <w:t>3.1%</w:t>
            </w:r>
          </w:p>
        </w:tc>
      </w:tr>
      <w:tr w:rsidR="004B44FC" w:rsidRPr="003253E7" w:rsidTr="007672C8">
        <w:tc>
          <w:tcPr>
            <w:tcW w:w="1535" w:type="dxa"/>
            <w:vMerge w:val="restart"/>
            <w:vAlign w:val="center"/>
          </w:tcPr>
          <w:p w:rsidR="004B44FC" w:rsidRPr="003253E7" w:rsidRDefault="004B44FC" w:rsidP="001E2B70">
            <w:pPr>
              <w:pStyle w:val="TableText"/>
            </w:pPr>
            <w:r w:rsidRPr="003253E7">
              <w:t>With HSCT</w:t>
            </w:r>
          </w:p>
        </w:tc>
        <w:tc>
          <w:tcPr>
            <w:tcW w:w="2494" w:type="dxa"/>
            <w:vAlign w:val="center"/>
          </w:tcPr>
          <w:p w:rsidR="004B44FC" w:rsidRPr="003253E7" w:rsidRDefault="004B44FC" w:rsidP="001E2B70">
            <w:pPr>
              <w:pStyle w:val="TableText"/>
              <w:jc w:val="center"/>
            </w:pPr>
            <w:r w:rsidRPr="003253E7">
              <w:t>Event-free</w:t>
            </w:r>
          </w:p>
        </w:tc>
        <w:tc>
          <w:tcPr>
            <w:tcW w:w="2494" w:type="dxa"/>
            <w:shd w:val="clear" w:color="auto" w:fill="auto"/>
            <w:vAlign w:val="center"/>
          </w:tcPr>
          <w:p w:rsidR="004B44FC" w:rsidRPr="007672C8" w:rsidRDefault="004B44FC" w:rsidP="001E2B70">
            <w:pPr>
              <w:pStyle w:val="TableText"/>
              <w:jc w:val="center"/>
            </w:pPr>
            <w:r w:rsidRPr="007672C8">
              <w:t>38.7%</w:t>
            </w:r>
          </w:p>
        </w:tc>
        <w:tc>
          <w:tcPr>
            <w:tcW w:w="2494" w:type="dxa"/>
            <w:shd w:val="clear" w:color="auto" w:fill="auto"/>
            <w:vAlign w:val="center"/>
          </w:tcPr>
          <w:p w:rsidR="004B44FC" w:rsidRPr="007672C8" w:rsidRDefault="004B44FC" w:rsidP="001E2B70">
            <w:pPr>
              <w:pStyle w:val="TableText"/>
              <w:jc w:val="center"/>
            </w:pPr>
            <w:r w:rsidRPr="007672C8">
              <w:t>30.0%</w:t>
            </w:r>
          </w:p>
        </w:tc>
      </w:tr>
      <w:tr w:rsidR="004B44FC" w:rsidRPr="003253E7" w:rsidTr="007672C8">
        <w:tc>
          <w:tcPr>
            <w:tcW w:w="1535" w:type="dxa"/>
            <w:vMerge/>
          </w:tcPr>
          <w:p w:rsidR="004B44FC" w:rsidRPr="003253E7" w:rsidRDefault="004B44FC" w:rsidP="001E2B70">
            <w:pPr>
              <w:pStyle w:val="TableText"/>
            </w:pPr>
          </w:p>
        </w:tc>
        <w:tc>
          <w:tcPr>
            <w:tcW w:w="2494" w:type="dxa"/>
            <w:vAlign w:val="center"/>
          </w:tcPr>
          <w:p w:rsidR="004B44FC" w:rsidRPr="003253E7" w:rsidRDefault="004B44FC" w:rsidP="001E2B70">
            <w:pPr>
              <w:pStyle w:val="TableText"/>
              <w:jc w:val="center"/>
            </w:pPr>
            <w:r w:rsidRPr="003253E7">
              <w:t>Post-event</w:t>
            </w:r>
          </w:p>
        </w:tc>
        <w:tc>
          <w:tcPr>
            <w:tcW w:w="2494" w:type="dxa"/>
            <w:shd w:val="clear" w:color="auto" w:fill="auto"/>
            <w:vAlign w:val="center"/>
          </w:tcPr>
          <w:p w:rsidR="004B44FC" w:rsidRPr="007672C8" w:rsidRDefault="004B44FC" w:rsidP="001E2B70">
            <w:pPr>
              <w:pStyle w:val="TableText"/>
              <w:jc w:val="center"/>
            </w:pPr>
            <w:r w:rsidRPr="007672C8">
              <w:t>4.2%</w:t>
            </w:r>
          </w:p>
        </w:tc>
        <w:tc>
          <w:tcPr>
            <w:tcW w:w="2494" w:type="dxa"/>
            <w:shd w:val="clear" w:color="auto" w:fill="auto"/>
            <w:vAlign w:val="center"/>
          </w:tcPr>
          <w:p w:rsidR="004B44FC" w:rsidRPr="007672C8" w:rsidRDefault="004B44FC" w:rsidP="001E2B70">
            <w:pPr>
              <w:pStyle w:val="TableText"/>
              <w:jc w:val="center"/>
            </w:pPr>
            <w:r w:rsidRPr="007672C8">
              <w:t>4.2%</w:t>
            </w:r>
          </w:p>
        </w:tc>
      </w:tr>
      <w:tr w:rsidR="004B44FC" w:rsidRPr="003253E7" w:rsidTr="007672C8">
        <w:tc>
          <w:tcPr>
            <w:tcW w:w="1535" w:type="dxa"/>
            <w:vMerge/>
          </w:tcPr>
          <w:p w:rsidR="004B44FC" w:rsidRPr="003253E7" w:rsidRDefault="004B44FC" w:rsidP="001E2B70">
            <w:pPr>
              <w:pStyle w:val="TableText"/>
            </w:pPr>
          </w:p>
        </w:tc>
        <w:tc>
          <w:tcPr>
            <w:tcW w:w="2494" w:type="dxa"/>
            <w:vAlign w:val="center"/>
          </w:tcPr>
          <w:p w:rsidR="004B44FC" w:rsidRPr="003253E7" w:rsidRDefault="004B44FC" w:rsidP="001E2B70">
            <w:pPr>
              <w:pStyle w:val="TableText"/>
              <w:jc w:val="center"/>
            </w:pPr>
            <w:r w:rsidRPr="003253E7">
              <w:t>Cure rate</w:t>
            </w:r>
          </w:p>
        </w:tc>
        <w:tc>
          <w:tcPr>
            <w:tcW w:w="2494" w:type="dxa"/>
            <w:shd w:val="clear" w:color="auto" w:fill="auto"/>
            <w:vAlign w:val="center"/>
          </w:tcPr>
          <w:p w:rsidR="004B44FC" w:rsidRPr="007672C8" w:rsidRDefault="004B44FC" w:rsidP="001E2B70">
            <w:pPr>
              <w:pStyle w:val="TableText"/>
              <w:jc w:val="center"/>
            </w:pPr>
            <w:r w:rsidRPr="007672C8">
              <w:t>42.9%</w:t>
            </w:r>
          </w:p>
        </w:tc>
        <w:tc>
          <w:tcPr>
            <w:tcW w:w="2494" w:type="dxa"/>
            <w:shd w:val="clear" w:color="auto" w:fill="auto"/>
            <w:vAlign w:val="center"/>
          </w:tcPr>
          <w:p w:rsidR="004B44FC" w:rsidRPr="007672C8" w:rsidRDefault="004B44FC" w:rsidP="001E2B70">
            <w:pPr>
              <w:pStyle w:val="TableText"/>
              <w:jc w:val="center"/>
            </w:pPr>
            <w:r w:rsidRPr="007672C8">
              <w:t>34.2%</w:t>
            </w:r>
          </w:p>
        </w:tc>
      </w:tr>
      <w:tr w:rsidR="004B44FC" w:rsidRPr="003253E7" w:rsidTr="007672C8">
        <w:tc>
          <w:tcPr>
            <w:tcW w:w="9017" w:type="dxa"/>
            <w:gridSpan w:val="4"/>
            <w:shd w:val="clear" w:color="auto" w:fill="auto"/>
          </w:tcPr>
          <w:p w:rsidR="004B44FC" w:rsidRPr="007672C8" w:rsidRDefault="004B44FC" w:rsidP="001E2B70">
            <w:pPr>
              <w:pStyle w:val="TableText"/>
              <w:rPr>
                <w:b/>
                <w:bCs w:val="0"/>
              </w:rPr>
            </w:pPr>
            <w:r w:rsidRPr="007672C8">
              <w:rPr>
                <w:b/>
                <w:bCs w:val="0"/>
              </w:rPr>
              <w:t>2-year cure assumption without post-HSCT gilteritinib treatment benefit (sensitivity analysis)</w:t>
            </w:r>
          </w:p>
        </w:tc>
      </w:tr>
      <w:tr w:rsidR="004B44FC" w:rsidRPr="003253E7" w:rsidTr="007672C8">
        <w:tc>
          <w:tcPr>
            <w:tcW w:w="1535" w:type="dxa"/>
            <w:vMerge w:val="restart"/>
            <w:vAlign w:val="center"/>
          </w:tcPr>
          <w:p w:rsidR="004B44FC" w:rsidRPr="003253E7" w:rsidRDefault="004B44FC" w:rsidP="001E2B70">
            <w:pPr>
              <w:pStyle w:val="TableText"/>
            </w:pPr>
            <w:r w:rsidRPr="003253E7">
              <w:t>No HSCT</w:t>
            </w:r>
          </w:p>
        </w:tc>
        <w:tc>
          <w:tcPr>
            <w:tcW w:w="2494" w:type="dxa"/>
            <w:vAlign w:val="center"/>
          </w:tcPr>
          <w:p w:rsidR="004B44FC" w:rsidRPr="003253E7" w:rsidRDefault="004B44FC" w:rsidP="001E2B70">
            <w:pPr>
              <w:pStyle w:val="TableText"/>
              <w:jc w:val="center"/>
            </w:pPr>
            <w:r w:rsidRPr="003253E7">
              <w:t>Event-free</w:t>
            </w:r>
          </w:p>
        </w:tc>
        <w:tc>
          <w:tcPr>
            <w:tcW w:w="2494" w:type="dxa"/>
            <w:shd w:val="clear" w:color="auto" w:fill="auto"/>
          </w:tcPr>
          <w:p w:rsidR="004B44FC" w:rsidRPr="007672C8" w:rsidRDefault="004B44FC" w:rsidP="001E2B70">
            <w:pPr>
              <w:pStyle w:val="TableText"/>
              <w:jc w:val="center"/>
            </w:pPr>
            <w:r w:rsidRPr="007672C8">
              <w:t>4.8%</w:t>
            </w:r>
          </w:p>
        </w:tc>
        <w:tc>
          <w:tcPr>
            <w:tcW w:w="2494" w:type="dxa"/>
            <w:shd w:val="clear" w:color="auto" w:fill="auto"/>
          </w:tcPr>
          <w:p w:rsidR="004B44FC" w:rsidRPr="007672C8" w:rsidRDefault="004B44FC" w:rsidP="001E2B70">
            <w:pPr>
              <w:pStyle w:val="TableText"/>
              <w:jc w:val="center"/>
            </w:pPr>
            <w:r w:rsidRPr="007672C8">
              <w:t>2.1%</w:t>
            </w:r>
          </w:p>
        </w:tc>
      </w:tr>
      <w:tr w:rsidR="004B44FC" w:rsidRPr="003253E7" w:rsidTr="007672C8">
        <w:tc>
          <w:tcPr>
            <w:tcW w:w="1535" w:type="dxa"/>
            <w:vMerge/>
            <w:vAlign w:val="center"/>
          </w:tcPr>
          <w:p w:rsidR="004B44FC" w:rsidRPr="003253E7" w:rsidRDefault="004B44FC" w:rsidP="001E2B70">
            <w:pPr>
              <w:pStyle w:val="TableText"/>
            </w:pPr>
          </w:p>
        </w:tc>
        <w:tc>
          <w:tcPr>
            <w:tcW w:w="2494" w:type="dxa"/>
            <w:vAlign w:val="center"/>
          </w:tcPr>
          <w:p w:rsidR="004B44FC" w:rsidRPr="003253E7" w:rsidRDefault="004B44FC" w:rsidP="001E2B70">
            <w:pPr>
              <w:pStyle w:val="TableText"/>
              <w:jc w:val="center"/>
            </w:pPr>
            <w:r w:rsidRPr="003253E7">
              <w:t>Post-event</w:t>
            </w:r>
          </w:p>
        </w:tc>
        <w:tc>
          <w:tcPr>
            <w:tcW w:w="2494" w:type="dxa"/>
            <w:shd w:val="clear" w:color="auto" w:fill="auto"/>
          </w:tcPr>
          <w:p w:rsidR="004B44FC" w:rsidRPr="007672C8" w:rsidRDefault="004B44FC" w:rsidP="001E2B70">
            <w:pPr>
              <w:pStyle w:val="TableText"/>
              <w:jc w:val="center"/>
            </w:pPr>
            <w:r w:rsidRPr="007672C8">
              <w:t>5.3%</w:t>
            </w:r>
          </w:p>
        </w:tc>
        <w:tc>
          <w:tcPr>
            <w:tcW w:w="2494" w:type="dxa"/>
            <w:shd w:val="clear" w:color="auto" w:fill="auto"/>
          </w:tcPr>
          <w:p w:rsidR="004B44FC" w:rsidRPr="007672C8" w:rsidRDefault="004B44FC" w:rsidP="001E2B70">
            <w:pPr>
              <w:pStyle w:val="TableText"/>
              <w:jc w:val="center"/>
            </w:pPr>
            <w:r w:rsidRPr="007672C8">
              <w:t>3.9%</w:t>
            </w:r>
          </w:p>
        </w:tc>
      </w:tr>
      <w:tr w:rsidR="004B44FC" w:rsidRPr="003253E7" w:rsidTr="007672C8">
        <w:tc>
          <w:tcPr>
            <w:tcW w:w="1535" w:type="dxa"/>
            <w:vMerge/>
            <w:vAlign w:val="center"/>
          </w:tcPr>
          <w:p w:rsidR="004B44FC" w:rsidRPr="003253E7" w:rsidRDefault="004B44FC" w:rsidP="001E2B70">
            <w:pPr>
              <w:pStyle w:val="TableText"/>
            </w:pPr>
          </w:p>
        </w:tc>
        <w:tc>
          <w:tcPr>
            <w:tcW w:w="2494" w:type="dxa"/>
            <w:vAlign w:val="center"/>
          </w:tcPr>
          <w:p w:rsidR="004B44FC" w:rsidRPr="003253E7" w:rsidRDefault="004B44FC" w:rsidP="001E2B70">
            <w:pPr>
              <w:pStyle w:val="TableText"/>
              <w:jc w:val="center"/>
            </w:pPr>
            <w:r w:rsidRPr="003253E7">
              <w:t>Cure rate</w:t>
            </w:r>
          </w:p>
        </w:tc>
        <w:tc>
          <w:tcPr>
            <w:tcW w:w="2494" w:type="dxa"/>
            <w:shd w:val="clear" w:color="auto" w:fill="auto"/>
          </w:tcPr>
          <w:p w:rsidR="004B44FC" w:rsidRPr="007672C8" w:rsidRDefault="004B44FC" w:rsidP="001E2B70">
            <w:pPr>
              <w:pStyle w:val="TableText"/>
              <w:jc w:val="center"/>
            </w:pPr>
            <w:r w:rsidRPr="007672C8">
              <w:t>10.1%</w:t>
            </w:r>
          </w:p>
        </w:tc>
        <w:tc>
          <w:tcPr>
            <w:tcW w:w="2494" w:type="dxa"/>
            <w:shd w:val="clear" w:color="auto" w:fill="auto"/>
          </w:tcPr>
          <w:p w:rsidR="004B44FC" w:rsidRPr="007672C8" w:rsidRDefault="004B44FC" w:rsidP="001E2B70">
            <w:pPr>
              <w:pStyle w:val="TableText"/>
              <w:jc w:val="center"/>
            </w:pPr>
            <w:r w:rsidRPr="007672C8">
              <w:t>6.0%</w:t>
            </w:r>
          </w:p>
        </w:tc>
      </w:tr>
      <w:tr w:rsidR="004B44FC" w:rsidRPr="003253E7" w:rsidTr="007672C8">
        <w:tc>
          <w:tcPr>
            <w:tcW w:w="1535" w:type="dxa"/>
            <w:vMerge w:val="restart"/>
            <w:vAlign w:val="center"/>
          </w:tcPr>
          <w:p w:rsidR="004B44FC" w:rsidRPr="003253E7" w:rsidRDefault="004B44FC" w:rsidP="001E2B70">
            <w:pPr>
              <w:pStyle w:val="TableText"/>
            </w:pPr>
            <w:r w:rsidRPr="003253E7">
              <w:t>With HSCT</w:t>
            </w:r>
          </w:p>
        </w:tc>
        <w:tc>
          <w:tcPr>
            <w:tcW w:w="2494" w:type="dxa"/>
            <w:vAlign w:val="center"/>
          </w:tcPr>
          <w:p w:rsidR="004B44FC" w:rsidRPr="003253E7" w:rsidRDefault="004B44FC" w:rsidP="001E2B70">
            <w:pPr>
              <w:pStyle w:val="TableText"/>
              <w:jc w:val="center"/>
            </w:pPr>
            <w:r w:rsidRPr="003253E7">
              <w:t>Event-free</w:t>
            </w:r>
          </w:p>
        </w:tc>
        <w:tc>
          <w:tcPr>
            <w:tcW w:w="2494" w:type="dxa"/>
            <w:shd w:val="clear" w:color="auto" w:fill="auto"/>
            <w:vAlign w:val="center"/>
          </w:tcPr>
          <w:p w:rsidR="004B44FC" w:rsidRPr="007672C8" w:rsidRDefault="004B44FC" w:rsidP="001E2B70">
            <w:pPr>
              <w:pStyle w:val="TableText"/>
              <w:jc w:val="center"/>
            </w:pPr>
            <w:r w:rsidRPr="007672C8">
              <w:t>39.5%</w:t>
            </w:r>
          </w:p>
        </w:tc>
        <w:tc>
          <w:tcPr>
            <w:tcW w:w="2494" w:type="dxa"/>
            <w:shd w:val="clear" w:color="auto" w:fill="auto"/>
            <w:vAlign w:val="center"/>
          </w:tcPr>
          <w:p w:rsidR="004B44FC" w:rsidRPr="007672C8" w:rsidRDefault="004B44FC" w:rsidP="001E2B70">
            <w:pPr>
              <w:pStyle w:val="TableText"/>
              <w:jc w:val="center"/>
            </w:pPr>
            <w:r w:rsidRPr="007672C8">
              <w:t>38.6%</w:t>
            </w:r>
          </w:p>
        </w:tc>
      </w:tr>
      <w:tr w:rsidR="004B44FC" w:rsidRPr="003253E7" w:rsidTr="007672C8">
        <w:tc>
          <w:tcPr>
            <w:tcW w:w="1535" w:type="dxa"/>
            <w:vMerge/>
          </w:tcPr>
          <w:p w:rsidR="004B44FC" w:rsidRPr="003253E7" w:rsidRDefault="004B44FC" w:rsidP="001E2B70">
            <w:pPr>
              <w:pStyle w:val="TableText"/>
            </w:pPr>
          </w:p>
        </w:tc>
        <w:tc>
          <w:tcPr>
            <w:tcW w:w="2494" w:type="dxa"/>
            <w:vAlign w:val="center"/>
          </w:tcPr>
          <w:p w:rsidR="004B44FC" w:rsidRPr="003253E7" w:rsidRDefault="004B44FC" w:rsidP="001E2B70">
            <w:pPr>
              <w:pStyle w:val="TableText"/>
              <w:jc w:val="center"/>
            </w:pPr>
            <w:r w:rsidRPr="003253E7">
              <w:t>Post-event</w:t>
            </w:r>
          </w:p>
        </w:tc>
        <w:tc>
          <w:tcPr>
            <w:tcW w:w="2494" w:type="dxa"/>
            <w:shd w:val="clear" w:color="auto" w:fill="auto"/>
            <w:vAlign w:val="center"/>
          </w:tcPr>
          <w:p w:rsidR="004B44FC" w:rsidRPr="007672C8" w:rsidRDefault="004B44FC" w:rsidP="001E2B70">
            <w:pPr>
              <w:pStyle w:val="TableText"/>
              <w:jc w:val="center"/>
            </w:pPr>
            <w:r w:rsidRPr="007672C8">
              <w:t>4.2%</w:t>
            </w:r>
          </w:p>
        </w:tc>
        <w:tc>
          <w:tcPr>
            <w:tcW w:w="2494" w:type="dxa"/>
            <w:shd w:val="clear" w:color="auto" w:fill="auto"/>
            <w:vAlign w:val="center"/>
          </w:tcPr>
          <w:p w:rsidR="004B44FC" w:rsidRPr="007672C8" w:rsidRDefault="004B44FC" w:rsidP="001E2B70">
            <w:pPr>
              <w:pStyle w:val="TableText"/>
              <w:jc w:val="center"/>
            </w:pPr>
            <w:r w:rsidRPr="007672C8">
              <w:t>4.2%</w:t>
            </w:r>
          </w:p>
        </w:tc>
      </w:tr>
      <w:tr w:rsidR="004B44FC" w:rsidRPr="003253E7" w:rsidTr="007672C8">
        <w:tc>
          <w:tcPr>
            <w:tcW w:w="1535" w:type="dxa"/>
            <w:vMerge/>
          </w:tcPr>
          <w:p w:rsidR="004B44FC" w:rsidRPr="003253E7" w:rsidRDefault="004B44FC" w:rsidP="001E2B70">
            <w:pPr>
              <w:pStyle w:val="TableText"/>
            </w:pPr>
          </w:p>
        </w:tc>
        <w:tc>
          <w:tcPr>
            <w:tcW w:w="2494" w:type="dxa"/>
            <w:vAlign w:val="center"/>
          </w:tcPr>
          <w:p w:rsidR="004B44FC" w:rsidRPr="003253E7" w:rsidRDefault="004B44FC" w:rsidP="001E2B70">
            <w:pPr>
              <w:pStyle w:val="TableText"/>
              <w:jc w:val="center"/>
            </w:pPr>
            <w:r w:rsidRPr="003253E7">
              <w:t>Cure rate</w:t>
            </w:r>
          </w:p>
        </w:tc>
        <w:tc>
          <w:tcPr>
            <w:tcW w:w="2494" w:type="dxa"/>
            <w:shd w:val="clear" w:color="auto" w:fill="auto"/>
            <w:vAlign w:val="center"/>
          </w:tcPr>
          <w:p w:rsidR="004B44FC" w:rsidRPr="007672C8" w:rsidRDefault="004B44FC" w:rsidP="001E2B70">
            <w:pPr>
              <w:pStyle w:val="TableText"/>
              <w:jc w:val="center"/>
            </w:pPr>
            <w:r w:rsidRPr="007672C8">
              <w:t>43.7%</w:t>
            </w:r>
          </w:p>
        </w:tc>
        <w:tc>
          <w:tcPr>
            <w:tcW w:w="2494" w:type="dxa"/>
            <w:shd w:val="clear" w:color="auto" w:fill="auto"/>
            <w:vAlign w:val="center"/>
          </w:tcPr>
          <w:p w:rsidR="004B44FC" w:rsidRPr="007672C8" w:rsidRDefault="004B44FC" w:rsidP="001E2B70">
            <w:pPr>
              <w:pStyle w:val="TableText"/>
              <w:jc w:val="center"/>
            </w:pPr>
            <w:r w:rsidRPr="007672C8">
              <w:t>42.8%</w:t>
            </w:r>
          </w:p>
        </w:tc>
      </w:tr>
    </w:tbl>
    <w:p w:rsidR="004B44FC" w:rsidRPr="003253E7" w:rsidRDefault="004B44FC" w:rsidP="004B44FC">
      <w:pPr>
        <w:pStyle w:val="TableFigureFooter"/>
      </w:pPr>
      <w:r w:rsidRPr="003253E7">
        <w:t>Source: Constructed during the evaluation using the Xospata FLT3AML Economic Model Excel spreadsheet of the submission</w:t>
      </w:r>
    </w:p>
    <w:p w:rsidR="004B44FC" w:rsidRPr="007672C8" w:rsidRDefault="004B44FC" w:rsidP="004B44FC">
      <w:pPr>
        <w:pStyle w:val="ExecSumBodyText"/>
        <w:rPr>
          <w:iCs/>
        </w:rPr>
      </w:pPr>
      <w:r w:rsidRPr="005743F7">
        <w:rPr>
          <w:iCs/>
        </w:rPr>
        <w:t xml:space="preserve">The model </w:t>
      </w:r>
      <w:r w:rsidRPr="007672C8">
        <w:rPr>
          <w:iCs/>
        </w:rPr>
        <w:t>assumed that all patients remaining alive at 2 years were cured, irrespective of disease status or HSCT status. Based on this assumption, 10.1% of patients in the gilteritinib arm and 6.0% of patients in the salvage chemotherapy arm who did not receive HSCT were cured. This appeared clinically implausible given the majority of patients had experienced an event at this timepoint.</w:t>
      </w:r>
    </w:p>
    <w:p w:rsidR="004B44FC" w:rsidRPr="005743F7" w:rsidRDefault="004B44FC" w:rsidP="004B44FC">
      <w:pPr>
        <w:pStyle w:val="ExecSumBodyText"/>
        <w:rPr>
          <w:iCs/>
        </w:rPr>
      </w:pPr>
      <w:r w:rsidRPr="007672C8">
        <w:rPr>
          <w:iCs/>
        </w:rPr>
        <w:t>In the With HSCT cohort, the modelled cure rate was 51.6% in the gilteritinib arm and 42.8% in the salvage chemotherapy</w:t>
      </w:r>
      <w:r w:rsidRPr="005743F7">
        <w:rPr>
          <w:iCs/>
        </w:rPr>
        <w:t xml:space="preserve"> arm. The assumed difference in the cure rate was primarily due to the inclusion of additional treatment benefit due to post-HSCT gilteritinib maintenance therapy. The removal of the additional treatment benefit resulted in more similar cure rates between treatment arms, however, the estimates remained higher than the 2-year cure rate estimated in pooled post-HSCT survival data from the ADMIRAL trial of 39.7%</w:t>
      </w:r>
      <w:r w:rsidR="00C7109D">
        <w:rPr>
          <w:iCs/>
        </w:rPr>
        <w:t xml:space="preserve">. </w:t>
      </w:r>
      <w:r w:rsidRPr="005743F7">
        <w:rPr>
          <w:iCs/>
        </w:rPr>
        <w:t xml:space="preserve">The difference was due to the </w:t>
      </w:r>
      <w:r w:rsidR="000A6BE7" w:rsidRPr="005743F7">
        <w:rPr>
          <w:iCs/>
        </w:rPr>
        <w:t xml:space="preserve">structural assumption of </w:t>
      </w:r>
      <w:r w:rsidR="00493367" w:rsidRPr="005743F7">
        <w:rPr>
          <w:iCs/>
        </w:rPr>
        <w:t xml:space="preserve">fixed time to HSCT </w:t>
      </w:r>
      <w:r w:rsidR="003953E6" w:rsidRPr="005743F7">
        <w:rPr>
          <w:iCs/>
        </w:rPr>
        <w:t>which resulted in the</w:t>
      </w:r>
      <w:r w:rsidR="00493367" w:rsidRPr="005743F7">
        <w:rPr>
          <w:iCs/>
        </w:rPr>
        <w:t xml:space="preserve"> 2-year </w:t>
      </w:r>
      <w:r w:rsidRPr="005743F7">
        <w:rPr>
          <w:iCs/>
        </w:rPr>
        <w:t xml:space="preserve">cure assumption </w:t>
      </w:r>
      <w:r w:rsidR="003953E6" w:rsidRPr="005743F7">
        <w:rPr>
          <w:iCs/>
        </w:rPr>
        <w:t xml:space="preserve">being </w:t>
      </w:r>
      <w:r w:rsidRPr="005743F7">
        <w:rPr>
          <w:iCs/>
        </w:rPr>
        <w:t>applied at 20 months after HSCT in the gilteritinib arm and 21 months after HSCT in the salvage chemotherapy arm.</w:t>
      </w:r>
    </w:p>
    <w:p w:rsidR="004B44FC" w:rsidRPr="005743F7" w:rsidRDefault="004B44FC" w:rsidP="004B44FC">
      <w:pPr>
        <w:pStyle w:val="ExecSumBodyText"/>
        <w:rPr>
          <w:iCs/>
        </w:rPr>
      </w:pPr>
      <w:r w:rsidRPr="005743F7">
        <w:rPr>
          <w:iCs/>
        </w:rPr>
        <w:t xml:space="preserve">Modelled cure rates in the With HSCT arm appeared optimistic given some patients had experienced an event at that timepoint. While the proportion in the post-event health state appeared relatively small, this was based on a synthesised </w:t>
      </w:r>
      <w:r w:rsidR="00E2169A" w:rsidRPr="005743F7">
        <w:rPr>
          <w:iCs/>
        </w:rPr>
        <w:t>EFS</w:t>
      </w:r>
      <w:r w:rsidRPr="005743F7">
        <w:rPr>
          <w:iCs/>
        </w:rPr>
        <w:t xml:space="preserve"> curve assuming a hazard ratio for </w:t>
      </w:r>
      <w:r w:rsidR="00E2169A" w:rsidRPr="005743F7">
        <w:rPr>
          <w:iCs/>
        </w:rPr>
        <w:t>EFS</w:t>
      </w:r>
      <w:r w:rsidRPr="005743F7">
        <w:rPr>
          <w:iCs/>
        </w:rPr>
        <w:t xml:space="preserve"> to </w:t>
      </w:r>
      <w:r w:rsidR="00E2169A" w:rsidRPr="005743F7">
        <w:rPr>
          <w:iCs/>
        </w:rPr>
        <w:t>OS</w:t>
      </w:r>
      <w:r w:rsidRPr="005743F7">
        <w:rPr>
          <w:iCs/>
        </w:rPr>
        <w:t xml:space="preserve"> of 0.89. The submission claimed no post-HSCT </w:t>
      </w:r>
      <w:r w:rsidR="00E2169A" w:rsidRPr="005743F7">
        <w:rPr>
          <w:iCs/>
        </w:rPr>
        <w:t>EFS</w:t>
      </w:r>
      <w:r w:rsidRPr="005743F7">
        <w:rPr>
          <w:iCs/>
        </w:rPr>
        <w:t xml:space="preserve"> data were available from the ADMIRAL trial despite the availability of response outcomes, relapse and subsequent therapy use in the gilteritinib arm.</w:t>
      </w:r>
    </w:p>
    <w:p w:rsidR="004B44FC" w:rsidRPr="00C00A16" w:rsidRDefault="004B44FC" w:rsidP="004B44FC">
      <w:pPr>
        <w:pStyle w:val="ExecSumBodyText"/>
        <w:rPr>
          <w:iCs/>
        </w:rPr>
      </w:pPr>
      <w:r w:rsidRPr="005743F7">
        <w:rPr>
          <w:iCs/>
        </w:rPr>
        <w:t>The 3-year cure assumption sensitivity analysis yielded more conservative estimates of cure, however, there remained a substantial difference in cure rates in the With HSCT cohort due to the inclusion of additional gilteritinib treatment benefit.</w:t>
      </w:r>
      <w:r w:rsidR="00336798">
        <w:rPr>
          <w:iCs/>
        </w:rPr>
        <w:t xml:space="preserve"> </w:t>
      </w:r>
    </w:p>
    <w:p w:rsidR="004B44FC" w:rsidRPr="005743F7" w:rsidRDefault="004B44FC" w:rsidP="004B44FC">
      <w:pPr>
        <w:pStyle w:val="ExecSumBodyText"/>
        <w:rPr>
          <w:iCs/>
        </w:rPr>
      </w:pPr>
      <w:r w:rsidRPr="005743F7">
        <w:rPr>
          <w:iCs/>
        </w:rPr>
        <w:t xml:space="preserve">Overall, modelled estimates of cure appeared optimistic based on </w:t>
      </w:r>
      <w:r w:rsidR="00E2169A" w:rsidRPr="005743F7">
        <w:rPr>
          <w:iCs/>
        </w:rPr>
        <w:t>OS</w:t>
      </w:r>
      <w:r w:rsidRPr="005743F7">
        <w:rPr>
          <w:iCs/>
        </w:rPr>
        <w:t xml:space="preserve"> that included patients with some form of active disease. Long-term relapse data from the ADMIRAL trial suggest</w:t>
      </w:r>
      <w:r w:rsidR="00B21F26" w:rsidRPr="005743F7">
        <w:rPr>
          <w:iCs/>
        </w:rPr>
        <w:t>ed</w:t>
      </w:r>
      <w:r w:rsidRPr="005743F7">
        <w:rPr>
          <w:iCs/>
        </w:rPr>
        <w:t xml:space="preserve"> 10.5% (26/247) of patients in the gilteritinib arm were living without relapse for at least 2 years. This </w:t>
      </w:r>
      <w:r w:rsidR="00B21F26" w:rsidRPr="005743F7">
        <w:rPr>
          <w:iCs/>
        </w:rPr>
        <w:t>was</w:t>
      </w:r>
      <w:r w:rsidRPr="005743F7">
        <w:rPr>
          <w:iCs/>
        </w:rPr>
        <w:t xml:space="preserve"> lower than the proportion of patients remaining alive at 2 years in the model (21%) who were assumed to be cured.   </w:t>
      </w:r>
    </w:p>
    <w:p w:rsidR="004B44FC" w:rsidRPr="000B0BAA" w:rsidRDefault="004B44FC" w:rsidP="004B44FC">
      <w:pPr>
        <w:pStyle w:val="ExecSumBodyText"/>
        <w:rPr>
          <w:i/>
          <w:iCs/>
        </w:rPr>
      </w:pPr>
      <w:r w:rsidRPr="005743F7">
        <w:rPr>
          <w:iCs/>
        </w:rPr>
        <w:t xml:space="preserve">Due to the model structure, alternative cure assumptions (e.g. applied to patients who are event-free only or applied to patients in the </w:t>
      </w:r>
      <w:r w:rsidR="00A00A65">
        <w:rPr>
          <w:iCs/>
        </w:rPr>
        <w:t>W</w:t>
      </w:r>
      <w:r w:rsidRPr="005743F7">
        <w:rPr>
          <w:iCs/>
        </w:rPr>
        <w:t>ith HSCT cohort only) could not be tested during the evaluation.</w:t>
      </w:r>
      <w:r w:rsidR="00C7109D">
        <w:rPr>
          <w:iCs/>
        </w:rPr>
        <w:t xml:space="preserve"> </w:t>
      </w:r>
      <w:r w:rsidR="00245B2F" w:rsidRPr="00C00A16">
        <w:rPr>
          <w:iCs/>
        </w:rPr>
        <w:t xml:space="preserve">The PSCR noted that in the model submitted, 20% and 11% were predicted alive in the gilteritinib and chemotherapy arms, respectively, hence 9% more patients entered cure-point survival in the base-case. Similarly, there were respectively 16% versus 7% event free at 2 years, meaning an additional 9% more patients. Hence, the PSCR argued that the same incremental proportion is impacted by the alternate cure-point definition (EFS only). The ESC noted that the differences in the outcomes were marginal because EFS in the model was largely driven by EFS in the With HSCT cohort that was synthesised using a hazard ratio of 0.89 applied to modelled OS. </w:t>
      </w:r>
      <w:r w:rsidR="0077071F" w:rsidRPr="00C00A16">
        <w:rPr>
          <w:iCs/>
        </w:rPr>
        <w:t>Furthermore, the ESC considered 2 years was a very early time</w:t>
      </w:r>
      <w:r w:rsidR="00F4142A" w:rsidRPr="00C00A16">
        <w:rPr>
          <w:iCs/>
        </w:rPr>
        <w:t xml:space="preserve"> </w:t>
      </w:r>
      <w:r w:rsidR="0077071F" w:rsidRPr="00C00A16">
        <w:rPr>
          <w:iCs/>
        </w:rPr>
        <w:t xml:space="preserve">point to be considered cured </w:t>
      </w:r>
      <w:r w:rsidR="0077071F" w:rsidRPr="00BF7565">
        <w:rPr>
          <w:iCs/>
        </w:rPr>
        <w:t>of AML</w:t>
      </w:r>
      <w:r w:rsidR="00F4142A" w:rsidRPr="00BF7565">
        <w:rPr>
          <w:iCs/>
        </w:rPr>
        <w:t xml:space="preserve"> (see paragraph </w:t>
      </w:r>
      <w:r w:rsidR="00CA2F66" w:rsidRPr="00BF7565">
        <w:rPr>
          <w:iCs/>
        </w:rPr>
        <w:t>6.55</w:t>
      </w:r>
      <w:r w:rsidR="00F4142A" w:rsidRPr="00BF7565">
        <w:rPr>
          <w:iCs/>
        </w:rPr>
        <w:t>)</w:t>
      </w:r>
      <w:r w:rsidR="0077071F" w:rsidRPr="00BF7565">
        <w:rPr>
          <w:iCs/>
        </w:rPr>
        <w:t xml:space="preserve">. </w:t>
      </w:r>
      <w:r w:rsidR="00245B2F" w:rsidRPr="00BF7565">
        <w:rPr>
          <w:iCs/>
        </w:rPr>
        <w:t>The</w:t>
      </w:r>
      <w:r w:rsidR="00245B2F" w:rsidRPr="00C00A16">
        <w:rPr>
          <w:iCs/>
        </w:rPr>
        <w:t xml:space="preserve"> ESC considered that for plausibility and face validity, cure should only be applied to disease free patients but noted that this may not be possible in this model due to the partitioned analysis structure.</w:t>
      </w:r>
      <w:r w:rsidR="00245B2F">
        <w:rPr>
          <w:i/>
          <w:iCs/>
        </w:rPr>
        <w:t xml:space="preserve"> </w:t>
      </w:r>
    </w:p>
    <w:p w:rsidR="004B44FC" w:rsidRPr="003253E7" w:rsidRDefault="004B44FC" w:rsidP="004B44FC">
      <w:pPr>
        <w:pStyle w:val="ExecSumBodyText"/>
      </w:pPr>
      <w:r w:rsidRPr="003253E7">
        <w:t>Key drivers of the economic model are summarised in the table below.</w:t>
      </w:r>
    </w:p>
    <w:p w:rsidR="004B44FC" w:rsidRPr="003253E7" w:rsidRDefault="002B6D54" w:rsidP="002B6D54">
      <w:pPr>
        <w:pStyle w:val="Tableheadingrow"/>
      </w:pPr>
      <w:r>
        <w:t xml:space="preserve">Table </w:t>
      </w:r>
      <w:r>
        <w:rPr>
          <w:noProof/>
        </w:rPr>
        <w:t>9</w:t>
      </w:r>
      <w:r w:rsidR="004B44FC" w:rsidRPr="003253E7">
        <w:t>: Key drivers of the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240"/>
        <w:gridCol w:w="6635"/>
        <w:gridCol w:w="1142"/>
      </w:tblGrid>
      <w:tr w:rsidR="004B44FC" w:rsidRPr="003253E7" w:rsidTr="004A74AE">
        <w:trPr>
          <w:cantSplit/>
          <w:tblHeader/>
        </w:trPr>
        <w:tc>
          <w:tcPr>
            <w:tcW w:w="688" w:type="pct"/>
            <w:shd w:val="clear" w:color="auto" w:fill="auto"/>
            <w:vAlign w:val="center"/>
          </w:tcPr>
          <w:p w:rsidR="004B44FC" w:rsidRPr="003253E7" w:rsidRDefault="004B44FC" w:rsidP="001E2B70">
            <w:pPr>
              <w:pStyle w:val="Tableheadingrow"/>
              <w:keepNext w:val="0"/>
              <w:widowControl w:val="0"/>
              <w:rPr>
                <w:lang w:val="en-AU"/>
              </w:rPr>
            </w:pPr>
            <w:r w:rsidRPr="003253E7">
              <w:rPr>
                <w:lang w:val="en-AU"/>
              </w:rPr>
              <w:t>Description</w:t>
            </w:r>
          </w:p>
        </w:tc>
        <w:tc>
          <w:tcPr>
            <w:tcW w:w="3679" w:type="pct"/>
            <w:shd w:val="clear" w:color="auto" w:fill="auto"/>
            <w:vAlign w:val="center"/>
          </w:tcPr>
          <w:p w:rsidR="004B44FC" w:rsidRPr="005743F7" w:rsidRDefault="004B44FC" w:rsidP="001E2B70">
            <w:pPr>
              <w:pStyle w:val="Tableheadingrow"/>
              <w:keepNext w:val="0"/>
              <w:widowControl w:val="0"/>
              <w:jc w:val="center"/>
              <w:rPr>
                <w:lang w:val="en-AU"/>
              </w:rPr>
            </w:pPr>
            <w:r w:rsidRPr="005743F7">
              <w:rPr>
                <w:lang w:val="en-AU"/>
              </w:rPr>
              <w:t>Method/Value</w:t>
            </w:r>
          </w:p>
        </w:tc>
        <w:tc>
          <w:tcPr>
            <w:tcW w:w="633" w:type="pct"/>
            <w:shd w:val="clear" w:color="auto" w:fill="auto"/>
            <w:vAlign w:val="center"/>
          </w:tcPr>
          <w:p w:rsidR="004B44FC" w:rsidRPr="005743F7" w:rsidRDefault="004B44FC" w:rsidP="001E2B70">
            <w:pPr>
              <w:pStyle w:val="Tableheadingrow"/>
              <w:keepNext w:val="0"/>
              <w:widowControl w:val="0"/>
              <w:jc w:val="center"/>
              <w:rPr>
                <w:lang w:val="en-AU"/>
              </w:rPr>
            </w:pPr>
            <w:r w:rsidRPr="005743F7">
              <w:rPr>
                <w:lang w:val="en-AU"/>
              </w:rPr>
              <w:t>Impact</w:t>
            </w:r>
          </w:p>
        </w:tc>
      </w:tr>
      <w:tr w:rsidR="004B44FC" w:rsidRPr="003253E7" w:rsidTr="004A74AE">
        <w:trPr>
          <w:cantSplit/>
        </w:trPr>
        <w:tc>
          <w:tcPr>
            <w:tcW w:w="688" w:type="pct"/>
            <w:shd w:val="clear" w:color="auto" w:fill="auto"/>
            <w:vAlign w:val="center"/>
          </w:tcPr>
          <w:p w:rsidR="004B44FC" w:rsidRPr="003253E7" w:rsidRDefault="004B44FC" w:rsidP="001E2B70">
            <w:pPr>
              <w:pStyle w:val="TableText"/>
              <w:keepNext w:val="0"/>
              <w:widowControl w:val="0"/>
            </w:pPr>
            <w:r w:rsidRPr="003253E7">
              <w:t>Model structure</w:t>
            </w:r>
          </w:p>
        </w:tc>
        <w:tc>
          <w:tcPr>
            <w:tcW w:w="3679" w:type="pct"/>
            <w:shd w:val="clear" w:color="auto" w:fill="auto"/>
            <w:vAlign w:val="center"/>
          </w:tcPr>
          <w:p w:rsidR="004B44FC" w:rsidRPr="005743F7" w:rsidRDefault="004B44FC" w:rsidP="001E2B70">
            <w:pPr>
              <w:pStyle w:val="TableText"/>
              <w:keepNext w:val="0"/>
              <w:widowControl w:val="0"/>
              <w:jc w:val="both"/>
              <w:rPr>
                <w:iCs/>
              </w:rPr>
            </w:pPr>
            <w:r w:rsidRPr="005743F7">
              <w:rPr>
                <w:iCs/>
              </w:rPr>
              <w:t xml:space="preserve">The appropriateness of the model structure and validity of predicted outcomes in the model was </w:t>
            </w:r>
            <w:r w:rsidR="00CA2F66">
              <w:rPr>
                <w:iCs/>
              </w:rPr>
              <w:t>unclear to the evaluation</w:t>
            </w:r>
            <w:r w:rsidRPr="005743F7">
              <w:rPr>
                <w:iCs/>
              </w:rPr>
              <w:t xml:space="preserve">. Structural assumptions implemented using a fixed time to HSCT resulted in cured proportions that </w:t>
            </w:r>
            <w:r w:rsidR="00B21F26" w:rsidRPr="005743F7">
              <w:rPr>
                <w:iCs/>
              </w:rPr>
              <w:t xml:space="preserve">were </w:t>
            </w:r>
            <w:r w:rsidRPr="005743F7">
              <w:rPr>
                <w:iCs/>
              </w:rPr>
              <w:t>higher than predicted using trial data.</w:t>
            </w:r>
          </w:p>
        </w:tc>
        <w:tc>
          <w:tcPr>
            <w:tcW w:w="633" w:type="pct"/>
            <w:shd w:val="clear" w:color="auto" w:fill="auto"/>
            <w:vAlign w:val="center"/>
          </w:tcPr>
          <w:p w:rsidR="004B44FC" w:rsidRPr="005743F7" w:rsidRDefault="004B44FC" w:rsidP="001E2B70">
            <w:pPr>
              <w:pStyle w:val="TableText"/>
              <w:keepNext w:val="0"/>
              <w:widowControl w:val="0"/>
              <w:jc w:val="center"/>
            </w:pPr>
            <w:r w:rsidRPr="005743F7">
              <w:t>High, favours gilteritinib</w:t>
            </w:r>
          </w:p>
        </w:tc>
      </w:tr>
      <w:tr w:rsidR="004B44FC" w:rsidRPr="003253E7" w:rsidTr="004A74AE">
        <w:trPr>
          <w:cantSplit/>
        </w:trPr>
        <w:tc>
          <w:tcPr>
            <w:tcW w:w="688" w:type="pct"/>
            <w:shd w:val="clear" w:color="auto" w:fill="auto"/>
            <w:vAlign w:val="center"/>
          </w:tcPr>
          <w:p w:rsidR="004B44FC" w:rsidRPr="003253E7" w:rsidRDefault="004B44FC" w:rsidP="001E2B70">
            <w:pPr>
              <w:pStyle w:val="TableText"/>
              <w:keepNext w:val="0"/>
              <w:widowControl w:val="0"/>
            </w:pPr>
            <w:r w:rsidRPr="003253E7">
              <w:t>Baseline age</w:t>
            </w:r>
          </w:p>
        </w:tc>
        <w:tc>
          <w:tcPr>
            <w:tcW w:w="3679" w:type="pct"/>
            <w:shd w:val="clear" w:color="auto" w:fill="auto"/>
            <w:vAlign w:val="center"/>
          </w:tcPr>
          <w:p w:rsidR="004B44FC" w:rsidRPr="005743F7" w:rsidRDefault="004B44FC" w:rsidP="001E2B70">
            <w:pPr>
              <w:pStyle w:val="TableText"/>
              <w:keepNext w:val="0"/>
              <w:widowControl w:val="0"/>
              <w:jc w:val="both"/>
              <w:rPr>
                <w:iCs/>
              </w:rPr>
            </w:pPr>
            <w:r w:rsidRPr="005743F7">
              <w:t xml:space="preserve">The submission claimed the age of patients in the ADMIRAL trial (mean 59 years) was applicable to the PBS population. </w:t>
            </w:r>
            <w:r w:rsidR="004A26E4" w:rsidRPr="005743F7">
              <w:rPr>
                <w:iCs/>
              </w:rPr>
              <w:t>Overall, the ADMIRAL trial population is likely to be younger and fitter than the PBS population</w:t>
            </w:r>
            <w:r w:rsidR="0097331B" w:rsidRPr="005743F7">
              <w:rPr>
                <w:iCs/>
              </w:rPr>
              <w:t>. The</w:t>
            </w:r>
            <w:r w:rsidR="00505866" w:rsidRPr="005743F7">
              <w:rPr>
                <w:iCs/>
              </w:rPr>
              <w:t>se differences are likely to impact on the</w:t>
            </w:r>
            <w:r w:rsidR="0097331B" w:rsidRPr="005743F7">
              <w:rPr>
                <w:iCs/>
              </w:rPr>
              <w:t xml:space="preserve"> magnitude of treatment benefit </w:t>
            </w:r>
            <w:r w:rsidR="00505866" w:rsidRPr="005743F7">
              <w:rPr>
                <w:iCs/>
              </w:rPr>
              <w:t>with gilteritinib.</w:t>
            </w:r>
          </w:p>
        </w:tc>
        <w:tc>
          <w:tcPr>
            <w:tcW w:w="633" w:type="pct"/>
            <w:shd w:val="clear" w:color="auto" w:fill="auto"/>
            <w:vAlign w:val="center"/>
          </w:tcPr>
          <w:p w:rsidR="004B44FC" w:rsidRPr="005743F7" w:rsidRDefault="004B44FC" w:rsidP="001E2B70">
            <w:pPr>
              <w:pStyle w:val="TableText"/>
              <w:keepNext w:val="0"/>
              <w:widowControl w:val="0"/>
              <w:jc w:val="center"/>
            </w:pPr>
            <w:r w:rsidRPr="005743F7">
              <w:t>High, favours gilteritinib</w:t>
            </w:r>
          </w:p>
        </w:tc>
      </w:tr>
      <w:tr w:rsidR="004B44FC" w:rsidRPr="003253E7" w:rsidTr="004A74AE">
        <w:trPr>
          <w:cantSplit/>
        </w:trPr>
        <w:tc>
          <w:tcPr>
            <w:tcW w:w="688" w:type="pct"/>
            <w:shd w:val="clear" w:color="auto" w:fill="auto"/>
            <w:vAlign w:val="center"/>
          </w:tcPr>
          <w:p w:rsidR="004B44FC" w:rsidRPr="003253E7" w:rsidRDefault="004B44FC" w:rsidP="001E2B70">
            <w:pPr>
              <w:pStyle w:val="TableText"/>
              <w:keepNext w:val="0"/>
              <w:widowControl w:val="0"/>
            </w:pPr>
            <w:r w:rsidRPr="003253E7">
              <w:t>Cure assumption</w:t>
            </w:r>
          </w:p>
        </w:tc>
        <w:tc>
          <w:tcPr>
            <w:tcW w:w="3679" w:type="pct"/>
            <w:shd w:val="clear" w:color="auto" w:fill="auto"/>
            <w:vAlign w:val="center"/>
          </w:tcPr>
          <w:p w:rsidR="004B44FC" w:rsidRPr="005743F7" w:rsidRDefault="004B44FC" w:rsidP="001E2B70">
            <w:pPr>
              <w:pStyle w:val="TableText"/>
              <w:keepNext w:val="0"/>
              <w:widowControl w:val="0"/>
              <w:jc w:val="both"/>
              <w:rPr>
                <w:iCs/>
              </w:rPr>
            </w:pPr>
            <w:r w:rsidRPr="005743F7">
              <w:t xml:space="preserve">The submission assumed that all patients remaining alive at 2 years in the model were cured, irrespective of disease status or HSCT status. </w:t>
            </w:r>
            <w:r w:rsidRPr="005743F7">
              <w:rPr>
                <w:iCs/>
              </w:rPr>
              <w:t xml:space="preserve">Overall, long-term survival benefits and the likely proportion achieving cure due to gilteritinib treatment were uncertain. </w:t>
            </w:r>
            <w:r w:rsidR="000C15E5" w:rsidRPr="005743F7">
              <w:rPr>
                <w:iCs/>
              </w:rPr>
              <w:t>A summary of cure rates in the mode</w:t>
            </w:r>
            <w:r w:rsidR="00C61F21" w:rsidRPr="005743F7">
              <w:rPr>
                <w:iCs/>
              </w:rPr>
              <w:t>l</w:t>
            </w:r>
            <w:r w:rsidR="000C15E5" w:rsidRPr="005743F7">
              <w:rPr>
                <w:iCs/>
              </w:rPr>
              <w:t xml:space="preserve"> was presented during the evaluation, suggesting that modelled cure rates were optimistic </w:t>
            </w:r>
            <w:r w:rsidR="000C15E5" w:rsidRPr="000B0BAA">
              <w:rPr>
                <w:iCs/>
              </w:rPr>
              <w:t xml:space="preserve">(see </w:t>
            </w:r>
            <w:r w:rsidR="00CA2F66">
              <w:t xml:space="preserve">Table </w:t>
            </w:r>
            <w:r w:rsidR="00CA2F66">
              <w:rPr>
                <w:noProof/>
              </w:rPr>
              <w:t>8</w:t>
            </w:r>
            <w:r w:rsidR="00CA2F66">
              <w:rPr>
                <w:iCs/>
              </w:rPr>
              <w:t xml:space="preserve"> </w:t>
            </w:r>
            <w:r w:rsidR="000C15E5" w:rsidRPr="000B0BAA">
              <w:rPr>
                <w:iCs/>
              </w:rPr>
              <w:t>above).</w:t>
            </w:r>
            <w:r w:rsidR="000C15E5" w:rsidRPr="005743F7">
              <w:rPr>
                <w:iCs/>
              </w:rPr>
              <w:t xml:space="preserve"> </w:t>
            </w:r>
          </w:p>
        </w:tc>
        <w:tc>
          <w:tcPr>
            <w:tcW w:w="633" w:type="pct"/>
            <w:shd w:val="clear" w:color="auto" w:fill="auto"/>
            <w:vAlign w:val="center"/>
          </w:tcPr>
          <w:p w:rsidR="004B44FC" w:rsidRPr="005743F7" w:rsidRDefault="004B44FC" w:rsidP="001E2B70">
            <w:pPr>
              <w:pStyle w:val="TableText"/>
              <w:keepNext w:val="0"/>
              <w:widowControl w:val="0"/>
              <w:jc w:val="center"/>
            </w:pPr>
            <w:r w:rsidRPr="005743F7">
              <w:t>High, favours gilteritinib</w:t>
            </w:r>
          </w:p>
        </w:tc>
      </w:tr>
      <w:tr w:rsidR="004B44FC" w:rsidRPr="003253E7" w:rsidTr="004A74AE">
        <w:trPr>
          <w:cantSplit/>
        </w:trPr>
        <w:tc>
          <w:tcPr>
            <w:tcW w:w="688" w:type="pct"/>
            <w:shd w:val="clear" w:color="auto" w:fill="auto"/>
            <w:vAlign w:val="center"/>
          </w:tcPr>
          <w:p w:rsidR="004B44FC" w:rsidRPr="003253E7" w:rsidRDefault="004B44FC" w:rsidP="001E2B70">
            <w:pPr>
              <w:pStyle w:val="TableText"/>
              <w:keepNext w:val="0"/>
              <w:widowControl w:val="0"/>
            </w:pPr>
            <w:r w:rsidRPr="003253E7">
              <w:t>Post-HSCT gilteritinib maintenance treatment benefit</w:t>
            </w:r>
            <w:r w:rsidR="00BC39A6">
              <w:t xml:space="preserve"> (removed in the pre-PBAC response)</w:t>
            </w:r>
          </w:p>
        </w:tc>
        <w:tc>
          <w:tcPr>
            <w:tcW w:w="3679" w:type="pct"/>
            <w:shd w:val="clear" w:color="auto" w:fill="auto"/>
            <w:vAlign w:val="center"/>
          </w:tcPr>
          <w:p w:rsidR="004B44FC" w:rsidRPr="005743F7" w:rsidRDefault="004B44FC" w:rsidP="001E2B70">
            <w:pPr>
              <w:pStyle w:val="TableText"/>
              <w:keepNext w:val="0"/>
              <w:widowControl w:val="0"/>
              <w:jc w:val="both"/>
              <w:rPr>
                <w:iCs/>
              </w:rPr>
            </w:pPr>
            <w:r w:rsidRPr="005743F7">
              <w:t xml:space="preserve">The base case of the economic model assumed an additional survival benefit in the gilteritinib arm in the With HSCT cohort, based on 63.5% of the gilteritinib arm patients who restarted gilteritinib after HSCT. </w:t>
            </w:r>
            <w:r w:rsidRPr="005743F7">
              <w:rPr>
                <w:iCs/>
              </w:rPr>
              <w:t>The clinical claim of treatment benefit with post-HSCT gilteritinib maintenance therapy was inadequately supported by the trial data</w:t>
            </w:r>
            <w:r w:rsidR="00B73561" w:rsidRPr="005743F7">
              <w:rPr>
                <w:iCs/>
              </w:rPr>
              <w:t>.</w:t>
            </w:r>
          </w:p>
          <w:p w:rsidR="004B44FC" w:rsidRPr="005743F7" w:rsidRDefault="004B44FC" w:rsidP="001E2B70">
            <w:pPr>
              <w:pStyle w:val="TableText"/>
              <w:keepNext w:val="0"/>
              <w:widowControl w:val="0"/>
              <w:jc w:val="both"/>
            </w:pPr>
          </w:p>
          <w:p w:rsidR="004B44FC" w:rsidRPr="005743F7" w:rsidRDefault="004B44FC" w:rsidP="00BC39A6">
            <w:pPr>
              <w:pStyle w:val="TableText"/>
              <w:keepNext w:val="0"/>
              <w:widowControl w:val="0"/>
              <w:jc w:val="both"/>
            </w:pPr>
            <w:r w:rsidRPr="005743F7">
              <w:t xml:space="preserve">The submission calculated a hazard ratio of 0.686, representing improved </w:t>
            </w:r>
            <w:r w:rsidR="00E2169A" w:rsidRPr="005743F7">
              <w:t>OS</w:t>
            </w:r>
            <w:r w:rsidRPr="005743F7">
              <w:t xml:space="preserve"> in patients receiving gilteritinib maintenance therapy after HSCT in the ADMIRAL trial compared with patients who received HSCT after second complete remission (CR2) in the Evers 2017 study</w:t>
            </w:r>
            <w:r w:rsidR="00EA4824" w:rsidRPr="005743F7">
              <w:t xml:space="preserve"> (</w:t>
            </w:r>
            <w:r w:rsidR="00EA4824" w:rsidRPr="00BC39A6">
              <w:t>source not provided</w:t>
            </w:r>
            <w:r w:rsidR="00EA4824" w:rsidRPr="005743F7">
              <w:t xml:space="preserve">). </w:t>
            </w:r>
            <w:r w:rsidRPr="005743F7">
              <w:rPr>
                <w:iCs/>
              </w:rPr>
              <w:t>The approach used to derive the hazard ratio was inappropriate as it is an unanchored naïve comparison between groups with no adjustment for differences in patient characteristics between studies.</w:t>
            </w:r>
            <w:r w:rsidRPr="005743F7">
              <w:t xml:space="preserve"> </w:t>
            </w:r>
            <w:r w:rsidRPr="005743F7">
              <w:rPr>
                <w:iCs/>
              </w:rPr>
              <w:t xml:space="preserve">The cross-over between the survival curves suggests the </w:t>
            </w:r>
            <w:r w:rsidR="00355229" w:rsidRPr="005743F7">
              <w:rPr>
                <w:iCs/>
              </w:rPr>
              <w:t xml:space="preserve">proportional hazards </w:t>
            </w:r>
            <w:r w:rsidRPr="005743F7">
              <w:rPr>
                <w:iCs/>
              </w:rPr>
              <w:t xml:space="preserve">assumption </w:t>
            </w:r>
            <w:r w:rsidR="0017103E" w:rsidRPr="005743F7">
              <w:rPr>
                <w:iCs/>
              </w:rPr>
              <w:t>was</w:t>
            </w:r>
            <w:r w:rsidRPr="005743F7">
              <w:rPr>
                <w:iCs/>
              </w:rPr>
              <w:t xml:space="preserve"> violated.</w:t>
            </w:r>
          </w:p>
        </w:tc>
        <w:tc>
          <w:tcPr>
            <w:tcW w:w="633" w:type="pct"/>
            <w:shd w:val="clear" w:color="auto" w:fill="auto"/>
            <w:vAlign w:val="center"/>
          </w:tcPr>
          <w:p w:rsidR="004B44FC" w:rsidRPr="005743F7" w:rsidRDefault="004B44FC" w:rsidP="001E2B70">
            <w:pPr>
              <w:pStyle w:val="TableText"/>
              <w:keepNext w:val="0"/>
              <w:widowControl w:val="0"/>
              <w:jc w:val="center"/>
            </w:pPr>
            <w:r w:rsidRPr="005743F7">
              <w:t>High, favours gilteritinib</w:t>
            </w:r>
          </w:p>
        </w:tc>
      </w:tr>
      <w:tr w:rsidR="004B44FC" w:rsidRPr="003253E7" w:rsidTr="004A74AE">
        <w:trPr>
          <w:cantSplit/>
        </w:trPr>
        <w:tc>
          <w:tcPr>
            <w:tcW w:w="688" w:type="pct"/>
            <w:shd w:val="clear" w:color="auto" w:fill="auto"/>
            <w:vAlign w:val="center"/>
          </w:tcPr>
          <w:p w:rsidR="004B44FC" w:rsidRPr="003253E7" w:rsidRDefault="004B44FC" w:rsidP="001E2B70">
            <w:pPr>
              <w:pStyle w:val="TableText"/>
              <w:keepNext w:val="0"/>
              <w:widowControl w:val="0"/>
            </w:pPr>
            <w:r w:rsidRPr="003253E7">
              <w:t>Other cost inputs driving cost offset</w:t>
            </w:r>
            <w:r w:rsidR="00BC39A6">
              <w:t>s</w:t>
            </w:r>
          </w:p>
        </w:tc>
        <w:tc>
          <w:tcPr>
            <w:tcW w:w="3679" w:type="pct"/>
            <w:shd w:val="clear" w:color="auto" w:fill="auto"/>
            <w:vAlign w:val="center"/>
          </w:tcPr>
          <w:p w:rsidR="004B44FC" w:rsidRPr="005743F7" w:rsidRDefault="004B44FC" w:rsidP="001E2B70">
            <w:pPr>
              <w:pStyle w:val="TableText"/>
              <w:rPr>
                <w:iCs/>
              </w:rPr>
            </w:pPr>
            <w:r w:rsidRPr="005743F7">
              <w:rPr>
                <w:iCs/>
              </w:rPr>
              <w:t>There were multiple cost inputs that were inadequately justified in the submission</w:t>
            </w:r>
            <w:r w:rsidR="00C719ED" w:rsidRPr="005743F7">
              <w:rPr>
                <w:iCs/>
              </w:rPr>
              <w:t>,</w:t>
            </w:r>
            <w:r w:rsidRPr="005743F7">
              <w:rPr>
                <w:iCs/>
              </w:rPr>
              <w:t xml:space="preserve"> which resulted in substantial cost offsets in the economic analysis including drug administration costs in the salvage chemotherapy arm, adverse event costs, HSCT procedure costs, subsequent chemotherapy administration drug and administration costs and disease management hospitalisation costs. The cumulative impact of these inputs on the economic analysis </w:t>
            </w:r>
            <w:r w:rsidR="00C719ED" w:rsidRPr="005743F7">
              <w:rPr>
                <w:iCs/>
              </w:rPr>
              <w:t xml:space="preserve">was </w:t>
            </w:r>
            <w:r w:rsidRPr="005743F7">
              <w:rPr>
                <w:iCs/>
              </w:rPr>
              <w:t>likely to be substantial.</w:t>
            </w:r>
          </w:p>
        </w:tc>
        <w:tc>
          <w:tcPr>
            <w:tcW w:w="633" w:type="pct"/>
            <w:shd w:val="clear" w:color="auto" w:fill="auto"/>
            <w:vAlign w:val="center"/>
          </w:tcPr>
          <w:p w:rsidR="004B44FC" w:rsidRPr="005743F7" w:rsidRDefault="004B44FC" w:rsidP="001E2B70">
            <w:pPr>
              <w:pStyle w:val="TableText"/>
              <w:keepNext w:val="0"/>
              <w:widowControl w:val="0"/>
              <w:jc w:val="center"/>
            </w:pPr>
            <w:r w:rsidRPr="005743F7">
              <w:t>High, favours gilteritinib</w:t>
            </w:r>
          </w:p>
        </w:tc>
      </w:tr>
      <w:tr w:rsidR="004B44FC" w:rsidRPr="003253E7" w:rsidTr="004A74AE">
        <w:trPr>
          <w:cantSplit/>
        </w:trPr>
        <w:tc>
          <w:tcPr>
            <w:tcW w:w="688" w:type="pct"/>
            <w:shd w:val="clear" w:color="auto" w:fill="auto"/>
            <w:vAlign w:val="center"/>
          </w:tcPr>
          <w:p w:rsidR="004B44FC" w:rsidRPr="003253E7" w:rsidRDefault="004B44FC" w:rsidP="001E2B70">
            <w:pPr>
              <w:pStyle w:val="TableText"/>
              <w:keepNext w:val="0"/>
              <w:widowControl w:val="0"/>
            </w:pPr>
            <w:r w:rsidRPr="003253E7">
              <w:t>Long-term survivor costs and utilities</w:t>
            </w:r>
          </w:p>
        </w:tc>
        <w:tc>
          <w:tcPr>
            <w:tcW w:w="3679" w:type="pct"/>
            <w:shd w:val="clear" w:color="auto" w:fill="auto"/>
            <w:vAlign w:val="center"/>
          </w:tcPr>
          <w:p w:rsidR="004B44FC" w:rsidRPr="005743F7" w:rsidRDefault="004B44FC" w:rsidP="001E2B70">
            <w:pPr>
              <w:pStyle w:val="TableText"/>
              <w:keepNext w:val="0"/>
              <w:widowControl w:val="0"/>
              <w:jc w:val="both"/>
              <w:rPr>
                <w:iCs/>
              </w:rPr>
            </w:pPr>
            <w:r w:rsidRPr="005743F7">
              <w:t xml:space="preserve">Long-term survivors were assumed to have no costs other than a monthly long GP visit (MBS item 44, $110.50). </w:t>
            </w:r>
            <w:r w:rsidRPr="005743F7">
              <w:rPr>
                <w:iCs/>
              </w:rPr>
              <w:t xml:space="preserve">This assumption was inadequately justified given some patients </w:t>
            </w:r>
            <w:r w:rsidR="002868A3" w:rsidRPr="005743F7">
              <w:rPr>
                <w:iCs/>
              </w:rPr>
              <w:t xml:space="preserve">were </w:t>
            </w:r>
            <w:r w:rsidRPr="005743F7">
              <w:rPr>
                <w:iCs/>
              </w:rPr>
              <w:t>in post-event health states at 2 years, suggestive of some form of active disease.</w:t>
            </w:r>
          </w:p>
          <w:p w:rsidR="004B44FC" w:rsidRPr="005743F7" w:rsidRDefault="004B44FC" w:rsidP="001E2B70">
            <w:pPr>
              <w:pStyle w:val="TableText"/>
              <w:keepNext w:val="0"/>
              <w:widowControl w:val="0"/>
              <w:jc w:val="both"/>
              <w:rPr>
                <w:iCs/>
              </w:rPr>
            </w:pPr>
          </w:p>
          <w:p w:rsidR="004B44FC" w:rsidRPr="005743F7" w:rsidRDefault="004B44FC" w:rsidP="001E2B70">
            <w:pPr>
              <w:pStyle w:val="TableText"/>
              <w:keepNext w:val="0"/>
              <w:widowControl w:val="0"/>
              <w:jc w:val="both"/>
            </w:pPr>
            <w:r w:rsidRPr="005743F7">
              <w:t>Long-term survivors were attributed the same quality of life as the general population.</w:t>
            </w:r>
            <w:r w:rsidRPr="005743F7">
              <w:rPr>
                <w:iCs/>
              </w:rPr>
              <w:t xml:space="preserve"> This assumption was inadequately justified given some patients may have long-term consequences following multiple lines of chemotherapy including HSCT and nearly all patients have had major hospitalisation events. The application of these utility values to all patients remaining alive at 2 years did not meet face validity given the values are more optimistic than estimates used for patients remaining in the event-free health states prior to the 2-year cure point.  </w:t>
            </w:r>
          </w:p>
        </w:tc>
        <w:tc>
          <w:tcPr>
            <w:tcW w:w="633" w:type="pct"/>
            <w:shd w:val="clear" w:color="auto" w:fill="auto"/>
            <w:vAlign w:val="center"/>
          </w:tcPr>
          <w:p w:rsidR="004B44FC" w:rsidRPr="005743F7" w:rsidRDefault="004B44FC" w:rsidP="001E2B70">
            <w:pPr>
              <w:pStyle w:val="TableText"/>
              <w:keepNext w:val="0"/>
              <w:widowControl w:val="0"/>
              <w:jc w:val="center"/>
            </w:pPr>
            <w:r w:rsidRPr="005743F7">
              <w:t>High, favours gilteritinib</w:t>
            </w:r>
          </w:p>
        </w:tc>
      </w:tr>
      <w:tr w:rsidR="00905AC4" w:rsidRPr="005743F7" w:rsidTr="00CC5A22">
        <w:trPr>
          <w:cantSplit/>
        </w:trPr>
        <w:tc>
          <w:tcPr>
            <w:tcW w:w="688" w:type="pct"/>
            <w:shd w:val="clear" w:color="auto" w:fill="auto"/>
            <w:vAlign w:val="center"/>
          </w:tcPr>
          <w:p w:rsidR="00905AC4" w:rsidRPr="003253E7" w:rsidRDefault="00905AC4" w:rsidP="00CC5A22">
            <w:pPr>
              <w:pStyle w:val="TableText"/>
              <w:keepNext w:val="0"/>
              <w:widowControl w:val="0"/>
            </w:pPr>
            <w:r w:rsidRPr="003253E7">
              <w:t>Time horizon</w:t>
            </w:r>
          </w:p>
        </w:tc>
        <w:tc>
          <w:tcPr>
            <w:tcW w:w="3679" w:type="pct"/>
            <w:shd w:val="clear" w:color="auto" w:fill="auto"/>
            <w:vAlign w:val="center"/>
          </w:tcPr>
          <w:p w:rsidR="00905AC4" w:rsidRPr="005743F7" w:rsidRDefault="00905AC4" w:rsidP="0091620B">
            <w:pPr>
              <w:pStyle w:val="TableText"/>
              <w:keepNext w:val="0"/>
              <w:widowControl w:val="0"/>
              <w:jc w:val="both"/>
              <w:rPr>
                <w:iCs/>
              </w:rPr>
            </w:pPr>
            <w:r w:rsidRPr="005743F7">
              <w:t xml:space="preserve">The time horizon used in the economic model was 40 years. The submission claimed this was appropriate to capture the long-term costs and consequences of the disease. </w:t>
            </w:r>
            <w:r w:rsidRPr="005743F7">
              <w:rPr>
                <w:iCs/>
              </w:rPr>
              <w:t xml:space="preserve">A lifetime horizon may be considered reasonable for this disease given the possibility of cure with treatment. However, a modelled time horizon of 40 years appears optimistic as it exceeds the average life expectancy of the general population aged 59 years (modelled population baseline age). </w:t>
            </w:r>
          </w:p>
        </w:tc>
        <w:tc>
          <w:tcPr>
            <w:tcW w:w="633" w:type="pct"/>
            <w:shd w:val="clear" w:color="auto" w:fill="auto"/>
            <w:vAlign w:val="center"/>
          </w:tcPr>
          <w:p w:rsidR="00905AC4" w:rsidRPr="005743F7" w:rsidRDefault="00905AC4" w:rsidP="00CC5A22">
            <w:pPr>
              <w:pStyle w:val="TableText"/>
              <w:keepNext w:val="0"/>
              <w:widowControl w:val="0"/>
              <w:jc w:val="center"/>
            </w:pPr>
            <w:r>
              <w:t>Moderate</w:t>
            </w:r>
            <w:r w:rsidRPr="005743F7">
              <w:t>, favours gilteritinib</w:t>
            </w:r>
          </w:p>
        </w:tc>
      </w:tr>
    </w:tbl>
    <w:p w:rsidR="004B44FC" w:rsidRPr="003253E7" w:rsidRDefault="004B44FC" w:rsidP="004B44FC">
      <w:pPr>
        <w:pStyle w:val="TableFigureFooter"/>
      </w:pPr>
      <w:r w:rsidRPr="003253E7">
        <w:t>Source: constructed during the evaluation</w:t>
      </w:r>
    </w:p>
    <w:p w:rsidR="004B44FC" w:rsidRPr="003253E7" w:rsidRDefault="004B44FC" w:rsidP="004B44FC">
      <w:pPr>
        <w:pStyle w:val="TableFigureFooter"/>
      </w:pPr>
      <w:r w:rsidRPr="003253E7">
        <w:t>HSCT, haematopoietic stem cell transplant; SMR, standardised mortality ratio</w:t>
      </w:r>
    </w:p>
    <w:p w:rsidR="00F16251" w:rsidRPr="00C00A16" w:rsidRDefault="00674FE7" w:rsidP="0091620B">
      <w:pPr>
        <w:pStyle w:val="ExecSumBodyText"/>
        <w:rPr>
          <w:iCs/>
        </w:rPr>
      </w:pPr>
      <w:r w:rsidRPr="00C00A16">
        <w:rPr>
          <w:iCs/>
        </w:rPr>
        <w:t xml:space="preserve">The ESC noted the inclusion of additional survival benefits due to post-HSCT gilteritinib maintenance therapy was a key driver of the model. </w:t>
      </w:r>
      <w:r w:rsidR="00F16251" w:rsidRPr="00C00A16">
        <w:rPr>
          <w:iCs/>
        </w:rPr>
        <w:t xml:space="preserve">The </w:t>
      </w:r>
      <w:r w:rsidRPr="00C00A16">
        <w:rPr>
          <w:iCs/>
        </w:rPr>
        <w:t xml:space="preserve">ESC considered this </w:t>
      </w:r>
      <w:r w:rsidR="00F16251" w:rsidRPr="00C00A16">
        <w:rPr>
          <w:iCs/>
        </w:rPr>
        <w:t>approach was inappropriate as modelled post-HSCT survival was based on ADMIRAL trial data that already accounts for the use of post-HSCT gilteritinib. The</w:t>
      </w:r>
      <w:r w:rsidRPr="00C00A16">
        <w:rPr>
          <w:iCs/>
        </w:rPr>
        <w:t xml:space="preserve"> ESC noted that the</w:t>
      </w:r>
      <w:r w:rsidR="00F16251" w:rsidRPr="00C00A16">
        <w:rPr>
          <w:iCs/>
        </w:rPr>
        <w:t xml:space="preserve"> inclusion of a treatment benefit for gilteritinib maintenance therapy resulted in improved post-HSCT OS in the gilteritinib arm</w:t>
      </w:r>
      <w:r w:rsidR="00E02DA0" w:rsidRPr="00C00A16">
        <w:rPr>
          <w:iCs/>
        </w:rPr>
        <w:t xml:space="preserve"> that </w:t>
      </w:r>
      <w:r w:rsidR="00F16251" w:rsidRPr="00C00A16">
        <w:rPr>
          <w:iCs/>
        </w:rPr>
        <w:t>exceed</w:t>
      </w:r>
      <w:r w:rsidR="00E02DA0" w:rsidRPr="00C00A16">
        <w:rPr>
          <w:iCs/>
        </w:rPr>
        <w:t>ed</w:t>
      </w:r>
      <w:r w:rsidR="00F16251" w:rsidRPr="00C00A16">
        <w:rPr>
          <w:iCs/>
        </w:rPr>
        <w:t xml:space="preserve"> observed estimates in the trial.</w:t>
      </w:r>
      <w:r w:rsidR="00456B27">
        <w:rPr>
          <w:iCs/>
        </w:rPr>
        <w:t xml:space="preserve"> The use of post-HSCT maintenance therapy was removed in the pre-PBAC response.</w:t>
      </w:r>
    </w:p>
    <w:p w:rsidR="00AC5968" w:rsidRPr="00C00A16" w:rsidRDefault="00F4142A" w:rsidP="0091620B">
      <w:pPr>
        <w:pStyle w:val="ExecSumBodyText"/>
        <w:rPr>
          <w:iCs/>
        </w:rPr>
      </w:pPr>
      <w:r w:rsidRPr="00C00A16">
        <w:rPr>
          <w:iCs/>
        </w:rPr>
        <w:t>The evaluation considered the use of mean treatment durations from the trial was likely to underestimate gilteritinib drug costs, as it does not capture longer-term use of gilteritinib beyond the trial follow-up. The PSCR</w:t>
      </w:r>
      <w:r w:rsidR="00AC5968" w:rsidRPr="00C00A16">
        <w:rPr>
          <w:iCs/>
        </w:rPr>
        <w:t xml:space="preserve"> </w:t>
      </w:r>
      <w:r w:rsidR="00AC5968" w:rsidRPr="00C00A16">
        <w:t xml:space="preserve">claimed the mean observed gilteritinib treatment duration from the one-year follow up after the primary analysis of the ADMIRAL trial was based on sufficiently mature data that captured the majority of the expected treatment use. The PSCR noted that at 2-years follow-up after the primary analysis, only 6.5% (16/247) of patients in the gilteritinib arm were still on treatment. The ESC agreed with the PSCR that this was likely to have a small impact on the mean treatment duration. </w:t>
      </w:r>
    </w:p>
    <w:p w:rsidR="00C879C1" w:rsidRPr="000B0BAA" w:rsidRDefault="00C879C1" w:rsidP="0091620B">
      <w:pPr>
        <w:pStyle w:val="ExecSumBodyText"/>
        <w:rPr>
          <w:i/>
          <w:iCs/>
        </w:rPr>
      </w:pPr>
      <w:r w:rsidRPr="00C00A16">
        <w:rPr>
          <w:iCs/>
        </w:rPr>
        <w:t xml:space="preserve">The ESC noted </w:t>
      </w:r>
      <w:r w:rsidR="000862CE" w:rsidRPr="00C00A16">
        <w:rPr>
          <w:iCs/>
        </w:rPr>
        <w:t>that a</w:t>
      </w:r>
      <w:r w:rsidRPr="00C00A16">
        <w:rPr>
          <w:iCs/>
        </w:rPr>
        <w:t xml:space="preserve"> </w:t>
      </w:r>
      <w:r w:rsidR="006837BB" w:rsidRPr="00C00A16">
        <w:rPr>
          <w:iCs/>
        </w:rPr>
        <w:t>40-year</w:t>
      </w:r>
      <w:r w:rsidRPr="00C00A16">
        <w:rPr>
          <w:iCs/>
        </w:rPr>
        <w:t xml:space="preserve"> time horizon was </w:t>
      </w:r>
      <w:r w:rsidR="000862CE" w:rsidRPr="00C00A16">
        <w:rPr>
          <w:iCs/>
        </w:rPr>
        <w:t>used</w:t>
      </w:r>
      <w:r w:rsidRPr="00C00A16">
        <w:rPr>
          <w:iCs/>
        </w:rPr>
        <w:t xml:space="preserve">. The ESC noted that in a previous consideration of midostaurin for newly diagnosed FLT3 mutation AML, the PBAC </w:t>
      </w:r>
      <w:r w:rsidR="006837BB">
        <w:rPr>
          <w:iCs/>
        </w:rPr>
        <w:t xml:space="preserve">had </w:t>
      </w:r>
      <w:r w:rsidRPr="00C00A16">
        <w:rPr>
          <w:iCs/>
        </w:rPr>
        <w:t>considered that 25 years was a reasonable time horizon in patients aged ≥</w:t>
      </w:r>
      <w:r w:rsidR="006837BB">
        <w:rPr>
          <w:iCs/>
        </w:rPr>
        <w:t> </w:t>
      </w:r>
      <w:r w:rsidRPr="00C00A16">
        <w:rPr>
          <w:iCs/>
        </w:rPr>
        <w:t xml:space="preserve">60 years, and 40 years in patients &lt; 60 years of age (para 6.32, midostaurin PSD, July 2018 PBAC meeting). The ESC also noted that in a previous consideration of gemtuzumab for newly diagnosed AML, the PBAC </w:t>
      </w:r>
      <w:r w:rsidR="006837BB">
        <w:rPr>
          <w:iCs/>
        </w:rPr>
        <w:t xml:space="preserve">had </w:t>
      </w:r>
      <w:r w:rsidRPr="00C00A16">
        <w:rPr>
          <w:iCs/>
        </w:rPr>
        <w:t xml:space="preserve">noted the time horizon of 40 years was optimistic for the modelled population aged 62 years and that the pre-PBAC response had accepted a revised base case using a time horizon of 25 years (para 6.73 and 7.13, gemtuzumab PSD, March 2021 PBAC meeting). The ESC considered a </w:t>
      </w:r>
      <w:r w:rsidR="006837BB" w:rsidRPr="00C00A16">
        <w:rPr>
          <w:iCs/>
        </w:rPr>
        <w:t>25-year</w:t>
      </w:r>
      <w:r w:rsidRPr="00C00A16">
        <w:rPr>
          <w:iCs/>
        </w:rPr>
        <w:t xml:space="preserve"> time horizon may be more appropriate</w:t>
      </w:r>
      <w:r w:rsidR="000862CE" w:rsidRPr="00C00A16">
        <w:rPr>
          <w:iCs/>
        </w:rPr>
        <w:t>, although noted the model results were similar with the reduced time horizon</w:t>
      </w:r>
      <w:r w:rsidRPr="00C00A16">
        <w:rPr>
          <w:iCs/>
        </w:rPr>
        <w:t>.</w:t>
      </w:r>
      <w:r>
        <w:rPr>
          <w:i/>
          <w:iCs/>
        </w:rPr>
        <w:t xml:space="preserve"> </w:t>
      </w:r>
    </w:p>
    <w:p w:rsidR="004B44FC" w:rsidRPr="0091620B" w:rsidRDefault="004B44FC" w:rsidP="0091620B">
      <w:pPr>
        <w:pStyle w:val="ExecSumBodyText"/>
        <w:rPr>
          <w:iCs/>
        </w:rPr>
      </w:pPr>
      <w:r w:rsidRPr="0091620B">
        <w:rPr>
          <w:iCs/>
        </w:rPr>
        <w:t>The results of the modelled economic evaluation are summarised below.</w:t>
      </w:r>
    </w:p>
    <w:p w:rsidR="004B44FC" w:rsidRPr="003253E7" w:rsidRDefault="002B6D54" w:rsidP="002B6D54">
      <w:pPr>
        <w:pStyle w:val="Tableheadingrow"/>
      </w:pPr>
      <w:r>
        <w:t xml:space="preserve">Table </w:t>
      </w:r>
      <w:r>
        <w:rPr>
          <w:noProof/>
        </w:rPr>
        <w:t>10</w:t>
      </w:r>
      <w:r w:rsidR="004B44FC" w:rsidRPr="003253E7">
        <w:t>: Results of the economic evaluation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4A0" w:firstRow="1" w:lastRow="0" w:firstColumn="1" w:lastColumn="0" w:noHBand="0" w:noVBand="1"/>
      </w:tblPr>
      <w:tblGrid>
        <w:gridCol w:w="1699"/>
        <w:gridCol w:w="2440"/>
        <w:gridCol w:w="2521"/>
        <w:gridCol w:w="2357"/>
      </w:tblGrid>
      <w:tr w:rsidR="004B44FC" w:rsidRPr="003253E7" w:rsidTr="001E2B70">
        <w:trPr>
          <w:cantSplit/>
          <w:tblHeader/>
        </w:trPr>
        <w:tc>
          <w:tcPr>
            <w:tcW w:w="942" w:type="pct"/>
            <w:shd w:val="clear" w:color="auto" w:fill="FFFFFF"/>
          </w:tcPr>
          <w:p w:rsidR="004B44FC" w:rsidRPr="003253E7" w:rsidRDefault="004B44FC" w:rsidP="001E2B70">
            <w:pPr>
              <w:pStyle w:val="Tableheadingrow"/>
              <w:jc w:val="center"/>
              <w:rPr>
                <w:lang w:val="en-AU"/>
              </w:rPr>
            </w:pPr>
          </w:p>
        </w:tc>
        <w:tc>
          <w:tcPr>
            <w:tcW w:w="1353" w:type="pct"/>
            <w:shd w:val="clear" w:color="auto" w:fill="FFFFFF"/>
          </w:tcPr>
          <w:p w:rsidR="004B44FC" w:rsidRPr="003253E7" w:rsidRDefault="004B44FC" w:rsidP="001E2B70">
            <w:pPr>
              <w:pStyle w:val="Tableheadingrow"/>
              <w:jc w:val="center"/>
              <w:rPr>
                <w:lang w:val="en-AU"/>
              </w:rPr>
            </w:pPr>
            <w:r w:rsidRPr="003253E7">
              <w:rPr>
                <w:lang w:val="en-AU"/>
              </w:rPr>
              <w:t>Gilteritinib</w:t>
            </w:r>
          </w:p>
        </w:tc>
        <w:tc>
          <w:tcPr>
            <w:tcW w:w="1398" w:type="pct"/>
            <w:shd w:val="clear" w:color="auto" w:fill="FFFFFF"/>
          </w:tcPr>
          <w:p w:rsidR="004B44FC" w:rsidRPr="003253E7" w:rsidRDefault="004B44FC" w:rsidP="001E2B70">
            <w:pPr>
              <w:pStyle w:val="Tableheadingrow"/>
              <w:jc w:val="center"/>
              <w:rPr>
                <w:lang w:val="en-AU"/>
              </w:rPr>
            </w:pPr>
            <w:r w:rsidRPr="003253E7">
              <w:rPr>
                <w:lang w:val="en-AU"/>
              </w:rPr>
              <w:t>Salvage chemotherapy</w:t>
            </w:r>
          </w:p>
        </w:tc>
        <w:tc>
          <w:tcPr>
            <w:tcW w:w="1307" w:type="pct"/>
            <w:shd w:val="clear" w:color="auto" w:fill="FFFFFF"/>
            <w:vAlign w:val="center"/>
          </w:tcPr>
          <w:p w:rsidR="004B44FC" w:rsidRPr="003253E7" w:rsidRDefault="004B44FC" w:rsidP="001E2B70">
            <w:pPr>
              <w:pStyle w:val="Tableheadingrow"/>
              <w:jc w:val="center"/>
              <w:rPr>
                <w:lang w:val="en-AU"/>
              </w:rPr>
            </w:pPr>
            <w:r w:rsidRPr="003253E7">
              <w:rPr>
                <w:lang w:val="en-AU"/>
              </w:rPr>
              <w:t>Increment</w:t>
            </w:r>
          </w:p>
        </w:tc>
      </w:tr>
      <w:tr w:rsidR="004B44FC" w:rsidRPr="003253E7" w:rsidTr="001E2B70">
        <w:trPr>
          <w:cantSplit/>
        </w:trPr>
        <w:tc>
          <w:tcPr>
            <w:tcW w:w="942" w:type="pct"/>
            <w:shd w:val="clear" w:color="auto" w:fill="auto"/>
          </w:tcPr>
          <w:p w:rsidR="004B44FC" w:rsidRPr="003253E7" w:rsidRDefault="004B44FC" w:rsidP="001E2B70">
            <w:pPr>
              <w:pStyle w:val="TableText"/>
            </w:pPr>
            <w:r w:rsidRPr="003253E7">
              <w:t>Costs</w:t>
            </w:r>
            <w:r w:rsidR="00F44542">
              <w:t xml:space="preserve"> ($)</w:t>
            </w:r>
          </w:p>
        </w:tc>
        <w:tc>
          <w:tcPr>
            <w:tcW w:w="1353" w:type="pct"/>
            <w:shd w:val="clear" w:color="auto" w:fill="auto"/>
          </w:tcPr>
          <w:p w:rsidR="004B44FC" w:rsidRPr="00DD7357" w:rsidRDefault="00DD7357" w:rsidP="001E2B70">
            <w:pPr>
              <w:pStyle w:val="TableText"/>
              <w:jc w:val="center"/>
              <w:rPr>
                <w:highlight w:val="black"/>
              </w:rPr>
            </w:pPr>
            <w:r>
              <w:rPr>
                <w:noProof/>
                <w:color w:val="000000"/>
                <w:highlight w:val="black"/>
              </w:rPr>
              <w:t>''''''''''''''''''''''''</w:t>
            </w:r>
          </w:p>
        </w:tc>
        <w:tc>
          <w:tcPr>
            <w:tcW w:w="1398" w:type="pct"/>
            <w:shd w:val="clear" w:color="auto" w:fill="auto"/>
          </w:tcPr>
          <w:p w:rsidR="004B44FC" w:rsidRPr="003253E7" w:rsidRDefault="004B44FC" w:rsidP="001E2B70">
            <w:pPr>
              <w:pStyle w:val="TableText"/>
              <w:jc w:val="center"/>
            </w:pPr>
            <w:r w:rsidRPr="003253E7">
              <w:t>$179,664</w:t>
            </w:r>
          </w:p>
        </w:tc>
        <w:tc>
          <w:tcPr>
            <w:tcW w:w="1307" w:type="pct"/>
            <w:shd w:val="clear" w:color="auto" w:fill="auto"/>
          </w:tcPr>
          <w:p w:rsidR="004B44FC" w:rsidRPr="00DD7357" w:rsidRDefault="00DD7357" w:rsidP="001E2B70">
            <w:pPr>
              <w:pStyle w:val="TableText"/>
              <w:jc w:val="center"/>
              <w:rPr>
                <w:highlight w:val="black"/>
              </w:rPr>
            </w:pPr>
            <w:r>
              <w:rPr>
                <w:noProof/>
                <w:color w:val="000000"/>
                <w:highlight w:val="black"/>
              </w:rPr>
              <w:t>''''''''''''''''''</w:t>
            </w:r>
          </w:p>
        </w:tc>
      </w:tr>
      <w:tr w:rsidR="004B44FC" w:rsidRPr="003253E7" w:rsidTr="007672C8">
        <w:trPr>
          <w:cantSplit/>
          <w:trHeight w:val="145"/>
        </w:trPr>
        <w:tc>
          <w:tcPr>
            <w:tcW w:w="942" w:type="pct"/>
            <w:shd w:val="clear" w:color="auto" w:fill="auto"/>
          </w:tcPr>
          <w:p w:rsidR="004B44FC" w:rsidRPr="003253E7" w:rsidRDefault="004B44FC" w:rsidP="001E2B70">
            <w:pPr>
              <w:pStyle w:val="TableText"/>
            </w:pPr>
            <w:r w:rsidRPr="003253E7">
              <w:t>Life years</w:t>
            </w:r>
          </w:p>
        </w:tc>
        <w:tc>
          <w:tcPr>
            <w:tcW w:w="1353" w:type="pct"/>
            <w:shd w:val="clear" w:color="auto" w:fill="auto"/>
          </w:tcPr>
          <w:p w:rsidR="004B44FC" w:rsidRPr="007672C8" w:rsidRDefault="004B44FC" w:rsidP="001E2B70">
            <w:pPr>
              <w:pStyle w:val="TableText"/>
              <w:jc w:val="center"/>
            </w:pPr>
            <w:r w:rsidRPr="007672C8">
              <w:t>3.21</w:t>
            </w:r>
          </w:p>
        </w:tc>
        <w:tc>
          <w:tcPr>
            <w:tcW w:w="1398" w:type="pct"/>
            <w:shd w:val="clear" w:color="auto" w:fill="auto"/>
          </w:tcPr>
          <w:p w:rsidR="004B44FC" w:rsidRPr="007672C8" w:rsidRDefault="004B44FC" w:rsidP="001E2B70">
            <w:pPr>
              <w:pStyle w:val="TableText"/>
              <w:jc w:val="center"/>
            </w:pPr>
            <w:r w:rsidRPr="007672C8">
              <w:t>1.97</w:t>
            </w:r>
          </w:p>
        </w:tc>
        <w:tc>
          <w:tcPr>
            <w:tcW w:w="1307" w:type="pct"/>
            <w:shd w:val="clear" w:color="auto" w:fill="auto"/>
          </w:tcPr>
          <w:p w:rsidR="004B44FC" w:rsidRPr="007672C8" w:rsidRDefault="004B44FC" w:rsidP="001E2B70">
            <w:pPr>
              <w:pStyle w:val="TableText"/>
              <w:jc w:val="center"/>
            </w:pPr>
            <w:r w:rsidRPr="007672C8">
              <w:t>1.25</w:t>
            </w:r>
          </w:p>
        </w:tc>
      </w:tr>
      <w:tr w:rsidR="004B44FC" w:rsidRPr="003253E7" w:rsidTr="001E2B70">
        <w:trPr>
          <w:cantSplit/>
        </w:trPr>
        <w:tc>
          <w:tcPr>
            <w:tcW w:w="942" w:type="pct"/>
            <w:shd w:val="clear" w:color="auto" w:fill="auto"/>
          </w:tcPr>
          <w:p w:rsidR="004B44FC" w:rsidRPr="003253E7" w:rsidRDefault="004B44FC" w:rsidP="001E2B70">
            <w:pPr>
              <w:pStyle w:val="TableText"/>
            </w:pPr>
            <w:r w:rsidRPr="003253E7">
              <w:t>QALY</w:t>
            </w:r>
            <w:r w:rsidR="00905AC4">
              <w:t>s</w:t>
            </w:r>
          </w:p>
        </w:tc>
        <w:tc>
          <w:tcPr>
            <w:tcW w:w="1353" w:type="pct"/>
            <w:shd w:val="clear" w:color="auto" w:fill="auto"/>
          </w:tcPr>
          <w:p w:rsidR="004B44FC" w:rsidRPr="007672C8" w:rsidRDefault="004B44FC" w:rsidP="001E2B70">
            <w:pPr>
              <w:pStyle w:val="TableText"/>
              <w:jc w:val="center"/>
            </w:pPr>
            <w:r w:rsidRPr="007672C8">
              <w:t>2.66</w:t>
            </w:r>
          </w:p>
        </w:tc>
        <w:tc>
          <w:tcPr>
            <w:tcW w:w="1398" w:type="pct"/>
            <w:shd w:val="clear" w:color="auto" w:fill="auto"/>
          </w:tcPr>
          <w:p w:rsidR="004B44FC" w:rsidRPr="007672C8" w:rsidRDefault="004B44FC">
            <w:pPr>
              <w:pStyle w:val="TableText"/>
              <w:jc w:val="center"/>
              <w:rPr>
                <w:vertAlign w:val="superscript"/>
              </w:rPr>
            </w:pPr>
            <w:r w:rsidRPr="007672C8">
              <w:t>1.61</w:t>
            </w:r>
          </w:p>
        </w:tc>
        <w:tc>
          <w:tcPr>
            <w:tcW w:w="1307" w:type="pct"/>
            <w:shd w:val="clear" w:color="auto" w:fill="auto"/>
          </w:tcPr>
          <w:p w:rsidR="004B44FC" w:rsidRPr="007672C8" w:rsidRDefault="004B44FC" w:rsidP="001E2B70">
            <w:pPr>
              <w:pStyle w:val="TableText"/>
              <w:jc w:val="center"/>
            </w:pPr>
            <w:r w:rsidRPr="007672C8">
              <w:t>1.05</w:t>
            </w:r>
          </w:p>
        </w:tc>
      </w:tr>
      <w:tr w:rsidR="004B44FC" w:rsidRPr="003253E7" w:rsidTr="001E2B70">
        <w:trPr>
          <w:cantSplit/>
        </w:trPr>
        <w:tc>
          <w:tcPr>
            <w:tcW w:w="3693" w:type="pct"/>
            <w:gridSpan w:val="3"/>
            <w:tcBorders>
              <w:right w:val="single" w:sz="4" w:space="0" w:color="000000"/>
            </w:tcBorders>
            <w:shd w:val="clear" w:color="auto" w:fill="auto"/>
          </w:tcPr>
          <w:p w:rsidR="004B44FC" w:rsidRPr="003253E7" w:rsidRDefault="004B44FC" w:rsidP="001E2B70">
            <w:pPr>
              <w:pStyle w:val="Tableheadingrow"/>
              <w:rPr>
                <w:lang w:val="en-AU"/>
              </w:rPr>
            </w:pPr>
            <w:r w:rsidRPr="003253E7">
              <w:rPr>
                <w:lang w:val="en-AU"/>
              </w:rPr>
              <w:t>Incremental cost per life year gained</w:t>
            </w:r>
          </w:p>
        </w:tc>
        <w:tc>
          <w:tcPr>
            <w:tcW w:w="1307" w:type="pct"/>
            <w:tcBorders>
              <w:left w:val="single" w:sz="4" w:space="0" w:color="000000"/>
            </w:tcBorders>
            <w:shd w:val="clear" w:color="auto" w:fill="auto"/>
          </w:tcPr>
          <w:p w:rsidR="004B44FC" w:rsidRPr="003253E7" w:rsidRDefault="00DD7357" w:rsidP="001E2B70">
            <w:pPr>
              <w:keepNext/>
              <w:keepLines/>
              <w:jc w:val="center"/>
              <w:rPr>
                <w:rFonts w:ascii="Arial Narrow" w:eastAsia="Calibri" w:hAnsi="Arial Narrow"/>
                <w:b/>
                <w:sz w:val="20"/>
                <w:szCs w:val="20"/>
              </w:rPr>
            </w:pPr>
            <w:r>
              <w:rPr>
                <w:rFonts w:ascii="Arial Narrow" w:eastAsia="Calibri" w:hAnsi="Arial Narrow"/>
                <w:b/>
                <w:noProof/>
                <w:color w:val="000000"/>
                <w:sz w:val="20"/>
                <w:szCs w:val="20"/>
                <w:highlight w:val="black"/>
              </w:rPr>
              <w:t>''''''''''''''''</w:t>
            </w:r>
            <w:r w:rsidR="00F44542">
              <w:rPr>
                <w:vertAlign w:val="superscript"/>
              </w:rPr>
              <w:t>1</w:t>
            </w:r>
          </w:p>
        </w:tc>
      </w:tr>
      <w:tr w:rsidR="004B44FC" w:rsidRPr="003253E7" w:rsidTr="001E2B70">
        <w:trPr>
          <w:cantSplit/>
        </w:trPr>
        <w:tc>
          <w:tcPr>
            <w:tcW w:w="3693" w:type="pct"/>
            <w:gridSpan w:val="3"/>
            <w:tcBorders>
              <w:right w:val="single" w:sz="4" w:space="0" w:color="000000"/>
            </w:tcBorders>
            <w:shd w:val="clear" w:color="auto" w:fill="auto"/>
          </w:tcPr>
          <w:p w:rsidR="004B44FC" w:rsidRPr="003253E7" w:rsidRDefault="004B44FC" w:rsidP="001E2B70">
            <w:pPr>
              <w:pStyle w:val="Tableheadingrow"/>
              <w:rPr>
                <w:lang w:val="en-AU"/>
              </w:rPr>
            </w:pPr>
            <w:r w:rsidRPr="003253E7">
              <w:rPr>
                <w:lang w:val="en-AU"/>
              </w:rPr>
              <w:t>Incremental cost per QALY gained</w:t>
            </w:r>
          </w:p>
        </w:tc>
        <w:tc>
          <w:tcPr>
            <w:tcW w:w="1307" w:type="pct"/>
            <w:tcBorders>
              <w:left w:val="single" w:sz="4" w:space="0" w:color="000000"/>
            </w:tcBorders>
            <w:shd w:val="clear" w:color="auto" w:fill="auto"/>
          </w:tcPr>
          <w:p w:rsidR="004B44FC" w:rsidRPr="003253E7" w:rsidRDefault="00DD7357" w:rsidP="001E2B70">
            <w:pPr>
              <w:keepNext/>
              <w:keepLines/>
              <w:jc w:val="center"/>
              <w:rPr>
                <w:rFonts w:ascii="Arial Narrow" w:eastAsia="Calibri" w:hAnsi="Arial Narrow"/>
                <w:b/>
                <w:sz w:val="20"/>
                <w:szCs w:val="20"/>
              </w:rPr>
            </w:pPr>
            <w:r>
              <w:rPr>
                <w:rFonts w:ascii="Arial Narrow" w:eastAsia="Calibri" w:hAnsi="Arial Narrow"/>
                <w:b/>
                <w:noProof/>
                <w:color w:val="000000"/>
                <w:sz w:val="20"/>
                <w:szCs w:val="20"/>
                <w:highlight w:val="black"/>
              </w:rPr>
              <w:t>'''''''''''''''''</w:t>
            </w:r>
            <w:r w:rsidR="00F44542">
              <w:rPr>
                <w:vertAlign w:val="superscript"/>
              </w:rPr>
              <w:t>2</w:t>
            </w:r>
          </w:p>
        </w:tc>
      </w:tr>
    </w:tbl>
    <w:p w:rsidR="004B44FC" w:rsidRPr="003253E7" w:rsidRDefault="004B44FC" w:rsidP="004B44FC">
      <w:pPr>
        <w:pStyle w:val="TableFigureFooter"/>
        <w:rPr>
          <w:rStyle w:val="TableFigureCaptionChar"/>
        </w:rPr>
      </w:pPr>
      <w:r w:rsidRPr="003253E7">
        <w:t>Source: Table 92, p207 of the submission</w:t>
      </w:r>
    </w:p>
    <w:p w:rsidR="004B44FC" w:rsidRDefault="004B44FC" w:rsidP="004B44FC">
      <w:pPr>
        <w:pStyle w:val="TableFigureFooter"/>
        <w:rPr>
          <w:rFonts w:eastAsia="Calibri"/>
          <w:szCs w:val="20"/>
        </w:rPr>
      </w:pPr>
      <w:r w:rsidRPr="003253E7">
        <w:rPr>
          <w:rFonts w:eastAsia="Calibri"/>
          <w:szCs w:val="20"/>
        </w:rPr>
        <w:t>Abbreviation: QALY, quality adjusted life year</w:t>
      </w:r>
    </w:p>
    <w:p w:rsidR="00F44542" w:rsidRDefault="00F44542" w:rsidP="00F44542">
      <w:pPr>
        <w:pStyle w:val="TableFigureFooter"/>
        <w:spacing w:after="0"/>
        <w:contextualSpacing w:val="0"/>
        <w:rPr>
          <w:i/>
        </w:rPr>
      </w:pPr>
      <w:r w:rsidRPr="009868C4">
        <w:rPr>
          <w:i/>
        </w:rPr>
        <w:t>The redacted values correspond to the following ranges</w:t>
      </w:r>
      <w:r>
        <w:rPr>
          <w:i/>
        </w:rPr>
        <w:t xml:space="preserve">: </w:t>
      </w:r>
    </w:p>
    <w:p w:rsidR="00F44542" w:rsidRPr="00870C5D" w:rsidRDefault="00F44542" w:rsidP="00F44542">
      <w:pPr>
        <w:pStyle w:val="TableFigureFooter"/>
        <w:spacing w:after="0"/>
        <w:contextualSpacing w:val="0"/>
      </w:pPr>
      <w:r>
        <w:rPr>
          <w:i/>
          <w:vertAlign w:val="superscript"/>
        </w:rPr>
        <w:t>1</w:t>
      </w:r>
      <w:r>
        <w:rPr>
          <w:i/>
        </w:rPr>
        <w:t xml:space="preserve"> </w:t>
      </w:r>
      <w:r w:rsidRPr="00F44542">
        <w:rPr>
          <w:i/>
        </w:rPr>
        <w:t>$55,000 to &lt; $75,000</w:t>
      </w:r>
    </w:p>
    <w:p w:rsidR="00F44542" w:rsidRPr="00870C5D" w:rsidRDefault="00F44542" w:rsidP="00F44542">
      <w:pPr>
        <w:pStyle w:val="TableFigureFooter"/>
        <w:spacing w:after="0"/>
        <w:contextualSpacing w:val="0"/>
      </w:pPr>
      <w:r>
        <w:rPr>
          <w:i/>
          <w:vertAlign w:val="superscript"/>
        </w:rPr>
        <w:t>2</w:t>
      </w:r>
      <w:r>
        <w:rPr>
          <w:i/>
        </w:rPr>
        <w:t xml:space="preserve"> </w:t>
      </w:r>
      <w:r w:rsidRPr="00F44542">
        <w:rPr>
          <w:i/>
        </w:rPr>
        <w:t>$75,000 to &lt; $95,000</w:t>
      </w:r>
    </w:p>
    <w:p w:rsidR="00F44542" w:rsidRPr="003253E7" w:rsidRDefault="00F44542" w:rsidP="004B44FC">
      <w:pPr>
        <w:pStyle w:val="TableFigureFooter"/>
        <w:rPr>
          <w:rFonts w:eastAsia="Calibri"/>
          <w:szCs w:val="20"/>
        </w:rPr>
      </w:pPr>
    </w:p>
    <w:p w:rsidR="004B44FC" w:rsidRPr="003253E7" w:rsidRDefault="004B44FC" w:rsidP="00F44542">
      <w:pPr>
        <w:pStyle w:val="ExecSumBodyText"/>
      </w:pPr>
      <w:r w:rsidRPr="003253E7">
        <w:t xml:space="preserve">Based on the economic model, treatment with gilteritinib was associated with a cost of </w:t>
      </w:r>
      <w:r w:rsidR="00F44542" w:rsidRPr="00F44542">
        <w:t>$75,000 to &lt; $95,000</w:t>
      </w:r>
      <w:r w:rsidR="00F44542">
        <w:t xml:space="preserve"> </w:t>
      </w:r>
      <w:r w:rsidR="009723A2" w:rsidRPr="003253E7">
        <w:t>per QALY gained</w:t>
      </w:r>
      <w:r w:rsidRPr="003253E7">
        <w:t xml:space="preserve"> compared to salvage chemotherapy for the treatment of FLT3 mutation positive relapsed/refractory AML.</w:t>
      </w:r>
    </w:p>
    <w:p w:rsidR="00FA1773" w:rsidRPr="00C00A16" w:rsidRDefault="004B44FC" w:rsidP="0091620B">
      <w:pPr>
        <w:pStyle w:val="ExecSumBodyText"/>
      </w:pPr>
      <w:r w:rsidRPr="003253E7">
        <w:t>The difference in costs was primarily driven by gilteritinib drug costs which were partially offset by a substantial decrease in hospitalisation costs for treatment administration (first-line and subsequent line treatment) and disease management.</w:t>
      </w:r>
      <w:r w:rsidR="00FA1773">
        <w:t xml:space="preserve"> </w:t>
      </w:r>
      <w:r w:rsidR="00FA1773" w:rsidRPr="00C00A16">
        <w:t>The ESC noted that no administration costs were assumed for gilteritinib whereas salvage chemotherapy costs were based on an assumption of 100% hospitalisation over a fixed treatment duration. The ESC advised that the low</w:t>
      </w:r>
      <w:r w:rsidR="00100A94" w:rsidRPr="00C00A16">
        <w:t>-intensity</w:t>
      </w:r>
      <w:r w:rsidR="00FA1773" w:rsidRPr="00C00A16">
        <w:t xml:space="preserve"> salvage chemotherapy options </w:t>
      </w:r>
      <w:r w:rsidR="00100A94" w:rsidRPr="00C00A16">
        <w:t xml:space="preserve">used in this condition are </w:t>
      </w:r>
      <w:r w:rsidR="00FA1773" w:rsidRPr="00C00A16">
        <w:t>administered in an outpatient setting</w:t>
      </w:r>
      <w:r w:rsidR="00100A94" w:rsidRPr="00C00A16">
        <w:t xml:space="preserve">. </w:t>
      </w:r>
      <w:r w:rsidR="00100A94" w:rsidRPr="00C00A16">
        <w:rPr>
          <w:iCs/>
        </w:rPr>
        <w:t xml:space="preserve">The ESC </w:t>
      </w:r>
      <w:r w:rsidR="0077071F" w:rsidRPr="00C00A16">
        <w:rPr>
          <w:iCs/>
        </w:rPr>
        <w:t xml:space="preserve">considered </w:t>
      </w:r>
      <w:r w:rsidR="00100A94" w:rsidRPr="00C00A16">
        <w:rPr>
          <w:iCs/>
        </w:rPr>
        <w:t>the assumption of 100% hospitalisation was inconsistent with data from the ADMIRAL trial which indicated that 58.9% (73/124) of all patients in the salvage arm were hospitalised for chemotherapy administration.</w:t>
      </w:r>
    </w:p>
    <w:p w:rsidR="004B44FC" w:rsidRPr="003253E7" w:rsidRDefault="004B44FC" w:rsidP="004B44FC">
      <w:pPr>
        <w:pStyle w:val="ExecSumBodyText"/>
      </w:pPr>
      <w:r w:rsidRPr="003253E7">
        <w:t>The difference in health outcomes was primarily driven by time spent in the With HSCT event-free health state and time spent in the No HSCT post-event health state.</w:t>
      </w:r>
    </w:p>
    <w:p w:rsidR="004B44FC" w:rsidRPr="003253E7" w:rsidRDefault="004B44FC" w:rsidP="004B44FC">
      <w:pPr>
        <w:pStyle w:val="ExecSumBodyText"/>
      </w:pPr>
      <w:r w:rsidRPr="003253E7">
        <w:t xml:space="preserve">The results of key sensitivity analyses presented in the submission and </w:t>
      </w:r>
      <w:r w:rsidRPr="0091620B">
        <w:rPr>
          <w:iCs/>
        </w:rPr>
        <w:t xml:space="preserve">conducted during the evaluation </w:t>
      </w:r>
      <w:r w:rsidR="006837BB">
        <w:rPr>
          <w:iCs/>
        </w:rPr>
        <w:t xml:space="preserve">and for the ESC advice </w:t>
      </w:r>
      <w:r w:rsidRPr="003253E7">
        <w:t xml:space="preserve">are summarised below. </w:t>
      </w:r>
    </w:p>
    <w:p w:rsidR="004B44FC" w:rsidRPr="003253E7" w:rsidRDefault="002B6D54" w:rsidP="002B6D54">
      <w:pPr>
        <w:pStyle w:val="Tableheadingrow"/>
      </w:pPr>
      <w:r>
        <w:t xml:space="preserve">Table </w:t>
      </w:r>
      <w:r>
        <w:rPr>
          <w:noProof/>
        </w:rPr>
        <w:t>11</w:t>
      </w:r>
      <w:r w:rsidR="004B44FC" w:rsidRPr="003253E7">
        <w:t>: Results of sensitivity analyses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7"/>
        <w:gridCol w:w="1549"/>
        <w:gridCol w:w="1688"/>
        <w:gridCol w:w="1383"/>
      </w:tblGrid>
      <w:tr w:rsidR="004B44FC" w:rsidRPr="003253E7" w:rsidTr="0014701D">
        <w:trPr>
          <w:cantSplit/>
          <w:tblHeader/>
        </w:trPr>
        <w:tc>
          <w:tcPr>
            <w:tcW w:w="2438" w:type="pct"/>
          </w:tcPr>
          <w:p w:rsidR="004B44FC" w:rsidRPr="003253E7" w:rsidRDefault="004B44FC" w:rsidP="005D7E70">
            <w:pPr>
              <w:pStyle w:val="Tableheadingrow"/>
              <w:keepLines/>
              <w:widowControl w:val="0"/>
              <w:rPr>
                <w:lang w:val="en-AU"/>
              </w:rPr>
            </w:pPr>
            <w:r w:rsidRPr="003253E7">
              <w:rPr>
                <w:lang w:val="en-AU"/>
              </w:rPr>
              <w:t>Analys</w:t>
            </w:r>
            <w:r w:rsidR="00A053CA">
              <w:rPr>
                <w:lang w:val="en-AU"/>
              </w:rPr>
              <w:t>i</w:t>
            </w:r>
            <w:r w:rsidRPr="003253E7">
              <w:rPr>
                <w:lang w:val="en-AU"/>
              </w:rPr>
              <w:t>s</w:t>
            </w:r>
          </w:p>
        </w:tc>
        <w:tc>
          <w:tcPr>
            <w:tcW w:w="859" w:type="pct"/>
          </w:tcPr>
          <w:p w:rsidR="004B44FC" w:rsidRPr="003253E7" w:rsidRDefault="004B44FC" w:rsidP="005D7E70">
            <w:pPr>
              <w:pStyle w:val="Tableheadingrow"/>
              <w:keepLines/>
              <w:widowControl w:val="0"/>
              <w:jc w:val="center"/>
              <w:rPr>
                <w:lang w:val="en-AU"/>
              </w:rPr>
            </w:pPr>
            <w:r w:rsidRPr="003253E7">
              <w:rPr>
                <w:lang w:val="en-AU"/>
              </w:rPr>
              <w:t>Incremental cost</w:t>
            </w:r>
            <w:r w:rsidR="00F44542">
              <w:rPr>
                <w:lang w:val="en-AU"/>
              </w:rPr>
              <w:t xml:space="preserve"> ($)</w:t>
            </w:r>
          </w:p>
        </w:tc>
        <w:tc>
          <w:tcPr>
            <w:tcW w:w="936" w:type="pct"/>
          </w:tcPr>
          <w:p w:rsidR="004B44FC" w:rsidRPr="003253E7" w:rsidRDefault="004B44FC" w:rsidP="005D7E70">
            <w:pPr>
              <w:pStyle w:val="Tableheadingrow"/>
              <w:keepLines/>
              <w:widowControl w:val="0"/>
              <w:jc w:val="center"/>
              <w:rPr>
                <w:lang w:val="en-AU"/>
              </w:rPr>
            </w:pPr>
            <w:r w:rsidRPr="003253E7">
              <w:rPr>
                <w:lang w:val="en-AU"/>
              </w:rPr>
              <w:t>Incremental QALY</w:t>
            </w:r>
          </w:p>
        </w:tc>
        <w:tc>
          <w:tcPr>
            <w:tcW w:w="767" w:type="pct"/>
          </w:tcPr>
          <w:p w:rsidR="004B44FC" w:rsidRPr="003253E7" w:rsidRDefault="004B44FC" w:rsidP="005D7E70">
            <w:pPr>
              <w:pStyle w:val="Tableheadingrow"/>
              <w:keepLines/>
              <w:widowControl w:val="0"/>
              <w:jc w:val="center"/>
              <w:rPr>
                <w:lang w:val="en-AU"/>
              </w:rPr>
            </w:pPr>
            <w:r w:rsidRPr="003253E7">
              <w:rPr>
                <w:lang w:val="en-AU"/>
              </w:rPr>
              <w:t>ICER</w:t>
            </w:r>
          </w:p>
        </w:tc>
      </w:tr>
      <w:tr w:rsidR="004B44FC" w:rsidRPr="003253E7" w:rsidTr="0014701D">
        <w:trPr>
          <w:cantSplit/>
        </w:trPr>
        <w:tc>
          <w:tcPr>
            <w:tcW w:w="2438" w:type="pct"/>
          </w:tcPr>
          <w:p w:rsidR="004B44FC" w:rsidRPr="003253E7" w:rsidRDefault="004B44FC" w:rsidP="005D7E70">
            <w:pPr>
              <w:pStyle w:val="TableText"/>
              <w:keepLines/>
              <w:widowControl w:val="0"/>
              <w:rPr>
                <w:b/>
              </w:rPr>
            </w:pPr>
            <w:r w:rsidRPr="003253E7">
              <w:rPr>
                <w:b/>
              </w:rPr>
              <w:t>Base case</w:t>
            </w:r>
          </w:p>
        </w:tc>
        <w:tc>
          <w:tcPr>
            <w:tcW w:w="859" w:type="pct"/>
          </w:tcPr>
          <w:p w:rsidR="004B44FC" w:rsidRPr="00DD7357" w:rsidRDefault="00DD7357" w:rsidP="005D7E70">
            <w:pPr>
              <w:pStyle w:val="TableText"/>
              <w:keepLines/>
              <w:widowControl w:val="0"/>
              <w:jc w:val="center"/>
              <w:rPr>
                <w:b/>
                <w:highlight w:val="black"/>
              </w:rPr>
            </w:pPr>
            <w:r>
              <w:rPr>
                <w:b/>
                <w:noProof/>
                <w:color w:val="000000"/>
                <w:highlight w:val="black"/>
              </w:rPr>
              <w:t>'''''''''''''''''</w:t>
            </w:r>
          </w:p>
        </w:tc>
        <w:tc>
          <w:tcPr>
            <w:tcW w:w="936" w:type="pct"/>
          </w:tcPr>
          <w:p w:rsidR="004B44FC" w:rsidRPr="007672C8" w:rsidRDefault="004B44FC" w:rsidP="005D7E70">
            <w:pPr>
              <w:pStyle w:val="TableText"/>
              <w:keepLines/>
              <w:widowControl w:val="0"/>
              <w:jc w:val="center"/>
              <w:rPr>
                <w:b/>
              </w:rPr>
            </w:pPr>
            <w:r w:rsidRPr="007672C8">
              <w:rPr>
                <w:b/>
              </w:rPr>
              <w:t>1.05</w:t>
            </w:r>
          </w:p>
        </w:tc>
        <w:tc>
          <w:tcPr>
            <w:tcW w:w="767" w:type="pct"/>
          </w:tcPr>
          <w:p w:rsidR="004B44FC" w:rsidRPr="003253E7" w:rsidRDefault="00DD7357" w:rsidP="005D7E70">
            <w:pPr>
              <w:pStyle w:val="TableText"/>
              <w:keepLines/>
              <w:widowControl w:val="0"/>
              <w:jc w:val="center"/>
              <w:rPr>
                <w:b/>
              </w:rPr>
            </w:pPr>
            <w:r>
              <w:rPr>
                <w:b/>
                <w:noProof/>
                <w:color w:val="000000"/>
                <w:highlight w:val="black"/>
              </w:rPr>
              <w:t>''''''''''''''''</w:t>
            </w:r>
            <w:r w:rsidR="0055341D">
              <w:rPr>
                <w:bCs w:val="0"/>
                <w:iCs/>
                <w:vertAlign w:val="superscript"/>
              </w:rPr>
              <w:t>1</w:t>
            </w:r>
          </w:p>
        </w:tc>
      </w:tr>
      <w:tr w:rsidR="004B44FC" w:rsidRPr="003253E7" w:rsidTr="00613ACB">
        <w:trPr>
          <w:cantSplit/>
        </w:trPr>
        <w:tc>
          <w:tcPr>
            <w:tcW w:w="5000" w:type="pct"/>
            <w:gridSpan w:val="4"/>
          </w:tcPr>
          <w:p w:rsidR="004B44FC" w:rsidRPr="007672C8" w:rsidRDefault="004B44FC" w:rsidP="005D7E70">
            <w:pPr>
              <w:pStyle w:val="TableText"/>
              <w:keepLines/>
              <w:widowControl w:val="0"/>
              <w:rPr>
                <w:b/>
              </w:rPr>
            </w:pPr>
            <w:r w:rsidRPr="007672C8">
              <w:rPr>
                <w:b/>
              </w:rPr>
              <w:t>Time horizon (base case 40 years)</w:t>
            </w:r>
          </w:p>
        </w:tc>
      </w:tr>
      <w:tr w:rsidR="004B44FC" w:rsidRPr="0091620B" w:rsidTr="0014701D">
        <w:trPr>
          <w:cantSplit/>
        </w:trPr>
        <w:tc>
          <w:tcPr>
            <w:tcW w:w="2438" w:type="pct"/>
          </w:tcPr>
          <w:p w:rsidR="004B44FC" w:rsidRPr="0091620B" w:rsidRDefault="004B44FC">
            <w:pPr>
              <w:pStyle w:val="TableText"/>
              <w:keepLines/>
              <w:widowControl w:val="0"/>
              <w:rPr>
                <w:bCs w:val="0"/>
                <w:iCs/>
                <w:vertAlign w:val="superscript"/>
              </w:rPr>
            </w:pPr>
            <w:r w:rsidRPr="0091620B">
              <w:rPr>
                <w:bCs w:val="0"/>
                <w:iCs/>
              </w:rPr>
              <w:t>15 years</w:t>
            </w:r>
            <w:r w:rsidR="00846130" w:rsidRPr="0091620B">
              <w:rPr>
                <w:bCs w:val="0"/>
                <w:iCs/>
                <w:vertAlign w:val="superscript"/>
              </w:rPr>
              <w:t>a</w:t>
            </w:r>
          </w:p>
        </w:tc>
        <w:tc>
          <w:tcPr>
            <w:tcW w:w="859" w:type="pct"/>
          </w:tcPr>
          <w:p w:rsidR="004B44FC" w:rsidRPr="00DD7357" w:rsidRDefault="00DD7357" w:rsidP="005D7E70">
            <w:pPr>
              <w:pStyle w:val="TableText"/>
              <w:keepLines/>
              <w:widowControl w:val="0"/>
              <w:jc w:val="center"/>
              <w:rPr>
                <w:bCs w:val="0"/>
                <w:iCs/>
                <w:highlight w:val="black"/>
              </w:rPr>
            </w:pPr>
            <w:r>
              <w:rPr>
                <w:bCs w:val="0"/>
                <w:iCs/>
                <w:noProof/>
                <w:color w:val="000000"/>
                <w:highlight w:val="black"/>
              </w:rPr>
              <w:t>'''''''''''''''''''</w:t>
            </w:r>
          </w:p>
        </w:tc>
        <w:tc>
          <w:tcPr>
            <w:tcW w:w="936" w:type="pct"/>
          </w:tcPr>
          <w:p w:rsidR="004B44FC" w:rsidRPr="007672C8" w:rsidRDefault="004B44FC" w:rsidP="005D7E70">
            <w:pPr>
              <w:pStyle w:val="TableText"/>
              <w:keepLines/>
              <w:widowControl w:val="0"/>
              <w:jc w:val="center"/>
              <w:rPr>
                <w:bCs w:val="0"/>
                <w:iCs/>
              </w:rPr>
            </w:pPr>
            <w:r w:rsidRPr="007672C8">
              <w:rPr>
                <w:bCs w:val="0"/>
                <w:iCs/>
              </w:rPr>
              <w:t>0.81</w:t>
            </w:r>
          </w:p>
        </w:tc>
        <w:tc>
          <w:tcPr>
            <w:tcW w:w="767" w:type="pct"/>
          </w:tcPr>
          <w:p w:rsidR="004B44FC" w:rsidRPr="00DD7357" w:rsidRDefault="00DD7357" w:rsidP="005D7E70">
            <w:pPr>
              <w:pStyle w:val="TableText"/>
              <w:keepLines/>
              <w:widowControl w:val="0"/>
              <w:jc w:val="center"/>
              <w:rPr>
                <w:bCs w:val="0"/>
                <w:iCs/>
              </w:rPr>
            </w:pPr>
            <w:r>
              <w:rPr>
                <w:bCs w:val="0"/>
                <w:iCs/>
                <w:noProof/>
                <w:color w:val="000000"/>
                <w:highlight w:val="black"/>
              </w:rPr>
              <w:t>'''''''''''''''''''''''</w:t>
            </w:r>
            <w:r w:rsidR="0055341D">
              <w:rPr>
                <w:bCs w:val="0"/>
                <w:iCs/>
                <w:vertAlign w:val="superscript"/>
              </w:rPr>
              <w:t>2</w:t>
            </w:r>
          </w:p>
        </w:tc>
      </w:tr>
      <w:tr w:rsidR="004B44FC" w:rsidRPr="0091620B" w:rsidTr="0014701D">
        <w:trPr>
          <w:cantSplit/>
        </w:trPr>
        <w:tc>
          <w:tcPr>
            <w:tcW w:w="2438" w:type="pct"/>
          </w:tcPr>
          <w:p w:rsidR="004B44FC" w:rsidRPr="0091620B" w:rsidRDefault="004B44FC" w:rsidP="005D7E70">
            <w:pPr>
              <w:pStyle w:val="TableText"/>
              <w:keepLines/>
              <w:widowControl w:val="0"/>
              <w:rPr>
                <w:bCs w:val="0"/>
                <w:iCs/>
                <w:vertAlign w:val="superscript"/>
              </w:rPr>
            </w:pPr>
            <w:r w:rsidRPr="0091620B">
              <w:rPr>
                <w:bCs w:val="0"/>
                <w:iCs/>
              </w:rPr>
              <w:t>25 years</w:t>
            </w:r>
            <w:r w:rsidR="00846130" w:rsidRPr="0091620B">
              <w:rPr>
                <w:bCs w:val="0"/>
                <w:iCs/>
                <w:vertAlign w:val="superscript"/>
              </w:rPr>
              <w:t>a</w:t>
            </w:r>
          </w:p>
        </w:tc>
        <w:tc>
          <w:tcPr>
            <w:tcW w:w="859" w:type="pct"/>
          </w:tcPr>
          <w:p w:rsidR="004B44FC" w:rsidRPr="00DD7357" w:rsidRDefault="00DD7357" w:rsidP="005D7E70">
            <w:pPr>
              <w:pStyle w:val="TableText"/>
              <w:keepLines/>
              <w:widowControl w:val="0"/>
              <w:jc w:val="center"/>
              <w:rPr>
                <w:bCs w:val="0"/>
                <w:iCs/>
                <w:highlight w:val="black"/>
              </w:rPr>
            </w:pPr>
            <w:r>
              <w:rPr>
                <w:bCs w:val="0"/>
                <w:iCs/>
                <w:noProof/>
                <w:color w:val="000000"/>
                <w:highlight w:val="black"/>
              </w:rPr>
              <w:t>''''''''''''''''''</w:t>
            </w:r>
          </w:p>
        </w:tc>
        <w:tc>
          <w:tcPr>
            <w:tcW w:w="936" w:type="pct"/>
          </w:tcPr>
          <w:p w:rsidR="004B44FC" w:rsidRPr="007672C8" w:rsidRDefault="004B44FC" w:rsidP="005D7E70">
            <w:pPr>
              <w:pStyle w:val="TableText"/>
              <w:keepLines/>
              <w:widowControl w:val="0"/>
              <w:jc w:val="center"/>
              <w:rPr>
                <w:bCs w:val="0"/>
                <w:iCs/>
              </w:rPr>
            </w:pPr>
            <w:r w:rsidRPr="007672C8">
              <w:rPr>
                <w:bCs w:val="0"/>
                <w:iCs/>
              </w:rPr>
              <w:t>1.00</w:t>
            </w:r>
          </w:p>
        </w:tc>
        <w:tc>
          <w:tcPr>
            <w:tcW w:w="767" w:type="pct"/>
          </w:tcPr>
          <w:p w:rsidR="004B44FC" w:rsidRPr="00DD7357" w:rsidRDefault="00DD7357" w:rsidP="005D7E70">
            <w:pPr>
              <w:pStyle w:val="TableText"/>
              <w:keepLines/>
              <w:widowControl w:val="0"/>
              <w:jc w:val="center"/>
              <w:rPr>
                <w:bCs w:val="0"/>
                <w:iCs/>
              </w:rPr>
            </w:pPr>
            <w:r>
              <w:rPr>
                <w:bCs w:val="0"/>
                <w:iCs/>
                <w:noProof/>
                <w:color w:val="000000"/>
                <w:highlight w:val="black"/>
              </w:rPr>
              <w:t>'''''''''''''''''</w:t>
            </w:r>
            <w:r w:rsidR="0055341D">
              <w:rPr>
                <w:bCs w:val="0"/>
                <w:iCs/>
                <w:vertAlign w:val="superscript"/>
              </w:rPr>
              <w:t>1</w:t>
            </w:r>
          </w:p>
        </w:tc>
      </w:tr>
      <w:tr w:rsidR="004B44FC" w:rsidRPr="003253E7" w:rsidTr="0014701D">
        <w:trPr>
          <w:cantSplit/>
        </w:trPr>
        <w:tc>
          <w:tcPr>
            <w:tcW w:w="2438" w:type="pct"/>
          </w:tcPr>
          <w:p w:rsidR="004B44FC" w:rsidRPr="00602069" w:rsidRDefault="004B44FC" w:rsidP="005D7E70">
            <w:pPr>
              <w:pStyle w:val="TableText"/>
              <w:keepLines/>
              <w:widowControl w:val="0"/>
              <w:rPr>
                <w:b/>
                <w:iCs/>
              </w:rPr>
            </w:pPr>
            <w:r w:rsidRPr="00602069">
              <w:rPr>
                <w:b/>
                <w:iCs/>
              </w:rPr>
              <w:t>Baseline age (base case 59 years)</w:t>
            </w:r>
          </w:p>
        </w:tc>
        <w:tc>
          <w:tcPr>
            <w:tcW w:w="859" w:type="pct"/>
          </w:tcPr>
          <w:p w:rsidR="004B44FC" w:rsidRPr="003253E7" w:rsidRDefault="004B44FC" w:rsidP="005D7E70">
            <w:pPr>
              <w:pStyle w:val="TableText"/>
              <w:keepLines/>
              <w:widowControl w:val="0"/>
              <w:jc w:val="center"/>
              <w:rPr>
                <w:b/>
                <w:i/>
                <w:iCs/>
              </w:rPr>
            </w:pPr>
          </w:p>
        </w:tc>
        <w:tc>
          <w:tcPr>
            <w:tcW w:w="936" w:type="pct"/>
          </w:tcPr>
          <w:p w:rsidR="004B44FC" w:rsidRPr="007672C8" w:rsidRDefault="004B44FC" w:rsidP="005D7E70">
            <w:pPr>
              <w:pStyle w:val="TableText"/>
              <w:keepLines/>
              <w:widowControl w:val="0"/>
              <w:jc w:val="center"/>
              <w:rPr>
                <w:b/>
                <w:i/>
                <w:iCs/>
              </w:rPr>
            </w:pPr>
          </w:p>
        </w:tc>
        <w:tc>
          <w:tcPr>
            <w:tcW w:w="767" w:type="pct"/>
          </w:tcPr>
          <w:p w:rsidR="004B44FC" w:rsidRPr="003253E7" w:rsidRDefault="004B44FC" w:rsidP="005D7E70">
            <w:pPr>
              <w:pStyle w:val="TableText"/>
              <w:keepLines/>
              <w:widowControl w:val="0"/>
              <w:jc w:val="center"/>
              <w:rPr>
                <w:b/>
                <w:i/>
                <w:iCs/>
              </w:rPr>
            </w:pPr>
          </w:p>
        </w:tc>
      </w:tr>
      <w:tr w:rsidR="004B44FC" w:rsidRPr="003253E7" w:rsidTr="0014701D">
        <w:trPr>
          <w:cantSplit/>
        </w:trPr>
        <w:tc>
          <w:tcPr>
            <w:tcW w:w="2438" w:type="pct"/>
          </w:tcPr>
          <w:p w:rsidR="004B44FC" w:rsidRPr="003253E7" w:rsidRDefault="004B44FC" w:rsidP="001E76C3">
            <w:pPr>
              <w:pStyle w:val="TableText"/>
              <w:keepLines/>
              <w:widowControl w:val="0"/>
              <w:rPr>
                <w:bCs w:val="0"/>
              </w:rPr>
            </w:pPr>
            <w:r w:rsidRPr="003253E7">
              <w:rPr>
                <w:bCs w:val="0"/>
              </w:rPr>
              <w:t>54 years (</w:t>
            </w:r>
            <w:r w:rsidR="001E76C3">
              <w:rPr>
                <w:bCs w:val="0"/>
              </w:rPr>
              <w:t>median</w:t>
            </w:r>
            <w:r w:rsidR="001E76C3" w:rsidRPr="003253E7">
              <w:rPr>
                <w:bCs w:val="0"/>
              </w:rPr>
              <w:t xml:space="preserve"> </w:t>
            </w:r>
            <w:r w:rsidRPr="003253E7">
              <w:rPr>
                <w:bCs w:val="0"/>
              </w:rPr>
              <w:t xml:space="preserve">age, </w:t>
            </w:r>
            <w:r w:rsidR="00584F84" w:rsidRPr="00584F84">
              <w:rPr>
                <w:bCs w:val="0"/>
              </w:rPr>
              <w:t>Chua 2020</w:t>
            </w:r>
            <w:r w:rsidRPr="003253E7">
              <w:rPr>
                <w:bCs w:val="0"/>
              </w:rPr>
              <w:t xml:space="preserve">) </w:t>
            </w:r>
          </w:p>
        </w:tc>
        <w:tc>
          <w:tcPr>
            <w:tcW w:w="859" w:type="pct"/>
          </w:tcPr>
          <w:p w:rsidR="004B44FC" w:rsidRPr="00DD7357" w:rsidRDefault="00DD7357" w:rsidP="005D7E70">
            <w:pPr>
              <w:pStyle w:val="TableText"/>
              <w:keepLines/>
              <w:widowControl w:val="0"/>
              <w:jc w:val="center"/>
              <w:rPr>
                <w:bCs w:val="0"/>
                <w:highlight w:val="black"/>
              </w:rPr>
            </w:pPr>
            <w:r>
              <w:rPr>
                <w:bCs w:val="0"/>
                <w:noProof/>
                <w:color w:val="000000"/>
                <w:highlight w:val="black"/>
              </w:rPr>
              <w:t>'''''''''''''''''</w:t>
            </w:r>
          </w:p>
        </w:tc>
        <w:tc>
          <w:tcPr>
            <w:tcW w:w="936" w:type="pct"/>
          </w:tcPr>
          <w:p w:rsidR="004B44FC" w:rsidRPr="007672C8" w:rsidRDefault="004B44FC" w:rsidP="005D7E70">
            <w:pPr>
              <w:pStyle w:val="TableText"/>
              <w:keepLines/>
              <w:widowControl w:val="0"/>
              <w:jc w:val="center"/>
              <w:rPr>
                <w:bCs w:val="0"/>
              </w:rPr>
            </w:pPr>
            <w:r w:rsidRPr="007672C8">
              <w:rPr>
                <w:bCs w:val="0"/>
              </w:rPr>
              <w:t>1.15</w:t>
            </w:r>
          </w:p>
        </w:tc>
        <w:tc>
          <w:tcPr>
            <w:tcW w:w="767" w:type="pct"/>
          </w:tcPr>
          <w:p w:rsidR="004B44FC" w:rsidRPr="00DD7357" w:rsidRDefault="00DD7357" w:rsidP="005D7E70">
            <w:pPr>
              <w:pStyle w:val="TableText"/>
              <w:keepLines/>
              <w:widowControl w:val="0"/>
              <w:jc w:val="center"/>
              <w:rPr>
                <w:bCs w:val="0"/>
              </w:rPr>
            </w:pPr>
            <w:r>
              <w:rPr>
                <w:bCs w:val="0"/>
                <w:noProof/>
                <w:color w:val="000000"/>
                <w:highlight w:val="black"/>
              </w:rPr>
              <w:t>''''''''''''''''''</w:t>
            </w:r>
            <w:r w:rsidR="0055341D">
              <w:rPr>
                <w:bCs w:val="0"/>
                <w:iCs/>
                <w:vertAlign w:val="superscript"/>
              </w:rPr>
              <w:t>1</w:t>
            </w:r>
          </w:p>
        </w:tc>
      </w:tr>
      <w:tr w:rsidR="004B44FC" w:rsidRPr="003253E7" w:rsidTr="0014701D">
        <w:trPr>
          <w:cantSplit/>
        </w:trPr>
        <w:tc>
          <w:tcPr>
            <w:tcW w:w="2438" w:type="pct"/>
          </w:tcPr>
          <w:p w:rsidR="004B44FC" w:rsidRPr="003253E7" w:rsidRDefault="004B44FC" w:rsidP="005D7E70">
            <w:pPr>
              <w:pStyle w:val="TableText"/>
              <w:keepLines/>
              <w:widowControl w:val="0"/>
              <w:rPr>
                <w:bCs w:val="0"/>
              </w:rPr>
            </w:pPr>
            <w:r w:rsidRPr="003253E7">
              <w:rPr>
                <w:bCs w:val="0"/>
              </w:rPr>
              <w:t xml:space="preserve">65 years (mean age, AIHW 2020) </w:t>
            </w:r>
          </w:p>
        </w:tc>
        <w:tc>
          <w:tcPr>
            <w:tcW w:w="859" w:type="pct"/>
          </w:tcPr>
          <w:p w:rsidR="004B44FC" w:rsidRPr="00DD7357" w:rsidRDefault="00DD7357" w:rsidP="005D7E70">
            <w:pPr>
              <w:pStyle w:val="TableText"/>
              <w:keepLines/>
              <w:widowControl w:val="0"/>
              <w:jc w:val="center"/>
              <w:rPr>
                <w:bCs w:val="0"/>
                <w:highlight w:val="black"/>
              </w:rPr>
            </w:pPr>
            <w:r>
              <w:rPr>
                <w:bCs w:val="0"/>
                <w:noProof/>
                <w:color w:val="000000"/>
                <w:highlight w:val="black"/>
              </w:rPr>
              <w:t>''''''''''''''''''''</w:t>
            </w:r>
          </w:p>
        </w:tc>
        <w:tc>
          <w:tcPr>
            <w:tcW w:w="936" w:type="pct"/>
          </w:tcPr>
          <w:p w:rsidR="004B44FC" w:rsidRPr="007672C8" w:rsidRDefault="004B44FC" w:rsidP="005D7E70">
            <w:pPr>
              <w:pStyle w:val="TableText"/>
              <w:keepLines/>
              <w:widowControl w:val="0"/>
              <w:jc w:val="center"/>
              <w:rPr>
                <w:bCs w:val="0"/>
              </w:rPr>
            </w:pPr>
            <w:r w:rsidRPr="007672C8">
              <w:rPr>
                <w:bCs w:val="0"/>
              </w:rPr>
              <w:t>0.91</w:t>
            </w:r>
          </w:p>
        </w:tc>
        <w:tc>
          <w:tcPr>
            <w:tcW w:w="767" w:type="pct"/>
          </w:tcPr>
          <w:p w:rsidR="004B44FC" w:rsidRPr="00DD7357" w:rsidRDefault="00DD7357" w:rsidP="005D7E70">
            <w:pPr>
              <w:pStyle w:val="TableText"/>
              <w:keepLines/>
              <w:widowControl w:val="0"/>
              <w:jc w:val="center"/>
              <w:rPr>
                <w:bCs w:val="0"/>
              </w:rPr>
            </w:pPr>
            <w:r>
              <w:rPr>
                <w:bCs w:val="0"/>
                <w:noProof/>
                <w:color w:val="000000"/>
                <w:highlight w:val="black"/>
              </w:rPr>
              <w:t>'''''''''''''''''</w:t>
            </w:r>
            <w:r w:rsidR="0055341D">
              <w:rPr>
                <w:bCs w:val="0"/>
                <w:iCs/>
                <w:vertAlign w:val="superscript"/>
              </w:rPr>
              <w:t>2</w:t>
            </w:r>
          </w:p>
        </w:tc>
      </w:tr>
      <w:tr w:rsidR="004B44FC" w:rsidRPr="003253E7" w:rsidTr="00613ACB">
        <w:trPr>
          <w:cantSplit/>
        </w:trPr>
        <w:tc>
          <w:tcPr>
            <w:tcW w:w="5000" w:type="pct"/>
            <w:gridSpan w:val="4"/>
          </w:tcPr>
          <w:p w:rsidR="004B44FC" w:rsidRPr="007672C8" w:rsidRDefault="004B44FC" w:rsidP="005D7E70">
            <w:pPr>
              <w:pStyle w:val="TableText"/>
              <w:keepLines/>
              <w:widowControl w:val="0"/>
              <w:rPr>
                <w:bCs w:val="0"/>
                <w:i/>
                <w:iCs/>
              </w:rPr>
            </w:pPr>
            <w:r w:rsidRPr="007672C8">
              <w:rPr>
                <w:b/>
              </w:rPr>
              <w:t>HSCT rates (base case ADMIRAL trial rates of 25.5% gilteritinib, 15.3% salvage chemotherapy)</w:t>
            </w:r>
          </w:p>
        </w:tc>
      </w:tr>
      <w:tr w:rsidR="004B44FC" w:rsidRPr="003253E7" w:rsidTr="0014701D">
        <w:trPr>
          <w:cantSplit/>
        </w:trPr>
        <w:tc>
          <w:tcPr>
            <w:tcW w:w="2438" w:type="pct"/>
          </w:tcPr>
          <w:p w:rsidR="004B44FC" w:rsidRPr="003253E7" w:rsidRDefault="004B44FC" w:rsidP="005D7E70">
            <w:pPr>
              <w:pStyle w:val="TableText"/>
              <w:keepLines/>
              <w:widowControl w:val="0"/>
              <w:rPr>
                <w:bCs w:val="0"/>
              </w:rPr>
            </w:pPr>
            <w:r w:rsidRPr="003253E7">
              <w:rPr>
                <w:bCs w:val="0"/>
              </w:rPr>
              <w:t>Based on expert opinion, 60% of patients with composite complete remission receive HSCT (gilteritinib 32.6%, salvage chemotherapy 13.1%)</w:t>
            </w:r>
            <w:r w:rsidR="007E1B7A">
              <w:rPr>
                <w:bCs w:val="0"/>
                <w:vertAlign w:val="superscript"/>
              </w:rPr>
              <w:t>b</w:t>
            </w:r>
          </w:p>
        </w:tc>
        <w:tc>
          <w:tcPr>
            <w:tcW w:w="859" w:type="pct"/>
            <w:vAlign w:val="center"/>
          </w:tcPr>
          <w:p w:rsidR="004B44FC" w:rsidRPr="00DD7357" w:rsidRDefault="00DD7357" w:rsidP="005D7E70">
            <w:pPr>
              <w:pStyle w:val="TableText"/>
              <w:keepLines/>
              <w:widowControl w:val="0"/>
              <w:jc w:val="center"/>
              <w:rPr>
                <w:bCs w:val="0"/>
                <w:highlight w:val="black"/>
              </w:rPr>
            </w:pPr>
            <w:r>
              <w:rPr>
                <w:bCs w:val="0"/>
                <w:noProof/>
                <w:color w:val="000000"/>
                <w:highlight w:val="black"/>
              </w:rPr>
              <w:t>''''''''''''''''''''</w:t>
            </w:r>
          </w:p>
        </w:tc>
        <w:tc>
          <w:tcPr>
            <w:tcW w:w="936" w:type="pct"/>
            <w:vAlign w:val="center"/>
          </w:tcPr>
          <w:p w:rsidR="004B44FC" w:rsidRPr="007672C8" w:rsidRDefault="004B44FC" w:rsidP="005D7E70">
            <w:pPr>
              <w:pStyle w:val="TableText"/>
              <w:keepLines/>
              <w:widowControl w:val="0"/>
              <w:jc w:val="center"/>
              <w:rPr>
                <w:bCs w:val="0"/>
              </w:rPr>
            </w:pPr>
            <w:r w:rsidRPr="007672C8">
              <w:rPr>
                <w:bCs w:val="0"/>
              </w:rPr>
              <w:t>1.46</w:t>
            </w:r>
          </w:p>
        </w:tc>
        <w:tc>
          <w:tcPr>
            <w:tcW w:w="767" w:type="pct"/>
            <w:vAlign w:val="center"/>
          </w:tcPr>
          <w:p w:rsidR="004B44FC" w:rsidRPr="00DD7357" w:rsidRDefault="00DD7357" w:rsidP="005D7E70">
            <w:pPr>
              <w:pStyle w:val="TableText"/>
              <w:keepLines/>
              <w:widowControl w:val="0"/>
              <w:jc w:val="center"/>
              <w:rPr>
                <w:bCs w:val="0"/>
              </w:rPr>
            </w:pPr>
            <w:r>
              <w:rPr>
                <w:bCs w:val="0"/>
                <w:noProof/>
                <w:color w:val="000000"/>
                <w:highlight w:val="black"/>
              </w:rPr>
              <w:t>''''''''''''''''''''</w:t>
            </w:r>
            <w:r w:rsidR="0055341D">
              <w:rPr>
                <w:bCs w:val="0"/>
                <w:iCs/>
                <w:vertAlign w:val="superscript"/>
              </w:rPr>
              <w:t>3</w:t>
            </w:r>
          </w:p>
        </w:tc>
      </w:tr>
      <w:tr w:rsidR="004B44FC" w:rsidRPr="003253E7" w:rsidTr="0014701D">
        <w:trPr>
          <w:cantSplit/>
        </w:trPr>
        <w:tc>
          <w:tcPr>
            <w:tcW w:w="2438" w:type="pct"/>
          </w:tcPr>
          <w:p w:rsidR="004B44FC" w:rsidRPr="003253E7" w:rsidRDefault="004B44FC" w:rsidP="005D7E70">
            <w:pPr>
              <w:pStyle w:val="TableText"/>
              <w:keepLines/>
              <w:widowControl w:val="0"/>
              <w:rPr>
                <w:bCs w:val="0"/>
              </w:rPr>
            </w:pPr>
            <w:r w:rsidRPr="003253E7">
              <w:rPr>
                <w:bCs w:val="0"/>
              </w:rPr>
              <w:t>HSCT rates, calculated based on the ALLG registry study (gilteritinib 51.7%, salvage chemotherapy 31%)</w:t>
            </w:r>
          </w:p>
        </w:tc>
        <w:tc>
          <w:tcPr>
            <w:tcW w:w="859" w:type="pct"/>
            <w:vAlign w:val="center"/>
          </w:tcPr>
          <w:p w:rsidR="004B44FC" w:rsidRPr="00DD7357" w:rsidRDefault="00DD7357" w:rsidP="005D7E70">
            <w:pPr>
              <w:pStyle w:val="TableText"/>
              <w:keepLines/>
              <w:widowControl w:val="0"/>
              <w:jc w:val="center"/>
              <w:rPr>
                <w:bCs w:val="0"/>
                <w:highlight w:val="black"/>
              </w:rPr>
            </w:pPr>
            <w:r>
              <w:rPr>
                <w:bCs w:val="0"/>
                <w:noProof/>
                <w:color w:val="000000"/>
                <w:highlight w:val="black"/>
              </w:rPr>
              <w:t>''''''''''''''''''</w:t>
            </w:r>
          </w:p>
        </w:tc>
        <w:tc>
          <w:tcPr>
            <w:tcW w:w="936" w:type="pct"/>
            <w:vAlign w:val="center"/>
          </w:tcPr>
          <w:p w:rsidR="004B44FC" w:rsidRPr="007672C8" w:rsidRDefault="004B44FC" w:rsidP="005D7E70">
            <w:pPr>
              <w:pStyle w:val="TableText"/>
              <w:keepLines/>
              <w:widowControl w:val="0"/>
              <w:jc w:val="center"/>
              <w:rPr>
                <w:bCs w:val="0"/>
              </w:rPr>
            </w:pPr>
            <w:r w:rsidRPr="007672C8">
              <w:rPr>
                <w:bCs w:val="0"/>
              </w:rPr>
              <w:t>1.58</w:t>
            </w:r>
          </w:p>
        </w:tc>
        <w:tc>
          <w:tcPr>
            <w:tcW w:w="767" w:type="pct"/>
            <w:vAlign w:val="center"/>
          </w:tcPr>
          <w:p w:rsidR="004B44FC" w:rsidRPr="00DD7357" w:rsidRDefault="00DD7357" w:rsidP="005D7E70">
            <w:pPr>
              <w:pStyle w:val="TableText"/>
              <w:keepLines/>
              <w:widowControl w:val="0"/>
              <w:jc w:val="center"/>
              <w:rPr>
                <w:bCs w:val="0"/>
              </w:rPr>
            </w:pPr>
            <w:r>
              <w:rPr>
                <w:bCs w:val="0"/>
                <w:noProof/>
                <w:color w:val="000000"/>
                <w:highlight w:val="black"/>
              </w:rPr>
              <w:t>''''''''''''''''''''</w:t>
            </w:r>
            <w:r w:rsidR="0055341D">
              <w:rPr>
                <w:bCs w:val="0"/>
                <w:iCs/>
                <w:vertAlign w:val="superscript"/>
              </w:rPr>
              <w:t>3</w:t>
            </w:r>
          </w:p>
        </w:tc>
      </w:tr>
      <w:tr w:rsidR="004B44FC" w:rsidRPr="003253E7" w:rsidTr="00613ACB">
        <w:trPr>
          <w:cantSplit/>
        </w:trPr>
        <w:tc>
          <w:tcPr>
            <w:tcW w:w="5000" w:type="pct"/>
            <w:gridSpan w:val="4"/>
          </w:tcPr>
          <w:p w:rsidR="004B44FC" w:rsidRPr="007672C8" w:rsidRDefault="004B44FC" w:rsidP="001E2B70">
            <w:pPr>
              <w:pStyle w:val="TableText"/>
              <w:keepNext w:val="0"/>
              <w:widowControl w:val="0"/>
              <w:rPr>
                <w:b/>
              </w:rPr>
            </w:pPr>
            <w:r w:rsidRPr="007672C8">
              <w:rPr>
                <w:b/>
              </w:rPr>
              <w:t>Post-HSCT maintenance therapy with gilteritinib (base case 63% receive gilteritinib, gilteritinib drug costs based on 2.00 x 28-day cycles, with modelled survival benefit based on hazard ratio of 0.69)</w:t>
            </w:r>
          </w:p>
        </w:tc>
      </w:tr>
      <w:tr w:rsidR="004B44FC" w:rsidRPr="003253E7" w:rsidTr="0014701D">
        <w:trPr>
          <w:cantSplit/>
        </w:trPr>
        <w:tc>
          <w:tcPr>
            <w:tcW w:w="2438" w:type="pct"/>
          </w:tcPr>
          <w:p w:rsidR="004B44FC" w:rsidRPr="003253E7" w:rsidRDefault="004B44FC" w:rsidP="001E2B70">
            <w:pPr>
              <w:pStyle w:val="TableText"/>
              <w:keepNext w:val="0"/>
              <w:widowControl w:val="0"/>
              <w:rPr>
                <w:bCs w:val="0"/>
              </w:rPr>
            </w:pPr>
            <w:r w:rsidRPr="003253E7">
              <w:rPr>
                <w:bCs w:val="0"/>
              </w:rPr>
              <w:t>No post-HSCT maintenance therapy drug costs, no additional treatment benefit</w:t>
            </w:r>
          </w:p>
        </w:tc>
        <w:tc>
          <w:tcPr>
            <w:tcW w:w="859" w:type="pct"/>
            <w:vAlign w:val="center"/>
          </w:tcPr>
          <w:p w:rsidR="004B44FC" w:rsidRPr="00DD7357" w:rsidRDefault="00DD7357" w:rsidP="001E2B70">
            <w:pPr>
              <w:pStyle w:val="TableText"/>
              <w:keepNext w:val="0"/>
              <w:widowControl w:val="0"/>
              <w:jc w:val="center"/>
              <w:rPr>
                <w:bCs w:val="0"/>
                <w:highlight w:val="black"/>
              </w:rPr>
            </w:pPr>
            <w:r>
              <w:rPr>
                <w:bCs w:val="0"/>
                <w:noProof/>
                <w:color w:val="000000"/>
                <w:highlight w:val="black"/>
              </w:rPr>
              <w:t>''''''''''''''''''</w:t>
            </w:r>
          </w:p>
        </w:tc>
        <w:tc>
          <w:tcPr>
            <w:tcW w:w="936" w:type="pct"/>
            <w:vAlign w:val="center"/>
          </w:tcPr>
          <w:p w:rsidR="004B44FC" w:rsidRPr="007672C8" w:rsidRDefault="004B44FC" w:rsidP="001E2B70">
            <w:pPr>
              <w:pStyle w:val="TableText"/>
              <w:keepNext w:val="0"/>
              <w:widowControl w:val="0"/>
              <w:jc w:val="center"/>
              <w:rPr>
                <w:bCs w:val="0"/>
              </w:rPr>
            </w:pPr>
            <w:r w:rsidRPr="007672C8">
              <w:rPr>
                <w:bCs w:val="0"/>
              </w:rPr>
              <w:t>0.82</w:t>
            </w:r>
          </w:p>
        </w:tc>
        <w:tc>
          <w:tcPr>
            <w:tcW w:w="767" w:type="pct"/>
            <w:vAlign w:val="center"/>
          </w:tcPr>
          <w:p w:rsidR="004B44FC" w:rsidRPr="00DD7357" w:rsidRDefault="00DD7357" w:rsidP="001E2B70">
            <w:pPr>
              <w:pStyle w:val="TableText"/>
              <w:keepNext w:val="0"/>
              <w:widowControl w:val="0"/>
              <w:jc w:val="center"/>
              <w:rPr>
                <w:bCs w:val="0"/>
              </w:rPr>
            </w:pPr>
            <w:r>
              <w:rPr>
                <w:bCs w:val="0"/>
                <w:noProof/>
                <w:color w:val="000000"/>
                <w:highlight w:val="black"/>
              </w:rPr>
              <w:t>''''''''''''''''''</w:t>
            </w:r>
            <w:r w:rsidR="0055341D">
              <w:rPr>
                <w:bCs w:val="0"/>
                <w:iCs/>
                <w:vertAlign w:val="superscript"/>
              </w:rPr>
              <w:t>3</w:t>
            </w:r>
          </w:p>
        </w:tc>
      </w:tr>
      <w:tr w:rsidR="004B44FC" w:rsidRPr="0091620B" w:rsidTr="0014701D">
        <w:trPr>
          <w:cantSplit/>
        </w:trPr>
        <w:tc>
          <w:tcPr>
            <w:tcW w:w="2438" w:type="pct"/>
          </w:tcPr>
          <w:p w:rsidR="004B44FC" w:rsidRPr="00E51DC4" w:rsidRDefault="004B44FC" w:rsidP="001E2B70">
            <w:pPr>
              <w:pStyle w:val="TableText"/>
              <w:keepNext w:val="0"/>
              <w:widowControl w:val="0"/>
              <w:rPr>
                <w:bCs w:val="0"/>
                <w:iCs/>
                <w:vertAlign w:val="superscript"/>
              </w:rPr>
            </w:pPr>
            <w:r w:rsidRPr="00E51DC4">
              <w:rPr>
                <w:bCs w:val="0"/>
                <w:iCs/>
              </w:rPr>
              <w:t>Include post-HSCT maintenance therapy drug costs without additional treatment benefit</w:t>
            </w:r>
            <w:r w:rsidR="00846130" w:rsidRPr="00E51DC4">
              <w:rPr>
                <w:bCs w:val="0"/>
                <w:iCs/>
                <w:vertAlign w:val="superscript"/>
              </w:rPr>
              <w:t>a</w:t>
            </w:r>
          </w:p>
        </w:tc>
        <w:tc>
          <w:tcPr>
            <w:tcW w:w="859" w:type="pct"/>
            <w:vAlign w:val="center"/>
          </w:tcPr>
          <w:p w:rsidR="004B44FC" w:rsidRPr="00DD7357" w:rsidRDefault="00DD7357" w:rsidP="001E2B70">
            <w:pPr>
              <w:pStyle w:val="TableText"/>
              <w:keepNext w:val="0"/>
              <w:widowControl w:val="0"/>
              <w:jc w:val="center"/>
              <w:rPr>
                <w:bCs w:val="0"/>
                <w:iCs/>
                <w:highlight w:val="black"/>
              </w:rPr>
            </w:pPr>
            <w:r>
              <w:rPr>
                <w:bCs w:val="0"/>
                <w:iCs/>
                <w:noProof/>
                <w:color w:val="000000"/>
                <w:highlight w:val="black"/>
              </w:rPr>
              <w:t>'''''''''''''''''</w:t>
            </w:r>
          </w:p>
        </w:tc>
        <w:tc>
          <w:tcPr>
            <w:tcW w:w="936" w:type="pct"/>
            <w:vAlign w:val="center"/>
          </w:tcPr>
          <w:p w:rsidR="004B44FC" w:rsidRPr="007672C8" w:rsidRDefault="004B44FC" w:rsidP="001E2B70">
            <w:pPr>
              <w:pStyle w:val="TableText"/>
              <w:keepNext w:val="0"/>
              <w:widowControl w:val="0"/>
              <w:jc w:val="center"/>
              <w:rPr>
                <w:bCs w:val="0"/>
                <w:iCs/>
              </w:rPr>
            </w:pPr>
            <w:r w:rsidRPr="007672C8">
              <w:rPr>
                <w:bCs w:val="0"/>
                <w:iCs/>
              </w:rPr>
              <w:t>0.82</w:t>
            </w:r>
          </w:p>
        </w:tc>
        <w:tc>
          <w:tcPr>
            <w:tcW w:w="767" w:type="pct"/>
            <w:vAlign w:val="center"/>
          </w:tcPr>
          <w:p w:rsidR="004B44FC" w:rsidRPr="00DD7357" w:rsidRDefault="00DD7357" w:rsidP="001E2B70">
            <w:pPr>
              <w:pStyle w:val="TableText"/>
              <w:keepNext w:val="0"/>
              <w:widowControl w:val="0"/>
              <w:jc w:val="center"/>
              <w:rPr>
                <w:bCs w:val="0"/>
                <w:iCs/>
              </w:rPr>
            </w:pPr>
            <w:r>
              <w:rPr>
                <w:bCs w:val="0"/>
                <w:iCs/>
                <w:noProof/>
                <w:color w:val="000000"/>
                <w:highlight w:val="black"/>
              </w:rPr>
              <w:t>'''''''''''''''''''''</w:t>
            </w:r>
            <w:r w:rsidR="0055341D">
              <w:rPr>
                <w:bCs w:val="0"/>
                <w:iCs/>
                <w:vertAlign w:val="superscript"/>
              </w:rPr>
              <w:t>2</w:t>
            </w:r>
          </w:p>
        </w:tc>
      </w:tr>
      <w:tr w:rsidR="004B44FC" w:rsidRPr="003253E7" w:rsidTr="00613ACB">
        <w:trPr>
          <w:cantSplit/>
        </w:trPr>
        <w:tc>
          <w:tcPr>
            <w:tcW w:w="5000" w:type="pct"/>
            <w:gridSpan w:val="4"/>
          </w:tcPr>
          <w:p w:rsidR="004B44FC" w:rsidRPr="007672C8" w:rsidRDefault="004B44FC" w:rsidP="001E2B70">
            <w:pPr>
              <w:pStyle w:val="TableText"/>
              <w:keepNext w:val="0"/>
              <w:widowControl w:val="0"/>
              <w:rPr>
                <w:b/>
              </w:rPr>
            </w:pPr>
            <w:r w:rsidRPr="007672C8">
              <w:rPr>
                <w:b/>
              </w:rPr>
              <w:t>Cure assumption (base case 2 years)</w:t>
            </w:r>
          </w:p>
        </w:tc>
      </w:tr>
      <w:tr w:rsidR="004B44FC" w:rsidRPr="0091620B" w:rsidTr="0014701D">
        <w:trPr>
          <w:cantSplit/>
        </w:trPr>
        <w:tc>
          <w:tcPr>
            <w:tcW w:w="2438" w:type="pct"/>
          </w:tcPr>
          <w:p w:rsidR="004B44FC" w:rsidRPr="00E51DC4" w:rsidRDefault="004B44FC" w:rsidP="001E2B70">
            <w:pPr>
              <w:pStyle w:val="TableText"/>
              <w:keepNext w:val="0"/>
              <w:widowControl w:val="0"/>
              <w:rPr>
                <w:bCs w:val="0"/>
                <w:iCs/>
                <w:vertAlign w:val="superscript"/>
              </w:rPr>
            </w:pPr>
            <w:r w:rsidRPr="00E51DC4">
              <w:rPr>
                <w:bCs w:val="0"/>
                <w:iCs/>
              </w:rPr>
              <w:t>No cure assumption</w:t>
            </w:r>
            <w:r w:rsidR="00846130" w:rsidRPr="00E51DC4">
              <w:rPr>
                <w:bCs w:val="0"/>
                <w:iCs/>
                <w:vertAlign w:val="superscript"/>
              </w:rPr>
              <w:t>a</w:t>
            </w:r>
          </w:p>
        </w:tc>
        <w:tc>
          <w:tcPr>
            <w:tcW w:w="859" w:type="pct"/>
          </w:tcPr>
          <w:p w:rsidR="004B44FC" w:rsidRPr="00DD7357" w:rsidRDefault="00DD7357" w:rsidP="001E2B70">
            <w:pPr>
              <w:pStyle w:val="TableText"/>
              <w:keepNext w:val="0"/>
              <w:widowControl w:val="0"/>
              <w:jc w:val="center"/>
              <w:rPr>
                <w:bCs w:val="0"/>
                <w:iCs/>
                <w:highlight w:val="black"/>
              </w:rPr>
            </w:pPr>
            <w:r>
              <w:rPr>
                <w:bCs w:val="0"/>
                <w:iCs/>
                <w:noProof/>
                <w:color w:val="000000"/>
                <w:highlight w:val="black"/>
              </w:rPr>
              <w:t>''''''''''''''''''''</w:t>
            </w:r>
          </w:p>
        </w:tc>
        <w:tc>
          <w:tcPr>
            <w:tcW w:w="936" w:type="pct"/>
          </w:tcPr>
          <w:p w:rsidR="004B44FC" w:rsidRPr="007672C8" w:rsidRDefault="004B44FC" w:rsidP="001E2B70">
            <w:pPr>
              <w:pStyle w:val="TableText"/>
              <w:keepNext w:val="0"/>
              <w:widowControl w:val="0"/>
              <w:jc w:val="center"/>
              <w:rPr>
                <w:bCs w:val="0"/>
                <w:iCs/>
              </w:rPr>
            </w:pPr>
            <w:r w:rsidRPr="007672C8">
              <w:rPr>
                <w:bCs w:val="0"/>
                <w:iCs/>
              </w:rPr>
              <w:t>0.74</w:t>
            </w:r>
          </w:p>
        </w:tc>
        <w:tc>
          <w:tcPr>
            <w:tcW w:w="767" w:type="pct"/>
          </w:tcPr>
          <w:p w:rsidR="004B44FC" w:rsidRPr="00DD7357" w:rsidRDefault="00DD7357" w:rsidP="001E2B70">
            <w:pPr>
              <w:pStyle w:val="TableText"/>
              <w:keepNext w:val="0"/>
              <w:widowControl w:val="0"/>
              <w:jc w:val="center"/>
              <w:rPr>
                <w:bCs w:val="0"/>
                <w:iCs/>
              </w:rPr>
            </w:pPr>
            <w:r>
              <w:rPr>
                <w:bCs w:val="0"/>
                <w:iCs/>
                <w:noProof/>
                <w:color w:val="000000"/>
                <w:highlight w:val="black"/>
              </w:rPr>
              <w:t>''''''''''''''''''''</w:t>
            </w:r>
            <w:r w:rsidR="0055341D">
              <w:rPr>
                <w:bCs w:val="0"/>
                <w:iCs/>
                <w:vertAlign w:val="superscript"/>
              </w:rPr>
              <w:t>4</w:t>
            </w:r>
          </w:p>
        </w:tc>
      </w:tr>
      <w:tr w:rsidR="004B44FC" w:rsidRPr="0091620B" w:rsidTr="0014701D">
        <w:trPr>
          <w:cantSplit/>
        </w:trPr>
        <w:tc>
          <w:tcPr>
            <w:tcW w:w="2438" w:type="pct"/>
          </w:tcPr>
          <w:p w:rsidR="004B44FC" w:rsidRPr="00E51DC4" w:rsidRDefault="004B44FC" w:rsidP="001E2B70">
            <w:pPr>
              <w:pStyle w:val="TableText"/>
              <w:keepNext w:val="0"/>
              <w:widowControl w:val="0"/>
              <w:rPr>
                <w:bCs w:val="0"/>
                <w:vertAlign w:val="superscript"/>
              </w:rPr>
            </w:pPr>
            <w:r w:rsidRPr="0091620B">
              <w:rPr>
                <w:bCs w:val="0"/>
              </w:rPr>
              <w:t>3 years</w:t>
            </w:r>
            <w:r w:rsidR="00846130" w:rsidRPr="0091620B">
              <w:rPr>
                <w:bCs w:val="0"/>
                <w:vertAlign w:val="superscript"/>
              </w:rPr>
              <w:t>a</w:t>
            </w:r>
          </w:p>
        </w:tc>
        <w:tc>
          <w:tcPr>
            <w:tcW w:w="859" w:type="pct"/>
          </w:tcPr>
          <w:p w:rsidR="004B44FC" w:rsidRPr="00DD7357" w:rsidRDefault="00DD7357" w:rsidP="001E2B70">
            <w:pPr>
              <w:pStyle w:val="TableText"/>
              <w:keepNext w:val="0"/>
              <w:widowControl w:val="0"/>
              <w:jc w:val="center"/>
              <w:rPr>
                <w:bCs w:val="0"/>
                <w:highlight w:val="black"/>
              </w:rPr>
            </w:pPr>
            <w:r>
              <w:rPr>
                <w:bCs w:val="0"/>
                <w:noProof/>
                <w:color w:val="000000"/>
                <w:highlight w:val="black"/>
              </w:rPr>
              <w:t>''''''''''''''''''''</w:t>
            </w:r>
          </w:p>
        </w:tc>
        <w:tc>
          <w:tcPr>
            <w:tcW w:w="936" w:type="pct"/>
          </w:tcPr>
          <w:p w:rsidR="004B44FC" w:rsidRPr="007672C8" w:rsidRDefault="004B44FC" w:rsidP="001E2B70">
            <w:pPr>
              <w:pStyle w:val="TableText"/>
              <w:keepNext w:val="0"/>
              <w:widowControl w:val="0"/>
              <w:jc w:val="center"/>
              <w:rPr>
                <w:bCs w:val="0"/>
              </w:rPr>
            </w:pPr>
            <w:r w:rsidRPr="007672C8">
              <w:rPr>
                <w:bCs w:val="0"/>
              </w:rPr>
              <w:t>0.88</w:t>
            </w:r>
          </w:p>
        </w:tc>
        <w:tc>
          <w:tcPr>
            <w:tcW w:w="767" w:type="pct"/>
          </w:tcPr>
          <w:p w:rsidR="004B44FC" w:rsidRPr="00DD7357" w:rsidRDefault="00DD7357" w:rsidP="001E2B70">
            <w:pPr>
              <w:pStyle w:val="TableText"/>
              <w:keepNext w:val="0"/>
              <w:widowControl w:val="0"/>
              <w:jc w:val="center"/>
              <w:rPr>
                <w:bCs w:val="0"/>
              </w:rPr>
            </w:pPr>
            <w:r>
              <w:rPr>
                <w:bCs w:val="0"/>
                <w:noProof/>
                <w:color w:val="000000"/>
                <w:highlight w:val="black"/>
              </w:rPr>
              <w:t>'''''''''''''''''''''''</w:t>
            </w:r>
            <w:r w:rsidR="0055341D">
              <w:rPr>
                <w:bCs w:val="0"/>
                <w:iCs/>
                <w:vertAlign w:val="superscript"/>
              </w:rPr>
              <w:t>2</w:t>
            </w:r>
          </w:p>
        </w:tc>
      </w:tr>
      <w:tr w:rsidR="004B44FC" w:rsidRPr="0091620B" w:rsidTr="0014701D">
        <w:trPr>
          <w:cantSplit/>
        </w:trPr>
        <w:tc>
          <w:tcPr>
            <w:tcW w:w="2438" w:type="pct"/>
          </w:tcPr>
          <w:p w:rsidR="004B44FC" w:rsidRPr="00E51DC4" w:rsidRDefault="004B44FC" w:rsidP="001E2B70">
            <w:pPr>
              <w:pStyle w:val="TableText"/>
              <w:keepNext w:val="0"/>
              <w:widowControl w:val="0"/>
              <w:rPr>
                <w:bCs w:val="0"/>
                <w:iCs/>
                <w:vertAlign w:val="superscript"/>
              </w:rPr>
            </w:pPr>
            <w:r w:rsidRPr="00E51DC4">
              <w:rPr>
                <w:bCs w:val="0"/>
                <w:iCs/>
              </w:rPr>
              <w:t>4 years</w:t>
            </w:r>
            <w:r w:rsidR="00846130" w:rsidRPr="00E51DC4">
              <w:rPr>
                <w:bCs w:val="0"/>
                <w:iCs/>
                <w:vertAlign w:val="superscript"/>
              </w:rPr>
              <w:t>a</w:t>
            </w:r>
          </w:p>
        </w:tc>
        <w:tc>
          <w:tcPr>
            <w:tcW w:w="859" w:type="pct"/>
          </w:tcPr>
          <w:p w:rsidR="004B44FC" w:rsidRPr="00DD7357" w:rsidRDefault="00DD7357" w:rsidP="001E2B70">
            <w:pPr>
              <w:pStyle w:val="TableText"/>
              <w:keepNext w:val="0"/>
              <w:widowControl w:val="0"/>
              <w:jc w:val="center"/>
              <w:rPr>
                <w:bCs w:val="0"/>
                <w:iCs/>
                <w:highlight w:val="black"/>
              </w:rPr>
            </w:pPr>
            <w:r>
              <w:rPr>
                <w:bCs w:val="0"/>
                <w:iCs/>
                <w:noProof/>
                <w:color w:val="000000"/>
                <w:highlight w:val="black"/>
              </w:rPr>
              <w:t>''''''''''''''''''''</w:t>
            </w:r>
          </w:p>
        </w:tc>
        <w:tc>
          <w:tcPr>
            <w:tcW w:w="936" w:type="pct"/>
          </w:tcPr>
          <w:p w:rsidR="004B44FC" w:rsidRPr="007672C8" w:rsidRDefault="004B44FC" w:rsidP="001E2B70">
            <w:pPr>
              <w:pStyle w:val="TableText"/>
              <w:keepNext w:val="0"/>
              <w:widowControl w:val="0"/>
              <w:jc w:val="center"/>
              <w:rPr>
                <w:bCs w:val="0"/>
                <w:iCs/>
              </w:rPr>
            </w:pPr>
            <w:r w:rsidRPr="007672C8">
              <w:rPr>
                <w:bCs w:val="0"/>
                <w:iCs/>
              </w:rPr>
              <w:t>0.80</w:t>
            </w:r>
          </w:p>
        </w:tc>
        <w:tc>
          <w:tcPr>
            <w:tcW w:w="767" w:type="pct"/>
          </w:tcPr>
          <w:p w:rsidR="004B44FC" w:rsidRPr="00DD7357" w:rsidRDefault="00DD7357" w:rsidP="001E2B70">
            <w:pPr>
              <w:pStyle w:val="TableText"/>
              <w:keepNext w:val="0"/>
              <w:widowControl w:val="0"/>
              <w:jc w:val="center"/>
              <w:rPr>
                <w:bCs w:val="0"/>
                <w:iCs/>
              </w:rPr>
            </w:pPr>
            <w:r>
              <w:rPr>
                <w:bCs w:val="0"/>
                <w:iCs/>
                <w:noProof/>
                <w:color w:val="000000"/>
                <w:highlight w:val="black"/>
              </w:rPr>
              <w:t>'''''''''''''''''''''''</w:t>
            </w:r>
            <w:r w:rsidR="0055341D">
              <w:rPr>
                <w:bCs w:val="0"/>
                <w:iCs/>
                <w:vertAlign w:val="superscript"/>
              </w:rPr>
              <w:t>2</w:t>
            </w:r>
          </w:p>
        </w:tc>
      </w:tr>
      <w:tr w:rsidR="004B44FC" w:rsidRPr="0091620B" w:rsidTr="0014701D">
        <w:trPr>
          <w:cantSplit/>
        </w:trPr>
        <w:tc>
          <w:tcPr>
            <w:tcW w:w="2438" w:type="pct"/>
          </w:tcPr>
          <w:p w:rsidR="004B44FC" w:rsidRPr="00E51DC4" w:rsidRDefault="004B44FC" w:rsidP="001E2B70">
            <w:pPr>
              <w:pStyle w:val="TableText"/>
              <w:keepNext w:val="0"/>
              <w:widowControl w:val="0"/>
              <w:rPr>
                <w:bCs w:val="0"/>
                <w:iCs/>
                <w:vertAlign w:val="superscript"/>
              </w:rPr>
            </w:pPr>
            <w:r w:rsidRPr="00E51DC4">
              <w:rPr>
                <w:bCs w:val="0"/>
                <w:iCs/>
              </w:rPr>
              <w:t>5 years</w:t>
            </w:r>
            <w:r w:rsidR="00846130" w:rsidRPr="00E51DC4">
              <w:rPr>
                <w:bCs w:val="0"/>
                <w:iCs/>
                <w:vertAlign w:val="superscript"/>
              </w:rPr>
              <w:t>a</w:t>
            </w:r>
          </w:p>
        </w:tc>
        <w:tc>
          <w:tcPr>
            <w:tcW w:w="859" w:type="pct"/>
          </w:tcPr>
          <w:p w:rsidR="004B44FC" w:rsidRPr="00DD7357" w:rsidRDefault="00DD7357" w:rsidP="001E2B70">
            <w:pPr>
              <w:pStyle w:val="TableText"/>
              <w:keepNext w:val="0"/>
              <w:widowControl w:val="0"/>
              <w:jc w:val="center"/>
              <w:rPr>
                <w:bCs w:val="0"/>
                <w:iCs/>
                <w:highlight w:val="black"/>
              </w:rPr>
            </w:pPr>
            <w:r>
              <w:rPr>
                <w:bCs w:val="0"/>
                <w:iCs/>
                <w:noProof/>
                <w:color w:val="000000"/>
                <w:highlight w:val="black"/>
              </w:rPr>
              <w:t>''''''''''''''''''</w:t>
            </w:r>
          </w:p>
        </w:tc>
        <w:tc>
          <w:tcPr>
            <w:tcW w:w="936" w:type="pct"/>
          </w:tcPr>
          <w:p w:rsidR="004B44FC" w:rsidRPr="007672C8" w:rsidRDefault="004B44FC" w:rsidP="001E2B70">
            <w:pPr>
              <w:pStyle w:val="TableText"/>
              <w:keepNext w:val="0"/>
              <w:widowControl w:val="0"/>
              <w:jc w:val="center"/>
              <w:rPr>
                <w:bCs w:val="0"/>
                <w:iCs/>
              </w:rPr>
            </w:pPr>
            <w:r w:rsidRPr="007672C8">
              <w:rPr>
                <w:bCs w:val="0"/>
                <w:iCs/>
              </w:rPr>
              <w:t>0.76</w:t>
            </w:r>
          </w:p>
        </w:tc>
        <w:tc>
          <w:tcPr>
            <w:tcW w:w="767" w:type="pct"/>
          </w:tcPr>
          <w:p w:rsidR="004B44FC" w:rsidRPr="00DD7357" w:rsidRDefault="00DD7357" w:rsidP="001E2B70">
            <w:pPr>
              <w:pStyle w:val="TableText"/>
              <w:keepNext w:val="0"/>
              <w:widowControl w:val="0"/>
              <w:jc w:val="center"/>
              <w:rPr>
                <w:bCs w:val="0"/>
                <w:iCs/>
              </w:rPr>
            </w:pPr>
            <w:r>
              <w:rPr>
                <w:bCs w:val="0"/>
                <w:iCs/>
                <w:noProof/>
                <w:color w:val="000000"/>
                <w:highlight w:val="black"/>
              </w:rPr>
              <w:t>'''''''''''''''''''''''</w:t>
            </w:r>
            <w:r w:rsidR="0055341D">
              <w:rPr>
                <w:bCs w:val="0"/>
                <w:iCs/>
                <w:vertAlign w:val="superscript"/>
              </w:rPr>
              <w:t>4</w:t>
            </w:r>
          </w:p>
        </w:tc>
      </w:tr>
      <w:tr w:rsidR="004B44FC" w:rsidRPr="003253E7" w:rsidTr="00613ACB">
        <w:trPr>
          <w:cantSplit/>
        </w:trPr>
        <w:tc>
          <w:tcPr>
            <w:tcW w:w="5000" w:type="pct"/>
            <w:gridSpan w:val="4"/>
          </w:tcPr>
          <w:p w:rsidR="004B44FC" w:rsidRPr="007672C8" w:rsidRDefault="004B44FC" w:rsidP="001E2B70">
            <w:pPr>
              <w:pStyle w:val="TableText"/>
              <w:keepNext w:val="0"/>
              <w:widowControl w:val="0"/>
              <w:rPr>
                <w:b/>
              </w:rPr>
            </w:pPr>
            <w:r w:rsidRPr="007672C8">
              <w:rPr>
                <w:b/>
              </w:rPr>
              <w:t>Excess mortality adjustment (base case SMR 2.0)</w:t>
            </w:r>
          </w:p>
        </w:tc>
      </w:tr>
      <w:tr w:rsidR="004B44FC" w:rsidRPr="003253E7" w:rsidTr="0014701D">
        <w:trPr>
          <w:cantSplit/>
        </w:trPr>
        <w:tc>
          <w:tcPr>
            <w:tcW w:w="2438" w:type="pct"/>
          </w:tcPr>
          <w:p w:rsidR="004B44FC" w:rsidRPr="003253E7" w:rsidRDefault="004B44FC" w:rsidP="001E2B70">
            <w:pPr>
              <w:pStyle w:val="TableText"/>
              <w:keepNext w:val="0"/>
              <w:widowControl w:val="0"/>
              <w:rPr>
                <w:bCs w:val="0"/>
              </w:rPr>
            </w:pPr>
            <w:r w:rsidRPr="003253E7">
              <w:rPr>
                <w:bCs w:val="0"/>
              </w:rPr>
              <w:t>No adjustment</w:t>
            </w:r>
          </w:p>
        </w:tc>
        <w:tc>
          <w:tcPr>
            <w:tcW w:w="859" w:type="pct"/>
          </w:tcPr>
          <w:p w:rsidR="004B44FC" w:rsidRPr="00DD7357" w:rsidRDefault="00DD7357" w:rsidP="001E2B70">
            <w:pPr>
              <w:pStyle w:val="TableText"/>
              <w:keepNext w:val="0"/>
              <w:widowControl w:val="0"/>
              <w:jc w:val="center"/>
              <w:rPr>
                <w:bCs w:val="0"/>
                <w:highlight w:val="black"/>
              </w:rPr>
            </w:pPr>
            <w:r>
              <w:rPr>
                <w:bCs w:val="0"/>
                <w:noProof/>
                <w:color w:val="000000"/>
                <w:highlight w:val="black"/>
              </w:rPr>
              <w:t>''''''''''''''''''</w:t>
            </w:r>
          </w:p>
        </w:tc>
        <w:tc>
          <w:tcPr>
            <w:tcW w:w="936" w:type="pct"/>
          </w:tcPr>
          <w:p w:rsidR="004B44FC" w:rsidRPr="007672C8" w:rsidRDefault="004B44FC" w:rsidP="001E2B70">
            <w:pPr>
              <w:pStyle w:val="TableText"/>
              <w:keepNext w:val="0"/>
              <w:widowControl w:val="0"/>
              <w:jc w:val="center"/>
              <w:rPr>
                <w:bCs w:val="0"/>
              </w:rPr>
            </w:pPr>
            <w:r w:rsidRPr="007672C8">
              <w:rPr>
                <w:bCs w:val="0"/>
              </w:rPr>
              <w:t>1.16</w:t>
            </w:r>
          </w:p>
        </w:tc>
        <w:tc>
          <w:tcPr>
            <w:tcW w:w="767" w:type="pct"/>
          </w:tcPr>
          <w:p w:rsidR="004B44FC" w:rsidRPr="00DD7357" w:rsidRDefault="00DD7357" w:rsidP="001E2B70">
            <w:pPr>
              <w:pStyle w:val="TableText"/>
              <w:keepNext w:val="0"/>
              <w:widowControl w:val="0"/>
              <w:jc w:val="center"/>
              <w:rPr>
                <w:bCs w:val="0"/>
              </w:rPr>
            </w:pPr>
            <w:r>
              <w:rPr>
                <w:bCs w:val="0"/>
                <w:noProof/>
                <w:color w:val="000000"/>
                <w:highlight w:val="black"/>
              </w:rPr>
              <w:t>'''''''''''''''''''</w:t>
            </w:r>
            <w:r w:rsidR="0055341D">
              <w:rPr>
                <w:bCs w:val="0"/>
                <w:iCs/>
                <w:vertAlign w:val="superscript"/>
              </w:rPr>
              <w:t>1</w:t>
            </w:r>
          </w:p>
        </w:tc>
      </w:tr>
      <w:tr w:rsidR="004B44FC" w:rsidRPr="003253E7" w:rsidTr="0014701D">
        <w:trPr>
          <w:cantSplit/>
        </w:trPr>
        <w:tc>
          <w:tcPr>
            <w:tcW w:w="2438" w:type="pct"/>
          </w:tcPr>
          <w:p w:rsidR="004B44FC" w:rsidRPr="003253E7" w:rsidRDefault="004B44FC" w:rsidP="001E2B70">
            <w:pPr>
              <w:pStyle w:val="TableText"/>
              <w:keepNext w:val="0"/>
              <w:widowControl w:val="0"/>
              <w:rPr>
                <w:bCs w:val="0"/>
              </w:rPr>
            </w:pPr>
            <w:r w:rsidRPr="003253E7">
              <w:rPr>
                <w:bCs w:val="0"/>
              </w:rPr>
              <w:t>SMR 1.5</w:t>
            </w:r>
          </w:p>
        </w:tc>
        <w:tc>
          <w:tcPr>
            <w:tcW w:w="859" w:type="pct"/>
          </w:tcPr>
          <w:p w:rsidR="004B44FC" w:rsidRPr="00DD7357" w:rsidRDefault="00DD7357" w:rsidP="001E2B70">
            <w:pPr>
              <w:pStyle w:val="TableText"/>
              <w:keepNext w:val="0"/>
              <w:widowControl w:val="0"/>
              <w:jc w:val="center"/>
              <w:rPr>
                <w:bCs w:val="0"/>
                <w:highlight w:val="black"/>
              </w:rPr>
            </w:pPr>
            <w:r>
              <w:rPr>
                <w:bCs w:val="0"/>
                <w:noProof/>
                <w:color w:val="000000"/>
                <w:highlight w:val="black"/>
              </w:rPr>
              <w:t>'''''''''''''''''</w:t>
            </w:r>
          </w:p>
        </w:tc>
        <w:tc>
          <w:tcPr>
            <w:tcW w:w="936" w:type="pct"/>
          </w:tcPr>
          <w:p w:rsidR="004B44FC" w:rsidRPr="007672C8" w:rsidRDefault="004B44FC" w:rsidP="001E2B70">
            <w:pPr>
              <w:pStyle w:val="TableText"/>
              <w:keepNext w:val="0"/>
              <w:widowControl w:val="0"/>
              <w:jc w:val="center"/>
              <w:rPr>
                <w:bCs w:val="0"/>
              </w:rPr>
            </w:pPr>
            <w:r w:rsidRPr="007672C8">
              <w:rPr>
                <w:bCs w:val="0"/>
              </w:rPr>
              <w:t>1.10</w:t>
            </w:r>
          </w:p>
        </w:tc>
        <w:tc>
          <w:tcPr>
            <w:tcW w:w="767" w:type="pct"/>
          </w:tcPr>
          <w:p w:rsidR="004B44FC" w:rsidRPr="00DD7357" w:rsidRDefault="00DD7357" w:rsidP="001E2B70">
            <w:pPr>
              <w:pStyle w:val="TableText"/>
              <w:keepNext w:val="0"/>
              <w:widowControl w:val="0"/>
              <w:jc w:val="center"/>
              <w:rPr>
                <w:bCs w:val="0"/>
              </w:rPr>
            </w:pPr>
            <w:r>
              <w:rPr>
                <w:bCs w:val="0"/>
                <w:noProof/>
                <w:color w:val="000000"/>
                <w:highlight w:val="black"/>
              </w:rPr>
              <w:t>''''''''''''''''''</w:t>
            </w:r>
            <w:r w:rsidR="0055341D">
              <w:rPr>
                <w:bCs w:val="0"/>
                <w:iCs/>
                <w:vertAlign w:val="superscript"/>
              </w:rPr>
              <w:t>1</w:t>
            </w:r>
          </w:p>
        </w:tc>
      </w:tr>
      <w:tr w:rsidR="004B44FC" w:rsidRPr="003253E7" w:rsidTr="0014701D">
        <w:trPr>
          <w:cantSplit/>
        </w:trPr>
        <w:tc>
          <w:tcPr>
            <w:tcW w:w="2438" w:type="pct"/>
          </w:tcPr>
          <w:p w:rsidR="004B44FC" w:rsidRPr="003253E7" w:rsidRDefault="004B44FC" w:rsidP="001E2B70">
            <w:pPr>
              <w:pStyle w:val="TableText"/>
              <w:keepNext w:val="0"/>
              <w:widowControl w:val="0"/>
              <w:rPr>
                <w:bCs w:val="0"/>
              </w:rPr>
            </w:pPr>
            <w:r w:rsidRPr="003253E7">
              <w:rPr>
                <w:bCs w:val="0"/>
              </w:rPr>
              <w:t>SMR 2.5</w:t>
            </w:r>
          </w:p>
        </w:tc>
        <w:tc>
          <w:tcPr>
            <w:tcW w:w="859" w:type="pct"/>
          </w:tcPr>
          <w:p w:rsidR="004B44FC" w:rsidRPr="00DD7357" w:rsidRDefault="00DD7357" w:rsidP="001E2B70">
            <w:pPr>
              <w:pStyle w:val="TableText"/>
              <w:keepNext w:val="0"/>
              <w:widowControl w:val="0"/>
              <w:jc w:val="center"/>
              <w:rPr>
                <w:bCs w:val="0"/>
                <w:highlight w:val="black"/>
              </w:rPr>
            </w:pPr>
            <w:r>
              <w:rPr>
                <w:bCs w:val="0"/>
                <w:noProof/>
                <w:color w:val="000000"/>
                <w:highlight w:val="black"/>
              </w:rPr>
              <w:t>'''''''''''''''''''</w:t>
            </w:r>
          </w:p>
        </w:tc>
        <w:tc>
          <w:tcPr>
            <w:tcW w:w="936" w:type="pct"/>
          </w:tcPr>
          <w:p w:rsidR="004B44FC" w:rsidRPr="007672C8" w:rsidRDefault="004B44FC" w:rsidP="001E2B70">
            <w:pPr>
              <w:pStyle w:val="TableText"/>
              <w:keepNext w:val="0"/>
              <w:widowControl w:val="0"/>
              <w:jc w:val="center"/>
              <w:rPr>
                <w:bCs w:val="0"/>
              </w:rPr>
            </w:pPr>
            <w:r w:rsidRPr="007672C8">
              <w:rPr>
                <w:bCs w:val="0"/>
              </w:rPr>
              <w:t>1.01</w:t>
            </w:r>
          </w:p>
        </w:tc>
        <w:tc>
          <w:tcPr>
            <w:tcW w:w="767" w:type="pct"/>
          </w:tcPr>
          <w:p w:rsidR="004B44FC" w:rsidRPr="00DD7357" w:rsidRDefault="00DD7357" w:rsidP="001E2B70">
            <w:pPr>
              <w:pStyle w:val="TableText"/>
              <w:keepNext w:val="0"/>
              <w:widowControl w:val="0"/>
              <w:jc w:val="center"/>
              <w:rPr>
                <w:bCs w:val="0"/>
              </w:rPr>
            </w:pPr>
            <w:r>
              <w:rPr>
                <w:bCs w:val="0"/>
                <w:noProof/>
                <w:color w:val="000000"/>
                <w:highlight w:val="black"/>
              </w:rPr>
              <w:t>'''''''''''''''''''</w:t>
            </w:r>
            <w:r w:rsidR="0055341D">
              <w:rPr>
                <w:bCs w:val="0"/>
                <w:iCs/>
                <w:vertAlign w:val="superscript"/>
              </w:rPr>
              <w:t>1</w:t>
            </w:r>
          </w:p>
        </w:tc>
      </w:tr>
      <w:tr w:rsidR="004B44FC" w:rsidRPr="0091620B" w:rsidTr="0014701D">
        <w:trPr>
          <w:cantSplit/>
        </w:trPr>
        <w:tc>
          <w:tcPr>
            <w:tcW w:w="2438" w:type="pct"/>
          </w:tcPr>
          <w:p w:rsidR="004B44FC" w:rsidRPr="00E51DC4" w:rsidRDefault="004B44FC" w:rsidP="001E2B70">
            <w:pPr>
              <w:pStyle w:val="TableText"/>
              <w:keepNext w:val="0"/>
              <w:widowControl w:val="0"/>
              <w:rPr>
                <w:bCs w:val="0"/>
                <w:iCs/>
                <w:vertAlign w:val="superscript"/>
              </w:rPr>
            </w:pPr>
            <w:r w:rsidRPr="00E51DC4">
              <w:rPr>
                <w:bCs w:val="0"/>
                <w:iCs/>
              </w:rPr>
              <w:t>SMR 4.0</w:t>
            </w:r>
            <w:r w:rsidR="00846130" w:rsidRPr="00E51DC4">
              <w:rPr>
                <w:bCs w:val="0"/>
                <w:iCs/>
                <w:vertAlign w:val="superscript"/>
              </w:rPr>
              <w:t>a</w:t>
            </w:r>
          </w:p>
        </w:tc>
        <w:tc>
          <w:tcPr>
            <w:tcW w:w="859" w:type="pct"/>
          </w:tcPr>
          <w:p w:rsidR="004B44FC" w:rsidRPr="00DD7357" w:rsidRDefault="00DD7357" w:rsidP="001E2B70">
            <w:pPr>
              <w:pStyle w:val="TableText"/>
              <w:keepNext w:val="0"/>
              <w:widowControl w:val="0"/>
              <w:jc w:val="center"/>
              <w:rPr>
                <w:bCs w:val="0"/>
                <w:iCs/>
                <w:highlight w:val="black"/>
              </w:rPr>
            </w:pPr>
            <w:r>
              <w:rPr>
                <w:bCs w:val="0"/>
                <w:iCs/>
                <w:noProof/>
                <w:color w:val="000000"/>
                <w:highlight w:val="black"/>
              </w:rPr>
              <w:t>'''''''''''''''''</w:t>
            </w:r>
          </w:p>
        </w:tc>
        <w:tc>
          <w:tcPr>
            <w:tcW w:w="936" w:type="pct"/>
          </w:tcPr>
          <w:p w:rsidR="004B44FC" w:rsidRPr="007672C8" w:rsidRDefault="004B44FC" w:rsidP="001E2B70">
            <w:pPr>
              <w:pStyle w:val="TableText"/>
              <w:keepNext w:val="0"/>
              <w:widowControl w:val="0"/>
              <w:jc w:val="center"/>
              <w:rPr>
                <w:bCs w:val="0"/>
                <w:iCs/>
              </w:rPr>
            </w:pPr>
            <w:r w:rsidRPr="007672C8">
              <w:rPr>
                <w:bCs w:val="0"/>
                <w:iCs/>
              </w:rPr>
              <w:t>0.93</w:t>
            </w:r>
          </w:p>
        </w:tc>
        <w:tc>
          <w:tcPr>
            <w:tcW w:w="767" w:type="pct"/>
          </w:tcPr>
          <w:p w:rsidR="004B44FC" w:rsidRPr="00DD7357" w:rsidRDefault="00DD7357" w:rsidP="001E2B70">
            <w:pPr>
              <w:pStyle w:val="TableText"/>
              <w:keepNext w:val="0"/>
              <w:widowControl w:val="0"/>
              <w:jc w:val="center"/>
              <w:rPr>
                <w:bCs w:val="0"/>
                <w:iCs/>
              </w:rPr>
            </w:pPr>
            <w:r>
              <w:rPr>
                <w:bCs w:val="0"/>
                <w:iCs/>
                <w:noProof/>
                <w:color w:val="000000"/>
                <w:highlight w:val="black"/>
              </w:rPr>
              <w:t>''''''''''''''''''</w:t>
            </w:r>
            <w:r w:rsidR="0055341D">
              <w:rPr>
                <w:bCs w:val="0"/>
                <w:iCs/>
                <w:vertAlign w:val="superscript"/>
              </w:rPr>
              <w:t>2</w:t>
            </w:r>
          </w:p>
        </w:tc>
      </w:tr>
      <w:tr w:rsidR="004B44FC" w:rsidRPr="003253E7" w:rsidTr="0014701D">
        <w:trPr>
          <w:cantSplit/>
        </w:trPr>
        <w:tc>
          <w:tcPr>
            <w:tcW w:w="2438" w:type="pct"/>
          </w:tcPr>
          <w:p w:rsidR="004B44FC" w:rsidRPr="00E51DC4" w:rsidRDefault="004B44FC" w:rsidP="001E2B70">
            <w:pPr>
              <w:pStyle w:val="TableText"/>
              <w:keepNext w:val="0"/>
              <w:widowControl w:val="0"/>
              <w:rPr>
                <w:b/>
                <w:bCs w:val="0"/>
              </w:rPr>
            </w:pPr>
            <w:r w:rsidRPr="00E51DC4">
              <w:rPr>
                <w:b/>
                <w:bCs w:val="0"/>
              </w:rPr>
              <w:t>Gilteritinib dose (base case 120 mg daily)</w:t>
            </w:r>
          </w:p>
        </w:tc>
        <w:tc>
          <w:tcPr>
            <w:tcW w:w="859" w:type="pct"/>
          </w:tcPr>
          <w:p w:rsidR="004B44FC" w:rsidRPr="003253E7" w:rsidRDefault="004B44FC" w:rsidP="001E2B70">
            <w:pPr>
              <w:pStyle w:val="TableText"/>
              <w:keepNext w:val="0"/>
              <w:widowControl w:val="0"/>
              <w:jc w:val="center"/>
              <w:rPr>
                <w:bCs w:val="0"/>
                <w:i/>
                <w:iCs/>
              </w:rPr>
            </w:pPr>
          </w:p>
        </w:tc>
        <w:tc>
          <w:tcPr>
            <w:tcW w:w="936" w:type="pct"/>
          </w:tcPr>
          <w:p w:rsidR="004B44FC" w:rsidRPr="007672C8" w:rsidRDefault="004B44FC" w:rsidP="001E2B70">
            <w:pPr>
              <w:pStyle w:val="TableText"/>
              <w:keepNext w:val="0"/>
              <w:widowControl w:val="0"/>
              <w:jc w:val="center"/>
              <w:rPr>
                <w:bCs w:val="0"/>
                <w:i/>
                <w:iCs/>
              </w:rPr>
            </w:pPr>
          </w:p>
        </w:tc>
        <w:tc>
          <w:tcPr>
            <w:tcW w:w="767" w:type="pct"/>
          </w:tcPr>
          <w:p w:rsidR="004B44FC" w:rsidRPr="003253E7" w:rsidRDefault="004B44FC" w:rsidP="001E2B70">
            <w:pPr>
              <w:pStyle w:val="TableText"/>
              <w:keepNext w:val="0"/>
              <w:widowControl w:val="0"/>
              <w:jc w:val="center"/>
              <w:rPr>
                <w:bCs w:val="0"/>
                <w:i/>
                <w:iCs/>
              </w:rPr>
            </w:pPr>
          </w:p>
        </w:tc>
      </w:tr>
      <w:tr w:rsidR="004B44FC" w:rsidRPr="0091620B" w:rsidTr="0014701D">
        <w:trPr>
          <w:cantSplit/>
        </w:trPr>
        <w:tc>
          <w:tcPr>
            <w:tcW w:w="2438" w:type="pct"/>
          </w:tcPr>
          <w:p w:rsidR="004B44FC" w:rsidRPr="00E51DC4" w:rsidRDefault="004B44FC" w:rsidP="001E2B70">
            <w:pPr>
              <w:pStyle w:val="TableText"/>
              <w:keepNext w:val="0"/>
              <w:widowControl w:val="0"/>
              <w:rPr>
                <w:bCs w:val="0"/>
                <w:iCs/>
                <w:vertAlign w:val="superscript"/>
              </w:rPr>
            </w:pPr>
            <w:r w:rsidRPr="00E51DC4">
              <w:rPr>
                <w:bCs w:val="0"/>
                <w:iCs/>
              </w:rPr>
              <w:t>124 mg daily based on mean dose in the ADMIRAL trial</w:t>
            </w:r>
            <w:r w:rsidR="00846130" w:rsidRPr="00E51DC4">
              <w:rPr>
                <w:bCs w:val="0"/>
                <w:iCs/>
                <w:vertAlign w:val="superscript"/>
              </w:rPr>
              <w:t>a</w:t>
            </w:r>
          </w:p>
        </w:tc>
        <w:tc>
          <w:tcPr>
            <w:tcW w:w="859" w:type="pct"/>
          </w:tcPr>
          <w:p w:rsidR="004B44FC" w:rsidRPr="00DD7357" w:rsidRDefault="00DD7357" w:rsidP="001E2B70">
            <w:pPr>
              <w:pStyle w:val="TableText"/>
              <w:keepNext w:val="0"/>
              <w:widowControl w:val="0"/>
              <w:jc w:val="center"/>
              <w:rPr>
                <w:bCs w:val="0"/>
                <w:iCs/>
                <w:highlight w:val="black"/>
              </w:rPr>
            </w:pPr>
            <w:r>
              <w:rPr>
                <w:bCs w:val="0"/>
                <w:iCs/>
                <w:noProof/>
                <w:color w:val="000000"/>
                <w:highlight w:val="black"/>
              </w:rPr>
              <w:t>'''''''''''''''''''''</w:t>
            </w:r>
          </w:p>
        </w:tc>
        <w:tc>
          <w:tcPr>
            <w:tcW w:w="936" w:type="pct"/>
          </w:tcPr>
          <w:p w:rsidR="004B44FC" w:rsidRPr="007672C8" w:rsidRDefault="004B44FC" w:rsidP="001E2B70">
            <w:pPr>
              <w:pStyle w:val="TableText"/>
              <w:keepNext w:val="0"/>
              <w:widowControl w:val="0"/>
              <w:jc w:val="center"/>
              <w:rPr>
                <w:bCs w:val="0"/>
                <w:iCs/>
              </w:rPr>
            </w:pPr>
            <w:r w:rsidRPr="007672C8">
              <w:rPr>
                <w:bCs w:val="0"/>
                <w:iCs/>
              </w:rPr>
              <w:t>1.05</w:t>
            </w:r>
          </w:p>
        </w:tc>
        <w:tc>
          <w:tcPr>
            <w:tcW w:w="767" w:type="pct"/>
          </w:tcPr>
          <w:p w:rsidR="004B44FC" w:rsidRPr="00E51DC4" w:rsidRDefault="00DD7357" w:rsidP="001E2B70">
            <w:pPr>
              <w:pStyle w:val="TableText"/>
              <w:keepNext w:val="0"/>
              <w:widowControl w:val="0"/>
              <w:jc w:val="center"/>
              <w:rPr>
                <w:bCs w:val="0"/>
                <w:iCs/>
              </w:rPr>
            </w:pPr>
            <w:r>
              <w:rPr>
                <w:bCs w:val="0"/>
                <w:iCs/>
                <w:noProof/>
                <w:color w:val="000000"/>
                <w:highlight w:val="black"/>
              </w:rPr>
              <w:t>'''''''''''''''''''''</w:t>
            </w:r>
            <w:r w:rsidR="0055341D">
              <w:rPr>
                <w:bCs w:val="0"/>
                <w:iCs/>
                <w:vertAlign w:val="superscript"/>
              </w:rPr>
              <w:t>1</w:t>
            </w:r>
          </w:p>
        </w:tc>
      </w:tr>
      <w:tr w:rsidR="004B44FC" w:rsidRPr="003253E7" w:rsidTr="00613ACB">
        <w:trPr>
          <w:cantSplit/>
        </w:trPr>
        <w:tc>
          <w:tcPr>
            <w:tcW w:w="5000" w:type="pct"/>
            <w:gridSpan w:val="4"/>
          </w:tcPr>
          <w:p w:rsidR="004B44FC" w:rsidRPr="007672C8" w:rsidRDefault="004B44FC" w:rsidP="001E2B70">
            <w:pPr>
              <w:pStyle w:val="TableText"/>
              <w:keepNext w:val="0"/>
              <w:widowControl w:val="0"/>
              <w:rPr>
                <w:b/>
                <w:i/>
                <w:iCs/>
              </w:rPr>
            </w:pPr>
            <w:r w:rsidRPr="007672C8">
              <w:rPr>
                <w:b/>
              </w:rPr>
              <w:t>Gilteritinib treatment duration (base case 7.85 treatment cycles)</w:t>
            </w:r>
          </w:p>
        </w:tc>
      </w:tr>
      <w:tr w:rsidR="004B44FC" w:rsidRPr="0091620B" w:rsidTr="0014701D">
        <w:trPr>
          <w:cantSplit/>
        </w:trPr>
        <w:tc>
          <w:tcPr>
            <w:tcW w:w="2438" w:type="pct"/>
          </w:tcPr>
          <w:p w:rsidR="004B44FC" w:rsidRPr="00E51DC4" w:rsidRDefault="004B44FC" w:rsidP="001E2B70">
            <w:pPr>
              <w:pStyle w:val="TableText"/>
              <w:keepNext w:val="0"/>
              <w:widowControl w:val="0"/>
              <w:rPr>
                <w:bCs w:val="0"/>
                <w:iCs/>
                <w:vertAlign w:val="superscript"/>
              </w:rPr>
            </w:pPr>
            <w:r w:rsidRPr="00E51DC4">
              <w:rPr>
                <w:bCs w:val="0"/>
                <w:iCs/>
              </w:rPr>
              <w:t>5% increase (8.24 treatment cycles)</w:t>
            </w:r>
            <w:r w:rsidR="00846130" w:rsidRPr="00E51DC4">
              <w:rPr>
                <w:bCs w:val="0"/>
                <w:iCs/>
                <w:vertAlign w:val="superscript"/>
              </w:rPr>
              <w:t>a</w:t>
            </w:r>
          </w:p>
        </w:tc>
        <w:tc>
          <w:tcPr>
            <w:tcW w:w="859" w:type="pct"/>
          </w:tcPr>
          <w:p w:rsidR="004B44FC" w:rsidRPr="00DD7357" w:rsidRDefault="00DD7357" w:rsidP="001E2B70">
            <w:pPr>
              <w:pStyle w:val="TableText"/>
              <w:keepNext w:val="0"/>
              <w:widowControl w:val="0"/>
              <w:jc w:val="center"/>
              <w:rPr>
                <w:bCs w:val="0"/>
                <w:iCs/>
                <w:highlight w:val="black"/>
              </w:rPr>
            </w:pPr>
            <w:r>
              <w:rPr>
                <w:bCs w:val="0"/>
                <w:iCs/>
                <w:noProof/>
                <w:color w:val="000000"/>
                <w:highlight w:val="black"/>
              </w:rPr>
              <w:t>''''''''''''''''''''</w:t>
            </w:r>
          </w:p>
        </w:tc>
        <w:tc>
          <w:tcPr>
            <w:tcW w:w="936" w:type="pct"/>
          </w:tcPr>
          <w:p w:rsidR="004B44FC" w:rsidRPr="007672C8" w:rsidRDefault="004B44FC" w:rsidP="001E2B70">
            <w:pPr>
              <w:pStyle w:val="TableText"/>
              <w:keepNext w:val="0"/>
              <w:widowControl w:val="0"/>
              <w:jc w:val="center"/>
              <w:rPr>
                <w:bCs w:val="0"/>
                <w:iCs/>
              </w:rPr>
            </w:pPr>
            <w:r w:rsidRPr="007672C8">
              <w:rPr>
                <w:bCs w:val="0"/>
                <w:iCs/>
              </w:rPr>
              <w:t>1.05</w:t>
            </w:r>
          </w:p>
        </w:tc>
        <w:tc>
          <w:tcPr>
            <w:tcW w:w="767" w:type="pct"/>
          </w:tcPr>
          <w:p w:rsidR="004B44FC" w:rsidRPr="00DD7357" w:rsidRDefault="00DD7357" w:rsidP="001E2B70">
            <w:pPr>
              <w:pStyle w:val="TableText"/>
              <w:keepNext w:val="0"/>
              <w:widowControl w:val="0"/>
              <w:jc w:val="center"/>
              <w:rPr>
                <w:bCs w:val="0"/>
                <w:iCs/>
              </w:rPr>
            </w:pPr>
            <w:r>
              <w:rPr>
                <w:bCs w:val="0"/>
                <w:iCs/>
                <w:noProof/>
                <w:color w:val="000000"/>
                <w:highlight w:val="black"/>
              </w:rPr>
              <w:t>'''''''''''''''''</w:t>
            </w:r>
            <w:r w:rsidR="0055341D">
              <w:rPr>
                <w:bCs w:val="0"/>
                <w:iCs/>
                <w:vertAlign w:val="superscript"/>
              </w:rPr>
              <w:t>1</w:t>
            </w:r>
          </w:p>
        </w:tc>
      </w:tr>
      <w:tr w:rsidR="004B44FC" w:rsidRPr="0091620B" w:rsidTr="0014701D">
        <w:trPr>
          <w:cantSplit/>
        </w:trPr>
        <w:tc>
          <w:tcPr>
            <w:tcW w:w="2438" w:type="pct"/>
          </w:tcPr>
          <w:p w:rsidR="004B44FC" w:rsidRPr="00E51DC4" w:rsidRDefault="004B44FC" w:rsidP="001E2B70">
            <w:pPr>
              <w:pStyle w:val="TableText"/>
              <w:keepNext w:val="0"/>
              <w:widowControl w:val="0"/>
              <w:rPr>
                <w:bCs w:val="0"/>
                <w:iCs/>
                <w:vertAlign w:val="superscript"/>
              </w:rPr>
            </w:pPr>
            <w:r w:rsidRPr="00E51DC4">
              <w:rPr>
                <w:bCs w:val="0"/>
                <w:iCs/>
              </w:rPr>
              <w:t>10% increase (8.64 treatment cycles)</w:t>
            </w:r>
            <w:r w:rsidR="00846130" w:rsidRPr="00E51DC4">
              <w:rPr>
                <w:bCs w:val="0"/>
                <w:iCs/>
                <w:vertAlign w:val="superscript"/>
              </w:rPr>
              <w:t>a</w:t>
            </w:r>
          </w:p>
        </w:tc>
        <w:tc>
          <w:tcPr>
            <w:tcW w:w="859" w:type="pct"/>
          </w:tcPr>
          <w:p w:rsidR="004B44FC" w:rsidRPr="00DD7357" w:rsidRDefault="00DD7357" w:rsidP="001E2B70">
            <w:pPr>
              <w:pStyle w:val="TableText"/>
              <w:keepNext w:val="0"/>
              <w:widowControl w:val="0"/>
              <w:jc w:val="center"/>
              <w:rPr>
                <w:bCs w:val="0"/>
                <w:iCs/>
                <w:highlight w:val="black"/>
              </w:rPr>
            </w:pPr>
            <w:r>
              <w:rPr>
                <w:bCs w:val="0"/>
                <w:iCs/>
                <w:noProof/>
                <w:color w:val="000000"/>
                <w:highlight w:val="black"/>
              </w:rPr>
              <w:t>'''''''''''''''''''''''</w:t>
            </w:r>
          </w:p>
        </w:tc>
        <w:tc>
          <w:tcPr>
            <w:tcW w:w="936" w:type="pct"/>
          </w:tcPr>
          <w:p w:rsidR="004B44FC" w:rsidRPr="007672C8" w:rsidRDefault="004B44FC" w:rsidP="001E2B70">
            <w:pPr>
              <w:pStyle w:val="TableText"/>
              <w:keepNext w:val="0"/>
              <w:widowControl w:val="0"/>
              <w:jc w:val="center"/>
              <w:rPr>
                <w:bCs w:val="0"/>
                <w:iCs/>
              </w:rPr>
            </w:pPr>
            <w:r w:rsidRPr="007672C8">
              <w:rPr>
                <w:bCs w:val="0"/>
                <w:iCs/>
              </w:rPr>
              <w:t>1.05</w:t>
            </w:r>
          </w:p>
        </w:tc>
        <w:tc>
          <w:tcPr>
            <w:tcW w:w="767" w:type="pct"/>
          </w:tcPr>
          <w:p w:rsidR="004B44FC" w:rsidRPr="00DD7357" w:rsidRDefault="00DD7357" w:rsidP="001E2B70">
            <w:pPr>
              <w:pStyle w:val="TableText"/>
              <w:keepNext w:val="0"/>
              <w:widowControl w:val="0"/>
              <w:jc w:val="center"/>
              <w:rPr>
                <w:bCs w:val="0"/>
                <w:iCs/>
              </w:rPr>
            </w:pPr>
            <w:r>
              <w:rPr>
                <w:bCs w:val="0"/>
                <w:iCs/>
                <w:noProof/>
                <w:color w:val="000000"/>
                <w:highlight w:val="black"/>
              </w:rPr>
              <w:t>''''''''''''''''''''''''</w:t>
            </w:r>
            <w:r w:rsidR="0055341D">
              <w:rPr>
                <w:bCs w:val="0"/>
                <w:iCs/>
                <w:vertAlign w:val="superscript"/>
              </w:rPr>
              <w:t>2</w:t>
            </w:r>
          </w:p>
        </w:tc>
      </w:tr>
      <w:tr w:rsidR="004B44FC" w:rsidRPr="003253E7" w:rsidTr="00613ACB">
        <w:trPr>
          <w:cantSplit/>
        </w:trPr>
        <w:tc>
          <w:tcPr>
            <w:tcW w:w="5000" w:type="pct"/>
            <w:gridSpan w:val="4"/>
          </w:tcPr>
          <w:p w:rsidR="004B44FC" w:rsidRPr="007672C8" w:rsidRDefault="004B44FC" w:rsidP="00AF6652">
            <w:pPr>
              <w:pStyle w:val="TableText"/>
              <w:keepNext w:val="0"/>
              <w:widowControl w:val="0"/>
              <w:jc w:val="both"/>
              <w:rPr>
                <w:bCs w:val="0"/>
                <w:i/>
                <w:iCs/>
              </w:rPr>
            </w:pPr>
            <w:r w:rsidRPr="007672C8">
              <w:rPr>
                <w:b/>
              </w:rPr>
              <w:t>Drug administration costs (base case gilteritinib no costs; salvage chemotherapy 100% hospitalisation)</w:t>
            </w:r>
          </w:p>
        </w:tc>
      </w:tr>
      <w:tr w:rsidR="0014701D" w:rsidRPr="0091620B" w:rsidTr="0014701D">
        <w:trPr>
          <w:cantSplit/>
        </w:trPr>
        <w:tc>
          <w:tcPr>
            <w:tcW w:w="2438" w:type="pct"/>
          </w:tcPr>
          <w:p w:rsidR="0014701D" w:rsidRPr="00E51DC4" w:rsidRDefault="0014701D" w:rsidP="0014701D">
            <w:pPr>
              <w:pStyle w:val="TableText"/>
              <w:keepNext w:val="0"/>
              <w:widowControl w:val="0"/>
              <w:rPr>
                <w:bCs w:val="0"/>
                <w:iCs/>
                <w:vertAlign w:val="superscript"/>
              </w:rPr>
            </w:pPr>
            <w:r w:rsidRPr="00E51DC4">
              <w:rPr>
                <w:bCs w:val="0"/>
                <w:iCs/>
              </w:rPr>
              <w:t>58.9% of patients hospitalised for salvage chemotherapy</w:t>
            </w:r>
            <w:r w:rsidRPr="00E51DC4">
              <w:rPr>
                <w:bCs w:val="0"/>
                <w:iCs/>
                <w:vertAlign w:val="superscript"/>
              </w:rPr>
              <w:t>a</w:t>
            </w:r>
          </w:p>
        </w:tc>
        <w:tc>
          <w:tcPr>
            <w:tcW w:w="859" w:type="pct"/>
          </w:tcPr>
          <w:p w:rsidR="0014701D" w:rsidRPr="00DD7357" w:rsidRDefault="00DD7357" w:rsidP="0014701D">
            <w:pPr>
              <w:pStyle w:val="TableText"/>
              <w:keepNext w:val="0"/>
              <w:widowControl w:val="0"/>
              <w:jc w:val="center"/>
              <w:rPr>
                <w:bCs w:val="0"/>
                <w:iCs/>
                <w:highlight w:val="black"/>
              </w:rPr>
            </w:pPr>
            <w:r>
              <w:rPr>
                <w:noProof/>
                <w:color w:val="000000"/>
                <w:highlight w:val="black"/>
              </w:rPr>
              <w:t>''''''''''''''''''''''</w:t>
            </w:r>
          </w:p>
        </w:tc>
        <w:tc>
          <w:tcPr>
            <w:tcW w:w="936" w:type="pct"/>
          </w:tcPr>
          <w:p w:rsidR="0014701D" w:rsidRPr="007672C8" w:rsidRDefault="0014701D" w:rsidP="0014701D">
            <w:pPr>
              <w:pStyle w:val="TableText"/>
              <w:keepNext w:val="0"/>
              <w:widowControl w:val="0"/>
              <w:jc w:val="center"/>
              <w:rPr>
                <w:bCs w:val="0"/>
                <w:iCs/>
              </w:rPr>
            </w:pPr>
            <w:r w:rsidRPr="007672C8">
              <w:t>1.05</w:t>
            </w:r>
          </w:p>
        </w:tc>
        <w:tc>
          <w:tcPr>
            <w:tcW w:w="767" w:type="pct"/>
          </w:tcPr>
          <w:p w:rsidR="0014701D" w:rsidRPr="00E51DC4" w:rsidRDefault="00DD7357" w:rsidP="0014701D">
            <w:pPr>
              <w:pStyle w:val="TableText"/>
              <w:keepNext w:val="0"/>
              <w:widowControl w:val="0"/>
              <w:jc w:val="center"/>
              <w:rPr>
                <w:bCs w:val="0"/>
                <w:iCs/>
              </w:rPr>
            </w:pPr>
            <w:r>
              <w:rPr>
                <w:noProof/>
                <w:color w:val="000000"/>
                <w:highlight w:val="black"/>
              </w:rPr>
              <w:t>'''''''''''''''''''''''</w:t>
            </w:r>
            <w:r w:rsidR="0055341D">
              <w:rPr>
                <w:bCs w:val="0"/>
                <w:iCs/>
                <w:vertAlign w:val="superscript"/>
              </w:rPr>
              <w:t>2</w:t>
            </w:r>
          </w:p>
        </w:tc>
      </w:tr>
      <w:tr w:rsidR="004B44FC" w:rsidRPr="003253E7" w:rsidTr="00613ACB">
        <w:trPr>
          <w:cantSplit/>
        </w:trPr>
        <w:tc>
          <w:tcPr>
            <w:tcW w:w="5000" w:type="pct"/>
            <w:gridSpan w:val="4"/>
          </w:tcPr>
          <w:p w:rsidR="004B44FC" w:rsidRPr="007672C8" w:rsidRDefault="004B44FC" w:rsidP="001E2B70">
            <w:pPr>
              <w:pStyle w:val="TableText"/>
              <w:keepNext w:val="0"/>
              <w:widowControl w:val="0"/>
              <w:rPr>
                <w:b/>
                <w:i/>
                <w:iCs/>
              </w:rPr>
            </w:pPr>
            <w:r w:rsidRPr="007672C8">
              <w:rPr>
                <w:b/>
              </w:rPr>
              <w:t>Long-term survivor utilities (base case general population age-adjusted EQ-5D-5L utility values from McCaffrey 2016)</w:t>
            </w:r>
          </w:p>
        </w:tc>
      </w:tr>
      <w:tr w:rsidR="004B44FC" w:rsidRPr="003253E7" w:rsidTr="0014701D">
        <w:trPr>
          <w:cantSplit/>
        </w:trPr>
        <w:tc>
          <w:tcPr>
            <w:tcW w:w="2438" w:type="pct"/>
          </w:tcPr>
          <w:p w:rsidR="004B44FC" w:rsidRPr="003253E7" w:rsidRDefault="004B44FC" w:rsidP="001E2B70">
            <w:pPr>
              <w:pStyle w:val="TableText"/>
              <w:keepNext w:val="0"/>
              <w:widowControl w:val="0"/>
              <w:rPr>
                <w:bCs w:val="0"/>
              </w:rPr>
            </w:pPr>
            <w:r w:rsidRPr="003253E7">
              <w:rPr>
                <w:bCs w:val="0"/>
              </w:rPr>
              <w:t>Fixed utility of 0.94 based on Joshi 2019 long-term follow up after stem cell transplant</w:t>
            </w:r>
          </w:p>
        </w:tc>
        <w:tc>
          <w:tcPr>
            <w:tcW w:w="859" w:type="pct"/>
            <w:vAlign w:val="center"/>
          </w:tcPr>
          <w:p w:rsidR="004B44FC" w:rsidRPr="00DD7357" w:rsidRDefault="00DD7357" w:rsidP="001E2B70">
            <w:pPr>
              <w:pStyle w:val="TableText"/>
              <w:keepNext w:val="0"/>
              <w:widowControl w:val="0"/>
              <w:jc w:val="center"/>
              <w:rPr>
                <w:bCs w:val="0"/>
                <w:highlight w:val="black"/>
              </w:rPr>
            </w:pPr>
            <w:r>
              <w:rPr>
                <w:bCs w:val="0"/>
                <w:noProof/>
                <w:color w:val="000000"/>
                <w:highlight w:val="black"/>
              </w:rPr>
              <w:t>''''''''''''''''''</w:t>
            </w:r>
          </w:p>
        </w:tc>
        <w:tc>
          <w:tcPr>
            <w:tcW w:w="936" w:type="pct"/>
            <w:vAlign w:val="center"/>
          </w:tcPr>
          <w:p w:rsidR="004B44FC" w:rsidRPr="007672C8" w:rsidRDefault="004B44FC" w:rsidP="001E2B70">
            <w:pPr>
              <w:pStyle w:val="TableText"/>
              <w:keepNext w:val="0"/>
              <w:widowControl w:val="0"/>
              <w:jc w:val="center"/>
              <w:rPr>
                <w:bCs w:val="0"/>
              </w:rPr>
            </w:pPr>
            <w:r w:rsidRPr="007672C8">
              <w:rPr>
                <w:bCs w:val="0"/>
              </w:rPr>
              <w:t>1.12</w:t>
            </w:r>
          </w:p>
        </w:tc>
        <w:tc>
          <w:tcPr>
            <w:tcW w:w="767" w:type="pct"/>
            <w:vAlign w:val="center"/>
          </w:tcPr>
          <w:p w:rsidR="004B44FC" w:rsidRPr="00DD7357" w:rsidRDefault="00DD7357" w:rsidP="001E2B70">
            <w:pPr>
              <w:pStyle w:val="TableText"/>
              <w:keepNext w:val="0"/>
              <w:widowControl w:val="0"/>
              <w:jc w:val="center"/>
              <w:rPr>
                <w:bCs w:val="0"/>
              </w:rPr>
            </w:pPr>
            <w:r>
              <w:rPr>
                <w:bCs w:val="0"/>
                <w:noProof/>
                <w:color w:val="000000"/>
                <w:highlight w:val="black"/>
              </w:rPr>
              <w:t>'''''''''''''''''''''</w:t>
            </w:r>
            <w:r w:rsidR="0055341D">
              <w:rPr>
                <w:bCs w:val="0"/>
                <w:iCs/>
                <w:vertAlign w:val="superscript"/>
              </w:rPr>
              <w:t>1</w:t>
            </w:r>
          </w:p>
        </w:tc>
      </w:tr>
      <w:tr w:rsidR="004B44FC" w:rsidRPr="0091620B" w:rsidTr="0014701D">
        <w:trPr>
          <w:cantSplit/>
        </w:trPr>
        <w:tc>
          <w:tcPr>
            <w:tcW w:w="2438" w:type="pct"/>
          </w:tcPr>
          <w:p w:rsidR="004B44FC" w:rsidRPr="00E51DC4" w:rsidRDefault="004B44FC" w:rsidP="001E2B70">
            <w:pPr>
              <w:pStyle w:val="TableText"/>
              <w:keepNext w:val="0"/>
              <w:widowControl w:val="0"/>
              <w:rPr>
                <w:bCs w:val="0"/>
                <w:iCs/>
                <w:vertAlign w:val="superscript"/>
              </w:rPr>
            </w:pPr>
            <w:r w:rsidRPr="00E51DC4">
              <w:rPr>
                <w:bCs w:val="0"/>
                <w:iCs/>
              </w:rPr>
              <w:t>90% of base case age-adjusted utilities</w:t>
            </w:r>
            <w:r w:rsidR="00846130" w:rsidRPr="00E51DC4">
              <w:rPr>
                <w:bCs w:val="0"/>
                <w:iCs/>
                <w:vertAlign w:val="superscript"/>
              </w:rPr>
              <w:t>a</w:t>
            </w:r>
          </w:p>
        </w:tc>
        <w:tc>
          <w:tcPr>
            <w:tcW w:w="859" w:type="pct"/>
          </w:tcPr>
          <w:p w:rsidR="004B44FC" w:rsidRPr="00DD7357" w:rsidRDefault="00DD7357" w:rsidP="001E2B70">
            <w:pPr>
              <w:pStyle w:val="TableText"/>
              <w:keepNext w:val="0"/>
              <w:widowControl w:val="0"/>
              <w:jc w:val="center"/>
              <w:rPr>
                <w:bCs w:val="0"/>
                <w:iCs/>
                <w:highlight w:val="black"/>
              </w:rPr>
            </w:pPr>
            <w:r>
              <w:rPr>
                <w:bCs w:val="0"/>
                <w:iCs/>
                <w:noProof/>
                <w:color w:val="000000"/>
                <w:highlight w:val="black"/>
              </w:rPr>
              <w:t>'''''''''''''''''''''</w:t>
            </w:r>
          </w:p>
        </w:tc>
        <w:tc>
          <w:tcPr>
            <w:tcW w:w="936" w:type="pct"/>
          </w:tcPr>
          <w:p w:rsidR="004B44FC" w:rsidRPr="007672C8" w:rsidRDefault="004B44FC" w:rsidP="001E2B70">
            <w:pPr>
              <w:pStyle w:val="TableText"/>
              <w:keepNext w:val="0"/>
              <w:widowControl w:val="0"/>
              <w:jc w:val="center"/>
              <w:rPr>
                <w:bCs w:val="0"/>
                <w:iCs/>
              </w:rPr>
            </w:pPr>
            <w:r w:rsidRPr="007672C8">
              <w:rPr>
                <w:bCs w:val="0"/>
                <w:iCs/>
              </w:rPr>
              <w:t>0.96</w:t>
            </w:r>
          </w:p>
        </w:tc>
        <w:tc>
          <w:tcPr>
            <w:tcW w:w="767" w:type="pct"/>
          </w:tcPr>
          <w:p w:rsidR="004B44FC" w:rsidRPr="00DD7357" w:rsidRDefault="00DD7357" w:rsidP="001E2B70">
            <w:pPr>
              <w:pStyle w:val="TableText"/>
              <w:keepNext w:val="0"/>
              <w:widowControl w:val="0"/>
              <w:jc w:val="center"/>
              <w:rPr>
                <w:bCs w:val="0"/>
                <w:iCs/>
              </w:rPr>
            </w:pPr>
            <w:r>
              <w:rPr>
                <w:bCs w:val="0"/>
                <w:iCs/>
                <w:noProof/>
                <w:color w:val="000000"/>
                <w:highlight w:val="black"/>
              </w:rPr>
              <w:t>'''''''''''''''''''</w:t>
            </w:r>
            <w:r w:rsidR="0055341D">
              <w:rPr>
                <w:bCs w:val="0"/>
                <w:iCs/>
                <w:vertAlign w:val="superscript"/>
              </w:rPr>
              <w:t>1</w:t>
            </w:r>
          </w:p>
        </w:tc>
      </w:tr>
      <w:tr w:rsidR="004B44FC" w:rsidRPr="0091620B" w:rsidTr="0014701D">
        <w:trPr>
          <w:cantSplit/>
        </w:trPr>
        <w:tc>
          <w:tcPr>
            <w:tcW w:w="2438" w:type="pct"/>
          </w:tcPr>
          <w:p w:rsidR="004B44FC" w:rsidRPr="00E51DC4" w:rsidRDefault="004B44FC" w:rsidP="001E2B70">
            <w:pPr>
              <w:pStyle w:val="TableText"/>
              <w:keepNext w:val="0"/>
              <w:widowControl w:val="0"/>
              <w:rPr>
                <w:bCs w:val="0"/>
                <w:iCs/>
                <w:vertAlign w:val="superscript"/>
              </w:rPr>
            </w:pPr>
            <w:r w:rsidRPr="00E51DC4">
              <w:rPr>
                <w:bCs w:val="0"/>
                <w:iCs/>
              </w:rPr>
              <w:t>80% of base case age-adjusted utilities</w:t>
            </w:r>
            <w:r w:rsidR="00846130" w:rsidRPr="00E51DC4">
              <w:rPr>
                <w:bCs w:val="0"/>
                <w:iCs/>
                <w:vertAlign w:val="superscript"/>
              </w:rPr>
              <w:t>a</w:t>
            </w:r>
          </w:p>
        </w:tc>
        <w:tc>
          <w:tcPr>
            <w:tcW w:w="859" w:type="pct"/>
          </w:tcPr>
          <w:p w:rsidR="004B44FC" w:rsidRPr="00DD7357" w:rsidRDefault="00DD7357" w:rsidP="001E2B70">
            <w:pPr>
              <w:pStyle w:val="TableText"/>
              <w:keepNext w:val="0"/>
              <w:widowControl w:val="0"/>
              <w:jc w:val="center"/>
              <w:rPr>
                <w:bCs w:val="0"/>
                <w:iCs/>
                <w:highlight w:val="black"/>
              </w:rPr>
            </w:pPr>
            <w:r>
              <w:rPr>
                <w:bCs w:val="0"/>
                <w:iCs/>
                <w:noProof/>
                <w:color w:val="000000"/>
                <w:highlight w:val="black"/>
              </w:rPr>
              <w:t>'''''''''''''''''''</w:t>
            </w:r>
          </w:p>
        </w:tc>
        <w:tc>
          <w:tcPr>
            <w:tcW w:w="936" w:type="pct"/>
          </w:tcPr>
          <w:p w:rsidR="004B44FC" w:rsidRPr="007672C8" w:rsidRDefault="004B44FC" w:rsidP="001E2B70">
            <w:pPr>
              <w:pStyle w:val="TableText"/>
              <w:keepNext w:val="0"/>
              <w:widowControl w:val="0"/>
              <w:jc w:val="center"/>
              <w:rPr>
                <w:bCs w:val="0"/>
                <w:iCs/>
              </w:rPr>
            </w:pPr>
            <w:r w:rsidRPr="007672C8">
              <w:rPr>
                <w:bCs w:val="0"/>
                <w:iCs/>
              </w:rPr>
              <w:t>0.88</w:t>
            </w:r>
          </w:p>
        </w:tc>
        <w:tc>
          <w:tcPr>
            <w:tcW w:w="767" w:type="pct"/>
          </w:tcPr>
          <w:p w:rsidR="004B44FC" w:rsidRPr="00DD7357" w:rsidRDefault="00DD7357" w:rsidP="001E2B70">
            <w:pPr>
              <w:pStyle w:val="TableText"/>
              <w:keepNext w:val="0"/>
              <w:widowControl w:val="0"/>
              <w:jc w:val="center"/>
              <w:rPr>
                <w:bCs w:val="0"/>
                <w:iCs/>
              </w:rPr>
            </w:pPr>
            <w:r>
              <w:rPr>
                <w:bCs w:val="0"/>
                <w:iCs/>
                <w:noProof/>
                <w:color w:val="000000"/>
                <w:highlight w:val="black"/>
              </w:rPr>
              <w:t>''''''''''''''''''''''</w:t>
            </w:r>
            <w:r w:rsidR="0055341D">
              <w:rPr>
                <w:bCs w:val="0"/>
                <w:iCs/>
                <w:vertAlign w:val="superscript"/>
              </w:rPr>
              <w:t>2</w:t>
            </w:r>
          </w:p>
        </w:tc>
      </w:tr>
      <w:tr w:rsidR="00A41CCD" w:rsidRPr="003253E7" w:rsidTr="00613ACB">
        <w:trPr>
          <w:cantSplit/>
        </w:trPr>
        <w:tc>
          <w:tcPr>
            <w:tcW w:w="5000" w:type="pct"/>
            <w:gridSpan w:val="4"/>
          </w:tcPr>
          <w:p w:rsidR="00A41CCD" w:rsidRPr="003253E7" w:rsidRDefault="00A41CCD" w:rsidP="00F055CD">
            <w:pPr>
              <w:pStyle w:val="TableText"/>
              <w:keepNext w:val="0"/>
              <w:widowControl w:val="0"/>
              <w:rPr>
                <w:b/>
              </w:rPr>
            </w:pPr>
            <w:r w:rsidRPr="003253E7">
              <w:rPr>
                <w:b/>
              </w:rPr>
              <w:t>Discount rate (base case 5.0%)</w:t>
            </w:r>
          </w:p>
        </w:tc>
      </w:tr>
      <w:tr w:rsidR="00A41CCD" w:rsidRPr="003253E7" w:rsidTr="0014701D">
        <w:trPr>
          <w:cantSplit/>
        </w:trPr>
        <w:tc>
          <w:tcPr>
            <w:tcW w:w="2438" w:type="pct"/>
          </w:tcPr>
          <w:p w:rsidR="00A41CCD" w:rsidRPr="003253E7" w:rsidRDefault="00A41CCD" w:rsidP="00F055CD">
            <w:pPr>
              <w:pStyle w:val="TableText"/>
              <w:keepNext w:val="0"/>
              <w:widowControl w:val="0"/>
              <w:rPr>
                <w:bCs w:val="0"/>
              </w:rPr>
            </w:pPr>
            <w:r w:rsidRPr="003253E7">
              <w:rPr>
                <w:bCs w:val="0"/>
              </w:rPr>
              <w:t>0%</w:t>
            </w:r>
          </w:p>
        </w:tc>
        <w:tc>
          <w:tcPr>
            <w:tcW w:w="859" w:type="pct"/>
          </w:tcPr>
          <w:p w:rsidR="00A41CCD" w:rsidRPr="00DD7357" w:rsidRDefault="00DD7357" w:rsidP="00F055CD">
            <w:pPr>
              <w:pStyle w:val="TableText"/>
              <w:keepNext w:val="0"/>
              <w:widowControl w:val="0"/>
              <w:jc w:val="center"/>
              <w:rPr>
                <w:bCs w:val="0"/>
                <w:highlight w:val="black"/>
              </w:rPr>
            </w:pPr>
            <w:r>
              <w:rPr>
                <w:bCs w:val="0"/>
                <w:noProof/>
                <w:color w:val="000000"/>
                <w:highlight w:val="black"/>
              </w:rPr>
              <w:t>''''''''''''''''''</w:t>
            </w:r>
          </w:p>
        </w:tc>
        <w:tc>
          <w:tcPr>
            <w:tcW w:w="936" w:type="pct"/>
          </w:tcPr>
          <w:p w:rsidR="00A41CCD" w:rsidRPr="007672C8" w:rsidRDefault="00A41CCD" w:rsidP="00F055CD">
            <w:pPr>
              <w:pStyle w:val="TableText"/>
              <w:keepNext w:val="0"/>
              <w:widowControl w:val="0"/>
              <w:jc w:val="center"/>
              <w:rPr>
                <w:bCs w:val="0"/>
              </w:rPr>
            </w:pPr>
            <w:r w:rsidRPr="007672C8">
              <w:rPr>
                <w:bCs w:val="0"/>
              </w:rPr>
              <w:t>1.75</w:t>
            </w:r>
          </w:p>
        </w:tc>
        <w:tc>
          <w:tcPr>
            <w:tcW w:w="767" w:type="pct"/>
          </w:tcPr>
          <w:p w:rsidR="00A41CCD" w:rsidRPr="00DD7357" w:rsidRDefault="00DD7357" w:rsidP="00F055CD">
            <w:pPr>
              <w:pStyle w:val="TableText"/>
              <w:keepNext w:val="0"/>
              <w:widowControl w:val="0"/>
              <w:jc w:val="center"/>
              <w:rPr>
                <w:bCs w:val="0"/>
              </w:rPr>
            </w:pPr>
            <w:r>
              <w:rPr>
                <w:bCs w:val="0"/>
                <w:noProof/>
                <w:color w:val="000000"/>
                <w:highlight w:val="black"/>
              </w:rPr>
              <w:t>''''''''''''''''''''</w:t>
            </w:r>
            <w:r w:rsidR="0055341D">
              <w:rPr>
                <w:bCs w:val="0"/>
                <w:iCs/>
                <w:vertAlign w:val="superscript"/>
              </w:rPr>
              <w:t>5</w:t>
            </w:r>
          </w:p>
        </w:tc>
      </w:tr>
      <w:tr w:rsidR="00A41CCD" w:rsidRPr="003253E7" w:rsidTr="0014701D">
        <w:trPr>
          <w:cantSplit/>
        </w:trPr>
        <w:tc>
          <w:tcPr>
            <w:tcW w:w="2438" w:type="pct"/>
          </w:tcPr>
          <w:p w:rsidR="00A41CCD" w:rsidRPr="003253E7" w:rsidRDefault="00A41CCD" w:rsidP="00F055CD">
            <w:pPr>
              <w:pStyle w:val="TableText"/>
              <w:keepNext w:val="0"/>
              <w:widowControl w:val="0"/>
              <w:rPr>
                <w:bCs w:val="0"/>
              </w:rPr>
            </w:pPr>
            <w:r w:rsidRPr="003253E7">
              <w:rPr>
                <w:bCs w:val="0"/>
              </w:rPr>
              <w:t>3.5%</w:t>
            </w:r>
          </w:p>
        </w:tc>
        <w:tc>
          <w:tcPr>
            <w:tcW w:w="859" w:type="pct"/>
          </w:tcPr>
          <w:p w:rsidR="00A41CCD" w:rsidRPr="00DD7357" w:rsidRDefault="00DD7357" w:rsidP="00F055CD">
            <w:pPr>
              <w:pStyle w:val="TableText"/>
              <w:keepNext w:val="0"/>
              <w:widowControl w:val="0"/>
              <w:jc w:val="center"/>
              <w:rPr>
                <w:bCs w:val="0"/>
                <w:highlight w:val="black"/>
              </w:rPr>
            </w:pPr>
            <w:r>
              <w:rPr>
                <w:bCs w:val="0"/>
                <w:noProof/>
                <w:color w:val="000000"/>
                <w:highlight w:val="black"/>
              </w:rPr>
              <w:t>'''''''''''''''''''''</w:t>
            </w:r>
          </w:p>
        </w:tc>
        <w:tc>
          <w:tcPr>
            <w:tcW w:w="936" w:type="pct"/>
          </w:tcPr>
          <w:p w:rsidR="00A41CCD" w:rsidRPr="007672C8" w:rsidRDefault="00A41CCD" w:rsidP="00F055CD">
            <w:pPr>
              <w:pStyle w:val="TableText"/>
              <w:keepNext w:val="0"/>
              <w:widowControl w:val="0"/>
              <w:jc w:val="center"/>
              <w:rPr>
                <w:bCs w:val="0"/>
              </w:rPr>
            </w:pPr>
            <w:r w:rsidRPr="007672C8">
              <w:rPr>
                <w:bCs w:val="0"/>
              </w:rPr>
              <w:t>1.20</w:t>
            </w:r>
          </w:p>
        </w:tc>
        <w:tc>
          <w:tcPr>
            <w:tcW w:w="767" w:type="pct"/>
          </w:tcPr>
          <w:p w:rsidR="00A41CCD" w:rsidRPr="00DD7357" w:rsidRDefault="00DD7357" w:rsidP="00F055CD">
            <w:pPr>
              <w:pStyle w:val="TableText"/>
              <w:keepNext w:val="0"/>
              <w:widowControl w:val="0"/>
              <w:jc w:val="center"/>
              <w:rPr>
                <w:bCs w:val="0"/>
              </w:rPr>
            </w:pPr>
            <w:r>
              <w:rPr>
                <w:bCs w:val="0"/>
                <w:noProof/>
                <w:color w:val="000000"/>
                <w:highlight w:val="black"/>
              </w:rPr>
              <w:t>'''''''''''''''''''''</w:t>
            </w:r>
            <w:r w:rsidR="0055341D">
              <w:rPr>
                <w:bCs w:val="0"/>
                <w:iCs/>
                <w:vertAlign w:val="superscript"/>
              </w:rPr>
              <w:t>3</w:t>
            </w:r>
          </w:p>
        </w:tc>
      </w:tr>
      <w:tr w:rsidR="004975C6" w:rsidRPr="00A20EEA" w:rsidTr="00613ACB">
        <w:trPr>
          <w:cantSplit/>
        </w:trPr>
        <w:tc>
          <w:tcPr>
            <w:tcW w:w="5000" w:type="pct"/>
            <w:gridSpan w:val="4"/>
            <w:tcBorders>
              <w:top w:val="single" w:sz="4" w:space="0" w:color="auto"/>
              <w:left w:val="single" w:sz="4" w:space="0" w:color="auto"/>
              <w:bottom w:val="single" w:sz="4" w:space="0" w:color="auto"/>
              <w:right w:val="single" w:sz="4" w:space="0" w:color="auto"/>
            </w:tcBorders>
          </w:tcPr>
          <w:p w:rsidR="004975C6" w:rsidRPr="007672C8" w:rsidRDefault="004975C6" w:rsidP="00E51DC4">
            <w:pPr>
              <w:pStyle w:val="TableText"/>
              <w:keepNext w:val="0"/>
              <w:widowControl w:val="0"/>
              <w:rPr>
                <w:bCs w:val="0"/>
                <w:iCs/>
                <w:vertAlign w:val="superscript"/>
              </w:rPr>
            </w:pPr>
            <w:r w:rsidRPr="007672C8">
              <w:rPr>
                <w:b/>
                <w:bCs w:val="0"/>
                <w:iCs/>
              </w:rPr>
              <w:t>Revised base case proposed in PSCR using 1 October 2021 price of azacitidine (salvage chemotherapy administration costs at 100% hospitalisation, post-HSCT gilteritinib maintenance therapy costs and treatment benefit, 40 year time horizon, 2 year cure assumption, long-term survivor utilities based on age-adjusted general population estimates)</w:t>
            </w:r>
            <w:r w:rsidR="00A20EEA" w:rsidRPr="007672C8">
              <w:rPr>
                <w:b/>
                <w:bCs w:val="0"/>
                <w:iCs/>
                <w:vertAlign w:val="superscript"/>
              </w:rPr>
              <w:t>c</w:t>
            </w:r>
          </w:p>
        </w:tc>
      </w:tr>
      <w:tr w:rsidR="00570381" w:rsidRPr="00A20EEA" w:rsidTr="0014701D">
        <w:trPr>
          <w:cantSplit/>
        </w:trPr>
        <w:tc>
          <w:tcPr>
            <w:tcW w:w="2438" w:type="pct"/>
            <w:tcBorders>
              <w:top w:val="single" w:sz="4" w:space="0" w:color="auto"/>
              <w:left w:val="single" w:sz="4" w:space="0" w:color="auto"/>
              <w:bottom w:val="single" w:sz="4" w:space="0" w:color="auto"/>
              <w:right w:val="single" w:sz="4" w:space="0" w:color="auto"/>
            </w:tcBorders>
          </w:tcPr>
          <w:p w:rsidR="00570381" w:rsidRPr="00A20EEA" w:rsidRDefault="00471B4D" w:rsidP="00CC5A22">
            <w:pPr>
              <w:pStyle w:val="TableText"/>
              <w:keepNext w:val="0"/>
              <w:widowControl w:val="0"/>
              <w:rPr>
                <w:bCs w:val="0"/>
                <w:iCs/>
              </w:rPr>
            </w:pPr>
            <w:r w:rsidRPr="00A20EEA">
              <w:rPr>
                <w:bCs w:val="0"/>
                <w:iCs/>
              </w:rPr>
              <w:t>PSCR proposed base case</w:t>
            </w:r>
          </w:p>
        </w:tc>
        <w:tc>
          <w:tcPr>
            <w:tcW w:w="859" w:type="pct"/>
            <w:tcBorders>
              <w:top w:val="single" w:sz="4" w:space="0" w:color="auto"/>
              <w:left w:val="single" w:sz="4" w:space="0" w:color="auto"/>
              <w:bottom w:val="single" w:sz="4" w:space="0" w:color="auto"/>
              <w:right w:val="single" w:sz="4" w:space="0" w:color="auto"/>
            </w:tcBorders>
            <w:vAlign w:val="center"/>
          </w:tcPr>
          <w:p w:rsidR="00570381" w:rsidRPr="00DD7357" w:rsidRDefault="00DD7357" w:rsidP="007229BC">
            <w:pPr>
              <w:pStyle w:val="TableText"/>
              <w:keepNext w:val="0"/>
              <w:widowControl w:val="0"/>
              <w:jc w:val="center"/>
              <w:rPr>
                <w:bCs w:val="0"/>
                <w:iCs/>
                <w:highlight w:val="black"/>
              </w:rPr>
            </w:pPr>
            <w:r>
              <w:rPr>
                <w:bCs w:val="0"/>
                <w:iCs/>
                <w:noProof/>
                <w:color w:val="000000"/>
                <w:highlight w:val="black"/>
              </w:rPr>
              <w:t>''''''''''''''''''</w:t>
            </w:r>
          </w:p>
        </w:tc>
        <w:tc>
          <w:tcPr>
            <w:tcW w:w="936" w:type="pct"/>
            <w:tcBorders>
              <w:top w:val="single" w:sz="4" w:space="0" w:color="auto"/>
              <w:left w:val="single" w:sz="4" w:space="0" w:color="auto"/>
              <w:bottom w:val="single" w:sz="4" w:space="0" w:color="auto"/>
              <w:right w:val="single" w:sz="4" w:space="0" w:color="auto"/>
            </w:tcBorders>
            <w:vAlign w:val="center"/>
          </w:tcPr>
          <w:p w:rsidR="00570381" w:rsidRPr="007672C8" w:rsidRDefault="00570381" w:rsidP="007229BC">
            <w:pPr>
              <w:pStyle w:val="TableText"/>
              <w:keepNext w:val="0"/>
              <w:widowControl w:val="0"/>
              <w:jc w:val="center"/>
              <w:rPr>
                <w:bCs w:val="0"/>
                <w:iCs/>
              </w:rPr>
            </w:pPr>
            <w:r w:rsidRPr="007672C8">
              <w:rPr>
                <w:bCs w:val="0"/>
                <w:iCs/>
              </w:rPr>
              <w:t>1.05</w:t>
            </w:r>
          </w:p>
        </w:tc>
        <w:tc>
          <w:tcPr>
            <w:tcW w:w="767" w:type="pct"/>
            <w:tcBorders>
              <w:top w:val="single" w:sz="4" w:space="0" w:color="auto"/>
              <w:left w:val="single" w:sz="4" w:space="0" w:color="auto"/>
              <w:bottom w:val="single" w:sz="4" w:space="0" w:color="auto"/>
              <w:right w:val="single" w:sz="4" w:space="0" w:color="auto"/>
            </w:tcBorders>
            <w:vAlign w:val="center"/>
          </w:tcPr>
          <w:p w:rsidR="00570381" w:rsidRPr="00DD7357" w:rsidRDefault="00DD7357" w:rsidP="007229BC">
            <w:pPr>
              <w:pStyle w:val="TableText"/>
              <w:keepNext w:val="0"/>
              <w:widowControl w:val="0"/>
              <w:jc w:val="center"/>
              <w:rPr>
                <w:bCs w:val="0"/>
                <w:iCs/>
              </w:rPr>
            </w:pPr>
            <w:r>
              <w:rPr>
                <w:bCs w:val="0"/>
                <w:iCs/>
                <w:noProof/>
                <w:color w:val="000000"/>
                <w:highlight w:val="black"/>
              </w:rPr>
              <w:t>'''''''''''''''''</w:t>
            </w:r>
            <w:r w:rsidR="0055341D">
              <w:rPr>
                <w:bCs w:val="0"/>
                <w:iCs/>
                <w:vertAlign w:val="superscript"/>
              </w:rPr>
              <w:t>1</w:t>
            </w:r>
          </w:p>
        </w:tc>
      </w:tr>
      <w:tr w:rsidR="00CC5A22" w:rsidRPr="00A20EEA" w:rsidTr="0014701D">
        <w:trPr>
          <w:cantSplit/>
        </w:trPr>
        <w:tc>
          <w:tcPr>
            <w:tcW w:w="2438" w:type="pct"/>
            <w:tcBorders>
              <w:top w:val="single" w:sz="4" w:space="0" w:color="auto"/>
              <w:left w:val="single" w:sz="4" w:space="0" w:color="auto"/>
              <w:bottom w:val="single" w:sz="4" w:space="0" w:color="auto"/>
              <w:right w:val="single" w:sz="4" w:space="0" w:color="auto"/>
            </w:tcBorders>
          </w:tcPr>
          <w:p w:rsidR="00CC5A22" w:rsidRPr="00A20EEA" w:rsidRDefault="00CC5A22" w:rsidP="00CC5A22">
            <w:pPr>
              <w:pStyle w:val="TableText"/>
              <w:keepNext w:val="0"/>
              <w:widowControl w:val="0"/>
              <w:rPr>
                <w:bCs w:val="0"/>
                <w:iCs/>
              </w:rPr>
            </w:pPr>
            <w:r w:rsidRPr="00A20EEA">
              <w:rPr>
                <w:bCs w:val="0"/>
                <w:iCs/>
              </w:rPr>
              <w:t>Salvage chemotherapy administration costs at 58.9% hospitalisation AND post-HSCT gilteritinib maintenance therapy costs without treatment benefit</w:t>
            </w:r>
            <w:r w:rsidR="007229BC">
              <w:rPr>
                <w:bCs w:val="0"/>
                <w:iCs/>
              </w:rPr>
              <w:t xml:space="preserve"> (Scenario (A))</w:t>
            </w:r>
          </w:p>
        </w:tc>
        <w:tc>
          <w:tcPr>
            <w:tcW w:w="859" w:type="pct"/>
            <w:tcBorders>
              <w:top w:val="single" w:sz="4" w:space="0" w:color="auto"/>
              <w:left w:val="single" w:sz="4" w:space="0" w:color="auto"/>
              <w:bottom w:val="single" w:sz="4" w:space="0" w:color="auto"/>
              <w:right w:val="single" w:sz="4" w:space="0" w:color="auto"/>
            </w:tcBorders>
            <w:vAlign w:val="center"/>
          </w:tcPr>
          <w:p w:rsidR="00CC5A22" w:rsidRPr="00DD7357" w:rsidRDefault="00DD7357" w:rsidP="007229BC">
            <w:pPr>
              <w:pStyle w:val="TableText"/>
              <w:keepNext w:val="0"/>
              <w:widowControl w:val="0"/>
              <w:jc w:val="center"/>
              <w:rPr>
                <w:bCs w:val="0"/>
                <w:iCs/>
                <w:highlight w:val="black"/>
              </w:rPr>
            </w:pPr>
            <w:r>
              <w:rPr>
                <w:bCs w:val="0"/>
                <w:iCs/>
                <w:noProof/>
                <w:color w:val="000000"/>
                <w:highlight w:val="black"/>
              </w:rPr>
              <w:t>'''''''''''''''''''''''</w:t>
            </w:r>
          </w:p>
        </w:tc>
        <w:tc>
          <w:tcPr>
            <w:tcW w:w="936" w:type="pct"/>
            <w:tcBorders>
              <w:top w:val="single" w:sz="4" w:space="0" w:color="auto"/>
              <w:left w:val="single" w:sz="4" w:space="0" w:color="auto"/>
              <w:bottom w:val="single" w:sz="4" w:space="0" w:color="auto"/>
              <w:right w:val="single" w:sz="4" w:space="0" w:color="auto"/>
            </w:tcBorders>
            <w:vAlign w:val="center"/>
          </w:tcPr>
          <w:p w:rsidR="00CC5A22" w:rsidRPr="007672C8" w:rsidRDefault="00CC5A22" w:rsidP="007229BC">
            <w:pPr>
              <w:pStyle w:val="TableText"/>
              <w:keepNext w:val="0"/>
              <w:widowControl w:val="0"/>
              <w:jc w:val="center"/>
              <w:rPr>
                <w:bCs w:val="0"/>
                <w:iCs/>
              </w:rPr>
            </w:pPr>
            <w:r w:rsidRPr="007672C8">
              <w:rPr>
                <w:bCs w:val="0"/>
                <w:iCs/>
              </w:rPr>
              <w:t>0.82</w:t>
            </w:r>
          </w:p>
        </w:tc>
        <w:tc>
          <w:tcPr>
            <w:tcW w:w="767" w:type="pct"/>
            <w:tcBorders>
              <w:top w:val="single" w:sz="4" w:space="0" w:color="auto"/>
              <w:left w:val="single" w:sz="4" w:space="0" w:color="auto"/>
              <w:bottom w:val="single" w:sz="4" w:space="0" w:color="auto"/>
              <w:right w:val="single" w:sz="4" w:space="0" w:color="auto"/>
            </w:tcBorders>
            <w:vAlign w:val="center"/>
          </w:tcPr>
          <w:p w:rsidR="00CC5A22" w:rsidRPr="00DD7357" w:rsidRDefault="00DD7357" w:rsidP="007229BC">
            <w:pPr>
              <w:pStyle w:val="TableText"/>
              <w:keepNext w:val="0"/>
              <w:widowControl w:val="0"/>
              <w:jc w:val="center"/>
              <w:rPr>
                <w:bCs w:val="0"/>
                <w:iCs/>
              </w:rPr>
            </w:pPr>
            <w:r>
              <w:rPr>
                <w:bCs w:val="0"/>
                <w:iCs/>
                <w:noProof/>
                <w:color w:val="000000"/>
                <w:highlight w:val="black"/>
              </w:rPr>
              <w:t>''''''''''''''''''''''''</w:t>
            </w:r>
            <w:r w:rsidR="00531F17">
              <w:rPr>
                <w:bCs w:val="0"/>
                <w:iCs/>
                <w:vertAlign w:val="superscript"/>
              </w:rPr>
              <w:t>6</w:t>
            </w:r>
          </w:p>
        </w:tc>
      </w:tr>
      <w:tr w:rsidR="00CC5A22" w:rsidRPr="00A20EEA" w:rsidTr="0014701D">
        <w:trPr>
          <w:cantSplit/>
        </w:trPr>
        <w:tc>
          <w:tcPr>
            <w:tcW w:w="2438" w:type="pct"/>
            <w:tcBorders>
              <w:top w:val="single" w:sz="4" w:space="0" w:color="auto"/>
              <w:left w:val="single" w:sz="4" w:space="0" w:color="auto"/>
              <w:bottom w:val="single" w:sz="4" w:space="0" w:color="auto"/>
              <w:right w:val="single" w:sz="4" w:space="0" w:color="auto"/>
            </w:tcBorders>
          </w:tcPr>
          <w:p w:rsidR="00CC5A22" w:rsidRPr="00A20EEA" w:rsidRDefault="00A20EEA" w:rsidP="00CC5A22">
            <w:pPr>
              <w:pStyle w:val="TableText"/>
              <w:keepNext w:val="0"/>
              <w:widowControl w:val="0"/>
              <w:rPr>
                <w:bCs w:val="0"/>
                <w:iCs/>
              </w:rPr>
            </w:pPr>
            <w:r>
              <w:rPr>
                <w:bCs w:val="0"/>
                <w:iCs/>
              </w:rPr>
              <w:t xml:space="preserve">Scenario (A) </w:t>
            </w:r>
            <w:r w:rsidR="00CC5A22" w:rsidRPr="00A20EEA">
              <w:rPr>
                <w:bCs w:val="0"/>
                <w:iCs/>
              </w:rPr>
              <w:t>AND 25</w:t>
            </w:r>
            <w:r w:rsidR="007229BC">
              <w:rPr>
                <w:bCs w:val="0"/>
                <w:iCs/>
              </w:rPr>
              <w:t>-</w:t>
            </w:r>
            <w:r w:rsidR="00CC5A22" w:rsidRPr="00A20EEA">
              <w:rPr>
                <w:bCs w:val="0"/>
                <w:iCs/>
              </w:rPr>
              <w:t>year time horizon</w:t>
            </w:r>
          </w:p>
        </w:tc>
        <w:tc>
          <w:tcPr>
            <w:tcW w:w="859" w:type="pct"/>
            <w:tcBorders>
              <w:top w:val="single" w:sz="4" w:space="0" w:color="auto"/>
              <w:left w:val="single" w:sz="4" w:space="0" w:color="auto"/>
              <w:bottom w:val="single" w:sz="4" w:space="0" w:color="auto"/>
              <w:right w:val="single" w:sz="4" w:space="0" w:color="auto"/>
            </w:tcBorders>
            <w:vAlign w:val="center"/>
          </w:tcPr>
          <w:p w:rsidR="00CC5A22" w:rsidRPr="00DD7357" w:rsidRDefault="00DD7357" w:rsidP="007229BC">
            <w:pPr>
              <w:pStyle w:val="TableText"/>
              <w:keepNext w:val="0"/>
              <w:widowControl w:val="0"/>
              <w:jc w:val="center"/>
              <w:rPr>
                <w:bCs w:val="0"/>
                <w:iCs/>
                <w:highlight w:val="black"/>
              </w:rPr>
            </w:pPr>
            <w:r>
              <w:rPr>
                <w:bCs w:val="0"/>
                <w:iCs/>
                <w:noProof/>
                <w:color w:val="000000"/>
                <w:highlight w:val="black"/>
              </w:rPr>
              <w:t>''''''''''''''''''''''</w:t>
            </w:r>
          </w:p>
        </w:tc>
        <w:tc>
          <w:tcPr>
            <w:tcW w:w="936" w:type="pct"/>
            <w:tcBorders>
              <w:top w:val="single" w:sz="4" w:space="0" w:color="auto"/>
              <w:left w:val="single" w:sz="4" w:space="0" w:color="auto"/>
              <w:bottom w:val="single" w:sz="4" w:space="0" w:color="auto"/>
              <w:right w:val="single" w:sz="4" w:space="0" w:color="auto"/>
            </w:tcBorders>
            <w:vAlign w:val="center"/>
          </w:tcPr>
          <w:p w:rsidR="00CC5A22" w:rsidRPr="007672C8" w:rsidRDefault="00CC5A22" w:rsidP="007229BC">
            <w:pPr>
              <w:pStyle w:val="TableText"/>
              <w:keepNext w:val="0"/>
              <w:widowControl w:val="0"/>
              <w:jc w:val="center"/>
              <w:rPr>
                <w:bCs w:val="0"/>
                <w:iCs/>
              </w:rPr>
            </w:pPr>
            <w:r w:rsidRPr="007672C8">
              <w:rPr>
                <w:bCs w:val="0"/>
                <w:iCs/>
              </w:rPr>
              <w:t>0.79</w:t>
            </w:r>
          </w:p>
        </w:tc>
        <w:tc>
          <w:tcPr>
            <w:tcW w:w="767" w:type="pct"/>
            <w:tcBorders>
              <w:top w:val="single" w:sz="4" w:space="0" w:color="auto"/>
              <w:left w:val="single" w:sz="4" w:space="0" w:color="auto"/>
              <w:bottom w:val="single" w:sz="4" w:space="0" w:color="auto"/>
              <w:right w:val="single" w:sz="4" w:space="0" w:color="auto"/>
            </w:tcBorders>
            <w:vAlign w:val="center"/>
          </w:tcPr>
          <w:p w:rsidR="00CC5A22" w:rsidRPr="00DD7357" w:rsidRDefault="00DD7357" w:rsidP="007229BC">
            <w:pPr>
              <w:pStyle w:val="TableText"/>
              <w:keepNext w:val="0"/>
              <w:widowControl w:val="0"/>
              <w:jc w:val="center"/>
              <w:rPr>
                <w:bCs w:val="0"/>
                <w:iCs/>
              </w:rPr>
            </w:pPr>
            <w:r>
              <w:rPr>
                <w:bCs w:val="0"/>
                <w:iCs/>
                <w:noProof/>
                <w:color w:val="000000"/>
                <w:highlight w:val="black"/>
              </w:rPr>
              <w:t>''''''''''''''''''''</w:t>
            </w:r>
            <w:r w:rsidR="00531F17">
              <w:rPr>
                <w:bCs w:val="0"/>
                <w:iCs/>
                <w:vertAlign w:val="superscript"/>
              </w:rPr>
              <w:t>6</w:t>
            </w:r>
          </w:p>
        </w:tc>
      </w:tr>
      <w:tr w:rsidR="00CC5A22" w:rsidRPr="00A20EEA" w:rsidTr="0014701D">
        <w:trPr>
          <w:cantSplit/>
        </w:trPr>
        <w:tc>
          <w:tcPr>
            <w:tcW w:w="2438" w:type="pct"/>
            <w:tcBorders>
              <w:top w:val="single" w:sz="4" w:space="0" w:color="auto"/>
              <w:left w:val="single" w:sz="4" w:space="0" w:color="auto"/>
              <w:bottom w:val="single" w:sz="4" w:space="0" w:color="auto"/>
              <w:right w:val="single" w:sz="4" w:space="0" w:color="auto"/>
            </w:tcBorders>
          </w:tcPr>
          <w:p w:rsidR="00CC5A22" w:rsidRPr="00A20EEA" w:rsidRDefault="00A20EEA" w:rsidP="00CC5A22">
            <w:pPr>
              <w:pStyle w:val="TableText"/>
              <w:keepNext w:val="0"/>
              <w:widowControl w:val="0"/>
              <w:rPr>
                <w:bCs w:val="0"/>
                <w:iCs/>
              </w:rPr>
            </w:pPr>
            <w:r>
              <w:rPr>
                <w:bCs w:val="0"/>
                <w:iCs/>
              </w:rPr>
              <w:t>Scenario (A)</w:t>
            </w:r>
            <w:r w:rsidR="00CC5A22" w:rsidRPr="00A20EEA">
              <w:rPr>
                <w:bCs w:val="0"/>
                <w:iCs/>
              </w:rPr>
              <w:t xml:space="preserve"> AND </w:t>
            </w:r>
            <w:r w:rsidR="007229BC" w:rsidRPr="00A20EEA">
              <w:rPr>
                <w:bCs w:val="0"/>
                <w:iCs/>
              </w:rPr>
              <w:t>25-year</w:t>
            </w:r>
            <w:r w:rsidR="00CC5A22" w:rsidRPr="00A20EEA">
              <w:rPr>
                <w:bCs w:val="0"/>
                <w:iCs/>
              </w:rPr>
              <w:t xml:space="preserve"> time horizon AND </w:t>
            </w:r>
            <w:r w:rsidR="007229BC" w:rsidRPr="00A20EEA">
              <w:rPr>
                <w:bCs w:val="0"/>
                <w:iCs/>
              </w:rPr>
              <w:t>3-year</w:t>
            </w:r>
            <w:r w:rsidR="00CC5A22" w:rsidRPr="00A20EEA">
              <w:rPr>
                <w:bCs w:val="0"/>
                <w:iCs/>
              </w:rPr>
              <w:t xml:space="preserve"> cure assumption</w:t>
            </w:r>
          </w:p>
        </w:tc>
        <w:tc>
          <w:tcPr>
            <w:tcW w:w="859" w:type="pct"/>
            <w:tcBorders>
              <w:top w:val="single" w:sz="4" w:space="0" w:color="auto"/>
              <w:left w:val="single" w:sz="4" w:space="0" w:color="auto"/>
              <w:bottom w:val="single" w:sz="4" w:space="0" w:color="auto"/>
              <w:right w:val="single" w:sz="4" w:space="0" w:color="auto"/>
            </w:tcBorders>
            <w:vAlign w:val="center"/>
          </w:tcPr>
          <w:p w:rsidR="00CC5A22" w:rsidRPr="00DD7357" w:rsidRDefault="00DD7357" w:rsidP="007229BC">
            <w:pPr>
              <w:pStyle w:val="TableText"/>
              <w:keepNext w:val="0"/>
              <w:widowControl w:val="0"/>
              <w:jc w:val="center"/>
              <w:rPr>
                <w:bCs w:val="0"/>
                <w:iCs/>
                <w:highlight w:val="black"/>
              </w:rPr>
            </w:pPr>
            <w:r>
              <w:rPr>
                <w:bCs w:val="0"/>
                <w:iCs/>
                <w:noProof/>
                <w:color w:val="000000"/>
                <w:highlight w:val="black"/>
              </w:rPr>
              <w:t>'''''''''''''''''''''''</w:t>
            </w:r>
          </w:p>
        </w:tc>
        <w:tc>
          <w:tcPr>
            <w:tcW w:w="936" w:type="pct"/>
            <w:tcBorders>
              <w:top w:val="single" w:sz="4" w:space="0" w:color="auto"/>
              <w:left w:val="single" w:sz="4" w:space="0" w:color="auto"/>
              <w:bottom w:val="single" w:sz="4" w:space="0" w:color="auto"/>
              <w:right w:val="single" w:sz="4" w:space="0" w:color="auto"/>
            </w:tcBorders>
            <w:vAlign w:val="center"/>
          </w:tcPr>
          <w:p w:rsidR="00CC5A22" w:rsidRPr="007672C8" w:rsidRDefault="00CC5A22" w:rsidP="007229BC">
            <w:pPr>
              <w:pStyle w:val="TableText"/>
              <w:keepNext w:val="0"/>
              <w:widowControl w:val="0"/>
              <w:jc w:val="center"/>
              <w:rPr>
                <w:bCs w:val="0"/>
                <w:iCs/>
              </w:rPr>
            </w:pPr>
            <w:r w:rsidRPr="007672C8">
              <w:rPr>
                <w:bCs w:val="0"/>
                <w:iCs/>
              </w:rPr>
              <w:t>0.63</w:t>
            </w:r>
          </w:p>
        </w:tc>
        <w:tc>
          <w:tcPr>
            <w:tcW w:w="767" w:type="pct"/>
            <w:tcBorders>
              <w:top w:val="single" w:sz="4" w:space="0" w:color="auto"/>
              <w:left w:val="single" w:sz="4" w:space="0" w:color="auto"/>
              <w:bottom w:val="single" w:sz="4" w:space="0" w:color="auto"/>
              <w:right w:val="single" w:sz="4" w:space="0" w:color="auto"/>
            </w:tcBorders>
            <w:vAlign w:val="center"/>
          </w:tcPr>
          <w:p w:rsidR="00CC5A22" w:rsidRPr="00DD7357" w:rsidRDefault="00DD7357" w:rsidP="007229BC">
            <w:pPr>
              <w:pStyle w:val="TableText"/>
              <w:keepNext w:val="0"/>
              <w:widowControl w:val="0"/>
              <w:jc w:val="center"/>
              <w:rPr>
                <w:bCs w:val="0"/>
                <w:iCs/>
              </w:rPr>
            </w:pPr>
            <w:r>
              <w:rPr>
                <w:bCs w:val="0"/>
                <w:iCs/>
                <w:noProof/>
                <w:color w:val="000000"/>
                <w:highlight w:val="black"/>
              </w:rPr>
              <w:t>''''''''''''''''''''''''</w:t>
            </w:r>
            <w:r w:rsidR="00531F17">
              <w:rPr>
                <w:bCs w:val="0"/>
                <w:iCs/>
                <w:vertAlign w:val="superscript"/>
              </w:rPr>
              <w:t>7</w:t>
            </w:r>
          </w:p>
        </w:tc>
      </w:tr>
      <w:tr w:rsidR="00CC5A22" w:rsidRPr="00A20EEA" w:rsidTr="0014701D">
        <w:trPr>
          <w:cantSplit/>
        </w:trPr>
        <w:tc>
          <w:tcPr>
            <w:tcW w:w="2438" w:type="pct"/>
            <w:tcBorders>
              <w:top w:val="single" w:sz="4" w:space="0" w:color="auto"/>
              <w:left w:val="single" w:sz="4" w:space="0" w:color="auto"/>
              <w:bottom w:val="single" w:sz="4" w:space="0" w:color="auto"/>
              <w:right w:val="single" w:sz="4" w:space="0" w:color="auto"/>
            </w:tcBorders>
          </w:tcPr>
          <w:p w:rsidR="00CC5A22" w:rsidRPr="00A20EEA" w:rsidRDefault="00A20EEA" w:rsidP="00CC5A22">
            <w:pPr>
              <w:pStyle w:val="TableText"/>
              <w:keepNext w:val="0"/>
              <w:widowControl w:val="0"/>
              <w:rPr>
                <w:bCs w:val="0"/>
                <w:iCs/>
              </w:rPr>
            </w:pPr>
            <w:r>
              <w:rPr>
                <w:bCs w:val="0"/>
                <w:iCs/>
              </w:rPr>
              <w:t>Scenario (A)</w:t>
            </w:r>
            <w:r w:rsidR="00CC5A22" w:rsidRPr="00A20EEA">
              <w:rPr>
                <w:bCs w:val="0"/>
                <w:iCs/>
              </w:rPr>
              <w:t xml:space="preserve"> AND </w:t>
            </w:r>
            <w:r w:rsidR="007229BC" w:rsidRPr="00A20EEA">
              <w:rPr>
                <w:bCs w:val="0"/>
                <w:iCs/>
              </w:rPr>
              <w:t>25-year</w:t>
            </w:r>
            <w:r w:rsidR="00CC5A22" w:rsidRPr="00A20EEA">
              <w:rPr>
                <w:bCs w:val="0"/>
                <w:iCs/>
              </w:rPr>
              <w:t xml:space="preserve"> time horizon AND </w:t>
            </w:r>
            <w:r w:rsidR="007229BC" w:rsidRPr="00A20EEA">
              <w:rPr>
                <w:bCs w:val="0"/>
                <w:iCs/>
              </w:rPr>
              <w:t>5-year</w:t>
            </w:r>
            <w:r w:rsidR="00CC5A22" w:rsidRPr="00A20EEA">
              <w:rPr>
                <w:bCs w:val="0"/>
                <w:iCs/>
              </w:rPr>
              <w:t xml:space="preserve"> cure assumption</w:t>
            </w:r>
          </w:p>
        </w:tc>
        <w:tc>
          <w:tcPr>
            <w:tcW w:w="859" w:type="pct"/>
            <w:tcBorders>
              <w:top w:val="single" w:sz="4" w:space="0" w:color="auto"/>
              <w:left w:val="single" w:sz="4" w:space="0" w:color="auto"/>
              <w:bottom w:val="single" w:sz="4" w:space="0" w:color="auto"/>
              <w:right w:val="single" w:sz="4" w:space="0" w:color="auto"/>
            </w:tcBorders>
            <w:vAlign w:val="center"/>
          </w:tcPr>
          <w:p w:rsidR="00CC5A22" w:rsidRPr="00DD7357" w:rsidRDefault="00DD7357" w:rsidP="007229BC">
            <w:pPr>
              <w:pStyle w:val="TableText"/>
              <w:keepNext w:val="0"/>
              <w:widowControl w:val="0"/>
              <w:jc w:val="center"/>
              <w:rPr>
                <w:bCs w:val="0"/>
                <w:iCs/>
                <w:highlight w:val="black"/>
              </w:rPr>
            </w:pPr>
            <w:r>
              <w:rPr>
                <w:bCs w:val="0"/>
                <w:iCs/>
                <w:noProof/>
                <w:color w:val="000000"/>
                <w:highlight w:val="black"/>
              </w:rPr>
              <w:t>''''''''''''''''''''''</w:t>
            </w:r>
          </w:p>
        </w:tc>
        <w:tc>
          <w:tcPr>
            <w:tcW w:w="936" w:type="pct"/>
            <w:tcBorders>
              <w:top w:val="single" w:sz="4" w:space="0" w:color="auto"/>
              <w:left w:val="single" w:sz="4" w:space="0" w:color="auto"/>
              <w:bottom w:val="single" w:sz="4" w:space="0" w:color="auto"/>
              <w:right w:val="single" w:sz="4" w:space="0" w:color="auto"/>
            </w:tcBorders>
            <w:vAlign w:val="center"/>
          </w:tcPr>
          <w:p w:rsidR="00CC5A22" w:rsidRPr="007672C8" w:rsidRDefault="00CC5A22" w:rsidP="007229BC">
            <w:pPr>
              <w:pStyle w:val="TableText"/>
              <w:keepNext w:val="0"/>
              <w:widowControl w:val="0"/>
              <w:jc w:val="center"/>
              <w:rPr>
                <w:bCs w:val="0"/>
                <w:iCs/>
              </w:rPr>
            </w:pPr>
            <w:r w:rsidRPr="007672C8">
              <w:rPr>
                <w:bCs w:val="0"/>
                <w:iCs/>
              </w:rPr>
              <w:t>0.52</w:t>
            </w:r>
          </w:p>
        </w:tc>
        <w:tc>
          <w:tcPr>
            <w:tcW w:w="767" w:type="pct"/>
            <w:tcBorders>
              <w:top w:val="single" w:sz="4" w:space="0" w:color="auto"/>
              <w:left w:val="single" w:sz="4" w:space="0" w:color="auto"/>
              <w:bottom w:val="single" w:sz="4" w:space="0" w:color="auto"/>
              <w:right w:val="single" w:sz="4" w:space="0" w:color="auto"/>
            </w:tcBorders>
            <w:vAlign w:val="center"/>
          </w:tcPr>
          <w:p w:rsidR="00CC5A22" w:rsidRPr="00DD7357" w:rsidRDefault="00DD7357" w:rsidP="007229BC">
            <w:pPr>
              <w:pStyle w:val="TableText"/>
              <w:keepNext w:val="0"/>
              <w:widowControl w:val="0"/>
              <w:jc w:val="center"/>
              <w:rPr>
                <w:bCs w:val="0"/>
                <w:iCs/>
              </w:rPr>
            </w:pPr>
            <w:r>
              <w:rPr>
                <w:bCs w:val="0"/>
                <w:iCs/>
                <w:noProof/>
                <w:color w:val="000000"/>
                <w:highlight w:val="black"/>
              </w:rPr>
              <w:t>'''''''''''''''''''''''</w:t>
            </w:r>
            <w:r w:rsidR="00531F17">
              <w:rPr>
                <w:bCs w:val="0"/>
                <w:iCs/>
                <w:vertAlign w:val="superscript"/>
              </w:rPr>
              <w:t>7</w:t>
            </w:r>
          </w:p>
        </w:tc>
      </w:tr>
      <w:tr w:rsidR="00CC5A22" w:rsidRPr="00A20EEA" w:rsidTr="0014701D">
        <w:trPr>
          <w:cantSplit/>
        </w:trPr>
        <w:tc>
          <w:tcPr>
            <w:tcW w:w="2438" w:type="pct"/>
            <w:tcBorders>
              <w:top w:val="single" w:sz="4" w:space="0" w:color="auto"/>
              <w:left w:val="single" w:sz="4" w:space="0" w:color="auto"/>
              <w:bottom w:val="single" w:sz="4" w:space="0" w:color="auto"/>
              <w:right w:val="single" w:sz="4" w:space="0" w:color="auto"/>
            </w:tcBorders>
          </w:tcPr>
          <w:p w:rsidR="00CC5A22" w:rsidRPr="00A20EEA" w:rsidRDefault="00A20EEA" w:rsidP="00CC5A22">
            <w:pPr>
              <w:pStyle w:val="TableText"/>
              <w:keepNext w:val="0"/>
              <w:widowControl w:val="0"/>
              <w:rPr>
                <w:bCs w:val="0"/>
                <w:iCs/>
              </w:rPr>
            </w:pPr>
            <w:r>
              <w:rPr>
                <w:bCs w:val="0"/>
                <w:iCs/>
              </w:rPr>
              <w:t>Scenario (A)</w:t>
            </w:r>
            <w:r w:rsidR="00CC5A22" w:rsidRPr="00A20EEA">
              <w:rPr>
                <w:bCs w:val="0"/>
                <w:iCs/>
              </w:rPr>
              <w:t xml:space="preserve"> AND </w:t>
            </w:r>
            <w:r w:rsidR="007229BC" w:rsidRPr="00A20EEA">
              <w:rPr>
                <w:bCs w:val="0"/>
                <w:iCs/>
              </w:rPr>
              <w:t>25-year</w:t>
            </w:r>
            <w:r w:rsidR="00CC5A22" w:rsidRPr="00A20EEA">
              <w:rPr>
                <w:bCs w:val="0"/>
                <w:iCs/>
              </w:rPr>
              <w:t xml:space="preserve"> time horizon AND </w:t>
            </w:r>
            <w:r w:rsidR="007229BC" w:rsidRPr="00A20EEA">
              <w:rPr>
                <w:bCs w:val="0"/>
                <w:iCs/>
              </w:rPr>
              <w:t>5-year</w:t>
            </w:r>
            <w:r w:rsidR="00CC5A22" w:rsidRPr="00A20EEA">
              <w:rPr>
                <w:bCs w:val="0"/>
                <w:iCs/>
              </w:rPr>
              <w:t xml:space="preserve"> cure assumption AND long-term survivor utilities at 90% of age-adjusted general population estimates</w:t>
            </w:r>
          </w:p>
        </w:tc>
        <w:tc>
          <w:tcPr>
            <w:tcW w:w="859" w:type="pct"/>
            <w:tcBorders>
              <w:top w:val="single" w:sz="4" w:space="0" w:color="auto"/>
              <w:left w:val="single" w:sz="4" w:space="0" w:color="auto"/>
              <w:bottom w:val="single" w:sz="4" w:space="0" w:color="auto"/>
              <w:right w:val="single" w:sz="4" w:space="0" w:color="auto"/>
            </w:tcBorders>
            <w:vAlign w:val="center"/>
          </w:tcPr>
          <w:p w:rsidR="00CC5A22" w:rsidRPr="00DD7357" w:rsidRDefault="00DD7357" w:rsidP="007229BC">
            <w:pPr>
              <w:pStyle w:val="TableText"/>
              <w:keepNext w:val="0"/>
              <w:widowControl w:val="0"/>
              <w:jc w:val="center"/>
              <w:rPr>
                <w:bCs w:val="0"/>
                <w:iCs/>
                <w:highlight w:val="black"/>
              </w:rPr>
            </w:pPr>
            <w:r>
              <w:rPr>
                <w:bCs w:val="0"/>
                <w:iCs/>
                <w:noProof/>
                <w:color w:val="000000"/>
                <w:highlight w:val="black"/>
              </w:rPr>
              <w:t>'''''''''''''''''''''</w:t>
            </w:r>
          </w:p>
        </w:tc>
        <w:tc>
          <w:tcPr>
            <w:tcW w:w="936" w:type="pct"/>
            <w:tcBorders>
              <w:top w:val="single" w:sz="4" w:space="0" w:color="auto"/>
              <w:left w:val="single" w:sz="4" w:space="0" w:color="auto"/>
              <w:bottom w:val="single" w:sz="4" w:space="0" w:color="auto"/>
              <w:right w:val="single" w:sz="4" w:space="0" w:color="auto"/>
            </w:tcBorders>
            <w:vAlign w:val="center"/>
          </w:tcPr>
          <w:p w:rsidR="00CC5A22" w:rsidRPr="007672C8" w:rsidRDefault="00CC5A22" w:rsidP="007229BC">
            <w:pPr>
              <w:pStyle w:val="TableText"/>
              <w:keepNext w:val="0"/>
              <w:widowControl w:val="0"/>
              <w:jc w:val="center"/>
              <w:rPr>
                <w:bCs w:val="0"/>
                <w:iCs/>
              </w:rPr>
            </w:pPr>
            <w:r w:rsidRPr="007672C8">
              <w:rPr>
                <w:bCs w:val="0"/>
                <w:iCs/>
              </w:rPr>
              <w:t>0.49</w:t>
            </w:r>
          </w:p>
        </w:tc>
        <w:tc>
          <w:tcPr>
            <w:tcW w:w="767" w:type="pct"/>
            <w:tcBorders>
              <w:top w:val="single" w:sz="4" w:space="0" w:color="auto"/>
              <w:left w:val="single" w:sz="4" w:space="0" w:color="auto"/>
              <w:bottom w:val="single" w:sz="4" w:space="0" w:color="auto"/>
              <w:right w:val="single" w:sz="4" w:space="0" w:color="auto"/>
            </w:tcBorders>
            <w:vAlign w:val="center"/>
          </w:tcPr>
          <w:p w:rsidR="00CC5A22" w:rsidRPr="00DD7357" w:rsidRDefault="00DD7357" w:rsidP="007229BC">
            <w:pPr>
              <w:pStyle w:val="TableText"/>
              <w:keepNext w:val="0"/>
              <w:widowControl w:val="0"/>
              <w:jc w:val="center"/>
              <w:rPr>
                <w:bCs w:val="0"/>
                <w:iCs/>
              </w:rPr>
            </w:pPr>
            <w:r>
              <w:rPr>
                <w:bCs w:val="0"/>
                <w:iCs/>
                <w:noProof/>
                <w:color w:val="000000"/>
                <w:highlight w:val="black"/>
              </w:rPr>
              <w:t>''''''''''''''''''''''''</w:t>
            </w:r>
            <w:r w:rsidR="00531F17">
              <w:rPr>
                <w:bCs w:val="0"/>
                <w:iCs/>
                <w:vertAlign w:val="superscript"/>
              </w:rPr>
              <w:t>7</w:t>
            </w:r>
          </w:p>
        </w:tc>
      </w:tr>
      <w:tr w:rsidR="00471B4D" w:rsidRPr="00A20EEA" w:rsidTr="00613ACB">
        <w:trPr>
          <w:cantSplit/>
        </w:trPr>
        <w:tc>
          <w:tcPr>
            <w:tcW w:w="5000" w:type="pct"/>
            <w:gridSpan w:val="4"/>
          </w:tcPr>
          <w:p w:rsidR="00471B4D" w:rsidRPr="007672C8" w:rsidRDefault="00471B4D" w:rsidP="007229BC">
            <w:pPr>
              <w:pStyle w:val="TableText"/>
              <w:keepLines/>
              <w:widowControl w:val="0"/>
              <w:rPr>
                <w:iCs/>
                <w:vertAlign w:val="superscript"/>
              </w:rPr>
            </w:pPr>
            <w:r w:rsidRPr="007672C8">
              <w:rPr>
                <w:b/>
                <w:iCs/>
              </w:rPr>
              <w:t>Revised sensitivity analysis proposed in PSCR using 1 October 2021 price of azacitidine, excluding post-HSCT gilteritinib maintenance therapy drug costs, no additional treatment benefit</w:t>
            </w:r>
            <w:r w:rsidR="00A20EEA" w:rsidRPr="007672C8">
              <w:rPr>
                <w:b/>
                <w:iCs/>
                <w:vertAlign w:val="superscript"/>
              </w:rPr>
              <w:t>c</w:t>
            </w:r>
          </w:p>
        </w:tc>
      </w:tr>
      <w:tr w:rsidR="00CC5A22" w:rsidRPr="00A20EEA" w:rsidTr="0014701D">
        <w:trPr>
          <w:cantSplit/>
        </w:trPr>
        <w:tc>
          <w:tcPr>
            <w:tcW w:w="2438" w:type="pct"/>
          </w:tcPr>
          <w:p w:rsidR="00CC5A22" w:rsidRPr="00A20EEA" w:rsidRDefault="00471B4D" w:rsidP="007229BC">
            <w:pPr>
              <w:pStyle w:val="TableText"/>
              <w:keepLines/>
              <w:widowControl w:val="0"/>
              <w:rPr>
                <w:iCs/>
              </w:rPr>
            </w:pPr>
            <w:r w:rsidRPr="00A20EEA">
              <w:rPr>
                <w:iCs/>
              </w:rPr>
              <w:t>PSCR proposed sensitivity analysis</w:t>
            </w:r>
          </w:p>
        </w:tc>
        <w:tc>
          <w:tcPr>
            <w:tcW w:w="859" w:type="pct"/>
            <w:vAlign w:val="center"/>
          </w:tcPr>
          <w:p w:rsidR="00CC5A22" w:rsidRPr="00DD7357" w:rsidRDefault="00DD7357" w:rsidP="007229BC">
            <w:pPr>
              <w:pStyle w:val="TableText"/>
              <w:keepLines/>
              <w:widowControl w:val="0"/>
              <w:jc w:val="center"/>
              <w:rPr>
                <w:iCs/>
                <w:highlight w:val="black"/>
              </w:rPr>
            </w:pPr>
            <w:r>
              <w:rPr>
                <w:iCs/>
                <w:noProof/>
                <w:color w:val="000000"/>
                <w:highlight w:val="black"/>
              </w:rPr>
              <w:t>'''''''''''''''''''</w:t>
            </w:r>
          </w:p>
        </w:tc>
        <w:tc>
          <w:tcPr>
            <w:tcW w:w="936" w:type="pct"/>
            <w:vAlign w:val="center"/>
          </w:tcPr>
          <w:p w:rsidR="00CC5A22" w:rsidRPr="007672C8" w:rsidRDefault="00CC5A22" w:rsidP="007229BC">
            <w:pPr>
              <w:pStyle w:val="TableText"/>
              <w:keepLines/>
              <w:widowControl w:val="0"/>
              <w:jc w:val="center"/>
              <w:rPr>
                <w:iCs/>
              </w:rPr>
            </w:pPr>
            <w:r w:rsidRPr="007672C8">
              <w:rPr>
                <w:iCs/>
              </w:rPr>
              <w:t>0.82</w:t>
            </w:r>
          </w:p>
        </w:tc>
        <w:tc>
          <w:tcPr>
            <w:tcW w:w="767" w:type="pct"/>
            <w:vAlign w:val="center"/>
          </w:tcPr>
          <w:p w:rsidR="00CC5A22" w:rsidRPr="00DD7357" w:rsidRDefault="00DD7357" w:rsidP="007229BC">
            <w:pPr>
              <w:pStyle w:val="TableText"/>
              <w:keepLines/>
              <w:widowControl w:val="0"/>
              <w:jc w:val="center"/>
              <w:rPr>
                <w:iCs/>
              </w:rPr>
            </w:pPr>
            <w:r>
              <w:rPr>
                <w:iCs/>
                <w:noProof/>
                <w:color w:val="000000"/>
                <w:highlight w:val="black"/>
              </w:rPr>
              <w:t>'''''''''''''''''''''</w:t>
            </w:r>
            <w:r w:rsidR="0055341D">
              <w:rPr>
                <w:bCs w:val="0"/>
                <w:iCs/>
                <w:vertAlign w:val="superscript"/>
              </w:rPr>
              <w:t>3</w:t>
            </w:r>
          </w:p>
        </w:tc>
      </w:tr>
      <w:tr w:rsidR="00CC5A22" w:rsidRPr="00A20EEA" w:rsidTr="0014701D">
        <w:trPr>
          <w:cantSplit/>
        </w:trPr>
        <w:tc>
          <w:tcPr>
            <w:tcW w:w="2438" w:type="pct"/>
          </w:tcPr>
          <w:p w:rsidR="00CC5A22" w:rsidRPr="00A20EEA" w:rsidRDefault="00CC5A22" w:rsidP="007229BC">
            <w:pPr>
              <w:pStyle w:val="TableText"/>
              <w:keepLines/>
              <w:widowControl w:val="0"/>
              <w:rPr>
                <w:bCs w:val="0"/>
                <w:iCs/>
              </w:rPr>
            </w:pPr>
            <w:r w:rsidRPr="00A20EEA">
              <w:rPr>
                <w:bCs w:val="0"/>
                <w:iCs/>
              </w:rPr>
              <w:t xml:space="preserve">Salvage chemotherapy administration costs at 58.9% hospitalisation AND </w:t>
            </w:r>
            <w:r w:rsidRPr="009237E4">
              <w:rPr>
                <w:b/>
                <w:iCs/>
              </w:rPr>
              <w:t>no</w:t>
            </w:r>
            <w:r w:rsidRPr="00A20EEA">
              <w:rPr>
                <w:bCs w:val="0"/>
                <w:iCs/>
              </w:rPr>
              <w:t xml:space="preserve"> post-HSCT gilteritinib maintenance therapy costs or treatment benefit</w:t>
            </w:r>
            <w:r w:rsidR="007229BC">
              <w:rPr>
                <w:bCs w:val="0"/>
                <w:iCs/>
              </w:rPr>
              <w:t xml:space="preserve"> (Scenario (B))</w:t>
            </w:r>
          </w:p>
        </w:tc>
        <w:tc>
          <w:tcPr>
            <w:tcW w:w="859" w:type="pct"/>
            <w:vAlign w:val="center"/>
          </w:tcPr>
          <w:p w:rsidR="00CC5A22" w:rsidRPr="00DD7357" w:rsidRDefault="00DD7357" w:rsidP="007229BC">
            <w:pPr>
              <w:pStyle w:val="TableText"/>
              <w:keepLines/>
              <w:widowControl w:val="0"/>
              <w:jc w:val="center"/>
              <w:rPr>
                <w:bCs w:val="0"/>
                <w:iCs/>
                <w:highlight w:val="black"/>
              </w:rPr>
            </w:pPr>
            <w:r>
              <w:rPr>
                <w:bCs w:val="0"/>
                <w:iCs/>
                <w:noProof/>
                <w:color w:val="000000"/>
                <w:highlight w:val="black"/>
              </w:rPr>
              <w:t>''''''''''''''''''</w:t>
            </w:r>
          </w:p>
        </w:tc>
        <w:tc>
          <w:tcPr>
            <w:tcW w:w="936" w:type="pct"/>
            <w:vAlign w:val="center"/>
          </w:tcPr>
          <w:p w:rsidR="00CC5A22" w:rsidRPr="007672C8" w:rsidRDefault="00CC5A22" w:rsidP="007229BC">
            <w:pPr>
              <w:pStyle w:val="TableText"/>
              <w:keepLines/>
              <w:widowControl w:val="0"/>
              <w:jc w:val="center"/>
              <w:rPr>
                <w:bCs w:val="0"/>
                <w:iCs/>
              </w:rPr>
            </w:pPr>
            <w:r w:rsidRPr="007672C8">
              <w:rPr>
                <w:bCs w:val="0"/>
                <w:iCs/>
              </w:rPr>
              <w:t>0.82</w:t>
            </w:r>
          </w:p>
        </w:tc>
        <w:tc>
          <w:tcPr>
            <w:tcW w:w="767" w:type="pct"/>
            <w:vAlign w:val="center"/>
          </w:tcPr>
          <w:p w:rsidR="00CC5A22" w:rsidRPr="00DD7357" w:rsidRDefault="00DD7357" w:rsidP="007229BC">
            <w:pPr>
              <w:pStyle w:val="TableText"/>
              <w:keepLines/>
              <w:widowControl w:val="0"/>
              <w:jc w:val="center"/>
              <w:rPr>
                <w:bCs w:val="0"/>
                <w:iCs/>
              </w:rPr>
            </w:pPr>
            <w:r>
              <w:rPr>
                <w:bCs w:val="0"/>
                <w:iCs/>
                <w:noProof/>
                <w:color w:val="000000"/>
                <w:highlight w:val="black"/>
              </w:rPr>
              <w:t>''''''''''''''''''</w:t>
            </w:r>
            <w:r w:rsidR="0055341D">
              <w:rPr>
                <w:bCs w:val="0"/>
                <w:iCs/>
                <w:vertAlign w:val="superscript"/>
              </w:rPr>
              <w:t>1</w:t>
            </w:r>
          </w:p>
        </w:tc>
      </w:tr>
      <w:tr w:rsidR="00CC5A22" w:rsidRPr="00A20EEA" w:rsidTr="0014701D">
        <w:trPr>
          <w:cantSplit/>
        </w:trPr>
        <w:tc>
          <w:tcPr>
            <w:tcW w:w="2438" w:type="pct"/>
          </w:tcPr>
          <w:p w:rsidR="00CC5A22" w:rsidRPr="00A20EEA" w:rsidRDefault="007229BC" w:rsidP="007229BC">
            <w:pPr>
              <w:pStyle w:val="TableText"/>
              <w:keepLines/>
              <w:widowControl w:val="0"/>
              <w:rPr>
                <w:bCs w:val="0"/>
                <w:iCs/>
              </w:rPr>
            </w:pPr>
            <w:r>
              <w:rPr>
                <w:bCs w:val="0"/>
                <w:iCs/>
              </w:rPr>
              <w:t>Scenario (B)</w:t>
            </w:r>
            <w:r w:rsidR="00CC5A22" w:rsidRPr="00A20EEA">
              <w:rPr>
                <w:bCs w:val="0"/>
                <w:iCs/>
              </w:rPr>
              <w:t xml:space="preserve"> AND </w:t>
            </w:r>
            <w:r w:rsidRPr="00A20EEA">
              <w:rPr>
                <w:bCs w:val="0"/>
                <w:iCs/>
              </w:rPr>
              <w:t>25-year</w:t>
            </w:r>
            <w:r w:rsidR="00CC5A22" w:rsidRPr="00A20EEA">
              <w:rPr>
                <w:bCs w:val="0"/>
                <w:iCs/>
              </w:rPr>
              <w:t xml:space="preserve"> time horizon</w:t>
            </w:r>
          </w:p>
        </w:tc>
        <w:tc>
          <w:tcPr>
            <w:tcW w:w="859" w:type="pct"/>
            <w:vAlign w:val="center"/>
          </w:tcPr>
          <w:p w:rsidR="00CC5A22" w:rsidRPr="00DD7357" w:rsidRDefault="00DD7357" w:rsidP="007229BC">
            <w:pPr>
              <w:pStyle w:val="TableText"/>
              <w:keepLines/>
              <w:widowControl w:val="0"/>
              <w:jc w:val="center"/>
              <w:rPr>
                <w:bCs w:val="0"/>
                <w:iCs/>
                <w:highlight w:val="black"/>
              </w:rPr>
            </w:pPr>
            <w:r>
              <w:rPr>
                <w:bCs w:val="0"/>
                <w:iCs/>
                <w:noProof/>
                <w:color w:val="000000"/>
                <w:highlight w:val="black"/>
              </w:rPr>
              <w:t>'''''''''''''''''''''</w:t>
            </w:r>
          </w:p>
        </w:tc>
        <w:tc>
          <w:tcPr>
            <w:tcW w:w="936" w:type="pct"/>
            <w:vAlign w:val="center"/>
          </w:tcPr>
          <w:p w:rsidR="00CC5A22" w:rsidRPr="007672C8" w:rsidRDefault="00CC5A22" w:rsidP="007229BC">
            <w:pPr>
              <w:pStyle w:val="TableText"/>
              <w:keepLines/>
              <w:widowControl w:val="0"/>
              <w:jc w:val="center"/>
              <w:rPr>
                <w:bCs w:val="0"/>
                <w:iCs/>
              </w:rPr>
            </w:pPr>
            <w:r w:rsidRPr="007672C8">
              <w:rPr>
                <w:bCs w:val="0"/>
                <w:iCs/>
              </w:rPr>
              <w:t>0.79</w:t>
            </w:r>
          </w:p>
        </w:tc>
        <w:tc>
          <w:tcPr>
            <w:tcW w:w="767" w:type="pct"/>
            <w:vAlign w:val="center"/>
          </w:tcPr>
          <w:p w:rsidR="00CC5A22" w:rsidRPr="00DD7357" w:rsidRDefault="00DD7357" w:rsidP="007229BC">
            <w:pPr>
              <w:pStyle w:val="TableText"/>
              <w:keepLines/>
              <w:widowControl w:val="0"/>
              <w:jc w:val="center"/>
              <w:rPr>
                <w:bCs w:val="0"/>
                <w:iCs/>
              </w:rPr>
            </w:pPr>
            <w:r>
              <w:rPr>
                <w:bCs w:val="0"/>
                <w:iCs/>
                <w:noProof/>
                <w:color w:val="000000"/>
                <w:highlight w:val="black"/>
              </w:rPr>
              <w:t>'''''''''''''''''''''</w:t>
            </w:r>
            <w:r w:rsidR="0055341D">
              <w:rPr>
                <w:bCs w:val="0"/>
                <w:iCs/>
                <w:vertAlign w:val="superscript"/>
              </w:rPr>
              <w:t>1</w:t>
            </w:r>
          </w:p>
        </w:tc>
      </w:tr>
      <w:tr w:rsidR="00CC5A22" w:rsidRPr="00A20EEA" w:rsidTr="0014701D">
        <w:trPr>
          <w:cantSplit/>
        </w:trPr>
        <w:tc>
          <w:tcPr>
            <w:tcW w:w="2438" w:type="pct"/>
          </w:tcPr>
          <w:p w:rsidR="00CC5A22" w:rsidRPr="00A20EEA" w:rsidRDefault="007229BC" w:rsidP="007229BC">
            <w:pPr>
              <w:pStyle w:val="TableText"/>
              <w:keepLines/>
              <w:widowControl w:val="0"/>
              <w:rPr>
                <w:bCs w:val="0"/>
                <w:iCs/>
              </w:rPr>
            </w:pPr>
            <w:r>
              <w:rPr>
                <w:bCs w:val="0"/>
                <w:iCs/>
              </w:rPr>
              <w:t>Scenario (B)</w:t>
            </w:r>
            <w:r w:rsidR="00CC5A22" w:rsidRPr="00A20EEA">
              <w:rPr>
                <w:bCs w:val="0"/>
                <w:iCs/>
              </w:rPr>
              <w:t xml:space="preserve"> AND </w:t>
            </w:r>
            <w:r w:rsidRPr="00A20EEA">
              <w:rPr>
                <w:bCs w:val="0"/>
                <w:iCs/>
              </w:rPr>
              <w:t>25-year</w:t>
            </w:r>
            <w:r w:rsidR="00CC5A22" w:rsidRPr="00A20EEA">
              <w:rPr>
                <w:bCs w:val="0"/>
                <w:iCs/>
              </w:rPr>
              <w:t xml:space="preserve"> time horizon AND </w:t>
            </w:r>
            <w:r w:rsidRPr="00A20EEA">
              <w:rPr>
                <w:bCs w:val="0"/>
                <w:iCs/>
              </w:rPr>
              <w:t>3-year</w:t>
            </w:r>
            <w:r w:rsidR="00CC5A22" w:rsidRPr="00A20EEA">
              <w:rPr>
                <w:bCs w:val="0"/>
                <w:iCs/>
              </w:rPr>
              <w:t xml:space="preserve"> cure assumption</w:t>
            </w:r>
          </w:p>
        </w:tc>
        <w:tc>
          <w:tcPr>
            <w:tcW w:w="859" w:type="pct"/>
            <w:vAlign w:val="center"/>
          </w:tcPr>
          <w:p w:rsidR="00CC5A22" w:rsidRPr="00DD7357" w:rsidRDefault="00DD7357" w:rsidP="007229BC">
            <w:pPr>
              <w:pStyle w:val="TableText"/>
              <w:keepLines/>
              <w:widowControl w:val="0"/>
              <w:jc w:val="center"/>
              <w:rPr>
                <w:bCs w:val="0"/>
                <w:iCs/>
                <w:highlight w:val="black"/>
              </w:rPr>
            </w:pPr>
            <w:r>
              <w:rPr>
                <w:bCs w:val="0"/>
                <w:iCs/>
                <w:noProof/>
                <w:color w:val="000000"/>
                <w:highlight w:val="black"/>
              </w:rPr>
              <w:t>'''''''''''''''''''</w:t>
            </w:r>
          </w:p>
        </w:tc>
        <w:tc>
          <w:tcPr>
            <w:tcW w:w="936" w:type="pct"/>
            <w:vAlign w:val="center"/>
          </w:tcPr>
          <w:p w:rsidR="00CC5A22" w:rsidRPr="007672C8" w:rsidRDefault="00CC5A22" w:rsidP="007229BC">
            <w:pPr>
              <w:pStyle w:val="TableText"/>
              <w:keepLines/>
              <w:widowControl w:val="0"/>
              <w:jc w:val="center"/>
              <w:rPr>
                <w:bCs w:val="0"/>
                <w:iCs/>
              </w:rPr>
            </w:pPr>
            <w:r w:rsidRPr="007672C8">
              <w:rPr>
                <w:bCs w:val="0"/>
                <w:iCs/>
              </w:rPr>
              <w:t>0.63</w:t>
            </w:r>
          </w:p>
        </w:tc>
        <w:tc>
          <w:tcPr>
            <w:tcW w:w="767" w:type="pct"/>
            <w:vAlign w:val="center"/>
          </w:tcPr>
          <w:p w:rsidR="00CC5A22" w:rsidRPr="00DD7357" w:rsidRDefault="00DD7357" w:rsidP="007229BC">
            <w:pPr>
              <w:pStyle w:val="TableText"/>
              <w:keepLines/>
              <w:widowControl w:val="0"/>
              <w:jc w:val="center"/>
              <w:rPr>
                <w:bCs w:val="0"/>
                <w:iCs/>
              </w:rPr>
            </w:pPr>
            <w:r>
              <w:rPr>
                <w:bCs w:val="0"/>
                <w:iCs/>
                <w:noProof/>
                <w:color w:val="000000"/>
                <w:highlight w:val="black"/>
              </w:rPr>
              <w:t>''''''''''''''''''''''</w:t>
            </w:r>
            <w:r w:rsidR="0055341D">
              <w:rPr>
                <w:bCs w:val="0"/>
                <w:iCs/>
                <w:vertAlign w:val="superscript"/>
              </w:rPr>
              <w:t>4</w:t>
            </w:r>
          </w:p>
        </w:tc>
      </w:tr>
      <w:tr w:rsidR="00CC5A22" w:rsidRPr="00A20EEA" w:rsidTr="0014701D">
        <w:trPr>
          <w:cantSplit/>
        </w:trPr>
        <w:tc>
          <w:tcPr>
            <w:tcW w:w="2438" w:type="pct"/>
          </w:tcPr>
          <w:p w:rsidR="00CC5A22" w:rsidRPr="00A20EEA" w:rsidRDefault="007229BC" w:rsidP="007229BC">
            <w:pPr>
              <w:pStyle w:val="TableText"/>
              <w:keepLines/>
              <w:widowControl w:val="0"/>
              <w:rPr>
                <w:bCs w:val="0"/>
                <w:iCs/>
              </w:rPr>
            </w:pPr>
            <w:r>
              <w:rPr>
                <w:bCs w:val="0"/>
                <w:iCs/>
              </w:rPr>
              <w:t>Scenario (B)</w:t>
            </w:r>
            <w:r w:rsidR="00CC5A22" w:rsidRPr="00A20EEA">
              <w:rPr>
                <w:bCs w:val="0"/>
                <w:iCs/>
              </w:rPr>
              <w:t xml:space="preserve"> AND </w:t>
            </w:r>
            <w:r w:rsidRPr="00A20EEA">
              <w:rPr>
                <w:bCs w:val="0"/>
                <w:iCs/>
              </w:rPr>
              <w:t>25-year</w:t>
            </w:r>
            <w:r w:rsidR="00CC5A22" w:rsidRPr="00A20EEA">
              <w:rPr>
                <w:bCs w:val="0"/>
                <w:iCs/>
              </w:rPr>
              <w:t xml:space="preserve"> time horizon AND </w:t>
            </w:r>
            <w:r w:rsidRPr="00A20EEA">
              <w:rPr>
                <w:bCs w:val="0"/>
                <w:iCs/>
              </w:rPr>
              <w:t>5-year</w:t>
            </w:r>
            <w:r w:rsidR="00CC5A22" w:rsidRPr="00A20EEA">
              <w:rPr>
                <w:bCs w:val="0"/>
                <w:iCs/>
              </w:rPr>
              <w:t xml:space="preserve"> cure assumption</w:t>
            </w:r>
          </w:p>
        </w:tc>
        <w:tc>
          <w:tcPr>
            <w:tcW w:w="859" w:type="pct"/>
            <w:vAlign w:val="center"/>
          </w:tcPr>
          <w:p w:rsidR="00CC5A22" w:rsidRPr="00DD7357" w:rsidRDefault="00DD7357" w:rsidP="007229BC">
            <w:pPr>
              <w:pStyle w:val="TableText"/>
              <w:keepLines/>
              <w:widowControl w:val="0"/>
              <w:jc w:val="center"/>
              <w:rPr>
                <w:bCs w:val="0"/>
                <w:iCs/>
                <w:highlight w:val="black"/>
              </w:rPr>
            </w:pPr>
            <w:r>
              <w:rPr>
                <w:bCs w:val="0"/>
                <w:iCs/>
                <w:noProof/>
                <w:color w:val="000000"/>
                <w:highlight w:val="black"/>
              </w:rPr>
              <w:t>'''''''''''''''''''</w:t>
            </w:r>
          </w:p>
        </w:tc>
        <w:tc>
          <w:tcPr>
            <w:tcW w:w="936" w:type="pct"/>
            <w:vAlign w:val="center"/>
          </w:tcPr>
          <w:p w:rsidR="00CC5A22" w:rsidRPr="007672C8" w:rsidRDefault="00CC5A22" w:rsidP="007229BC">
            <w:pPr>
              <w:pStyle w:val="TableText"/>
              <w:keepLines/>
              <w:widowControl w:val="0"/>
              <w:jc w:val="center"/>
              <w:rPr>
                <w:bCs w:val="0"/>
                <w:iCs/>
              </w:rPr>
            </w:pPr>
            <w:r w:rsidRPr="007672C8">
              <w:rPr>
                <w:bCs w:val="0"/>
                <w:iCs/>
              </w:rPr>
              <w:t>0.52</w:t>
            </w:r>
          </w:p>
        </w:tc>
        <w:tc>
          <w:tcPr>
            <w:tcW w:w="767" w:type="pct"/>
            <w:vAlign w:val="center"/>
          </w:tcPr>
          <w:p w:rsidR="00CC5A22" w:rsidRPr="00DD7357" w:rsidRDefault="00DD7357" w:rsidP="007229BC">
            <w:pPr>
              <w:pStyle w:val="TableText"/>
              <w:keepLines/>
              <w:widowControl w:val="0"/>
              <w:jc w:val="center"/>
              <w:rPr>
                <w:bCs w:val="0"/>
                <w:iCs/>
              </w:rPr>
            </w:pPr>
            <w:r>
              <w:rPr>
                <w:bCs w:val="0"/>
                <w:iCs/>
                <w:noProof/>
                <w:color w:val="000000"/>
                <w:highlight w:val="black"/>
              </w:rPr>
              <w:t>''''''''''''''''''''</w:t>
            </w:r>
            <w:r w:rsidR="00531F17">
              <w:rPr>
                <w:bCs w:val="0"/>
                <w:iCs/>
                <w:vertAlign w:val="superscript"/>
              </w:rPr>
              <w:t>6</w:t>
            </w:r>
          </w:p>
        </w:tc>
      </w:tr>
      <w:tr w:rsidR="00CC5A22" w:rsidRPr="00A20EEA" w:rsidTr="0014701D">
        <w:trPr>
          <w:cantSplit/>
        </w:trPr>
        <w:tc>
          <w:tcPr>
            <w:tcW w:w="2438" w:type="pct"/>
          </w:tcPr>
          <w:p w:rsidR="00CC5A22" w:rsidRPr="00A20EEA" w:rsidRDefault="007229BC" w:rsidP="007229BC">
            <w:pPr>
              <w:pStyle w:val="TableText"/>
              <w:keepLines/>
              <w:widowControl w:val="0"/>
              <w:rPr>
                <w:bCs w:val="0"/>
                <w:iCs/>
              </w:rPr>
            </w:pPr>
            <w:r>
              <w:rPr>
                <w:bCs w:val="0"/>
                <w:iCs/>
              </w:rPr>
              <w:t>Scenario (B)</w:t>
            </w:r>
            <w:r w:rsidR="00CC5A22" w:rsidRPr="00A20EEA">
              <w:rPr>
                <w:bCs w:val="0"/>
                <w:iCs/>
              </w:rPr>
              <w:t xml:space="preserve"> AND </w:t>
            </w:r>
            <w:r w:rsidRPr="00A20EEA">
              <w:rPr>
                <w:bCs w:val="0"/>
                <w:iCs/>
              </w:rPr>
              <w:t>25-year</w:t>
            </w:r>
            <w:r w:rsidR="00CC5A22" w:rsidRPr="00A20EEA">
              <w:rPr>
                <w:bCs w:val="0"/>
                <w:iCs/>
              </w:rPr>
              <w:t xml:space="preserve"> time horizon AND </w:t>
            </w:r>
            <w:r w:rsidRPr="00A20EEA">
              <w:rPr>
                <w:bCs w:val="0"/>
                <w:iCs/>
              </w:rPr>
              <w:t>5-year</w:t>
            </w:r>
            <w:r w:rsidR="00CC5A22" w:rsidRPr="00A20EEA">
              <w:rPr>
                <w:bCs w:val="0"/>
                <w:iCs/>
              </w:rPr>
              <w:t xml:space="preserve"> cure assumption AND long-term survivor utilities at 90% of age-adjusted general population estimates</w:t>
            </w:r>
          </w:p>
        </w:tc>
        <w:tc>
          <w:tcPr>
            <w:tcW w:w="859" w:type="pct"/>
            <w:vAlign w:val="center"/>
          </w:tcPr>
          <w:p w:rsidR="00CC5A22" w:rsidRPr="00DD7357" w:rsidRDefault="00DD7357" w:rsidP="007229BC">
            <w:pPr>
              <w:pStyle w:val="TableText"/>
              <w:keepLines/>
              <w:widowControl w:val="0"/>
              <w:jc w:val="center"/>
              <w:rPr>
                <w:bCs w:val="0"/>
                <w:iCs/>
                <w:highlight w:val="black"/>
              </w:rPr>
            </w:pPr>
            <w:r>
              <w:rPr>
                <w:bCs w:val="0"/>
                <w:iCs/>
                <w:noProof/>
                <w:color w:val="000000"/>
                <w:highlight w:val="black"/>
              </w:rPr>
              <w:t>''''''''''''''''''</w:t>
            </w:r>
          </w:p>
        </w:tc>
        <w:tc>
          <w:tcPr>
            <w:tcW w:w="936" w:type="pct"/>
            <w:vAlign w:val="center"/>
          </w:tcPr>
          <w:p w:rsidR="00CC5A22" w:rsidRPr="007672C8" w:rsidRDefault="00CC5A22" w:rsidP="007229BC">
            <w:pPr>
              <w:pStyle w:val="TableText"/>
              <w:keepLines/>
              <w:widowControl w:val="0"/>
              <w:jc w:val="center"/>
              <w:rPr>
                <w:bCs w:val="0"/>
                <w:iCs/>
              </w:rPr>
            </w:pPr>
            <w:r w:rsidRPr="007672C8">
              <w:rPr>
                <w:bCs w:val="0"/>
                <w:iCs/>
              </w:rPr>
              <w:t>0.49</w:t>
            </w:r>
          </w:p>
        </w:tc>
        <w:tc>
          <w:tcPr>
            <w:tcW w:w="767" w:type="pct"/>
            <w:vAlign w:val="center"/>
          </w:tcPr>
          <w:p w:rsidR="00CC5A22" w:rsidRPr="00DD7357" w:rsidRDefault="00DD7357" w:rsidP="007229BC">
            <w:pPr>
              <w:pStyle w:val="TableText"/>
              <w:keepLines/>
              <w:widowControl w:val="0"/>
              <w:jc w:val="center"/>
              <w:rPr>
                <w:bCs w:val="0"/>
                <w:iCs/>
              </w:rPr>
            </w:pPr>
            <w:r>
              <w:rPr>
                <w:bCs w:val="0"/>
                <w:iCs/>
                <w:noProof/>
                <w:color w:val="000000"/>
                <w:highlight w:val="black"/>
              </w:rPr>
              <w:t>'''''''''''''''''''''</w:t>
            </w:r>
            <w:r w:rsidR="00531F17">
              <w:rPr>
                <w:bCs w:val="0"/>
                <w:iCs/>
                <w:vertAlign w:val="superscript"/>
              </w:rPr>
              <w:t>6</w:t>
            </w:r>
          </w:p>
        </w:tc>
      </w:tr>
    </w:tbl>
    <w:p w:rsidR="004B44FC" w:rsidRPr="000B0BAA" w:rsidRDefault="004B44FC" w:rsidP="004B44FC">
      <w:pPr>
        <w:pStyle w:val="TableFigureFooter"/>
        <w:rPr>
          <w:i/>
        </w:rPr>
      </w:pPr>
      <w:r w:rsidRPr="003253E7">
        <w:t>Source: Table 95, p 210 of the submission</w:t>
      </w:r>
      <w:r w:rsidR="00CC5A22">
        <w:t xml:space="preserve">, Table 4, p6 and Table 5, p6 of the </w:t>
      </w:r>
      <w:r w:rsidR="00A20EEA">
        <w:t>Pre-Sub-Committee Response</w:t>
      </w:r>
    </w:p>
    <w:p w:rsidR="004B44FC" w:rsidRDefault="004B44FC" w:rsidP="004B44FC">
      <w:pPr>
        <w:pStyle w:val="TableFigureFooter"/>
      </w:pPr>
      <w:r w:rsidRPr="003253E7">
        <w:t xml:space="preserve">AE, adverse events; EFS, </w:t>
      </w:r>
      <w:r w:rsidR="00E2169A">
        <w:t>event free survival</w:t>
      </w:r>
      <w:r w:rsidRPr="003253E7">
        <w:t xml:space="preserve">; OS, overall survival; </w:t>
      </w:r>
      <w:r w:rsidR="00A20EEA">
        <w:t xml:space="preserve">PSCR, Pre-Sub-Committee Response; </w:t>
      </w:r>
      <w:r w:rsidRPr="003253E7">
        <w:t>SMR, standardised mortality ratio</w:t>
      </w:r>
    </w:p>
    <w:p w:rsidR="007E1B7A" w:rsidRDefault="004B44FC" w:rsidP="004B44FC">
      <w:pPr>
        <w:pStyle w:val="TableFigureFooter"/>
      </w:pPr>
      <w:r w:rsidRPr="003253E7">
        <w:rPr>
          <w:vertAlign w:val="superscript"/>
        </w:rPr>
        <w:t>a</w:t>
      </w:r>
      <w:r w:rsidRPr="003253E7">
        <w:t xml:space="preserve"> </w:t>
      </w:r>
      <w:r w:rsidR="00CC5A22">
        <w:t>Analysis u</w:t>
      </w:r>
      <w:r w:rsidR="007E1B7A">
        <w:t>ndertaken during the evaluation</w:t>
      </w:r>
    </w:p>
    <w:p w:rsidR="004B44FC" w:rsidRDefault="007E1B7A" w:rsidP="004B44FC">
      <w:pPr>
        <w:pStyle w:val="TableFigureFooter"/>
      </w:pPr>
      <w:r>
        <w:rPr>
          <w:vertAlign w:val="superscript"/>
        </w:rPr>
        <w:t xml:space="preserve">b </w:t>
      </w:r>
      <w:r w:rsidR="004B44FC" w:rsidRPr="003253E7">
        <w:t xml:space="preserve">Calculated based on number of patients achieving composite complete remission, CRc (complete remission, complete remission with incomplete haematologic recovery and complete remission with incomplete platelet recovery) in the ITT population. Alternative HSCT rate for gilteritinib was calculated as 60% x 54.3% = 32.6%. Alternative HSCT rate for salvage chemotherapy was calculated as 60% x 21.8% = 13.1%. </w:t>
      </w:r>
    </w:p>
    <w:p w:rsidR="00A20EEA" w:rsidRDefault="00A20EEA" w:rsidP="004B44FC">
      <w:pPr>
        <w:pStyle w:val="TableFigureFooter"/>
      </w:pPr>
      <w:r>
        <w:rPr>
          <w:vertAlign w:val="superscript"/>
        </w:rPr>
        <w:t xml:space="preserve">c </w:t>
      </w:r>
      <w:r>
        <w:t>Analyses undertaken for the ESC advice.</w:t>
      </w:r>
    </w:p>
    <w:p w:rsidR="0055341D" w:rsidRDefault="0055341D" w:rsidP="0055341D">
      <w:pPr>
        <w:pStyle w:val="TableFigureFooter"/>
        <w:spacing w:after="0"/>
        <w:contextualSpacing w:val="0"/>
        <w:rPr>
          <w:i/>
        </w:rPr>
      </w:pPr>
      <w:r w:rsidRPr="009868C4">
        <w:rPr>
          <w:i/>
        </w:rPr>
        <w:t>The redacted values correspond to the following ranges</w:t>
      </w:r>
      <w:r>
        <w:rPr>
          <w:i/>
        </w:rPr>
        <w:t xml:space="preserve">: </w:t>
      </w:r>
    </w:p>
    <w:p w:rsidR="0055341D" w:rsidRPr="00870C5D" w:rsidRDefault="0055341D" w:rsidP="0055341D">
      <w:pPr>
        <w:pStyle w:val="TableFigureFooter"/>
        <w:spacing w:after="0"/>
        <w:contextualSpacing w:val="0"/>
      </w:pPr>
      <w:r>
        <w:rPr>
          <w:i/>
          <w:vertAlign w:val="superscript"/>
        </w:rPr>
        <w:t>1</w:t>
      </w:r>
      <w:r>
        <w:rPr>
          <w:i/>
        </w:rPr>
        <w:t xml:space="preserve"> </w:t>
      </w:r>
      <w:r w:rsidRPr="0055341D">
        <w:rPr>
          <w:i/>
        </w:rPr>
        <w:t>$75,000 to &lt; $95,000</w:t>
      </w:r>
    </w:p>
    <w:p w:rsidR="0055341D" w:rsidRPr="00870C5D" w:rsidRDefault="0055341D" w:rsidP="0055341D">
      <w:pPr>
        <w:pStyle w:val="TableFigureFooter"/>
        <w:spacing w:after="0"/>
        <w:contextualSpacing w:val="0"/>
      </w:pPr>
      <w:r>
        <w:rPr>
          <w:i/>
          <w:vertAlign w:val="superscript"/>
        </w:rPr>
        <w:t>2</w:t>
      </w:r>
      <w:r>
        <w:rPr>
          <w:i/>
        </w:rPr>
        <w:t xml:space="preserve"> </w:t>
      </w:r>
      <w:r w:rsidRPr="0055341D">
        <w:rPr>
          <w:i/>
        </w:rPr>
        <w:t>$95,000 to &lt; $115,000</w:t>
      </w:r>
    </w:p>
    <w:p w:rsidR="0055341D" w:rsidRPr="00870C5D" w:rsidRDefault="0055341D" w:rsidP="0055341D">
      <w:pPr>
        <w:pStyle w:val="TableFigureFooter"/>
        <w:spacing w:after="0"/>
        <w:contextualSpacing w:val="0"/>
      </w:pPr>
      <w:r>
        <w:rPr>
          <w:i/>
          <w:vertAlign w:val="superscript"/>
        </w:rPr>
        <w:t>3</w:t>
      </w:r>
      <w:r>
        <w:rPr>
          <w:i/>
        </w:rPr>
        <w:t xml:space="preserve"> </w:t>
      </w:r>
      <w:r w:rsidRPr="0055341D">
        <w:rPr>
          <w:i/>
        </w:rPr>
        <w:t>$55,000 to &lt; $75,000</w:t>
      </w:r>
    </w:p>
    <w:p w:rsidR="0055341D" w:rsidRPr="00870C5D" w:rsidRDefault="0055341D" w:rsidP="0055341D">
      <w:pPr>
        <w:pStyle w:val="TableFigureFooter"/>
        <w:spacing w:after="0"/>
        <w:contextualSpacing w:val="0"/>
      </w:pPr>
      <w:r>
        <w:rPr>
          <w:i/>
          <w:vertAlign w:val="superscript"/>
        </w:rPr>
        <w:t>4</w:t>
      </w:r>
      <w:r>
        <w:rPr>
          <w:i/>
        </w:rPr>
        <w:t xml:space="preserve"> </w:t>
      </w:r>
      <w:r w:rsidRPr="0055341D">
        <w:rPr>
          <w:i/>
        </w:rPr>
        <w:t>$115,000 to &lt; $135,000</w:t>
      </w:r>
    </w:p>
    <w:p w:rsidR="0055341D" w:rsidRPr="00870C5D" w:rsidRDefault="0055341D" w:rsidP="0055341D">
      <w:pPr>
        <w:pStyle w:val="TableFigureFooter"/>
        <w:spacing w:after="0"/>
        <w:contextualSpacing w:val="0"/>
      </w:pPr>
      <w:r>
        <w:rPr>
          <w:i/>
          <w:vertAlign w:val="superscript"/>
        </w:rPr>
        <w:t>5</w:t>
      </w:r>
      <w:r>
        <w:rPr>
          <w:i/>
        </w:rPr>
        <w:t xml:space="preserve"> </w:t>
      </w:r>
      <w:r w:rsidRPr="0055341D">
        <w:rPr>
          <w:i/>
        </w:rPr>
        <w:t>$45,000 to &lt; $55,000</w:t>
      </w:r>
    </w:p>
    <w:p w:rsidR="0055341D" w:rsidRPr="00870C5D" w:rsidRDefault="0055341D" w:rsidP="0055341D">
      <w:pPr>
        <w:pStyle w:val="TableFigureFooter"/>
        <w:spacing w:after="0"/>
        <w:contextualSpacing w:val="0"/>
      </w:pPr>
      <w:r>
        <w:rPr>
          <w:i/>
          <w:vertAlign w:val="superscript"/>
        </w:rPr>
        <w:t>6</w:t>
      </w:r>
      <w:r>
        <w:rPr>
          <w:i/>
        </w:rPr>
        <w:t xml:space="preserve"> </w:t>
      </w:r>
      <w:r w:rsidR="00531F17" w:rsidRPr="00531F17">
        <w:rPr>
          <w:i/>
        </w:rPr>
        <w:t>$135,000 to &lt; $155,000</w:t>
      </w:r>
    </w:p>
    <w:p w:rsidR="0055341D" w:rsidRPr="00870C5D" w:rsidRDefault="0055341D" w:rsidP="0055341D">
      <w:pPr>
        <w:pStyle w:val="TableFigureFooter"/>
        <w:spacing w:after="0"/>
        <w:contextualSpacing w:val="0"/>
      </w:pPr>
      <w:r>
        <w:rPr>
          <w:i/>
          <w:vertAlign w:val="superscript"/>
        </w:rPr>
        <w:t>7</w:t>
      </w:r>
      <w:r>
        <w:rPr>
          <w:i/>
        </w:rPr>
        <w:t xml:space="preserve"> </w:t>
      </w:r>
      <w:r w:rsidR="00531F17" w:rsidRPr="00531F17">
        <w:rPr>
          <w:i/>
        </w:rPr>
        <w:t>$155,000 to &lt; $255,000</w:t>
      </w:r>
    </w:p>
    <w:p w:rsidR="0055341D" w:rsidRPr="00A20EEA" w:rsidRDefault="0055341D" w:rsidP="004B44FC">
      <w:pPr>
        <w:pStyle w:val="TableFigureFooter"/>
      </w:pPr>
    </w:p>
    <w:p w:rsidR="004B44FC" w:rsidRPr="003253E7" w:rsidRDefault="004B44FC" w:rsidP="004B44FC">
      <w:pPr>
        <w:pStyle w:val="ExecSumBodyText"/>
      </w:pPr>
      <w:r w:rsidRPr="003253E7">
        <w:t>The results were most sensitive to the time horizon, the cure assumption, drug administration costs for salvage chemotherapy, post-HSCT gilteritinib maintenance treatment costs and treatment benefit, gilteritinib (dose and treatment duration) and long-term survivor utilities. The results were moderately sensitive to baseline age and the standardised mortality ratio applied to long-term survival.</w:t>
      </w:r>
    </w:p>
    <w:p w:rsidR="004B44FC" w:rsidRDefault="008B5377" w:rsidP="004B44FC">
      <w:pPr>
        <w:pStyle w:val="ExecSumBodyText"/>
        <w:rPr>
          <w:iCs/>
        </w:rPr>
      </w:pPr>
      <w:r>
        <w:t xml:space="preserve">The results were moderately sensitive to multiple cost inputs </w:t>
      </w:r>
      <w:r w:rsidRPr="008B5377">
        <w:t>(</w:t>
      </w:r>
      <w:r w:rsidRPr="00047E73">
        <w:t>including drug administration costs in the salvage chemotherapy arm, adverse event costs, HSCT procedure costs, subsequent chemotherapy administration drug and administration costs and disease management hospitalisation costs).</w:t>
      </w:r>
      <w:r>
        <w:rPr>
          <w:i/>
          <w:iCs/>
        </w:rPr>
        <w:t xml:space="preserve"> </w:t>
      </w:r>
    </w:p>
    <w:p w:rsidR="0091620B" w:rsidRPr="00C00A16" w:rsidRDefault="00CC5A22" w:rsidP="00531F17">
      <w:pPr>
        <w:pStyle w:val="ExecSumBodyText"/>
        <w:rPr>
          <w:iCs/>
        </w:rPr>
      </w:pPr>
      <w:r w:rsidRPr="00C00A16">
        <w:rPr>
          <w:iCs/>
        </w:rPr>
        <w:t xml:space="preserve">The ESC noted the PSCR provided a revised </w:t>
      </w:r>
      <w:r w:rsidR="002F67B5" w:rsidRPr="00C00A16">
        <w:rPr>
          <w:iCs/>
        </w:rPr>
        <w:t>base case ICER accounting</w:t>
      </w:r>
      <w:r w:rsidRPr="00C00A16">
        <w:rPr>
          <w:iCs/>
        </w:rPr>
        <w:t xml:space="preserve"> for the 38.61% </w:t>
      </w:r>
      <w:r w:rsidR="00680899" w:rsidRPr="00C00A16">
        <w:t>azaciti</w:t>
      </w:r>
      <w:r w:rsidRPr="00C00A16">
        <w:t>dine price reduction from 1 October 2021 with a</w:t>
      </w:r>
      <w:r w:rsidR="002F67B5" w:rsidRPr="00C00A16">
        <w:t>n accompanying</w:t>
      </w:r>
      <w:r w:rsidRPr="00C00A16">
        <w:t xml:space="preserve"> revised </w:t>
      </w:r>
      <w:r w:rsidR="002F67B5" w:rsidRPr="00C00A16">
        <w:t>sensitivity analysis which exclude</w:t>
      </w:r>
      <w:r w:rsidR="002B6D54">
        <w:t>d</w:t>
      </w:r>
      <w:r w:rsidR="002F67B5" w:rsidRPr="00C00A16">
        <w:t xml:space="preserve"> </w:t>
      </w:r>
      <w:r w:rsidRPr="00C00A16">
        <w:t>post-HSCT gilteritinib maintenance therapy cost and benefits</w:t>
      </w:r>
      <w:r w:rsidR="002F67B5" w:rsidRPr="00C00A16">
        <w:t xml:space="preserve">. The ESC </w:t>
      </w:r>
      <w:r w:rsidR="00E274F6" w:rsidRPr="00C00A16">
        <w:t>noted</w:t>
      </w:r>
      <w:r w:rsidR="002F67B5" w:rsidRPr="00C00A16">
        <w:t xml:space="preserve"> the incorporation of the reduced </w:t>
      </w:r>
      <w:r w:rsidR="00680899" w:rsidRPr="00C00A16">
        <w:t>azaci</w:t>
      </w:r>
      <w:r w:rsidR="002F67B5" w:rsidRPr="00C00A16">
        <w:t xml:space="preserve">tidine price had a </w:t>
      </w:r>
      <w:r w:rsidR="00E274F6" w:rsidRPr="00C00A16">
        <w:t>small</w:t>
      </w:r>
      <w:r w:rsidR="002F67B5" w:rsidRPr="00C00A16">
        <w:t xml:space="preserve"> impact on the ICER</w:t>
      </w:r>
      <w:r w:rsidR="00E274F6" w:rsidRPr="00C00A16">
        <w:t xml:space="preserve"> (reduced from </w:t>
      </w:r>
      <w:r w:rsidR="00531F17" w:rsidRPr="00531F17">
        <w:t>$75,000 to &lt; $95,000</w:t>
      </w:r>
      <w:r w:rsidR="00531F17">
        <w:t xml:space="preserve"> </w:t>
      </w:r>
      <w:r w:rsidR="00E274F6" w:rsidRPr="00C00A16">
        <w:t xml:space="preserve">to </w:t>
      </w:r>
      <w:r w:rsidR="00531F17" w:rsidRPr="00531F17">
        <w:t>$75,000 to &lt; $95,000</w:t>
      </w:r>
      <w:r w:rsidR="00E274F6" w:rsidRPr="00C00A16">
        <w:t>)</w:t>
      </w:r>
      <w:r w:rsidR="002F67B5" w:rsidRPr="00C00A16">
        <w:t xml:space="preserve">. </w:t>
      </w:r>
    </w:p>
    <w:p w:rsidR="002F67B5" w:rsidRPr="00C00A16" w:rsidRDefault="002F67B5" w:rsidP="004B44FC">
      <w:pPr>
        <w:pStyle w:val="ExecSumBodyText"/>
        <w:rPr>
          <w:iCs/>
        </w:rPr>
      </w:pPr>
      <w:r w:rsidRPr="00C00A16">
        <w:rPr>
          <w:iCs/>
        </w:rPr>
        <w:t>The ESC considered that a respecified base case incorporating the following amendments</w:t>
      </w:r>
      <w:r w:rsidR="001C7009" w:rsidRPr="00C00A16">
        <w:rPr>
          <w:iCs/>
        </w:rPr>
        <w:t xml:space="preserve"> was </w:t>
      </w:r>
      <w:r w:rsidR="004A2341" w:rsidRPr="00C00A16">
        <w:rPr>
          <w:iCs/>
        </w:rPr>
        <w:t>required</w:t>
      </w:r>
      <w:r w:rsidRPr="00C00A16">
        <w:rPr>
          <w:iCs/>
        </w:rPr>
        <w:t xml:space="preserve"> to address concerns identified:</w:t>
      </w:r>
    </w:p>
    <w:p w:rsidR="002F67B5" w:rsidRPr="00975066" w:rsidRDefault="002F67B5" w:rsidP="00E73CF7">
      <w:pPr>
        <w:pStyle w:val="ExecSumBodyText"/>
        <w:numPr>
          <w:ilvl w:val="0"/>
          <w:numId w:val="9"/>
        </w:numPr>
        <w:rPr>
          <w:iCs/>
        </w:rPr>
      </w:pPr>
      <w:r w:rsidRPr="00C00A16">
        <w:rPr>
          <w:iCs/>
        </w:rPr>
        <w:t>58.9% of patients hospitalised for salvage chemotherapy as per the ADMIRAL trial</w:t>
      </w:r>
      <w:r w:rsidRPr="00975066">
        <w:rPr>
          <w:iCs/>
        </w:rPr>
        <w:t>;</w:t>
      </w:r>
    </w:p>
    <w:p w:rsidR="002F67B5" w:rsidRPr="00975066" w:rsidRDefault="00923066" w:rsidP="00E73CF7">
      <w:pPr>
        <w:pStyle w:val="ExecSumBodyText"/>
        <w:numPr>
          <w:ilvl w:val="0"/>
          <w:numId w:val="9"/>
        </w:numPr>
        <w:rPr>
          <w:iCs/>
        </w:rPr>
      </w:pPr>
      <w:r w:rsidRPr="00975066">
        <w:t>post-HSCT gilteritinib maintenance therapy costs included without treatment benefit;</w:t>
      </w:r>
    </w:p>
    <w:p w:rsidR="00923066" w:rsidRPr="00C00A16" w:rsidRDefault="00D22F46" w:rsidP="00E73CF7">
      <w:pPr>
        <w:pStyle w:val="ExecSumBodyText"/>
        <w:numPr>
          <w:ilvl w:val="0"/>
          <w:numId w:val="9"/>
        </w:numPr>
        <w:rPr>
          <w:iCs/>
        </w:rPr>
      </w:pPr>
      <w:r>
        <w:t>a</w:t>
      </w:r>
      <w:r w:rsidR="00923066" w:rsidRPr="00C00A16">
        <w:t xml:space="preserve"> </w:t>
      </w:r>
      <w:r w:rsidR="002B6D54" w:rsidRPr="00C00A16">
        <w:t>25-year</w:t>
      </w:r>
      <w:r w:rsidR="00923066" w:rsidRPr="00C00A16">
        <w:t xml:space="preserve"> time horizon;</w:t>
      </w:r>
    </w:p>
    <w:p w:rsidR="00923066" w:rsidRPr="00C00A16" w:rsidRDefault="00D22F46" w:rsidP="00E73CF7">
      <w:pPr>
        <w:pStyle w:val="ExecSumBodyText"/>
        <w:numPr>
          <w:ilvl w:val="0"/>
          <w:numId w:val="9"/>
        </w:numPr>
        <w:rPr>
          <w:iCs/>
        </w:rPr>
      </w:pPr>
      <w:r>
        <w:t>a</w:t>
      </w:r>
      <w:r w:rsidR="00923066" w:rsidRPr="00C00A16">
        <w:t xml:space="preserve"> </w:t>
      </w:r>
      <w:r w:rsidR="002B6D54" w:rsidRPr="00C00A16">
        <w:t>3-year</w:t>
      </w:r>
      <w:r w:rsidR="00923066" w:rsidRPr="00C00A16">
        <w:t xml:space="preserve"> cure assumption. </w:t>
      </w:r>
    </w:p>
    <w:p w:rsidR="00404820" w:rsidRPr="00C00A16" w:rsidRDefault="00923066" w:rsidP="00531F17">
      <w:pPr>
        <w:pStyle w:val="ExecSumBodyText"/>
      </w:pPr>
      <w:r w:rsidRPr="00C00A16">
        <w:t xml:space="preserve">The ESC noted that incorporating the above </w:t>
      </w:r>
      <w:r w:rsidR="001E279D" w:rsidRPr="00C00A16">
        <w:t>amendments, along with the 1</w:t>
      </w:r>
      <w:r w:rsidR="00975066">
        <w:t> </w:t>
      </w:r>
      <w:r w:rsidR="001E279D" w:rsidRPr="00C00A16">
        <w:t xml:space="preserve">October 2021 </w:t>
      </w:r>
      <w:r w:rsidR="005F34BC" w:rsidRPr="00C00A16">
        <w:t>azaci</w:t>
      </w:r>
      <w:r w:rsidR="001E279D" w:rsidRPr="00C00A16">
        <w:t xml:space="preserve">tidine price reduction, increased the base case ICER from </w:t>
      </w:r>
      <w:r w:rsidR="00531F17" w:rsidRPr="00531F17">
        <w:t>$75,000 to &lt; $95,000</w:t>
      </w:r>
      <w:r w:rsidR="001E279D" w:rsidRPr="00C00A16">
        <w:t xml:space="preserve">/QALY to </w:t>
      </w:r>
      <w:r w:rsidR="00531F17" w:rsidRPr="00531F17">
        <w:t>$155,000 to &lt; $255,000</w:t>
      </w:r>
      <w:r w:rsidR="001E279D" w:rsidRPr="00C00A16">
        <w:t xml:space="preserve">/QALY. The ESC noted that this further increased to </w:t>
      </w:r>
      <w:r w:rsidR="00531F17" w:rsidRPr="00531F17">
        <w:t>$155,000 to &lt; $255,000</w:t>
      </w:r>
      <w:r w:rsidR="001E279D" w:rsidRPr="00C00A16">
        <w:t xml:space="preserve">/QALY if a </w:t>
      </w:r>
      <w:r w:rsidR="002B6D54" w:rsidRPr="00C00A16">
        <w:t>5-year</w:t>
      </w:r>
      <w:r w:rsidR="001E279D" w:rsidRPr="00C00A16">
        <w:t xml:space="preserve"> cure assumption was used. </w:t>
      </w:r>
    </w:p>
    <w:p w:rsidR="00404820" w:rsidRDefault="00404820" w:rsidP="00531F17">
      <w:pPr>
        <w:pStyle w:val="ExecSumBodyText"/>
      </w:pPr>
      <w:r w:rsidRPr="00C00A16">
        <w:t xml:space="preserve">The ESC considered that if post-HSCT gilteritinib maintenance therapy was excluded from the </w:t>
      </w:r>
      <w:r w:rsidRPr="00975066">
        <w:t>restriction</w:t>
      </w:r>
      <w:r w:rsidR="00975066" w:rsidRPr="00975066">
        <w:t>,</w:t>
      </w:r>
      <w:r w:rsidRPr="00975066">
        <w:t xml:space="preserve"> it would be reasonable to remove post-HSCT gilteritinib maintenance therapy costs. The ESC noted</w:t>
      </w:r>
      <w:r w:rsidRPr="00C00A16">
        <w:t xml:space="preserve"> that amending the economic model to incorporate </w:t>
      </w:r>
      <w:r w:rsidRPr="00C00A16">
        <w:rPr>
          <w:iCs/>
        </w:rPr>
        <w:t xml:space="preserve">58.9% of patients hospitalised for salvage chemotherapy, a </w:t>
      </w:r>
      <w:r w:rsidR="002B6D54" w:rsidRPr="00C00A16">
        <w:rPr>
          <w:iCs/>
        </w:rPr>
        <w:t>25-year</w:t>
      </w:r>
      <w:r w:rsidRPr="00C00A16">
        <w:rPr>
          <w:iCs/>
        </w:rPr>
        <w:t xml:space="preserve"> time horizon and a </w:t>
      </w:r>
      <w:r w:rsidR="002B6D54" w:rsidRPr="00C00A16">
        <w:rPr>
          <w:iCs/>
        </w:rPr>
        <w:t>3-year</w:t>
      </w:r>
      <w:r w:rsidRPr="00C00A16">
        <w:rPr>
          <w:iCs/>
        </w:rPr>
        <w:t xml:space="preserve"> cure assumption would result in an ICER of </w:t>
      </w:r>
      <w:r w:rsidR="00531F17" w:rsidRPr="00531F17">
        <w:rPr>
          <w:iCs/>
        </w:rPr>
        <w:t>$115,000 to &lt; $135,000</w:t>
      </w:r>
      <w:r w:rsidRPr="00C00A16">
        <w:t xml:space="preserve">/QALY. The ESC noted that the ICER for this scenario increased to </w:t>
      </w:r>
      <w:r w:rsidR="00531F17" w:rsidRPr="00531F17">
        <w:t>$135,000 to &lt; $155,000</w:t>
      </w:r>
      <w:r w:rsidRPr="00C00A16">
        <w:t xml:space="preserve">/QALY if a </w:t>
      </w:r>
      <w:r w:rsidR="002B6D54" w:rsidRPr="00C00A16">
        <w:t>5-year</w:t>
      </w:r>
      <w:r w:rsidRPr="00C00A16">
        <w:t xml:space="preserve"> cure assumption was applied. </w:t>
      </w:r>
    </w:p>
    <w:p w:rsidR="00975066" w:rsidRPr="00C00A16" w:rsidRDefault="00436E62" w:rsidP="00531F17">
      <w:pPr>
        <w:pStyle w:val="ExecSumBodyText"/>
      </w:pPr>
      <w:r>
        <w:t>The pre-PBAC response presented an</w:t>
      </w:r>
      <w:r w:rsidRPr="00436E62">
        <w:t xml:space="preserve"> alternative revised base case analysis</w:t>
      </w:r>
      <w:r>
        <w:t>, which</w:t>
      </w:r>
      <w:r w:rsidR="00260BF2">
        <w:t xml:space="preserve"> it stated </w:t>
      </w:r>
      <w:r>
        <w:t>applied</w:t>
      </w:r>
      <w:r w:rsidRPr="00436E62">
        <w:t xml:space="preserve"> a cure point only to the patients in event-free survival at 2 years (</w:t>
      </w:r>
      <w:r>
        <w:t xml:space="preserve">with other parameters as per the ESC revised base case, </w:t>
      </w:r>
      <w:r w:rsidR="00584F84">
        <w:t xml:space="preserve">and </w:t>
      </w:r>
      <w:r>
        <w:t>excluding both costs and benefits of gilteritinib maintenance therapy post HSCT</w:t>
      </w:r>
      <w:r w:rsidRPr="00436E62">
        <w:t xml:space="preserve">). The </w:t>
      </w:r>
      <w:r>
        <w:t xml:space="preserve">resulting ICER was </w:t>
      </w:r>
      <w:r w:rsidR="00531F17">
        <w:t>$55,000 to &lt; $75,000</w:t>
      </w:r>
      <w:r w:rsidR="00C41026">
        <w:t>/QALY</w:t>
      </w:r>
      <w:r>
        <w:t>, but was unable to be verified</w:t>
      </w:r>
      <w:r w:rsidR="00C41026">
        <w:t xml:space="preserve"> and it was unclear why this ICER was substantially lower than </w:t>
      </w:r>
      <w:r w:rsidR="00711EAA">
        <w:t xml:space="preserve">that </w:t>
      </w:r>
      <w:r w:rsidR="00C41026">
        <w:t>for the ESC scenarios in the paragraph above</w:t>
      </w:r>
      <w:r>
        <w:t>.</w:t>
      </w:r>
      <w:r w:rsidR="00C41026">
        <w:t xml:space="preserve"> The PBAC therefore did not rely on this analysis in its considerations of the cost-effectiveness of gilteritinib. </w:t>
      </w:r>
    </w:p>
    <w:p w:rsidR="004B44FC" w:rsidRPr="003253E7" w:rsidRDefault="004B44FC" w:rsidP="004B44FC">
      <w:pPr>
        <w:pStyle w:val="3-SubsectionHeading"/>
      </w:pPr>
      <w:bookmarkStart w:id="48" w:name="_Toc22897646"/>
      <w:bookmarkStart w:id="49" w:name="_Toc22898858"/>
      <w:bookmarkStart w:id="50" w:name="_Toc82605761"/>
      <w:r w:rsidRPr="003253E7">
        <w:t>Drug cost/patient</w:t>
      </w:r>
      <w:bookmarkEnd w:id="48"/>
      <w:bookmarkEnd w:id="49"/>
      <w:bookmarkEnd w:id="50"/>
    </w:p>
    <w:p w:rsidR="009A2A45" w:rsidRPr="00C7349E" w:rsidRDefault="00C8786E" w:rsidP="00C8786E">
      <w:pPr>
        <w:pStyle w:val="ExecSumBodyText"/>
      </w:pPr>
      <w:r w:rsidRPr="003253E7">
        <w:rPr>
          <w:snapToGrid/>
        </w:rPr>
        <w:t xml:space="preserve">The estimated cost per patient for gilteritinib </w:t>
      </w:r>
      <w:r w:rsidR="00E95898">
        <w:rPr>
          <w:snapToGrid/>
        </w:rPr>
        <w:t>was</w:t>
      </w:r>
      <w:r w:rsidRPr="003253E7">
        <w:rPr>
          <w:snapToGrid/>
        </w:rPr>
        <w:t xml:space="preserve"> approximately $</w:t>
      </w:r>
      <w:r w:rsidR="00DD7357">
        <w:rPr>
          <w:noProof/>
          <w:snapToGrid/>
          <w:color w:val="000000"/>
          <w:highlight w:val="black"/>
        </w:rPr>
        <w:t>''''''''''''''</w:t>
      </w:r>
      <w:r w:rsidRPr="003253E7">
        <w:rPr>
          <w:snapToGrid/>
        </w:rPr>
        <w:t xml:space="preserve"> based on </w:t>
      </w:r>
      <w:r w:rsidR="009A2A45" w:rsidRPr="007672C8">
        <w:rPr>
          <w:snapToGrid/>
        </w:rPr>
        <w:t xml:space="preserve">the </w:t>
      </w:r>
      <w:r w:rsidRPr="007672C8">
        <w:rPr>
          <w:snapToGrid/>
        </w:rPr>
        <w:t>7.85 cycles of treatment</w:t>
      </w:r>
      <w:r w:rsidR="00260BF2" w:rsidRPr="007672C8">
        <w:rPr>
          <w:snapToGrid/>
        </w:rPr>
        <w:t xml:space="preserve"> </w:t>
      </w:r>
      <w:r w:rsidR="009A2A45" w:rsidRPr="007672C8">
        <w:rPr>
          <w:snapToGrid/>
        </w:rPr>
        <w:t xml:space="preserve">included in the economic model </w:t>
      </w:r>
      <w:r w:rsidR="00260BF2" w:rsidRPr="007672C8">
        <w:rPr>
          <w:snapToGrid/>
        </w:rPr>
        <w:t>(that is, incorporating post-HSCT maintenance use)</w:t>
      </w:r>
      <w:r w:rsidRPr="007672C8">
        <w:rPr>
          <w:snapToGrid/>
        </w:rPr>
        <w:t xml:space="preserve">. </w:t>
      </w:r>
      <w:r w:rsidR="009A2A45" w:rsidRPr="007672C8">
        <w:rPr>
          <w:snapToGrid/>
        </w:rPr>
        <w:t>The ESC noted the PSCR provided revised financial estimates in which the mean overall treatment duration was increased from 6.49 to 7.85</w:t>
      </w:r>
      <w:r w:rsidR="009A2A45" w:rsidRPr="00C00A16">
        <w:rPr>
          <w:snapToGrid/>
        </w:rPr>
        <w:t xml:space="preserve"> </w:t>
      </w:r>
      <w:r w:rsidR="009A2A45" w:rsidRPr="00260BF2">
        <w:rPr>
          <w:snapToGrid/>
        </w:rPr>
        <w:t>cycles (see paragraph 6.109).</w:t>
      </w:r>
      <w:r w:rsidR="009A2A45" w:rsidRPr="00C00A16">
        <w:rPr>
          <w:snapToGrid/>
        </w:rPr>
        <w:t xml:space="preserve"> The ESC also noted that if the cost of maintenance therapy was removed the estimated cost per patient for gilteritinib was $</w:t>
      </w:r>
      <w:r w:rsidR="00DD7357">
        <w:rPr>
          <w:noProof/>
          <w:snapToGrid/>
          <w:color w:val="000000"/>
          <w:highlight w:val="black"/>
        </w:rPr>
        <w:t>'''''''''''''''</w:t>
      </w:r>
      <w:r w:rsidR="009A2A45" w:rsidRPr="00C00A16">
        <w:rPr>
          <w:snapToGrid/>
        </w:rPr>
        <w:t>.</w:t>
      </w:r>
    </w:p>
    <w:p w:rsidR="00C8786E" w:rsidRPr="00C00A16" w:rsidRDefault="00C8786E" w:rsidP="00C8786E">
      <w:pPr>
        <w:pStyle w:val="ExecSumBodyText"/>
      </w:pPr>
      <w:r w:rsidRPr="003253E7">
        <w:rPr>
          <w:snapToGrid/>
        </w:rPr>
        <w:t>Differing approaches to calculating drug costs in salvage chemotherapy resulted in substantial differences in estimated costs for the comparator</w:t>
      </w:r>
      <w:r w:rsidRPr="005743F7">
        <w:rPr>
          <w:snapToGrid/>
        </w:rPr>
        <w:t>.</w:t>
      </w:r>
      <w:r w:rsidRPr="005743F7">
        <w:t xml:space="preserve"> </w:t>
      </w:r>
      <w:r w:rsidRPr="005743F7">
        <w:rPr>
          <w:snapToGrid/>
        </w:rPr>
        <w:t>In estimating the financial impact, the submission did not properly account for the underlying doses of each salvage chemotherapy agent. In general, the cost for each script was assumed to be the DPMQ/DPMA, which resulted in a substantial overestimation of the cost of each treatment.</w:t>
      </w:r>
      <w:r w:rsidR="00293BF7">
        <w:rPr>
          <w:snapToGrid/>
        </w:rPr>
        <w:t xml:space="preserve"> </w:t>
      </w:r>
      <w:r w:rsidR="00A31171">
        <w:rPr>
          <w:snapToGrid/>
        </w:rPr>
        <w:t>The costs below were not updated to account for the 1 October 2021 azacitidine price reduction.</w:t>
      </w:r>
    </w:p>
    <w:p w:rsidR="004B44FC" w:rsidRPr="003253E7" w:rsidRDefault="002B6D54" w:rsidP="00A31171">
      <w:pPr>
        <w:pStyle w:val="Tableheadingrow"/>
        <w:keepLines/>
      </w:pPr>
      <w:r>
        <w:t xml:space="preserve">Table </w:t>
      </w:r>
      <w:r>
        <w:rPr>
          <w:noProof/>
        </w:rPr>
        <w:t>12</w:t>
      </w:r>
      <w:r w:rsidR="004B44FC" w:rsidRPr="003253E7">
        <w:t>: Drug cost per patient for gilteritinib and salvage chemotherapy</w:t>
      </w:r>
    </w:p>
    <w:tbl>
      <w:tblPr>
        <w:tblW w:w="498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122"/>
        <w:gridCol w:w="2481"/>
        <w:gridCol w:w="2197"/>
        <w:gridCol w:w="2195"/>
      </w:tblGrid>
      <w:tr w:rsidR="00970C67" w:rsidRPr="003253E7" w:rsidTr="00BF3D1D">
        <w:trPr>
          <w:cantSplit/>
          <w:tblHeader/>
          <w:jc w:val="center"/>
        </w:trPr>
        <w:tc>
          <w:tcPr>
            <w:tcW w:w="1180" w:type="pct"/>
            <w:shd w:val="clear" w:color="auto" w:fill="auto"/>
            <w:vAlign w:val="center"/>
          </w:tcPr>
          <w:p w:rsidR="00970C67" w:rsidRPr="003253E7" w:rsidRDefault="00970C67" w:rsidP="00A31171">
            <w:pPr>
              <w:pStyle w:val="Tableheadingrow"/>
              <w:keepLines/>
              <w:widowControl w:val="0"/>
              <w:jc w:val="center"/>
              <w:rPr>
                <w:szCs w:val="20"/>
                <w:lang w:val="en-AU"/>
              </w:rPr>
            </w:pPr>
          </w:p>
        </w:tc>
        <w:tc>
          <w:tcPr>
            <w:tcW w:w="1379" w:type="pct"/>
            <w:shd w:val="clear" w:color="auto" w:fill="auto"/>
            <w:vAlign w:val="center"/>
          </w:tcPr>
          <w:p w:rsidR="00970C67" w:rsidRPr="003253E7" w:rsidRDefault="00970C67" w:rsidP="00A31171">
            <w:pPr>
              <w:pStyle w:val="Tableheadingrow"/>
              <w:keepLines/>
              <w:widowControl w:val="0"/>
              <w:jc w:val="center"/>
              <w:rPr>
                <w:szCs w:val="20"/>
                <w:lang w:val="en-AU"/>
              </w:rPr>
            </w:pPr>
            <w:r w:rsidRPr="003253E7">
              <w:rPr>
                <w:szCs w:val="20"/>
                <w:lang w:val="en-AU"/>
              </w:rPr>
              <w:t>Trial dose and duration</w:t>
            </w:r>
          </w:p>
        </w:tc>
        <w:tc>
          <w:tcPr>
            <w:tcW w:w="1221" w:type="pct"/>
            <w:shd w:val="clear" w:color="auto" w:fill="auto"/>
            <w:vAlign w:val="center"/>
          </w:tcPr>
          <w:p w:rsidR="00970C67" w:rsidRPr="003253E7" w:rsidRDefault="00970C67" w:rsidP="00A31171">
            <w:pPr>
              <w:pStyle w:val="Tableheadingrow"/>
              <w:keepLines/>
              <w:widowControl w:val="0"/>
              <w:jc w:val="center"/>
              <w:rPr>
                <w:szCs w:val="20"/>
                <w:lang w:val="en-AU"/>
              </w:rPr>
            </w:pPr>
            <w:r w:rsidRPr="003253E7">
              <w:rPr>
                <w:szCs w:val="20"/>
                <w:lang w:val="en-AU"/>
              </w:rPr>
              <w:t>Economic model</w:t>
            </w:r>
          </w:p>
        </w:tc>
        <w:tc>
          <w:tcPr>
            <w:tcW w:w="1220" w:type="pct"/>
            <w:shd w:val="clear" w:color="auto" w:fill="auto"/>
            <w:vAlign w:val="center"/>
          </w:tcPr>
          <w:p w:rsidR="00970C67" w:rsidRPr="003253E7" w:rsidRDefault="00970C67" w:rsidP="00A31171">
            <w:pPr>
              <w:pStyle w:val="Tableheadingrow"/>
              <w:keepLines/>
              <w:widowControl w:val="0"/>
              <w:jc w:val="center"/>
              <w:rPr>
                <w:szCs w:val="20"/>
                <w:lang w:val="en-AU"/>
              </w:rPr>
            </w:pPr>
            <w:r w:rsidRPr="003253E7">
              <w:rPr>
                <w:szCs w:val="20"/>
                <w:lang w:val="en-AU"/>
              </w:rPr>
              <w:t>Financial estimates</w:t>
            </w:r>
          </w:p>
        </w:tc>
      </w:tr>
      <w:tr w:rsidR="00970C67" w:rsidRPr="003253E7" w:rsidTr="00367B85">
        <w:trPr>
          <w:cantSplit/>
          <w:jc w:val="center"/>
        </w:trPr>
        <w:tc>
          <w:tcPr>
            <w:tcW w:w="5000" w:type="pct"/>
            <w:gridSpan w:val="4"/>
            <w:shd w:val="clear" w:color="auto" w:fill="auto"/>
            <w:vAlign w:val="center"/>
          </w:tcPr>
          <w:p w:rsidR="00970C67" w:rsidRPr="003253E7" w:rsidRDefault="00970C67" w:rsidP="00A31171">
            <w:pPr>
              <w:pStyle w:val="TableText"/>
              <w:keepLines/>
              <w:widowControl w:val="0"/>
              <w:rPr>
                <w:b/>
                <w:bCs w:val="0"/>
                <w:szCs w:val="20"/>
              </w:rPr>
            </w:pPr>
            <w:r w:rsidRPr="003253E7">
              <w:rPr>
                <w:b/>
                <w:bCs w:val="0"/>
                <w:szCs w:val="20"/>
              </w:rPr>
              <w:t>Gilteritinib</w:t>
            </w:r>
          </w:p>
        </w:tc>
      </w:tr>
      <w:tr w:rsidR="00970C67" w:rsidRPr="003253E7" w:rsidTr="00BF3D1D">
        <w:trPr>
          <w:cantSplit/>
          <w:jc w:val="center"/>
        </w:trPr>
        <w:tc>
          <w:tcPr>
            <w:tcW w:w="1180" w:type="pct"/>
            <w:shd w:val="clear" w:color="auto" w:fill="auto"/>
            <w:vAlign w:val="center"/>
          </w:tcPr>
          <w:p w:rsidR="00970C67" w:rsidRPr="003253E7" w:rsidRDefault="00970C67" w:rsidP="00A31171">
            <w:pPr>
              <w:pStyle w:val="TableText"/>
              <w:keepLines/>
              <w:widowControl w:val="0"/>
              <w:rPr>
                <w:szCs w:val="20"/>
              </w:rPr>
            </w:pPr>
            <w:r w:rsidRPr="003253E7">
              <w:rPr>
                <w:szCs w:val="20"/>
              </w:rPr>
              <w:t>Dose</w:t>
            </w:r>
          </w:p>
        </w:tc>
        <w:tc>
          <w:tcPr>
            <w:tcW w:w="1379" w:type="pct"/>
            <w:shd w:val="clear" w:color="auto" w:fill="auto"/>
            <w:vAlign w:val="center"/>
          </w:tcPr>
          <w:p w:rsidR="00970C67" w:rsidRPr="003253E7" w:rsidRDefault="00970C67" w:rsidP="00A31171">
            <w:pPr>
              <w:pStyle w:val="TableText"/>
              <w:keepLines/>
              <w:widowControl w:val="0"/>
              <w:jc w:val="center"/>
              <w:rPr>
                <w:szCs w:val="20"/>
              </w:rPr>
            </w:pPr>
            <w:r w:rsidRPr="003253E7">
              <w:rPr>
                <w:szCs w:val="20"/>
              </w:rPr>
              <w:t>Median: 120 mg daily</w:t>
            </w:r>
          </w:p>
          <w:p w:rsidR="00970C67" w:rsidRPr="003253E7" w:rsidRDefault="00970C67" w:rsidP="00A31171">
            <w:pPr>
              <w:pStyle w:val="TableText"/>
              <w:keepLines/>
              <w:widowControl w:val="0"/>
              <w:jc w:val="center"/>
              <w:rPr>
                <w:szCs w:val="20"/>
              </w:rPr>
            </w:pPr>
            <w:r w:rsidRPr="003253E7">
              <w:rPr>
                <w:szCs w:val="20"/>
              </w:rPr>
              <w:t>Mean: 124 mg daily</w:t>
            </w:r>
          </w:p>
        </w:tc>
        <w:tc>
          <w:tcPr>
            <w:tcW w:w="1221" w:type="pct"/>
            <w:shd w:val="clear" w:color="auto" w:fill="auto"/>
            <w:vAlign w:val="center"/>
          </w:tcPr>
          <w:p w:rsidR="00970C67" w:rsidRPr="003253E7" w:rsidRDefault="00970C67" w:rsidP="00A31171">
            <w:pPr>
              <w:pStyle w:val="TableText"/>
              <w:keepLines/>
              <w:widowControl w:val="0"/>
              <w:jc w:val="center"/>
              <w:rPr>
                <w:szCs w:val="20"/>
              </w:rPr>
            </w:pPr>
            <w:r w:rsidRPr="003253E7">
              <w:rPr>
                <w:szCs w:val="20"/>
              </w:rPr>
              <w:t>120 mg daily</w:t>
            </w:r>
          </w:p>
        </w:tc>
        <w:tc>
          <w:tcPr>
            <w:tcW w:w="1220" w:type="pct"/>
            <w:shd w:val="clear" w:color="auto" w:fill="auto"/>
            <w:vAlign w:val="center"/>
          </w:tcPr>
          <w:p w:rsidR="00970C67" w:rsidRPr="003253E7" w:rsidRDefault="00970C67" w:rsidP="00A31171">
            <w:pPr>
              <w:pStyle w:val="TableText"/>
              <w:keepLines/>
              <w:widowControl w:val="0"/>
              <w:jc w:val="center"/>
              <w:rPr>
                <w:szCs w:val="20"/>
              </w:rPr>
            </w:pPr>
            <w:r w:rsidRPr="003253E7">
              <w:rPr>
                <w:szCs w:val="20"/>
              </w:rPr>
              <w:t>120 mg daily</w:t>
            </w:r>
          </w:p>
        </w:tc>
      </w:tr>
      <w:tr w:rsidR="00970C67" w:rsidRPr="003253E7" w:rsidTr="00BF3D1D">
        <w:trPr>
          <w:cantSplit/>
          <w:jc w:val="center"/>
        </w:trPr>
        <w:tc>
          <w:tcPr>
            <w:tcW w:w="1180" w:type="pct"/>
            <w:shd w:val="clear" w:color="auto" w:fill="auto"/>
            <w:vAlign w:val="center"/>
          </w:tcPr>
          <w:p w:rsidR="00970C67" w:rsidRPr="003253E7" w:rsidRDefault="00970C67" w:rsidP="00A31171">
            <w:pPr>
              <w:pStyle w:val="TableText"/>
              <w:keepLines/>
              <w:widowControl w:val="0"/>
              <w:rPr>
                <w:szCs w:val="20"/>
                <w:vertAlign w:val="superscript"/>
              </w:rPr>
            </w:pPr>
            <w:r w:rsidRPr="003253E7">
              <w:rPr>
                <w:szCs w:val="20"/>
              </w:rPr>
              <w:t>Treatment duration (28-day cycles)</w:t>
            </w:r>
          </w:p>
        </w:tc>
        <w:tc>
          <w:tcPr>
            <w:tcW w:w="1379" w:type="pct"/>
            <w:shd w:val="clear" w:color="auto" w:fill="auto"/>
            <w:vAlign w:val="center"/>
          </w:tcPr>
          <w:p w:rsidR="00970C67" w:rsidRPr="003253E7" w:rsidRDefault="00970C67" w:rsidP="00A31171">
            <w:pPr>
              <w:pStyle w:val="TableText"/>
              <w:keepLines/>
              <w:widowControl w:val="0"/>
              <w:jc w:val="center"/>
              <w:rPr>
                <w:szCs w:val="20"/>
              </w:rPr>
            </w:pPr>
            <w:r w:rsidRPr="003253E7">
              <w:rPr>
                <w:szCs w:val="20"/>
              </w:rPr>
              <w:t>6.85 cycles (Sept 2018 data cut)</w:t>
            </w:r>
          </w:p>
          <w:p w:rsidR="00970C67" w:rsidRPr="003253E7" w:rsidRDefault="00970C67" w:rsidP="00A31171">
            <w:pPr>
              <w:pStyle w:val="TableText"/>
              <w:keepLines/>
              <w:widowControl w:val="0"/>
              <w:jc w:val="center"/>
              <w:rPr>
                <w:szCs w:val="20"/>
              </w:rPr>
            </w:pPr>
            <w:r w:rsidRPr="003253E7">
              <w:rPr>
                <w:szCs w:val="20"/>
              </w:rPr>
              <w:t xml:space="preserve">7.84 cycles (Sept 2019 data cut) </w:t>
            </w:r>
          </w:p>
        </w:tc>
        <w:tc>
          <w:tcPr>
            <w:tcW w:w="1221" w:type="pct"/>
            <w:shd w:val="clear" w:color="auto" w:fill="auto"/>
            <w:vAlign w:val="center"/>
          </w:tcPr>
          <w:p w:rsidR="00970C67" w:rsidRPr="007672C8" w:rsidRDefault="00970C67" w:rsidP="00A31171">
            <w:pPr>
              <w:pStyle w:val="TableText"/>
              <w:keepLines/>
              <w:widowControl w:val="0"/>
              <w:jc w:val="center"/>
              <w:rPr>
                <w:szCs w:val="20"/>
                <w:vertAlign w:val="superscript"/>
              </w:rPr>
            </w:pPr>
            <w:r w:rsidRPr="007672C8">
              <w:rPr>
                <w:szCs w:val="20"/>
              </w:rPr>
              <w:t>Initial</w:t>
            </w:r>
            <w:r w:rsidR="00293BF7" w:rsidRPr="007672C8">
              <w:rPr>
                <w:szCs w:val="20"/>
              </w:rPr>
              <w:t xml:space="preserve"> treatment</w:t>
            </w:r>
            <w:r w:rsidRPr="007672C8">
              <w:rPr>
                <w:szCs w:val="20"/>
              </w:rPr>
              <w:t xml:space="preserve">: 5.84 </w:t>
            </w:r>
            <w:r w:rsidR="00BF3D1D" w:rsidRPr="007672C8">
              <w:rPr>
                <w:szCs w:val="20"/>
              </w:rPr>
              <w:t>cycles</w:t>
            </w:r>
            <w:r w:rsidR="00BF3D1D" w:rsidRPr="007672C8">
              <w:rPr>
                <w:szCs w:val="20"/>
                <w:vertAlign w:val="superscript"/>
              </w:rPr>
              <w:t>a</w:t>
            </w:r>
          </w:p>
          <w:p w:rsidR="00970C67" w:rsidRPr="007672C8" w:rsidRDefault="00970C67" w:rsidP="00A31171">
            <w:pPr>
              <w:pStyle w:val="TableText"/>
              <w:keepLines/>
              <w:widowControl w:val="0"/>
              <w:jc w:val="center"/>
              <w:rPr>
                <w:szCs w:val="20"/>
              </w:rPr>
            </w:pPr>
            <w:r w:rsidRPr="007672C8">
              <w:rPr>
                <w:szCs w:val="20"/>
              </w:rPr>
              <w:t xml:space="preserve">Post-HSCT maintenance: </w:t>
            </w:r>
          </w:p>
          <w:p w:rsidR="00970C67" w:rsidRPr="007672C8" w:rsidRDefault="00970C67" w:rsidP="00A31171">
            <w:pPr>
              <w:pStyle w:val="TableText"/>
              <w:keepLines/>
              <w:widowControl w:val="0"/>
              <w:jc w:val="center"/>
              <w:rPr>
                <w:szCs w:val="20"/>
                <w:vertAlign w:val="superscript"/>
              </w:rPr>
            </w:pPr>
            <w:r w:rsidRPr="007672C8">
              <w:rPr>
                <w:szCs w:val="20"/>
              </w:rPr>
              <w:t>2.00 cycles</w:t>
            </w:r>
            <w:r w:rsidR="00BF3D1D" w:rsidRPr="007672C8">
              <w:rPr>
                <w:szCs w:val="20"/>
                <w:vertAlign w:val="superscript"/>
              </w:rPr>
              <w:t>a</w:t>
            </w:r>
          </w:p>
          <w:p w:rsidR="00293BF7" w:rsidRPr="007672C8" w:rsidRDefault="00293BF7" w:rsidP="00A31171">
            <w:pPr>
              <w:pStyle w:val="TableText"/>
              <w:keepLines/>
              <w:widowControl w:val="0"/>
              <w:jc w:val="center"/>
              <w:rPr>
                <w:szCs w:val="20"/>
              </w:rPr>
            </w:pPr>
            <w:r w:rsidRPr="007672C8">
              <w:rPr>
                <w:szCs w:val="20"/>
              </w:rPr>
              <w:t>(Mean overall treatment duration: 7.84 cycles)</w:t>
            </w:r>
          </w:p>
        </w:tc>
        <w:tc>
          <w:tcPr>
            <w:tcW w:w="1220" w:type="pct"/>
            <w:shd w:val="clear" w:color="auto" w:fill="auto"/>
            <w:vAlign w:val="center"/>
          </w:tcPr>
          <w:p w:rsidR="00970C67" w:rsidRPr="007672C8" w:rsidRDefault="00970C67" w:rsidP="00A31171">
            <w:pPr>
              <w:pStyle w:val="TableText"/>
              <w:keepLines/>
              <w:widowControl w:val="0"/>
              <w:jc w:val="center"/>
              <w:rPr>
                <w:szCs w:val="20"/>
                <w:vertAlign w:val="superscript"/>
              </w:rPr>
            </w:pPr>
            <w:r w:rsidRPr="007672C8">
              <w:rPr>
                <w:szCs w:val="20"/>
              </w:rPr>
              <w:t>Initial</w:t>
            </w:r>
            <w:r w:rsidR="00293BF7" w:rsidRPr="007672C8">
              <w:rPr>
                <w:szCs w:val="20"/>
              </w:rPr>
              <w:t xml:space="preserve"> scripts</w:t>
            </w:r>
            <w:r w:rsidRPr="007672C8">
              <w:rPr>
                <w:szCs w:val="20"/>
              </w:rPr>
              <w:t>: 3.00 cycles</w:t>
            </w:r>
            <w:r w:rsidR="00BF3D1D" w:rsidRPr="007672C8">
              <w:rPr>
                <w:szCs w:val="20"/>
                <w:vertAlign w:val="superscript"/>
              </w:rPr>
              <w:t>b</w:t>
            </w:r>
          </w:p>
          <w:p w:rsidR="00970C67" w:rsidRPr="007672C8" w:rsidRDefault="00970C67" w:rsidP="00A31171">
            <w:pPr>
              <w:pStyle w:val="TableText"/>
              <w:keepLines/>
              <w:widowControl w:val="0"/>
              <w:jc w:val="center"/>
              <w:rPr>
                <w:szCs w:val="20"/>
                <w:vertAlign w:val="superscript"/>
              </w:rPr>
            </w:pPr>
            <w:r w:rsidRPr="007672C8">
              <w:rPr>
                <w:szCs w:val="20"/>
              </w:rPr>
              <w:t>Continuing</w:t>
            </w:r>
            <w:r w:rsidR="00293BF7" w:rsidRPr="007672C8">
              <w:rPr>
                <w:szCs w:val="20"/>
              </w:rPr>
              <w:t xml:space="preserve"> scripts</w:t>
            </w:r>
            <w:r w:rsidRPr="007672C8">
              <w:rPr>
                <w:szCs w:val="20"/>
              </w:rPr>
              <w:t>: 4.85 cycles</w:t>
            </w:r>
            <w:r w:rsidR="00BF3D1D" w:rsidRPr="007672C8">
              <w:rPr>
                <w:szCs w:val="20"/>
                <w:vertAlign w:val="superscript"/>
              </w:rPr>
              <w:t>b</w:t>
            </w:r>
          </w:p>
          <w:p w:rsidR="00293BF7" w:rsidRPr="007672C8" w:rsidRDefault="00293BF7" w:rsidP="00A31171">
            <w:pPr>
              <w:pStyle w:val="TableText"/>
              <w:keepLines/>
              <w:widowControl w:val="0"/>
              <w:jc w:val="center"/>
              <w:rPr>
                <w:szCs w:val="20"/>
              </w:rPr>
            </w:pPr>
            <w:r w:rsidRPr="007672C8">
              <w:rPr>
                <w:szCs w:val="20"/>
              </w:rPr>
              <w:t>(Mean overall treatment duration: 6.49 cycles)</w:t>
            </w:r>
          </w:p>
        </w:tc>
      </w:tr>
      <w:tr w:rsidR="00970C67" w:rsidRPr="003253E7" w:rsidTr="00BF3D1D">
        <w:trPr>
          <w:cantSplit/>
          <w:jc w:val="center"/>
        </w:trPr>
        <w:tc>
          <w:tcPr>
            <w:tcW w:w="1180" w:type="pct"/>
            <w:shd w:val="clear" w:color="auto" w:fill="auto"/>
            <w:vAlign w:val="center"/>
          </w:tcPr>
          <w:p w:rsidR="00970C67" w:rsidRPr="003253E7" w:rsidRDefault="00970C67" w:rsidP="00A31171">
            <w:pPr>
              <w:pStyle w:val="TableText"/>
              <w:keepLines/>
              <w:widowControl w:val="0"/>
              <w:rPr>
                <w:szCs w:val="20"/>
              </w:rPr>
            </w:pPr>
            <w:bookmarkStart w:id="51" w:name="_Hlk81846249"/>
            <w:r w:rsidRPr="003253E7">
              <w:rPr>
                <w:szCs w:val="20"/>
              </w:rPr>
              <w:t>Adherence</w:t>
            </w:r>
          </w:p>
        </w:tc>
        <w:tc>
          <w:tcPr>
            <w:tcW w:w="1379" w:type="pct"/>
            <w:shd w:val="clear" w:color="auto" w:fill="auto"/>
            <w:vAlign w:val="center"/>
          </w:tcPr>
          <w:p w:rsidR="00970C67" w:rsidRPr="003253E7" w:rsidRDefault="00970C67" w:rsidP="00A31171">
            <w:pPr>
              <w:pStyle w:val="TableText"/>
              <w:keepLines/>
              <w:widowControl w:val="0"/>
              <w:jc w:val="center"/>
              <w:rPr>
                <w:szCs w:val="20"/>
              </w:rPr>
            </w:pPr>
            <w:r w:rsidRPr="003253E7">
              <w:rPr>
                <w:szCs w:val="20"/>
              </w:rPr>
              <w:t>Not reported</w:t>
            </w:r>
          </w:p>
        </w:tc>
        <w:tc>
          <w:tcPr>
            <w:tcW w:w="1221" w:type="pct"/>
            <w:shd w:val="clear" w:color="auto" w:fill="auto"/>
            <w:vAlign w:val="center"/>
          </w:tcPr>
          <w:p w:rsidR="00970C67" w:rsidRPr="003253E7" w:rsidRDefault="00970C67" w:rsidP="00A31171">
            <w:pPr>
              <w:pStyle w:val="TableText"/>
              <w:keepLines/>
              <w:widowControl w:val="0"/>
              <w:jc w:val="center"/>
              <w:rPr>
                <w:szCs w:val="20"/>
                <w:vertAlign w:val="superscript"/>
              </w:rPr>
            </w:pPr>
            <w:r w:rsidRPr="003253E7">
              <w:rPr>
                <w:szCs w:val="20"/>
              </w:rPr>
              <w:t>99.2%</w:t>
            </w:r>
            <w:r w:rsidR="00BF3D1D">
              <w:rPr>
                <w:szCs w:val="20"/>
                <w:vertAlign w:val="superscript"/>
              </w:rPr>
              <w:t>c</w:t>
            </w:r>
          </w:p>
        </w:tc>
        <w:tc>
          <w:tcPr>
            <w:tcW w:w="1220" w:type="pct"/>
            <w:shd w:val="clear" w:color="auto" w:fill="auto"/>
            <w:vAlign w:val="center"/>
          </w:tcPr>
          <w:p w:rsidR="00970C67" w:rsidRPr="003253E7" w:rsidRDefault="00970C67" w:rsidP="00A31171">
            <w:pPr>
              <w:pStyle w:val="TableText"/>
              <w:keepLines/>
              <w:widowControl w:val="0"/>
              <w:jc w:val="center"/>
              <w:rPr>
                <w:iCs/>
                <w:szCs w:val="20"/>
                <w:vertAlign w:val="superscript"/>
              </w:rPr>
            </w:pPr>
            <w:r w:rsidRPr="003253E7">
              <w:rPr>
                <w:iCs/>
                <w:szCs w:val="20"/>
              </w:rPr>
              <w:t>100%</w:t>
            </w:r>
            <w:r w:rsidR="00BF3D1D">
              <w:rPr>
                <w:iCs/>
                <w:szCs w:val="20"/>
                <w:vertAlign w:val="superscript"/>
              </w:rPr>
              <w:t>d</w:t>
            </w:r>
          </w:p>
        </w:tc>
      </w:tr>
      <w:tr w:rsidR="00970C67" w:rsidRPr="003253E7" w:rsidTr="00BF3D1D">
        <w:trPr>
          <w:cantSplit/>
          <w:jc w:val="center"/>
        </w:trPr>
        <w:tc>
          <w:tcPr>
            <w:tcW w:w="1180" w:type="pct"/>
            <w:shd w:val="clear" w:color="auto" w:fill="auto"/>
            <w:vAlign w:val="center"/>
          </w:tcPr>
          <w:p w:rsidR="00970C67" w:rsidRPr="003253E7" w:rsidRDefault="00970C67" w:rsidP="00A31171">
            <w:pPr>
              <w:pStyle w:val="TableText"/>
              <w:keepLines/>
              <w:widowControl w:val="0"/>
              <w:rPr>
                <w:szCs w:val="20"/>
              </w:rPr>
            </w:pPr>
            <w:r w:rsidRPr="003253E7">
              <w:rPr>
                <w:szCs w:val="20"/>
              </w:rPr>
              <w:t>Cost per 28-day script (DPMQ)</w:t>
            </w:r>
            <w:r w:rsidR="00531F17">
              <w:rPr>
                <w:szCs w:val="20"/>
              </w:rPr>
              <w:t xml:space="preserve"> ($)</w:t>
            </w:r>
          </w:p>
        </w:tc>
        <w:tc>
          <w:tcPr>
            <w:tcW w:w="1379" w:type="pct"/>
            <w:shd w:val="clear" w:color="auto" w:fill="auto"/>
            <w:vAlign w:val="center"/>
          </w:tcPr>
          <w:p w:rsidR="00970C67" w:rsidRPr="003253E7" w:rsidRDefault="00970C67" w:rsidP="00A31171">
            <w:pPr>
              <w:pStyle w:val="TableText"/>
              <w:keepLines/>
              <w:widowControl w:val="0"/>
              <w:jc w:val="center"/>
              <w:rPr>
                <w:szCs w:val="20"/>
              </w:rPr>
            </w:pPr>
            <w:r w:rsidRPr="003253E7">
              <w:rPr>
                <w:szCs w:val="20"/>
              </w:rPr>
              <w:t>-</w:t>
            </w:r>
          </w:p>
        </w:tc>
        <w:tc>
          <w:tcPr>
            <w:tcW w:w="1221" w:type="pct"/>
            <w:shd w:val="clear" w:color="auto" w:fill="auto"/>
            <w:vAlign w:val="center"/>
          </w:tcPr>
          <w:p w:rsidR="00970C67" w:rsidRPr="00DD7357" w:rsidRDefault="00DD7357" w:rsidP="00A31171">
            <w:pPr>
              <w:pStyle w:val="TableText"/>
              <w:keepLines/>
              <w:widowControl w:val="0"/>
              <w:jc w:val="center"/>
              <w:rPr>
                <w:szCs w:val="20"/>
                <w:highlight w:val="black"/>
              </w:rPr>
            </w:pPr>
            <w:r>
              <w:rPr>
                <w:noProof/>
                <w:color w:val="000000"/>
                <w:szCs w:val="20"/>
                <w:highlight w:val="black"/>
              </w:rPr>
              <w:t>'''''''''''''''''''''''''</w:t>
            </w:r>
          </w:p>
        </w:tc>
        <w:tc>
          <w:tcPr>
            <w:tcW w:w="1220" w:type="pct"/>
            <w:shd w:val="clear" w:color="auto" w:fill="auto"/>
            <w:vAlign w:val="center"/>
          </w:tcPr>
          <w:p w:rsidR="00970C67" w:rsidRPr="00DD7357" w:rsidRDefault="00DD7357" w:rsidP="00A31171">
            <w:pPr>
              <w:pStyle w:val="TableText"/>
              <w:keepLines/>
              <w:widowControl w:val="0"/>
              <w:jc w:val="center"/>
              <w:rPr>
                <w:iCs/>
                <w:szCs w:val="20"/>
                <w:highlight w:val="black"/>
              </w:rPr>
            </w:pPr>
            <w:r>
              <w:rPr>
                <w:iCs/>
                <w:noProof/>
                <w:color w:val="000000"/>
                <w:szCs w:val="20"/>
                <w:highlight w:val="black"/>
              </w:rPr>
              <w:t>''''''''''''''''''''''''''</w:t>
            </w:r>
          </w:p>
        </w:tc>
      </w:tr>
      <w:tr w:rsidR="00970C67" w:rsidRPr="003253E7" w:rsidTr="00BF3D1D">
        <w:trPr>
          <w:cantSplit/>
          <w:jc w:val="center"/>
        </w:trPr>
        <w:tc>
          <w:tcPr>
            <w:tcW w:w="1180" w:type="pct"/>
            <w:shd w:val="clear" w:color="auto" w:fill="auto"/>
            <w:vAlign w:val="center"/>
          </w:tcPr>
          <w:p w:rsidR="00970C67" w:rsidRPr="003253E7" w:rsidRDefault="00970C67" w:rsidP="00A31171">
            <w:pPr>
              <w:pStyle w:val="TableText"/>
              <w:keepLines/>
              <w:widowControl w:val="0"/>
              <w:rPr>
                <w:szCs w:val="20"/>
              </w:rPr>
            </w:pPr>
            <w:r w:rsidRPr="003253E7">
              <w:rPr>
                <w:szCs w:val="20"/>
              </w:rPr>
              <w:t>Total cost per 28-day cycle</w:t>
            </w:r>
            <w:r w:rsidR="00531F17">
              <w:rPr>
                <w:szCs w:val="20"/>
              </w:rPr>
              <w:t xml:space="preserve"> ($)</w:t>
            </w:r>
          </w:p>
        </w:tc>
        <w:tc>
          <w:tcPr>
            <w:tcW w:w="1379" w:type="pct"/>
            <w:shd w:val="clear" w:color="auto" w:fill="auto"/>
            <w:vAlign w:val="center"/>
          </w:tcPr>
          <w:p w:rsidR="00970C67" w:rsidRPr="003253E7" w:rsidRDefault="00970C67" w:rsidP="00A31171">
            <w:pPr>
              <w:pStyle w:val="TableText"/>
              <w:keepLines/>
              <w:widowControl w:val="0"/>
              <w:jc w:val="center"/>
              <w:rPr>
                <w:szCs w:val="20"/>
              </w:rPr>
            </w:pPr>
            <w:r w:rsidRPr="003253E7">
              <w:rPr>
                <w:szCs w:val="20"/>
              </w:rPr>
              <w:t>-</w:t>
            </w:r>
          </w:p>
        </w:tc>
        <w:tc>
          <w:tcPr>
            <w:tcW w:w="1221" w:type="pct"/>
            <w:shd w:val="clear" w:color="auto" w:fill="auto"/>
            <w:vAlign w:val="center"/>
          </w:tcPr>
          <w:p w:rsidR="00970C67" w:rsidRPr="00DD7357" w:rsidRDefault="00DD7357" w:rsidP="00A31171">
            <w:pPr>
              <w:pStyle w:val="TableText"/>
              <w:keepLines/>
              <w:widowControl w:val="0"/>
              <w:jc w:val="center"/>
              <w:rPr>
                <w:szCs w:val="20"/>
                <w:highlight w:val="black"/>
              </w:rPr>
            </w:pPr>
            <w:r>
              <w:rPr>
                <w:noProof/>
                <w:color w:val="000000"/>
                <w:szCs w:val="20"/>
                <w:highlight w:val="black"/>
              </w:rPr>
              <w:t>''''''''''''''''''''''''</w:t>
            </w:r>
          </w:p>
        </w:tc>
        <w:tc>
          <w:tcPr>
            <w:tcW w:w="1220" w:type="pct"/>
            <w:shd w:val="clear" w:color="auto" w:fill="auto"/>
            <w:vAlign w:val="center"/>
          </w:tcPr>
          <w:p w:rsidR="00970C67" w:rsidRPr="00DD7357" w:rsidRDefault="00DD7357" w:rsidP="00A31171">
            <w:pPr>
              <w:pStyle w:val="TableText"/>
              <w:keepLines/>
              <w:widowControl w:val="0"/>
              <w:jc w:val="center"/>
              <w:rPr>
                <w:i/>
                <w:szCs w:val="20"/>
                <w:highlight w:val="black"/>
              </w:rPr>
            </w:pPr>
            <w:r>
              <w:rPr>
                <w:iCs/>
                <w:noProof/>
                <w:color w:val="000000"/>
                <w:szCs w:val="20"/>
                <w:highlight w:val="black"/>
              </w:rPr>
              <w:t>''''''''''''''''''''''''</w:t>
            </w:r>
          </w:p>
        </w:tc>
      </w:tr>
      <w:tr w:rsidR="00970C67" w:rsidRPr="003253E7" w:rsidTr="00BF3D1D">
        <w:trPr>
          <w:cantSplit/>
          <w:jc w:val="center"/>
        </w:trPr>
        <w:tc>
          <w:tcPr>
            <w:tcW w:w="1180" w:type="pct"/>
            <w:shd w:val="clear" w:color="auto" w:fill="auto"/>
            <w:vAlign w:val="center"/>
          </w:tcPr>
          <w:p w:rsidR="00970C67" w:rsidRPr="003253E7" w:rsidRDefault="00970C67" w:rsidP="00A31171">
            <w:pPr>
              <w:pStyle w:val="TableText"/>
              <w:keepLines/>
              <w:widowControl w:val="0"/>
              <w:rPr>
                <w:szCs w:val="20"/>
              </w:rPr>
            </w:pPr>
            <w:r w:rsidRPr="003253E7">
              <w:rPr>
                <w:szCs w:val="20"/>
              </w:rPr>
              <w:t>Cost per patient</w:t>
            </w:r>
            <w:r w:rsidR="00531F17">
              <w:rPr>
                <w:szCs w:val="20"/>
              </w:rPr>
              <w:t xml:space="preserve"> ($)</w:t>
            </w:r>
          </w:p>
        </w:tc>
        <w:tc>
          <w:tcPr>
            <w:tcW w:w="1379" w:type="pct"/>
            <w:shd w:val="clear" w:color="auto" w:fill="auto"/>
            <w:vAlign w:val="center"/>
          </w:tcPr>
          <w:p w:rsidR="00970C67" w:rsidRPr="003253E7" w:rsidRDefault="00970C67" w:rsidP="00A31171">
            <w:pPr>
              <w:pStyle w:val="TableText"/>
              <w:keepLines/>
              <w:widowControl w:val="0"/>
              <w:jc w:val="center"/>
              <w:rPr>
                <w:szCs w:val="20"/>
              </w:rPr>
            </w:pPr>
            <w:r w:rsidRPr="003253E7">
              <w:rPr>
                <w:szCs w:val="20"/>
              </w:rPr>
              <w:t>-</w:t>
            </w:r>
          </w:p>
        </w:tc>
        <w:tc>
          <w:tcPr>
            <w:tcW w:w="1221" w:type="pct"/>
            <w:shd w:val="clear" w:color="auto" w:fill="auto"/>
            <w:vAlign w:val="center"/>
          </w:tcPr>
          <w:p w:rsidR="00970C67" w:rsidRPr="003253E7" w:rsidRDefault="00970C67" w:rsidP="00A31171">
            <w:pPr>
              <w:pStyle w:val="TableText"/>
              <w:keepLines/>
              <w:widowControl w:val="0"/>
              <w:jc w:val="center"/>
              <w:rPr>
                <w:szCs w:val="20"/>
              </w:rPr>
            </w:pPr>
            <w:r w:rsidRPr="003253E7">
              <w:rPr>
                <w:szCs w:val="20"/>
              </w:rPr>
              <w:t>Initial</w:t>
            </w:r>
            <w:r w:rsidR="00293BF7">
              <w:rPr>
                <w:szCs w:val="20"/>
              </w:rPr>
              <w:t xml:space="preserve"> treatment</w:t>
            </w:r>
            <w:r w:rsidRPr="003253E7">
              <w:rPr>
                <w:szCs w:val="20"/>
              </w:rPr>
              <w:t xml:space="preserve">: </w:t>
            </w:r>
            <w:r w:rsidR="00DD7357">
              <w:rPr>
                <w:noProof/>
                <w:color w:val="000000"/>
                <w:szCs w:val="20"/>
                <w:highlight w:val="black"/>
              </w:rPr>
              <w:t>''''''''''''''''''''''''</w:t>
            </w:r>
          </w:p>
          <w:p w:rsidR="00970C67" w:rsidRPr="003253E7" w:rsidRDefault="00970C67" w:rsidP="00A31171">
            <w:pPr>
              <w:pStyle w:val="TableText"/>
              <w:keepLines/>
              <w:widowControl w:val="0"/>
              <w:jc w:val="center"/>
              <w:rPr>
                <w:szCs w:val="20"/>
              </w:rPr>
            </w:pPr>
            <w:r w:rsidRPr="003253E7">
              <w:rPr>
                <w:szCs w:val="20"/>
              </w:rPr>
              <w:t xml:space="preserve">Post-HSCT maintenance: </w:t>
            </w:r>
            <w:r w:rsidR="00DD7357">
              <w:rPr>
                <w:noProof/>
                <w:color w:val="000000"/>
                <w:szCs w:val="20"/>
                <w:highlight w:val="black"/>
              </w:rPr>
              <w:t>''''''''''''''''''''</w:t>
            </w:r>
          </w:p>
          <w:p w:rsidR="00970C67" w:rsidRPr="003253E7" w:rsidRDefault="00970C67" w:rsidP="00A31171">
            <w:pPr>
              <w:pStyle w:val="TableText"/>
              <w:keepLines/>
              <w:widowControl w:val="0"/>
              <w:jc w:val="center"/>
              <w:rPr>
                <w:szCs w:val="20"/>
                <w:vertAlign w:val="superscript"/>
              </w:rPr>
            </w:pPr>
            <w:r w:rsidRPr="003253E7">
              <w:rPr>
                <w:szCs w:val="20"/>
              </w:rPr>
              <w:t xml:space="preserve">Total: </w:t>
            </w:r>
            <w:r w:rsidR="00DD7357">
              <w:rPr>
                <w:noProof/>
                <w:color w:val="000000"/>
                <w:szCs w:val="20"/>
                <w:highlight w:val="black"/>
              </w:rPr>
              <w:t>'''''''''''''''''''''''</w:t>
            </w:r>
          </w:p>
        </w:tc>
        <w:tc>
          <w:tcPr>
            <w:tcW w:w="1220" w:type="pct"/>
            <w:shd w:val="clear" w:color="auto" w:fill="auto"/>
            <w:vAlign w:val="center"/>
          </w:tcPr>
          <w:p w:rsidR="00970C67" w:rsidRPr="003253E7" w:rsidRDefault="00970C67" w:rsidP="00A31171">
            <w:pPr>
              <w:pStyle w:val="TableText"/>
              <w:keepLines/>
              <w:widowControl w:val="0"/>
              <w:jc w:val="center"/>
              <w:rPr>
                <w:iCs/>
                <w:szCs w:val="20"/>
              </w:rPr>
            </w:pPr>
            <w:r w:rsidRPr="003253E7">
              <w:rPr>
                <w:iCs/>
                <w:szCs w:val="20"/>
              </w:rPr>
              <w:t>Initial</w:t>
            </w:r>
            <w:r w:rsidR="00293BF7">
              <w:rPr>
                <w:iCs/>
                <w:szCs w:val="20"/>
              </w:rPr>
              <w:t xml:space="preserve"> scripts</w:t>
            </w:r>
            <w:r w:rsidRPr="003253E7">
              <w:rPr>
                <w:iCs/>
                <w:szCs w:val="20"/>
              </w:rPr>
              <w:t xml:space="preserve">: </w:t>
            </w:r>
            <w:r w:rsidR="00DD7357">
              <w:rPr>
                <w:iCs/>
                <w:noProof/>
                <w:color w:val="000000"/>
                <w:szCs w:val="20"/>
                <w:highlight w:val="black"/>
              </w:rPr>
              <w:t>'''''''''''''''''''</w:t>
            </w:r>
          </w:p>
          <w:p w:rsidR="00970C67" w:rsidRPr="003253E7" w:rsidRDefault="00970C67" w:rsidP="00A31171">
            <w:pPr>
              <w:pStyle w:val="TableText"/>
              <w:keepLines/>
              <w:widowControl w:val="0"/>
              <w:jc w:val="center"/>
              <w:rPr>
                <w:iCs/>
                <w:szCs w:val="20"/>
              </w:rPr>
            </w:pPr>
            <w:r w:rsidRPr="003253E7">
              <w:rPr>
                <w:iCs/>
                <w:szCs w:val="20"/>
              </w:rPr>
              <w:t>Continuing</w:t>
            </w:r>
            <w:r w:rsidR="00293BF7">
              <w:rPr>
                <w:iCs/>
                <w:szCs w:val="20"/>
              </w:rPr>
              <w:t xml:space="preserve"> scripts</w:t>
            </w:r>
            <w:r w:rsidRPr="003253E7">
              <w:rPr>
                <w:iCs/>
                <w:szCs w:val="20"/>
              </w:rPr>
              <w:t xml:space="preserve">: </w:t>
            </w:r>
            <w:r w:rsidR="00DD7357">
              <w:rPr>
                <w:iCs/>
                <w:noProof/>
                <w:color w:val="000000"/>
                <w:szCs w:val="20"/>
                <w:highlight w:val="black"/>
              </w:rPr>
              <w:t>''''''''''''''''''</w:t>
            </w:r>
          </w:p>
          <w:p w:rsidR="00970C67" w:rsidRPr="003253E7" w:rsidRDefault="00970C67" w:rsidP="00A31171">
            <w:pPr>
              <w:pStyle w:val="TableText"/>
              <w:keepLines/>
              <w:widowControl w:val="0"/>
              <w:jc w:val="center"/>
              <w:rPr>
                <w:iCs/>
                <w:szCs w:val="20"/>
              </w:rPr>
            </w:pPr>
            <w:r w:rsidRPr="003253E7">
              <w:rPr>
                <w:iCs/>
                <w:szCs w:val="20"/>
              </w:rPr>
              <w:t xml:space="preserve">Total: </w:t>
            </w:r>
            <w:r w:rsidR="00DD7357">
              <w:rPr>
                <w:iCs/>
                <w:noProof/>
                <w:color w:val="000000"/>
                <w:szCs w:val="20"/>
                <w:highlight w:val="black"/>
              </w:rPr>
              <w:t>'''''''''''''''''''''''</w:t>
            </w:r>
            <w:r w:rsidRPr="003253E7">
              <w:rPr>
                <w:iCs/>
                <w:szCs w:val="20"/>
              </w:rPr>
              <w:t xml:space="preserve"> </w:t>
            </w:r>
          </w:p>
        </w:tc>
      </w:tr>
      <w:bookmarkEnd w:id="51"/>
      <w:tr w:rsidR="00970C67" w:rsidRPr="003253E7" w:rsidTr="00367B85">
        <w:trPr>
          <w:cantSplit/>
          <w:jc w:val="center"/>
        </w:trPr>
        <w:tc>
          <w:tcPr>
            <w:tcW w:w="5000" w:type="pct"/>
            <w:gridSpan w:val="4"/>
            <w:shd w:val="clear" w:color="auto" w:fill="auto"/>
            <w:vAlign w:val="center"/>
          </w:tcPr>
          <w:p w:rsidR="00970C67" w:rsidRPr="003253E7" w:rsidRDefault="00970C67" w:rsidP="00A31171">
            <w:pPr>
              <w:pStyle w:val="TableText"/>
              <w:keepLines/>
              <w:widowControl w:val="0"/>
              <w:rPr>
                <w:b/>
                <w:bCs w:val="0"/>
                <w:iCs/>
                <w:szCs w:val="20"/>
              </w:rPr>
            </w:pPr>
            <w:r w:rsidRPr="003253E7">
              <w:rPr>
                <w:b/>
                <w:bCs w:val="0"/>
                <w:iCs/>
                <w:szCs w:val="20"/>
              </w:rPr>
              <w:t>Salvage chemotherapy</w:t>
            </w:r>
          </w:p>
        </w:tc>
      </w:tr>
      <w:tr w:rsidR="00970C67" w:rsidRPr="003253E7" w:rsidTr="00BF3D1D">
        <w:trPr>
          <w:cantSplit/>
          <w:jc w:val="center"/>
        </w:trPr>
        <w:tc>
          <w:tcPr>
            <w:tcW w:w="1180" w:type="pct"/>
            <w:shd w:val="clear" w:color="auto" w:fill="auto"/>
            <w:vAlign w:val="center"/>
          </w:tcPr>
          <w:p w:rsidR="00970C67" w:rsidRPr="003253E7" w:rsidRDefault="00970C67" w:rsidP="00A31171">
            <w:pPr>
              <w:pStyle w:val="TableText"/>
              <w:keepLines/>
              <w:widowControl w:val="0"/>
              <w:rPr>
                <w:szCs w:val="20"/>
              </w:rPr>
            </w:pPr>
            <w:r w:rsidRPr="003253E7">
              <w:rPr>
                <w:szCs w:val="20"/>
              </w:rPr>
              <w:t>Azacitidine cost</w:t>
            </w:r>
          </w:p>
        </w:tc>
        <w:tc>
          <w:tcPr>
            <w:tcW w:w="1379" w:type="pct"/>
            <w:shd w:val="clear" w:color="auto" w:fill="auto"/>
            <w:vAlign w:val="center"/>
          </w:tcPr>
          <w:p w:rsidR="00970C67" w:rsidRPr="003253E7" w:rsidRDefault="00970C67" w:rsidP="00A31171">
            <w:pPr>
              <w:pStyle w:val="TableText"/>
              <w:keepLines/>
              <w:widowControl w:val="0"/>
              <w:jc w:val="center"/>
              <w:rPr>
                <w:szCs w:val="20"/>
              </w:rPr>
            </w:pPr>
            <w:r w:rsidRPr="003253E7">
              <w:rPr>
                <w:szCs w:val="20"/>
              </w:rPr>
              <w:t>-</w:t>
            </w:r>
          </w:p>
        </w:tc>
        <w:tc>
          <w:tcPr>
            <w:tcW w:w="1221" w:type="pct"/>
            <w:shd w:val="clear" w:color="auto" w:fill="auto"/>
            <w:vAlign w:val="center"/>
          </w:tcPr>
          <w:p w:rsidR="00970C67" w:rsidRPr="003253E7" w:rsidRDefault="00970C67" w:rsidP="00A31171">
            <w:pPr>
              <w:pStyle w:val="TableText"/>
              <w:keepLines/>
              <w:widowControl w:val="0"/>
              <w:jc w:val="center"/>
              <w:rPr>
                <w:szCs w:val="20"/>
                <w:vertAlign w:val="superscript"/>
              </w:rPr>
            </w:pPr>
            <w:r w:rsidRPr="003253E7">
              <w:rPr>
                <w:szCs w:val="20"/>
              </w:rPr>
              <w:t>$3,583 (2.24 cycles)</w:t>
            </w:r>
            <w:r w:rsidR="00BF3D1D">
              <w:rPr>
                <w:szCs w:val="20"/>
                <w:vertAlign w:val="superscript"/>
              </w:rPr>
              <w:t>e</w:t>
            </w:r>
          </w:p>
        </w:tc>
        <w:tc>
          <w:tcPr>
            <w:tcW w:w="1220" w:type="pct"/>
            <w:shd w:val="clear" w:color="auto" w:fill="auto"/>
            <w:vAlign w:val="center"/>
          </w:tcPr>
          <w:p w:rsidR="00970C67" w:rsidRPr="003253E7" w:rsidRDefault="00970C67" w:rsidP="00A31171">
            <w:pPr>
              <w:pStyle w:val="TableText"/>
              <w:keepLines/>
              <w:widowControl w:val="0"/>
              <w:jc w:val="center"/>
              <w:rPr>
                <w:iCs/>
                <w:szCs w:val="20"/>
                <w:vertAlign w:val="superscript"/>
              </w:rPr>
            </w:pPr>
            <w:r w:rsidRPr="003253E7">
              <w:rPr>
                <w:iCs/>
                <w:szCs w:val="20"/>
              </w:rPr>
              <w:t>$35,128 (2.24 cycles)</w:t>
            </w:r>
            <w:r w:rsidR="00BF3D1D">
              <w:rPr>
                <w:iCs/>
                <w:szCs w:val="20"/>
                <w:vertAlign w:val="superscript"/>
              </w:rPr>
              <w:t>f</w:t>
            </w:r>
          </w:p>
        </w:tc>
      </w:tr>
      <w:tr w:rsidR="00970C67" w:rsidRPr="003253E7" w:rsidTr="00BF3D1D">
        <w:trPr>
          <w:cantSplit/>
          <w:jc w:val="center"/>
        </w:trPr>
        <w:tc>
          <w:tcPr>
            <w:tcW w:w="1180" w:type="pct"/>
            <w:shd w:val="clear" w:color="auto" w:fill="auto"/>
            <w:vAlign w:val="center"/>
          </w:tcPr>
          <w:p w:rsidR="00970C67" w:rsidRPr="003253E7" w:rsidRDefault="00970C67" w:rsidP="00A31171">
            <w:pPr>
              <w:pStyle w:val="TableText"/>
              <w:keepLines/>
              <w:widowControl w:val="0"/>
              <w:rPr>
                <w:szCs w:val="20"/>
              </w:rPr>
            </w:pPr>
            <w:r w:rsidRPr="003253E7">
              <w:rPr>
                <w:szCs w:val="20"/>
              </w:rPr>
              <w:t>LoDAC cost</w:t>
            </w:r>
          </w:p>
        </w:tc>
        <w:tc>
          <w:tcPr>
            <w:tcW w:w="1379" w:type="pct"/>
            <w:shd w:val="clear" w:color="auto" w:fill="auto"/>
            <w:vAlign w:val="center"/>
          </w:tcPr>
          <w:p w:rsidR="00970C67" w:rsidRPr="003253E7" w:rsidRDefault="00970C67" w:rsidP="00A31171">
            <w:pPr>
              <w:pStyle w:val="TableText"/>
              <w:keepLines/>
              <w:widowControl w:val="0"/>
              <w:jc w:val="center"/>
              <w:rPr>
                <w:szCs w:val="20"/>
              </w:rPr>
            </w:pPr>
            <w:r w:rsidRPr="003253E7">
              <w:rPr>
                <w:szCs w:val="20"/>
              </w:rPr>
              <w:t>-</w:t>
            </w:r>
          </w:p>
        </w:tc>
        <w:tc>
          <w:tcPr>
            <w:tcW w:w="1221" w:type="pct"/>
            <w:shd w:val="clear" w:color="auto" w:fill="auto"/>
            <w:vAlign w:val="center"/>
          </w:tcPr>
          <w:p w:rsidR="00970C67" w:rsidRPr="003253E7" w:rsidRDefault="00970C67" w:rsidP="00A31171">
            <w:pPr>
              <w:pStyle w:val="TableText"/>
              <w:keepLines/>
              <w:widowControl w:val="0"/>
              <w:jc w:val="center"/>
              <w:rPr>
                <w:szCs w:val="20"/>
                <w:vertAlign w:val="superscript"/>
              </w:rPr>
            </w:pPr>
            <w:r w:rsidRPr="003253E7">
              <w:rPr>
                <w:szCs w:val="20"/>
              </w:rPr>
              <w:t>$237 (1.68 cycles)</w:t>
            </w:r>
            <w:r w:rsidR="00BF3D1D">
              <w:rPr>
                <w:szCs w:val="20"/>
                <w:vertAlign w:val="superscript"/>
              </w:rPr>
              <w:t>e</w:t>
            </w:r>
          </w:p>
        </w:tc>
        <w:tc>
          <w:tcPr>
            <w:tcW w:w="1220" w:type="pct"/>
            <w:shd w:val="clear" w:color="auto" w:fill="auto"/>
            <w:vAlign w:val="center"/>
          </w:tcPr>
          <w:p w:rsidR="00970C67" w:rsidRPr="003253E7" w:rsidRDefault="00970C67" w:rsidP="00A31171">
            <w:pPr>
              <w:pStyle w:val="TableText"/>
              <w:keepLines/>
              <w:widowControl w:val="0"/>
              <w:jc w:val="center"/>
              <w:rPr>
                <w:iCs/>
                <w:szCs w:val="20"/>
              </w:rPr>
            </w:pPr>
            <w:r w:rsidRPr="003253E7">
              <w:rPr>
                <w:iCs/>
                <w:szCs w:val="20"/>
              </w:rPr>
              <w:t>-</w:t>
            </w:r>
          </w:p>
        </w:tc>
      </w:tr>
      <w:tr w:rsidR="00970C67" w:rsidRPr="003253E7" w:rsidTr="00BF3D1D">
        <w:trPr>
          <w:cantSplit/>
          <w:jc w:val="center"/>
        </w:trPr>
        <w:tc>
          <w:tcPr>
            <w:tcW w:w="1180" w:type="pct"/>
            <w:shd w:val="clear" w:color="auto" w:fill="auto"/>
            <w:vAlign w:val="center"/>
          </w:tcPr>
          <w:p w:rsidR="00970C67" w:rsidRPr="003253E7" w:rsidRDefault="00970C67" w:rsidP="00A31171">
            <w:pPr>
              <w:pStyle w:val="TableText"/>
              <w:keepLines/>
              <w:widowControl w:val="0"/>
              <w:rPr>
                <w:szCs w:val="20"/>
              </w:rPr>
            </w:pPr>
            <w:r w:rsidRPr="003253E7">
              <w:rPr>
                <w:szCs w:val="20"/>
              </w:rPr>
              <w:t>FLAG-IDA cost</w:t>
            </w:r>
          </w:p>
        </w:tc>
        <w:tc>
          <w:tcPr>
            <w:tcW w:w="1379" w:type="pct"/>
            <w:shd w:val="clear" w:color="auto" w:fill="auto"/>
            <w:vAlign w:val="center"/>
          </w:tcPr>
          <w:p w:rsidR="00970C67" w:rsidRPr="003253E7" w:rsidRDefault="00970C67" w:rsidP="00A31171">
            <w:pPr>
              <w:pStyle w:val="TableText"/>
              <w:keepLines/>
              <w:widowControl w:val="0"/>
              <w:jc w:val="center"/>
              <w:rPr>
                <w:szCs w:val="20"/>
              </w:rPr>
            </w:pPr>
            <w:r w:rsidRPr="003253E7">
              <w:rPr>
                <w:szCs w:val="20"/>
              </w:rPr>
              <w:t>-</w:t>
            </w:r>
          </w:p>
        </w:tc>
        <w:tc>
          <w:tcPr>
            <w:tcW w:w="1221" w:type="pct"/>
            <w:shd w:val="clear" w:color="auto" w:fill="auto"/>
            <w:vAlign w:val="center"/>
          </w:tcPr>
          <w:p w:rsidR="00970C67" w:rsidRPr="003253E7" w:rsidRDefault="00970C67" w:rsidP="00A31171">
            <w:pPr>
              <w:pStyle w:val="TableText"/>
              <w:keepLines/>
              <w:widowControl w:val="0"/>
              <w:jc w:val="center"/>
              <w:rPr>
                <w:szCs w:val="20"/>
                <w:vertAlign w:val="superscript"/>
              </w:rPr>
            </w:pPr>
            <w:r w:rsidRPr="003253E7">
              <w:rPr>
                <w:szCs w:val="20"/>
              </w:rPr>
              <w:t>$4,015 (1.02 cycles)</w:t>
            </w:r>
            <w:r w:rsidR="00BF3D1D">
              <w:rPr>
                <w:szCs w:val="20"/>
                <w:vertAlign w:val="superscript"/>
              </w:rPr>
              <w:t>e</w:t>
            </w:r>
          </w:p>
        </w:tc>
        <w:tc>
          <w:tcPr>
            <w:tcW w:w="1220" w:type="pct"/>
            <w:shd w:val="clear" w:color="auto" w:fill="auto"/>
            <w:vAlign w:val="center"/>
          </w:tcPr>
          <w:p w:rsidR="00970C67" w:rsidRPr="003253E7" w:rsidRDefault="00970C67" w:rsidP="00A31171">
            <w:pPr>
              <w:pStyle w:val="TableText"/>
              <w:keepLines/>
              <w:widowControl w:val="0"/>
              <w:jc w:val="center"/>
              <w:rPr>
                <w:iCs/>
                <w:szCs w:val="20"/>
              </w:rPr>
            </w:pPr>
            <w:r w:rsidRPr="003253E7">
              <w:rPr>
                <w:iCs/>
                <w:szCs w:val="20"/>
              </w:rPr>
              <w:t>-</w:t>
            </w:r>
          </w:p>
        </w:tc>
      </w:tr>
      <w:tr w:rsidR="00970C67" w:rsidRPr="003253E7" w:rsidTr="00BF3D1D">
        <w:trPr>
          <w:cantSplit/>
          <w:jc w:val="center"/>
        </w:trPr>
        <w:tc>
          <w:tcPr>
            <w:tcW w:w="1180" w:type="pct"/>
            <w:shd w:val="clear" w:color="auto" w:fill="auto"/>
            <w:vAlign w:val="center"/>
          </w:tcPr>
          <w:p w:rsidR="00970C67" w:rsidRPr="003253E7" w:rsidRDefault="00970C67" w:rsidP="00A31171">
            <w:pPr>
              <w:pStyle w:val="TableText"/>
              <w:keepLines/>
              <w:widowControl w:val="0"/>
              <w:rPr>
                <w:szCs w:val="20"/>
              </w:rPr>
            </w:pPr>
            <w:r w:rsidRPr="003253E7">
              <w:rPr>
                <w:szCs w:val="20"/>
              </w:rPr>
              <w:t>MEC cost</w:t>
            </w:r>
          </w:p>
        </w:tc>
        <w:tc>
          <w:tcPr>
            <w:tcW w:w="1379" w:type="pct"/>
            <w:shd w:val="clear" w:color="auto" w:fill="auto"/>
            <w:vAlign w:val="center"/>
          </w:tcPr>
          <w:p w:rsidR="00970C67" w:rsidRPr="003253E7" w:rsidRDefault="00970C67" w:rsidP="00A31171">
            <w:pPr>
              <w:pStyle w:val="TableText"/>
              <w:keepLines/>
              <w:widowControl w:val="0"/>
              <w:jc w:val="center"/>
              <w:rPr>
                <w:szCs w:val="20"/>
              </w:rPr>
            </w:pPr>
            <w:r w:rsidRPr="003253E7">
              <w:rPr>
                <w:szCs w:val="20"/>
              </w:rPr>
              <w:t>-</w:t>
            </w:r>
          </w:p>
        </w:tc>
        <w:tc>
          <w:tcPr>
            <w:tcW w:w="1221" w:type="pct"/>
            <w:shd w:val="clear" w:color="auto" w:fill="auto"/>
            <w:vAlign w:val="center"/>
          </w:tcPr>
          <w:p w:rsidR="00970C67" w:rsidRPr="003253E7" w:rsidRDefault="00970C67" w:rsidP="00A31171">
            <w:pPr>
              <w:pStyle w:val="TableText"/>
              <w:keepLines/>
              <w:widowControl w:val="0"/>
              <w:jc w:val="center"/>
              <w:rPr>
                <w:szCs w:val="20"/>
                <w:vertAlign w:val="superscript"/>
              </w:rPr>
            </w:pPr>
            <w:r w:rsidRPr="003253E7">
              <w:rPr>
                <w:szCs w:val="20"/>
              </w:rPr>
              <w:t>$2,944 (1.13 cycles)</w:t>
            </w:r>
            <w:r w:rsidR="00BF3D1D">
              <w:rPr>
                <w:szCs w:val="20"/>
                <w:vertAlign w:val="superscript"/>
              </w:rPr>
              <w:t>e</w:t>
            </w:r>
          </w:p>
        </w:tc>
        <w:tc>
          <w:tcPr>
            <w:tcW w:w="1220" w:type="pct"/>
            <w:shd w:val="clear" w:color="auto" w:fill="auto"/>
            <w:vAlign w:val="center"/>
          </w:tcPr>
          <w:p w:rsidR="00970C67" w:rsidRPr="003253E7" w:rsidRDefault="00970C67" w:rsidP="00A31171">
            <w:pPr>
              <w:pStyle w:val="TableText"/>
              <w:keepLines/>
              <w:widowControl w:val="0"/>
              <w:jc w:val="center"/>
              <w:rPr>
                <w:iCs/>
                <w:szCs w:val="20"/>
              </w:rPr>
            </w:pPr>
            <w:r w:rsidRPr="003253E7">
              <w:rPr>
                <w:iCs/>
                <w:szCs w:val="20"/>
              </w:rPr>
              <w:t>-</w:t>
            </w:r>
          </w:p>
        </w:tc>
      </w:tr>
      <w:tr w:rsidR="00970C67" w:rsidRPr="003253E7" w:rsidTr="00BF3D1D">
        <w:trPr>
          <w:cantSplit/>
          <w:jc w:val="center"/>
        </w:trPr>
        <w:tc>
          <w:tcPr>
            <w:tcW w:w="1180" w:type="pct"/>
            <w:shd w:val="clear" w:color="auto" w:fill="auto"/>
            <w:vAlign w:val="center"/>
          </w:tcPr>
          <w:p w:rsidR="00970C67" w:rsidRPr="003253E7" w:rsidRDefault="00970C67" w:rsidP="00A31171">
            <w:pPr>
              <w:pStyle w:val="TableText"/>
              <w:keepLines/>
              <w:widowControl w:val="0"/>
              <w:rPr>
                <w:szCs w:val="20"/>
              </w:rPr>
            </w:pPr>
            <w:r w:rsidRPr="003253E7">
              <w:rPr>
                <w:szCs w:val="20"/>
              </w:rPr>
              <w:t>Component costs</w:t>
            </w:r>
          </w:p>
        </w:tc>
        <w:tc>
          <w:tcPr>
            <w:tcW w:w="1379" w:type="pct"/>
            <w:shd w:val="clear" w:color="auto" w:fill="auto"/>
            <w:vAlign w:val="center"/>
          </w:tcPr>
          <w:p w:rsidR="00970C67" w:rsidRPr="003253E7" w:rsidRDefault="00970C67" w:rsidP="00A31171">
            <w:pPr>
              <w:pStyle w:val="TableText"/>
              <w:keepLines/>
              <w:widowControl w:val="0"/>
              <w:jc w:val="center"/>
              <w:rPr>
                <w:szCs w:val="20"/>
              </w:rPr>
            </w:pPr>
            <w:r w:rsidRPr="003253E7">
              <w:rPr>
                <w:szCs w:val="20"/>
              </w:rPr>
              <w:t>-</w:t>
            </w:r>
          </w:p>
        </w:tc>
        <w:tc>
          <w:tcPr>
            <w:tcW w:w="1221" w:type="pct"/>
            <w:shd w:val="clear" w:color="auto" w:fill="auto"/>
            <w:vAlign w:val="center"/>
          </w:tcPr>
          <w:p w:rsidR="00970C67" w:rsidRPr="003253E7" w:rsidRDefault="00970C67" w:rsidP="00A31171">
            <w:pPr>
              <w:pStyle w:val="TableText"/>
              <w:keepLines/>
              <w:widowControl w:val="0"/>
              <w:jc w:val="center"/>
              <w:rPr>
                <w:szCs w:val="20"/>
              </w:rPr>
            </w:pPr>
            <w:r w:rsidRPr="003253E7">
              <w:rPr>
                <w:szCs w:val="20"/>
              </w:rPr>
              <w:t>-</w:t>
            </w:r>
          </w:p>
        </w:tc>
        <w:tc>
          <w:tcPr>
            <w:tcW w:w="1220" w:type="pct"/>
            <w:shd w:val="clear" w:color="auto" w:fill="auto"/>
            <w:vAlign w:val="center"/>
          </w:tcPr>
          <w:p w:rsidR="00970C67" w:rsidRPr="003253E7" w:rsidRDefault="00970C67" w:rsidP="00A31171">
            <w:pPr>
              <w:pStyle w:val="TableText"/>
              <w:keepLines/>
              <w:widowControl w:val="0"/>
              <w:jc w:val="center"/>
              <w:rPr>
                <w:iCs/>
                <w:szCs w:val="20"/>
                <w:vertAlign w:val="superscript"/>
              </w:rPr>
            </w:pPr>
            <w:r w:rsidRPr="003253E7">
              <w:rPr>
                <w:iCs/>
                <w:szCs w:val="20"/>
              </w:rPr>
              <w:t>CYT: $1,612 (1.18 cycles)</w:t>
            </w:r>
            <w:r w:rsidR="00BF3D1D">
              <w:rPr>
                <w:iCs/>
                <w:szCs w:val="20"/>
                <w:vertAlign w:val="superscript"/>
              </w:rPr>
              <w:t>f</w:t>
            </w:r>
            <w:r w:rsidRPr="003253E7">
              <w:rPr>
                <w:iCs/>
                <w:szCs w:val="20"/>
                <w:vertAlign w:val="superscript"/>
              </w:rPr>
              <w:t>,</w:t>
            </w:r>
            <w:r w:rsidR="00BF3D1D">
              <w:rPr>
                <w:iCs/>
                <w:szCs w:val="20"/>
                <w:vertAlign w:val="superscript"/>
              </w:rPr>
              <w:t>g</w:t>
            </w:r>
          </w:p>
          <w:p w:rsidR="00970C67" w:rsidRPr="003253E7" w:rsidRDefault="00970C67" w:rsidP="00A31171">
            <w:pPr>
              <w:pStyle w:val="TableText"/>
              <w:keepLines/>
              <w:widowControl w:val="0"/>
              <w:jc w:val="center"/>
              <w:rPr>
                <w:iCs/>
                <w:szCs w:val="20"/>
                <w:vertAlign w:val="superscript"/>
              </w:rPr>
            </w:pPr>
            <w:r w:rsidRPr="003253E7">
              <w:rPr>
                <w:iCs/>
                <w:szCs w:val="20"/>
              </w:rPr>
              <w:t>ETOP: $1,609 (1.13 cycles)</w:t>
            </w:r>
            <w:r w:rsidR="00BF3D1D">
              <w:rPr>
                <w:iCs/>
                <w:szCs w:val="20"/>
                <w:vertAlign w:val="superscript"/>
              </w:rPr>
              <w:t>f</w:t>
            </w:r>
          </w:p>
          <w:p w:rsidR="00970C67" w:rsidRPr="003253E7" w:rsidRDefault="00970C67" w:rsidP="00A31171">
            <w:pPr>
              <w:pStyle w:val="TableText"/>
              <w:keepLines/>
              <w:widowControl w:val="0"/>
              <w:jc w:val="center"/>
              <w:rPr>
                <w:iCs/>
                <w:szCs w:val="20"/>
                <w:vertAlign w:val="superscript"/>
              </w:rPr>
            </w:pPr>
            <w:r w:rsidRPr="003253E7">
              <w:rPr>
                <w:iCs/>
                <w:szCs w:val="20"/>
              </w:rPr>
              <w:t>MIT: $1,038 (1.13 cycles)</w:t>
            </w:r>
            <w:r w:rsidR="00BF3D1D">
              <w:rPr>
                <w:iCs/>
                <w:szCs w:val="20"/>
                <w:vertAlign w:val="superscript"/>
              </w:rPr>
              <w:t>f</w:t>
            </w:r>
          </w:p>
          <w:p w:rsidR="00970C67" w:rsidRPr="003253E7" w:rsidRDefault="00970C67" w:rsidP="00A31171">
            <w:pPr>
              <w:pStyle w:val="TableText"/>
              <w:keepLines/>
              <w:widowControl w:val="0"/>
              <w:jc w:val="center"/>
              <w:rPr>
                <w:iCs/>
                <w:szCs w:val="20"/>
                <w:vertAlign w:val="superscript"/>
              </w:rPr>
            </w:pPr>
            <w:r w:rsidRPr="003253E7">
              <w:rPr>
                <w:iCs/>
                <w:szCs w:val="20"/>
              </w:rPr>
              <w:t>IDA: $817 (1.02 cycles)</w:t>
            </w:r>
            <w:r w:rsidR="00BF3D1D">
              <w:rPr>
                <w:iCs/>
                <w:szCs w:val="20"/>
                <w:vertAlign w:val="superscript"/>
              </w:rPr>
              <w:t>f</w:t>
            </w:r>
          </w:p>
          <w:p w:rsidR="00970C67" w:rsidRPr="003253E7" w:rsidRDefault="00970C67" w:rsidP="00A31171">
            <w:pPr>
              <w:pStyle w:val="TableText"/>
              <w:keepLines/>
              <w:widowControl w:val="0"/>
              <w:jc w:val="center"/>
              <w:rPr>
                <w:iCs/>
                <w:szCs w:val="20"/>
                <w:vertAlign w:val="superscript"/>
              </w:rPr>
            </w:pPr>
            <w:r w:rsidRPr="003253E7">
              <w:rPr>
                <w:iCs/>
                <w:szCs w:val="20"/>
              </w:rPr>
              <w:t>FLU: $780 (1.02 cycles)</w:t>
            </w:r>
            <w:r w:rsidR="00BF3D1D">
              <w:rPr>
                <w:iCs/>
                <w:szCs w:val="20"/>
                <w:vertAlign w:val="superscript"/>
              </w:rPr>
              <w:t>f</w:t>
            </w:r>
          </w:p>
          <w:p w:rsidR="00970C67" w:rsidRPr="003253E7" w:rsidRDefault="00970C67" w:rsidP="00A31171">
            <w:pPr>
              <w:pStyle w:val="TableText"/>
              <w:keepLines/>
              <w:widowControl w:val="0"/>
              <w:jc w:val="center"/>
              <w:rPr>
                <w:iCs/>
                <w:szCs w:val="20"/>
                <w:vertAlign w:val="superscript"/>
              </w:rPr>
            </w:pPr>
            <w:r w:rsidRPr="003253E7">
              <w:rPr>
                <w:iCs/>
                <w:szCs w:val="20"/>
              </w:rPr>
              <w:t>FIL: $277 (1.02 cycles)</w:t>
            </w:r>
            <w:r w:rsidR="00BF3D1D">
              <w:rPr>
                <w:iCs/>
                <w:szCs w:val="20"/>
                <w:vertAlign w:val="superscript"/>
              </w:rPr>
              <w:t>f</w:t>
            </w:r>
          </w:p>
        </w:tc>
      </w:tr>
      <w:tr w:rsidR="00970C67" w:rsidRPr="003253E7" w:rsidTr="00BF3D1D">
        <w:trPr>
          <w:cantSplit/>
          <w:jc w:val="center"/>
        </w:trPr>
        <w:tc>
          <w:tcPr>
            <w:tcW w:w="1180" w:type="pct"/>
            <w:shd w:val="clear" w:color="auto" w:fill="auto"/>
            <w:vAlign w:val="center"/>
          </w:tcPr>
          <w:p w:rsidR="00970C67" w:rsidRPr="003253E7" w:rsidRDefault="00970C67" w:rsidP="00A31171">
            <w:pPr>
              <w:pStyle w:val="TableText"/>
              <w:keepLines/>
              <w:widowControl w:val="0"/>
              <w:rPr>
                <w:szCs w:val="20"/>
              </w:rPr>
            </w:pPr>
            <w:r w:rsidRPr="003253E7">
              <w:rPr>
                <w:szCs w:val="20"/>
              </w:rPr>
              <w:t xml:space="preserve">Distribution </w:t>
            </w:r>
          </w:p>
        </w:tc>
        <w:tc>
          <w:tcPr>
            <w:tcW w:w="1379" w:type="pct"/>
            <w:shd w:val="clear" w:color="auto" w:fill="auto"/>
            <w:vAlign w:val="center"/>
          </w:tcPr>
          <w:p w:rsidR="00970C67" w:rsidRPr="003253E7" w:rsidRDefault="00970C67" w:rsidP="00A31171">
            <w:pPr>
              <w:pStyle w:val="TableText"/>
              <w:keepLines/>
              <w:widowControl w:val="0"/>
              <w:jc w:val="center"/>
              <w:rPr>
                <w:szCs w:val="20"/>
                <w:vertAlign w:val="superscript"/>
              </w:rPr>
            </w:pPr>
            <w:r w:rsidRPr="003253E7">
              <w:rPr>
                <w:szCs w:val="20"/>
              </w:rPr>
              <w:t>25.8% azacitadine, 13.7% LoDAC, 33.9% FLAG-IDA and 26.6% MEC.</w:t>
            </w:r>
          </w:p>
        </w:tc>
        <w:tc>
          <w:tcPr>
            <w:tcW w:w="1221" w:type="pct"/>
            <w:shd w:val="clear" w:color="auto" w:fill="auto"/>
            <w:vAlign w:val="center"/>
          </w:tcPr>
          <w:p w:rsidR="00970C67" w:rsidRPr="003253E7" w:rsidRDefault="00970C67" w:rsidP="00A31171">
            <w:pPr>
              <w:pStyle w:val="TableText"/>
              <w:keepLines/>
              <w:widowControl w:val="0"/>
              <w:jc w:val="center"/>
              <w:rPr>
                <w:szCs w:val="20"/>
                <w:vertAlign w:val="superscript"/>
              </w:rPr>
            </w:pPr>
            <w:r w:rsidRPr="003253E7">
              <w:rPr>
                <w:szCs w:val="20"/>
              </w:rPr>
              <w:t>25.8% azacitadine, 13.7% LoDAC, 33.9% FLAG-IDA and 26.6% MEC.</w:t>
            </w:r>
          </w:p>
        </w:tc>
        <w:tc>
          <w:tcPr>
            <w:tcW w:w="1220" w:type="pct"/>
            <w:shd w:val="clear" w:color="auto" w:fill="auto"/>
            <w:vAlign w:val="center"/>
          </w:tcPr>
          <w:p w:rsidR="00970C67" w:rsidRPr="003253E7" w:rsidRDefault="00970C67" w:rsidP="00A31171">
            <w:pPr>
              <w:pStyle w:val="TableText"/>
              <w:keepLines/>
              <w:widowControl w:val="0"/>
              <w:jc w:val="center"/>
              <w:rPr>
                <w:i/>
                <w:szCs w:val="20"/>
              </w:rPr>
            </w:pPr>
            <w:r w:rsidRPr="003253E7">
              <w:rPr>
                <w:szCs w:val="20"/>
              </w:rPr>
              <w:t>25.8% azacitadine, 13.7% LoDAC, 33.9% FLAG-IDA and 26.6% MEC.</w:t>
            </w:r>
          </w:p>
        </w:tc>
      </w:tr>
      <w:tr w:rsidR="00970C67" w:rsidRPr="003253E7" w:rsidTr="00BF3D1D">
        <w:trPr>
          <w:cantSplit/>
          <w:jc w:val="center"/>
        </w:trPr>
        <w:tc>
          <w:tcPr>
            <w:tcW w:w="1180" w:type="pct"/>
            <w:shd w:val="clear" w:color="auto" w:fill="auto"/>
            <w:vAlign w:val="center"/>
          </w:tcPr>
          <w:p w:rsidR="00970C67" w:rsidRPr="003253E7" w:rsidRDefault="00970C67" w:rsidP="00A31171">
            <w:pPr>
              <w:pStyle w:val="TableText"/>
              <w:keepLines/>
              <w:widowControl w:val="0"/>
              <w:rPr>
                <w:szCs w:val="20"/>
              </w:rPr>
            </w:pPr>
            <w:r w:rsidRPr="003253E7">
              <w:rPr>
                <w:szCs w:val="20"/>
              </w:rPr>
              <w:t>Weighted cost/patient</w:t>
            </w:r>
          </w:p>
        </w:tc>
        <w:tc>
          <w:tcPr>
            <w:tcW w:w="1379" w:type="pct"/>
            <w:shd w:val="clear" w:color="auto" w:fill="auto"/>
            <w:vAlign w:val="center"/>
          </w:tcPr>
          <w:p w:rsidR="00970C67" w:rsidRPr="003253E7" w:rsidRDefault="00970C67" w:rsidP="00A31171">
            <w:pPr>
              <w:pStyle w:val="TableText"/>
              <w:keepLines/>
              <w:widowControl w:val="0"/>
              <w:jc w:val="center"/>
              <w:rPr>
                <w:szCs w:val="20"/>
              </w:rPr>
            </w:pPr>
            <w:r w:rsidRPr="003253E7">
              <w:rPr>
                <w:szCs w:val="20"/>
              </w:rPr>
              <w:t>-</w:t>
            </w:r>
          </w:p>
        </w:tc>
        <w:tc>
          <w:tcPr>
            <w:tcW w:w="1221" w:type="pct"/>
            <w:shd w:val="clear" w:color="auto" w:fill="auto"/>
            <w:vAlign w:val="center"/>
          </w:tcPr>
          <w:p w:rsidR="00970C67" w:rsidRPr="003253E7" w:rsidRDefault="00970C67" w:rsidP="00A31171">
            <w:pPr>
              <w:pStyle w:val="TableText"/>
              <w:keepLines/>
              <w:widowControl w:val="0"/>
              <w:jc w:val="center"/>
              <w:rPr>
                <w:szCs w:val="20"/>
              </w:rPr>
            </w:pPr>
            <w:r w:rsidRPr="003253E7">
              <w:rPr>
                <w:szCs w:val="20"/>
              </w:rPr>
              <w:t>$3,100</w:t>
            </w:r>
          </w:p>
        </w:tc>
        <w:tc>
          <w:tcPr>
            <w:tcW w:w="1220" w:type="pct"/>
            <w:shd w:val="clear" w:color="auto" w:fill="auto"/>
            <w:vAlign w:val="center"/>
          </w:tcPr>
          <w:p w:rsidR="00970C67" w:rsidRPr="003253E7" w:rsidRDefault="00970C67" w:rsidP="00A31171">
            <w:pPr>
              <w:pStyle w:val="TableText"/>
              <w:keepLines/>
              <w:widowControl w:val="0"/>
              <w:jc w:val="center"/>
              <w:rPr>
                <w:iCs/>
                <w:szCs w:val="20"/>
              </w:rPr>
            </w:pPr>
            <w:r w:rsidRPr="003253E7">
              <w:rPr>
                <w:iCs/>
                <w:szCs w:val="20"/>
              </w:rPr>
              <w:t>$11,601</w:t>
            </w:r>
            <w:r w:rsidR="00BF3D1D">
              <w:rPr>
                <w:iCs/>
                <w:szCs w:val="20"/>
                <w:vertAlign w:val="superscript"/>
              </w:rPr>
              <w:t>h</w:t>
            </w:r>
          </w:p>
        </w:tc>
      </w:tr>
    </w:tbl>
    <w:p w:rsidR="00970C67" w:rsidRPr="003253E7" w:rsidRDefault="00970C67" w:rsidP="00A31171">
      <w:pPr>
        <w:pStyle w:val="TableFigureFooter"/>
        <w:keepNext/>
        <w:keepLines/>
      </w:pPr>
      <w:r w:rsidRPr="003253E7">
        <w:t>Source: Table 75, p165 of the submission; Table 12.2.1, pp584-589 of the ADMIRAL final clinical study report</w:t>
      </w:r>
      <w:r w:rsidR="00BF3D1D">
        <w:t>; ‘4a. Scripts – affected’ and ‘</w:t>
      </w:r>
      <w:r w:rsidRPr="003253E7">
        <w:t>4b Impact – affected (pub)’ worksheets of the ‘Attachment 12 - Xospata FLT3_Financial Estimates_vFinal’ Excel workbook, Attachment 12 of the submission.</w:t>
      </w:r>
    </w:p>
    <w:p w:rsidR="00970C67" w:rsidRPr="003253E7" w:rsidRDefault="00970C67" w:rsidP="00A31171">
      <w:pPr>
        <w:pStyle w:val="TableFigureFooter"/>
        <w:keepNext/>
        <w:keepLines/>
      </w:pPr>
      <w:r w:rsidRPr="003253E7">
        <w:t>CYT, cytarabine; DPMQ, dispensed price for maximum quantity; ETO, etoposide; FIL, filgrastim; FLAG-IDA, fludarabine + cytarabine + filgrastim + idarubicin; FLU, fludarabine; HSCT, haematopoietic stem cell transplant; IDA, idarubicin; LoDAC, low dose anthracycline; MEC, mitozantrone + etoposide + cytarabine; MIT, mitozantrone.</w:t>
      </w:r>
    </w:p>
    <w:p w:rsidR="00970C67" w:rsidRPr="00270CC0" w:rsidRDefault="00BF3D1D" w:rsidP="00A31171">
      <w:pPr>
        <w:pStyle w:val="TableFigureFooter"/>
        <w:keepNext/>
        <w:keepLines/>
      </w:pPr>
      <w:r>
        <w:rPr>
          <w:vertAlign w:val="superscript"/>
        </w:rPr>
        <w:t>a</w:t>
      </w:r>
      <w:r w:rsidR="00970C67" w:rsidRPr="003253E7">
        <w:t xml:space="preserve"> The mean initial treatment </w:t>
      </w:r>
      <w:r w:rsidR="00970C67" w:rsidRPr="007672C8">
        <w:t>duration was 5.84 treatment cycles based on an analysis of average treatment duration excluding use of gilteritinib after HSCT in the ADMIRAL trial (Sept 2019 cut off). The mean post-HSCT treatment duration based on 63% of patients receiving gilteritinib after HSCT was estimated as 7.85 cycles minus 5.84 cycles = 2.00 cycles</w:t>
      </w:r>
      <w:r w:rsidR="00970C67" w:rsidRPr="00270CC0">
        <w:t>.</w:t>
      </w:r>
    </w:p>
    <w:p w:rsidR="00970C67" w:rsidRPr="003253E7" w:rsidRDefault="00BF3D1D" w:rsidP="00A31171">
      <w:pPr>
        <w:pStyle w:val="TableFigureFooter"/>
        <w:keepNext/>
        <w:keepLines/>
      </w:pPr>
      <w:r w:rsidRPr="00270CC0">
        <w:rPr>
          <w:vertAlign w:val="superscript"/>
        </w:rPr>
        <w:t>b</w:t>
      </w:r>
      <w:r w:rsidR="00970C67" w:rsidRPr="00270CC0">
        <w:t xml:space="preserve"> The submission assumed that all patients would receive initial treatment and 72% of patients would receive continuing treatment.</w:t>
      </w:r>
      <w:r w:rsidR="00F60870" w:rsidRPr="00270CC0">
        <w:t xml:space="preserve"> </w:t>
      </w:r>
      <w:r w:rsidR="00293BF7" w:rsidRPr="00270CC0">
        <w:rPr>
          <w:rFonts w:eastAsiaTheme="minorHAnsi"/>
          <w:lang w:eastAsia="en-US"/>
        </w:rPr>
        <w:t>This resulted in an overall mean treatment duration that was shorter than reported in the ADMIRAL trial (6.49 cycles versus 7.85 cycles).</w:t>
      </w:r>
    </w:p>
    <w:p w:rsidR="00970C67" w:rsidRPr="003253E7" w:rsidRDefault="00BF3D1D" w:rsidP="00A31171">
      <w:pPr>
        <w:pStyle w:val="TableFigureFooter"/>
        <w:keepNext/>
        <w:keepLines/>
      </w:pPr>
      <w:r>
        <w:rPr>
          <w:vertAlign w:val="superscript"/>
        </w:rPr>
        <w:t>c</w:t>
      </w:r>
      <w:r w:rsidR="00970C67" w:rsidRPr="003253E7">
        <w:t xml:space="preserve"> Based on the mean relative dose intensity reported for gilteritinib in the ADMIRAL trial.</w:t>
      </w:r>
    </w:p>
    <w:p w:rsidR="00970C67" w:rsidRPr="003253E7" w:rsidRDefault="00BF3D1D" w:rsidP="00A31171">
      <w:pPr>
        <w:pStyle w:val="TableFigureFooter"/>
        <w:keepNext/>
        <w:keepLines/>
      </w:pPr>
      <w:r>
        <w:rPr>
          <w:vertAlign w:val="superscript"/>
        </w:rPr>
        <w:t>d</w:t>
      </w:r>
      <w:r w:rsidR="00970C67" w:rsidRPr="003253E7">
        <w:t xml:space="preserve"> Based on the median relative dose intensity reported for gilteritinib in the ADMIRAL trial.</w:t>
      </w:r>
    </w:p>
    <w:p w:rsidR="00970C67" w:rsidRPr="003253E7" w:rsidRDefault="00BF3D1D" w:rsidP="00A31171">
      <w:pPr>
        <w:pStyle w:val="TableFigureFooter"/>
        <w:keepNext/>
        <w:keepLines/>
      </w:pPr>
      <w:r>
        <w:rPr>
          <w:vertAlign w:val="superscript"/>
        </w:rPr>
        <w:t xml:space="preserve">e </w:t>
      </w:r>
      <w:r w:rsidR="00970C67" w:rsidRPr="003253E7">
        <w:t>Drug costs per patient per course of salvage chemotherapy regimen used in the economic model were estimated based on recommended doses, mean treatment duration and relative dose intensities in the ADMIRAL trial.</w:t>
      </w:r>
    </w:p>
    <w:p w:rsidR="00970C67" w:rsidRPr="003253E7" w:rsidRDefault="00BF3D1D" w:rsidP="00A31171">
      <w:pPr>
        <w:pStyle w:val="TableFigureFooter"/>
        <w:keepNext/>
        <w:keepLines/>
      </w:pPr>
      <w:r>
        <w:rPr>
          <w:vertAlign w:val="superscript"/>
        </w:rPr>
        <w:t>f</w:t>
      </w:r>
      <w:r w:rsidR="00970C67" w:rsidRPr="003253E7">
        <w:t xml:space="preserve"> Derived by multiplying the estimated scripts per patient by the applicable DPMQ assuming an 87.2%:12.8% public/private split for cytarabine, etoposide, mitozantrone, idarubicin, fludarabine and filgrastim, and a 100%:0% public/private split for azacitidine.</w:t>
      </w:r>
    </w:p>
    <w:p w:rsidR="00970C67" w:rsidRPr="003253E7" w:rsidRDefault="00BF3D1D" w:rsidP="00A31171">
      <w:pPr>
        <w:pStyle w:val="TableFigureFooter"/>
        <w:keepNext/>
        <w:keepLines/>
      </w:pPr>
      <w:r>
        <w:rPr>
          <w:vertAlign w:val="superscript"/>
        </w:rPr>
        <w:t>g</w:t>
      </w:r>
      <w:r w:rsidR="00970C67" w:rsidRPr="003253E7">
        <w:t xml:space="preserve"> The cost for cytarabine was based on the average number of cycles and doses across FLAG-IDA, MEC and LoDAC regimens, weighted by utilisation in the ADMIRAL trial.</w:t>
      </w:r>
    </w:p>
    <w:p w:rsidR="003D7507" w:rsidRPr="003253E7" w:rsidRDefault="00BF3D1D" w:rsidP="00A31171">
      <w:pPr>
        <w:pStyle w:val="TableFigureFooter"/>
        <w:keepNext/>
        <w:keepLines/>
      </w:pPr>
      <w:r>
        <w:rPr>
          <w:vertAlign w:val="superscript"/>
        </w:rPr>
        <w:t>h</w:t>
      </w:r>
      <w:r w:rsidR="00970C67" w:rsidRPr="003253E7">
        <w:t xml:space="preserve"> Estimated by dividing the total cost of salvage chemotherapy treatment by the number of treated patients.</w:t>
      </w:r>
      <w:r w:rsidR="006240FA" w:rsidRPr="006240FA">
        <w:t xml:space="preserve"> The higher weighted cost/patient compared to the economic model was largely due to the higher cost of azacitidine assumed in the financial estimates, which was based on the PBS maximum quantity (1,400 mg) per dose compared to an assumed dose of 135 mg in the economic model.</w:t>
      </w:r>
    </w:p>
    <w:p w:rsidR="00B60939" w:rsidRPr="003253E7" w:rsidRDefault="00B60939" w:rsidP="00F21C7A">
      <w:pPr>
        <w:pStyle w:val="3-SubsectionHeading"/>
        <w:keepLines/>
      </w:pPr>
      <w:bookmarkStart w:id="52" w:name="_Toc22897647"/>
      <w:bookmarkStart w:id="53" w:name="_Toc82605762"/>
      <w:r w:rsidRPr="003253E7">
        <w:t>Estimated PBS usage &amp; financial implications</w:t>
      </w:r>
      <w:bookmarkEnd w:id="52"/>
      <w:bookmarkEnd w:id="53"/>
    </w:p>
    <w:p w:rsidR="00626B6B" w:rsidRPr="003253E7" w:rsidRDefault="00626B6B" w:rsidP="00F21C7A">
      <w:pPr>
        <w:pStyle w:val="ExecSumBodyText"/>
        <w:keepNext/>
        <w:keepLines/>
        <w:rPr>
          <w:color w:val="0066FF"/>
        </w:rPr>
      </w:pPr>
      <w:r w:rsidRPr="003253E7">
        <w:t xml:space="preserve">This submission </w:t>
      </w:r>
      <w:r w:rsidR="00AE7193">
        <w:t>was not</w:t>
      </w:r>
      <w:r w:rsidRPr="003253E7">
        <w:t xml:space="preserve"> considered by DUSC. The submission used an epidemiological approach to estimate the utilisation and financial impacts associated with the PBS listing of gilteritinib, for the treatment of adult patients with FLT3 mutation positive relapsed or refractory AML.</w:t>
      </w:r>
    </w:p>
    <w:p w:rsidR="00626B6B" w:rsidRPr="003253E7" w:rsidRDefault="00626B6B" w:rsidP="0023584E">
      <w:pPr>
        <w:pStyle w:val="ExecSumBodyText"/>
      </w:pPr>
      <w:r w:rsidRPr="003253E7">
        <w:t>Key inputs used to derive the financial estimates are presented in the table below.</w:t>
      </w:r>
    </w:p>
    <w:p w:rsidR="00626B6B" w:rsidRPr="003253E7" w:rsidRDefault="002B6D54" w:rsidP="002B6D54">
      <w:pPr>
        <w:pStyle w:val="Tableheadingrow"/>
      </w:pPr>
      <w:r>
        <w:t xml:space="preserve">Table </w:t>
      </w:r>
      <w:r>
        <w:rPr>
          <w:noProof/>
        </w:rPr>
        <w:t>13</w:t>
      </w:r>
      <w:r w:rsidR="00626B6B" w:rsidRPr="003253E7">
        <w:t>: Key inputs for financial estimates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435"/>
        <w:gridCol w:w="3095"/>
        <w:gridCol w:w="4487"/>
      </w:tblGrid>
      <w:tr w:rsidR="00626B6B" w:rsidRPr="003253E7" w:rsidTr="00A31171">
        <w:trPr>
          <w:cantSplit/>
          <w:tblHeader/>
        </w:trPr>
        <w:tc>
          <w:tcPr>
            <w:tcW w:w="796" w:type="pct"/>
            <w:shd w:val="clear" w:color="auto" w:fill="auto"/>
            <w:vAlign w:val="center"/>
          </w:tcPr>
          <w:p w:rsidR="00626B6B" w:rsidRPr="003253E7" w:rsidRDefault="00626B6B" w:rsidP="00211848">
            <w:pPr>
              <w:pStyle w:val="Tableheadingrow"/>
              <w:keepNext w:val="0"/>
              <w:rPr>
                <w:lang w:val="en-AU"/>
              </w:rPr>
            </w:pPr>
            <w:r w:rsidRPr="003253E7">
              <w:rPr>
                <w:lang w:val="en-AU"/>
              </w:rPr>
              <w:t>Parameter</w:t>
            </w:r>
          </w:p>
        </w:tc>
        <w:tc>
          <w:tcPr>
            <w:tcW w:w="1716" w:type="pct"/>
            <w:shd w:val="clear" w:color="auto" w:fill="auto"/>
            <w:vAlign w:val="center"/>
          </w:tcPr>
          <w:p w:rsidR="00626B6B" w:rsidRPr="003253E7" w:rsidRDefault="00626B6B" w:rsidP="00211848">
            <w:pPr>
              <w:pStyle w:val="Tableheadingrow"/>
              <w:keepNext w:val="0"/>
              <w:jc w:val="center"/>
              <w:rPr>
                <w:lang w:val="en-AU"/>
              </w:rPr>
            </w:pPr>
            <w:r w:rsidRPr="003253E7">
              <w:rPr>
                <w:lang w:val="en-AU"/>
              </w:rPr>
              <w:t>Value applied and source</w:t>
            </w:r>
          </w:p>
        </w:tc>
        <w:tc>
          <w:tcPr>
            <w:tcW w:w="2488" w:type="pct"/>
            <w:shd w:val="clear" w:color="auto" w:fill="auto"/>
            <w:vAlign w:val="center"/>
          </w:tcPr>
          <w:p w:rsidR="00626B6B" w:rsidRPr="005743F7" w:rsidRDefault="00626B6B" w:rsidP="00211848">
            <w:pPr>
              <w:pStyle w:val="Tableheadingrow"/>
              <w:keepNext w:val="0"/>
              <w:jc w:val="center"/>
              <w:rPr>
                <w:lang w:val="en-AU"/>
              </w:rPr>
            </w:pPr>
            <w:r w:rsidRPr="005743F7">
              <w:rPr>
                <w:lang w:val="en-AU"/>
              </w:rPr>
              <w:t>Comment</w:t>
            </w:r>
          </w:p>
        </w:tc>
      </w:tr>
      <w:tr w:rsidR="00626B6B" w:rsidRPr="003253E7" w:rsidTr="00A31171">
        <w:trPr>
          <w:cantSplit/>
        </w:trPr>
        <w:tc>
          <w:tcPr>
            <w:tcW w:w="796" w:type="pct"/>
            <w:shd w:val="clear" w:color="auto" w:fill="auto"/>
            <w:vAlign w:val="center"/>
          </w:tcPr>
          <w:p w:rsidR="00626B6B" w:rsidRPr="003253E7" w:rsidRDefault="00626B6B" w:rsidP="00211848">
            <w:pPr>
              <w:pStyle w:val="TableText"/>
              <w:keepNext w:val="0"/>
            </w:pPr>
            <w:r w:rsidRPr="003253E7">
              <w:t>Incident AML patients</w:t>
            </w:r>
          </w:p>
        </w:tc>
        <w:tc>
          <w:tcPr>
            <w:tcW w:w="1716" w:type="pct"/>
            <w:shd w:val="clear" w:color="auto" w:fill="auto"/>
            <w:vAlign w:val="center"/>
          </w:tcPr>
          <w:p w:rsidR="00626B6B" w:rsidRPr="003253E7" w:rsidRDefault="00626B6B" w:rsidP="00211848">
            <w:pPr>
              <w:pStyle w:val="TableText"/>
              <w:keepNext w:val="0"/>
            </w:pPr>
            <w:r w:rsidRPr="003253E7">
              <w:t>4.3 cases per 100,000 population. Based on extrapolation of the age-specific incidence of AML published by the Australian Institute of Health and Welfare (AIHW, 2020).</w:t>
            </w:r>
          </w:p>
        </w:tc>
        <w:tc>
          <w:tcPr>
            <w:tcW w:w="2488" w:type="pct"/>
            <w:shd w:val="clear" w:color="auto" w:fill="auto"/>
            <w:vAlign w:val="center"/>
          </w:tcPr>
          <w:p w:rsidR="00626B6B" w:rsidRPr="005743F7" w:rsidRDefault="00626B6B" w:rsidP="00211848">
            <w:pPr>
              <w:pStyle w:val="TableText"/>
              <w:keepNext w:val="0"/>
            </w:pPr>
            <w:r w:rsidRPr="005743F7">
              <w:t>Updated AIHW estimates published in 2021 reported an age-specific AML incidence of 3.9 cases per 100,000 in 2017, a projected incidence of 4.2 cases per 100,000 in 2018 to 2020, and a projected incidence of 4.1 cases per 100,000 in 2021. The incidence of AML may be</w:t>
            </w:r>
            <w:r w:rsidR="004F3E18" w:rsidRPr="005743F7">
              <w:t xml:space="preserve"> slightly</w:t>
            </w:r>
            <w:r w:rsidRPr="005743F7">
              <w:t xml:space="preserve"> lower than estimated in the submission.</w:t>
            </w:r>
          </w:p>
        </w:tc>
      </w:tr>
      <w:tr w:rsidR="00626B6B" w:rsidRPr="003253E7" w:rsidTr="00A31171">
        <w:trPr>
          <w:cantSplit/>
        </w:trPr>
        <w:tc>
          <w:tcPr>
            <w:tcW w:w="796" w:type="pct"/>
            <w:shd w:val="clear" w:color="auto" w:fill="auto"/>
            <w:vAlign w:val="center"/>
          </w:tcPr>
          <w:p w:rsidR="00626B6B" w:rsidRPr="003253E7" w:rsidRDefault="00626B6B" w:rsidP="00211848">
            <w:pPr>
              <w:pStyle w:val="TableText"/>
              <w:keepNext w:val="0"/>
            </w:pPr>
            <w:r w:rsidRPr="003253E7">
              <w:t>Proportion of AML that is not APL</w:t>
            </w:r>
          </w:p>
        </w:tc>
        <w:tc>
          <w:tcPr>
            <w:tcW w:w="1716" w:type="pct"/>
            <w:shd w:val="clear" w:color="auto" w:fill="auto"/>
            <w:vAlign w:val="center"/>
          </w:tcPr>
          <w:p w:rsidR="00626B6B" w:rsidRPr="003253E7" w:rsidRDefault="00626B6B" w:rsidP="00211848">
            <w:pPr>
              <w:pStyle w:val="TableText"/>
              <w:keepNext w:val="0"/>
            </w:pPr>
            <w:r w:rsidRPr="003253E7">
              <w:t>93.7%. Based on a retrospective study of 898 patients with AML in Western Australia which reported that 57 / 898 (6.3%) patients had the APL subtype of AML (Gangatharan et al., 2013).</w:t>
            </w:r>
          </w:p>
        </w:tc>
        <w:tc>
          <w:tcPr>
            <w:tcW w:w="2488" w:type="pct"/>
          </w:tcPr>
          <w:p w:rsidR="00626B6B" w:rsidRPr="005743F7" w:rsidRDefault="00626B6B" w:rsidP="00211848">
            <w:pPr>
              <w:pStyle w:val="TableText"/>
              <w:keepNext w:val="0"/>
            </w:pPr>
            <w:r w:rsidRPr="005743F7">
              <w:rPr>
                <w:iCs/>
              </w:rPr>
              <w:t>The study was based on patients diagnosed with AML between 1991 to 2005 at a single treatment centre in Western Australia. It is unclear whether the results are representative of all patients in Australia.</w:t>
            </w:r>
          </w:p>
        </w:tc>
      </w:tr>
      <w:tr w:rsidR="00626B6B" w:rsidRPr="003253E7" w:rsidTr="00A31171">
        <w:trPr>
          <w:cantSplit/>
        </w:trPr>
        <w:tc>
          <w:tcPr>
            <w:tcW w:w="796" w:type="pct"/>
            <w:shd w:val="clear" w:color="auto" w:fill="auto"/>
            <w:vAlign w:val="center"/>
          </w:tcPr>
          <w:p w:rsidR="00626B6B" w:rsidRPr="003253E7" w:rsidRDefault="00626B6B" w:rsidP="00211848">
            <w:pPr>
              <w:pStyle w:val="TableText"/>
              <w:keepNext w:val="0"/>
            </w:pPr>
            <w:r w:rsidRPr="003253E7">
              <w:t>Proportion of patients considered fit for intensive treatment</w:t>
            </w:r>
          </w:p>
        </w:tc>
        <w:tc>
          <w:tcPr>
            <w:tcW w:w="1716" w:type="pct"/>
            <w:shd w:val="clear" w:color="auto" w:fill="auto"/>
            <w:vAlign w:val="center"/>
          </w:tcPr>
          <w:p w:rsidR="00626B6B" w:rsidRPr="003253E7" w:rsidRDefault="00626B6B" w:rsidP="00211848">
            <w:pPr>
              <w:pStyle w:val="TableText"/>
              <w:keepNext w:val="0"/>
            </w:pPr>
            <w:r w:rsidRPr="003253E7">
              <w:t>61%. Based on a retrospective study of 734 patients with AML in Western Australia (Gangatharan et al., 2013). The study reported that 447 (61%) patients received intensive first-line therapy.</w:t>
            </w:r>
          </w:p>
        </w:tc>
        <w:tc>
          <w:tcPr>
            <w:tcW w:w="2488" w:type="pct"/>
            <w:shd w:val="clear" w:color="auto" w:fill="auto"/>
            <w:vAlign w:val="center"/>
          </w:tcPr>
          <w:p w:rsidR="00626B6B" w:rsidRPr="005743F7" w:rsidRDefault="00626B6B" w:rsidP="00211848">
            <w:pPr>
              <w:pStyle w:val="TableText"/>
              <w:keepNext w:val="0"/>
            </w:pPr>
            <w:r w:rsidRPr="005743F7">
              <w:t xml:space="preserve">The study was based on patients diagnosed with AML between 2009 to 2018 at a single treatment centre in Western Australia. Younger patients, patients with </w:t>
            </w:r>
            <w:r w:rsidRPr="005E75B9">
              <w:rPr>
                <w:i/>
                <w:iCs/>
              </w:rPr>
              <w:t>de novo</w:t>
            </w:r>
            <w:r w:rsidRPr="005743F7">
              <w:t xml:space="preserve"> AML and patients with favourable or intermediate cytogenetics were more likely to receive aggressive therapy.</w:t>
            </w:r>
          </w:p>
        </w:tc>
      </w:tr>
      <w:tr w:rsidR="00626B6B" w:rsidRPr="003253E7" w:rsidTr="00A31171">
        <w:trPr>
          <w:cantSplit/>
        </w:trPr>
        <w:tc>
          <w:tcPr>
            <w:tcW w:w="796" w:type="pct"/>
            <w:shd w:val="clear" w:color="auto" w:fill="auto"/>
            <w:vAlign w:val="center"/>
          </w:tcPr>
          <w:p w:rsidR="00626B6B" w:rsidRPr="003253E7" w:rsidRDefault="00626B6B" w:rsidP="00211848">
            <w:pPr>
              <w:pStyle w:val="TableText"/>
              <w:keepNext w:val="0"/>
            </w:pPr>
            <w:r w:rsidRPr="003253E7">
              <w:t>Proportion of patients receiving induction treatment</w:t>
            </w:r>
          </w:p>
        </w:tc>
        <w:tc>
          <w:tcPr>
            <w:tcW w:w="1716" w:type="pct"/>
            <w:shd w:val="clear" w:color="auto" w:fill="auto"/>
            <w:vAlign w:val="center"/>
          </w:tcPr>
          <w:p w:rsidR="00626B6B" w:rsidRPr="003253E7" w:rsidRDefault="00626B6B" w:rsidP="00211848">
            <w:pPr>
              <w:pStyle w:val="TableText"/>
              <w:keepNext w:val="0"/>
            </w:pPr>
            <w:r w:rsidRPr="003253E7">
              <w:t>Fit patients: 98% based on Griffin et al. (2019).</w:t>
            </w:r>
          </w:p>
          <w:p w:rsidR="00626B6B" w:rsidRPr="003253E7" w:rsidRDefault="00626B6B" w:rsidP="00211848">
            <w:pPr>
              <w:pStyle w:val="TableText"/>
              <w:keepNext w:val="0"/>
            </w:pPr>
            <w:r w:rsidRPr="003253E7">
              <w:t>Unfit patients: 70% based on average across multiple published estimates.</w:t>
            </w:r>
          </w:p>
        </w:tc>
        <w:tc>
          <w:tcPr>
            <w:tcW w:w="2488" w:type="pct"/>
            <w:shd w:val="clear" w:color="auto" w:fill="auto"/>
            <w:vAlign w:val="center"/>
          </w:tcPr>
          <w:p w:rsidR="00626B6B" w:rsidRPr="005743F7" w:rsidRDefault="00626B6B" w:rsidP="00211848">
            <w:pPr>
              <w:pStyle w:val="TableText"/>
              <w:keepNext w:val="0"/>
            </w:pPr>
            <w:r w:rsidRPr="005743F7">
              <w:t>The proportion assumed for unfit patients was considered uncertain due to the substantial differences between the identified estimates.</w:t>
            </w:r>
          </w:p>
        </w:tc>
      </w:tr>
      <w:tr w:rsidR="00626B6B" w:rsidRPr="003253E7" w:rsidTr="00A31171">
        <w:trPr>
          <w:cantSplit/>
        </w:trPr>
        <w:tc>
          <w:tcPr>
            <w:tcW w:w="796" w:type="pct"/>
            <w:shd w:val="clear" w:color="auto" w:fill="auto"/>
            <w:vAlign w:val="center"/>
          </w:tcPr>
          <w:p w:rsidR="00626B6B" w:rsidRPr="003253E7" w:rsidRDefault="00626B6B" w:rsidP="00211848">
            <w:pPr>
              <w:pStyle w:val="TableText"/>
              <w:keepNext w:val="0"/>
            </w:pPr>
            <w:r w:rsidRPr="003253E7">
              <w:t>CR or CRi after induction among fit patients.</w:t>
            </w:r>
          </w:p>
        </w:tc>
        <w:tc>
          <w:tcPr>
            <w:tcW w:w="1716" w:type="pct"/>
            <w:shd w:val="clear" w:color="auto" w:fill="auto"/>
            <w:vAlign w:val="center"/>
          </w:tcPr>
          <w:p w:rsidR="00626B6B" w:rsidRPr="003253E7" w:rsidRDefault="00626B6B" w:rsidP="00211848">
            <w:pPr>
              <w:pStyle w:val="TableText"/>
              <w:keepNext w:val="0"/>
            </w:pPr>
            <w:r w:rsidRPr="003253E7">
              <w:t>Fit patients: 77.5% based on average of estimates reported by Taylor et al. (2017) and Stone et al. (2017).</w:t>
            </w:r>
          </w:p>
          <w:p w:rsidR="00626B6B" w:rsidRPr="003253E7" w:rsidRDefault="00626B6B" w:rsidP="00211848">
            <w:pPr>
              <w:pStyle w:val="TableText"/>
              <w:keepNext w:val="0"/>
            </w:pPr>
            <w:r w:rsidRPr="003253E7">
              <w:t>Unfit patients: 50% based on average of estimates reported by Dombret et al. (2015) and Arthur et al. (2020).</w:t>
            </w:r>
          </w:p>
        </w:tc>
        <w:tc>
          <w:tcPr>
            <w:tcW w:w="2488" w:type="pct"/>
            <w:shd w:val="clear" w:color="auto" w:fill="auto"/>
            <w:vAlign w:val="center"/>
          </w:tcPr>
          <w:p w:rsidR="00626B6B" w:rsidRPr="005743F7" w:rsidRDefault="00626B6B" w:rsidP="00211848">
            <w:pPr>
              <w:pStyle w:val="TableText"/>
              <w:keepNext w:val="0"/>
            </w:pPr>
            <w:r w:rsidRPr="005743F7">
              <w:t>The assumed proportions were considered uncertain due to substantial differences between the identified published estimates.</w:t>
            </w:r>
          </w:p>
        </w:tc>
      </w:tr>
      <w:tr w:rsidR="00626B6B" w:rsidRPr="003253E7" w:rsidTr="00A31171">
        <w:trPr>
          <w:cantSplit/>
        </w:trPr>
        <w:tc>
          <w:tcPr>
            <w:tcW w:w="796" w:type="pct"/>
            <w:shd w:val="clear" w:color="auto" w:fill="auto"/>
            <w:vAlign w:val="center"/>
          </w:tcPr>
          <w:p w:rsidR="00626B6B" w:rsidRPr="003253E7" w:rsidRDefault="00626B6B" w:rsidP="00211848">
            <w:pPr>
              <w:pStyle w:val="TableText"/>
              <w:keepNext w:val="0"/>
            </w:pPr>
            <w:r w:rsidRPr="003253E7">
              <w:t>Subsequent relapse following response</w:t>
            </w:r>
          </w:p>
        </w:tc>
        <w:tc>
          <w:tcPr>
            <w:tcW w:w="1716" w:type="pct"/>
            <w:shd w:val="clear" w:color="auto" w:fill="auto"/>
            <w:vAlign w:val="center"/>
          </w:tcPr>
          <w:p w:rsidR="00626B6B" w:rsidRPr="003253E7" w:rsidRDefault="00626B6B" w:rsidP="00211848">
            <w:pPr>
              <w:pStyle w:val="TableText"/>
              <w:keepNext w:val="0"/>
            </w:pPr>
            <w:r w:rsidRPr="003253E7">
              <w:t>Fit patients: 50% based on average of estimates reported by Taylor et al. (2017) and Stone et al. (2017).</w:t>
            </w:r>
          </w:p>
          <w:p w:rsidR="00626B6B" w:rsidRPr="003253E7" w:rsidRDefault="00626B6B" w:rsidP="00211848">
            <w:pPr>
              <w:pStyle w:val="TableText"/>
              <w:keepNext w:val="0"/>
            </w:pPr>
            <w:r w:rsidRPr="003253E7">
              <w:t>Unfit patients: 60% based on average across multiple published estimates.</w:t>
            </w:r>
          </w:p>
        </w:tc>
        <w:tc>
          <w:tcPr>
            <w:tcW w:w="2488" w:type="pct"/>
            <w:shd w:val="clear" w:color="auto" w:fill="auto"/>
            <w:vAlign w:val="center"/>
          </w:tcPr>
          <w:p w:rsidR="00626B6B" w:rsidRPr="005743F7" w:rsidRDefault="00626B6B" w:rsidP="00211848">
            <w:pPr>
              <w:pStyle w:val="TableText"/>
              <w:keepNext w:val="0"/>
            </w:pPr>
            <w:r w:rsidRPr="005743F7">
              <w:t>The assumed proportions were considered uncertain due to substantial differences between the identified published estimates. Relapse rates are likely to be impacted by transplantation rates.</w:t>
            </w:r>
          </w:p>
        </w:tc>
      </w:tr>
      <w:tr w:rsidR="00626B6B" w:rsidRPr="003253E7" w:rsidTr="00A31171">
        <w:trPr>
          <w:cantSplit/>
        </w:trPr>
        <w:tc>
          <w:tcPr>
            <w:tcW w:w="796" w:type="pct"/>
            <w:shd w:val="clear" w:color="auto" w:fill="auto"/>
            <w:vAlign w:val="center"/>
          </w:tcPr>
          <w:p w:rsidR="00626B6B" w:rsidRPr="003253E7" w:rsidRDefault="00626B6B" w:rsidP="00211848">
            <w:pPr>
              <w:pStyle w:val="TableText"/>
              <w:keepNext w:val="0"/>
            </w:pPr>
            <w:r w:rsidRPr="003253E7">
              <w:t>Proportion of fit patients surviving to second line</w:t>
            </w:r>
          </w:p>
        </w:tc>
        <w:tc>
          <w:tcPr>
            <w:tcW w:w="1716" w:type="pct"/>
            <w:shd w:val="clear" w:color="auto" w:fill="auto"/>
            <w:vAlign w:val="center"/>
          </w:tcPr>
          <w:p w:rsidR="00626B6B" w:rsidRPr="003253E7" w:rsidRDefault="00626B6B" w:rsidP="00211848">
            <w:pPr>
              <w:pStyle w:val="TableText"/>
              <w:keepNext w:val="0"/>
            </w:pPr>
            <w:r w:rsidRPr="003253E7">
              <w:t>Fit patients: 87% based on Stone et al. (2017).</w:t>
            </w:r>
          </w:p>
          <w:p w:rsidR="00626B6B" w:rsidRPr="003253E7" w:rsidRDefault="00626B6B" w:rsidP="00211848">
            <w:pPr>
              <w:pStyle w:val="TableText"/>
              <w:keepNext w:val="0"/>
            </w:pPr>
            <w:r w:rsidRPr="003253E7">
              <w:t>Unfit patients: 57% based on average across multiple published estimates.</w:t>
            </w:r>
          </w:p>
        </w:tc>
        <w:tc>
          <w:tcPr>
            <w:tcW w:w="2488" w:type="pct"/>
            <w:shd w:val="clear" w:color="auto" w:fill="auto"/>
            <w:vAlign w:val="center"/>
          </w:tcPr>
          <w:p w:rsidR="00626B6B" w:rsidRPr="005743F7" w:rsidRDefault="00626B6B" w:rsidP="00211848">
            <w:pPr>
              <w:pStyle w:val="TableText"/>
              <w:keepNext w:val="0"/>
            </w:pPr>
            <w:r w:rsidRPr="005743F7">
              <w:t>The estimate for unfit patients was considered uncertain given the substantial differences between the estimates identified in the submission.</w:t>
            </w:r>
          </w:p>
        </w:tc>
      </w:tr>
      <w:tr w:rsidR="00626B6B" w:rsidRPr="003253E7" w:rsidTr="00A31171">
        <w:trPr>
          <w:cantSplit/>
        </w:trPr>
        <w:tc>
          <w:tcPr>
            <w:tcW w:w="796" w:type="pct"/>
            <w:shd w:val="clear" w:color="auto" w:fill="auto"/>
            <w:vAlign w:val="center"/>
          </w:tcPr>
          <w:p w:rsidR="00626B6B" w:rsidRPr="007672C8" w:rsidRDefault="00626B6B" w:rsidP="00211848">
            <w:pPr>
              <w:pStyle w:val="TableText"/>
              <w:keepNext w:val="0"/>
            </w:pPr>
            <w:r w:rsidRPr="007672C8">
              <w:t>Patients tested for FLT3 mutation</w:t>
            </w:r>
          </w:p>
        </w:tc>
        <w:tc>
          <w:tcPr>
            <w:tcW w:w="1716" w:type="pct"/>
            <w:shd w:val="clear" w:color="auto" w:fill="auto"/>
            <w:vAlign w:val="center"/>
          </w:tcPr>
          <w:p w:rsidR="00626B6B" w:rsidRPr="007672C8" w:rsidRDefault="00DD7357" w:rsidP="00211848">
            <w:pPr>
              <w:pStyle w:val="TableText"/>
              <w:keepNext w:val="0"/>
            </w:pPr>
            <w:r>
              <w:rPr>
                <w:noProof/>
                <w:color w:val="000000"/>
                <w:highlight w:val="black"/>
              </w:rPr>
              <w:t>''''''</w:t>
            </w:r>
            <w:r w:rsidR="00626B6B" w:rsidRPr="007672C8">
              <w:t xml:space="preserve">% in Year 1 increasing to </w:t>
            </w:r>
            <w:r>
              <w:rPr>
                <w:noProof/>
                <w:color w:val="000000"/>
                <w:highlight w:val="black"/>
              </w:rPr>
              <w:t>''''''''''</w:t>
            </w:r>
            <w:r w:rsidR="00626B6B" w:rsidRPr="007672C8">
              <w:t>% by Year 5 based on sponsor assumption.</w:t>
            </w:r>
          </w:p>
        </w:tc>
        <w:tc>
          <w:tcPr>
            <w:tcW w:w="2488" w:type="pct"/>
            <w:shd w:val="clear" w:color="auto" w:fill="auto"/>
            <w:vAlign w:val="center"/>
          </w:tcPr>
          <w:p w:rsidR="00626B6B" w:rsidRPr="005743F7" w:rsidRDefault="00626B6B" w:rsidP="00211848">
            <w:pPr>
              <w:pStyle w:val="TableText"/>
              <w:keepNext w:val="0"/>
            </w:pPr>
            <w:r w:rsidRPr="005743F7">
              <w:t>The submission argued that PBS listing of gilteritinib is expected to increase the rate of testing in the relapsed/refractory setting.</w:t>
            </w:r>
          </w:p>
        </w:tc>
      </w:tr>
      <w:tr w:rsidR="00626B6B" w:rsidRPr="003253E7" w:rsidTr="00A31171">
        <w:trPr>
          <w:cantSplit/>
        </w:trPr>
        <w:tc>
          <w:tcPr>
            <w:tcW w:w="796" w:type="pct"/>
            <w:shd w:val="clear" w:color="auto" w:fill="auto"/>
            <w:vAlign w:val="center"/>
          </w:tcPr>
          <w:p w:rsidR="00626B6B" w:rsidRPr="003253E7" w:rsidRDefault="00626B6B" w:rsidP="00211848">
            <w:pPr>
              <w:pStyle w:val="TableText"/>
              <w:keepNext w:val="0"/>
            </w:pPr>
            <w:r w:rsidRPr="003253E7">
              <w:t>Proportion of relapsed/refractory patients who are FLT3 mutation positive</w:t>
            </w:r>
          </w:p>
        </w:tc>
        <w:tc>
          <w:tcPr>
            <w:tcW w:w="1716" w:type="pct"/>
            <w:shd w:val="clear" w:color="auto" w:fill="auto"/>
            <w:vAlign w:val="center"/>
          </w:tcPr>
          <w:p w:rsidR="00626B6B" w:rsidRPr="003253E7" w:rsidRDefault="00626B6B" w:rsidP="00211848">
            <w:pPr>
              <w:pStyle w:val="TableText"/>
              <w:keepNext w:val="0"/>
            </w:pPr>
            <w:r w:rsidRPr="003253E7">
              <w:t>38% based on McCormick et al. (2010).</w:t>
            </w:r>
          </w:p>
        </w:tc>
        <w:tc>
          <w:tcPr>
            <w:tcW w:w="2488" w:type="pct"/>
            <w:shd w:val="clear" w:color="auto" w:fill="auto"/>
            <w:vAlign w:val="center"/>
          </w:tcPr>
          <w:p w:rsidR="00626B6B" w:rsidRPr="005743F7" w:rsidRDefault="00626B6B" w:rsidP="00211848">
            <w:pPr>
              <w:pStyle w:val="TableText"/>
              <w:keepNext w:val="0"/>
            </w:pPr>
            <w:r w:rsidRPr="005743F7">
              <w:t>The study was based on a relatively small sample size (50 patients) and was limited to patients who had relapsed following completion of induction chemotherapy.</w:t>
            </w:r>
          </w:p>
        </w:tc>
      </w:tr>
      <w:tr w:rsidR="00626B6B" w:rsidRPr="003253E7" w:rsidTr="00A31171">
        <w:trPr>
          <w:cantSplit/>
        </w:trPr>
        <w:tc>
          <w:tcPr>
            <w:tcW w:w="796" w:type="pct"/>
            <w:shd w:val="clear" w:color="auto" w:fill="auto"/>
            <w:vAlign w:val="center"/>
          </w:tcPr>
          <w:p w:rsidR="00626B6B" w:rsidRPr="003253E7" w:rsidRDefault="00626B6B" w:rsidP="00211848">
            <w:pPr>
              <w:pStyle w:val="TableText"/>
              <w:keepNext w:val="0"/>
            </w:pPr>
            <w:r w:rsidRPr="003253E7">
              <w:t>Number of FLT3 mutation tests</w:t>
            </w:r>
          </w:p>
        </w:tc>
        <w:tc>
          <w:tcPr>
            <w:tcW w:w="1716" w:type="pct"/>
            <w:shd w:val="clear" w:color="auto" w:fill="auto"/>
            <w:vAlign w:val="center"/>
          </w:tcPr>
          <w:p w:rsidR="00626B6B" w:rsidRPr="003253E7" w:rsidRDefault="00626B6B" w:rsidP="00211848">
            <w:pPr>
              <w:pStyle w:val="TableText"/>
              <w:keepNext w:val="0"/>
            </w:pPr>
            <w:r w:rsidRPr="003253E7">
              <w:t>2.63. The submission assumed that approximately 2.63 patients (1 ÷ 0.38) would need to be tested to identify one FLT3 mutation positive patient.</w:t>
            </w:r>
          </w:p>
        </w:tc>
        <w:tc>
          <w:tcPr>
            <w:tcW w:w="2488" w:type="pct"/>
            <w:shd w:val="clear" w:color="auto" w:fill="auto"/>
            <w:vAlign w:val="center"/>
          </w:tcPr>
          <w:p w:rsidR="00626B6B" w:rsidRPr="005743F7" w:rsidRDefault="00626B6B" w:rsidP="00211848">
            <w:pPr>
              <w:pStyle w:val="TableText"/>
              <w:keepNext w:val="0"/>
            </w:pPr>
            <w:r w:rsidRPr="005743F7">
              <w:t>This proportion was considered uncertain.</w:t>
            </w:r>
          </w:p>
        </w:tc>
      </w:tr>
      <w:tr w:rsidR="00626B6B" w:rsidRPr="003253E7" w:rsidTr="00A31171">
        <w:trPr>
          <w:cantSplit/>
        </w:trPr>
        <w:tc>
          <w:tcPr>
            <w:tcW w:w="796" w:type="pct"/>
            <w:shd w:val="clear" w:color="auto" w:fill="auto"/>
            <w:vAlign w:val="center"/>
          </w:tcPr>
          <w:p w:rsidR="00626B6B" w:rsidRPr="003253E7" w:rsidRDefault="00626B6B" w:rsidP="00211848">
            <w:pPr>
              <w:pStyle w:val="TableText"/>
              <w:keepNext w:val="0"/>
            </w:pPr>
            <w:r w:rsidRPr="003253E7">
              <w:t>Gilteritinib uptake rate</w:t>
            </w:r>
          </w:p>
        </w:tc>
        <w:tc>
          <w:tcPr>
            <w:tcW w:w="1716" w:type="pct"/>
            <w:shd w:val="clear" w:color="auto" w:fill="auto"/>
            <w:vAlign w:val="center"/>
          </w:tcPr>
          <w:p w:rsidR="00626B6B" w:rsidRPr="003253E7" w:rsidRDefault="00DD7357" w:rsidP="00211848">
            <w:pPr>
              <w:pStyle w:val="TableText"/>
              <w:keepNext w:val="0"/>
            </w:pPr>
            <w:r>
              <w:rPr>
                <w:noProof/>
                <w:color w:val="000000"/>
                <w:highlight w:val="black"/>
              </w:rPr>
              <w:t>'''''</w:t>
            </w:r>
            <w:r w:rsidR="00626B6B" w:rsidRPr="003253E7">
              <w:t>% based on sponsor assumption.</w:t>
            </w:r>
          </w:p>
        </w:tc>
        <w:tc>
          <w:tcPr>
            <w:tcW w:w="2488" w:type="pct"/>
            <w:shd w:val="clear" w:color="auto" w:fill="auto"/>
            <w:vAlign w:val="center"/>
          </w:tcPr>
          <w:p w:rsidR="00626B6B" w:rsidRPr="005743F7" w:rsidRDefault="00626B6B" w:rsidP="00211848">
            <w:pPr>
              <w:pStyle w:val="TableText"/>
              <w:keepNext w:val="0"/>
            </w:pPr>
            <w:r w:rsidRPr="005743F7">
              <w:t>Uptake is likely to be high due to the lack of alternative targeted treatments for patients with FLT3 mutation positive AML. However, the assumed uptake rate may be an overestimate, given that a proportion of patients surviving to the relapsed/refractory setting may no longer be suitable for active treatment.</w:t>
            </w:r>
          </w:p>
        </w:tc>
      </w:tr>
      <w:tr w:rsidR="00626B6B" w:rsidRPr="003253E7" w:rsidTr="00A31171">
        <w:trPr>
          <w:cantSplit/>
        </w:trPr>
        <w:tc>
          <w:tcPr>
            <w:tcW w:w="796" w:type="pct"/>
            <w:shd w:val="clear" w:color="auto" w:fill="auto"/>
            <w:vAlign w:val="center"/>
          </w:tcPr>
          <w:p w:rsidR="00626B6B" w:rsidRPr="003253E7" w:rsidRDefault="00626B6B" w:rsidP="00211848">
            <w:pPr>
              <w:pStyle w:val="TableText"/>
              <w:keepNext w:val="0"/>
            </w:pPr>
            <w:r w:rsidRPr="003253E7">
              <w:t>Displaced therapy utilisation</w:t>
            </w:r>
          </w:p>
        </w:tc>
        <w:tc>
          <w:tcPr>
            <w:tcW w:w="1716" w:type="pct"/>
            <w:shd w:val="clear" w:color="auto" w:fill="auto"/>
            <w:vAlign w:val="center"/>
          </w:tcPr>
          <w:p w:rsidR="00626B6B" w:rsidRPr="003253E7" w:rsidRDefault="000450DB" w:rsidP="00211848">
            <w:pPr>
              <w:pStyle w:val="TableText"/>
              <w:keepNext w:val="0"/>
              <w:rPr>
                <w:b/>
                <w:bCs w:val="0"/>
              </w:rPr>
            </w:pPr>
            <w:r w:rsidRPr="003253E7">
              <w:t xml:space="preserve">LoDAC: 13.71%; </w:t>
            </w:r>
            <w:r>
              <w:t>a</w:t>
            </w:r>
            <w:r w:rsidR="00626B6B" w:rsidRPr="003253E7">
              <w:t xml:space="preserve">zacitidine: 25.81%; </w:t>
            </w:r>
            <w:r w:rsidRPr="003253E7">
              <w:t xml:space="preserve">MEC: 26.61%; </w:t>
            </w:r>
            <w:r w:rsidR="00626B6B" w:rsidRPr="003253E7">
              <w:t>FLAG-IDA: 33.87%</w:t>
            </w:r>
            <w:r>
              <w:t>;</w:t>
            </w:r>
            <w:r w:rsidR="00626B6B" w:rsidRPr="003253E7">
              <w:t xml:space="preserve"> based on the proportions of patients receiving each individual chemotherapy regimen in the ADMIRAL trial.</w:t>
            </w:r>
          </w:p>
        </w:tc>
        <w:tc>
          <w:tcPr>
            <w:tcW w:w="2488" w:type="pct"/>
            <w:shd w:val="clear" w:color="auto" w:fill="auto"/>
            <w:vAlign w:val="center"/>
          </w:tcPr>
          <w:p w:rsidR="00626B6B" w:rsidRPr="005743F7" w:rsidRDefault="00626B6B" w:rsidP="00211848">
            <w:pPr>
              <w:pStyle w:val="TableText"/>
              <w:keepNext w:val="0"/>
            </w:pPr>
            <w:r w:rsidRPr="005743F7">
              <w:t>There are limited data on the utilisation of treatments in patients who have FLT3 mutation positive AML with relapsed/refractory disease</w:t>
            </w:r>
            <w:r w:rsidR="000450DB">
              <w:t>, although the ESC had considered the distribution was reasonably applicable to the PBS population</w:t>
            </w:r>
            <w:r w:rsidRPr="005743F7">
              <w:t>.</w:t>
            </w:r>
          </w:p>
        </w:tc>
      </w:tr>
      <w:tr w:rsidR="00626B6B" w:rsidRPr="003253E7" w:rsidTr="00A31171">
        <w:trPr>
          <w:cantSplit/>
        </w:trPr>
        <w:tc>
          <w:tcPr>
            <w:tcW w:w="796" w:type="pct"/>
            <w:shd w:val="clear" w:color="auto" w:fill="auto"/>
            <w:vAlign w:val="center"/>
          </w:tcPr>
          <w:p w:rsidR="00626B6B" w:rsidRPr="003253E7" w:rsidRDefault="00626B6B" w:rsidP="00211848">
            <w:pPr>
              <w:pStyle w:val="TableText"/>
              <w:keepNext w:val="0"/>
            </w:pPr>
            <w:r w:rsidRPr="003253E7">
              <w:t>Gilteritinib scripts</w:t>
            </w:r>
          </w:p>
        </w:tc>
        <w:tc>
          <w:tcPr>
            <w:tcW w:w="1716" w:type="pct"/>
            <w:shd w:val="clear" w:color="auto" w:fill="auto"/>
          </w:tcPr>
          <w:p w:rsidR="00626B6B" w:rsidRPr="007672C8" w:rsidRDefault="00626B6B" w:rsidP="00211848">
            <w:pPr>
              <w:pStyle w:val="TableText"/>
              <w:keepNext w:val="0"/>
            </w:pPr>
            <w:r w:rsidRPr="003253E7">
              <w:t xml:space="preserve">Initiating patients: 3 per patient, based on the </w:t>
            </w:r>
            <w:r w:rsidRPr="007672C8">
              <w:t>assumption that all treated patients would receive 3 cycles of treatment.</w:t>
            </w:r>
          </w:p>
          <w:p w:rsidR="00626B6B" w:rsidRPr="003253E7" w:rsidRDefault="00626B6B" w:rsidP="00211848">
            <w:pPr>
              <w:pStyle w:val="TableText"/>
              <w:keepNext w:val="0"/>
            </w:pPr>
            <w:r w:rsidRPr="007672C8">
              <w:t>Continuing patients: 4.85 per patient, based on the mean treatment duration for gilteritinib in the economic model (7.85 cycles, inclusive of post-HSCT maintenance use). The submission assumed 100% treatment adherence based on the median dose</w:t>
            </w:r>
            <w:r w:rsidRPr="003253E7">
              <w:t xml:space="preserve"> intensity reported in the ADMIRAL trial.</w:t>
            </w:r>
          </w:p>
        </w:tc>
        <w:tc>
          <w:tcPr>
            <w:tcW w:w="2488" w:type="pct"/>
            <w:shd w:val="clear" w:color="auto" w:fill="auto"/>
            <w:vAlign w:val="center"/>
          </w:tcPr>
          <w:p w:rsidR="00626B6B" w:rsidRPr="005743F7" w:rsidRDefault="00626B6B" w:rsidP="00211848">
            <w:pPr>
              <w:pStyle w:val="TableText"/>
              <w:keepNext w:val="0"/>
              <w:rPr>
                <w:iCs/>
              </w:rPr>
            </w:pPr>
            <w:r w:rsidRPr="005743F7">
              <w:rPr>
                <w:iCs/>
              </w:rPr>
              <w:t xml:space="preserve">The submission </w:t>
            </w:r>
            <w:r w:rsidRPr="007672C8">
              <w:rPr>
                <w:iCs/>
              </w:rPr>
              <w:t>assumed that only 72% of patients would continue treatment after 84 days (3 cycles), based on the proportion of patients who had discontinued treatment with gilteritinib due to progressive disease at the final analysis of the ADMIRAL trial. This resulted in a mean treatment duration that was shorter than reported in the ADMIRAL trial (6.49 cycles versus 7.85 cycles</w:t>
            </w:r>
            <w:r w:rsidRPr="005743F7">
              <w:rPr>
                <w:iCs/>
              </w:rPr>
              <w:t>). The relative dose intensity reported in the ADMIRAL trial did not appear to be a reasonable proxy for treatment adherence</w:t>
            </w:r>
            <w:r w:rsidRPr="005743F7">
              <w:t xml:space="preserve"> </w:t>
            </w:r>
            <w:r w:rsidRPr="005743F7">
              <w:rPr>
                <w:iCs/>
              </w:rPr>
              <w:t>as, based on the definitions included in the trial, individual patient dose intensities could exceed 100% (range 38.6% to 160.3%).</w:t>
            </w:r>
            <w:r w:rsidR="000450DB">
              <w:rPr>
                <w:iCs/>
              </w:rPr>
              <w:t xml:space="preserve"> This was revised in the PSCR (see paragraph 6.108 below).</w:t>
            </w:r>
            <w:r w:rsidRPr="005743F7">
              <w:rPr>
                <w:iCs/>
              </w:rPr>
              <w:t xml:space="preserve">  </w:t>
            </w:r>
          </w:p>
        </w:tc>
      </w:tr>
      <w:tr w:rsidR="00626B6B" w:rsidRPr="003253E7" w:rsidTr="00A31171">
        <w:trPr>
          <w:cantSplit/>
          <w:trHeight w:val="60"/>
        </w:trPr>
        <w:tc>
          <w:tcPr>
            <w:tcW w:w="796" w:type="pct"/>
            <w:shd w:val="clear" w:color="auto" w:fill="auto"/>
            <w:vAlign w:val="center"/>
          </w:tcPr>
          <w:p w:rsidR="00626B6B" w:rsidRPr="003253E7" w:rsidRDefault="00626B6B" w:rsidP="00211848">
            <w:pPr>
              <w:pStyle w:val="TableText"/>
              <w:keepNext w:val="0"/>
            </w:pPr>
            <w:r w:rsidRPr="003253E7">
              <w:t>Cytarabine scripts</w:t>
            </w:r>
          </w:p>
        </w:tc>
        <w:tc>
          <w:tcPr>
            <w:tcW w:w="1716" w:type="pct"/>
            <w:shd w:val="clear" w:color="auto" w:fill="auto"/>
          </w:tcPr>
          <w:p w:rsidR="00626B6B" w:rsidRPr="003253E7" w:rsidRDefault="00626B6B" w:rsidP="00211848">
            <w:pPr>
              <w:pStyle w:val="TableText"/>
              <w:keepNext w:val="0"/>
            </w:pPr>
            <w:r w:rsidRPr="003253E7">
              <w:t>1.81 per patient</w:t>
            </w:r>
          </w:p>
        </w:tc>
        <w:tc>
          <w:tcPr>
            <w:tcW w:w="2488" w:type="pct"/>
            <w:vMerge w:val="restart"/>
            <w:shd w:val="clear" w:color="auto" w:fill="auto"/>
            <w:vAlign w:val="center"/>
          </w:tcPr>
          <w:p w:rsidR="00626B6B" w:rsidRPr="005743F7" w:rsidRDefault="00626B6B" w:rsidP="00211848">
            <w:pPr>
              <w:pStyle w:val="TableText"/>
              <w:keepNext w:val="0"/>
              <w:rPr>
                <w:iCs/>
              </w:rPr>
            </w:pPr>
            <w:r w:rsidRPr="005743F7">
              <w:t>Treatment regimens and number of treatment cycles based on the ADMIRAL trial. Treatment adherence based on reported dose intensities in the ADMIRAL trial</w:t>
            </w:r>
            <w:r w:rsidRPr="005743F7">
              <w:rPr>
                <w:iCs/>
              </w:rPr>
              <w:t xml:space="preserve">. The relative dose intensity reported in the ADMIRAL trial did not appear to be a reasonable proxy for treatment adherence as, based on the definitions included in the trial, individual patient dose intensities could exceed 100%. Utilisation in the PBS population (including number of cycles and treatment adherence) may differ from the ADMIRAL trial. </w:t>
            </w:r>
          </w:p>
        </w:tc>
      </w:tr>
      <w:tr w:rsidR="00626B6B" w:rsidRPr="003253E7" w:rsidTr="00A31171">
        <w:trPr>
          <w:cantSplit/>
        </w:trPr>
        <w:tc>
          <w:tcPr>
            <w:tcW w:w="796" w:type="pct"/>
            <w:shd w:val="clear" w:color="auto" w:fill="auto"/>
            <w:vAlign w:val="center"/>
          </w:tcPr>
          <w:p w:rsidR="00626B6B" w:rsidRPr="003253E7" w:rsidRDefault="00626B6B" w:rsidP="00211848">
            <w:pPr>
              <w:pStyle w:val="TableText"/>
              <w:keepNext w:val="0"/>
            </w:pPr>
            <w:r w:rsidRPr="003253E7">
              <w:t>Etoposide scripts</w:t>
            </w:r>
          </w:p>
        </w:tc>
        <w:tc>
          <w:tcPr>
            <w:tcW w:w="1716" w:type="pct"/>
            <w:shd w:val="clear" w:color="auto" w:fill="auto"/>
          </w:tcPr>
          <w:p w:rsidR="00626B6B" w:rsidRPr="003253E7" w:rsidRDefault="00626B6B" w:rsidP="00211848">
            <w:pPr>
              <w:pStyle w:val="TableText"/>
              <w:keepNext w:val="0"/>
            </w:pPr>
            <w:r w:rsidRPr="003253E7">
              <w:t>5.65 per patient</w:t>
            </w:r>
          </w:p>
        </w:tc>
        <w:tc>
          <w:tcPr>
            <w:tcW w:w="2488" w:type="pct"/>
            <w:vMerge/>
            <w:shd w:val="clear" w:color="auto" w:fill="auto"/>
            <w:vAlign w:val="center"/>
          </w:tcPr>
          <w:p w:rsidR="00626B6B" w:rsidRPr="005743F7" w:rsidRDefault="00626B6B" w:rsidP="00211848">
            <w:pPr>
              <w:pStyle w:val="TableText"/>
              <w:keepNext w:val="0"/>
              <w:rPr>
                <w:iCs/>
              </w:rPr>
            </w:pPr>
          </w:p>
        </w:tc>
      </w:tr>
      <w:tr w:rsidR="00626B6B" w:rsidRPr="003253E7" w:rsidTr="00A31171">
        <w:trPr>
          <w:cantSplit/>
        </w:trPr>
        <w:tc>
          <w:tcPr>
            <w:tcW w:w="796" w:type="pct"/>
            <w:shd w:val="clear" w:color="auto" w:fill="auto"/>
            <w:vAlign w:val="center"/>
          </w:tcPr>
          <w:p w:rsidR="00626B6B" w:rsidRPr="003253E7" w:rsidRDefault="00626B6B" w:rsidP="00211848">
            <w:pPr>
              <w:pStyle w:val="TableText"/>
              <w:keepNext w:val="0"/>
            </w:pPr>
            <w:r w:rsidRPr="003253E7">
              <w:t>Mitozantrone scripts</w:t>
            </w:r>
          </w:p>
        </w:tc>
        <w:tc>
          <w:tcPr>
            <w:tcW w:w="1716" w:type="pct"/>
            <w:shd w:val="clear" w:color="auto" w:fill="auto"/>
            <w:vAlign w:val="center"/>
          </w:tcPr>
          <w:p w:rsidR="00626B6B" w:rsidRPr="003253E7" w:rsidRDefault="00626B6B" w:rsidP="00211848">
            <w:pPr>
              <w:pStyle w:val="TableText"/>
              <w:keepNext w:val="0"/>
            </w:pPr>
            <w:r w:rsidRPr="003253E7">
              <w:t>5.65 per patient</w:t>
            </w:r>
          </w:p>
        </w:tc>
        <w:tc>
          <w:tcPr>
            <w:tcW w:w="2488" w:type="pct"/>
            <w:vMerge/>
            <w:shd w:val="clear" w:color="auto" w:fill="auto"/>
            <w:vAlign w:val="center"/>
          </w:tcPr>
          <w:p w:rsidR="00626B6B" w:rsidRPr="005743F7" w:rsidRDefault="00626B6B" w:rsidP="00211848">
            <w:pPr>
              <w:pStyle w:val="TableText"/>
              <w:keepNext w:val="0"/>
              <w:rPr>
                <w:iCs/>
              </w:rPr>
            </w:pPr>
          </w:p>
        </w:tc>
      </w:tr>
      <w:tr w:rsidR="00626B6B" w:rsidRPr="003253E7" w:rsidTr="00A31171">
        <w:trPr>
          <w:cantSplit/>
        </w:trPr>
        <w:tc>
          <w:tcPr>
            <w:tcW w:w="796" w:type="pct"/>
            <w:shd w:val="clear" w:color="auto" w:fill="auto"/>
            <w:vAlign w:val="center"/>
          </w:tcPr>
          <w:p w:rsidR="00626B6B" w:rsidRPr="003253E7" w:rsidRDefault="00626B6B" w:rsidP="00211848">
            <w:pPr>
              <w:pStyle w:val="TableText"/>
              <w:keepNext w:val="0"/>
            </w:pPr>
            <w:r w:rsidRPr="003253E7">
              <w:t>Idarubicin scripts</w:t>
            </w:r>
          </w:p>
        </w:tc>
        <w:tc>
          <w:tcPr>
            <w:tcW w:w="1716" w:type="pct"/>
            <w:shd w:val="clear" w:color="auto" w:fill="auto"/>
            <w:vAlign w:val="center"/>
          </w:tcPr>
          <w:p w:rsidR="00626B6B" w:rsidRPr="003253E7" w:rsidRDefault="00626B6B" w:rsidP="00211848">
            <w:pPr>
              <w:pStyle w:val="TableText"/>
              <w:keepNext w:val="0"/>
            </w:pPr>
            <w:r w:rsidRPr="003253E7">
              <w:t>3.02 per patient</w:t>
            </w:r>
          </w:p>
        </w:tc>
        <w:tc>
          <w:tcPr>
            <w:tcW w:w="2488" w:type="pct"/>
            <w:vMerge/>
            <w:shd w:val="clear" w:color="auto" w:fill="auto"/>
            <w:vAlign w:val="center"/>
          </w:tcPr>
          <w:p w:rsidR="00626B6B" w:rsidRPr="005743F7" w:rsidRDefault="00626B6B" w:rsidP="00211848">
            <w:pPr>
              <w:pStyle w:val="TableText"/>
              <w:keepNext w:val="0"/>
              <w:rPr>
                <w:iCs/>
              </w:rPr>
            </w:pPr>
          </w:p>
        </w:tc>
      </w:tr>
      <w:tr w:rsidR="00626B6B" w:rsidRPr="003253E7" w:rsidTr="00A31171">
        <w:trPr>
          <w:cantSplit/>
        </w:trPr>
        <w:tc>
          <w:tcPr>
            <w:tcW w:w="796" w:type="pct"/>
            <w:shd w:val="clear" w:color="auto" w:fill="auto"/>
            <w:vAlign w:val="center"/>
          </w:tcPr>
          <w:p w:rsidR="00626B6B" w:rsidRPr="003253E7" w:rsidRDefault="00626B6B" w:rsidP="00211848">
            <w:pPr>
              <w:pStyle w:val="TableText"/>
              <w:keepNext w:val="0"/>
            </w:pPr>
            <w:r w:rsidRPr="003253E7">
              <w:t>Fludarabine scripts</w:t>
            </w:r>
          </w:p>
        </w:tc>
        <w:tc>
          <w:tcPr>
            <w:tcW w:w="1716" w:type="pct"/>
            <w:shd w:val="clear" w:color="auto" w:fill="auto"/>
          </w:tcPr>
          <w:p w:rsidR="00626B6B" w:rsidRPr="003253E7" w:rsidRDefault="00626B6B" w:rsidP="00211848">
            <w:pPr>
              <w:pStyle w:val="TableText"/>
              <w:keepNext w:val="0"/>
            </w:pPr>
            <w:r w:rsidRPr="003253E7">
              <w:t>5.04 per patient</w:t>
            </w:r>
          </w:p>
        </w:tc>
        <w:tc>
          <w:tcPr>
            <w:tcW w:w="2488" w:type="pct"/>
            <w:vMerge/>
            <w:shd w:val="clear" w:color="auto" w:fill="auto"/>
            <w:vAlign w:val="center"/>
          </w:tcPr>
          <w:p w:rsidR="00626B6B" w:rsidRPr="005743F7" w:rsidRDefault="00626B6B" w:rsidP="00211848">
            <w:pPr>
              <w:pStyle w:val="TableText"/>
              <w:keepNext w:val="0"/>
              <w:rPr>
                <w:iCs/>
              </w:rPr>
            </w:pPr>
          </w:p>
        </w:tc>
      </w:tr>
      <w:tr w:rsidR="00626B6B" w:rsidRPr="003253E7" w:rsidTr="00A31171">
        <w:trPr>
          <w:cantSplit/>
        </w:trPr>
        <w:tc>
          <w:tcPr>
            <w:tcW w:w="796" w:type="pct"/>
            <w:shd w:val="clear" w:color="auto" w:fill="auto"/>
            <w:vAlign w:val="center"/>
          </w:tcPr>
          <w:p w:rsidR="00626B6B" w:rsidRPr="003253E7" w:rsidRDefault="00626B6B" w:rsidP="00211848">
            <w:pPr>
              <w:pStyle w:val="TableText"/>
              <w:keepNext w:val="0"/>
            </w:pPr>
            <w:r w:rsidRPr="003253E7">
              <w:t>Azacitidine scripts</w:t>
            </w:r>
          </w:p>
        </w:tc>
        <w:tc>
          <w:tcPr>
            <w:tcW w:w="1716" w:type="pct"/>
            <w:shd w:val="clear" w:color="auto" w:fill="auto"/>
          </w:tcPr>
          <w:p w:rsidR="00626B6B" w:rsidRPr="003253E7" w:rsidRDefault="00626B6B" w:rsidP="00211848">
            <w:pPr>
              <w:pStyle w:val="TableText"/>
              <w:keepNext w:val="0"/>
            </w:pPr>
            <w:r w:rsidRPr="003253E7">
              <w:t>15.68 per patient</w:t>
            </w:r>
          </w:p>
        </w:tc>
        <w:tc>
          <w:tcPr>
            <w:tcW w:w="2488" w:type="pct"/>
            <w:vMerge/>
            <w:shd w:val="clear" w:color="auto" w:fill="auto"/>
            <w:vAlign w:val="center"/>
          </w:tcPr>
          <w:p w:rsidR="00626B6B" w:rsidRPr="005743F7" w:rsidRDefault="00626B6B" w:rsidP="00211848">
            <w:pPr>
              <w:pStyle w:val="TableText"/>
              <w:keepNext w:val="0"/>
              <w:rPr>
                <w:iCs/>
              </w:rPr>
            </w:pPr>
          </w:p>
        </w:tc>
      </w:tr>
      <w:tr w:rsidR="00626B6B" w:rsidRPr="003253E7" w:rsidTr="00A31171">
        <w:trPr>
          <w:cantSplit/>
        </w:trPr>
        <w:tc>
          <w:tcPr>
            <w:tcW w:w="796" w:type="pct"/>
            <w:shd w:val="clear" w:color="auto" w:fill="auto"/>
            <w:vAlign w:val="center"/>
          </w:tcPr>
          <w:p w:rsidR="00626B6B" w:rsidRPr="003253E7" w:rsidRDefault="00626B6B" w:rsidP="00211848">
            <w:pPr>
              <w:pStyle w:val="TableText"/>
              <w:keepNext w:val="0"/>
            </w:pPr>
            <w:r w:rsidRPr="003253E7">
              <w:t>Filgrastim scripts</w:t>
            </w:r>
          </w:p>
        </w:tc>
        <w:tc>
          <w:tcPr>
            <w:tcW w:w="1716" w:type="pct"/>
            <w:shd w:val="clear" w:color="auto" w:fill="auto"/>
          </w:tcPr>
          <w:p w:rsidR="00626B6B" w:rsidRPr="003253E7" w:rsidRDefault="00626B6B" w:rsidP="00211848">
            <w:pPr>
              <w:pStyle w:val="TableText"/>
              <w:keepNext w:val="0"/>
            </w:pPr>
            <w:r w:rsidRPr="003253E7">
              <w:t>0.44 per patient</w:t>
            </w:r>
          </w:p>
        </w:tc>
        <w:tc>
          <w:tcPr>
            <w:tcW w:w="2488" w:type="pct"/>
            <w:vMerge/>
            <w:shd w:val="clear" w:color="auto" w:fill="auto"/>
            <w:vAlign w:val="center"/>
          </w:tcPr>
          <w:p w:rsidR="00626B6B" w:rsidRPr="005743F7" w:rsidRDefault="00626B6B" w:rsidP="00211848">
            <w:pPr>
              <w:pStyle w:val="TableText"/>
              <w:keepNext w:val="0"/>
              <w:rPr>
                <w:iCs/>
              </w:rPr>
            </w:pPr>
          </w:p>
        </w:tc>
      </w:tr>
    </w:tbl>
    <w:p w:rsidR="00626B6B" w:rsidRPr="003253E7" w:rsidRDefault="00626B6B" w:rsidP="00626B6B">
      <w:pPr>
        <w:pStyle w:val="TableFigureFooter"/>
      </w:pPr>
      <w:r w:rsidRPr="003253E7">
        <w:t>Source: Table 97, pp198-199 of the submission; ‘Attachment 12 - Xospata FLT3_Financial Estimates_vFinal’ Excel workbook, Attachment 12 of the submission.</w:t>
      </w:r>
    </w:p>
    <w:p w:rsidR="00626B6B" w:rsidRPr="003253E7" w:rsidRDefault="00626B6B" w:rsidP="00626B6B">
      <w:pPr>
        <w:pStyle w:val="TableFigureFooter"/>
      </w:pPr>
      <w:r w:rsidRPr="003253E7">
        <w:t>AML, Acute myeloid leukaemia; APL, acute promyelocytic leukaemia; AIHW, Australian Institute of Health and Welfare; CR, complete response; CRi, complete response with incomplete blood recovery; DPMQ, dispensed price for maximum quantity; FLAG-IDA, fludarabine + cytarabine + filgrastim + idarubicin; FLT3, FMS-like tyrosine kinase 3; HSCT, haematopoietic stem cell transplant; LoDAC, low dose anthracycline; MBS, Medicare Benefits Scheme; MEC, mitozantrone + etoposide + cytarabine; US, United States; Y, Year.</w:t>
      </w:r>
    </w:p>
    <w:p w:rsidR="00626B6B" w:rsidRPr="003253E7" w:rsidRDefault="007B41E3" w:rsidP="0023584E">
      <w:pPr>
        <w:pStyle w:val="ExecSumBodyText"/>
      </w:pPr>
      <w:r w:rsidRPr="003253E7">
        <w:t>The table below</w:t>
      </w:r>
      <w:r w:rsidR="00626B6B" w:rsidRPr="003253E7">
        <w:t xml:space="preserve"> presents the estimated </w:t>
      </w:r>
      <w:r w:rsidR="005D6927">
        <w:t>financial impact</w:t>
      </w:r>
      <w:r w:rsidR="00626B6B" w:rsidRPr="003253E7">
        <w:t xml:space="preserve"> of listing gilteritinib.</w:t>
      </w:r>
    </w:p>
    <w:p w:rsidR="00B218DF" w:rsidRDefault="00B218DF" w:rsidP="00DD7357">
      <w:pPr>
        <w:pStyle w:val="Tableheadingrow"/>
        <w:keepNext w:val="0"/>
      </w:pPr>
    </w:p>
    <w:p w:rsidR="00B218DF" w:rsidRDefault="00B218DF" w:rsidP="00DD7357">
      <w:pPr>
        <w:pStyle w:val="Tableheadingrow"/>
        <w:keepNext w:val="0"/>
      </w:pPr>
    </w:p>
    <w:p w:rsidR="00B218DF" w:rsidRDefault="00B218DF" w:rsidP="00DD7357">
      <w:pPr>
        <w:pStyle w:val="Tableheadingrow"/>
        <w:keepNext w:val="0"/>
      </w:pPr>
    </w:p>
    <w:p w:rsidR="00B218DF" w:rsidRDefault="00B218DF" w:rsidP="00DD7357">
      <w:pPr>
        <w:pStyle w:val="Tableheadingrow"/>
        <w:keepNext w:val="0"/>
      </w:pPr>
    </w:p>
    <w:p w:rsidR="00B218DF" w:rsidRDefault="00B218DF" w:rsidP="00DD7357">
      <w:pPr>
        <w:pStyle w:val="Tableheadingrow"/>
        <w:keepNext w:val="0"/>
      </w:pPr>
    </w:p>
    <w:p w:rsidR="00B218DF" w:rsidRDefault="00B218DF" w:rsidP="00DD7357">
      <w:pPr>
        <w:pStyle w:val="Tableheadingrow"/>
        <w:keepNext w:val="0"/>
      </w:pPr>
    </w:p>
    <w:p w:rsidR="00B218DF" w:rsidRDefault="00B218DF" w:rsidP="00DD7357">
      <w:pPr>
        <w:pStyle w:val="Tableheadingrow"/>
        <w:keepNext w:val="0"/>
      </w:pPr>
    </w:p>
    <w:p w:rsidR="00B218DF" w:rsidRDefault="00B218DF" w:rsidP="00DD7357">
      <w:pPr>
        <w:pStyle w:val="Tableheadingrow"/>
        <w:keepNext w:val="0"/>
      </w:pPr>
    </w:p>
    <w:p w:rsidR="00B218DF" w:rsidRDefault="00B218DF" w:rsidP="00DD7357">
      <w:pPr>
        <w:pStyle w:val="Tableheadingrow"/>
        <w:keepNext w:val="0"/>
      </w:pPr>
    </w:p>
    <w:p w:rsidR="00B218DF" w:rsidRDefault="00B218DF" w:rsidP="00DD7357">
      <w:pPr>
        <w:pStyle w:val="Tableheadingrow"/>
        <w:keepNext w:val="0"/>
      </w:pPr>
    </w:p>
    <w:p w:rsidR="00626B6B" w:rsidRPr="003253E7" w:rsidRDefault="002B6D54" w:rsidP="00DD7357">
      <w:pPr>
        <w:pStyle w:val="Tableheadingrow"/>
        <w:keepNext w:val="0"/>
      </w:pPr>
      <w:r>
        <w:t xml:space="preserve">Table </w:t>
      </w:r>
      <w:r>
        <w:rPr>
          <w:noProof/>
        </w:rPr>
        <w:t>14</w:t>
      </w:r>
      <w:r w:rsidR="00626B6B" w:rsidRPr="003253E7">
        <w:t xml:space="preserve">: Estimated </w:t>
      </w:r>
      <w:r w:rsidR="00680671">
        <w:t>use and financial implications</w:t>
      </w:r>
    </w:p>
    <w:tbl>
      <w:tblPr>
        <w:tblpPr w:leftFromText="180" w:rightFromText="180" w:vertAnchor="text" w:tblpY="1"/>
        <w:tblOverlap w:val="never"/>
        <w:tblW w:w="507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299"/>
        <w:gridCol w:w="1212"/>
        <w:gridCol w:w="1122"/>
        <w:gridCol w:w="1153"/>
        <w:gridCol w:w="1122"/>
        <w:gridCol w:w="1122"/>
        <w:gridCol w:w="1122"/>
      </w:tblGrid>
      <w:tr w:rsidR="00626B6B" w:rsidRPr="003253E7" w:rsidTr="00B218DF">
        <w:trPr>
          <w:tblHeader/>
        </w:trPr>
        <w:tc>
          <w:tcPr>
            <w:tcW w:w="1700" w:type="pct"/>
            <w:shd w:val="clear" w:color="auto" w:fill="auto"/>
            <w:vAlign w:val="center"/>
          </w:tcPr>
          <w:p w:rsidR="00626B6B" w:rsidRPr="003253E7" w:rsidRDefault="00626B6B" w:rsidP="00B218DF">
            <w:pPr>
              <w:pStyle w:val="Tableheadingrow"/>
              <w:rPr>
                <w:lang w:val="en-AU"/>
              </w:rPr>
            </w:pPr>
          </w:p>
        </w:tc>
        <w:tc>
          <w:tcPr>
            <w:tcW w:w="647" w:type="pct"/>
            <w:shd w:val="clear" w:color="auto" w:fill="auto"/>
            <w:vAlign w:val="center"/>
          </w:tcPr>
          <w:p w:rsidR="00626B6B" w:rsidRPr="003253E7" w:rsidRDefault="00626B6B" w:rsidP="00B218DF">
            <w:pPr>
              <w:pStyle w:val="Tableheadingrow"/>
              <w:jc w:val="center"/>
              <w:rPr>
                <w:lang w:val="en-AU"/>
              </w:rPr>
            </w:pPr>
            <w:r w:rsidRPr="003253E7">
              <w:rPr>
                <w:lang w:val="en-AU"/>
              </w:rPr>
              <w:t>Year 1</w:t>
            </w:r>
          </w:p>
        </w:tc>
        <w:tc>
          <w:tcPr>
            <w:tcW w:w="529" w:type="pct"/>
            <w:shd w:val="clear" w:color="auto" w:fill="auto"/>
            <w:vAlign w:val="center"/>
          </w:tcPr>
          <w:p w:rsidR="00626B6B" w:rsidRPr="003253E7" w:rsidRDefault="00626B6B" w:rsidP="00B218DF">
            <w:pPr>
              <w:pStyle w:val="Tableheadingrow"/>
              <w:jc w:val="center"/>
              <w:rPr>
                <w:lang w:val="en-AU"/>
              </w:rPr>
            </w:pPr>
            <w:r w:rsidRPr="003253E7">
              <w:rPr>
                <w:lang w:val="en-AU"/>
              </w:rPr>
              <w:t>Year 2</w:t>
            </w:r>
          </w:p>
        </w:tc>
        <w:tc>
          <w:tcPr>
            <w:tcW w:w="529" w:type="pct"/>
            <w:shd w:val="clear" w:color="auto" w:fill="auto"/>
            <w:vAlign w:val="center"/>
          </w:tcPr>
          <w:p w:rsidR="00626B6B" w:rsidRPr="003253E7" w:rsidRDefault="00626B6B" w:rsidP="00B218DF">
            <w:pPr>
              <w:pStyle w:val="Tableheadingrow"/>
              <w:jc w:val="center"/>
              <w:rPr>
                <w:lang w:val="en-AU"/>
              </w:rPr>
            </w:pPr>
            <w:r w:rsidRPr="003253E7">
              <w:rPr>
                <w:lang w:val="en-AU"/>
              </w:rPr>
              <w:t>Year 3</w:t>
            </w:r>
          </w:p>
        </w:tc>
        <w:tc>
          <w:tcPr>
            <w:tcW w:w="529" w:type="pct"/>
            <w:shd w:val="clear" w:color="auto" w:fill="auto"/>
            <w:vAlign w:val="center"/>
          </w:tcPr>
          <w:p w:rsidR="00626B6B" w:rsidRPr="003253E7" w:rsidRDefault="00626B6B" w:rsidP="00B218DF">
            <w:pPr>
              <w:pStyle w:val="Tableheadingrow"/>
              <w:jc w:val="center"/>
              <w:rPr>
                <w:lang w:val="en-AU"/>
              </w:rPr>
            </w:pPr>
            <w:r w:rsidRPr="003253E7">
              <w:rPr>
                <w:lang w:val="en-AU"/>
              </w:rPr>
              <w:t>Year 4</w:t>
            </w:r>
          </w:p>
        </w:tc>
        <w:tc>
          <w:tcPr>
            <w:tcW w:w="529" w:type="pct"/>
            <w:shd w:val="clear" w:color="auto" w:fill="auto"/>
            <w:vAlign w:val="center"/>
          </w:tcPr>
          <w:p w:rsidR="00626B6B" w:rsidRPr="003253E7" w:rsidRDefault="00626B6B" w:rsidP="00B218DF">
            <w:pPr>
              <w:pStyle w:val="Tableheadingrow"/>
              <w:jc w:val="center"/>
              <w:rPr>
                <w:lang w:val="en-AU"/>
              </w:rPr>
            </w:pPr>
            <w:r w:rsidRPr="003253E7">
              <w:rPr>
                <w:lang w:val="en-AU"/>
              </w:rPr>
              <w:t>Year 5</w:t>
            </w:r>
          </w:p>
        </w:tc>
        <w:tc>
          <w:tcPr>
            <w:tcW w:w="535" w:type="pct"/>
            <w:shd w:val="clear" w:color="auto" w:fill="auto"/>
            <w:vAlign w:val="center"/>
          </w:tcPr>
          <w:p w:rsidR="00626B6B" w:rsidRPr="003253E7" w:rsidRDefault="00626B6B" w:rsidP="00B218DF">
            <w:pPr>
              <w:pStyle w:val="Tableheadingrow"/>
              <w:jc w:val="center"/>
              <w:rPr>
                <w:lang w:val="en-AU"/>
              </w:rPr>
            </w:pPr>
            <w:r w:rsidRPr="003253E7">
              <w:rPr>
                <w:lang w:val="en-AU"/>
              </w:rPr>
              <w:t>Year 6</w:t>
            </w:r>
          </w:p>
        </w:tc>
      </w:tr>
      <w:tr w:rsidR="00626B6B" w:rsidRPr="003253E7" w:rsidTr="00B218DF">
        <w:tc>
          <w:tcPr>
            <w:tcW w:w="5000" w:type="pct"/>
            <w:gridSpan w:val="7"/>
            <w:shd w:val="clear" w:color="auto" w:fill="auto"/>
            <w:vAlign w:val="center"/>
          </w:tcPr>
          <w:p w:rsidR="00626B6B" w:rsidRPr="003253E7" w:rsidRDefault="00626B6B" w:rsidP="00B218DF">
            <w:pPr>
              <w:pStyle w:val="TableText"/>
              <w:rPr>
                <w:b/>
                <w:bCs w:val="0"/>
              </w:rPr>
            </w:pPr>
            <w:r w:rsidRPr="003253E7">
              <w:rPr>
                <w:b/>
                <w:bCs w:val="0"/>
              </w:rPr>
              <w:t>Eligible patients</w:t>
            </w:r>
          </w:p>
        </w:tc>
      </w:tr>
      <w:tr w:rsidR="00626B6B" w:rsidRPr="003253E7" w:rsidTr="00B218DF">
        <w:tc>
          <w:tcPr>
            <w:tcW w:w="1700" w:type="pct"/>
            <w:shd w:val="clear" w:color="auto" w:fill="auto"/>
            <w:vAlign w:val="center"/>
          </w:tcPr>
          <w:p w:rsidR="00626B6B" w:rsidRPr="003253E7" w:rsidRDefault="00626B6B" w:rsidP="00B218DF">
            <w:pPr>
              <w:pStyle w:val="TableText"/>
              <w:rPr>
                <w:vertAlign w:val="superscript"/>
              </w:rPr>
            </w:pPr>
            <w:r w:rsidRPr="003253E7">
              <w:t>AML incidence (4.3 / 100,000)</w:t>
            </w:r>
          </w:p>
        </w:tc>
        <w:tc>
          <w:tcPr>
            <w:tcW w:w="647" w:type="pct"/>
            <w:shd w:val="clear" w:color="auto" w:fill="auto"/>
          </w:tcPr>
          <w:p w:rsidR="00626B6B" w:rsidRPr="003253E7" w:rsidRDefault="00626B6B" w:rsidP="00B218DF">
            <w:pPr>
              <w:pStyle w:val="TableText"/>
              <w:jc w:val="center"/>
            </w:pPr>
            <w:r w:rsidRPr="003253E7">
              <w:t xml:space="preserve">1,149 </w:t>
            </w:r>
          </w:p>
        </w:tc>
        <w:tc>
          <w:tcPr>
            <w:tcW w:w="529" w:type="pct"/>
            <w:shd w:val="clear" w:color="auto" w:fill="auto"/>
          </w:tcPr>
          <w:p w:rsidR="00626B6B" w:rsidRPr="003253E7" w:rsidRDefault="00626B6B" w:rsidP="00B218DF">
            <w:pPr>
              <w:pStyle w:val="TableText"/>
              <w:jc w:val="center"/>
            </w:pPr>
            <w:r w:rsidRPr="003253E7">
              <w:t xml:space="preserve">1,167 </w:t>
            </w:r>
          </w:p>
        </w:tc>
        <w:tc>
          <w:tcPr>
            <w:tcW w:w="529" w:type="pct"/>
            <w:shd w:val="clear" w:color="auto" w:fill="auto"/>
          </w:tcPr>
          <w:p w:rsidR="00626B6B" w:rsidRPr="003253E7" w:rsidRDefault="00626B6B" w:rsidP="00B218DF">
            <w:pPr>
              <w:pStyle w:val="TableText"/>
              <w:jc w:val="center"/>
            </w:pPr>
            <w:r w:rsidRPr="003253E7">
              <w:t xml:space="preserve">1,185 </w:t>
            </w:r>
          </w:p>
        </w:tc>
        <w:tc>
          <w:tcPr>
            <w:tcW w:w="529" w:type="pct"/>
            <w:shd w:val="clear" w:color="auto" w:fill="auto"/>
          </w:tcPr>
          <w:p w:rsidR="00626B6B" w:rsidRPr="003253E7" w:rsidRDefault="00626B6B" w:rsidP="00B218DF">
            <w:pPr>
              <w:pStyle w:val="TableText"/>
              <w:jc w:val="center"/>
            </w:pPr>
            <w:r w:rsidRPr="003253E7">
              <w:t xml:space="preserve">1,203 </w:t>
            </w:r>
          </w:p>
        </w:tc>
        <w:tc>
          <w:tcPr>
            <w:tcW w:w="529" w:type="pct"/>
            <w:shd w:val="clear" w:color="auto" w:fill="auto"/>
          </w:tcPr>
          <w:p w:rsidR="00626B6B" w:rsidRPr="003253E7" w:rsidRDefault="00626B6B" w:rsidP="00B218DF">
            <w:pPr>
              <w:pStyle w:val="TableText"/>
              <w:jc w:val="center"/>
            </w:pPr>
            <w:r w:rsidRPr="003253E7">
              <w:t xml:space="preserve">1,220 </w:t>
            </w:r>
          </w:p>
        </w:tc>
        <w:tc>
          <w:tcPr>
            <w:tcW w:w="535" w:type="pct"/>
            <w:shd w:val="clear" w:color="auto" w:fill="auto"/>
          </w:tcPr>
          <w:p w:rsidR="00626B6B" w:rsidRPr="003253E7" w:rsidRDefault="00626B6B" w:rsidP="00B218DF">
            <w:pPr>
              <w:pStyle w:val="TableText"/>
              <w:jc w:val="center"/>
            </w:pPr>
            <w:r w:rsidRPr="003253E7">
              <w:t xml:space="preserve">1,237 </w:t>
            </w:r>
          </w:p>
        </w:tc>
      </w:tr>
      <w:tr w:rsidR="00626B6B" w:rsidRPr="003253E7" w:rsidTr="00B218DF">
        <w:tc>
          <w:tcPr>
            <w:tcW w:w="1700" w:type="pct"/>
            <w:shd w:val="clear" w:color="auto" w:fill="auto"/>
            <w:vAlign w:val="center"/>
          </w:tcPr>
          <w:p w:rsidR="00626B6B" w:rsidRPr="003253E7" w:rsidRDefault="00626B6B" w:rsidP="00B218DF">
            <w:pPr>
              <w:pStyle w:val="TableText"/>
            </w:pPr>
            <w:r w:rsidRPr="003253E7">
              <w:t>Proportion not APL (93.7%)</w:t>
            </w:r>
          </w:p>
        </w:tc>
        <w:tc>
          <w:tcPr>
            <w:tcW w:w="647" w:type="pct"/>
            <w:shd w:val="clear" w:color="auto" w:fill="auto"/>
          </w:tcPr>
          <w:p w:rsidR="00626B6B" w:rsidRPr="003253E7" w:rsidRDefault="00626B6B" w:rsidP="00B218DF">
            <w:pPr>
              <w:pStyle w:val="TableText"/>
              <w:jc w:val="center"/>
            </w:pPr>
            <w:r w:rsidRPr="003253E7">
              <w:t xml:space="preserve">1,077 </w:t>
            </w:r>
          </w:p>
        </w:tc>
        <w:tc>
          <w:tcPr>
            <w:tcW w:w="529" w:type="pct"/>
            <w:shd w:val="clear" w:color="auto" w:fill="auto"/>
          </w:tcPr>
          <w:p w:rsidR="00626B6B" w:rsidRPr="003253E7" w:rsidRDefault="00626B6B" w:rsidP="00B218DF">
            <w:pPr>
              <w:pStyle w:val="TableText"/>
              <w:jc w:val="center"/>
            </w:pPr>
            <w:r w:rsidRPr="003253E7">
              <w:t xml:space="preserve">1,094 </w:t>
            </w:r>
          </w:p>
        </w:tc>
        <w:tc>
          <w:tcPr>
            <w:tcW w:w="529" w:type="pct"/>
            <w:shd w:val="clear" w:color="auto" w:fill="auto"/>
          </w:tcPr>
          <w:p w:rsidR="00626B6B" w:rsidRPr="003253E7" w:rsidRDefault="00626B6B" w:rsidP="00B218DF">
            <w:pPr>
              <w:pStyle w:val="TableText"/>
              <w:jc w:val="center"/>
            </w:pPr>
            <w:r w:rsidRPr="003253E7">
              <w:t xml:space="preserve">1,111 </w:t>
            </w:r>
          </w:p>
        </w:tc>
        <w:tc>
          <w:tcPr>
            <w:tcW w:w="529" w:type="pct"/>
            <w:shd w:val="clear" w:color="auto" w:fill="auto"/>
          </w:tcPr>
          <w:p w:rsidR="00626B6B" w:rsidRPr="003253E7" w:rsidRDefault="00626B6B" w:rsidP="00B218DF">
            <w:pPr>
              <w:pStyle w:val="TableText"/>
              <w:jc w:val="center"/>
            </w:pPr>
            <w:r w:rsidRPr="003253E7">
              <w:t xml:space="preserve">1,127 </w:t>
            </w:r>
          </w:p>
        </w:tc>
        <w:tc>
          <w:tcPr>
            <w:tcW w:w="529" w:type="pct"/>
            <w:shd w:val="clear" w:color="auto" w:fill="auto"/>
          </w:tcPr>
          <w:p w:rsidR="00626B6B" w:rsidRPr="003253E7" w:rsidRDefault="00626B6B" w:rsidP="00B218DF">
            <w:pPr>
              <w:pStyle w:val="TableText"/>
              <w:jc w:val="center"/>
            </w:pPr>
            <w:r w:rsidRPr="003253E7">
              <w:t xml:space="preserve">1,143 </w:t>
            </w:r>
          </w:p>
        </w:tc>
        <w:tc>
          <w:tcPr>
            <w:tcW w:w="535" w:type="pct"/>
            <w:shd w:val="clear" w:color="auto" w:fill="auto"/>
          </w:tcPr>
          <w:p w:rsidR="00626B6B" w:rsidRPr="003253E7" w:rsidRDefault="00626B6B" w:rsidP="00B218DF">
            <w:pPr>
              <w:pStyle w:val="TableText"/>
              <w:jc w:val="center"/>
            </w:pPr>
            <w:r w:rsidRPr="003253E7">
              <w:t xml:space="preserve">1,159 </w:t>
            </w:r>
          </w:p>
        </w:tc>
      </w:tr>
      <w:tr w:rsidR="00626B6B" w:rsidRPr="003253E7" w:rsidTr="00B218DF">
        <w:tc>
          <w:tcPr>
            <w:tcW w:w="1700" w:type="pct"/>
            <w:shd w:val="clear" w:color="auto" w:fill="auto"/>
            <w:vAlign w:val="center"/>
          </w:tcPr>
          <w:p w:rsidR="00626B6B" w:rsidRPr="003253E7" w:rsidRDefault="00626B6B" w:rsidP="00B218DF">
            <w:pPr>
              <w:pStyle w:val="TableText"/>
            </w:pPr>
            <w:r w:rsidRPr="003253E7">
              <w:t>Induction treatment status</w:t>
            </w:r>
          </w:p>
          <w:p w:rsidR="00626B6B" w:rsidRPr="003253E7" w:rsidRDefault="00626B6B" w:rsidP="00B218DF">
            <w:pPr>
              <w:pStyle w:val="TableText"/>
            </w:pPr>
            <w:r w:rsidRPr="003253E7">
              <w:t>- Fit for treatment (61%)</w:t>
            </w:r>
          </w:p>
          <w:p w:rsidR="00626B6B" w:rsidRPr="003253E7" w:rsidRDefault="00626B6B" w:rsidP="00B218DF">
            <w:pPr>
              <w:pStyle w:val="TableText"/>
            </w:pPr>
            <w:r w:rsidRPr="003253E7">
              <w:t>- Unfit for treatment (39%)</w:t>
            </w:r>
          </w:p>
        </w:tc>
        <w:tc>
          <w:tcPr>
            <w:tcW w:w="647" w:type="pct"/>
            <w:shd w:val="clear" w:color="auto" w:fill="auto"/>
          </w:tcPr>
          <w:p w:rsidR="00626B6B" w:rsidRPr="003253E7" w:rsidRDefault="00626B6B" w:rsidP="00B218DF">
            <w:pPr>
              <w:pStyle w:val="TableText"/>
              <w:jc w:val="center"/>
            </w:pPr>
          </w:p>
          <w:p w:rsidR="00626B6B" w:rsidRPr="003253E7" w:rsidRDefault="00626B6B" w:rsidP="00B218DF">
            <w:pPr>
              <w:pStyle w:val="TableText"/>
              <w:jc w:val="center"/>
            </w:pPr>
            <w:r w:rsidRPr="003253E7">
              <w:t>657</w:t>
            </w:r>
          </w:p>
          <w:p w:rsidR="00626B6B" w:rsidRPr="003253E7" w:rsidRDefault="00626B6B" w:rsidP="00B218DF">
            <w:pPr>
              <w:pStyle w:val="TableText"/>
              <w:jc w:val="center"/>
            </w:pPr>
            <w:r w:rsidRPr="003253E7">
              <w:t>420</w:t>
            </w:r>
          </w:p>
        </w:tc>
        <w:tc>
          <w:tcPr>
            <w:tcW w:w="529" w:type="pct"/>
            <w:shd w:val="clear" w:color="auto" w:fill="auto"/>
          </w:tcPr>
          <w:p w:rsidR="00626B6B" w:rsidRPr="003253E7" w:rsidRDefault="00626B6B" w:rsidP="00B218DF">
            <w:pPr>
              <w:pStyle w:val="TableText"/>
              <w:jc w:val="center"/>
            </w:pPr>
          </w:p>
          <w:p w:rsidR="00626B6B" w:rsidRPr="003253E7" w:rsidRDefault="00626B6B" w:rsidP="00B218DF">
            <w:pPr>
              <w:pStyle w:val="TableText"/>
              <w:jc w:val="center"/>
            </w:pPr>
            <w:r w:rsidRPr="003253E7">
              <w:t>667</w:t>
            </w:r>
          </w:p>
          <w:p w:rsidR="00626B6B" w:rsidRPr="003253E7" w:rsidRDefault="00626B6B" w:rsidP="00B218DF">
            <w:pPr>
              <w:pStyle w:val="TableText"/>
              <w:jc w:val="center"/>
            </w:pPr>
            <w:r w:rsidRPr="003253E7">
              <w:t>427</w:t>
            </w:r>
          </w:p>
        </w:tc>
        <w:tc>
          <w:tcPr>
            <w:tcW w:w="529" w:type="pct"/>
            <w:shd w:val="clear" w:color="auto" w:fill="auto"/>
          </w:tcPr>
          <w:p w:rsidR="00626B6B" w:rsidRPr="003253E7" w:rsidRDefault="00626B6B" w:rsidP="00B218DF">
            <w:pPr>
              <w:pStyle w:val="TableText"/>
              <w:jc w:val="center"/>
            </w:pPr>
          </w:p>
          <w:p w:rsidR="00626B6B" w:rsidRPr="003253E7" w:rsidRDefault="00626B6B" w:rsidP="00B218DF">
            <w:pPr>
              <w:pStyle w:val="TableText"/>
              <w:jc w:val="center"/>
            </w:pPr>
            <w:r w:rsidRPr="003253E7">
              <w:t>677</w:t>
            </w:r>
          </w:p>
          <w:p w:rsidR="00626B6B" w:rsidRPr="003253E7" w:rsidRDefault="00626B6B" w:rsidP="00B218DF">
            <w:pPr>
              <w:pStyle w:val="TableText"/>
              <w:jc w:val="center"/>
            </w:pPr>
            <w:r w:rsidRPr="003253E7">
              <w:t>433</w:t>
            </w:r>
          </w:p>
        </w:tc>
        <w:tc>
          <w:tcPr>
            <w:tcW w:w="529" w:type="pct"/>
            <w:shd w:val="clear" w:color="auto" w:fill="auto"/>
          </w:tcPr>
          <w:p w:rsidR="00626B6B" w:rsidRPr="003253E7" w:rsidRDefault="00626B6B" w:rsidP="00B218DF">
            <w:pPr>
              <w:pStyle w:val="TableText"/>
              <w:jc w:val="center"/>
            </w:pPr>
          </w:p>
          <w:p w:rsidR="00626B6B" w:rsidRPr="003253E7" w:rsidRDefault="00626B6B" w:rsidP="00B218DF">
            <w:pPr>
              <w:pStyle w:val="TableText"/>
              <w:jc w:val="center"/>
            </w:pPr>
            <w:r w:rsidRPr="003253E7">
              <w:t>687</w:t>
            </w:r>
          </w:p>
          <w:p w:rsidR="00626B6B" w:rsidRPr="003253E7" w:rsidRDefault="00626B6B" w:rsidP="00B218DF">
            <w:pPr>
              <w:pStyle w:val="TableText"/>
              <w:jc w:val="center"/>
            </w:pPr>
            <w:r w:rsidRPr="003253E7">
              <w:t>440</w:t>
            </w:r>
          </w:p>
        </w:tc>
        <w:tc>
          <w:tcPr>
            <w:tcW w:w="529" w:type="pct"/>
            <w:shd w:val="clear" w:color="auto" w:fill="auto"/>
          </w:tcPr>
          <w:p w:rsidR="00626B6B" w:rsidRPr="003253E7" w:rsidRDefault="00626B6B" w:rsidP="00B218DF">
            <w:pPr>
              <w:pStyle w:val="TableText"/>
              <w:jc w:val="center"/>
            </w:pPr>
          </w:p>
          <w:p w:rsidR="00626B6B" w:rsidRPr="003253E7" w:rsidRDefault="00626B6B" w:rsidP="00B218DF">
            <w:pPr>
              <w:pStyle w:val="TableText"/>
              <w:jc w:val="center"/>
            </w:pPr>
            <w:r w:rsidRPr="003253E7">
              <w:t>697</w:t>
            </w:r>
          </w:p>
          <w:p w:rsidR="00626B6B" w:rsidRPr="003253E7" w:rsidRDefault="00626B6B" w:rsidP="00B218DF">
            <w:pPr>
              <w:pStyle w:val="TableText"/>
              <w:jc w:val="center"/>
            </w:pPr>
            <w:r w:rsidRPr="003253E7">
              <w:t>446</w:t>
            </w:r>
          </w:p>
        </w:tc>
        <w:tc>
          <w:tcPr>
            <w:tcW w:w="535" w:type="pct"/>
            <w:shd w:val="clear" w:color="auto" w:fill="auto"/>
          </w:tcPr>
          <w:p w:rsidR="00626B6B" w:rsidRPr="003253E7" w:rsidRDefault="00626B6B" w:rsidP="00B218DF">
            <w:pPr>
              <w:pStyle w:val="TableText"/>
              <w:jc w:val="center"/>
            </w:pPr>
          </w:p>
          <w:p w:rsidR="00626B6B" w:rsidRPr="003253E7" w:rsidRDefault="00626B6B" w:rsidP="00B218DF">
            <w:pPr>
              <w:pStyle w:val="TableText"/>
              <w:jc w:val="center"/>
            </w:pPr>
            <w:r w:rsidRPr="003253E7">
              <w:t>707</w:t>
            </w:r>
          </w:p>
          <w:p w:rsidR="00626B6B" w:rsidRPr="003253E7" w:rsidRDefault="00626B6B" w:rsidP="00B218DF">
            <w:pPr>
              <w:pStyle w:val="TableText"/>
              <w:jc w:val="center"/>
            </w:pPr>
            <w:r w:rsidRPr="003253E7">
              <w:t>452</w:t>
            </w:r>
          </w:p>
        </w:tc>
      </w:tr>
      <w:tr w:rsidR="00626B6B" w:rsidRPr="003253E7" w:rsidTr="00B218DF">
        <w:tc>
          <w:tcPr>
            <w:tcW w:w="5000" w:type="pct"/>
            <w:gridSpan w:val="7"/>
            <w:shd w:val="clear" w:color="auto" w:fill="auto"/>
            <w:vAlign w:val="center"/>
          </w:tcPr>
          <w:p w:rsidR="00626B6B" w:rsidRPr="003253E7" w:rsidRDefault="00626B6B" w:rsidP="00B218DF">
            <w:pPr>
              <w:pStyle w:val="TableText"/>
              <w:rPr>
                <w:b/>
                <w:bCs w:val="0"/>
              </w:rPr>
            </w:pPr>
            <w:r w:rsidRPr="003253E7">
              <w:rPr>
                <w:b/>
                <w:bCs w:val="0"/>
              </w:rPr>
              <w:t>Fit for induction treatment</w:t>
            </w:r>
          </w:p>
        </w:tc>
      </w:tr>
      <w:tr w:rsidR="00626B6B" w:rsidRPr="003253E7" w:rsidTr="00B218DF">
        <w:tc>
          <w:tcPr>
            <w:tcW w:w="1700" w:type="pct"/>
            <w:shd w:val="clear" w:color="auto" w:fill="auto"/>
            <w:vAlign w:val="center"/>
          </w:tcPr>
          <w:p w:rsidR="00626B6B" w:rsidRPr="00047E73" w:rsidRDefault="00626B6B" w:rsidP="00B218DF">
            <w:pPr>
              <w:pStyle w:val="TableText"/>
              <w:rPr>
                <w:vertAlign w:val="superscript"/>
              </w:rPr>
            </w:pPr>
            <w:r w:rsidRPr="003253E7">
              <w:t>Total refractory / relapsed patients</w:t>
            </w:r>
            <w:r w:rsidR="00A7060C">
              <w:t xml:space="preserve"> </w:t>
            </w:r>
            <w:r w:rsidR="00A7060C">
              <w:rPr>
                <w:vertAlign w:val="superscript"/>
              </w:rPr>
              <w:t>a</w:t>
            </w:r>
          </w:p>
        </w:tc>
        <w:tc>
          <w:tcPr>
            <w:tcW w:w="647" w:type="pct"/>
            <w:shd w:val="clear" w:color="auto" w:fill="auto"/>
            <w:vAlign w:val="center"/>
          </w:tcPr>
          <w:p w:rsidR="00626B6B" w:rsidRPr="003253E7" w:rsidRDefault="00626B6B" w:rsidP="00B218DF">
            <w:pPr>
              <w:pStyle w:val="TableText"/>
              <w:jc w:val="center"/>
            </w:pPr>
            <w:r w:rsidRPr="003253E7">
              <w:t>394</w:t>
            </w:r>
          </w:p>
        </w:tc>
        <w:tc>
          <w:tcPr>
            <w:tcW w:w="529" w:type="pct"/>
            <w:shd w:val="clear" w:color="auto" w:fill="auto"/>
            <w:vAlign w:val="center"/>
          </w:tcPr>
          <w:p w:rsidR="00626B6B" w:rsidRPr="003253E7" w:rsidRDefault="00626B6B" w:rsidP="00B218DF">
            <w:pPr>
              <w:pStyle w:val="TableText"/>
              <w:jc w:val="center"/>
            </w:pPr>
            <w:r w:rsidRPr="003253E7">
              <w:t>400</w:t>
            </w:r>
          </w:p>
        </w:tc>
        <w:tc>
          <w:tcPr>
            <w:tcW w:w="529" w:type="pct"/>
            <w:shd w:val="clear" w:color="auto" w:fill="auto"/>
            <w:vAlign w:val="center"/>
          </w:tcPr>
          <w:p w:rsidR="00626B6B" w:rsidRPr="003253E7" w:rsidRDefault="00626B6B" w:rsidP="00B218DF">
            <w:pPr>
              <w:pStyle w:val="TableText"/>
              <w:jc w:val="center"/>
            </w:pPr>
            <w:r w:rsidRPr="003253E7">
              <w:t>407</w:t>
            </w:r>
          </w:p>
        </w:tc>
        <w:tc>
          <w:tcPr>
            <w:tcW w:w="529" w:type="pct"/>
            <w:shd w:val="clear" w:color="auto" w:fill="auto"/>
            <w:vAlign w:val="center"/>
          </w:tcPr>
          <w:p w:rsidR="00626B6B" w:rsidRPr="003253E7" w:rsidRDefault="00626B6B" w:rsidP="00B218DF">
            <w:pPr>
              <w:pStyle w:val="TableText"/>
              <w:jc w:val="center"/>
            </w:pPr>
            <w:r w:rsidRPr="003253E7">
              <w:t>413</w:t>
            </w:r>
          </w:p>
        </w:tc>
        <w:tc>
          <w:tcPr>
            <w:tcW w:w="529" w:type="pct"/>
            <w:shd w:val="clear" w:color="auto" w:fill="auto"/>
            <w:vAlign w:val="center"/>
          </w:tcPr>
          <w:p w:rsidR="00626B6B" w:rsidRPr="003253E7" w:rsidRDefault="00626B6B" w:rsidP="00B218DF">
            <w:pPr>
              <w:pStyle w:val="TableText"/>
              <w:jc w:val="center"/>
            </w:pPr>
            <w:r w:rsidRPr="003253E7">
              <w:t>419</w:t>
            </w:r>
          </w:p>
        </w:tc>
        <w:tc>
          <w:tcPr>
            <w:tcW w:w="535" w:type="pct"/>
            <w:shd w:val="clear" w:color="auto" w:fill="auto"/>
            <w:vAlign w:val="center"/>
          </w:tcPr>
          <w:p w:rsidR="00626B6B" w:rsidRPr="003253E7" w:rsidRDefault="00626B6B" w:rsidP="00B218DF">
            <w:pPr>
              <w:pStyle w:val="TableText"/>
              <w:jc w:val="center"/>
            </w:pPr>
            <w:r w:rsidRPr="003253E7">
              <w:t>424</w:t>
            </w:r>
          </w:p>
        </w:tc>
      </w:tr>
      <w:tr w:rsidR="00626B6B" w:rsidRPr="003253E7" w:rsidTr="00B218DF">
        <w:tc>
          <w:tcPr>
            <w:tcW w:w="1700" w:type="pct"/>
            <w:shd w:val="clear" w:color="auto" w:fill="auto"/>
            <w:vAlign w:val="center"/>
          </w:tcPr>
          <w:p w:rsidR="00626B6B" w:rsidRPr="003253E7" w:rsidRDefault="00626B6B" w:rsidP="00B218DF">
            <w:pPr>
              <w:pStyle w:val="TableText"/>
            </w:pPr>
            <w:r w:rsidRPr="003253E7">
              <w:t>Proportion surviving to second line (87%)</w:t>
            </w:r>
          </w:p>
        </w:tc>
        <w:tc>
          <w:tcPr>
            <w:tcW w:w="647" w:type="pct"/>
            <w:shd w:val="clear" w:color="auto" w:fill="auto"/>
            <w:vAlign w:val="center"/>
          </w:tcPr>
          <w:p w:rsidR="00626B6B" w:rsidRPr="003253E7" w:rsidRDefault="00626B6B" w:rsidP="00B218DF">
            <w:pPr>
              <w:pStyle w:val="TableText"/>
              <w:jc w:val="center"/>
            </w:pPr>
            <w:r w:rsidRPr="003253E7">
              <w:t>343</w:t>
            </w:r>
          </w:p>
        </w:tc>
        <w:tc>
          <w:tcPr>
            <w:tcW w:w="529" w:type="pct"/>
            <w:shd w:val="clear" w:color="auto" w:fill="auto"/>
            <w:vAlign w:val="center"/>
          </w:tcPr>
          <w:p w:rsidR="00626B6B" w:rsidRPr="003253E7" w:rsidRDefault="00626B6B" w:rsidP="00B218DF">
            <w:pPr>
              <w:pStyle w:val="TableText"/>
              <w:jc w:val="center"/>
            </w:pPr>
            <w:r w:rsidRPr="003253E7">
              <w:t>348</w:t>
            </w:r>
          </w:p>
        </w:tc>
        <w:tc>
          <w:tcPr>
            <w:tcW w:w="529" w:type="pct"/>
            <w:shd w:val="clear" w:color="auto" w:fill="auto"/>
            <w:vAlign w:val="center"/>
          </w:tcPr>
          <w:p w:rsidR="00626B6B" w:rsidRPr="003253E7" w:rsidRDefault="00626B6B" w:rsidP="00B218DF">
            <w:pPr>
              <w:pStyle w:val="TableText"/>
              <w:jc w:val="center"/>
            </w:pPr>
            <w:r w:rsidRPr="003253E7">
              <w:t>354</w:t>
            </w:r>
          </w:p>
        </w:tc>
        <w:tc>
          <w:tcPr>
            <w:tcW w:w="529" w:type="pct"/>
            <w:shd w:val="clear" w:color="auto" w:fill="auto"/>
            <w:vAlign w:val="center"/>
          </w:tcPr>
          <w:p w:rsidR="00626B6B" w:rsidRPr="003253E7" w:rsidRDefault="00626B6B" w:rsidP="00B218DF">
            <w:pPr>
              <w:pStyle w:val="TableText"/>
              <w:jc w:val="center"/>
            </w:pPr>
            <w:r w:rsidRPr="003253E7">
              <w:t>359</w:t>
            </w:r>
          </w:p>
        </w:tc>
        <w:tc>
          <w:tcPr>
            <w:tcW w:w="529" w:type="pct"/>
            <w:shd w:val="clear" w:color="auto" w:fill="auto"/>
            <w:vAlign w:val="center"/>
          </w:tcPr>
          <w:p w:rsidR="00626B6B" w:rsidRPr="003253E7" w:rsidRDefault="00626B6B" w:rsidP="00B218DF">
            <w:pPr>
              <w:pStyle w:val="TableText"/>
              <w:jc w:val="center"/>
            </w:pPr>
            <w:r w:rsidRPr="003253E7">
              <w:t>364</w:t>
            </w:r>
          </w:p>
        </w:tc>
        <w:tc>
          <w:tcPr>
            <w:tcW w:w="535" w:type="pct"/>
            <w:shd w:val="clear" w:color="auto" w:fill="auto"/>
            <w:vAlign w:val="center"/>
          </w:tcPr>
          <w:p w:rsidR="00626B6B" w:rsidRPr="003253E7" w:rsidRDefault="00626B6B" w:rsidP="00B218DF">
            <w:pPr>
              <w:pStyle w:val="TableText"/>
              <w:jc w:val="center"/>
            </w:pPr>
            <w:r w:rsidRPr="003253E7">
              <w:t>369</w:t>
            </w:r>
          </w:p>
        </w:tc>
      </w:tr>
      <w:tr w:rsidR="00626B6B" w:rsidRPr="003253E7" w:rsidTr="00B218DF">
        <w:tc>
          <w:tcPr>
            <w:tcW w:w="5000" w:type="pct"/>
            <w:gridSpan w:val="7"/>
            <w:shd w:val="clear" w:color="auto" w:fill="auto"/>
            <w:vAlign w:val="center"/>
          </w:tcPr>
          <w:p w:rsidR="00626B6B" w:rsidRPr="003253E7" w:rsidRDefault="00626B6B" w:rsidP="00B218DF">
            <w:pPr>
              <w:pStyle w:val="TableText"/>
              <w:rPr>
                <w:b/>
                <w:bCs w:val="0"/>
              </w:rPr>
            </w:pPr>
            <w:r w:rsidRPr="003253E7">
              <w:rPr>
                <w:b/>
                <w:bCs w:val="0"/>
              </w:rPr>
              <w:t>Unfit for induction treatment</w:t>
            </w:r>
          </w:p>
        </w:tc>
      </w:tr>
      <w:tr w:rsidR="00626B6B" w:rsidRPr="003253E7" w:rsidTr="00B218DF">
        <w:tc>
          <w:tcPr>
            <w:tcW w:w="1700" w:type="pct"/>
            <w:shd w:val="clear" w:color="auto" w:fill="auto"/>
            <w:vAlign w:val="center"/>
          </w:tcPr>
          <w:p w:rsidR="00626B6B" w:rsidRPr="00047E73" w:rsidRDefault="00626B6B" w:rsidP="00B218DF">
            <w:pPr>
              <w:pStyle w:val="TableText"/>
              <w:rPr>
                <w:vertAlign w:val="superscript"/>
              </w:rPr>
            </w:pPr>
            <w:r w:rsidRPr="003253E7">
              <w:t>Total refractory / relapsed patients</w:t>
            </w:r>
            <w:r w:rsidR="00A7060C">
              <w:t xml:space="preserve"> </w:t>
            </w:r>
            <w:r w:rsidR="00A7060C">
              <w:rPr>
                <w:vertAlign w:val="superscript"/>
              </w:rPr>
              <w:t>b</w:t>
            </w:r>
          </w:p>
        </w:tc>
        <w:tc>
          <w:tcPr>
            <w:tcW w:w="647" w:type="pct"/>
            <w:shd w:val="clear" w:color="auto" w:fill="auto"/>
          </w:tcPr>
          <w:p w:rsidR="00626B6B" w:rsidRPr="003253E7" w:rsidRDefault="00626B6B" w:rsidP="00B218DF">
            <w:pPr>
              <w:pStyle w:val="TableText"/>
              <w:jc w:val="center"/>
            </w:pPr>
            <w:r w:rsidRPr="003253E7">
              <w:t xml:space="preserve">235 </w:t>
            </w:r>
          </w:p>
        </w:tc>
        <w:tc>
          <w:tcPr>
            <w:tcW w:w="529" w:type="pct"/>
            <w:shd w:val="clear" w:color="auto" w:fill="auto"/>
          </w:tcPr>
          <w:p w:rsidR="00626B6B" w:rsidRPr="003253E7" w:rsidRDefault="00626B6B" w:rsidP="00B218DF">
            <w:pPr>
              <w:pStyle w:val="TableText"/>
              <w:jc w:val="center"/>
            </w:pPr>
            <w:r w:rsidRPr="003253E7">
              <w:t xml:space="preserve">239 </w:t>
            </w:r>
          </w:p>
        </w:tc>
        <w:tc>
          <w:tcPr>
            <w:tcW w:w="529" w:type="pct"/>
            <w:shd w:val="clear" w:color="auto" w:fill="auto"/>
          </w:tcPr>
          <w:p w:rsidR="00626B6B" w:rsidRPr="003253E7" w:rsidRDefault="00626B6B" w:rsidP="00B218DF">
            <w:pPr>
              <w:pStyle w:val="TableText"/>
              <w:jc w:val="center"/>
            </w:pPr>
            <w:r w:rsidRPr="003253E7">
              <w:t xml:space="preserve">243 </w:t>
            </w:r>
          </w:p>
        </w:tc>
        <w:tc>
          <w:tcPr>
            <w:tcW w:w="529" w:type="pct"/>
            <w:shd w:val="clear" w:color="auto" w:fill="auto"/>
          </w:tcPr>
          <w:p w:rsidR="00626B6B" w:rsidRPr="003253E7" w:rsidRDefault="00626B6B" w:rsidP="00B218DF">
            <w:pPr>
              <w:pStyle w:val="TableText"/>
              <w:jc w:val="center"/>
            </w:pPr>
            <w:r w:rsidRPr="003253E7">
              <w:t xml:space="preserve">246 </w:t>
            </w:r>
          </w:p>
        </w:tc>
        <w:tc>
          <w:tcPr>
            <w:tcW w:w="529" w:type="pct"/>
            <w:shd w:val="clear" w:color="auto" w:fill="auto"/>
          </w:tcPr>
          <w:p w:rsidR="00626B6B" w:rsidRPr="003253E7" w:rsidRDefault="00626B6B" w:rsidP="00B218DF">
            <w:pPr>
              <w:pStyle w:val="TableText"/>
              <w:jc w:val="center"/>
            </w:pPr>
            <w:r w:rsidRPr="003253E7">
              <w:t xml:space="preserve">250 </w:t>
            </w:r>
          </w:p>
        </w:tc>
        <w:tc>
          <w:tcPr>
            <w:tcW w:w="535" w:type="pct"/>
            <w:shd w:val="clear" w:color="auto" w:fill="auto"/>
          </w:tcPr>
          <w:p w:rsidR="00626B6B" w:rsidRPr="003253E7" w:rsidRDefault="00626B6B" w:rsidP="00B218DF">
            <w:pPr>
              <w:pStyle w:val="TableText"/>
              <w:jc w:val="center"/>
            </w:pPr>
            <w:r w:rsidRPr="003253E7">
              <w:t xml:space="preserve">253 </w:t>
            </w:r>
          </w:p>
        </w:tc>
      </w:tr>
      <w:tr w:rsidR="00626B6B" w:rsidRPr="003253E7" w:rsidTr="00B218DF">
        <w:tc>
          <w:tcPr>
            <w:tcW w:w="1700" w:type="pct"/>
            <w:shd w:val="clear" w:color="auto" w:fill="auto"/>
            <w:vAlign w:val="center"/>
          </w:tcPr>
          <w:p w:rsidR="00626B6B" w:rsidRPr="003253E7" w:rsidRDefault="00626B6B" w:rsidP="00B218DF">
            <w:pPr>
              <w:pStyle w:val="TableText"/>
            </w:pPr>
            <w:r w:rsidRPr="003253E7">
              <w:t>Prop</w:t>
            </w:r>
            <w:r w:rsidR="00291DB8">
              <w:t>ortion surviving to second line (</w:t>
            </w:r>
            <w:r w:rsidRPr="003253E7">
              <w:t>57%)</w:t>
            </w:r>
          </w:p>
        </w:tc>
        <w:tc>
          <w:tcPr>
            <w:tcW w:w="647" w:type="pct"/>
            <w:shd w:val="clear" w:color="auto" w:fill="auto"/>
            <w:vAlign w:val="center"/>
          </w:tcPr>
          <w:p w:rsidR="00626B6B" w:rsidRPr="003253E7" w:rsidRDefault="00626B6B" w:rsidP="00B218DF">
            <w:pPr>
              <w:pStyle w:val="TableText"/>
              <w:jc w:val="center"/>
            </w:pPr>
            <w:r w:rsidRPr="003253E7">
              <w:t>134</w:t>
            </w:r>
          </w:p>
        </w:tc>
        <w:tc>
          <w:tcPr>
            <w:tcW w:w="529" w:type="pct"/>
            <w:shd w:val="clear" w:color="auto" w:fill="auto"/>
            <w:vAlign w:val="center"/>
          </w:tcPr>
          <w:p w:rsidR="00626B6B" w:rsidRPr="003253E7" w:rsidRDefault="00626B6B" w:rsidP="00B218DF">
            <w:pPr>
              <w:pStyle w:val="TableText"/>
              <w:jc w:val="center"/>
            </w:pPr>
            <w:r w:rsidRPr="003253E7">
              <w:t>136</w:t>
            </w:r>
          </w:p>
        </w:tc>
        <w:tc>
          <w:tcPr>
            <w:tcW w:w="529" w:type="pct"/>
            <w:shd w:val="clear" w:color="auto" w:fill="auto"/>
            <w:vAlign w:val="center"/>
          </w:tcPr>
          <w:p w:rsidR="00626B6B" w:rsidRPr="003253E7" w:rsidRDefault="00626B6B" w:rsidP="00B218DF">
            <w:pPr>
              <w:pStyle w:val="TableText"/>
              <w:jc w:val="center"/>
            </w:pPr>
            <w:r w:rsidRPr="003253E7">
              <w:t>138</w:t>
            </w:r>
          </w:p>
        </w:tc>
        <w:tc>
          <w:tcPr>
            <w:tcW w:w="529" w:type="pct"/>
            <w:shd w:val="clear" w:color="auto" w:fill="auto"/>
            <w:vAlign w:val="center"/>
          </w:tcPr>
          <w:p w:rsidR="00626B6B" w:rsidRPr="003253E7" w:rsidRDefault="00626B6B" w:rsidP="00B218DF">
            <w:pPr>
              <w:pStyle w:val="TableText"/>
              <w:jc w:val="center"/>
            </w:pPr>
            <w:r w:rsidRPr="003253E7">
              <w:t>140</w:t>
            </w:r>
          </w:p>
        </w:tc>
        <w:tc>
          <w:tcPr>
            <w:tcW w:w="529" w:type="pct"/>
            <w:shd w:val="clear" w:color="auto" w:fill="auto"/>
            <w:vAlign w:val="center"/>
          </w:tcPr>
          <w:p w:rsidR="00626B6B" w:rsidRPr="003253E7" w:rsidRDefault="00626B6B" w:rsidP="00B218DF">
            <w:pPr>
              <w:pStyle w:val="TableText"/>
              <w:jc w:val="center"/>
            </w:pPr>
            <w:r w:rsidRPr="003253E7">
              <w:t>142</w:t>
            </w:r>
          </w:p>
        </w:tc>
        <w:tc>
          <w:tcPr>
            <w:tcW w:w="535" w:type="pct"/>
            <w:shd w:val="clear" w:color="auto" w:fill="auto"/>
            <w:vAlign w:val="center"/>
          </w:tcPr>
          <w:p w:rsidR="00626B6B" w:rsidRPr="003253E7" w:rsidRDefault="00626B6B" w:rsidP="00B218DF">
            <w:pPr>
              <w:pStyle w:val="TableText"/>
              <w:jc w:val="center"/>
            </w:pPr>
            <w:r w:rsidRPr="003253E7">
              <w:t>144</w:t>
            </w:r>
          </w:p>
        </w:tc>
      </w:tr>
      <w:tr w:rsidR="00626B6B" w:rsidRPr="003253E7" w:rsidTr="00B218DF">
        <w:tc>
          <w:tcPr>
            <w:tcW w:w="5000" w:type="pct"/>
            <w:gridSpan w:val="7"/>
            <w:shd w:val="clear" w:color="auto" w:fill="auto"/>
            <w:vAlign w:val="center"/>
          </w:tcPr>
          <w:p w:rsidR="00626B6B" w:rsidRPr="003253E7" w:rsidRDefault="00626B6B" w:rsidP="00B218DF">
            <w:pPr>
              <w:pStyle w:val="TableText"/>
              <w:rPr>
                <w:b/>
                <w:bCs w:val="0"/>
              </w:rPr>
            </w:pPr>
            <w:r w:rsidRPr="003253E7">
              <w:rPr>
                <w:b/>
                <w:bCs w:val="0"/>
              </w:rPr>
              <w:t>FLT3 mutation testing</w:t>
            </w:r>
          </w:p>
        </w:tc>
      </w:tr>
      <w:tr w:rsidR="00626B6B" w:rsidRPr="003253E7" w:rsidTr="00B218DF">
        <w:tc>
          <w:tcPr>
            <w:tcW w:w="1700" w:type="pct"/>
            <w:shd w:val="clear" w:color="auto" w:fill="auto"/>
            <w:vAlign w:val="center"/>
          </w:tcPr>
          <w:p w:rsidR="00626B6B" w:rsidRPr="003253E7" w:rsidRDefault="00626B6B" w:rsidP="00B218DF">
            <w:pPr>
              <w:pStyle w:val="TableText"/>
            </w:pPr>
            <w:r w:rsidRPr="003253E7">
              <w:t>Total fit and unfit patients</w:t>
            </w:r>
          </w:p>
        </w:tc>
        <w:tc>
          <w:tcPr>
            <w:tcW w:w="647" w:type="pct"/>
            <w:shd w:val="clear" w:color="auto" w:fill="auto"/>
          </w:tcPr>
          <w:p w:rsidR="00626B6B" w:rsidRPr="003253E7" w:rsidRDefault="00626B6B" w:rsidP="00B218DF">
            <w:pPr>
              <w:pStyle w:val="TableText"/>
              <w:jc w:val="center"/>
            </w:pPr>
            <w:r w:rsidRPr="003253E7">
              <w:t xml:space="preserve">477 </w:t>
            </w:r>
          </w:p>
        </w:tc>
        <w:tc>
          <w:tcPr>
            <w:tcW w:w="529" w:type="pct"/>
            <w:shd w:val="clear" w:color="auto" w:fill="auto"/>
          </w:tcPr>
          <w:p w:rsidR="00626B6B" w:rsidRPr="003253E7" w:rsidRDefault="00626B6B" w:rsidP="00B218DF">
            <w:pPr>
              <w:pStyle w:val="TableText"/>
              <w:jc w:val="center"/>
            </w:pPr>
            <w:r w:rsidRPr="003253E7">
              <w:t xml:space="preserve">485 </w:t>
            </w:r>
          </w:p>
        </w:tc>
        <w:tc>
          <w:tcPr>
            <w:tcW w:w="529" w:type="pct"/>
            <w:shd w:val="clear" w:color="auto" w:fill="auto"/>
          </w:tcPr>
          <w:p w:rsidR="00626B6B" w:rsidRPr="003253E7" w:rsidRDefault="00626B6B" w:rsidP="00B218DF">
            <w:pPr>
              <w:pStyle w:val="TableText"/>
              <w:jc w:val="center"/>
            </w:pPr>
            <w:r w:rsidRPr="003253E7">
              <w:t xml:space="preserve">492 </w:t>
            </w:r>
          </w:p>
        </w:tc>
        <w:tc>
          <w:tcPr>
            <w:tcW w:w="529" w:type="pct"/>
            <w:shd w:val="clear" w:color="auto" w:fill="auto"/>
          </w:tcPr>
          <w:p w:rsidR="00626B6B" w:rsidRPr="003253E7" w:rsidRDefault="00626B6B" w:rsidP="00B218DF">
            <w:pPr>
              <w:pStyle w:val="TableText"/>
              <w:jc w:val="center"/>
            </w:pPr>
            <w:r w:rsidRPr="003253E7">
              <w:t xml:space="preserve">499 </w:t>
            </w:r>
          </w:p>
        </w:tc>
        <w:tc>
          <w:tcPr>
            <w:tcW w:w="529" w:type="pct"/>
            <w:shd w:val="clear" w:color="auto" w:fill="auto"/>
          </w:tcPr>
          <w:p w:rsidR="00626B6B" w:rsidRPr="003253E7" w:rsidRDefault="00626B6B" w:rsidP="00B218DF">
            <w:pPr>
              <w:pStyle w:val="TableText"/>
              <w:jc w:val="center"/>
            </w:pPr>
            <w:r w:rsidRPr="003253E7">
              <w:t xml:space="preserve">506 </w:t>
            </w:r>
          </w:p>
        </w:tc>
        <w:tc>
          <w:tcPr>
            <w:tcW w:w="535" w:type="pct"/>
            <w:shd w:val="clear" w:color="auto" w:fill="auto"/>
          </w:tcPr>
          <w:p w:rsidR="00626B6B" w:rsidRPr="003253E7" w:rsidRDefault="00626B6B" w:rsidP="00B218DF">
            <w:pPr>
              <w:pStyle w:val="TableText"/>
              <w:jc w:val="center"/>
            </w:pPr>
            <w:r w:rsidRPr="003253E7">
              <w:t xml:space="preserve">513 </w:t>
            </w:r>
          </w:p>
        </w:tc>
      </w:tr>
      <w:tr w:rsidR="00626B6B" w:rsidRPr="003253E7" w:rsidTr="00B218DF">
        <w:tc>
          <w:tcPr>
            <w:tcW w:w="1700" w:type="pct"/>
            <w:shd w:val="clear" w:color="auto" w:fill="auto"/>
            <w:vAlign w:val="center"/>
          </w:tcPr>
          <w:p w:rsidR="00626B6B" w:rsidRPr="003253E7" w:rsidRDefault="00626B6B" w:rsidP="00B218DF">
            <w:pPr>
              <w:pStyle w:val="TableText"/>
            </w:pPr>
            <w:r w:rsidRPr="003253E7">
              <w:t>Patients tested for FLT3 mutation</w:t>
            </w:r>
          </w:p>
        </w:tc>
        <w:tc>
          <w:tcPr>
            <w:tcW w:w="647" w:type="pct"/>
            <w:shd w:val="clear" w:color="auto" w:fill="auto"/>
          </w:tcPr>
          <w:p w:rsidR="00626B6B" w:rsidRPr="007672C8" w:rsidRDefault="00DD7357" w:rsidP="00B218DF">
            <w:pPr>
              <w:pStyle w:val="TableText"/>
              <w:jc w:val="center"/>
            </w:pPr>
            <w:r>
              <w:rPr>
                <w:noProof/>
                <w:color w:val="000000"/>
                <w:highlight w:val="black"/>
              </w:rPr>
              <w:t>'''''''''</w:t>
            </w:r>
            <w:r w:rsidR="000A4273" w:rsidRPr="007672C8">
              <w:rPr>
                <w:vertAlign w:val="superscript"/>
              </w:rPr>
              <w:t>1</w:t>
            </w:r>
            <w:r w:rsidR="00626B6B" w:rsidRPr="007672C8">
              <w:t xml:space="preserve"> (</w:t>
            </w:r>
            <w:r>
              <w:rPr>
                <w:noProof/>
                <w:color w:val="000000"/>
                <w:highlight w:val="black"/>
              </w:rPr>
              <w:t>'''''</w:t>
            </w:r>
            <w:r w:rsidR="00626B6B" w:rsidRPr="007672C8">
              <w:t>%)</w:t>
            </w:r>
          </w:p>
        </w:tc>
        <w:tc>
          <w:tcPr>
            <w:tcW w:w="529" w:type="pct"/>
            <w:shd w:val="clear" w:color="auto" w:fill="auto"/>
          </w:tcPr>
          <w:p w:rsidR="00626B6B" w:rsidRPr="007672C8" w:rsidRDefault="00DD7357" w:rsidP="00B218DF">
            <w:pPr>
              <w:pStyle w:val="TableText"/>
              <w:jc w:val="center"/>
            </w:pPr>
            <w:r>
              <w:rPr>
                <w:noProof/>
                <w:color w:val="000000"/>
                <w:highlight w:val="black"/>
              </w:rPr>
              <w:t>'''''''''</w:t>
            </w:r>
            <w:r w:rsidR="000A4273" w:rsidRPr="007672C8">
              <w:rPr>
                <w:vertAlign w:val="superscript"/>
              </w:rPr>
              <w:t>1</w:t>
            </w:r>
            <w:r w:rsidR="00626B6B" w:rsidRPr="007672C8">
              <w:t xml:space="preserve"> (</w:t>
            </w:r>
            <w:r>
              <w:rPr>
                <w:noProof/>
                <w:color w:val="000000"/>
                <w:highlight w:val="black"/>
              </w:rPr>
              <w:t>''''''''''</w:t>
            </w:r>
            <w:r w:rsidR="00626B6B" w:rsidRPr="007672C8">
              <w:t>%)</w:t>
            </w:r>
          </w:p>
        </w:tc>
        <w:tc>
          <w:tcPr>
            <w:tcW w:w="529" w:type="pct"/>
            <w:shd w:val="clear" w:color="auto" w:fill="auto"/>
          </w:tcPr>
          <w:p w:rsidR="00626B6B" w:rsidRPr="007672C8" w:rsidRDefault="00DD7357" w:rsidP="00B218DF">
            <w:pPr>
              <w:pStyle w:val="TableText"/>
              <w:jc w:val="center"/>
            </w:pPr>
            <w:r>
              <w:rPr>
                <w:noProof/>
                <w:color w:val="000000"/>
                <w:highlight w:val="black"/>
              </w:rPr>
              <w:t>''''''''''</w:t>
            </w:r>
            <w:r w:rsidR="000A4273" w:rsidRPr="007672C8">
              <w:rPr>
                <w:vertAlign w:val="superscript"/>
              </w:rPr>
              <w:t>1</w:t>
            </w:r>
            <w:r w:rsidR="00626B6B" w:rsidRPr="007672C8">
              <w:t xml:space="preserve"> (</w:t>
            </w:r>
            <w:r>
              <w:rPr>
                <w:noProof/>
                <w:color w:val="000000"/>
                <w:highlight w:val="black"/>
              </w:rPr>
              <w:t>''''''</w:t>
            </w:r>
            <w:r w:rsidR="00626B6B" w:rsidRPr="007672C8">
              <w:t>%)</w:t>
            </w:r>
          </w:p>
        </w:tc>
        <w:tc>
          <w:tcPr>
            <w:tcW w:w="529" w:type="pct"/>
            <w:shd w:val="clear" w:color="auto" w:fill="auto"/>
          </w:tcPr>
          <w:p w:rsidR="00626B6B" w:rsidRPr="007672C8" w:rsidRDefault="00DD7357" w:rsidP="00B218DF">
            <w:pPr>
              <w:pStyle w:val="TableText"/>
              <w:jc w:val="center"/>
            </w:pPr>
            <w:r>
              <w:rPr>
                <w:noProof/>
                <w:color w:val="000000"/>
                <w:highlight w:val="black"/>
              </w:rPr>
              <w:t>''''''''''</w:t>
            </w:r>
            <w:r w:rsidR="000A4273" w:rsidRPr="007672C8">
              <w:rPr>
                <w:vertAlign w:val="superscript"/>
              </w:rPr>
              <w:t>1</w:t>
            </w:r>
            <w:r w:rsidR="00626B6B" w:rsidRPr="007672C8">
              <w:t xml:space="preserve"> (</w:t>
            </w:r>
            <w:r>
              <w:rPr>
                <w:noProof/>
                <w:color w:val="000000"/>
                <w:highlight w:val="black"/>
              </w:rPr>
              <w:t>''''''</w:t>
            </w:r>
            <w:r w:rsidR="00626B6B" w:rsidRPr="007672C8">
              <w:t>%)</w:t>
            </w:r>
          </w:p>
        </w:tc>
        <w:tc>
          <w:tcPr>
            <w:tcW w:w="529" w:type="pct"/>
            <w:shd w:val="clear" w:color="auto" w:fill="auto"/>
          </w:tcPr>
          <w:p w:rsidR="00626B6B" w:rsidRPr="007672C8" w:rsidRDefault="00DD7357" w:rsidP="00B218DF">
            <w:pPr>
              <w:pStyle w:val="TableText"/>
              <w:jc w:val="center"/>
            </w:pPr>
            <w:r>
              <w:rPr>
                <w:noProof/>
                <w:color w:val="000000"/>
                <w:highlight w:val="black"/>
              </w:rPr>
              <w:t>''''''''''</w:t>
            </w:r>
            <w:r w:rsidR="000A4273" w:rsidRPr="007672C8">
              <w:rPr>
                <w:vertAlign w:val="superscript"/>
              </w:rPr>
              <w:t>2</w:t>
            </w:r>
            <w:r w:rsidR="00626B6B" w:rsidRPr="007672C8">
              <w:t xml:space="preserve"> (</w:t>
            </w:r>
            <w:r>
              <w:rPr>
                <w:noProof/>
                <w:color w:val="000000"/>
                <w:highlight w:val="black"/>
              </w:rPr>
              <w:t>'''''''''</w:t>
            </w:r>
            <w:r w:rsidR="00626B6B" w:rsidRPr="007672C8">
              <w:t>%)</w:t>
            </w:r>
          </w:p>
        </w:tc>
        <w:tc>
          <w:tcPr>
            <w:tcW w:w="535" w:type="pct"/>
            <w:shd w:val="clear" w:color="auto" w:fill="auto"/>
          </w:tcPr>
          <w:p w:rsidR="00626B6B" w:rsidRPr="007672C8" w:rsidRDefault="00DD7357" w:rsidP="00B218DF">
            <w:pPr>
              <w:pStyle w:val="TableText"/>
              <w:jc w:val="center"/>
            </w:pPr>
            <w:r>
              <w:rPr>
                <w:noProof/>
                <w:color w:val="000000"/>
                <w:highlight w:val="black"/>
              </w:rPr>
              <w:t>''''''''''</w:t>
            </w:r>
            <w:r w:rsidR="000A4273" w:rsidRPr="007672C8">
              <w:rPr>
                <w:vertAlign w:val="superscript"/>
              </w:rPr>
              <w:t>2</w:t>
            </w:r>
            <w:r w:rsidR="00626B6B" w:rsidRPr="007672C8">
              <w:t xml:space="preserve"> (</w:t>
            </w:r>
            <w:r>
              <w:rPr>
                <w:noProof/>
                <w:color w:val="000000"/>
                <w:highlight w:val="black"/>
              </w:rPr>
              <w:t>''''''''''</w:t>
            </w:r>
            <w:r w:rsidR="00626B6B" w:rsidRPr="007672C8">
              <w:t>%)</w:t>
            </w:r>
          </w:p>
        </w:tc>
      </w:tr>
      <w:tr w:rsidR="00626B6B" w:rsidRPr="003253E7" w:rsidTr="00B218DF">
        <w:tc>
          <w:tcPr>
            <w:tcW w:w="1700" w:type="pct"/>
            <w:shd w:val="clear" w:color="auto" w:fill="auto"/>
            <w:vAlign w:val="center"/>
          </w:tcPr>
          <w:p w:rsidR="00626B6B" w:rsidRPr="003253E7" w:rsidRDefault="00626B6B" w:rsidP="00B218DF">
            <w:pPr>
              <w:pStyle w:val="TableText"/>
            </w:pPr>
            <w:r w:rsidRPr="003253E7">
              <w:t>FLT3 mutation positive patients (38%)</w:t>
            </w:r>
          </w:p>
        </w:tc>
        <w:tc>
          <w:tcPr>
            <w:tcW w:w="647" w:type="pct"/>
            <w:shd w:val="clear" w:color="auto" w:fill="auto"/>
            <w:vAlign w:val="center"/>
          </w:tcPr>
          <w:p w:rsidR="00626B6B" w:rsidRPr="003253E7" w:rsidRDefault="00626B6B" w:rsidP="00B218DF">
            <w:pPr>
              <w:pStyle w:val="TableText"/>
              <w:jc w:val="center"/>
            </w:pPr>
            <w:r w:rsidRPr="003253E7">
              <w:t>154</w:t>
            </w:r>
          </w:p>
        </w:tc>
        <w:tc>
          <w:tcPr>
            <w:tcW w:w="529" w:type="pct"/>
            <w:shd w:val="clear" w:color="auto" w:fill="auto"/>
            <w:vAlign w:val="center"/>
          </w:tcPr>
          <w:p w:rsidR="00626B6B" w:rsidRPr="003253E7" w:rsidRDefault="00626B6B" w:rsidP="00B218DF">
            <w:pPr>
              <w:pStyle w:val="TableText"/>
              <w:jc w:val="center"/>
            </w:pPr>
            <w:r w:rsidRPr="003253E7">
              <w:t>161</w:t>
            </w:r>
          </w:p>
        </w:tc>
        <w:tc>
          <w:tcPr>
            <w:tcW w:w="529" w:type="pct"/>
            <w:shd w:val="clear" w:color="auto" w:fill="auto"/>
            <w:vAlign w:val="center"/>
          </w:tcPr>
          <w:p w:rsidR="00626B6B" w:rsidRPr="003253E7" w:rsidRDefault="00626B6B" w:rsidP="00B218DF">
            <w:pPr>
              <w:pStyle w:val="TableText"/>
              <w:jc w:val="center"/>
            </w:pPr>
            <w:r w:rsidRPr="003253E7">
              <w:t>168</w:t>
            </w:r>
          </w:p>
        </w:tc>
        <w:tc>
          <w:tcPr>
            <w:tcW w:w="529" w:type="pct"/>
            <w:shd w:val="clear" w:color="auto" w:fill="auto"/>
            <w:vAlign w:val="center"/>
          </w:tcPr>
          <w:p w:rsidR="00626B6B" w:rsidRPr="003253E7" w:rsidRDefault="00626B6B" w:rsidP="00B218DF">
            <w:pPr>
              <w:pStyle w:val="TableText"/>
              <w:jc w:val="center"/>
            </w:pPr>
            <w:r w:rsidRPr="003253E7">
              <w:t>180</w:t>
            </w:r>
          </w:p>
        </w:tc>
        <w:tc>
          <w:tcPr>
            <w:tcW w:w="529" w:type="pct"/>
            <w:shd w:val="clear" w:color="auto" w:fill="auto"/>
            <w:vAlign w:val="center"/>
          </w:tcPr>
          <w:p w:rsidR="00626B6B" w:rsidRPr="003253E7" w:rsidRDefault="00626B6B" w:rsidP="00B218DF">
            <w:pPr>
              <w:pStyle w:val="TableText"/>
              <w:jc w:val="center"/>
            </w:pPr>
            <w:r w:rsidRPr="003253E7">
              <w:t>192</w:t>
            </w:r>
          </w:p>
        </w:tc>
        <w:tc>
          <w:tcPr>
            <w:tcW w:w="535" w:type="pct"/>
            <w:shd w:val="clear" w:color="auto" w:fill="auto"/>
            <w:vAlign w:val="center"/>
          </w:tcPr>
          <w:p w:rsidR="00626B6B" w:rsidRPr="003253E7" w:rsidRDefault="00626B6B" w:rsidP="00B218DF">
            <w:pPr>
              <w:pStyle w:val="TableText"/>
              <w:jc w:val="center"/>
            </w:pPr>
            <w:r w:rsidRPr="003253E7">
              <w:t>195</w:t>
            </w:r>
          </w:p>
        </w:tc>
      </w:tr>
      <w:tr w:rsidR="00626B6B" w:rsidRPr="003253E7" w:rsidTr="00B218DF">
        <w:tc>
          <w:tcPr>
            <w:tcW w:w="5000" w:type="pct"/>
            <w:gridSpan w:val="7"/>
            <w:shd w:val="clear" w:color="auto" w:fill="auto"/>
            <w:vAlign w:val="center"/>
          </w:tcPr>
          <w:p w:rsidR="00626B6B" w:rsidRPr="003253E7" w:rsidRDefault="00626B6B" w:rsidP="00B218DF">
            <w:pPr>
              <w:pStyle w:val="TableText"/>
              <w:rPr>
                <w:b/>
                <w:bCs w:val="0"/>
              </w:rPr>
            </w:pPr>
            <w:r w:rsidRPr="003253E7">
              <w:rPr>
                <w:b/>
                <w:bCs w:val="0"/>
              </w:rPr>
              <w:t>Cost of gilteritinib to the PBS/RPBS</w:t>
            </w:r>
          </w:p>
        </w:tc>
      </w:tr>
      <w:tr w:rsidR="00626B6B" w:rsidRPr="003253E7" w:rsidTr="00B218DF">
        <w:tc>
          <w:tcPr>
            <w:tcW w:w="1700" w:type="pct"/>
            <w:shd w:val="clear" w:color="auto" w:fill="auto"/>
          </w:tcPr>
          <w:p w:rsidR="00626B6B" w:rsidRPr="007672C8" w:rsidRDefault="00626B6B" w:rsidP="00B218DF">
            <w:pPr>
              <w:pStyle w:val="TableText"/>
              <w:rPr>
                <w:vertAlign w:val="superscript"/>
              </w:rPr>
            </w:pPr>
            <w:r w:rsidRPr="003253E7">
              <w:t>Initiating scripts (3 per patient)</w:t>
            </w:r>
          </w:p>
        </w:tc>
        <w:tc>
          <w:tcPr>
            <w:tcW w:w="647" w:type="pct"/>
            <w:shd w:val="clear" w:color="auto" w:fill="auto"/>
          </w:tcPr>
          <w:p w:rsidR="00626B6B" w:rsidRPr="00DD7357" w:rsidRDefault="00DD7357" w:rsidP="00B218DF">
            <w:pPr>
              <w:pStyle w:val="TableText"/>
              <w:jc w:val="center"/>
              <w:rPr>
                <w:b/>
                <w:bCs w:val="0"/>
              </w:rPr>
            </w:pPr>
            <w:r>
              <w:rPr>
                <w:noProof/>
                <w:color w:val="000000"/>
                <w:highlight w:val="black"/>
              </w:rPr>
              <w:t>'''''''''</w:t>
            </w:r>
            <w:r w:rsidR="000E2C99">
              <w:rPr>
                <w:vertAlign w:val="superscript"/>
              </w:rPr>
              <w:t>1</w:t>
            </w:r>
          </w:p>
        </w:tc>
        <w:tc>
          <w:tcPr>
            <w:tcW w:w="529" w:type="pct"/>
            <w:shd w:val="clear" w:color="auto" w:fill="auto"/>
          </w:tcPr>
          <w:p w:rsidR="00626B6B" w:rsidRPr="00DD7357" w:rsidRDefault="00DD7357" w:rsidP="00B218DF">
            <w:pPr>
              <w:pStyle w:val="TableText"/>
              <w:jc w:val="center"/>
              <w:rPr>
                <w:b/>
                <w:bCs w:val="0"/>
              </w:rPr>
            </w:pPr>
            <w:r>
              <w:rPr>
                <w:noProof/>
                <w:color w:val="000000"/>
                <w:highlight w:val="black"/>
              </w:rPr>
              <w:t>'''''''''</w:t>
            </w:r>
            <w:r w:rsidR="000E2C99">
              <w:rPr>
                <w:vertAlign w:val="superscript"/>
              </w:rPr>
              <w:t>1</w:t>
            </w:r>
          </w:p>
        </w:tc>
        <w:tc>
          <w:tcPr>
            <w:tcW w:w="529" w:type="pct"/>
            <w:shd w:val="clear" w:color="auto" w:fill="auto"/>
          </w:tcPr>
          <w:p w:rsidR="00626B6B" w:rsidRPr="00DD7357" w:rsidRDefault="00DD7357" w:rsidP="00B218DF">
            <w:pPr>
              <w:pStyle w:val="TableText"/>
              <w:jc w:val="center"/>
              <w:rPr>
                <w:b/>
                <w:bCs w:val="0"/>
              </w:rPr>
            </w:pPr>
            <w:r>
              <w:rPr>
                <w:noProof/>
                <w:color w:val="000000"/>
                <w:highlight w:val="black"/>
              </w:rPr>
              <w:t>'''''''''</w:t>
            </w:r>
            <w:r w:rsidR="000E2C99">
              <w:rPr>
                <w:vertAlign w:val="superscript"/>
              </w:rPr>
              <w:t>1</w:t>
            </w:r>
          </w:p>
        </w:tc>
        <w:tc>
          <w:tcPr>
            <w:tcW w:w="529" w:type="pct"/>
            <w:shd w:val="clear" w:color="auto" w:fill="auto"/>
          </w:tcPr>
          <w:p w:rsidR="00626B6B" w:rsidRPr="00DD7357" w:rsidRDefault="00DD7357" w:rsidP="00B218DF">
            <w:pPr>
              <w:pStyle w:val="TableText"/>
              <w:jc w:val="center"/>
              <w:rPr>
                <w:b/>
                <w:bCs w:val="0"/>
              </w:rPr>
            </w:pPr>
            <w:r>
              <w:rPr>
                <w:noProof/>
                <w:color w:val="000000"/>
                <w:highlight w:val="black"/>
              </w:rPr>
              <w:t>'''''''''</w:t>
            </w:r>
            <w:r w:rsidR="000E2C99">
              <w:rPr>
                <w:vertAlign w:val="superscript"/>
              </w:rPr>
              <w:t>2</w:t>
            </w:r>
          </w:p>
        </w:tc>
        <w:tc>
          <w:tcPr>
            <w:tcW w:w="529" w:type="pct"/>
            <w:shd w:val="clear" w:color="auto" w:fill="auto"/>
          </w:tcPr>
          <w:p w:rsidR="00626B6B" w:rsidRPr="00DD7357" w:rsidRDefault="00DD7357" w:rsidP="00B218DF">
            <w:pPr>
              <w:pStyle w:val="TableText"/>
              <w:jc w:val="center"/>
              <w:rPr>
                <w:b/>
                <w:bCs w:val="0"/>
              </w:rPr>
            </w:pPr>
            <w:r>
              <w:rPr>
                <w:noProof/>
                <w:color w:val="000000"/>
                <w:highlight w:val="black"/>
              </w:rPr>
              <w:t>'''''''''</w:t>
            </w:r>
            <w:r w:rsidR="000E2C99">
              <w:rPr>
                <w:vertAlign w:val="superscript"/>
              </w:rPr>
              <w:t>2</w:t>
            </w:r>
          </w:p>
        </w:tc>
        <w:tc>
          <w:tcPr>
            <w:tcW w:w="535" w:type="pct"/>
            <w:shd w:val="clear" w:color="auto" w:fill="auto"/>
          </w:tcPr>
          <w:p w:rsidR="00626B6B" w:rsidRPr="00DD7357" w:rsidRDefault="00DD7357" w:rsidP="00B218DF">
            <w:pPr>
              <w:pStyle w:val="TableText"/>
              <w:jc w:val="center"/>
              <w:rPr>
                <w:b/>
                <w:bCs w:val="0"/>
              </w:rPr>
            </w:pPr>
            <w:r>
              <w:rPr>
                <w:noProof/>
                <w:color w:val="000000"/>
                <w:highlight w:val="black"/>
              </w:rPr>
              <w:t>'''''''''</w:t>
            </w:r>
            <w:r w:rsidR="000E2C99">
              <w:rPr>
                <w:vertAlign w:val="superscript"/>
              </w:rPr>
              <w:t>2</w:t>
            </w:r>
          </w:p>
        </w:tc>
      </w:tr>
      <w:tr w:rsidR="00626B6B" w:rsidRPr="003253E7" w:rsidTr="00B218DF">
        <w:tc>
          <w:tcPr>
            <w:tcW w:w="1700" w:type="pct"/>
            <w:shd w:val="clear" w:color="auto" w:fill="auto"/>
            <w:vAlign w:val="center"/>
          </w:tcPr>
          <w:p w:rsidR="00626B6B" w:rsidRPr="003253E7" w:rsidRDefault="00626B6B" w:rsidP="00B218DF">
            <w:pPr>
              <w:pStyle w:val="TableText"/>
            </w:pPr>
            <w:r w:rsidRPr="003253E7">
              <w:t>Continuing script</w:t>
            </w:r>
            <w:r w:rsidRPr="007672C8">
              <w:t>s (4.85</w:t>
            </w:r>
            <w:r w:rsidRPr="003253E7">
              <w:t xml:space="preserve"> per patient)</w:t>
            </w:r>
          </w:p>
        </w:tc>
        <w:tc>
          <w:tcPr>
            <w:tcW w:w="647" w:type="pct"/>
            <w:shd w:val="clear" w:color="auto" w:fill="auto"/>
            <w:vAlign w:val="center"/>
          </w:tcPr>
          <w:p w:rsidR="00626B6B" w:rsidRPr="00DD7357" w:rsidRDefault="00DD7357" w:rsidP="00B218DF">
            <w:pPr>
              <w:pStyle w:val="TableText"/>
              <w:jc w:val="center"/>
              <w:rPr>
                <w:b/>
                <w:bCs w:val="0"/>
              </w:rPr>
            </w:pPr>
            <w:r>
              <w:rPr>
                <w:noProof/>
                <w:color w:val="000000"/>
                <w:highlight w:val="black"/>
              </w:rPr>
              <w:t>'''''''''</w:t>
            </w:r>
            <w:r w:rsidR="000E2C99">
              <w:rPr>
                <w:vertAlign w:val="superscript"/>
              </w:rPr>
              <w:t>2</w:t>
            </w:r>
          </w:p>
        </w:tc>
        <w:tc>
          <w:tcPr>
            <w:tcW w:w="529" w:type="pct"/>
            <w:shd w:val="clear" w:color="auto" w:fill="auto"/>
            <w:vAlign w:val="center"/>
          </w:tcPr>
          <w:p w:rsidR="00626B6B" w:rsidRPr="00DD7357" w:rsidRDefault="00DD7357" w:rsidP="00B218DF">
            <w:pPr>
              <w:pStyle w:val="TableText"/>
              <w:jc w:val="center"/>
              <w:rPr>
                <w:b/>
                <w:bCs w:val="0"/>
              </w:rPr>
            </w:pPr>
            <w:r>
              <w:rPr>
                <w:noProof/>
                <w:color w:val="000000"/>
                <w:highlight w:val="black"/>
              </w:rPr>
              <w:t>'''''''''</w:t>
            </w:r>
            <w:r w:rsidR="000E2C99">
              <w:rPr>
                <w:vertAlign w:val="superscript"/>
              </w:rPr>
              <w:t>2</w:t>
            </w:r>
          </w:p>
        </w:tc>
        <w:tc>
          <w:tcPr>
            <w:tcW w:w="529" w:type="pct"/>
            <w:shd w:val="clear" w:color="auto" w:fill="auto"/>
            <w:vAlign w:val="center"/>
          </w:tcPr>
          <w:p w:rsidR="00626B6B" w:rsidRPr="00DD7357" w:rsidRDefault="00DD7357" w:rsidP="00B218DF">
            <w:pPr>
              <w:pStyle w:val="TableText"/>
              <w:jc w:val="center"/>
              <w:rPr>
                <w:b/>
                <w:bCs w:val="0"/>
              </w:rPr>
            </w:pPr>
            <w:r>
              <w:rPr>
                <w:noProof/>
                <w:color w:val="000000"/>
                <w:highlight w:val="black"/>
              </w:rPr>
              <w:t>'''''''''</w:t>
            </w:r>
            <w:r w:rsidR="000E2C99">
              <w:rPr>
                <w:vertAlign w:val="superscript"/>
              </w:rPr>
              <w:t>2</w:t>
            </w:r>
          </w:p>
        </w:tc>
        <w:tc>
          <w:tcPr>
            <w:tcW w:w="529" w:type="pct"/>
            <w:shd w:val="clear" w:color="auto" w:fill="auto"/>
            <w:vAlign w:val="center"/>
          </w:tcPr>
          <w:p w:rsidR="00626B6B" w:rsidRPr="00DD7357" w:rsidRDefault="00DD7357" w:rsidP="00B218DF">
            <w:pPr>
              <w:pStyle w:val="TableText"/>
              <w:jc w:val="center"/>
              <w:rPr>
                <w:b/>
                <w:bCs w:val="0"/>
              </w:rPr>
            </w:pPr>
            <w:r>
              <w:rPr>
                <w:noProof/>
                <w:color w:val="000000"/>
                <w:highlight w:val="black"/>
              </w:rPr>
              <w:t>''''''''''</w:t>
            </w:r>
            <w:r w:rsidR="000E2C99">
              <w:rPr>
                <w:vertAlign w:val="superscript"/>
              </w:rPr>
              <w:t>2</w:t>
            </w:r>
          </w:p>
        </w:tc>
        <w:tc>
          <w:tcPr>
            <w:tcW w:w="529" w:type="pct"/>
            <w:shd w:val="clear" w:color="auto" w:fill="auto"/>
            <w:vAlign w:val="center"/>
          </w:tcPr>
          <w:p w:rsidR="00626B6B" w:rsidRPr="00DD7357" w:rsidRDefault="00DD7357" w:rsidP="00B218DF">
            <w:pPr>
              <w:pStyle w:val="TableText"/>
              <w:jc w:val="center"/>
              <w:rPr>
                <w:b/>
                <w:bCs w:val="0"/>
              </w:rPr>
            </w:pPr>
            <w:r>
              <w:rPr>
                <w:noProof/>
                <w:color w:val="000000"/>
                <w:highlight w:val="black"/>
              </w:rPr>
              <w:t>''''''''''</w:t>
            </w:r>
            <w:r w:rsidR="000E2C99">
              <w:rPr>
                <w:vertAlign w:val="superscript"/>
              </w:rPr>
              <w:t>2</w:t>
            </w:r>
          </w:p>
        </w:tc>
        <w:tc>
          <w:tcPr>
            <w:tcW w:w="535" w:type="pct"/>
            <w:shd w:val="clear" w:color="auto" w:fill="auto"/>
            <w:vAlign w:val="center"/>
          </w:tcPr>
          <w:p w:rsidR="00626B6B" w:rsidRPr="00DD7357" w:rsidRDefault="00DD7357" w:rsidP="00B218DF">
            <w:pPr>
              <w:pStyle w:val="TableText"/>
              <w:jc w:val="center"/>
              <w:rPr>
                <w:b/>
                <w:bCs w:val="0"/>
              </w:rPr>
            </w:pPr>
            <w:r>
              <w:rPr>
                <w:noProof/>
                <w:color w:val="000000"/>
                <w:highlight w:val="black"/>
              </w:rPr>
              <w:t>'''''''''</w:t>
            </w:r>
            <w:r w:rsidR="000E2C99">
              <w:rPr>
                <w:vertAlign w:val="superscript"/>
              </w:rPr>
              <w:t>2</w:t>
            </w:r>
          </w:p>
        </w:tc>
      </w:tr>
      <w:tr w:rsidR="00626B6B" w:rsidRPr="003253E7" w:rsidTr="00B218DF">
        <w:tc>
          <w:tcPr>
            <w:tcW w:w="1700" w:type="pct"/>
            <w:shd w:val="clear" w:color="auto" w:fill="auto"/>
          </w:tcPr>
          <w:p w:rsidR="00626B6B" w:rsidRPr="007672C8" w:rsidRDefault="00626B6B" w:rsidP="00B218DF">
            <w:pPr>
              <w:pStyle w:val="TableText"/>
              <w:rPr>
                <w:vertAlign w:val="superscript"/>
              </w:rPr>
            </w:pPr>
            <w:r w:rsidRPr="003253E7">
              <w:t>Total PBS/RPBS scripts</w:t>
            </w:r>
          </w:p>
        </w:tc>
        <w:tc>
          <w:tcPr>
            <w:tcW w:w="647" w:type="pct"/>
            <w:shd w:val="clear" w:color="auto" w:fill="auto"/>
          </w:tcPr>
          <w:p w:rsidR="00626B6B" w:rsidRPr="00DD7357" w:rsidRDefault="00DD7357" w:rsidP="00B218DF">
            <w:pPr>
              <w:pStyle w:val="TableText"/>
              <w:jc w:val="center"/>
              <w:rPr>
                <w:b/>
                <w:bCs w:val="0"/>
              </w:rPr>
            </w:pPr>
            <w:r>
              <w:rPr>
                <w:noProof/>
                <w:color w:val="000000"/>
                <w:highlight w:val="black"/>
              </w:rPr>
              <w:t>'''''''''''''</w:t>
            </w:r>
            <w:r w:rsidR="000E2C99">
              <w:rPr>
                <w:vertAlign w:val="superscript"/>
              </w:rPr>
              <w:t>2</w:t>
            </w:r>
          </w:p>
        </w:tc>
        <w:tc>
          <w:tcPr>
            <w:tcW w:w="529" w:type="pct"/>
            <w:shd w:val="clear" w:color="auto" w:fill="auto"/>
          </w:tcPr>
          <w:p w:rsidR="00626B6B" w:rsidRPr="00DD7357" w:rsidRDefault="00DD7357" w:rsidP="00B218DF">
            <w:pPr>
              <w:pStyle w:val="TableText"/>
              <w:jc w:val="center"/>
              <w:rPr>
                <w:b/>
                <w:bCs w:val="0"/>
              </w:rPr>
            </w:pPr>
            <w:r>
              <w:rPr>
                <w:noProof/>
                <w:color w:val="000000"/>
                <w:highlight w:val="black"/>
              </w:rPr>
              <w:t>'''''''''</w:t>
            </w:r>
            <w:r w:rsidR="000E2C99">
              <w:rPr>
                <w:vertAlign w:val="superscript"/>
              </w:rPr>
              <w:t>2</w:t>
            </w:r>
          </w:p>
        </w:tc>
        <w:tc>
          <w:tcPr>
            <w:tcW w:w="529" w:type="pct"/>
            <w:shd w:val="clear" w:color="auto" w:fill="auto"/>
          </w:tcPr>
          <w:p w:rsidR="00626B6B" w:rsidRPr="00DD7357" w:rsidRDefault="00DD7357" w:rsidP="00B218DF">
            <w:pPr>
              <w:pStyle w:val="TableText"/>
              <w:jc w:val="center"/>
              <w:rPr>
                <w:b/>
                <w:bCs w:val="0"/>
              </w:rPr>
            </w:pPr>
            <w:r>
              <w:rPr>
                <w:noProof/>
                <w:color w:val="000000"/>
                <w:highlight w:val="black"/>
              </w:rPr>
              <w:t>'''''''''''''</w:t>
            </w:r>
            <w:r w:rsidR="000E2C99">
              <w:rPr>
                <w:vertAlign w:val="superscript"/>
              </w:rPr>
              <w:t>2</w:t>
            </w:r>
          </w:p>
        </w:tc>
        <w:tc>
          <w:tcPr>
            <w:tcW w:w="529" w:type="pct"/>
            <w:shd w:val="clear" w:color="auto" w:fill="auto"/>
          </w:tcPr>
          <w:p w:rsidR="00626B6B" w:rsidRPr="00DD7357" w:rsidRDefault="00DD7357" w:rsidP="00B218DF">
            <w:pPr>
              <w:pStyle w:val="TableText"/>
              <w:jc w:val="center"/>
              <w:rPr>
                <w:b/>
                <w:bCs w:val="0"/>
              </w:rPr>
            </w:pPr>
            <w:r>
              <w:rPr>
                <w:noProof/>
                <w:color w:val="000000"/>
                <w:highlight w:val="black"/>
              </w:rPr>
              <w:t>'''''''''''''</w:t>
            </w:r>
            <w:r w:rsidR="000E2C99">
              <w:rPr>
                <w:vertAlign w:val="superscript"/>
              </w:rPr>
              <w:t>2</w:t>
            </w:r>
          </w:p>
        </w:tc>
        <w:tc>
          <w:tcPr>
            <w:tcW w:w="529" w:type="pct"/>
            <w:shd w:val="clear" w:color="auto" w:fill="auto"/>
          </w:tcPr>
          <w:p w:rsidR="00626B6B" w:rsidRPr="00DD7357" w:rsidRDefault="00DD7357" w:rsidP="00B218DF">
            <w:pPr>
              <w:pStyle w:val="TableText"/>
              <w:jc w:val="center"/>
              <w:rPr>
                <w:b/>
                <w:bCs w:val="0"/>
              </w:rPr>
            </w:pPr>
            <w:r>
              <w:rPr>
                <w:noProof/>
                <w:color w:val="000000"/>
                <w:highlight w:val="black"/>
              </w:rPr>
              <w:t>''''''''''''''</w:t>
            </w:r>
            <w:r w:rsidR="000E2C99">
              <w:rPr>
                <w:vertAlign w:val="superscript"/>
              </w:rPr>
              <w:t>2</w:t>
            </w:r>
          </w:p>
        </w:tc>
        <w:tc>
          <w:tcPr>
            <w:tcW w:w="535" w:type="pct"/>
            <w:shd w:val="clear" w:color="auto" w:fill="auto"/>
          </w:tcPr>
          <w:p w:rsidR="00626B6B" w:rsidRPr="00DD7357" w:rsidRDefault="00DD7357" w:rsidP="00B218DF">
            <w:pPr>
              <w:pStyle w:val="TableText"/>
              <w:jc w:val="center"/>
              <w:rPr>
                <w:b/>
                <w:bCs w:val="0"/>
              </w:rPr>
            </w:pPr>
            <w:r>
              <w:rPr>
                <w:noProof/>
                <w:color w:val="000000"/>
                <w:highlight w:val="black"/>
              </w:rPr>
              <w:t>'''''''''''''</w:t>
            </w:r>
            <w:r w:rsidR="000E2C99">
              <w:rPr>
                <w:vertAlign w:val="superscript"/>
              </w:rPr>
              <w:t>2</w:t>
            </w:r>
          </w:p>
        </w:tc>
      </w:tr>
      <w:tr w:rsidR="00626B6B" w:rsidRPr="003253E7" w:rsidTr="00B218DF">
        <w:tc>
          <w:tcPr>
            <w:tcW w:w="1700" w:type="pct"/>
            <w:shd w:val="clear" w:color="auto" w:fill="auto"/>
            <w:vAlign w:val="center"/>
          </w:tcPr>
          <w:p w:rsidR="00626B6B" w:rsidRPr="003253E7" w:rsidRDefault="00626B6B" w:rsidP="00B218DF">
            <w:pPr>
              <w:pStyle w:val="TableText"/>
            </w:pPr>
            <w:r w:rsidRPr="003253E7">
              <w:t xml:space="preserve">Net PBS/RPBS cost </w:t>
            </w:r>
            <w:r w:rsidR="00DD7357">
              <w:rPr>
                <w:noProof/>
                <w:color w:val="000000"/>
                <w:highlight w:val="black"/>
              </w:rPr>
              <w:t>'''''''''''''''''''''''''''''</w:t>
            </w:r>
            <w:r w:rsidR="00FD4C43" w:rsidRPr="003253E7">
              <w:t xml:space="preserve"> per script)</w:t>
            </w:r>
            <w:r w:rsidR="00FD4C43">
              <w:t xml:space="preserve"> – less </w:t>
            </w:r>
            <w:r w:rsidR="00806612">
              <w:t>co-payments</w:t>
            </w:r>
          </w:p>
        </w:tc>
        <w:tc>
          <w:tcPr>
            <w:tcW w:w="647" w:type="pct"/>
            <w:shd w:val="clear" w:color="auto" w:fill="auto"/>
            <w:vAlign w:val="center"/>
          </w:tcPr>
          <w:p w:rsidR="00626B6B" w:rsidRPr="00DD7357" w:rsidRDefault="00DD7357" w:rsidP="00B218DF">
            <w:pPr>
              <w:pStyle w:val="TableText"/>
              <w:jc w:val="center"/>
              <w:rPr>
                <w:b/>
                <w:bCs w:val="0"/>
              </w:rPr>
            </w:pPr>
            <w:r>
              <w:rPr>
                <w:noProof/>
                <w:color w:val="000000"/>
                <w:highlight w:val="black"/>
              </w:rPr>
              <w:t>'''''''''''''''''''''''''''''</w:t>
            </w:r>
            <w:r w:rsidR="000E2C99">
              <w:rPr>
                <w:vertAlign w:val="superscript"/>
              </w:rPr>
              <w:t>3</w:t>
            </w:r>
          </w:p>
        </w:tc>
        <w:tc>
          <w:tcPr>
            <w:tcW w:w="529" w:type="pct"/>
            <w:shd w:val="clear" w:color="auto" w:fill="auto"/>
            <w:vAlign w:val="center"/>
          </w:tcPr>
          <w:p w:rsidR="00626B6B" w:rsidRPr="00DD7357" w:rsidRDefault="00DD7357" w:rsidP="00B218DF">
            <w:pPr>
              <w:pStyle w:val="TableText"/>
              <w:jc w:val="center"/>
              <w:rPr>
                <w:b/>
                <w:bCs w:val="0"/>
              </w:rPr>
            </w:pPr>
            <w:r>
              <w:rPr>
                <w:noProof/>
                <w:color w:val="000000"/>
                <w:highlight w:val="black"/>
              </w:rPr>
              <w:t>'''''''''''''''''''''''''''''''</w:t>
            </w:r>
            <w:r w:rsidR="000E2C99">
              <w:rPr>
                <w:vertAlign w:val="superscript"/>
              </w:rPr>
              <w:t>3</w:t>
            </w:r>
          </w:p>
        </w:tc>
        <w:tc>
          <w:tcPr>
            <w:tcW w:w="529" w:type="pct"/>
            <w:shd w:val="clear" w:color="auto" w:fill="auto"/>
            <w:vAlign w:val="center"/>
          </w:tcPr>
          <w:p w:rsidR="00626B6B" w:rsidRPr="00DD7357" w:rsidRDefault="00DD7357" w:rsidP="00B218DF">
            <w:pPr>
              <w:pStyle w:val="TableText"/>
              <w:jc w:val="center"/>
              <w:rPr>
                <w:b/>
                <w:bCs w:val="0"/>
              </w:rPr>
            </w:pPr>
            <w:r>
              <w:rPr>
                <w:noProof/>
                <w:color w:val="000000"/>
                <w:highlight w:val="black"/>
              </w:rPr>
              <w:t>'''''''''''''''''''''''''''''</w:t>
            </w:r>
            <w:r w:rsidR="000E2C99">
              <w:rPr>
                <w:vertAlign w:val="superscript"/>
              </w:rPr>
              <w:t>3</w:t>
            </w:r>
          </w:p>
        </w:tc>
        <w:tc>
          <w:tcPr>
            <w:tcW w:w="529" w:type="pct"/>
            <w:shd w:val="clear" w:color="auto" w:fill="auto"/>
            <w:vAlign w:val="center"/>
          </w:tcPr>
          <w:p w:rsidR="00626B6B" w:rsidRPr="00DD7357" w:rsidRDefault="00DD7357" w:rsidP="00B218DF">
            <w:pPr>
              <w:pStyle w:val="TableText"/>
              <w:jc w:val="center"/>
              <w:rPr>
                <w:b/>
                <w:bCs w:val="0"/>
              </w:rPr>
            </w:pPr>
            <w:r>
              <w:rPr>
                <w:noProof/>
                <w:color w:val="000000"/>
                <w:highlight w:val="black"/>
              </w:rPr>
              <w:t>''''''''''''''''''''''''''''''''</w:t>
            </w:r>
            <w:r w:rsidR="000E2C99">
              <w:rPr>
                <w:vertAlign w:val="superscript"/>
              </w:rPr>
              <w:t>3</w:t>
            </w:r>
          </w:p>
        </w:tc>
        <w:tc>
          <w:tcPr>
            <w:tcW w:w="529" w:type="pct"/>
            <w:shd w:val="clear" w:color="auto" w:fill="auto"/>
            <w:vAlign w:val="center"/>
          </w:tcPr>
          <w:p w:rsidR="00626B6B" w:rsidRPr="00DD7357" w:rsidRDefault="00DD7357" w:rsidP="00B218DF">
            <w:pPr>
              <w:pStyle w:val="TableText"/>
              <w:jc w:val="center"/>
              <w:rPr>
                <w:b/>
                <w:bCs w:val="0"/>
              </w:rPr>
            </w:pPr>
            <w:r>
              <w:rPr>
                <w:noProof/>
                <w:color w:val="000000"/>
                <w:highlight w:val="black"/>
              </w:rPr>
              <w:t>''''''''''''''''''''''''''''''''</w:t>
            </w:r>
            <w:r w:rsidR="000E2C99">
              <w:rPr>
                <w:vertAlign w:val="superscript"/>
              </w:rPr>
              <w:t>3</w:t>
            </w:r>
          </w:p>
        </w:tc>
        <w:tc>
          <w:tcPr>
            <w:tcW w:w="535" w:type="pct"/>
            <w:shd w:val="clear" w:color="auto" w:fill="auto"/>
            <w:vAlign w:val="center"/>
          </w:tcPr>
          <w:p w:rsidR="00626B6B" w:rsidRPr="00DD7357" w:rsidRDefault="00DD7357" w:rsidP="00B218DF">
            <w:pPr>
              <w:pStyle w:val="TableText"/>
              <w:jc w:val="center"/>
              <w:rPr>
                <w:b/>
                <w:bCs w:val="0"/>
              </w:rPr>
            </w:pPr>
            <w:r>
              <w:rPr>
                <w:noProof/>
                <w:color w:val="000000"/>
                <w:highlight w:val="black"/>
              </w:rPr>
              <w:t>''''''''''''''''''''''''''''</w:t>
            </w:r>
            <w:r w:rsidR="000E2C99">
              <w:rPr>
                <w:vertAlign w:val="superscript"/>
              </w:rPr>
              <w:t>3</w:t>
            </w:r>
          </w:p>
        </w:tc>
      </w:tr>
      <w:tr w:rsidR="001B0820" w:rsidRPr="000450DB" w:rsidTr="00B218DF">
        <w:tc>
          <w:tcPr>
            <w:tcW w:w="1700" w:type="pct"/>
            <w:shd w:val="clear" w:color="auto" w:fill="auto"/>
            <w:vAlign w:val="center"/>
          </w:tcPr>
          <w:p w:rsidR="001B0820" w:rsidRPr="000450DB" w:rsidRDefault="001B0820" w:rsidP="00B218DF">
            <w:pPr>
              <w:pStyle w:val="TableText"/>
              <w:rPr>
                <w:iCs/>
              </w:rPr>
            </w:pPr>
            <w:r w:rsidRPr="000450DB">
              <w:rPr>
                <w:iCs/>
              </w:rPr>
              <w:t>Net PBS/RPBS cost (</w:t>
            </w:r>
            <w:r w:rsidRPr="007672C8">
              <w:rPr>
                <w:iCs/>
              </w:rPr>
              <w:t>mean 7.85</w:t>
            </w:r>
            <w:r w:rsidRPr="000450DB">
              <w:rPr>
                <w:iCs/>
              </w:rPr>
              <w:t xml:space="preserve"> cycles) – less co-payments</w:t>
            </w:r>
            <w:r w:rsidR="009B7D95" w:rsidRPr="000450DB">
              <w:rPr>
                <w:iCs/>
              </w:rPr>
              <w:t>;</w:t>
            </w:r>
            <w:r w:rsidRPr="000450DB">
              <w:rPr>
                <w:iCs/>
              </w:rPr>
              <w:t xml:space="preserve"> updated in PSCR </w:t>
            </w:r>
          </w:p>
        </w:tc>
        <w:tc>
          <w:tcPr>
            <w:tcW w:w="647" w:type="pct"/>
            <w:shd w:val="clear" w:color="auto" w:fill="auto"/>
            <w:vAlign w:val="center"/>
          </w:tcPr>
          <w:tbl>
            <w:tblPr>
              <w:tblW w:w="0" w:type="auto"/>
              <w:tblBorders>
                <w:top w:val="nil"/>
                <w:left w:val="nil"/>
                <w:bottom w:val="nil"/>
                <w:right w:val="nil"/>
              </w:tblBorders>
              <w:tblLook w:val="0000" w:firstRow="0" w:lastRow="0" w:firstColumn="0" w:lastColumn="0" w:noHBand="0" w:noVBand="0"/>
            </w:tblPr>
            <w:tblGrid>
              <w:gridCol w:w="1156"/>
            </w:tblGrid>
            <w:tr w:rsidR="001B0820" w:rsidRPr="00045107">
              <w:trPr>
                <w:trHeight w:val="91"/>
              </w:trPr>
              <w:tc>
                <w:tcPr>
                  <w:tcW w:w="0" w:type="auto"/>
                </w:tcPr>
                <w:p w:rsidR="001B0820" w:rsidRPr="00DD7357" w:rsidRDefault="00DD7357" w:rsidP="000449C3">
                  <w:pPr>
                    <w:framePr w:hSpace="180" w:wrap="around" w:vAnchor="text" w:hAnchor="text" w:y="1"/>
                    <w:autoSpaceDE w:val="0"/>
                    <w:autoSpaceDN w:val="0"/>
                    <w:adjustRightInd w:val="0"/>
                    <w:suppressOverlap/>
                    <w:jc w:val="left"/>
                    <w:rPr>
                      <w:rFonts w:ascii="Arial Narrow" w:hAnsi="Arial Narrow" w:cs="Garamond"/>
                      <w:iCs/>
                      <w:color w:val="000000"/>
                      <w:sz w:val="20"/>
                      <w:szCs w:val="20"/>
                    </w:rPr>
                  </w:pPr>
                  <w:r>
                    <w:rPr>
                      <w:rFonts w:ascii="Arial Narrow" w:eastAsiaTheme="majorEastAsia" w:hAnsi="Arial Narrow" w:cstheme="majorBidi"/>
                      <w:bCs/>
                      <w:iCs/>
                      <w:noProof/>
                      <w:color w:val="000000"/>
                      <w:sz w:val="20"/>
                      <w:szCs w:val="20"/>
                      <w:highlight w:val="black"/>
                    </w:rPr>
                    <w:t>''''''''''''''''''''''''''''</w:t>
                  </w:r>
                  <w:r w:rsidR="000E2C99" w:rsidRPr="007672C8">
                    <w:rPr>
                      <w:rFonts w:ascii="Arial Narrow" w:hAnsi="Arial Narrow"/>
                      <w:sz w:val="20"/>
                      <w:szCs w:val="20"/>
                      <w:vertAlign w:val="superscript"/>
                    </w:rPr>
                    <w:t>3</w:t>
                  </w:r>
                  <w:r>
                    <w:rPr>
                      <w:rFonts w:ascii="Arial Narrow" w:hAnsi="Arial Narrow" w:cs="Garamond"/>
                      <w:iCs/>
                      <w:noProof/>
                      <w:color w:val="000000"/>
                      <w:sz w:val="20"/>
                      <w:szCs w:val="20"/>
                      <w:highlight w:val="black"/>
                    </w:rPr>
                    <w:t xml:space="preserve"> </w:t>
                  </w:r>
                </w:p>
              </w:tc>
            </w:tr>
          </w:tbl>
          <w:p w:rsidR="001B0820" w:rsidRPr="00DD7357" w:rsidRDefault="001B0820" w:rsidP="00B218DF">
            <w:pPr>
              <w:pStyle w:val="TableText"/>
              <w:jc w:val="center"/>
              <w:rPr>
                <w:iCs/>
                <w:szCs w:val="20"/>
              </w:rPr>
            </w:pPr>
          </w:p>
        </w:tc>
        <w:tc>
          <w:tcPr>
            <w:tcW w:w="529" w:type="pct"/>
            <w:shd w:val="clear" w:color="auto" w:fill="auto"/>
            <w:vAlign w:val="center"/>
          </w:tcPr>
          <w:p w:rsidR="001B0820" w:rsidRPr="00DD7357" w:rsidRDefault="00DD7357" w:rsidP="00B218DF">
            <w:pPr>
              <w:autoSpaceDE w:val="0"/>
              <w:autoSpaceDN w:val="0"/>
              <w:adjustRightInd w:val="0"/>
              <w:jc w:val="left"/>
              <w:rPr>
                <w:rFonts w:ascii="Arial Narrow" w:eastAsiaTheme="majorEastAsia" w:hAnsi="Arial Narrow" w:cstheme="majorBidi"/>
                <w:bCs/>
                <w:iCs/>
                <w:sz w:val="20"/>
                <w:szCs w:val="20"/>
              </w:rPr>
            </w:pPr>
            <w:r>
              <w:rPr>
                <w:rFonts w:ascii="Arial Narrow" w:eastAsiaTheme="majorEastAsia" w:hAnsi="Arial Narrow" w:cstheme="majorBidi"/>
                <w:bCs/>
                <w:iCs/>
                <w:noProof/>
                <w:color w:val="000000"/>
                <w:sz w:val="20"/>
                <w:szCs w:val="20"/>
                <w:highlight w:val="black"/>
              </w:rPr>
              <w:t>''''''''''''''''''''''''''''''</w:t>
            </w:r>
            <w:r w:rsidR="000E2C99" w:rsidRPr="007672C8">
              <w:rPr>
                <w:rFonts w:ascii="Arial Narrow" w:hAnsi="Arial Narrow"/>
                <w:sz w:val="20"/>
                <w:szCs w:val="20"/>
                <w:vertAlign w:val="superscript"/>
              </w:rPr>
              <w:t>3</w:t>
            </w:r>
          </w:p>
        </w:tc>
        <w:tc>
          <w:tcPr>
            <w:tcW w:w="529" w:type="pct"/>
            <w:shd w:val="clear" w:color="auto" w:fill="auto"/>
            <w:vAlign w:val="center"/>
          </w:tcPr>
          <w:p w:rsidR="001B0820" w:rsidRPr="00DD7357" w:rsidRDefault="00DD7357" w:rsidP="00B218DF">
            <w:pPr>
              <w:autoSpaceDE w:val="0"/>
              <w:autoSpaceDN w:val="0"/>
              <w:adjustRightInd w:val="0"/>
              <w:jc w:val="left"/>
              <w:rPr>
                <w:rFonts w:ascii="Arial Narrow" w:eastAsiaTheme="majorEastAsia" w:hAnsi="Arial Narrow" w:cstheme="majorBidi"/>
                <w:bCs/>
                <w:iCs/>
                <w:sz w:val="20"/>
                <w:szCs w:val="20"/>
              </w:rPr>
            </w:pPr>
            <w:r>
              <w:rPr>
                <w:rFonts w:ascii="Arial Narrow" w:eastAsiaTheme="majorEastAsia" w:hAnsi="Arial Narrow" w:cstheme="majorBidi"/>
                <w:bCs/>
                <w:iCs/>
                <w:noProof/>
                <w:color w:val="000000"/>
                <w:sz w:val="20"/>
                <w:szCs w:val="20"/>
                <w:highlight w:val="black"/>
              </w:rPr>
              <w:t>''''''''''''''''''''''''''''''</w:t>
            </w:r>
            <w:r w:rsidR="000E2C99" w:rsidRPr="007672C8">
              <w:rPr>
                <w:rFonts w:ascii="Arial Narrow" w:hAnsi="Arial Narrow"/>
                <w:sz w:val="20"/>
                <w:szCs w:val="20"/>
                <w:vertAlign w:val="superscript"/>
              </w:rPr>
              <w:t>3</w:t>
            </w:r>
          </w:p>
        </w:tc>
        <w:tc>
          <w:tcPr>
            <w:tcW w:w="529" w:type="pct"/>
            <w:shd w:val="clear" w:color="auto" w:fill="auto"/>
            <w:vAlign w:val="center"/>
          </w:tcPr>
          <w:p w:rsidR="001B0820" w:rsidRPr="00DD7357" w:rsidRDefault="00DD7357" w:rsidP="00B218DF">
            <w:pPr>
              <w:autoSpaceDE w:val="0"/>
              <w:autoSpaceDN w:val="0"/>
              <w:adjustRightInd w:val="0"/>
              <w:jc w:val="left"/>
              <w:rPr>
                <w:rFonts w:ascii="Arial Narrow" w:eastAsiaTheme="majorEastAsia" w:hAnsi="Arial Narrow" w:cstheme="majorBidi"/>
                <w:bCs/>
                <w:iCs/>
                <w:sz w:val="20"/>
                <w:szCs w:val="20"/>
              </w:rPr>
            </w:pPr>
            <w:r>
              <w:rPr>
                <w:rFonts w:ascii="Arial Narrow" w:eastAsiaTheme="majorEastAsia" w:hAnsi="Arial Narrow" w:cstheme="majorBidi"/>
                <w:bCs/>
                <w:iCs/>
                <w:noProof/>
                <w:color w:val="000000"/>
                <w:sz w:val="20"/>
                <w:szCs w:val="20"/>
                <w:highlight w:val="black"/>
              </w:rPr>
              <w:t>'''''''''''''''''''''''''''''</w:t>
            </w:r>
            <w:r w:rsidR="000E2C99" w:rsidRPr="007672C8">
              <w:rPr>
                <w:rFonts w:ascii="Arial Narrow" w:hAnsi="Arial Narrow"/>
                <w:sz w:val="20"/>
                <w:szCs w:val="20"/>
                <w:vertAlign w:val="superscript"/>
              </w:rPr>
              <w:t>3</w:t>
            </w:r>
          </w:p>
        </w:tc>
        <w:tc>
          <w:tcPr>
            <w:tcW w:w="529" w:type="pct"/>
            <w:shd w:val="clear" w:color="auto" w:fill="auto"/>
            <w:vAlign w:val="center"/>
          </w:tcPr>
          <w:p w:rsidR="001B0820" w:rsidRPr="00DD7357" w:rsidRDefault="00DD7357" w:rsidP="00B218DF">
            <w:pPr>
              <w:autoSpaceDE w:val="0"/>
              <w:autoSpaceDN w:val="0"/>
              <w:adjustRightInd w:val="0"/>
              <w:jc w:val="left"/>
              <w:rPr>
                <w:rFonts w:ascii="Arial Narrow" w:eastAsiaTheme="majorEastAsia" w:hAnsi="Arial Narrow" w:cstheme="majorBidi"/>
                <w:bCs/>
                <w:iCs/>
                <w:sz w:val="20"/>
                <w:szCs w:val="20"/>
              </w:rPr>
            </w:pPr>
            <w:r>
              <w:rPr>
                <w:rFonts w:ascii="Arial Narrow" w:eastAsiaTheme="majorEastAsia" w:hAnsi="Arial Narrow" w:cstheme="majorBidi"/>
                <w:bCs/>
                <w:iCs/>
                <w:noProof/>
                <w:color w:val="000000"/>
                <w:sz w:val="20"/>
                <w:szCs w:val="20"/>
                <w:highlight w:val="black"/>
              </w:rPr>
              <w:t>'''''''''''''''''''''''''''''''</w:t>
            </w:r>
            <w:r w:rsidR="000E2C99" w:rsidRPr="007672C8">
              <w:rPr>
                <w:rFonts w:ascii="Arial Narrow" w:hAnsi="Arial Narrow"/>
                <w:sz w:val="20"/>
                <w:szCs w:val="20"/>
                <w:vertAlign w:val="superscript"/>
              </w:rPr>
              <w:t>3</w:t>
            </w:r>
          </w:p>
        </w:tc>
        <w:tc>
          <w:tcPr>
            <w:tcW w:w="535" w:type="pct"/>
            <w:shd w:val="clear" w:color="auto" w:fill="auto"/>
            <w:vAlign w:val="center"/>
          </w:tcPr>
          <w:p w:rsidR="001B0820" w:rsidRPr="00DD7357" w:rsidRDefault="00DD7357" w:rsidP="00B218DF">
            <w:pPr>
              <w:autoSpaceDE w:val="0"/>
              <w:autoSpaceDN w:val="0"/>
              <w:adjustRightInd w:val="0"/>
              <w:jc w:val="left"/>
              <w:rPr>
                <w:rFonts w:ascii="Arial Narrow" w:eastAsiaTheme="majorEastAsia" w:hAnsi="Arial Narrow" w:cstheme="majorBidi"/>
                <w:bCs/>
                <w:iCs/>
                <w:sz w:val="20"/>
                <w:szCs w:val="20"/>
              </w:rPr>
            </w:pPr>
            <w:r>
              <w:rPr>
                <w:rFonts w:ascii="Arial Narrow" w:eastAsiaTheme="majorEastAsia" w:hAnsi="Arial Narrow" w:cstheme="majorBidi"/>
                <w:bCs/>
                <w:iCs/>
                <w:noProof/>
                <w:color w:val="000000"/>
                <w:sz w:val="20"/>
                <w:szCs w:val="20"/>
                <w:highlight w:val="black"/>
              </w:rPr>
              <w:t>'''''''''''''''''''''''''''''</w:t>
            </w:r>
            <w:r w:rsidR="000E2C99" w:rsidRPr="007672C8">
              <w:rPr>
                <w:rFonts w:ascii="Arial Narrow" w:hAnsi="Arial Narrow"/>
                <w:sz w:val="20"/>
                <w:szCs w:val="20"/>
                <w:vertAlign w:val="superscript"/>
              </w:rPr>
              <w:t>3</w:t>
            </w:r>
          </w:p>
        </w:tc>
      </w:tr>
      <w:tr w:rsidR="00626B6B" w:rsidRPr="003253E7" w:rsidTr="00B218DF">
        <w:tc>
          <w:tcPr>
            <w:tcW w:w="5000" w:type="pct"/>
            <w:gridSpan w:val="7"/>
            <w:shd w:val="clear" w:color="auto" w:fill="auto"/>
          </w:tcPr>
          <w:p w:rsidR="00626B6B" w:rsidRPr="003253E7" w:rsidRDefault="00626B6B" w:rsidP="00B218DF">
            <w:pPr>
              <w:pStyle w:val="TableText"/>
              <w:rPr>
                <w:b/>
                <w:bCs w:val="0"/>
              </w:rPr>
            </w:pPr>
            <w:r w:rsidRPr="003253E7">
              <w:rPr>
                <w:b/>
                <w:bCs w:val="0"/>
              </w:rPr>
              <w:t>Changes in utilisation of other medicines</w:t>
            </w:r>
          </w:p>
        </w:tc>
      </w:tr>
      <w:tr w:rsidR="00626B6B" w:rsidRPr="003253E7" w:rsidTr="00B218DF">
        <w:tc>
          <w:tcPr>
            <w:tcW w:w="1700" w:type="pct"/>
            <w:shd w:val="clear" w:color="auto" w:fill="auto"/>
            <w:vAlign w:val="center"/>
          </w:tcPr>
          <w:p w:rsidR="00626B6B" w:rsidRPr="003253E7" w:rsidRDefault="00626B6B" w:rsidP="00B218DF">
            <w:pPr>
              <w:pStyle w:val="TableText"/>
            </w:pPr>
            <w:r w:rsidRPr="003253E7">
              <w:t>Net cost of displaced cytarabine</w:t>
            </w:r>
          </w:p>
        </w:tc>
        <w:tc>
          <w:tcPr>
            <w:tcW w:w="647" w:type="pct"/>
            <w:shd w:val="clear" w:color="auto" w:fill="auto"/>
            <w:vAlign w:val="center"/>
          </w:tcPr>
          <w:p w:rsidR="00626B6B" w:rsidRPr="00DD7357" w:rsidRDefault="00DD7357" w:rsidP="00B218DF">
            <w:pPr>
              <w:pStyle w:val="TableText"/>
              <w:jc w:val="center"/>
              <w:rPr>
                <w:b/>
                <w:bCs w:val="0"/>
              </w:rPr>
            </w:pPr>
            <w:r>
              <w:rPr>
                <w:noProof/>
                <w:color w:val="000000"/>
                <w:highlight w:val="black"/>
              </w:rPr>
              <w:t>''''''''''''''''''''''</w:t>
            </w:r>
            <w:r w:rsidR="000E2C99">
              <w:rPr>
                <w:vertAlign w:val="superscript"/>
              </w:rPr>
              <w:t>4</w:t>
            </w:r>
          </w:p>
        </w:tc>
        <w:tc>
          <w:tcPr>
            <w:tcW w:w="529" w:type="pct"/>
            <w:shd w:val="clear" w:color="auto" w:fill="auto"/>
            <w:vAlign w:val="center"/>
          </w:tcPr>
          <w:p w:rsidR="00626B6B" w:rsidRPr="00DD7357" w:rsidRDefault="00DD7357" w:rsidP="00B218DF">
            <w:pPr>
              <w:pStyle w:val="TableText"/>
              <w:jc w:val="center"/>
              <w:rPr>
                <w:b/>
                <w:bCs w:val="0"/>
              </w:rPr>
            </w:pPr>
            <w:r>
              <w:rPr>
                <w:noProof/>
                <w:color w:val="000000"/>
                <w:highlight w:val="black"/>
              </w:rPr>
              <w:t>'''''''''''''''''''''''</w:t>
            </w:r>
            <w:r w:rsidR="000E2C99">
              <w:rPr>
                <w:vertAlign w:val="superscript"/>
              </w:rPr>
              <w:t>4</w:t>
            </w:r>
          </w:p>
        </w:tc>
        <w:tc>
          <w:tcPr>
            <w:tcW w:w="529" w:type="pct"/>
            <w:shd w:val="clear" w:color="auto" w:fill="auto"/>
            <w:vAlign w:val="center"/>
          </w:tcPr>
          <w:p w:rsidR="00626B6B" w:rsidRPr="00DD7357" w:rsidRDefault="00DD7357" w:rsidP="00B218DF">
            <w:pPr>
              <w:pStyle w:val="TableText"/>
              <w:jc w:val="center"/>
              <w:rPr>
                <w:b/>
                <w:bCs w:val="0"/>
              </w:rPr>
            </w:pPr>
            <w:r>
              <w:rPr>
                <w:noProof/>
                <w:color w:val="000000"/>
                <w:highlight w:val="black"/>
              </w:rPr>
              <w:t>''''''''''''''''''''''</w:t>
            </w:r>
            <w:r w:rsidR="00045107">
              <w:rPr>
                <w:vertAlign w:val="superscript"/>
              </w:rPr>
              <w:t>4</w:t>
            </w:r>
          </w:p>
        </w:tc>
        <w:tc>
          <w:tcPr>
            <w:tcW w:w="529" w:type="pct"/>
            <w:shd w:val="clear" w:color="auto" w:fill="auto"/>
            <w:vAlign w:val="center"/>
          </w:tcPr>
          <w:p w:rsidR="00626B6B" w:rsidRPr="00DD7357" w:rsidRDefault="00DD7357" w:rsidP="00B218DF">
            <w:pPr>
              <w:pStyle w:val="TableText"/>
              <w:jc w:val="center"/>
              <w:rPr>
                <w:b/>
                <w:bCs w:val="0"/>
              </w:rPr>
            </w:pPr>
            <w:r>
              <w:rPr>
                <w:noProof/>
                <w:color w:val="000000"/>
                <w:highlight w:val="black"/>
              </w:rPr>
              <w:t>''''''''''''''''''''''</w:t>
            </w:r>
            <w:r w:rsidR="00045107">
              <w:rPr>
                <w:vertAlign w:val="superscript"/>
              </w:rPr>
              <w:t>4</w:t>
            </w:r>
          </w:p>
        </w:tc>
        <w:tc>
          <w:tcPr>
            <w:tcW w:w="529" w:type="pct"/>
            <w:shd w:val="clear" w:color="auto" w:fill="auto"/>
            <w:vAlign w:val="center"/>
          </w:tcPr>
          <w:p w:rsidR="00626B6B" w:rsidRPr="00DD7357" w:rsidRDefault="00DD7357" w:rsidP="00B218DF">
            <w:pPr>
              <w:pStyle w:val="TableText"/>
              <w:jc w:val="center"/>
              <w:rPr>
                <w:b/>
                <w:bCs w:val="0"/>
              </w:rPr>
            </w:pPr>
            <w:r>
              <w:rPr>
                <w:noProof/>
                <w:color w:val="000000"/>
                <w:highlight w:val="black"/>
              </w:rPr>
              <w:t>'''''''''''''''''''''''</w:t>
            </w:r>
            <w:r w:rsidR="00045107">
              <w:rPr>
                <w:vertAlign w:val="superscript"/>
              </w:rPr>
              <w:t>4</w:t>
            </w:r>
          </w:p>
        </w:tc>
        <w:tc>
          <w:tcPr>
            <w:tcW w:w="535" w:type="pct"/>
            <w:shd w:val="clear" w:color="auto" w:fill="auto"/>
            <w:vAlign w:val="center"/>
          </w:tcPr>
          <w:p w:rsidR="00626B6B" w:rsidRPr="00DD7357" w:rsidRDefault="00DD7357" w:rsidP="00B218DF">
            <w:pPr>
              <w:pStyle w:val="TableText"/>
              <w:jc w:val="center"/>
              <w:rPr>
                <w:b/>
                <w:bCs w:val="0"/>
              </w:rPr>
            </w:pPr>
            <w:r>
              <w:rPr>
                <w:noProof/>
                <w:color w:val="000000"/>
                <w:highlight w:val="black"/>
              </w:rPr>
              <w:t>''''''''''''''''''''''</w:t>
            </w:r>
            <w:r w:rsidR="00045107">
              <w:rPr>
                <w:vertAlign w:val="superscript"/>
              </w:rPr>
              <w:t>4</w:t>
            </w:r>
          </w:p>
        </w:tc>
      </w:tr>
      <w:tr w:rsidR="00626B6B" w:rsidRPr="003253E7" w:rsidTr="00B218DF">
        <w:tc>
          <w:tcPr>
            <w:tcW w:w="1700" w:type="pct"/>
            <w:shd w:val="clear" w:color="auto" w:fill="auto"/>
            <w:vAlign w:val="center"/>
          </w:tcPr>
          <w:p w:rsidR="00626B6B" w:rsidRPr="003253E7" w:rsidRDefault="00626B6B" w:rsidP="00B218DF">
            <w:pPr>
              <w:pStyle w:val="TableText"/>
            </w:pPr>
            <w:r w:rsidRPr="003253E7">
              <w:t>Net cost of displaced etoposide</w:t>
            </w:r>
          </w:p>
        </w:tc>
        <w:tc>
          <w:tcPr>
            <w:tcW w:w="647" w:type="pct"/>
            <w:shd w:val="clear" w:color="auto" w:fill="auto"/>
            <w:vAlign w:val="center"/>
          </w:tcPr>
          <w:p w:rsidR="00626B6B" w:rsidRPr="00DD7357" w:rsidRDefault="00DD7357" w:rsidP="00B218DF">
            <w:pPr>
              <w:pStyle w:val="TableText"/>
              <w:jc w:val="center"/>
              <w:rPr>
                <w:b/>
                <w:bCs w:val="0"/>
              </w:rPr>
            </w:pPr>
            <w:r>
              <w:rPr>
                <w:noProof/>
                <w:color w:val="000000"/>
                <w:highlight w:val="black"/>
              </w:rPr>
              <w:t>'''''''''''''''''''</w:t>
            </w:r>
            <w:r w:rsidR="000E2C99">
              <w:rPr>
                <w:vertAlign w:val="superscript"/>
              </w:rPr>
              <w:t>4</w:t>
            </w:r>
          </w:p>
        </w:tc>
        <w:tc>
          <w:tcPr>
            <w:tcW w:w="529" w:type="pct"/>
            <w:shd w:val="clear" w:color="auto" w:fill="auto"/>
            <w:vAlign w:val="center"/>
          </w:tcPr>
          <w:p w:rsidR="00626B6B" w:rsidRPr="00DD7357" w:rsidRDefault="00DD7357" w:rsidP="00B218DF">
            <w:pPr>
              <w:pStyle w:val="TableText"/>
              <w:jc w:val="center"/>
              <w:rPr>
                <w:b/>
                <w:bCs w:val="0"/>
              </w:rPr>
            </w:pPr>
            <w:r>
              <w:rPr>
                <w:noProof/>
                <w:color w:val="000000"/>
                <w:highlight w:val="black"/>
              </w:rPr>
              <w:t>''''''''''''''''''''</w:t>
            </w:r>
            <w:r w:rsidR="000E2C99">
              <w:rPr>
                <w:vertAlign w:val="superscript"/>
              </w:rPr>
              <w:t>4</w:t>
            </w:r>
          </w:p>
        </w:tc>
        <w:tc>
          <w:tcPr>
            <w:tcW w:w="529" w:type="pct"/>
            <w:shd w:val="clear" w:color="auto" w:fill="auto"/>
            <w:vAlign w:val="center"/>
          </w:tcPr>
          <w:p w:rsidR="00626B6B" w:rsidRPr="00DD7357" w:rsidRDefault="00DD7357" w:rsidP="00B218DF">
            <w:pPr>
              <w:pStyle w:val="TableText"/>
              <w:jc w:val="center"/>
              <w:rPr>
                <w:b/>
                <w:bCs w:val="0"/>
              </w:rPr>
            </w:pPr>
            <w:r>
              <w:rPr>
                <w:noProof/>
                <w:color w:val="000000"/>
                <w:highlight w:val="black"/>
              </w:rPr>
              <w:t>'''''''''''''''''''</w:t>
            </w:r>
            <w:r w:rsidR="00045107">
              <w:rPr>
                <w:vertAlign w:val="superscript"/>
              </w:rPr>
              <w:t>4</w:t>
            </w:r>
          </w:p>
        </w:tc>
        <w:tc>
          <w:tcPr>
            <w:tcW w:w="529" w:type="pct"/>
            <w:shd w:val="clear" w:color="auto" w:fill="auto"/>
            <w:vAlign w:val="center"/>
          </w:tcPr>
          <w:p w:rsidR="00626B6B" w:rsidRPr="00DD7357" w:rsidRDefault="00DD7357" w:rsidP="00B218DF">
            <w:pPr>
              <w:pStyle w:val="TableText"/>
              <w:jc w:val="center"/>
              <w:rPr>
                <w:b/>
                <w:bCs w:val="0"/>
              </w:rPr>
            </w:pPr>
            <w:r>
              <w:rPr>
                <w:noProof/>
                <w:color w:val="000000"/>
                <w:highlight w:val="black"/>
              </w:rPr>
              <w:t>''''''''''''''''''''</w:t>
            </w:r>
            <w:r w:rsidR="00045107">
              <w:rPr>
                <w:vertAlign w:val="superscript"/>
              </w:rPr>
              <w:t>4</w:t>
            </w:r>
          </w:p>
        </w:tc>
        <w:tc>
          <w:tcPr>
            <w:tcW w:w="529" w:type="pct"/>
            <w:shd w:val="clear" w:color="auto" w:fill="auto"/>
            <w:vAlign w:val="center"/>
          </w:tcPr>
          <w:p w:rsidR="00626B6B" w:rsidRPr="00DD7357" w:rsidRDefault="00DD7357" w:rsidP="00B218DF">
            <w:pPr>
              <w:pStyle w:val="TableText"/>
              <w:jc w:val="center"/>
              <w:rPr>
                <w:b/>
                <w:bCs w:val="0"/>
              </w:rPr>
            </w:pPr>
            <w:r>
              <w:rPr>
                <w:noProof/>
                <w:color w:val="000000"/>
                <w:highlight w:val="black"/>
              </w:rPr>
              <w:t>'''''''''''''''''''</w:t>
            </w:r>
            <w:r w:rsidR="00045107">
              <w:rPr>
                <w:vertAlign w:val="superscript"/>
              </w:rPr>
              <w:t>4</w:t>
            </w:r>
          </w:p>
        </w:tc>
        <w:tc>
          <w:tcPr>
            <w:tcW w:w="535" w:type="pct"/>
            <w:shd w:val="clear" w:color="auto" w:fill="auto"/>
            <w:vAlign w:val="center"/>
          </w:tcPr>
          <w:p w:rsidR="00626B6B" w:rsidRPr="00DD7357" w:rsidRDefault="00DD7357" w:rsidP="00B218DF">
            <w:pPr>
              <w:pStyle w:val="TableText"/>
              <w:jc w:val="center"/>
              <w:rPr>
                <w:b/>
                <w:bCs w:val="0"/>
              </w:rPr>
            </w:pPr>
            <w:r>
              <w:rPr>
                <w:noProof/>
                <w:color w:val="000000"/>
                <w:highlight w:val="black"/>
              </w:rPr>
              <w:t>'''''''''''''''''''''</w:t>
            </w:r>
            <w:r w:rsidR="00045107">
              <w:rPr>
                <w:vertAlign w:val="superscript"/>
              </w:rPr>
              <w:t>4</w:t>
            </w:r>
          </w:p>
        </w:tc>
      </w:tr>
      <w:tr w:rsidR="00626B6B" w:rsidRPr="003253E7" w:rsidTr="00B218DF">
        <w:tc>
          <w:tcPr>
            <w:tcW w:w="1700" w:type="pct"/>
            <w:shd w:val="clear" w:color="auto" w:fill="auto"/>
            <w:vAlign w:val="center"/>
          </w:tcPr>
          <w:p w:rsidR="00626B6B" w:rsidRPr="003253E7" w:rsidRDefault="00626B6B" w:rsidP="00B218DF">
            <w:pPr>
              <w:pStyle w:val="TableText"/>
            </w:pPr>
            <w:r w:rsidRPr="003253E7">
              <w:t xml:space="preserve">Net cost of displaced </w:t>
            </w:r>
            <w:proofErr w:type="spellStart"/>
            <w:r w:rsidRPr="003253E7">
              <w:t>mitozantrone</w:t>
            </w:r>
            <w:proofErr w:type="spellEnd"/>
          </w:p>
        </w:tc>
        <w:tc>
          <w:tcPr>
            <w:tcW w:w="647" w:type="pct"/>
            <w:shd w:val="clear" w:color="auto" w:fill="auto"/>
            <w:vAlign w:val="center"/>
          </w:tcPr>
          <w:p w:rsidR="00626B6B" w:rsidRPr="00DD7357" w:rsidRDefault="00DD7357" w:rsidP="00B218DF">
            <w:pPr>
              <w:pStyle w:val="TableText"/>
              <w:jc w:val="center"/>
              <w:rPr>
                <w:b/>
                <w:bCs w:val="0"/>
              </w:rPr>
            </w:pPr>
            <w:r>
              <w:rPr>
                <w:noProof/>
                <w:color w:val="000000"/>
                <w:highlight w:val="black"/>
              </w:rPr>
              <w:t>'''''''''''''''''''''</w:t>
            </w:r>
            <w:r w:rsidR="000E2C99">
              <w:rPr>
                <w:vertAlign w:val="superscript"/>
              </w:rPr>
              <w:t>4</w:t>
            </w:r>
          </w:p>
        </w:tc>
        <w:tc>
          <w:tcPr>
            <w:tcW w:w="529" w:type="pct"/>
            <w:shd w:val="clear" w:color="auto" w:fill="auto"/>
            <w:vAlign w:val="center"/>
          </w:tcPr>
          <w:p w:rsidR="00626B6B" w:rsidRPr="00DD7357" w:rsidRDefault="00DD7357" w:rsidP="00B218DF">
            <w:pPr>
              <w:pStyle w:val="TableText"/>
              <w:jc w:val="center"/>
              <w:rPr>
                <w:b/>
                <w:bCs w:val="0"/>
              </w:rPr>
            </w:pPr>
            <w:r>
              <w:rPr>
                <w:noProof/>
                <w:color w:val="000000"/>
                <w:highlight w:val="black"/>
              </w:rPr>
              <w:t>''''''''''''''''''''</w:t>
            </w:r>
            <w:r w:rsidR="000E2C99">
              <w:rPr>
                <w:vertAlign w:val="superscript"/>
              </w:rPr>
              <w:t>4</w:t>
            </w:r>
          </w:p>
        </w:tc>
        <w:tc>
          <w:tcPr>
            <w:tcW w:w="529" w:type="pct"/>
            <w:shd w:val="clear" w:color="auto" w:fill="auto"/>
            <w:vAlign w:val="center"/>
          </w:tcPr>
          <w:p w:rsidR="00626B6B" w:rsidRPr="00DD7357" w:rsidRDefault="00DD7357" w:rsidP="00B218DF">
            <w:pPr>
              <w:pStyle w:val="TableText"/>
              <w:jc w:val="center"/>
              <w:rPr>
                <w:b/>
                <w:bCs w:val="0"/>
              </w:rPr>
            </w:pPr>
            <w:r>
              <w:rPr>
                <w:noProof/>
                <w:color w:val="000000"/>
                <w:highlight w:val="black"/>
              </w:rPr>
              <w:t>''''''''''''''''''''</w:t>
            </w:r>
            <w:r w:rsidR="00045107">
              <w:rPr>
                <w:vertAlign w:val="superscript"/>
              </w:rPr>
              <w:t>4</w:t>
            </w:r>
          </w:p>
        </w:tc>
        <w:tc>
          <w:tcPr>
            <w:tcW w:w="529" w:type="pct"/>
            <w:shd w:val="clear" w:color="auto" w:fill="auto"/>
            <w:vAlign w:val="center"/>
          </w:tcPr>
          <w:p w:rsidR="00626B6B" w:rsidRPr="00DD7357" w:rsidRDefault="00DD7357" w:rsidP="00B218DF">
            <w:pPr>
              <w:pStyle w:val="TableText"/>
              <w:jc w:val="center"/>
              <w:rPr>
                <w:b/>
                <w:bCs w:val="0"/>
              </w:rPr>
            </w:pPr>
            <w:r>
              <w:rPr>
                <w:noProof/>
                <w:color w:val="000000"/>
                <w:highlight w:val="black"/>
              </w:rPr>
              <w:t>''''''''''''''''''''''</w:t>
            </w:r>
            <w:r w:rsidR="00045107">
              <w:rPr>
                <w:vertAlign w:val="superscript"/>
              </w:rPr>
              <w:t>4</w:t>
            </w:r>
          </w:p>
        </w:tc>
        <w:tc>
          <w:tcPr>
            <w:tcW w:w="529" w:type="pct"/>
            <w:shd w:val="clear" w:color="auto" w:fill="auto"/>
            <w:vAlign w:val="center"/>
          </w:tcPr>
          <w:p w:rsidR="00626B6B" w:rsidRPr="00DD7357" w:rsidRDefault="00DD7357" w:rsidP="00B218DF">
            <w:pPr>
              <w:pStyle w:val="TableText"/>
              <w:jc w:val="center"/>
              <w:rPr>
                <w:b/>
                <w:bCs w:val="0"/>
              </w:rPr>
            </w:pPr>
            <w:r>
              <w:rPr>
                <w:noProof/>
                <w:color w:val="000000"/>
                <w:highlight w:val="black"/>
              </w:rPr>
              <w:t>'''''''''''''''''''''</w:t>
            </w:r>
            <w:r w:rsidR="00045107">
              <w:rPr>
                <w:vertAlign w:val="superscript"/>
              </w:rPr>
              <w:t>4</w:t>
            </w:r>
          </w:p>
        </w:tc>
        <w:tc>
          <w:tcPr>
            <w:tcW w:w="535" w:type="pct"/>
            <w:shd w:val="clear" w:color="auto" w:fill="auto"/>
            <w:vAlign w:val="center"/>
          </w:tcPr>
          <w:p w:rsidR="00626B6B" w:rsidRPr="00DD7357" w:rsidRDefault="00DD7357" w:rsidP="00B218DF">
            <w:pPr>
              <w:pStyle w:val="TableText"/>
              <w:jc w:val="center"/>
              <w:rPr>
                <w:b/>
                <w:bCs w:val="0"/>
              </w:rPr>
            </w:pPr>
            <w:r>
              <w:rPr>
                <w:noProof/>
                <w:color w:val="000000"/>
                <w:highlight w:val="black"/>
              </w:rPr>
              <w:t>'''''''''''''''''</w:t>
            </w:r>
            <w:r w:rsidR="00045107">
              <w:rPr>
                <w:vertAlign w:val="superscript"/>
              </w:rPr>
              <w:t>4</w:t>
            </w:r>
          </w:p>
        </w:tc>
      </w:tr>
      <w:tr w:rsidR="00626B6B" w:rsidRPr="003253E7" w:rsidTr="00B218DF">
        <w:trPr>
          <w:trHeight w:val="60"/>
        </w:trPr>
        <w:tc>
          <w:tcPr>
            <w:tcW w:w="1700" w:type="pct"/>
            <w:shd w:val="clear" w:color="auto" w:fill="auto"/>
            <w:vAlign w:val="center"/>
          </w:tcPr>
          <w:p w:rsidR="00626B6B" w:rsidRPr="003253E7" w:rsidRDefault="00626B6B" w:rsidP="00B218DF">
            <w:pPr>
              <w:pStyle w:val="TableText"/>
            </w:pPr>
            <w:r w:rsidRPr="003253E7">
              <w:t>Net cost of displaced idarubicin</w:t>
            </w:r>
          </w:p>
        </w:tc>
        <w:tc>
          <w:tcPr>
            <w:tcW w:w="647" w:type="pct"/>
            <w:shd w:val="clear" w:color="auto" w:fill="auto"/>
          </w:tcPr>
          <w:p w:rsidR="00626B6B" w:rsidRPr="00DD7357" w:rsidRDefault="00DD7357" w:rsidP="00B218DF">
            <w:pPr>
              <w:pStyle w:val="TableText"/>
              <w:jc w:val="center"/>
              <w:rPr>
                <w:b/>
                <w:bCs w:val="0"/>
              </w:rPr>
            </w:pPr>
            <w:r>
              <w:rPr>
                <w:noProof/>
                <w:color w:val="000000"/>
                <w:highlight w:val="black"/>
              </w:rPr>
              <w:t>'''''''''''''''''''''</w:t>
            </w:r>
            <w:r w:rsidR="000E2C99">
              <w:rPr>
                <w:vertAlign w:val="superscript"/>
              </w:rPr>
              <w:t>4</w:t>
            </w:r>
          </w:p>
        </w:tc>
        <w:tc>
          <w:tcPr>
            <w:tcW w:w="529" w:type="pct"/>
            <w:shd w:val="clear" w:color="auto" w:fill="auto"/>
          </w:tcPr>
          <w:p w:rsidR="00626B6B" w:rsidRPr="00DD7357" w:rsidRDefault="00DD7357" w:rsidP="00B218DF">
            <w:pPr>
              <w:pStyle w:val="TableText"/>
              <w:jc w:val="center"/>
              <w:rPr>
                <w:b/>
                <w:bCs w:val="0"/>
              </w:rPr>
            </w:pPr>
            <w:r>
              <w:rPr>
                <w:noProof/>
                <w:color w:val="000000"/>
                <w:highlight w:val="black"/>
              </w:rPr>
              <w:t>''''''''''''''''''</w:t>
            </w:r>
            <w:r w:rsidR="000E2C99">
              <w:rPr>
                <w:vertAlign w:val="superscript"/>
              </w:rPr>
              <w:t>4</w:t>
            </w:r>
          </w:p>
        </w:tc>
        <w:tc>
          <w:tcPr>
            <w:tcW w:w="529" w:type="pct"/>
            <w:shd w:val="clear" w:color="auto" w:fill="auto"/>
          </w:tcPr>
          <w:p w:rsidR="00626B6B" w:rsidRPr="00DD7357" w:rsidRDefault="00DD7357" w:rsidP="00B218DF">
            <w:pPr>
              <w:pStyle w:val="TableText"/>
              <w:jc w:val="center"/>
              <w:rPr>
                <w:b/>
                <w:bCs w:val="0"/>
              </w:rPr>
            </w:pPr>
            <w:r>
              <w:rPr>
                <w:noProof/>
                <w:color w:val="000000"/>
                <w:highlight w:val="black"/>
              </w:rPr>
              <w:t>''''''''''''''''''''''</w:t>
            </w:r>
            <w:r w:rsidR="00045107">
              <w:rPr>
                <w:vertAlign w:val="superscript"/>
              </w:rPr>
              <w:t>4</w:t>
            </w:r>
          </w:p>
        </w:tc>
        <w:tc>
          <w:tcPr>
            <w:tcW w:w="529" w:type="pct"/>
            <w:shd w:val="clear" w:color="auto" w:fill="auto"/>
          </w:tcPr>
          <w:p w:rsidR="00626B6B" w:rsidRPr="00DD7357" w:rsidRDefault="00DD7357" w:rsidP="00B218DF">
            <w:pPr>
              <w:pStyle w:val="TableText"/>
              <w:jc w:val="center"/>
              <w:rPr>
                <w:b/>
                <w:bCs w:val="0"/>
              </w:rPr>
            </w:pPr>
            <w:r>
              <w:rPr>
                <w:noProof/>
                <w:color w:val="000000"/>
                <w:highlight w:val="black"/>
              </w:rPr>
              <w:t>''''''''''''''''''</w:t>
            </w:r>
            <w:r w:rsidR="00045107">
              <w:rPr>
                <w:vertAlign w:val="superscript"/>
              </w:rPr>
              <w:t>4</w:t>
            </w:r>
          </w:p>
        </w:tc>
        <w:tc>
          <w:tcPr>
            <w:tcW w:w="529" w:type="pct"/>
            <w:shd w:val="clear" w:color="auto" w:fill="auto"/>
          </w:tcPr>
          <w:p w:rsidR="00626B6B" w:rsidRPr="00DD7357" w:rsidRDefault="00DD7357" w:rsidP="00B218DF">
            <w:pPr>
              <w:pStyle w:val="TableText"/>
              <w:jc w:val="center"/>
              <w:rPr>
                <w:b/>
                <w:bCs w:val="0"/>
              </w:rPr>
            </w:pPr>
            <w:r>
              <w:rPr>
                <w:noProof/>
                <w:color w:val="000000"/>
                <w:highlight w:val="black"/>
              </w:rPr>
              <w:t>'''''''''''''''''</w:t>
            </w:r>
            <w:r w:rsidR="00045107">
              <w:rPr>
                <w:vertAlign w:val="superscript"/>
              </w:rPr>
              <w:t>4</w:t>
            </w:r>
          </w:p>
        </w:tc>
        <w:tc>
          <w:tcPr>
            <w:tcW w:w="535" w:type="pct"/>
            <w:shd w:val="clear" w:color="auto" w:fill="auto"/>
          </w:tcPr>
          <w:p w:rsidR="00626B6B" w:rsidRPr="00DD7357" w:rsidRDefault="00DD7357" w:rsidP="00B218DF">
            <w:pPr>
              <w:pStyle w:val="TableText"/>
              <w:jc w:val="center"/>
              <w:rPr>
                <w:b/>
                <w:bCs w:val="0"/>
              </w:rPr>
            </w:pPr>
            <w:r>
              <w:rPr>
                <w:noProof/>
                <w:color w:val="000000"/>
                <w:highlight w:val="black"/>
              </w:rPr>
              <w:t>''''''''''''''''''''</w:t>
            </w:r>
            <w:r w:rsidR="00045107">
              <w:rPr>
                <w:vertAlign w:val="superscript"/>
              </w:rPr>
              <w:t>4</w:t>
            </w:r>
          </w:p>
        </w:tc>
      </w:tr>
      <w:tr w:rsidR="00626B6B" w:rsidRPr="003253E7" w:rsidTr="00B218DF">
        <w:tc>
          <w:tcPr>
            <w:tcW w:w="1700" w:type="pct"/>
            <w:shd w:val="clear" w:color="auto" w:fill="auto"/>
            <w:vAlign w:val="center"/>
          </w:tcPr>
          <w:p w:rsidR="00626B6B" w:rsidRPr="003253E7" w:rsidRDefault="00626B6B" w:rsidP="00B218DF">
            <w:pPr>
              <w:pStyle w:val="TableText"/>
            </w:pPr>
            <w:r w:rsidRPr="003253E7">
              <w:t>Net cost of displaced fludarabine</w:t>
            </w:r>
          </w:p>
        </w:tc>
        <w:tc>
          <w:tcPr>
            <w:tcW w:w="647" w:type="pct"/>
            <w:shd w:val="clear" w:color="auto" w:fill="auto"/>
          </w:tcPr>
          <w:p w:rsidR="00626B6B" w:rsidRPr="00DD7357" w:rsidRDefault="00DD7357" w:rsidP="00B218DF">
            <w:pPr>
              <w:pStyle w:val="TableText"/>
              <w:jc w:val="center"/>
              <w:rPr>
                <w:b/>
                <w:bCs w:val="0"/>
              </w:rPr>
            </w:pPr>
            <w:r>
              <w:rPr>
                <w:noProof/>
                <w:color w:val="000000"/>
                <w:highlight w:val="black"/>
              </w:rPr>
              <w:t>''''''''''''''''''</w:t>
            </w:r>
            <w:r w:rsidR="000E2C99">
              <w:rPr>
                <w:vertAlign w:val="superscript"/>
              </w:rPr>
              <w:t>4</w:t>
            </w:r>
          </w:p>
        </w:tc>
        <w:tc>
          <w:tcPr>
            <w:tcW w:w="529" w:type="pct"/>
            <w:shd w:val="clear" w:color="auto" w:fill="auto"/>
          </w:tcPr>
          <w:p w:rsidR="00626B6B" w:rsidRPr="00DD7357" w:rsidRDefault="00DD7357" w:rsidP="00B218DF">
            <w:pPr>
              <w:pStyle w:val="TableText"/>
              <w:jc w:val="center"/>
              <w:rPr>
                <w:b/>
                <w:bCs w:val="0"/>
              </w:rPr>
            </w:pPr>
            <w:r>
              <w:rPr>
                <w:noProof/>
                <w:color w:val="000000"/>
                <w:highlight w:val="black"/>
              </w:rPr>
              <w:t>'''''''''''''''''''</w:t>
            </w:r>
            <w:r w:rsidR="000E2C99">
              <w:rPr>
                <w:vertAlign w:val="superscript"/>
              </w:rPr>
              <w:t>4</w:t>
            </w:r>
          </w:p>
        </w:tc>
        <w:tc>
          <w:tcPr>
            <w:tcW w:w="529" w:type="pct"/>
            <w:shd w:val="clear" w:color="auto" w:fill="auto"/>
          </w:tcPr>
          <w:p w:rsidR="00626B6B" w:rsidRPr="00DD7357" w:rsidRDefault="00DD7357" w:rsidP="00B218DF">
            <w:pPr>
              <w:pStyle w:val="TableText"/>
              <w:jc w:val="center"/>
              <w:rPr>
                <w:b/>
                <w:bCs w:val="0"/>
              </w:rPr>
            </w:pPr>
            <w:r>
              <w:rPr>
                <w:noProof/>
                <w:color w:val="000000"/>
                <w:highlight w:val="black"/>
              </w:rPr>
              <w:t>''''''''''''''''''</w:t>
            </w:r>
            <w:r w:rsidR="00045107">
              <w:rPr>
                <w:vertAlign w:val="superscript"/>
              </w:rPr>
              <w:t>4</w:t>
            </w:r>
          </w:p>
        </w:tc>
        <w:tc>
          <w:tcPr>
            <w:tcW w:w="529" w:type="pct"/>
            <w:shd w:val="clear" w:color="auto" w:fill="auto"/>
          </w:tcPr>
          <w:p w:rsidR="00626B6B" w:rsidRPr="00DD7357" w:rsidRDefault="00DD7357" w:rsidP="00B218DF">
            <w:pPr>
              <w:pStyle w:val="TableText"/>
              <w:jc w:val="center"/>
              <w:rPr>
                <w:b/>
                <w:bCs w:val="0"/>
              </w:rPr>
            </w:pPr>
            <w:r>
              <w:rPr>
                <w:noProof/>
                <w:color w:val="000000"/>
                <w:highlight w:val="black"/>
              </w:rPr>
              <w:t>'''''''''''''''''''</w:t>
            </w:r>
            <w:r w:rsidR="00045107">
              <w:rPr>
                <w:vertAlign w:val="superscript"/>
              </w:rPr>
              <w:t>4</w:t>
            </w:r>
          </w:p>
        </w:tc>
        <w:tc>
          <w:tcPr>
            <w:tcW w:w="529" w:type="pct"/>
            <w:shd w:val="clear" w:color="auto" w:fill="auto"/>
          </w:tcPr>
          <w:p w:rsidR="00626B6B" w:rsidRPr="00DD7357" w:rsidRDefault="00DD7357" w:rsidP="00B218DF">
            <w:pPr>
              <w:pStyle w:val="TableText"/>
              <w:jc w:val="center"/>
              <w:rPr>
                <w:b/>
                <w:bCs w:val="0"/>
              </w:rPr>
            </w:pPr>
            <w:r>
              <w:rPr>
                <w:noProof/>
                <w:color w:val="000000"/>
                <w:highlight w:val="black"/>
              </w:rPr>
              <w:t>''''''''''''''''''''</w:t>
            </w:r>
            <w:r w:rsidR="00045107">
              <w:rPr>
                <w:vertAlign w:val="superscript"/>
              </w:rPr>
              <w:t>4</w:t>
            </w:r>
          </w:p>
        </w:tc>
        <w:tc>
          <w:tcPr>
            <w:tcW w:w="535" w:type="pct"/>
            <w:shd w:val="clear" w:color="auto" w:fill="auto"/>
          </w:tcPr>
          <w:p w:rsidR="00626B6B" w:rsidRPr="00DD7357" w:rsidRDefault="00DD7357" w:rsidP="00B218DF">
            <w:pPr>
              <w:pStyle w:val="TableText"/>
              <w:jc w:val="center"/>
              <w:rPr>
                <w:b/>
                <w:bCs w:val="0"/>
              </w:rPr>
            </w:pPr>
            <w:r>
              <w:rPr>
                <w:noProof/>
                <w:color w:val="000000"/>
                <w:highlight w:val="black"/>
              </w:rPr>
              <w:t>'''''''''''''''''''''</w:t>
            </w:r>
            <w:r w:rsidR="00045107">
              <w:rPr>
                <w:vertAlign w:val="superscript"/>
              </w:rPr>
              <w:t>4</w:t>
            </w:r>
          </w:p>
        </w:tc>
      </w:tr>
      <w:tr w:rsidR="00626B6B" w:rsidRPr="003253E7" w:rsidTr="00B218DF">
        <w:tc>
          <w:tcPr>
            <w:tcW w:w="1700" w:type="pct"/>
            <w:shd w:val="clear" w:color="auto" w:fill="auto"/>
            <w:vAlign w:val="center"/>
          </w:tcPr>
          <w:p w:rsidR="00626B6B" w:rsidRPr="003253E7" w:rsidRDefault="00626B6B" w:rsidP="00B218DF">
            <w:pPr>
              <w:pStyle w:val="TableText"/>
            </w:pPr>
            <w:r w:rsidRPr="003253E7">
              <w:t xml:space="preserve">Net cost of displaced </w:t>
            </w:r>
            <w:proofErr w:type="spellStart"/>
            <w:r w:rsidRPr="003253E7">
              <w:t>azacitidine</w:t>
            </w:r>
            <w:proofErr w:type="spellEnd"/>
          </w:p>
        </w:tc>
        <w:tc>
          <w:tcPr>
            <w:tcW w:w="647" w:type="pct"/>
            <w:shd w:val="clear" w:color="auto" w:fill="auto"/>
          </w:tcPr>
          <w:p w:rsidR="00626B6B" w:rsidRPr="00DD7357" w:rsidRDefault="00DD7357" w:rsidP="00B218DF">
            <w:pPr>
              <w:pStyle w:val="TableText"/>
              <w:jc w:val="center"/>
              <w:rPr>
                <w:b/>
                <w:bCs w:val="0"/>
              </w:rPr>
            </w:pPr>
            <w:r>
              <w:rPr>
                <w:noProof/>
                <w:color w:val="000000"/>
                <w:highlight w:val="black"/>
              </w:rPr>
              <w:t>''''''''''''''''''''''''''''</w:t>
            </w:r>
            <w:r w:rsidR="000E2C99">
              <w:rPr>
                <w:vertAlign w:val="superscript"/>
              </w:rPr>
              <w:t>4</w:t>
            </w:r>
          </w:p>
        </w:tc>
        <w:tc>
          <w:tcPr>
            <w:tcW w:w="529" w:type="pct"/>
            <w:shd w:val="clear" w:color="auto" w:fill="auto"/>
          </w:tcPr>
          <w:p w:rsidR="00626B6B" w:rsidRPr="00DD7357" w:rsidRDefault="00DD7357" w:rsidP="00B218DF">
            <w:pPr>
              <w:pStyle w:val="TableText"/>
              <w:jc w:val="center"/>
              <w:rPr>
                <w:b/>
                <w:bCs w:val="0"/>
              </w:rPr>
            </w:pPr>
            <w:r>
              <w:rPr>
                <w:noProof/>
                <w:color w:val="000000"/>
                <w:highlight w:val="black"/>
              </w:rPr>
              <w:t>''''''''''''''''''''''''</w:t>
            </w:r>
            <w:r w:rsidR="00045107">
              <w:rPr>
                <w:vertAlign w:val="superscript"/>
              </w:rPr>
              <w:t>4</w:t>
            </w:r>
          </w:p>
        </w:tc>
        <w:tc>
          <w:tcPr>
            <w:tcW w:w="529" w:type="pct"/>
            <w:shd w:val="clear" w:color="auto" w:fill="auto"/>
          </w:tcPr>
          <w:p w:rsidR="00626B6B" w:rsidRPr="00DD7357" w:rsidRDefault="00DD7357" w:rsidP="00B218DF">
            <w:pPr>
              <w:pStyle w:val="TableText"/>
              <w:jc w:val="center"/>
              <w:rPr>
                <w:b/>
                <w:bCs w:val="0"/>
              </w:rPr>
            </w:pPr>
            <w:r>
              <w:rPr>
                <w:noProof/>
                <w:color w:val="000000"/>
                <w:highlight w:val="black"/>
              </w:rPr>
              <w:t>'''''''''''''''''''''''''</w:t>
            </w:r>
            <w:r w:rsidR="00045107">
              <w:rPr>
                <w:vertAlign w:val="superscript"/>
              </w:rPr>
              <w:t>4</w:t>
            </w:r>
          </w:p>
        </w:tc>
        <w:tc>
          <w:tcPr>
            <w:tcW w:w="529" w:type="pct"/>
            <w:shd w:val="clear" w:color="auto" w:fill="auto"/>
          </w:tcPr>
          <w:p w:rsidR="00626B6B" w:rsidRPr="00DD7357" w:rsidRDefault="00DD7357" w:rsidP="00B218DF">
            <w:pPr>
              <w:pStyle w:val="TableText"/>
              <w:jc w:val="center"/>
              <w:rPr>
                <w:b/>
                <w:bCs w:val="0"/>
              </w:rPr>
            </w:pPr>
            <w:r>
              <w:rPr>
                <w:noProof/>
                <w:color w:val="000000"/>
                <w:highlight w:val="black"/>
              </w:rPr>
              <w:t>'''''''''''''''''''''''</w:t>
            </w:r>
            <w:r w:rsidR="00045107">
              <w:rPr>
                <w:vertAlign w:val="superscript"/>
              </w:rPr>
              <w:t>4</w:t>
            </w:r>
          </w:p>
        </w:tc>
        <w:tc>
          <w:tcPr>
            <w:tcW w:w="529" w:type="pct"/>
            <w:shd w:val="clear" w:color="auto" w:fill="auto"/>
          </w:tcPr>
          <w:p w:rsidR="00626B6B" w:rsidRPr="00DD7357" w:rsidRDefault="00DD7357" w:rsidP="00B218DF">
            <w:pPr>
              <w:pStyle w:val="TableText"/>
              <w:jc w:val="center"/>
              <w:rPr>
                <w:b/>
                <w:bCs w:val="0"/>
              </w:rPr>
            </w:pPr>
            <w:r>
              <w:rPr>
                <w:noProof/>
                <w:color w:val="000000"/>
                <w:highlight w:val="black"/>
              </w:rPr>
              <w:t>'''''''''''''''''''''''''</w:t>
            </w:r>
            <w:r w:rsidR="00045107">
              <w:rPr>
                <w:vertAlign w:val="superscript"/>
              </w:rPr>
              <w:t>4</w:t>
            </w:r>
          </w:p>
        </w:tc>
        <w:tc>
          <w:tcPr>
            <w:tcW w:w="535" w:type="pct"/>
            <w:shd w:val="clear" w:color="auto" w:fill="auto"/>
          </w:tcPr>
          <w:p w:rsidR="00626B6B" w:rsidRPr="00DD7357" w:rsidRDefault="00DD7357" w:rsidP="00B218DF">
            <w:pPr>
              <w:pStyle w:val="TableText"/>
              <w:jc w:val="center"/>
              <w:rPr>
                <w:b/>
                <w:bCs w:val="0"/>
              </w:rPr>
            </w:pPr>
            <w:r>
              <w:rPr>
                <w:noProof/>
                <w:color w:val="000000"/>
                <w:highlight w:val="black"/>
              </w:rPr>
              <w:t>''''''''''''''''''''''''''</w:t>
            </w:r>
            <w:r w:rsidR="00045107">
              <w:rPr>
                <w:vertAlign w:val="superscript"/>
              </w:rPr>
              <w:t>4</w:t>
            </w:r>
          </w:p>
        </w:tc>
      </w:tr>
      <w:tr w:rsidR="00626B6B" w:rsidRPr="003253E7" w:rsidTr="00B218DF">
        <w:tc>
          <w:tcPr>
            <w:tcW w:w="1700" w:type="pct"/>
            <w:shd w:val="clear" w:color="auto" w:fill="auto"/>
            <w:vAlign w:val="center"/>
          </w:tcPr>
          <w:p w:rsidR="00626B6B" w:rsidRPr="003253E7" w:rsidRDefault="00626B6B" w:rsidP="00B218DF">
            <w:pPr>
              <w:pStyle w:val="TableText"/>
            </w:pPr>
            <w:r w:rsidRPr="003253E7">
              <w:t xml:space="preserve">Net cost of displaced </w:t>
            </w:r>
            <w:proofErr w:type="spellStart"/>
            <w:r w:rsidRPr="003253E7">
              <w:t>filgrastim</w:t>
            </w:r>
            <w:proofErr w:type="spellEnd"/>
          </w:p>
        </w:tc>
        <w:tc>
          <w:tcPr>
            <w:tcW w:w="647" w:type="pct"/>
            <w:shd w:val="clear" w:color="auto" w:fill="auto"/>
          </w:tcPr>
          <w:p w:rsidR="00626B6B" w:rsidRPr="00DD7357" w:rsidRDefault="00DD7357" w:rsidP="00B218DF">
            <w:pPr>
              <w:pStyle w:val="TableText"/>
              <w:jc w:val="center"/>
              <w:rPr>
                <w:b/>
                <w:bCs w:val="0"/>
              </w:rPr>
            </w:pPr>
            <w:r>
              <w:rPr>
                <w:noProof/>
                <w:color w:val="000000"/>
                <w:highlight w:val="black"/>
              </w:rPr>
              <w:t>''''''''''''''''''</w:t>
            </w:r>
            <w:r w:rsidR="000E2C99">
              <w:rPr>
                <w:vertAlign w:val="superscript"/>
              </w:rPr>
              <w:t>4</w:t>
            </w:r>
          </w:p>
        </w:tc>
        <w:tc>
          <w:tcPr>
            <w:tcW w:w="529" w:type="pct"/>
            <w:shd w:val="clear" w:color="auto" w:fill="auto"/>
          </w:tcPr>
          <w:p w:rsidR="00626B6B" w:rsidRPr="00DD7357" w:rsidRDefault="00DD7357" w:rsidP="00B218DF">
            <w:pPr>
              <w:pStyle w:val="TableText"/>
              <w:jc w:val="center"/>
              <w:rPr>
                <w:b/>
                <w:bCs w:val="0"/>
              </w:rPr>
            </w:pPr>
            <w:r>
              <w:rPr>
                <w:noProof/>
                <w:color w:val="000000"/>
                <w:highlight w:val="black"/>
              </w:rPr>
              <w:t>'''''''''''''''''''</w:t>
            </w:r>
            <w:r w:rsidR="00045107">
              <w:rPr>
                <w:vertAlign w:val="superscript"/>
              </w:rPr>
              <w:t>4</w:t>
            </w:r>
          </w:p>
        </w:tc>
        <w:tc>
          <w:tcPr>
            <w:tcW w:w="529" w:type="pct"/>
            <w:shd w:val="clear" w:color="auto" w:fill="auto"/>
          </w:tcPr>
          <w:p w:rsidR="00626B6B" w:rsidRPr="00DD7357" w:rsidRDefault="00DD7357" w:rsidP="00B218DF">
            <w:pPr>
              <w:pStyle w:val="TableText"/>
              <w:jc w:val="center"/>
              <w:rPr>
                <w:b/>
                <w:bCs w:val="0"/>
              </w:rPr>
            </w:pPr>
            <w:r>
              <w:rPr>
                <w:noProof/>
                <w:color w:val="000000"/>
                <w:highlight w:val="black"/>
              </w:rPr>
              <w:t>''''''''''''''''''''</w:t>
            </w:r>
            <w:r w:rsidR="00045107">
              <w:rPr>
                <w:vertAlign w:val="superscript"/>
              </w:rPr>
              <w:t>4</w:t>
            </w:r>
          </w:p>
        </w:tc>
        <w:tc>
          <w:tcPr>
            <w:tcW w:w="529" w:type="pct"/>
            <w:shd w:val="clear" w:color="auto" w:fill="auto"/>
          </w:tcPr>
          <w:p w:rsidR="00626B6B" w:rsidRPr="00DD7357" w:rsidRDefault="00DD7357" w:rsidP="00B218DF">
            <w:pPr>
              <w:pStyle w:val="TableText"/>
              <w:jc w:val="center"/>
              <w:rPr>
                <w:b/>
                <w:bCs w:val="0"/>
              </w:rPr>
            </w:pPr>
            <w:r>
              <w:rPr>
                <w:noProof/>
                <w:color w:val="000000"/>
                <w:highlight w:val="black"/>
              </w:rPr>
              <w:t>'''''''''''''''''''</w:t>
            </w:r>
            <w:r w:rsidR="00045107">
              <w:rPr>
                <w:vertAlign w:val="superscript"/>
              </w:rPr>
              <w:t>4</w:t>
            </w:r>
          </w:p>
        </w:tc>
        <w:tc>
          <w:tcPr>
            <w:tcW w:w="529" w:type="pct"/>
            <w:shd w:val="clear" w:color="auto" w:fill="auto"/>
          </w:tcPr>
          <w:p w:rsidR="00626B6B" w:rsidRPr="00DD7357" w:rsidRDefault="00DD7357" w:rsidP="00B218DF">
            <w:pPr>
              <w:pStyle w:val="TableText"/>
              <w:jc w:val="center"/>
              <w:rPr>
                <w:b/>
                <w:bCs w:val="0"/>
              </w:rPr>
            </w:pPr>
            <w:r>
              <w:rPr>
                <w:noProof/>
                <w:color w:val="000000"/>
                <w:highlight w:val="black"/>
              </w:rPr>
              <w:t>''''''''''''''''''</w:t>
            </w:r>
            <w:r w:rsidR="00045107">
              <w:rPr>
                <w:vertAlign w:val="superscript"/>
              </w:rPr>
              <w:t>4</w:t>
            </w:r>
          </w:p>
        </w:tc>
        <w:tc>
          <w:tcPr>
            <w:tcW w:w="535" w:type="pct"/>
            <w:shd w:val="clear" w:color="auto" w:fill="auto"/>
          </w:tcPr>
          <w:p w:rsidR="00626B6B" w:rsidRPr="00DD7357" w:rsidRDefault="00DD7357" w:rsidP="00B218DF">
            <w:pPr>
              <w:pStyle w:val="TableText"/>
              <w:jc w:val="center"/>
              <w:rPr>
                <w:b/>
                <w:bCs w:val="0"/>
              </w:rPr>
            </w:pPr>
            <w:r>
              <w:rPr>
                <w:noProof/>
                <w:color w:val="000000"/>
                <w:highlight w:val="black"/>
              </w:rPr>
              <w:t>'''''''''''''''''''''</w:t>
            </w:r>
            <w:r w:rsidR="00045107">
              <w:rPr>
                <w:vertAlign w:val="superscript"/>
              </w:rPr>
              <w:t>4</w:t>
            </w:r>
          </w:p>
        </w:tc>
      </w:tr>
      <w:tr w:rsidR="00626B6B" w:rsidRPr="003253E7" w:rsidTr="00B218DF">
        <w:tc>
          <w:tcPr>
            <w:tcW w:w="1700" w:type="pct"/>
            <w:shd w:val="clear" w:color="auto" w:fill="auto"/>
            <w:vAlign w:val="center"/>
          </w:tcPr>
          <w:p w:rsidR="00626B6B" w:rsidRPr="003253E7" w:rsidRDefault="00626B6B" w:rsidP="00B218DF">
            <w:pPr>
              <w:pStyle w:val="TableText"/>
            </w:pPr>
            <w:r w:rsidRPr="003253E7">
              <w:t>Total saving to the PBS/RPBS</w:t>
            </w:r>
          </w:p>
        </w:tc>
        <w:tc>
          <w:tcPr>
            <w:tcW w:w="647" w:type="pct"/>
            <w:shd w:val="clear" w:color="auto" w:fill="auto"/>
          </w:tcPr>
          <w:p w:rsidR="00626B6B" w:rsidRPr="00DD7357" w:rsidRDefault="00DD7357" w:rsidP="00B218DF">
            <w:pPr>
              <w:pStyle w:val="TableText"/>
              <w:jc w:val="center"/>
              <w:rPr>
                <w:b/>
                <w:bCs w:val="0"/>
              </w:rPr>
            </w:pPr>
            <w:r>
              <w:rPr>
                <w:noProof/>
                <w:color w:val="000000"/>
                <w:highlight w:val="black"/>
              </w:rPr>
              <w:t>'''''''''''''''''''''''''''''</w:t>
            </w:r>
            <w:r w:rsidR="000E2C99">
              <w:rPr>
                <w:vertAlign w:val="superscript"/>
              </w:rPr>
              <w:t>4</w:t>
            </w:r>
          </w:p>
        </w:tc>
        <w:tc>
          <w:tcPr>
            <w:tcW w:w="529" w:type="pct"/>
            <w:shd w:val="clear" w:color="auto" w:fill="auto"/>
          </w:tcPr>
          <w:p w:rsidR="00626B6B" w:rsidRPr="00DD7357" w:rsidRDefault="00DD7357" w:rsidP="00B218DF">
            <w:pPr>
              <w:pStyle w:val="TableText"/>
              <w:jc w:val="center"/>
              <w:rPr>
                <w:b/>
                <w:bCs w:val="0"/>
              </w:rPr>
            </w:pPr>
            <w:r>
              <w:rPr>
                <w:noProof/>
                <w:color w:val="000000"/>
                <w:highlight w:val="black"/>
              </w:rPr>
              <w:t>'''''''''''''''''''''''</w:t>
            </w:r>
            <w:r w:rsidR="00045107">
              <w:rPr>
                <w:vertAlign w:val="superscript"/>
              </w:rPr>
              <w:t>4</w:t>
            </w:r>
          </w:p>
        </w:tc>
        <w:tc>
          <w:tcPr>
            <w:tcW w:w="529" w:type="pct"/>
            <w:shd w:val="clear" w:color="auto" w:fill="auto"/>
          </w:tcPr>
          <w:p w:rsidR="00626B6B" w:rsidRPr="00DD7357" w:rsidRDefault="00DD7357" w:rsidP="00B218DF">
            <w:pPr>
              <w:pStyle w:val="TableText"/>
              <w:jc w:val="center"/>
              <w:rPr>
                <w:b/>
                <w:bCs w:val="0"/>
              </w:rPr>
            </w:pPr>
            <w:r>
              <w:rPr>
                <w:noProof/>
                <w:color w:val="000000"/>
                <w:highlight w:val="black"/>
              </w:rPr>
              <w:t>''''''''''''''''''''''''</w:t>
            </w:r>
            <w:r w:rsidR="00045107">
              <w:rPr>
                <w:vertAlign w:val="superscript"/>
              </w:rPr>
              <w:t>4</w:t>
            </w:r>
          </w:p>
        </w:tc>
        <w:tc>
          <w:tcPr>
            <w:tcW w:w="529" w:type="pct"/>
            <w:shd w:val="clear" w:color="auto" w:fill="auto"/>
          </w:tcPr>
          <w:p w:rsidR="00626B6B" w:rsidRPr="00DD7357" w:rsidRDefault="00DD7357" w:rsidP="00B218DF">
            <w:pPr>
              <w:pStyle w:val="TableText"/>
              <w:jc w:val="center"/>
              <w:rPr>
                <w:b/>
                <w:bCs w:val="0"/>
              </w:rPr>
            </w:pPr>
            <w:r>
              <w:rPr>
                <w:noProof/>
                <w:color w:val="000000"/>
                <w:highlight w:val="black"/>
              </w:rPr>
              <w:t>''''''''''''''''''''''''''</w:t>
            </w:r>
            <w:r w:rsidR="00045107">
              <w:rPr>
                <w:vertAlign w:val="superscript"/>
              </w:rPr>
              <w:t>4</w:t>
            </w:r>
          </w:p>
        </w:tc>
        <w:tc>
          <w:tcPr>
            <w:tcW w:w="529" w:type="pct"/>
            <w:shd w:val="clear" w:color="auto" w:fill="auto"/>
          </w:tcPr>
          <w:p w:rsidR="00626B6B" w:rsidRPr="00DD7357" w:rsidRDefault="00DD7357" w:rsidP="00B218DF">
            <w:pPr>
              <w:pStyle w:val="TableText"/>
              <w:jc w:val="center"/>
              <w:rPr>
                <w:b/>
                <w:bCs w:val="0"/>
              </w:rPr>
            </w:pPr>
            <w:r>
              <w:rPr>
                <w:noProof/>
                <w:color w:val="000000"/>
                <w:highlight w:val="black"/>
              </w:rPr>
              <w:t>'''''''''''''''''''''''''''</w:t>
            </w:r>
            <w:r w:rsidR="00045107">
              <w:rPr>
                <w:vertAlign w:val="superscript"/>
              </w:rPr>
              <w:t>4</w:t>
            </w:r>
          </w:p>
        </w:tc>
        <w:tc>
          <w:tcPr>
            <w:tcW w:w="535" w:type="pct"/>
            <w:shd w:val="clear" w:color="auto" w:fill="auto"/>
          </w:tcPr>
          <w:p w:rsidR="00626B6B" w:rsidRPr="00DD7357" w:rsidRDefault="00DD7357" w:rsidP="00B218DF">
            <w:pPr>
              <w:pStyle w:val="TableText"/>
              <w:jc w:val="center"/>
              <w:rPr>
                <w:b/>
                <w:bCs w:val="0"/>
              </w:rPr>
            </w:pPr>
            <w:r>
              <w:rPr>
                <w:noProof/>
                <w:color w:val="000000"/>
                <w:highlight w:val="black"/>
              </w:rPr>
              <w:t>''''''''''''''''''''''''''</w:t>
            </w:r>
            <w:r w:rsidR="00045107">
              <w:rPr>
                <w:vertAlign w:val="superscript"/>
              </w:rPr>
              <w:t>4</w:t>
            </w:r>
          </w:p>
        </w:tc>
      </w:tr>
      <w:tr w:rsidR="000049D8" w:rsidRPr="000450DB" w:rsidTr="00B218DF">
        <w:tc>
          <w:tcPr>
            <w:tcW w:w="1700" w:type="pct"/>
            <w:shd w:val="clear" w:color="auto" w:fill="auto"/>
            <w:vAlign w:val="center"/>
          </w:tcPr>
          <w:p w:rsidR="000049D8" w:rsidRPr="000450DB" w:rsidRDefault="000049D8" w:rsidP="00B218DF">
            <w:pPr>
              <w:pStyle w:val="TableText"/>
              <w:rPr>
                <w:iCs/>
              </w:rPr>
            </w:pPr>
            <w:r w:rsidRPr="000450DB">
              <w:rPr>
                <w:iCs/>
              </w:rPr>
              <w:t xml:space="preserve">Total saving to the PBS/RPBS (with reduced </w:t>
            </w:r>
            <w:proofErr w:type="spellStart"/>
            <w:r w:rsidRPr="000450DB">
              <w:rPr>
                <w:iCs/>
              </w:rPr>
              <w:t>azacitadine</w:t>
            </w:r>
            <w:proofErr w:type="spellEnd"/>
            <w:r w:rsidRPr="000450DB">
              <w:rPr>
                <w:iCs/>
              </w:rPr>
              <w:t xml:space="preserve"> price) updated in PSCR</w:t>
            </w:r>
          </w:p>
        </w:tc>
        <w:tc>
          <w:tcPr>
            <w:tcW w:w="647" w:type="pct"/>
            <w:shd w:val="clear" w:color="auto" w:fill="auto"/>
          </w:tcPr>
          <w:p w:rsidR="000049D8" w:rsidRPr="00DD7357" w:rsidRDefault="00DD7357" w:rsidP="00B218DF">
            <w:pPr>
              <w:pStyle w:val="TableText"/>
              <w:jc w:val="center"/>
              <w:rPr>
                <w:iCs/>
              </w:rPr>
            </w:pPr>
            <w:r>
              <w:rPr>
                <w:iCs/>
                <w:noProof/>
                <w:color w:val="000000"/>
                <w:highlight w:val="black"/>
              </w:rPr>
              <w:t>'''''''''''''''''''''''''</w:t>
            </w:r>
            <w:r w:rsidR="000E2C99">
              <w:rPr>
                <w:vertAlign w:val="superscript"/>
              </w:rPr>
              <w:t>4</w:t>
            </w:r>
          </w:p>
        </w:tc>
        <w:tc>
          <w:tcPr>
            <w:tcW w:w="529" w:type="pct"/>
            <w:shd w:val="clear" w:color="auto" w:fill="auto"/>
          </w:tcPr>
          <w:p w:rsidR="000049D8" w:rsidRPr="00DD7357" w:rsidRDefault="00DD7357" w:rsidP="00B218DF">
            <w:pPr>
              <w:pStyle w:val="TableText"/>
              <w:jc w:val="center"/>
              <w:rPr>
                <w:iCs/>
              </w:rPr>
            </w:pPr>
            <w:r>
              <w:rPr>
                <w:iCs/>
                <w:noProof/>
                <w:color w:val="000000"/>
                <w:highlight w:val="black"/>
              </w:rPr>
              <w:t>''''''''''''''''''''''''''</w:t>
            </w:r>
            <w:r w:rsidR="00045107">
              <w:rPr>
                <w:vertAlign w:val="superscript"/>
              </w:rPr>
              <w:t>4</w:t>
            </w:r>
          </w:p>
        </w:tc>
        <w:tc>
          <w:tcPr>
            <w:tcW w:w="529" w:type="pct"/>
            <w:shd w:val="clear" w:color="auto" w:fill="auto"/>
          </w:tcPr>
          <w:p w:rsidR="000049D8" w:rsidRPr="00DD7357" w:rsidRDefault="00DD7357" w:rsidP="00B218DF">
            <w:pPr>
              <w:pStyle w:val="TableText"/>
              <w:jc w:val="center"/>
              <w:rPr>
                <w:iCs/>
              </w:rPr>
            </w:pPr>
            <w:r>
              <w:rPr>
                <w:iCs/>
                <w:noProof/>
                <w:color w:val="000000"/>
                <w:highlight w:val="black"/>
              </w:rPr>
              <w:t>''''''''''''''''''''''''''''</w:t>
            </w:r>
            <w:r w:rsidR="00045107">
              <w:rPr>
                <w:vertAlign w:val="superscript"/>
              </w:rPr>
              <w:t>4</w:t>
            </w:r>
          </w:p>
        </w:tc>
        <w:tc>
          <w:tcPr>
            <w:tcW w:w="529" w:type="pct"/>
            <w:shd w:val="clear" w:color="auto" w:fill="auto"/>
          </w:tcPr>
          <w:p w:rsidR="000049D8" w:rsidRPr="00DD7357" w:rsidRDefault="00DD7357" w:rsidP="00B218DF">
            <w:pPr>
              <w:pStyle w:val="TableText"/>
              <w:jc w:val="center"/>
              <w:rPr>
                <w:iCs/>
              </w:rPr>
            </w:pPr>
            <w:r>
              <w:rPr>
                <w:iCs/>
                <w:noProof/>
                <w:color w:val="000000"/>
                <w:highlight w:val="black"/>
              </w:rPr>
              <w:t>'''''''''''''''''''''''''''''</w:t>
            </w:r>
            <w:r w:rsidR="00045107">
              <w:rPr>
                <w:vertAlign w:val="superscript"/>
              </w:rPr>
              <w:t>4</w:t>
            </w:r>
          </w:p>
        </w:tc>
        <w:tc>
          <w:tcPr>
            <w:tcW w:w="529" w:type="pct"/>
            <w:shd w:val="clear" w:color="auto" w:fill="auto"/>
          </w:tcPr>
          <w:p w:rsidR="000049D8" w:rsidRPr="00DD7357" w:rsidRDefault="00DD7357" w:rsidP="00B218DF">
            <w:pPr>
              <w:pStyle w:val="TableText"/>
              <w:jc w:val="center"/>
              <w:rPr>
                <w:iCs/>
              </w:rPr>
            </w:pPr>
            <w:r>
              <w:rPr>
                <w:iCs/>
                <w:noProof/>
                <w:color w:val="000000"/>
                <w:highlight w:val="black"/>
              </w:rPr>
              <w:t>''''''''''''''''''''''''</w:t>
            </w:r>
            <w:r w:rsidR="00045107">
              <w:rPr>
                <w:vertAlign w:val="superscript"/>
              </w:rPr>
              <w:t>4</w:t>
            </w:r>
          </w:p>
        </w:tc>
        <w:tc>
          <w:tcPr>
            <w:tcW w:w="535" w:type="pct"/>
            <w:shd w:val="clear" w:color="auto" w:fill="auto"/>
          </w:tcPr>
          <w:p w:rsidR="000049D8" w:rsidRPr="00DD7357" w:rsidRDefault="00DD7357" w:rsidP="00B218DF">
            <w:pPr>
              <w:pStyle w:val="TableText"/>
              <w:jc w:val="center"/>
              <w:rPr>
                <w:iCs/>
              </w:rPr>
            </w:pPr>
            <w:r>
              <w:rPr>
                <w:iCs/>
                <w:noProof/>
                <w:color w:val="000000"/>
                <w:highlight w:val="black"/>
              </w:rPr>
              <w:t>''''''''''''''''''''''''''</w:t>
            </w:r>
            <w:r w:rsidR="00045107">
              <w:rPr>
                <w:vertAlign w:val="superscript"/>
              </w:rPr>
              <w:t>4</w:t>
            </w:r>
          </w:p>
        </w:tc>
      </w:tr>
      <w:tr w:rsidR="00626B6B" w:rsidRPr="003253E7" w:rsidTr="00B218DF">
        <w:tc>
          <w:tcPr>
            <w:tcW w:w="5000" w:type="pct"/>
            <w:gridSpan w:val="7"/>
            <w:shd w:val="clear" w:color="auto" w:fill="auto"/>
          </w:tcPr>
          <w:p w:rsidR="00626B6B" w:rsidRPr="003253E7" w:rsidRDefault="00626B6B" w:rsidP="00B218DF">
            <w:pPr>
              <w:pStyle w:val="TableText"/>
              <w:rPr>
                <w:b/>
                <w:bCs w:val="0"/>
              </w:rPr>
            </w:pPr>
            <w:r w:rsidRPr="003253E7">
              <w:rPr>
                <w:b/>
                <w:bCs w:val="0"/>
              </w:rPr>
              <w:t xml:space="preserve">Net </w:t>
            </w:r>
            <w:r w:rsidR="00F055CD">
              <w:rPr>
                <w:b/>
                <w:bCs w:val="0"/>
              </w:rPr>
              <w:t>financial implications</w:t>
            </w:r>
          </w:p>
        </w:tc>
      </w:tr>
      <w:tr w:rsidR="00626B6B" w:rsidRPr="003253E7" w:rsidTr="00B218DF">
        <w:tc>
          <w:tcPr>
            <w:tcW w:w="1700" w:type="pct"/>
            <w:shd w:val="clear" w:color="auto" w:fill="auto"/>
          </w:tcPr>
          <w:p w:rsidR="00626B6B" w:rsidRPr="003253E7" w:rsidRDefault="00626B6B" w:rsidP="00B218DF">
            <w:pPr>
              <w:pStyle w:val="TableText"/>
            </w:pPr>
            <w:r w:rsidRPr="003253E7">
              <w:t>Net cost to the PBS/RPBS</w:t>
            </w:r>
          </w:p>
        </w:tc>
        <w:tc>
          <w:tcPr>
            <w:tcW w:w="647" w:type="pct"/>
            <w:shd w:val="clear" w:color="auto" w:fill="auto"/>
          </w:tcPr>
          <w:p w:rsidR="00626B6B" w:rsidRPr="00DD7357" w:rsidRDefault="00DD7357" w:rsidP="00B218DF">
            <w:pPr>
              <w:pStyle w:val="TableText"/>
              <w:jc w:val="center"/>
            </w:pPr>
            <w:r>
              <w:rPr>
                <w:noProof/>
                <w:color w:val="000000"/>
                <w:highlight w:val="black"/>
              </w:rPr>
              <w:t>''''''''''''''''''''''''''''</w:t>
            </w:r>
            <w:r w:rsidR="00045107">
              <w:rPr>
                <w:vertAlign w:val="superscript"/>
              </w:rPr>
              <w:t>5</w:t>
            </w:r>
          </w:p>
        </w:tc>
        <w:tc>
          <w:tcPr>
            <w:tcW w:w="529" w:type="pct"/>
            <w:shd w:val="clear" w:color="auto" w:fill="auto"/>
          </w:tcPr>
          <w:p w:rsidR="00626B6B" w:rsidRPr="00DD7357" w:rsidRDefault="00DD7357" w:rsidP="00B218DF">
            <w:pPr>
              <w:pStyle w:val="TableText"/>
              <w:jc w:val="center"/>
            </w:pPr>
            <w:r>
              <w:rPr>
                <w:noProof/>
                <w:color w:val="000000"/>
                <w:highlight w:val="black"/>
              </w:rPr>
              <w:t>'''''''''''''''''''''''''''''</w:t>
            </w:r>
            <w:r w:rsidR="00045107">
              <w:rPr>
                <w:vertAlign w:val="superscript"/>
              </w:rPr>
              <w:t>5</w:t>
            </w:r>
          </w:p>
        </w:tc>
        <w:tc>
          <w:tcPr>
            <w:tcW w:w="529" w:type="pct"/>
            <w:shd w:val="clear" w:color="auto" w:fill="auto"/>
          </w:tcPr>
          <w:p w:rsidR="00626B6B" w:rsidRPr="00DD7357" w:rsidRDefault="00DD7357" w:rsidP="00B218DF">
            <w:pPr>
              <w:pStyle w:val="TableText"/>
              <w:jc w:val="center"/>
            </w:pPr>
            <w:r>
              <w:rPr>
                <w:noProof/>
                <w:color w:val="000000"/>
                <w:highlight w:val="black"/>
              </w:rPr>
              <w:t>''''''''''''''''''''''''''''''</w:t>
            </w:r>
            <w:r w:rsidR="00045107">
              <w:rPr>
                <w:vertAlign w:val="superscript"/>
              </w:rPr>
              <w:t>5</w:t>
            </w:r>
          </w:p>
        </w:tc>
        <w:tc>
          <w:tcPr>
            <w:tcW w:w="529" w:type="pct"/>
            <w:shd w:val="clear" w:color="auto" w:fill="auto"/>
          </w:tcPr>
          <w:p w:rsidR="00626B6B" w:rsidRPr="00DD7357" w:rsidRDefault="00DD7357" w:rsidP="00B218DF">
            <w:pPr>
              <w:pStyle w:val="TableText"/>
              <w:jc w:val="center"/>
            </w:pPr>
            <w:r>
              <w:rPr>
                <w:noProof/>
                <w:color w:val="000000"/>
                <w:highlight w:val="black"/>
              </w:rPr>
              <w:t>'''''''''''''''''''''''''''''''</w:t>
            </w:r>
            <w:r w:rsidR="000E2C99">
              <w:rPr>
                <w:vertAlign w:val="superscript"/>
              </w:rPr>
              <w:t>3</w:t>
            </w:r>
          </w:p>
        </w:tc>
        <w:tc>
          <w:tcPr>
            <w:tcW w:w="529" w:type="pct"/>
            <w:shd w:val="clear" w:color="auto" w:fill="auto"/>
          </w:tcPr>
          <w:p w:rsidR="00626B6B" w:rsidRPr="00DD7357" w:rsidRDefault="00DD7357" w:rsidP="00B218DF">
            <w:pPr>
              <w:pStyle w:val="TableText"/>
              <w:jc w:val="center"/>
            </w:pPr>
            <w:r>
              <w:rPr>
                <w:noProof/>
                <w:color w:val="000000"/>
                <w:highlight w:val="black"/>
              </w:rPr>
              <w:t>'''''''''''''''''''''''''''''</w:t>
            </w:r>
            <w:r w:rsidR="000E2C99">
              <w:rPr>
                <w:vertAlign w:val="superscript"/>
              </w:rPr>
              <w:t>3</w:t>
            </w:r>
          </w:p>
        </w:tc>
        <w:tc>
          <w:tcPr>
            <w:tcW w:w="535" w:type="pct"/>
            <w:shd w:val="clear" w:color="auto" w:fill="auto"/>
          </w:tcPr>
          <w:p w:rsidR="00626B6B" w:rsidRPr="00DD7357" w:rsidRDefault="00DD7357" w:rsidP="00B218DF">
            <w:pPr>
              <w:pStyle w:val="TableText"/>
              <w:jc w:val="center"/>
            </w:pPr>
            <w:r>
              <w:rPr>
                <w:noProof/>
                <w:color w:val="000000"/>
                <w:highlight w:val="black"/>
              </w:rPr>
              <w:t>'''''''''''''''''''''''''''''''</w:t>
            </w:r>
            <w:r w:rsidR="000E2C99">
              <w:rPr>
                <w:vertAlign w:val="superscript"/>
              </w:rPr>
              <w:t>3</w:t>
            </w:r>
          </w:p>
        </w:tc>
      </w:tr>
      <w:tr w:rsidR="00626B6B" w:rsidRPr="003253E7" w:rsidTr="00B218DF">
        <w:tc>
          <w:tcPr>
            <w:tcW w:w="1700" w:type="pct"/>
            <w:shd w:val="clear" w:color="auto" w:fill="auto"/>
          </w:tcPr>
          <w:p w:rsidR="00626B6B" w:rsidRPr="003253E7" w:rsidRDefault="00F055CD" w:rsidP="00B218DF">
            <w:pPr>
              <w:pStyle w:val="TableText"/>
            </w:pPr>
            <w:r>
              <w:t>Net cost to the</w:t>
            </w:r>
            <w:r w:rsidRPr="003253E7">
              <w:t xml:space="preserve"> </w:t>
            </w:r>
            <w:r w:rsidR="00626B6B" w:rsidRPr="003253E7">
              <w:t xml:space="preserve">MBS </w:t>
            </w:r>
          </w:p>
        </w:tc>
        <w:tc>
          <w:tcPr>
            <w:tcW w:w="647" w:type="pct"/>
            <w:shd w:val="clear" w:color="auto" w:fill="auto"/>
          </w:tcPr>
          <w:p w:rsidR="00626B6B" w:rsidRPr="00DD7357" w:rsidRDefault="00DD7357" w:rsidP="00B218DF">
            <w:pPr>
              <w:pStyle w:val="TableText"/>
              <w:jc w:val="center"/>
              <w:rPr>
                <w:b/>
                <w:bCs w:val="0"/>
              </w:rPr>
            </w:pPr>
            <w:r>
              <w:rPr>
                <w:noProof/>
                <w:color w:val="000000"/>
                <w:highlight w:val="black"/>
              </w:rPr>
              <w:t>''''''''''''''''''''</w:t>
            </w:r>
            <w:r w:rsidR="00045107">
              <w:rPr>
                <w:vertAlign w:val="superscript"/>
              </w:rPr>
              <w:t>4</w:t>
            </w:r>
          </w:p>
        </w:tc>
        <w:tc>
          <w:tcPr>
            <w:tcW w:w="529" w:type="pct"/>
            <w:shd w:val="clear" w:color="auto" w:fill="auto"/>
          </w:tcPr>
          <w:p w:rsidR="00626B6B" w:rsidRPr="00DD7357" w:rsidRDefault="00DD7357" w:rsidP="00B218DF">
            <w:pPr>
              <w:pStyle w:val="TableText"/>
              <w:jc w:val="center"/>
              <w:rPr>
                <w:b/>
                <w:bCs w:val="0"/>
              </w:rPr>
            </w:pPr>
            <w:r>
              <w:rPr>
                <w:noProof/>
                <w:color w:val="000000"/>
                <w:highlight w:val="black"/>
              </w:rPr>
              <w:t>''''''''''''''''''''</w:t>
            </w:r>
            <w:r w:rsidR="00045107">
              <w:rPr>
                <w:vertAlign w:val="superscript"/>
              </w:rPr>
              <w:t>4</w:t>
            </w:r>
          </w:p>
        </w:tc>
        <w:tc>
          <w:tcPr>
            <w:tcW w:w="529" w:type="pct"/>
            <w:shd w:val="clear" w:color="auto" w:fill="auto"/>
          </w:tcPr>
          <w:p w:rsidR="00626B6B" w:rsidRPr="00DD7357" w:rsidRDefault="00DD7357" w:rsidP="00B218DF">
            <w:pPr>
              <w:pStyle w:val="TableText"/>
              <w:jc w:val="center"/>
              <w:rPr>
                <w:b/>
                <w:bCs w:val="0"/>
              </w:rPr>
            </w:pPr>
            <w:r>
              <w:rPr>
                <w:noProof/>
                <w:color w:val="000000"/>
                <w:highlight w:val="black"/>
              </w:rPr>
              <w:t>'''''''''''''''''''</w:t>
            </w:r>
            <w:r w:rsidR="00045107">
              <w:rPr>
                <w:vertAlign w:val="superscript"/>
              </w:rPr>
              <w:t>4</w:t>
            </w:r>
          </w:p>
        </w:tc>
        <w:tc>
          <w:tcPr>
            <w:tcW w:w="529" w:type="pct"/>
            <w:shd w:val="clear" w:color="auto" w:fill="auto"/>
          </w:tcPr>
          <w:p w:rsidR="00626B6B" w:rsidRPr="00DD7357" w:rsidRDefault="00DD7357" w:rsidP="00B218DF">
            <w:pPr>
              <w:pStyle w:val="TableText"/>
              <w:jc w:val="center"/>
              <w:rPr>
                <w:b/>
                <w:bCs w:val="0"/>
              </w:rPr>
            </w:pPr>
            <w:r>
              <w:rPr>
                <w:noProof/>
                <w:color w:val="000000"/>
                <w:highlight w:val="black"/>
              </w:rPr>
              <w:t>'''''''''''''''''''''</w:t>
            </w:r>
            <w:r w:rsidR="00045107">
              <w:rPr>
                <w:vertAlign w:val="superscript"/>
              </w:rPr>
              <w:t>4</w:t>
            </w:r>
          </w:p>
        </w:tc>
        <w:tc>
          <w:tcPr>
            <w:tcW w:w="529" w:type="pct"/>
            <w:shd w:val="clear" w:color="auto" w:fill="auto"/>
          </w:tcPr>
          <w:p w:rsidR="00626B6B" w:rsidRPr="00DD7357" w:rsidRDefault="00DD7357" w:rsidP="00B218DF">
            <w:pPr>
              <w:pStyle w:val="TableText"/>
              <w:jc w:val="center"/>
              <w:rPr>
                <w:b/>
                <w:bCs w:val="0"/>
              </w:rPr>
            </w:pPr>
            <w:r>
              <w:rPr>
                <w:noProof/>
                <w:color w:val="000000"/>
                <w:highlight w:val="black"/>
              </w:rPr>
              <w:t>'''''''''''''''''''</w:t>
            </w:r>
            <w:r w:rsidR="00045107">
              <w:rPr>
                <w:vertAlign w:val="superscript"/>
              </w:rPr>
              <w:t>4</w:t>
            </w:r>
          </w:p>
        </w:tc>
        <w:tc>
          <w:tcPr>
            <w:tcW w:w="535" w:type="pct"/>
            <w:shd w:val="clear" w:color="auto" w:fill="auto"/>
          </w:tcPr>
          <w:p w:rsidR="00626B6B" w:rsidRPr="00DD7357" w:rsidRDefault="00DD7357" w:rsidP="00B218DF">
            <w:pPr>
              <w:pStyle w:val="TableText"/>
              <w:jc w:val="center"/>
              <w:rPr>
                <w:b/>
                <w:bCs w:val="0"/>
              </w:rPr>
            </w:pPr>
            <w:r>
              <w:rPr>
                <w:noProof/>
                <w:color w:val="000000"/>
                <w:highlight w:val="black"/>
              </w:rPr>
              <w:t>''''''''''''''''''''</w:t>
            </w:r>
            <w:r w:rsidR="00045107">
              <w:rPr>
                <w:vertAlign w:val="superscript"/>
              </w:rPr>
              <w:t>4</w:t>
            </w:r>
          </w:p>
        </w:tc>
      </w:tr>
      <w:tr w:rsidR="00626B6B" w:rsidRPr="00F055CD" w:rsidTr="00B218DF">
        <w:tc>
          <w:tcPr>
            <w:tcW w:w="1700" w:type="pct"/>
            <w:shd w:val="clear" w:color="auto" w:fill="auto"/>
          </w:tcPr>
          <w:p w:rsidR="00626B6B" w:rsidRPr="00F055CD" w:rsidRDefault="00626B6B" w:rsidP="00B218DF">
            <w:pPr>
              <w:pStyle w:val="TableText"/>
            </w:pPr>
            <w:r w:rsidRPr="00F055CD">
              <w:t xml:space="preserve">Net cost to </w:t>
            </w:r>
            <w:r w:rsidR="00F055CD">
              <w:t>the PBS/RPBS/MBS</w:t>
            </w:r>
          </w:p>
        </w:tc>
        <w:tc>
          <w:tcPr>
            <w:tcW w:w="647" w:type="pct"/>
            <w:shd w:val="clear" w:color="auto" w:fill="auto"/>
          </w:tcPr>
          <w:p w:rsidR="00626B6B" w:rsidRPr="00DD7357" w:rsidRDefault="00DD7357" w:rsidP="00B218DF">
            <w:pPr>
              <w:pStyle w:val="TableText"/>
              <w:jc w:val="center"/>
            </w:pPr>
            <w:r>
              <w:rPr>
                <w:noProof/>
                <w:color w:val="000000"/>
                <w:highlight w:val="black"/>
              </w:rPr>
              <w:t>''''''''''''''''''''''''''''''''</w:t>
            </w:r>
            <w:r w:rsidR="000E2C99">
              <w:rPr>
                <w:vertAlign w:val="superscript"/>
              </w:rPr>
              <w:t>3</w:t>
            </w:r>
          </w:p>
        </w:tc>
        <w:tc>
          <w:tcPr>
            <w:tcW w:w="529" w:type="pct"/>
            <w:shd w:val="clear" w:color="auto" w:fill="auto"/>
          </w:tcPr>
          <w:p w:rsidR="00626B6B" w:rsidRPr="00DD7357" w:rsidRDefault="00DD7357" w:rsidP="00B218DF">
            <w:pPr>
              <w:pStyle w:val="TableText"/>
              <w:jc w:val="center"/>
            </w:pPr>
            <w:r>
              <w:rPr>
                <w:noProof/>
                <w:color w:val="000000"/>
                <w:highlight w:val="black"/>
              </w:rPr>
              <w:t>'''''''''''''''''''''''''''''</w:t>
            </w:r>
            <w:r w:rsidR="00045107">
              <w:rPr>
                <w:vertAlign w:val="superscript"/>
              </w:rPr>
              <w:t>5</w:t>
            </w:r>
          </w:p>
        </w:tc>
        <w:tc>
          <w:tcPr>
            <w:tcW w:w="529" w:type="pct"/>
            <w:shd w:val="clear" w:color="auto" w:fill="auto"/>
          </w:tcPr>
          <w:p w:rsidR="00626B6B" w:rsidRPr="00DD7357" w:rsidRDefault="00DD7357" w:rsidP="00B218DF">
            <w:pPr>
              <w:pStyle w:val="TableText"/>
              <w:jc w:val="center"/>
            </w:pPr>
            <w:r>
              <w:rPr>
                <w:noProof/>
                <w:color w:val="000000"/>
                <w:highlight w:val="black"/>
              </w:rPr>
              <w:t>'''''''''''''''''''''''''''''''''</w:t>
            </w:r>
            <w:r w:rsidR="00045107">
              <w:rPr>
                <w:vertAlign w:val="superscript"/>
              </w:rPr>
              <w:t>5</w:t>
            </w:r>
          </w:p>
        </w:tc>
        <w:tc>
          <w:tcPr>
            <w:tcW w:w="529" w:type="pct"/>
            <w:shd w:val="clear" w:color="auto" w:fill="auto"/>
          </w:tcPr>
          <w:p w:rsidR="00626B6B" w:rsidRPr="00DD7357" w:rsidRDefault="00DD7357" w:rsidP="00B218DF">
            <w:pPr>
              <w:pStyle w:val="TableText"/>
              <w:jc w:val="center"/>
            </w:pPr>
            <w:r>
              <w:rPr>
                <w:noProof/>
                <w:color w:val="000000"/>
                <w:highlight w:val="black"/>
              </w:rPr>
              <w:t>''''''''''''''''''''''''''''</w:t>
            </w:r>
            <w:r w:rsidR="000E2C99">
              <w:rPr>
                <w:vertAlign w:val="superscript"/>
              </w:rPr>
              <w:t>3</w:t>
            </w:r>
          </w:p>
        </w:tc>
        <w:tc>
          <w:tcPr>
            <w:tcW w:w="529" w:type="pct"/>
            <w:shd w:val="clear" w:color="auto" w:fill="auto"/>
          </w:tcPr>
          <w:p w:rsidR="00626B6B" w:rsidRPr="00DD7357" w:rsidRDefault="00DD7357" w:rsidP="00B218DF">
            <w:pPr>
              <w:pStyle w:val="TableText"/>
              <w:jc w:val="center"/>
            </w:pPr>
            <w:r>
              <w:rPr>
                <w:noProof/>
                <w:color w:val="000000"/>
                <w:highlight w:val="black"/>
              </w:rPr>
              <w:t>'''''''''''''''''''''''''''''</w:t>
            </w:r>
            <w:r w:rsidR="000E2C99">
              <w:rPr>
                <w:vertAlign w:val="superscript"/>
              </w:rPr>
              <w:t>3</w:t>
            </w:r>
          </w:p>
        </w:tc>
        <w:tc>
          <w:tcPr>
            <w:tcW w:w="535" w:type="pct"/>
            <w:shd w:val="clear" w:color="auto" w:fill="auto"/>
          </w:tcPr>
          <w:p w:rsidR="00626B6B" w:rsidRPr="00DD7357" w:rsidRDefault="00DD7357" w:rsidP="00B218DF">
            <w:pPr>
              <w:pStyle w:val="TableText"/>
              <w:jc w:val="center"/>
            </w:pPr>
            <w:r>
              <w:rPr>
                <w:noProof/>
                <w:color w:val="000000"/>
                <w:highlight w:val="black"/>
              </w:rPr>
              <w:t>''''''''''''''''''''''''''''''</w:t>
            </w:r>
            <w:r w:rsidR="000E2C99">
              <w:rPr>
                <w:vertAlign w:val="superscript"/>
              </w:rPr>
              <w:t>3</w:t>
            </w:r>
          </w:p>
        </w:tc>
      </w:tr>
      <w:tr w:rsidR="000049D8" w:rsidRPr="000450DB" w:rsidTr="00B218DF">
        <w:tc>
          <w:tcPr>
            <w:tcW w:w="5000" w:type="pct"/>
            <w:gridSpan w:val="7"/>
            <w:shd w:val="clear" w:color="auto" w:fill="auto"/>
          </w:tcPr>
          <w:p w:rsidR="000049D8" w:rsidRPr="000450DB" w:rsidRDefault="000049D8" w:rsidP="00B218DF">
            <w:pPr>
              <w:pStyle w:val="TableText"/>
              <w:rPr>
                <w:iCs/>
              </w:rPr>
            </w:pPr>
            <w:r w:rsidRPr="000450DB">
              <w:rPr>
                <w:b/>
                <w:bCs w:val="0"/>
                <w:iCs/>
              </w:rPr>
              <w:t>Net financial implications (updated in PSCR)</w:t>
            </w:r>
          </w:p>
        </w:tc>
      </w:tr>
      <w:tr w:rsidR="00D92ACB" w:rsidRPr="000450DB" w:rsidTr="00B218DF">
        <w:tc>
          <w:tcPr>
            <w:tcW w:w="1700" w:type="pct"/>
            <w:shd w:val="clear" w:color="auto" w:fill="auto"/>
          </w:tcPr>
          <w:p w:rsidR="00D92ACB" w:rsidRPr="000450DB" w:rsidRDefault="00D92ACB" w:rsidP="00B218DF">
            <w:pPr>
              <w:pStyle w:val="TableText"/>
              <w:rPr>
                <w:iCs/>
              </w:rPr>
            </w:pPr>
            <w:r w:rsidRPr="000450DB">
              <w:rPr>
                <w:iCs/>
              </w:rPr>
              <w:t>Net cost to the PBS/RPBS</w:t>
            </w:r>
          </w:p>
        </w:tc>
        <w:tc>
          <w:tcPr>
            <w:tcW w:w="647" w:type="pct"/>
            <w:shd w:val="clear" w:color="auto" w:fill="auto"/>
          </w:tcPr>
          <w:p w:rsidR="00D92ACB" w:rsidRPr="00DD7357" w:rsidRDefault="00DD7357" w:rsidP="00B218DF">
            <w:pPr>
              <w:pStyle w:val="TableText"/>
              <w:jc w:val="center"/>
              <w:rPr>
                <w:iCs/>
              </w:rPr>
            </w:pPr>
            <w:r>
              <w:rPr>
                <w:iCs/>
                <w:noProof/>
                <w:color w:val="000000"/>
                <w:highlight w:val="black"/>
              </w:rPr>
              <w:t>'''''''''''''''''''''''''''''''''</w:t>
            </w:r>
            <w:r w:rsidR="000E2C99">
              <w:rPr>
                <w:vertAlign w:val="superscript"/>
              </w:rPr>
              <w:t>3</w:t>
            </w:r>
          </w:p>
        </w:tc>
        <w:tc>
          <w:tcPr>
            <w:tcW w:w="529" w:type="pct"/>
            <w:shd w:val="clear" w:color="auto" w:fill="auto"/>
          </w:tcPr>
          <w:p w:rsidR="00D92ACB" w:rsidRPr="00DD7357" w:rsidRDefault="00DD7357" w:rsidP="00B218DF">
            <w:pPr>
              <w:pStyle w:val="TableText"/>
              <w:jc w:val="center"/>
              <w:rPr>
                <w:iCs/>
              </w:rPr>
            </w:pPr>
            <w:r>
              <w:rPr>
                <w:iCs/>
                <w:noProof/>
                <w:color w:val="000000"/>
                <w:highlight w:val="black"/>
              </w:rPr>
              <w:t>''''''''''''''''''''''''''''''''</w:t>
            </w:r>
            <w:r w:rsidR="000E2C99">
              <w:rPr>
                <w:vertAlign w:val="superscript"/>
              </w:rPr>
              <w:t>3</w:t>
            </w:r>
          </w:p>
        </w:tc>
        <w:tc>
          <w:tcPr>
            <w:tcW w:w="529" w:type="pct"/>
            <w:shd w:val="clear" w:color="auto" w:fill="auto"/>
          </w:tcPr>
          <w:p w:rsidR="00D92ACB" w:rsidRPr="00DD7357" w:rsidRDefault="00DD7357" w:rsidP="00B218DF">
            <w:pPr>
              <w:pStyle w:val="TableText"/>
              <w:jc w:val="center"/>
              <w:rPr>
                <w:iCs/>
              </w:rPr>
            </w:pPr>
            <w:r>
              <w:rPr>
                <w:iCs/>
                <w:noProof/>
                <w:color w:val="000000"/>
                <w:highlight w:val="black"/>
              </w:rPr>
              <w:t>'''''''''''''''''''''''''''''''</w:t>
            </w:r>
            <w:r w:rsidR="000E2C99">
              <w:rPr>
                <w:vertAlign w:val="superscript"/>
              </w:rPr>
              <w:t>3</w:t>
            </w:r>
          </w:p>
        </w:tc>
        <w:tc>
          <w:tcPr>
            <w:tcW w:w="529" w:type="pct"/>
            <w:shd w:val="clear" w:color="auto" w:fill="auto"/>
          </w:tcPr>
          <w:p w:rsidR="00D92ACB" w:rsidRPr="00DD7357" w:rsidRDefault="00DD7357" w:rsidP="00B218DF">
            <w:pPr>
              <w:pStyle w:val="TableText"/>
              <w:jc w:val="center"/>
              <w:rPr>
                <w:iCs/>
              </w:rPr>
            </w:pPr>
            <w:r>
              <w:rPr>
                <w:iCs/>
                <w:noProof/>
                <w:color w:val="000000"/>
                <w:highlight w:val="black"/>
              </w:rPr>
              <w:t>'''''''''''''''''''''''''''''''</w:t>
            </w:r>
            <w:r w:rsidR="000E2C99">
              <w:rPr>
                <w:vertAlign w:val="superscript"/>
              </w:rPr>
              <w:t>3</w:t>
            </w:r>
          </w:p>
        </w:tc>
        <w:tc>
          <w:tcPr>
            <w:tcW w:w="529" w:type="pct"/>
            <w:shd w:val="clear" w:color="auto" w:fill="auto"/>
          </w:tcPr>
          <w:p w:rsidR="00D92ACB" w:rsidRPr="00DD7357" w:rsidRDefault="00DD7357" w:rsidP="00B218DF">
            <w:pPr>
              <w:pStyle w:val="TableText"/>
              <w:jc w:val="center"/>
              <w:rPr>
                <w:iCs/>
              </w:rPr>
            </w:pPr>
            <w:r>
              <w:rPr>
                <w:iCs/>
                <w:noProof/>
                <w:color w:val="000000"/>
                <w:highlight w:val="black"/>
              </w:rPr>
              <w:t>''''''''''''''''''''''''''''''</w:t>
            </w:r>
            <w:r w:rsidR="000E2C99">
              <w:rPr>
                <w:vertAlign w:val="superscript"/>
              </w:rPr>
              <w:t>3</w:t>
            </w:r>
          </w:p>
        </w:tc>
        <w:tc>
          <w:tcPr>
            <w:tcW w:w="535" w:type="pct"/>
            <w:shd w:val="clear" w:color="auto" w:fill="auto"/>
          </w:tcPr>
          <w:p w:rsidR="00D92ACB" w:rsidRPr="00DD7357" w:rsidRDefault="00DD7357" w:rsidP="00B218DF">
            <w:pPr>
              <w:pStyle w:val="TableText"/>
              <w:jc w:val="center"/>
              <w:rPr>
                <w:iCs/>
              </w:rPr>
            </w:pPr>
            <w:r>
              <w:rPr>
                <w:iCs/>
                <w:noProof/>
                <w:color w:val="000000"/>
                <w:highlight w:val="black"/>
              </w:rPr>
              <w:t>''''''''''''''''''''''''''''''</w:t>
            </w:r>
            <w:r w:rsidR="000E2C99">
              <w:rPr>
                <w:vertAlign w:val="superscript"/>
              </w:rPr>
              <w:t>3</w:t>
            </w:r>
          </w:p>
        </w:tc>
      </w:tr>
      <w:tr w:rsidR="000049D8" w:rsidRPr="000450DB" w:rsidTr="00B218DF">
        <w:tc>
          <w:tcPr>
            <w:tcW w:w="1700" w:type="pct"/>
            <w:shd w:val="clear" w:color="auto" w:fill="auto"/>
          </w:tcPr>
          <w:p w:rsidR="000049D8" w:rsidRPr="000450DB" w:rsidRDefault="000049D8" w:rsidP="00B218DF">
            <w:pPr>
              <w:pStyle w:val="TableText"/>
              <w:rPr>
                <w:iCs/>
              </w:rPr>
            </w:pPr>
            <w:r w:rsidRPr="000450DB">
              <w:rPr>
                <w:iCs/>
              </w:rPr>
              <w:t xml:space="preserve">Net cost to the MBS </w:t>
            </w:r>
          </w:p>
        </w:tc>
        <w:tc>
          <w:tcPr>
            <w:tcW w:w="647" w:type="pct"/>
            <w:shd w:val="clear" w:color="auto" w:fill="auto"/>
          </w:tcPr>
          <w:p w:rsidR="000049D8" w:rsidRPr="00DD7357" w:rsidRDefault="00DD7357" w:rsidP="00B218DF">
            <w:pPr>
              <w:pStyle w:val="TableText"/>
              <w:jc w:val="center"/>
              <w:rPr>
                <w:iCs/>
              </w:rPr>
            </w:pPr>
            <w:r>
              <w:rPr>
                <w:iCs/>
                <w:noProof/>
                <w:color w:val="000000"/>
                <w:highlight w:val="black"/>
              </w:rPr>
              <w:t>''''''''''''''''''</w:t>
            </w:r>
            <w:r w:rsidR="00045107">
              <w:rPr>
                <w:vertAlign w:val="superscript"/>
              </w:rPr>
              <w:t>4</w:t>
            </w:r>
          </w:p>
        </w:tc>
        <w:tc>
          <w:tcPr>
            <w:tcW w:w="529" w:type="pct"/>
            <w:shd w:val="clear" w:color="auto" w:fill="auto"/>
          </w:tcPr>
          <w:p w:rsidR="000049D8" w:rsidRPr="00DD7357" w:rsidRDefault="00DD7357" w:rsidP="00B218DF">
            <w:pPr>
              <w:pStyle w:val="TableText"/>
              <w:jc w:val="center"/>
              <w:rPr>
                <w:iCs/>
              </w:rPr>
            </w:pPr>
            <w:r>
              <w:rPr>
                <w:iCs/>
                <w:noProof/>
                <w:color w:val="000000"/>
                <w:highlight w:val="black"/>
              </w:rPr>
              <w:t>'''''''''''''''''''''</w:t>
            </w:r>
            <w:r w:rsidR="00045107">
              <w:rPr>
                <w:vertAlign w:val="superscript"/>
              </w:rPr>
              <w:t>4</w:t>
            </w:r>
          </w:p>
        </w:tc>
        <w:tc>
          <w:tcPr>
            <w:tcW w:w="529" w:type="pct"/>
            <w:shd w:val="clear" w:color="auto" w:fill="auto"/>
          </w:tcPr>
          <w:p w:rsidR="000049D8" w:rsidRPr="00DD7357" w:rsidRDefault="00DD7357" w:rsidP="00B218DF">
            <w:pPr>
              <w:pStyle w:val="TableText"/>
              <w:jc w:val="center"/>
              <w:rPr>
                <w:iCs/>
              </w:rPr>
            </w:pPr>
            <w:r>
              <w:rPr>
                <w:iCs/>
                <w:noProof/>
                <w:color w:val="000000"/>
                <w:highlight w:val="black"/>
              </w:rPr>
              <w:t>''''''''''''''''''''</w:t>
            </w:r>
            <w:r w:rsidR="00045107">
              <w:rPr>
                <w:vertAlign w:val="superscript"/>
              </w:rPr>
              <w:t>4</w:t>
            </w:r>
          </w:p>
        </w:tc>
        <w:tc>
          <w:tcPr>
            <w:tcW w:w="529" w:type="pct"/>
            <w:shd w:val="clear" w:color="auto" w:fill="auto"/>
          </w:tcPr>
          <w:p w:rsidR="000049D8" w:rsidRPr="00DD7357" w:rsidRDefault="00DD7357" w:rsidP="00B218DF">
            <w:pPr>
              <w:pStyle w:val="TableText"/>
              <w:jc w:val="center"/>
              <w:rPr>
                <w:iCs/>
              </w:rPr>
            </w:pPr>
            <w:r>
              <w:rPr>
                <w:iCs/>
                <w:noProof/>
                <w:color w:val="000000"/>
                <w:highlight w:val="black"/>
              </w:rPr>
              <w:t>'''''''''''''''''''''</w:t>
            </w:r>
            <w:r w:rsidR="00045107">
              <w:rPr>
                <w:vertAlign w:val="superscript"/>
              </w:rPr>
              <w:t>4</w:t>
            </w:r>
          </w:p>
        </w:tc>
        <w:tc>
          <w:tcPr>
            <w:tcW w:w="529" w:type="pct"/>
            <w:shd w:val="clear" w:color="auto" w:fill="auto"/>
          </w:tcPr>
          <w:p w:rsidR="000049D8" w:rsidRPr="00DD7357" w:rsidRDefault="00DD7357" w:rsidP="00B218DF">
            <w:pPr>
              <w:pStyle w:val="TableText"/>
              <w:jc w:val="center"/>
              <w:rPr>
                <w:iCs/>
              </w:rPr>
            </w:pPr>
            <w:r>
              <w:rPr>
                <w:iCs/>
                <w:noProof/>
                <w:color w:val="000000"/>
                <w:highlight w:val="black"/>
              </w:rPr>
              <w:t>'''''''''''''''''''</w:t>
            </w:r>
            <w:r w:rsidR="00045107">
              <w:rPr>
                <w:vertAlign w:val="superscript"/>
              </w:rPr>
              <w:t>4</w:t>
            </w:r>
          </w:p>
        </w:tc>
        <w:tc>
          <w:tcPr>
            <w:tcW w:w="535" w:type="pct"/>
            <w:shd w:val="clear" w:color="auto" w:fill="auto"/>
          </w:tcPr>
          <w:p w:rsidR="000049D8" w:rsidRPr="00DD7357" w:rsidRDefault="00DD7357" w:rsidP="00B218DF">
            <w:pPr>
              <w:pStyle w:val="TableText"/>
              <w:jc w:val="center"/>
              <w:rPr>
                <w:iCs/>
              </w:rPr>
            </w:pPr>
            <w:r>
              <w:rPr>
                <w:iCs/>
                <w:noProof/>
                <w:color w:val="000000"/>
                <w:highlight w:val="black"/>
              </w:rPr>
              <w:t>''''''''''''''''''''</w:t>
            </w:r>
            <w:r w:rsidR="00045107">
              <w:rPr>
                <w:vertAlign w:val="superscript"/>
              </w:rPr>
              <w:t>4</w:t>
            </w:r>
          </w:p>
        </w:tc>
      </w:tr>
      <w:tr w:rsidR="004D763B" w:rsidRPr="000450DB" w:rsidTr="00B218DF">
        <w:tc>
          <w:tcPr>
            <w:tcW w:w="1700" w:type="pct"/>
            <w:shd w:val="clear" w:color="auto" w:fill="auto"/>
          </w:tcPr>
          <w:p w:rsidR="004D763B" w:rsidRPr="000450DB" w:rsidRDefault="004D763B" w:rsidP="00B218DF">
            <w:pPr>
              <w:pStyle w:val="TableText"/>
              <w:rPr>
                <w:iCs/>
              </w:rPr>
            </w:pPr>
            <w:r w:rsidRPr="000450DB">
              <w:rPr>
                <w:iCs/>
              </w:rPr>
              <w:t>Net cost to the PBS/RPBS/MBS</w:t>
            </w:r>
          </w:p>
        </w:tc>
        <w:tc>
          <w:tcPr>
            <w:tcW w:w="647" w:type="pct"/>
            <w:shd w:val="clear" w:color="auto" w:fill="auto"/>
          </w:tcPr>
          <w:p w:rsidR="004D763B" w:rsidRPr="00DD7357" w:rsidRDefault="00DD7357" w:rsidP="00B218DF">
            <w:pPr>
              <w:pStyle w:val="TableText"/>
              <w:jc w:val="center"/>
              <w:rPr>
                <w:iCs/>
              </w:rPr>
            </w:pPr>
            <w:r>
              <w:rPr>
                <w:iCs/>
                <w:noProof/>
                <w:color w:val="000000"/>
                <w:highlight w:val="black"/>
              </w:rPr>
              <w:t>'''''''''''''''''''''''''''''''</w:t>
            </w:r>
            <w:r w:rsidR="000E2C99">
              <w:rPr>
                <w:vertAlign w:val="superscript"/>
              </w:rPr>
              <w:t>3</w:t>
            </w:r>
          </w:p>
        </w:tc>
        <w:tc>
          <w:tcPr>
            <w:tcW w:w="529" w:type="pct"/>
            <w:shd w:val="clear" w:color="auto" w:fill="auto"/>
          </w:tcPr>
          <w:p w:rsidR="004D763B" w:rsidRPr="00DD7357" w:rsidRDefault="00DD7357" w:rsidP="00B218DF">
            <w:pPr>
              <w:pStyle w:val="TableText"/>
              <w:jc w:val="center"/>
              <w:rPr>
                <w:iCs/>
              </w:rPr>
            </w:pPr>
            <w:r>
              <w:rPr>
                <w:iCs/>
                <w:noProof/>
                <w:color w:val="000000"/>
                <w:highlight w:val="black"/>
              </w:rPr>
              <w:t>''''''''''''''''''''''''''''''</w:t>
            </w:r>
            <w:r w:rsidR="000E2C99">
              <w:rPr>
                <w:vertAlign w:val="superscript"/>
              </w:rPr>
              <w:t>3</w:t>
            </w:r>
          </w:p>
        </w:tc>
        <w:tc>
          <w:tcPr>
            <w:tcW w:w="529" w:type="pct"/>
            <w:shd w:val="clear" w:color="auto" w:fill="auto"/>
          </w:tcPr>
          <w:p w:rsidR="004D763B" w:rsidRPr="00DD7357" w:rsidRDefault="00DD7357" w:rsidP="00B218DF">
            <w:pPr>
              <w:pStyle w:val="TableText"/>
              <w:jc w:val="center"/>
              <w:rPr>
                <w:iCs/>
              </w:rPr>
            </w:pPr>
            <w:r>
              <w:rPr>
                <w:iCs/>
                <w:noProof/>
                <w:color w:val="000000"/>
                <w:highlight w:val="black"/>
              </w:rPr>
              <w:t>''''''''''''''''''''''''''''''''</w:t>
            </w:r>
            <w:r w:rsidR="000E2C99">
              <w:rPr>
                <w:vertAlign w:val="superscript"/>
              </w:rPr>
              <w:t>3</w:t>
            </w:r>
          </w:p>
        </w:tc>
        <w:tc>
          <w:tcPr>
            <w:tcW w:w="529" w:type="pct"/>
            <w:shd w:val="clear" w:color="auto" w:fill="auto"/>
          </w:tcPr>
          <w:p w:rsidR="004D763B" w:rsidRPr="00DD7357" w:rsidRDefault="00DD7357" w:rsidP="00B218DF">
            <w:pPr>
              <w:pStyle w:val="TableText"/>
              <w:jc w:val="center"/>
              <w:rPr>
                <w:iCs/>
              </w:rPr>
            </w:pPr>
            <w:r>
              <w:rPr>
                <w:iCs/>
                <w:noProof/>
                <w:color w:val="000000"/>
                <w:highlight w:val="black"/>
              </w:rPr>
              <w:t>''''''''''''''''''''''''''''''''</w:t>
            </w:r>
            <w:r w:rsidR="000E2C99">
              <w:rPr>
                <w:vertAlign w:val="superscript"/>
              </w:rPr>
              <w:t>3</w:t>
            </w:r>
          </w:p>
        </w:tc>
        <w:tc>
          <w:tcPr>
            <w:tcW w:w="529" w:type="pct"/>
            <w:shd w:val="clear" w:color="auto" w:fill="auto"/>
          </w:tcPr>
          <w:p w:rsidR="004D763B" w:rsidRPr="00DD7357" w:rsidRDefault="00DD7357" w:rsidP="00B218DF">
            <w:pPr>
              <w:pStyle w:val="TableText"/>
              <w:jc w:val="center"/>
              <w:rPr>
                <w:iCs/>
              </w:rPr>
            </w:pPr>
            <w:r>
              <w:rPr>
                <w:iCs/>
                <w:noProof/>
                <w:color w:val="000000"/>
                <w:highlight w:val="black"/>
              </w:rPr>
              <w:t>'''''''''''''''''''''''''''''''</w:t>
            </w:r>
            <w:r w:rsidR="000E2C99">
              <w:rPr>
                <w:vertAlign w:val="superscript"/>
              </w:rPr>
              <w:t>3</w:t>
            </w:r>
          </w:p>
        </w:tc>
        <w:tc>
          <w:tcPr>
            <w:tcW w:w="535" w:type="pct"/>
            <w:shd w:val="clear" w:color="auto" w:fill="auto"/>
          </w:tcPr>
          <w:p w:rsidR="004D763B" w:rsidRPr="00DD7357" w:rsidRDefault="00DD7357" w:rsidP="00B218DF">
            <w:pPr>
              <w:pStyle w:val="TableText"/>
              <w:jc w:val="center"/>
              <w:rPr>
                <w:iCs/>
              </w:rPr>
            </w:pPr>
            <w:r>
              <w:rPr>
                <w:iCs/>
                <w:noProof/>
                <w:color w:val="000000"/>
                <w:highlight w:val="black"/>
              </w:rPr>
              <w:t>''''''''''''''''''''''''''''''''</w:t>
            </w:r>
            <w:r w:rsidR="000E2C99">
              <w:rPr>
                <w:vertAlign w:val="superscript"/>
              </w:rPr>
              <w:t>3</w:t>
            </w:r>
          </w:p>
        </w:tc>
      </w:tr>
    </w:tbl>
    <w:p w:rsidR="00626B6B" w:rsidRPr="003253E7" w:rsidRDefault="00626B6B" w:rsidP="00626B6B">
      <w:pPr>
        <w:pStyle w:val="TableFigureFooter"/>
      </w:pPr>
      <w:r w:rsidRPr="003253E7">
        <w:t>Source: Table 99, pp201-202; Table 100, pp202-203; Table 101, p204; Table 102, p206; Table 103, p207 of the submission.</w:t>
      </w:r>
    </w:p>
    <w:p w:rsidR="00626B6B" w:rsidRDefault="00626B6B" w:rsidP="00626B6B">
      <w:pPr>
        <w:pStyle w:val="TableFigureFooter"/>
      </w:pPr>
      <w:r w:rsidRPr="003253E7">
        <w:t>AML, acute myeloid leukaemia; APL, acute promyelocytic leukaemia; FMS-like tyrosine kinase 3; MBS, Medicare Benefits Scheme.</w:t>
      </w:r>
    </w:p>
    <w:p w:rsidR="00A7060C" w:rsidRDefault="00A7060C" w:rsidP="00A7060C">
      <w:pPr>
        <w:pStyle w:val="TableFigureFooter"/>
      </w:pPr>
      <w:r w:rsidRPr="00047E73">
        <w:rPr>
          <w:vertAlign w:val="superscript"/>
        </w:rPr>
        <w:t>a</w:t>
      </w:r>
      <w:r>
        <w:t xml:space="preserve"> The submission assumed that 98% of fit patients receive induction treatment, 22.5% are refractory to induction treatment, and 50% of patients with an initial response experience relapse.</w:t>
      </w:r>
    </w:p>
    <w:p w:rsidR="00A7060C" w:rsidRDefault="00A7060C" w:rsidP="00A7060C">
      <w:pPr>
        <w:pStyle w:val="TableFigureFooter"/>
      </w:pPr>
      <w:r w:rsidRPr="00047E73">
        <w:rPr>
          <w:vertAlign w:val="superscript"/>
        </w:rPr>
        <w:t xml:space="preserve">b </w:t>
      </w:r>
      <w:r>
        <w:t>The submission assumed that 70% of unfit patients receive induction treatment, 50% are refractory to induction treatment, and 60% of patients with an initial response experience relapse.</w:t>
      </w:r>
    </w:p>
    <w:p w:rsidR="000E2C99" w:rsidRDefault="000E2C99" w:rsidP="000E2C99">
      <w:pPr>
        <w:pStyle w:val="TableFigureFooter"/>
        <w:spacing w:after="0"/>
        <w:contextualSpacing w:val="0"/>
        <w:rPr>
          <w:i/>
        </w:rPr>
      </w:pPr>
      <w:r w:rsidRPr="009868C4">
        <w:rPr>
          <w:i/>
        </w:rPr>
        <w:t>The redacted values correspond to the following ranges</w:t>
      </w:r>
      <w:r>
        <w:rPr>
          <w:i/>
        </w:rPr>
        <w:t xml:space="preserve">: </w:t>
      </w:r>
    </w:p>
    <w:p w:rsidR="000E2C99" w:rsidRPr="00870C5D" w:rsidRDefault="000E2C99" w:rsidP="000E2C99">
      <w:pPr>
        <w:pStyle w:val="TableFigureFooter"/>
        <w:spacing w:after="0"/>
        <w:contextualSpacing w:val="0"/>
      </w:pPr>
      <w:r>
        <w:rPr>
          <w:i/>
          <w:vertAlign w:val="superscript"/>
        </w:rPr>
        <w:t>1</w:t>
      </w:r>
      <w:r>
        <w:rPr>
          <w:i/>
        </w:rPr>
        <w:t xml:space="preserve"> </w:t>
      </w:r>
      <w:r w:rsidRPr="000E2C99">
        <w:rPr>
          <w:i/>
        </w:rPr>
        <w:t>&lt; 500</w:t>
      </w:r>
    </w:p>
    <w:p w:rsidR="000E2C99" w:rsidRPr="00870C5D" w:rsidRDefault="000E2C99" w:rsidP="000E2C99">
      <w:pPr>
        <w:pStyle w:val="TableFigureFooter"/>
        <w:spacing w:after="0"/>
        <w:contextualSpacing w:val="0"/>
      </w:pPr>
      <w:r>
        <w:rPr>
          <w:i/>
          <w:vertAlign w:val="superscript"/>
        </w:rPr>
        <w:t>2</w:t>
      </w:r>
      <w:r>
        <w:rPr>
          <w:i/>
        </w:rPr>
        <w:t xml:space="preserve"> </w:t>
      </w:r>
      <w:r w:rsidRPr="000E2C99">
        <w:rPr>
          <w:i/>
        </w:rPr>
        <w:t>500 to &lt; 5,000</w:t>
      </w:r>
    </w:p>
    <w:p w:rsidR="000E2C99" w:rsidRPr="00870C5D" w:rsidRDefault="000E2C99" w:rsidP="000E2C99">
      <w:pPr>
        <w:pStyle w:val="TableFigureFooter"/>
        <w:spacing w:after="0"/>
        <w:contextualSpacing w:val="0"/>
      </w:pPr>
      <w:r>
        <w:rPr>
          <w:i/>
          <w:vertAlign w:val="superscript"/>
        </w:rPr>
        <w:t>3</w:t>
      </w:r>
      <w:r>
        <w:rPr>
          <w:i/>
        </w:rPr>
        <w:t xml:space="preserve"> </w:t>
      </w:r>
      <w:r w:rsidRPr="000E2C99">
        <w:rPr>
          <w:i/>
        </w:rPr>
        <w:t>$20 million to &lt; $30 million</w:t>
      </w:r>
    </w:p>
    <w:p w:rsidR="000E2C99" w:rsidRPr="00870C5D" w:rsidRDefault="000E2C99" w:rsidP="000E2C99">
      <w:pPr>
        <w:pStyle w:val="TableFigureFooter"/>
        <w:spacing w:after="0"/>
        <w:contextualSpacing w:val="0"/>
      </w:pPr>
      <w:r>
        <w:rPr>
          <w:i/>
          <w:vertAlign w:val="superscript"/>
        </w:rPr>
        <w:t>4</w:t>
      </w:r>
      <w:r>
        <w:rPr>
          <w:i/>
        </w:rPr>
        <w:t xml:space="preserve"> </w:t>
      </w:r>
      <w:r w:rsidRPr="000E2C99">
        <w:rPr>
          <w:i/>
        </w:rPr>
        <w:t>$0 to &lt; $10 million</w:t>
      </w:r>
    </w:p>
    <w:p w:rsidR="000E2C99" w:rsidRPr="00870C5D" w:rsidRDefault="000E2C99" w:rsidP="000E2C99">
      <w:pPr>
        <w:pStyle w:val="TableFigureFooter"/>
        <w:spacing w:after="0"/>
        <w:contextualSpacing w:val="0"/>
      </w:pPr>
      <w:r>
        <w:rPr>
          <w:i/>
          <w:vertAlign w:val="superscript"/>
        </w:rPr>
        <w:t>5</w:t>
      </w:r>
      <w:r>
        <w:rPr>
          <w:i/>
        </w:rPr>
        <w:t xml:space="preserve"> </w:t>
      </w:r>
      <w:r w:rsidRPr="000E2C99">
        <w:rPr>
          <w:i/>
        </w:rPr>
        <w:t>$10 million to &lt; $20 million</w:t>
      </w:r>
    </w:p>
    <w:p w:rsidR="000E2C99" w:rsidRPr="003253E7" w:rsidRDefault="000E2C99" w:rsidP="00A7060C">
      <w:pPr>
        <w:pStyle w:val="TableFigureFooter"/>
      </w:pPr>
    </w:p>
    <w:p w:rsidR="00626B6B" w:rsidRPr="003253E7" w:rsidRDefault="00626B6B" w:rsidP="00045107">
      <w:pPr>
        <w:pStyle w:val="ExecSumBodyText"/>
      </w:pPr>
      <w:r w:rsidRPr="003253E7">
        <w:t xml:space="preserve">The </w:t>
      </w:r>
      <w:r w:rsidR="004D763B">
        <w:t xml:space="preserve">submission </w:t>
      </w:r>
      <w:r w:rsidRPr="003253E7">
        <w:t xml:space="preserve">estimated net cost to the PBS/RPBS was </w:t>
      </w:r>
      <w:r w:rsidR="00045107" w:rsidRPr="00045107">
        <w:t>$20 million to &lt; $30 million</w:t>
      </w:r>
      <w:r w:rsidR="00045107">
        <w:t xml:space="preserve"> </w:t>
      </w:r>
      <w:r w:rsidRPr="003253E7">
        <w:t xml:space="preserve">in Year 1 of listing, increasing to </w:t>
      </w:r>
      <w:r w:rsidR="00045107" w:rsidRPr="00045107">
        <w:t>$20 million to &lt; $30 million</w:t>
      </w:r>
      <w:r w:rsidR="00045107">
        <w:t xml:space="preserve"> </w:t>
      </w:r>
      <w:r w:rsidRPr="003253E7">
        <w:t xml:space="preserve">in Year 6, a total of </w:t>
      </w:r>
      <w:r w:rsidR="00045107" w:rsidRPr="00045107">
        <w:t>$100 million to &lt; $200 million</w:t>
      </w:r>
      <w:r w:rsidR="00045107">
        <w:t xml:space="preserve"> </w:t>
      </w:r>
      <w:r w:rsidRPr="003253E7">
        <w:t>o</w:t>
      </w:r>
      <w:r w:rsidR="00081FEC">
        <w:t>ver</w:t>
      </w:r>
      <w:r w:rsidRPr="003253E7">
        <w:t xml:space="preserve"> the first six years. </w:t>
      </w:r>
    </w:p>
    <w:p w:rsidR="00626B6B" w:rsidRPr="005743F7" w:rsidRDefault="00626B6B" w:rsidP="0023584E">
      <w:pPr>
        <w:pStyle w:val="ExecSumBodyText"/>
        <w:rPr>
          <w:iCs/>
        </w:rPr>
      </w:pPr>
      <w:bookmarkStart w:id="54" w:name="_Ref89326526"/>
      <w:r w:rsidRPr="005743F7">
        <w:rPr>
          <w:iCs/>
        </w:rPr>
        <w:t>The utilisation estimates were considered uncertain due to the following reasons:</w:t>
      </w:r>
      <w:bookmarkEnd w:id="54"/>
    </w:p>
    <w:p w:rsidR="00626B6B" w:rsidRPr="00C00A16" w:rsidRDefault="00626B6B" w:rsidP="00E73CF7">
      <w:pPr>
        <w:pStyle w:val="ExecSumBodyText"/>
        <w:numPr>
          <w:ilvl w:val="0"/>
          <w:numId w:val="6"/>
        </w:numPr>
        <w:ind w:left="1077" w:hanging="357"/>
        <w:rPr>
          <w:rFonts w:eastAsia="Calibri"/>
          <w:iCs/>
        </w:rPr>
      </w:pPr>
      <w:r w:rsidRPr="005743F7">
        <w:rPr>
          <w:rFonts w:eastAsia="Calibri"/>
          <w:iCs/>
        </w:rPr>
        <w:t xml:space="preserve">There was substantial variation among many of the published estimates used to derive the eligible patient population, which affected the reliability of the eligible population estimates. </w:t>
      </w:r>
      <w:r w:rsidR="00D36C14" w:rsidRPr="00C00A16">
        <w:rPr>
          <w:rFonts w:eastAsia="Calibri"/>
          <w:iCs/>
        </w:rPr>
        <w:t>The PSCR argued that multiple sensitivity analyses were presented in the submission to test the reliability of the eligible population estimates.</w:t>
      </w:r>
      <w:r w:rsidR="0096064B" w:rsidRPr="00C00A16">
        <w:rPr>
          <w:rFonts w:eastAsia="Calibri"/>
          <w:iCs/>
        </w:rPr>
        <w:t xml:space="preserve"> The ESC noted PBS prescription data provided by the DUSC Secretariat which indicated 96 patients initiated therapy with midostaurin </w:t>
      </w:r>
      <w:r w:rsidR="000A2B1D" w:rsidRPr="00C00A16">
        <w:rPr>
          <w:rFonts w:eastAsia="Calibri"/>
          <w:iCs/>
        </w:rPr>
        <w:t xml:space="preserve">for AML in 2019, 111 patients in 2020 and 63 patients up to the end of September 2021. The ESC considered the proposed number of patients treated with gilteritinib was likely overestimated. </w:t>
      </w:r>
      <w:r w:rsidR="009454FC">
        <w:rPr>
          <w:rFonts w:eastAsia="Calibri"/>
          <w:iCs/>
        </w:rPr>
        <w:t>The PBAC considered this data may not be applicable as midostaurin is used in fit patients only, however agreed that the estimates were uncertain.</w:t>
      </w:r>
    </w:p>
    <w:p w:rsidR="00626B6B" w:rsidRPr="00C00A16" w:rsidRDefault="00626B6B" w:rsidP="00E73CF7">
      <w:pPr>
        <w:pStyle w:val="ExecSumBodyText"/>
        <w:numPr>
          <w:ilvl w:val="0"/>
          <w:numId w:val="6"/>
        </w:numPr>
        <w:ind w:left="1077" w:hanging="357"/>
        <w:rPr>
          <w:rFonts w:eastAsia="Calibri"/>
          <w:iCs/>
        </w:rPr>
      </w:pPr>
      <w:r w:rsidRPr="00C00A16">
        <w:rPr>
          <w:rFonts w:eastAsia="Calibri"/>
          <w:iCs/>
        </w:rPr>
        <w:t>The treatment duration for gilteritinib was based on the mean treatment duration for patients in the ADMIRAL trial. As treatment with gilteritinib was ongoing for some patients at the time of the final analysis, the mean treatment duration in the ADMIRAL trial is likely to increase with additional follow-up. Patients receiving gilteritinib maintenance therapy after HSCT are likely to receive treatment over a longer duration than those patients who do not undergo HSCT.</w:t>
      </w:r>
      <w:r w:rsidR="003B2AF7" w:rsidRPr="00C00A16">
        <w:rPr>
          <w:rFonts w:eastAsia="Calibri"/>
          <w:iCs/>
        </w:rPr>
        <w:t xml:space="preserve"> </w:t>
      </w:r>
      <w:r w:rsidR="00BB33FC">
        <w:rPr>
          <w:iCs/>
        </w:rPr>
        <w:t>The use of post-HSCT maintenance therapy was removed in the pre-PBAC response.</w:t>
      </w:r>
    </w:p>
    <w:p w:rsidR="00626B6B" w:rsidRPr="007672C8" w:rsidRDefault="00626B6B" w:rsidP="00045107">
      <w:pPr>
        <w:pStyle w:val="ExecSumBodyText"/>
        <w:numPr>
          <w:ilvl w:val="0"/>
          <w:numId w:val="6"/>
        </w:numPr>
        <w:rPr>
          <w:rFonts w:eastAsia="Calibri"/>
          <w:iCs/>
        </w:rPr>
      </w:pPr>
      <w:r w:rsidRPr="005743F7">
        <w:rPr>
          <w:rFonts w:eastAsia="Calibri"/>
          <w:iCs/>
        </w:rPr>
        <w:t xml:space="preserve">The submission’s </w:t>
      </w:r>
      <w:r w:rsidRPr="007672C8">
        <w:rPr>
          <w:rFonts w:eastAsia="Calibri"/>
          <w:iCs/>
        </w:rPr>
        <w:t>assumption that only 72% of patients would continue treatment after 84 days (3 cycles) and receive an additional 4.85 cycles, resulted in a mean treatment duration that was shorter than reported in the ADMIRAL trial (6.49 cycles versus 7.85 cycles).</w:t>
      </w:r>
      <w:r w:rsidR="003B2AF7" w:rsidRPr="007672C8">
        <w:rPr>
          <w:rFonts w:eastAsia="Calibri"/>
          <w:iCs/>
        </w:rPr>
        <w:t xml:space="preserve"> </w:t>
      </w:r>
      <w:r w:rsidR="007B6D8C" w:rsidRPr="007672C8">
        <w:rPr>
          <w:rFonts w:eastAsia="Calibri"/>
          <w:iCs/>
        </w:rPr>
        <w:t xml:space="preserve">The PSCR acknowledged </w:t>
      </w:r>
      <w:r w:rsidR="003B2AF7" w:rsidRPr="007672C8">
        <w:t>that to achieve an overall mean treatment duration of 7.</w:t>
      </w:r>
      <w:r w:rsidR="007B6D8C" w:rsidRPr="007672C8">
        <w:t>85 cycles</w:t>
      </w:r>
      <w:r w:rsidR="003B2AF7" w:rsidRPr="007672C8">
        <w:t xml:space="preserve">, where a specified proportion of patients receive continuing treatment, the duration of continuing treatment needs to be longer. The </w:t>
      </w:r>
      <w:r w:rsidR="007B6D8C" w:rsidRPr="007672C8">
        <w:t xml:space="preserve">PSCR noted that </w:t>
      </w:r>
      <w:r w:rsidR="003B2AF7" w:rsidRPr="007672C8">
        <w:t>this change (189 days of continuing treatment instead of 135.80 days</w:t>
      </w:r>
      <w:r w:rsidR="003B2AF7" w:rsidRPr="00C00A16">
        <w:t xml:space="preserve"> in the submission’s estimates) </w:t>
      </w:r>
      <w:r w:rsidR="007B6D8C" w:rsidRPr="00C00A16">
        <w:t xml:space="preserve">resulted in </w:t>
      </w:r>
      <w:r w:rsidR="003B2AF7" w:rsidRPr="00C00A16">
        <w:t>a 21% increase of the Net Cost to the PBS / RPBS at the effective price for gilteritinib (not considering any chemothe</w:t>
      </w:r>
      <w:r w:rsidR="007B6D8C" w:rsidRPr="00C00A16">
        <w:t xml:space="preserve">rapy cost offsets). The PSCR </w:t>
      </w:r>
      <w:r w:rsidR="009454FC">
        <w:t>proposed</w:t>
      </w:r>
      <w:r w:rsidR="009454FC" w:rsidRPr="00C00A16">
        <w:t xml:space="preserve"> </w:t>
      </w:r>
      <w:r w:rsidR="003B2AF7" w:rsidRPr="00C00A16">
        <w:t xml:space="preserve">that this </w:t>
      </w:r>
      <w:r w:rsidR="009454FC">
        <w:t>be</w:t>
      </w:r>
      <w:r w:rsidR="009454FC" w:rsidRPr="00C00A16">
        <w:t xml:space="preserve"> </w:t>
      </w:r>
      <w:r w:rsidR="003B2AF7" w:rsidRPr="00C00A16">
        <w:t>the new base case for the estimates.</w:t>
      </w:r>
      <w:r w:rsidR="009B7D95" w:rsidRPr="00C00A16">
        <w:t xml:space="preserve"> </w:t>
      </w:r>
      <w:r w:rsidR="009B7D95" w:rsidRPr="00C00A16">
        <w:rPr>
          <w:rFonts w:eastAsia="Calibri"/>
          <w:iCs/>
        </w:rPr>
        <w:t xml:space="preserve">The ESC noted the revised base case proposed in the PSCR resulted in an estimated net cost to the PBS/RPBS of </w:t>
      </w:r>
      <w:r w:rsidR="00045107" w:rsidRPr="00045107">
        <w:rPr>
          <w:rFonts w:eastAsia="Calibri"/>
          <w:iCs/>
        </w:rPr>
        <w:t>$20 million to &lt; $30 million</w:t>
      </w:r>
      <w:r w:rsidR="00045107">
        <w:rPr>
          <w:rFonts w:eastAsia="Calibri"/>
          <w:iCs/>
        </w:rPr>
        <w:t xml:space="preserve"> </w:t>
      </w:r>
      <w:r w:rsidR="009B7D95" w:rsidRPr="00C00A16">
        <w:rPr>
          <w:rFonts w:eastAsia="Calibri"/>
          <w:iCs/>
        </w:rPr>
        <w:t xml:space="preserve">in Year 1 of listing, increasing to </w:t>
      </w:r>
      <w:r w:rsidR="00045107" w:rsidRPr="00045107">
        <w:rPr>
          <w:rFonts w:eastAsia="Calibri"/>
          <w:iCs/>
        </w:rPr>
        <w:t>$20 million to &lt; $30 million</w:t>
      </w:r>
      <w:r w:rsidR="00045107">
        <w:rPr>
          <w:rFonts w:eastAsia="Calibri"/>
          <w:iCs/>
        </w:rPr>
        <w:t xml:space="preserve"> </w:t>
      </w:r>
      <w:r w:rsidR="009B7D95" w:rsidRPr="00C00A16">
        <w:rPr>
          <w:rFonts w:eastAsia="Calibri"/>
          <w:iCs/>
        </w:rPr>
        <w:t xml:space="preserve">in Year 6, a total of </w:t>
      </w:r>
      <w:r w:rsidR="00045107" w:rsidRPr="00045107">
        <w:rPr>
          <w:rFonts w:eastAsia="Calibri"/>
          <w:iCs/>
        </w:rPr>
        <w:t>$100 million to &lt; $200 million</w:t>
      </w:r>
      <w:r w:rsidR="00045107">
        <w:rPr>
          <w:rFonts w:eastAsia="Calibri"/>
          <w:iCs/>
        </w:rPr>
        <w:t xml:space="preserve"> </w:t>
      </w:r>
      <w:r w:rsidR="009B7D95" w:rsidRPr="00C00A16">
        <w:rPr>
          <w:rFonts w:eastAsia="Calibri"/>
          <w:iCs/>
        </w:rPr>
        <w:t>of the first six years.</w:t>
      </w:r>
      <w:r w:rsidR="009454FC">
        <w:rPr>
          <w:rFonts w:eastAsia="Calibri"/>
          <w:iCs/>
        </w:rPr>
        <w:t xml:space="preserve"> The PBAC noted that the pre-PBAC response estimates applied an o</w:t>
      </w:r>
      <w:r w:rsidR="009454FC" w:rsidRPr="009454FC">
        <w:rPr>
          <w:rFonts w:eastAsia="Calibri"/>
          <w:iCs/>
        </w:rPr>
        <w:t xml:space="preserve">verall mean </w:t>
      </w:r>
      <w:r w:rsidR="009454FC">
        <w:rPr>
          <w:rFonts w:eastAsia="Calibri"/>
          <w:iCs/>
        </w:rPr>
        <w:t xml:space="preserve">of </w:t>
      </w:r>
      <w:r w:rsidR="009454FC" w:rsidRPr="007672C8">
        <w:rPr>
          <w:rFonts w:eastAsia="Calibri"/>
          <w:iCs/>
        </w:rPr>
        <w:t>5.84 cycles, which was consistent with removing the request for post-HSCT maintenance therapy.</w:t>
      </w:r>
    </w:p>
    <w:p w:rsidR="00626B6B" w:rsidRPr="005743F7" w:rsidRDefault="00626B6B" w:rsidP="00E73CF7">
      <w:pPr>
        <w:pStyle w:val="ExecSumBodyText"/>
        <w:numPr>
          <w:ilvl w:val="0"/>
          <w:numId w:val="6"/>
        </w:numPr>
        <w:ind w:left="1077" w:hanging="357"/>
        <w:rPr>
          <w:rFonts w:eastAsia="Calibri"/>
          <w:iCs/>
        </w:rPr>
      </w:pPr>
      <w:r w:rsidRPr="007672C8">
        <w:rPr>
          <w:rFonts w:eastAsia="Calibri"/>
          <w:iCs/>
        </w:rPr>
        <w:t>Gilteritinib utilisation in Australian clinical practice (including dose and treatment duration) may differ from utilisation among patients in the ADMIRAL trial. The assumed 100%</w:t>
      </w:r>
      <w:r w:rsidRPr="005743F7">
        <w:rPr>
          <w:rFonts w:eastAsia="Calibri"/>
          <w:iCs/>
        </w:rPr>
        <w:t xml:space="preserve"> treatment adherence for patients treated with gilteritinib was not reasonable.</w:t>
      </w:r>
    </w:p>
    <w:p w:rsidR="00626B6B" w:rsidRPr="005743F7" w:rsidRDefault="00626B6B" w:rsidP="00E73CF7">
      <w:pPr>
        <w:pStyle w:val="ExecSumBodyText"/>
        <w:numPr>
          <w:ilvl w:val="0"/>
          <w:numId w:val="6"/>
        </w:numPr>
        <w:ind w:left="1077" w:hanging="357"/>
        <w:rPr>
          <w:rFonts w:eastAsia="Calibri"/>
          <w:iCs/>
        </w:rPr>
      </w:pPr>
      <w:r w:rsidRPr="005743F7">
        <w:rPr>
          <w:rFonts w:eastAsia="Calibri"/>
          <w:iCs/>
        </w:rPr>
        <w:t>Cost offsets associated with displaced salvage chemotherapy treatments were overestimated, as the submission’s estimates were based on PBS maximum quantities/amounts, which were generally higher than what is required for the specified treatment regimens, and chemotherapy drug costs for patients treated as inpatients in public hospitals will be funded by hospital (state government) budgets rather than the PBS.</w:t>
      </w:r>
    </w:p>
    <w:p w:rsidR="004D763B" w:rsidRPr="000A6448" w:rsidRDefault="00626B6B" w:rsidP="00E73CF7">
      <w:pPr>
        <w:pStyle w:val="ExecSumBodyText"/>
        <w:numPr>
          <w:ilvl w:val="0"/>
          <w:numId w:val="6"/>
        </w:numPr>
        <w:ind w:left="1077" w:hanging="357"/>
        <w:rPr>
          <w:rFonts w:eastAsia="Calibri"/>
          <w:iCs/>
        </w:rPr>
      </w:pPr>
      <w:r w:rsidRPr="005743F7">
        <w:rPr>
          <w:rFonts w:eastAsia="Calibri"/>
          <w:iCs/>
        </w:rPr>
        <w:t>There is potential for use of gilteritinib outside of the proposed restriction either in combination with other chemotherapy agents, or beyond disease progression.</w:t>
      </w:r>
      <w:r w:rsidR="007B6D8C">
        <w:rPr>
          <w:rFonts w:eastAsia="Calibri"/>
          <w:iCs/>
        </w:rPr>
        <w:t xml:space="preserve"> </w:t>
      </w:r>
      <w:r w:rsidR="007B6D8C" w:rsidRPr="00C00A16">
        <w:rPr>
          <w:rFonts w:eastAsia="Calibri"/>
          <w:iCs/>
        </w:rPr>
        <w:t xml:space="preserve">The PSCR argued the Authority Required (telephone/electronic) listing requested and the restriction wording stating that gilteritinib treatment must be as monotherapy would mean there is </w:t>
      </w:r>
      <w:r w:rsidR="007B6D8C" w:rsidRPr="00C00A16">
        <w:t>very little, to no p</w:t>
      </w:r>
      <w:r w:rsidR="0068046A" w:rsidRPr="00C00A16">
        <w:t>otential for</w:t>
      </w:r>
      <w:r w:rsidR="007B6D8C" w:rsidRPr="00C00A16">
        <w:t xml:space="preserve"> use outside the proposed restriction.</w:t>
      </w:r>
      <w:r w:rsidR="007B6D8C" w:rsidRPr="0096064B">
        <w:t xml:space="preserve"> </w:t>
      </w:r>
    </w:p>
    <w:p w:rsidR="00626B6B" w:rsidRPr="003253E7" w:rsidRDefault="00626B6B" w:rsidP="00626B6B">
      <w:pPr>
        <w:pStyle w:val="3-SubsectionHeading"/>
      </w:pPr>
      <w:bookmarkStart w:id="55" w:name="_Toc22897648"/>
      <w:bookmarkStart w:id="56" w:name="_Toc22898860"/>
      <w:bookmarkStart w:id="57" w:name="_Toc82605763"/>
      <w:r w:rsidRPr="003253E7">
        <w:t>Quality Use of Medicines</w:t>
      </w:r>
      <w:bookmarkEnd w:id="55"/>
      <w:bookmarkEnd w:id="56"/>
      <w:bookmarkEnd w:id="57"/>
    </w:p>
    <w:p w:rsidR="00626B6B" w:rsidRPr="005743F7" w:rsidRDefault="00626B6B" w:rsidP="0023584E">
      <w:pPr>
        <w:pStyle w:val="ExecSumBodyText"/>
      </w:pPr>
      <w:r w:rsidRPr="003253E7">
        <w:t xml:space="preserve">The submission listed a number of internal company policies and general activities that aim to support the quality use of medicines (management responsibilities, quality risk management, change control, deviations and corrective and preventive actions, personnel and training, documentation, storage and transport, and product security). </w:t>
      </w:r>
      <w:r w:rsidRPr="005743F7">
        <w:rPr>
          <w:iCs/>
        </w:rPr>
        <w:t>No specific quality use of medicines relating to gilteritinib were identified and no specific initiatives to support the quality use of gilteritinib were proposed in the submission.</w:t>
      </w:r>
    </w:p>
    <w:p w:rsidR="00626B6B" w:rsidRPr="001D79E7" w:rsidRDefault="00626B6B" w:rsidP="00626B6B">
      <w:pPr>
        <w:pStyle w:val="3-SubsectionHeading"/>
      </w:pPr>
      <w:bookmarkStart w:id="58" w:name="_Toc22897649"/>
      <w:bookmarkStart w:id="59" w:name="_Toc22898861"/>
      <w:bookmarkStart w:id="60" w:name="_Toc82605764"/>
      <w:r w:rsidRPr="001D79E7">
        <w:t>Financial Management – Risk Sharing Arrangements</w:t>
      </w:r>
      <w:bookmarkEnd w:id="58"/>
      <w:bookmarkEnd w:id="59"/>
      <w:bookmarkEnd w:id="60"/>
    </w:p>
    <w:p w:rsidR="00576972" w:rsidRPr="001D79E7" w:rsidRDefault="00626B6B" w:rsidP="00626B6B">
      <w:pPr>
        <w:pStyle w:val="ExecSumBodyText"/>
      </w:pPr>
      <w:r w:rsidRPr="001D79E7">
        <w:t xml:space="preserve">No risk sharing arrangements </w:t>
      </w:r>
      <w:r w:rsidR="00975066">
        <w:t xml:space="preserve">(RSA) </w:t>
      </w:r>
      <w:r w:rsidRPr="001D79E7">
        <w:t>proposed.</w:t>
      </w:r>
      <w:r w:rsidR="00975066">
        <w:t xml:space="preserve"> The pre-PBAC response indicated a willingness to enter an RSA if required.</w:t>
      </w:r>
    </w:p>
    <w:p w:rsidR="00E73CF7" w:rsidRDefault="002332F5" w:rsidP="00E73CF7">
      <w:pPr>
        <w:ind w:firstLine="720"/>
        <w:rPr>
          <w:rFonts w:asciiTheme="minorHAnsi" w:hAnsiTheme="minorHAnsi"/>
          <w:i/>
        </w:rPr>
      </w:pPr>
      <w:r w:rsidRPr="00C33D30">
        <w:rPr>
          <w:rFonts w:asciiTheme="minorHAnsi" w:hAnsiTheme="minorHAnsi"/>
          <w:i/>
        </w:rPr>
        <w:t>For more detail on PBAC’s view, see section 7 PBAC outcome</w:t>
      </w:r>
    </w:p>
    <w:p w:rsidR="00E73CF7" w:rsidRPr="00E73CF7" w:rsidRDefault="00E73CF7" w:rsidP="009454FC">
      <w:pPr>
        <w:pStyle w:val="2-SectionHeading"/>
      </w:pPr>
      <w:bookmarkStart w:id="61" w:name="_Hlk76381249"/>
      <w:bookmarkStart w:id="62" w:name="_Hlk76377955"/>
      <w:r w:rsidRPr="00E73CF7">
        <w:t>PBAC Outcome</w:t>
      </w:r>
    </w:p>
    <w:p w:rsidR="003A1D32" w:rsidRDefault="003A1D32" w:rsidP="008B0C28">
      <w:pPr>
        <w:widowControl w:val="0"/>
        <w:numPr>
          <w:ilvl w:val="1"/>
          <w:numId w:val="1"/>
        </w:numPr>
        <w:spacing w:after="120"/>
        <w:rPr>
          <w:rFonts w:asciiTheme="minorHAnsi" w:hAnsiTheme="minorHAnsi"/>
          <w:snapToGrid w:val="0"/>
          <w:lang w:val="en-GB" w:eastAsia="en-US"/>
        </w:rPr>
      </w:pPr>
      <w:bookmarkStart w:id="63" w:name="_Hlk89333560"/>
      <w:r w:rsidRPr="00F4227C">
        <w:rPr>
          <w:rFonts w:asciiTheme="minorHAnsi" w:hAnsiTheme="minorHAnsi"/>
          <w:snapToGrid w:val="0"/>
          <w:lang w:val="en-GB" w:eastAsia="en-US"/>
        </w:rPr>
        <w:t>The PB</w:t>
      </w:r>
      <w:r w:rsidRPr="00DE58EE">
        <w:rPr>
          <w:rFonts w:asciiTheme="minorHAnsi" w:hAnsiTheme="minorHAnsi"/>
          <w:snapToGrid w:val="0"/>
          <w:lang w:val="en-GB" w:eastAsia="en-US"/>
        </w:rPr>
        <w:t xml:space="preserve">AC did not recommended the listing of gilteritinib for the treatment of relapsed or refractory FLT3 mutation-positive acute myeloid leukaemia (AML). The PBAC considered that the clinical claim of superior effectiveness over salvage chemotherapy may be reasonable, but that long-term survival was uncertain </w:t>
      </w:r>
      <w:r w:rsidR="0066662A">
        <w:rPr>
          <w:rFonts w:asciiTheme="minorHAnsi" w:hAnsiTheme="minorHAnsi"/>
          <w:snapToGrid w:val="0"/>
          <w:lang w:val="en-GB" w:eastAsia="en-US"/>
        </w:rPr>
        <w:t>based on the available evidence</w:t>
      </w:r>
      <w:r w:rsidRPr="00DE58EE">
        <w:rPr>
          <w:rFonts w:asciiTheme="minorHAnsi" w:hAnsiTheme="minorHAnsi"/>
          <w:snapToGrid w:val="0"/>
          <w:lang w:val="en-GB" w:eastAsia="en-US"/>
        </w:rPr>
        <w:t>. The PBAC considered that</w:t>
      </w:r>
      <w:r w:rsidR="00711EAA">
        <w:rPr>
          <w:rFonts w:asciiTheme="minorHAnsi" w:hAnsiTheme="minorHAnsi"/>
          <w:snapToGrid w:val="0"/>
          <w:lang w:val="en-GB" w:eastAsia="en-US"/>
        </w:rPr>
        <w:t xml:space="preserve"> revisions to the inputs for</w:t>
      </w:r>
      <w:r w:rsidRPr="00DE58EE">
        <w:rPr>
          <w:rFonts w:asciiTheme="minorHAnsi" w:hAnsiTheme="minorHAnsi"/>
          <w:snapToGrid w:val="0"/>
          <w:lang w:val="en-GB" w:eastAsia="en-US"/>
        </w:rPr>
        <w:t xml:space="preserve"> the economic model </w:t>
      </w:r>
      <w:r w:rsidR="00711EAA">
        <w:rPr>
          <w:rFonts w:asciiTheme="minorHAnsi" w:hAnsiTheme="minorHAnsi"/>
          <w:snapToGrid w:val="0"/>
          <w:lang w:val="en-GB" w:eastAsia="en-US"/>
        </w:rPr>
        <w:t>were required</w:t>
      </w:r>
      <w:r w:rsidRPr="00DE58EE">
        <w:rPr>
          <w:rFonts w:asciiTheme="minorHAnsi" w:hAnsiTheme="minorHAnsi"/>
          <w:snapToGrid w:val="0"/>
          <w:lang w:val="en-GB" w:eastAsia="en-US"/>
        </w:rPr>
        <w:t>, including, among other matters, removing use as maintenance therapy post hematopoietic stem-cell transplantation</w:t>
      </w:r>
      <w:r w:rsidR="009B169F">
        <w:rPr>
          <w:rFonts w:asciiTheme="minorHAnsi" w:hAnsiTheme="minorHAnsi"/>
          <w:snapToGrid w:val="0"/>
          <w:lang w:val="en-GB" w:eastAsia="en-US"/>
        </w:rPr>
        <w:t xml:space="preserve"> (HSCT)</w:t>
      </w:r>
      <w:r w:rsidRPr="00DE58EE">
        <w:rPr>
          <w:rFonts w:asciiTheme="minorHAnsi" w:hAnsiTheme="minorHAnsi"/>
          <w:snapToGrid w:val="0"/>
          <w:lang w:val="en-GB" w:eastAsia="en-US"/>
        </w:rPr>
        <w:t>, reducing the time horizon, and adjusting the point at which patients can be considered cured. A price reduction would be required to achieve cost-effectiveness under this revised scenario, and a resubmission would need to make corresponding updates</w:t>
      </w:r>
      <w:r w:rsidR="00997F1B">
        <w:rPr>
          <w:rFonts w:asciiTheme="minorHAnsi" w:hAnsiTheme="minorHAnsi"/>
          <w:snapToGrid w:val="0"/>
          <w:lang w:val="en-GB" w:eastAsia="en-US"/>
        </w:rPr>
        <w:t xml:space="preserve"> and other changes</w:t>
      </w:r>
      <w:r w:rsidRPr="00DE58EE">
        <w:rPr>
          <w:rFonts w:asciiTheme="minorHAnsi" w:hAnsiTheme="minorHAnsi"/>
          <w:snapToGrid w:val="0"/>
          <w:lang w:val="en-GB" w:eastAsia="en-US"/>
        </w:rPr>
        <w:t xml:space="preserve"> to the financial estimates. </w:t>
      </w:r>
    </w:p>
    <w:bookmarkEnd w:id="63"/>
    <w:p w:rsidR="00DA52A8" w:rsidRPr="00DA52A8" w:rsidRDefault="00D30C5C" w:rsidP="00472D47">
      <w:pPr>
        <w:widowControl w:val="0"/>
        <w:numPr>
          <w:ilvl w:val="1"/>
          <w:numId w:val="1"/>
        </w:numPr>
        <w:spacing w:after="120"/>
        <w:contextualSpacing/>
        <w:rPr>
          <w:rFonts w:asciiTheme="minorHAnsi" w:hAnsiTheme="minorHAnsi"/>
          <w:snapToGrid w:val="0"/>
          <w:color w:val="0070C0"/>
          <w:lang w:val="en-GB" w:eastAsia="en-US"/>
        </w:rPr>
      </w:pPr>
      <w:r w:rsidRPr="00DA52A8">
        <w:rPr>
          <w:rFonts w:asciiTheme="minorHAnsi" w:hAnsiTheme="minorHAnsi"/>
          <w:snapToGrid w:val="0"/>
          <w:lang w:val="en-GB" w:eastAsia="en-US"/>
        </w:rPr>
        <w:t xml:space="preserve">In terms of clinical need, the PBAC </w:t>
      </w:r>
      <w:r w:rsidR="00147B76" w:rsidRPr="00DA52A8">
        <w:rPr>
          <w:rFonts w:asciiTheme="minorHAnsi" w:hAnsiTheme="minorHAnsi"/>
          <w:snapToGrid w:val="0"/>
          <w:lang w:val="en-GB" w:eastAsia="en-US"/>
        </w:rPr>
        <w:t>agreed with</w:t>
      </w:r>
      <w:r w:rsidRPr="00DA52A8">
        <w:rPr>
          <w:rFonts w:asciiTheme="minorHAnsi" w:hAnsiTheme="minorHAnsi"/>
          <w:snapToGrid w:val="0"/>
          <w:lang w:val="en-GB" w:eastAsia="en-US"/>
        </w:rPr>
        <w:t xml:space="preserve"> the sponsor hearing</w:t>
      </w:r>
      <w:r w:rsidR="00147B76" w:rsidRPr="00DA52A8">
        <w:rPr>
          <w:rFonts w:asciiTheme="minorHAnsi" w:hAnsiTheme="minorHAnsi"/>
          <w:snapToGrid w:val="0"/>
          <w:lang w:val="en-GB" w:eastAsia="en-US"/>
        </w:rPr>
        <w:t xml:space="preserve"> that a</w:t>
      </w:r>
      <w:r w:rsidRPr="00DA52A8">
        <w:rPr>
          <w:rFonts w:asciiTheme="minorHAnsi" w:hAnsiTheme="minorHAnsi"/>
          <w:snapToGrid w:val="0"/>
          <w:lang w:val="en-GB" w:eastAsia="en-US"/>
        </w:rPr>
        <w:t xml:space="preserve"> high proportion of patients are expected to relapse or be refractory to initial treatment for FLT3 mutation-positive AML</w:t>
      </w:r>
      <w:r w:rsidR="00147B76" w:rsidRPr="00DA52A8">
        <w:rPr>
          <w:rFonts w:asciiTheme="minorHAnsi" w:hAnsiTheme="minorHAnsi"/>
          <w:snapToGrid w:val="0"/>
          <w:lang w:val="en-GB" w:eastAsia="en-US"/>
        </w:rPr>
        <w:t>, and hence there was a need for new effective regimens</w:t>
      </w:r>
      <w:r w:rsidRPr="00DA52A8">
        <w:rPr>
          <w:rFonts w:asciiTheme="minorHAnsi" w:hAnsiTheme="minorHAnsi"/>
          <w:snapToGrid w:val="0"/>
          <w:lang w:val="en-GB" w:eastAsia="en-US"/>
        </w:rPr>
        <w:t xml:space="preserve">. The </w:t>
      </w:r>
      <w:r w:rsidR="00147B76" w:rsidRPr="00DA52A8">
        <w:rPr>
          <w:rFonts w:asciiTheme="minorHAnsi" w:hAnsiTheme="minorHAnsi"/>
          <w:snapToGrid w:val="0"/>
          <w:lang w:val="en-GB" w:eastAsia="en-US"/>
        </w:rPr>
        <w:t xml:space="preserve">PBAC also noted the suggestion from the sponsor hearing and consumer </w:t>
      </w:r>
      <w:r w:rsidRPr="00DA52A8">
        <w:rPr>
          <w:rFonts w:asciiTheme="minorHAnsi" w:hAnsiTheme="minorHAnsi"/>
          <w:snapToGrid w:val="0"/>
          <w:lang w:val="en-GB" w:eastAsia="en-US"/>
        </w:rPr>
        <w:t xml:space="preserve">comments </w:t>
      </w:r>
      <w:r w:rsidR="00147B76" w:rsidRPr="00DA52A8">
        <w:rPr>
          <w:rFonts w:asciiTheme="minorHAnsi" w:hAnsiTheme="minorHAnsi"/>
          <w:snapToGrid w:val="0"/>
          <w:lang w:val="en-GB" w:eastAsia="en-US"/>
        </w:rPr>
        <w:t>that there would be quality of life and financial benefits associated with the oral administration of gilteritinib, as fewer hospital admissions would be required to administer salvage chemotherapy in these patients. However, the PBAC considered that this may not extend to all patients as low-intensity regimens may be delivered in outpatient settings.</w:t>
      </w:r>
    </w:p>
    <w:p w:rsidR="00DA52A8" w:rsidRDefault="00DA52A8" w:rsidP="00DA52A8">
      <w:pPr>
        <w:pStyle w:val="ExecSumBodyText"/>
        <w:rPr>
          <w:lang w:val="en-GB" w:eastAsia="en-US"/>
        </w:rPr>
      </w:pPr>
      <w:r>
        <w:rPr>
          <w:lang w:val="en-GB" w:eastAsia="en-US"/>
        </w:rPr>
        <w:t xml:space="preserve">With respect to the requested PBS restriction, </w:t>
      </w:r>
      <w:r w:rsidR="00DE2A6F">
        <w:rPr>
          <w:lang w:val="en-GB" w:eastAsia="en-US"/>
        </w:rPr>
        <w:t>the PBAC:</w:t>
      </w:r>
    </w:p>
    <w:p w:rsidR="00DE2A6F" w:rsidRDefault="00DE2A6F" w:rsidP="006F681F">
      <w:pPr>
        <w:pStyle w:val="ExecSumBodyText"/>
        <w:numPr>
          <w:ilvl w:val="0"/>
          <w:numId w:val="6"/>
        </w:numPr>
        <w:ind w:left="1077" w:hanging="357"/>
        <w:rPr>
          <w:lang w:val="en-GB" w:eastAsia="en-US"/>
        </w:rPr>
      </w:pPr>
      <w:r>
        <w:rPr>
          <w:lang w:val="en-GB" w:eastAsia="en-US"/>
        </w:rPr>
        <w:t>Noted that the pre-PBAC response had withdrawn its request for use as maintenance therapy post-HSCT in patients previously treated with gilteritinib, and that these patients would need to be excluded from the restriction</w:t>
      </w:r>
      <w:r w:rsidRPr="00DE2A6F">
        <w:rPr>
          <w:lang w:val="en-GB" w:eastAsia="en-US"/>
        </w:rPr>
        <w:t>.</w:t>
      </w:r>
    </w:p>
    <w:p w:rsidR="001B1221" w:rsidRDefault="001B1221" w:rsidP="006F681F">
      <w:pPr>
        <w:pStyle w:val="ExecSumBodyText"/>
        <w:numPr>
          <w:ilvl w:val="0"/>
          <w:numId w:val="6"/>
        </w:numPr>
        <w:ind w:left="1077" w:hanging="357"/>
        <w:rPr>
          <w:lang w:val="en-GB" w:eastAsia="en-US"/>
        </w:rPr>
      </w:pPr>
      <w:r>
        <w:rPr>
          <w:lang w:val="en-GB" w:eastAsia="en-US"/>
        </w:rPr>
        <w:t>Considered that a</w:t>
      </w:r>
      <w:r w:rsidR="006F37A3">
        <w:rPr>
          <w:lang w:val="en-GB" w:eastAsia="en-US"/>
        </w:rPr>
        <w:t xml:space="preserve"> General Schedule</w:t>
      </w:r>
      <w:r>
        <w:rPr>
          <w:lang w:val="en-GB" w:eastAsia="en-US"/>
        </w:rPr>
        <w:t xml:space="preserve"> Authority Required (</w:t>
      </w:r>
      <w:r w:rsidR="009033DC">
        <w:rPr>
          <w:lang w:val="en-GB" w:eastAsia="en-US"/>
        </w:rPr>
        <w:t>T</w:t>
      </w:r>
      <w:r>
        <w:rPr>
          <w:lang w:val="en-GB" w:eastAsia="en-US"/>
        </w:rPr>
        <w:t>elephone/</w:t>
      </w:r>
      <w:r w:rsidR="009033DC">
        <w:rPr>
          <w:lang w:val="en-GB" w:eastAsia="en-US"/>
        </w:rPr>
        <w:t>E</w:t>
      </w:r>
      <w:r>
        <w:rPr>
          <w:lang w:val="en-GB" w:eastAsia="en-US"/>
        </w:rPr>
        <w:t>lectronic) listing would likely be appropriate</w:t>
      </w:r>
      <w:r w:rsidR="009033DC">
        <w:rPr>
          <w:lang w:val="en-GB" w:eastAsia="en-US"/>
        </w:rPr>
        <w:t xml:space="preserve"> (see paragraph 3.7)</w:t>
      </w:r>
      <w:r>
        <w:rPr>
          <w:lang w:val="en-GB" w:eastAsia="en-US"/>
        </w:rPr>
        <w:t xml:space="preserve">. </w:t>
      </w:r>
    </w:p>
    <w:p w:rsidR="001B1221" w:rsidRDefault="00DE2A6F" w:rsidP="006F681F">
      <w:pPr>
        <w:pStyle w:val="ExecSumBodyText"/>
        <w:numPr>
          <w:ilvl w:val="0"/>
          <w:numId w:val="6"/>
        </w:numPr>
        <w:ind w:left="1077" w:hanging="357"/>
        <w:rPr>
          <w:lang w:val="en-GB" w:eastAsia="en-US"/>
        </w:rPr>
      </w:pPr>
      <w:r>
        <w:rPr>
          <w:lang w:val="en-GB" w:eastAsia="en-US"/>
        </w:rPr>
        <w:t>Agreed with the ESC that it would</w:t>
      </w:r>
      <w:r w:rsidR="006F681F">
        <w:rPr>
          <w:lang w:val="en-GB" w:eastAsia="en-US"/>
        </w:rPr>
        <w:t xml:space="preserve"> </w:t>
      </w:r>
      <w:r>
        <w:rPr>
          <w:lang w:val="en-GB" w:eastAsia="en-US"/>
        </w:rPr>
        <w:t xml:space="preserve">be </w:t>
      </w:r>
      <w:r w:rsidRPr="00DE2A6F">
        <w:rPr>
          <w:lang w:val="en-GB" w:eastAsia="en-US"/>
        </w:rPr>
        <w:t xml:space="preserve">appropriate for the initial gilteritinib listing </w:t>
      </w:r>
      <w:r w:rsidR="00291E46">
        <w:rPr>
          <w:lang w:val="en-GB" w:eastAsia="en-US"/>
        </w:rPr>
        <w:t xml:space="preserve">to have zero repeats and for the continuing phase listing to have 4 repeats as outlined in paragraph 3.2. </w:t>
      </w:r>
      <w:r w:rsidR="006F37A3">
        <w:rPr>
          <w:lang w:val="en-GB" w:eastAsia="en-US"/>
        </w:rPr>
        <w:t xml:space="preserve">The PBAC considered there would be no need to permit increases in repeats, however patients needing a 200 mg dose would require an increase to the maximum quantity (a maximum quantity multiplier of 2 would provide sufficient supply). </w:t>
      </w:r>
    </w:p>
    <w:p w:rsidR="006B4309" w:rsidRDefault="006F681F" w:rsidP="006F681F">
      <w:pPr>
        <w:pStyle w:val="ExecSumBodyText"/>
        <w:numPr>
          <w:ilvl w:val="0"/>
          <w:numId w:val="6"/>
        </w:numPr>
        <w:ind w:left="1077" w:hanging="357"/>
        <w:rPr>
          <w:lang w:val="en-GB" w:eastAsia="en-US"/>
        </w:rPr>
      </w:pPr>
      <w:r>
        <w:rPr>
          <w:lang w:val="en-GB" w:eastAsia="en-US"/>
        </w:rPr>
        <w:t xml:space="preserve">Noted that </w:t>
      </w:r>
      <w:r w:rsidRPr="006F681F">
        <w:rPr>
          <w:lang w:val="en-GB" w:eastAsia="en-US"/>
        </w:rPr>
        <w:t>the ADMIRAL trial included only patients with ECOG status of 0 to 2</w:t>
      </w:r>
      <w:r>
        <w:rPr>
          <w:lang w:val="en-GB" w:eastAsia="en-US"/>
        </w:rPr>
        <w:t xml:space="preserve">, and considered that it would be appropriate for </w:t>
      </w:r>
      <w:r w:rsidR="00E07310">
        <w:rPr>
          <w:lang w:val="en-GB" w:eastAsia="en-US"/>
        </w:rPr>
        <w:t>the proposed</w:t>
      </w:r>
      <w:r>
        <w:rPr>
          <w:lang w:val="en-GB" w:eastAsia="en-US"/>
        </w:rPr>
        <w:t xml:space="preserve"> listing to be restricted to these patients.</w:t>
      </w:r>
      <w:r w:rsidRPr="006F681F">
        <w:rPr>
          <w:lang w:val="en-GB" w:eastAsia="en-US"/>
        </w:rPr>
        <w:t xml:space="preserve"> </w:t>
      </w:r>
    </w:p>
    <w:p w:rsidR="006B4309" w:rsidRPr="00DA52A8" w:rsidRDefault="006F681F" w:rsidP="006F681F">
      <w:pPr>
        <w:pStyle w:val="ExecSumBodyText"/>
        <w:numPr>
          <w:ilvl w:val="0"/>
          <w:numId w:val="6"/>
        </w:numPr>
        <w:ind w:left="1077" w:hanging="357"/>
        <w:rPr>
          <w:lang w:val="en-GB" w:eastAsia="en-US"/>
        </w:rPr>
      </w:pPr>
      <w:r>
        <w:rPr>
          <w:lang w:val="en-GB" w:eastAsia="en-US"/>
        </w:rPr>
        <w:t>Considered</w:t>
      </w:r>
      <w:r w:rsidR="006B4309">
        <w:rPr>
          <w:lang w:val="en-GB" w:eastAsia="en-US"/>
        </w:rPr>
        <w:t xml:space="preserve"> that further refinements to the wording and requirements around monitoring</w:t>
      </w:r>
      <w:r>
        <w:rPr>
          <w:lang w:val="en-GB" w:eastAsia="en-US"/>
        </w:rPr>
        <w:t xml:space="preserve"> of disease</w:t>
      </w:r>
      <w:r w:rsidR="006B4309">
        <w:rPr>
          <w:lang w:val="en-GB" w:eastAsia="en-US"/>
        </w:rPr>
        <w:t xml:space="preserve"> and cessation of </w:t>
      </w:r>
      <w:r>
        <w:rPr>
          <w:lang w:val="en-GB" w:eastAsia="en-US"/>
        </w:rPr>
        <w:t>therapy</w:t>
      </w:r>
      <w:r w:rsidR="006B4309">
        <w:rPr>
          <w:lang w:val="en-GB" w:eastAsia="en-US"/>
        </w:rPr>
        <w:t xml:space="preserve"> </w:t>
      </w:r>
      <w:r>
        <w:rPr>
          <w:lang w:val="en-GB" w:eastAsia="en-US"/>
        </w:rPr>
        <w:t>would</w:t>
      </w:r>
      <w:r w:rsidR="006B4309">
        <w:rPr>
          <w:lang w:val="en-GB" w:eastAsia="en-US"/>
        </w:rPr>
        <w:t xml:space="preserve"> </w:t>
      </w:r>
      <w:r w:rsidR="00DE58EE">
        <w:rPr>
          <w:lang w:val="en-GB" w:eastAsia="en-US"/>
        </w:rPr>
        <w:t xml:space="preserve">likely </w:t>
      </w:r>
      <w:r w:rsidR="006B4309">
        <w:rPr>
          <w:lang w:val="en-GB" w:eastAsia="en-US"/>
        </w:rPr>
        <w:t>be required</w:t>
      </w:r>
      <w:r w:rsidR="000F1AA3">
        <w:rPr>
          <w:lang w:val="en-GB" w:eastAsia="en-US"/>
        </w:rPr>
        <w:t xml:space="preserve"> (see paragraph 3.5)</w:t>
      </w:r>
      <w:r>
        <w:rPr>
          <w:lang w:val="en-GB" w:eastAsia="en-US"/>
        </w:rPr>
        <w:t>.</w:t>
      </w:r>
    </w:p>
    <w:p w:rsidR="00656C4B" w:rsidRPr="00656C4B" w:rsidRDefault="00746914" w:rsidP="00472D47">
      <w:pPr>
        <w:widowControl w:val="0"/>
        <w:numPr>
          <w:ilvl w:val="1"/>
          <w:numId w:val="1"/>
        </w:numPr>
        <w:spacing w:after="120"/>
        <w:rPr>
          <w:rFonts w:asciiTheme="minorHAnsi" w:hAnsiTheme="minorHAnsi"/>
          <w:snapToGrid w:val="0"/>
          <w:color w:val="0070C0"/>
          <w:lang w:val="en-GB" w:eastAsia="en-US"/>
        </w:rPr>
      </w:pPr>
      <w:r w:rsidRPr="00656C4B">
        <w:rPr>
          <w:rFonts w:asciiTheme="minorHAnsi" w:hAnsiTheme="minorHAnsi"/>
          <w:snapToGrid w:val="0"/>
          <w:lang w:val="en-GB" w:eastAsia="en-US"/>
        </w:rPr>
        <w:t>The PBAC considered the nominated “blended” comparator of salvage chemotherapy</w:t>
      </w:r>
      <w:r w:rsidR="004E0852" w:rsidRPr="00656C4B">
        <w:rPr>
          <w:rFonts w:asciiTheme="minorHAnsi" w:hAnsiTheme="minorHAnsi"/>
          <w:snapToGrid w:val="0"/>
          <w:lang w:val="en-GB" w:eastAsia="en-US"/>
        </w:rPr>
        <w:t xml:space="preserve"> was appropriate, noting that only a minority of patients would be treated with best supportive care</w:t>
      </w:r>
      <w:r w:rsidR="009449B8" w:rsidRPr="00656C4B">
        <w:rPr>
          <w:rFonts w:asciiTheme="minorHAnsi" w:hAnsiTheme="minorHAnsi"/>
          <w:snapToGrid w:val="0"/>
          <w:lang w:val="en-GB" w:eastAsia="en-US"/>
        </w:rPr>
        <w:t xml:space="preserve">. The PBAC agreed with the ESC that the distribution of regimens as per the salvage chemotherapy arm of the key </w:t>
      </w:r>
      <w:r w:rsidR="00E07310" w:rsidRPr="00656C4B">
        <w:rPr>
          <w:rFonts w:asciiTheme="minorHAnsi" w:hAnsiTheme="minorHAnsi"/>
          <w:snapToGrid w:val="0"/>
          <w:lang w:val="en-GB" w:eastAsia="en-US"/>
        </w:rPr>
        <w:t xml:space="preserve">gilteritinib trial, ADMIRAL, was </w:t>
      </w:r>
      <w:r w:rsidR="004A13A8">
        <w:rPr>
          <w:rFonts w:asciiTheme="minorHAnsi" w:hAnsiTheme="minorHAnsi"/>
          <w:snapToGrid w:val="0"/>
          <w:lang w:val="en-GB" w:eastAsia="en-US"/>
        </w:rPr>
        <w:t xml:space="preserve">likely </w:t>
      </w:r>
      <w:r w:rsidR="00E07310" w:rsidRPr="00656C4B">
        <w:rPr>
          <w:rFonts w:asciiTheme="minorHAnsi" w:hAnsiTheme="minorHAnsi"/>
          <w:snapToGrid w:val="0"/>
          <w:lang w:val="en-GB" w:eastAsia="en-US"/>
        </w:rPr>
        <w:t xml:space="preserve">applicable to the proposed PBS population. </w:t>
      </w:r>
    </w:p>
    <w:p w:rsidR="009729FC" w:rsidRPr="001C2FE8" w:rsidRDefault="003A6B32" w:rsidP="009729FC">
      <w:pPr>
        <w:widowControl w:val="0"/>
        <w:numPr>
          <w:ilvl w:val="1"/>
          <w:numId w:val="1"/>
        </w:numPr>
        <w:spacing w:after="120"/>
        <w:rPr>
          <w:rFonts w:asciiTheme="minorHAnsi" w:hAnsiTheme="minorHAnsi"/>
          <w:snapToGrid w:val="0"/>
          <w:color w:val="0070C0"/>
          <w:lang w:val="en-GB" w:eastAsia="en-US"/>
        </w:rPr>
      </w:pPr>
      <w:r w:rsidRPr="00656C4B">
        <w:rPr>
          <w:rFonts w:asciiTheme="minorHAnsi" w:hAnsiTheme="minorHAnsi"/>
          <w:snapToGrid w:val="0"/>
          <w:lang w:val="en-GB" w:eastAsia="en-US"/>
        </w:rPr>
        <w:t xml:space="preserve">In terms of the </w:t>
      </w:r>
      <w:r w:rsidR="0097436C" w:rsidRPr="00656C4B">
        <w:rPr>
          <w:rFonts w:asciiTheme="minorHAnsi" w:hAnsiTheme="minorHAnsi"/>
          <w:snapToGrid w:val="0"/>
          <w:lang w:val="en-GB" w:eastAsia="en-US"/>
        </w:rPr>
        <w:t>clinical evidence presented,</w:t>
      </w:r>
      <w:r w:rsidRPr="00656C4B">
        <w:rPr>
          <w:rFonts w:asciiTheme="minorHAnsi" w:hAnsiTheme="minorHAnsi"/>
          <w:snapToGrid w:val="0"/>
          <w:lang w:val="en-GB" w:eastAsia="en-US"/>
        </w:rPr>
        <w:t xml:space="preserve"> the PBAC</w:t>
      </w:r>
      <w:r w:rsidR="000229D6">
        <w:rPr>
          <w:rFonts w:asciiTheme="minorHAnsi" w:hAnsiTheme="minorHAnsi"/>
          <w:snapToGrid w:val="0"/>
          <w:lang w:val="en-GB" w:eastAsia="en-US"/>
        </w:rPr>
        <w:t xml:space="preserve"> noted that the submission was based primarily on the open-label </w:t>
      </w:r>
      <w:r w:rsidR="00A715D7">
        <w:rPr>
          <w:rFonts w:asciiTheme="minorHAnsi" w:hAnsiTheme="minorHAnsi"/>
          <w:snapToGrid w:val="0"/>
          <w:lang w:val="en-GB" w:eastAsia="en-US"/>
        </w:rPr>
        <w:t>head-to-head randomised controlled trial ADMIRAL</w:t>
      </w:r>
      <w:r w:rsidR="00AC170C">
        <w:rPr>
          <w:rFonts w:asciiTheme="minorHAnsi" w:hAnsiTheme="minorHAnsi"/>
          <w:snapToGrid w:val="0"/>
          <w:lang w:val="en-GB" w:eastAsia="en-US"/>
        </w:rPr>
        <w:t xml:space="preserve">, </w:t>
      </w:r>
      <w:r w:rsidR="001A359E">
        <w:rPr>
          <w:rFonts w:asciiTheme="minorHAnsi" w:hAnsiTheme="minorHAnsi"/>
          <w:snapToGrid w:val="0"/>
          <w:lang w:val="en-GB" w:eastAsia="en-US"/>
        </w:rPr>
        <w:t>with</w:t>
      </w:r>
      <w:r w:rsidR="00AC170C">
        <w:rPr>
          <w:rFonts w:asciiTheme="minorHAnsi" w:hAnsiTheme="minorHAnsi"/>
          <w:snapToGrid w:val="0"/>
          <w:lang w:val="en-GB" w:eastAsia="en-US"/>
        </w:rPr>
        <w:t xml:space="preserve"> poster/abstract reports of additional data cuts at one and two years after the primary data cut</w:t>
      </w:r>
      <w:r w:rsidR="001C2FE8">
        <w:rPr>
          <w:rFonts w:asciiTheme="minorHAnsi" w:hAnsiTheme="minorHAnsi"/>
          <w:snapToGrid w:val="0"/>
          <w:lang w:val="en-GB" w:eastAsia="en-US"/>
        </w:rPr>
        <w:t>. T</w:t>
      </w:r>
      <w:r w:rsidR="00A41D14">
        <w:rPr>
          <w:rFonts w:asciiTheme="minorHAnsi" w:hAnsiTheme="minorHAnsi"/>
          <w:snapToGrid w:val="0"/>
          <w:lang w:val="en-GB" w:eastAsia="en-US"/>
        </w:rPr>
        <w:t xml:space="preserve">he PBAC did not consider the open-label design introduced a high risk </w:t>
      </w:r>
      <w:r w:rsidR="001C2FE8">
        <w:rPr>
          <w:rFonts w:asciiTheme="minorHAnsi" w:hAnsiTheme="minorHAnsi"/>
          <w:snapToGrid w:val="0"/>
          <w:lang w:val="en-GB" w:eastAsia="en-US"/>
        </w:rPr>
        <w:t>of bias</w:t>
      </w:r>
      <w:r w:rsidR="00A41D14" w:rsidRPr="00A41D14">
        <w:rPr>
          <w:rFonts w:asciiTheme="minorHAnsi" w:hAnsiTheme="minorHAnsi"/>
          <w:snapToGrid w:val="0"/>
          <w:lang w:val="en-GB" w:eastAsia="en-US"/>
        </w:rPr>
        <w:t xml:space="preserve"> as most of the key outcomes were objective in nature</w:t>
      </w:r>
      <w:r w:rsidR="00AC170C">
        <w:rPr>
          <w:rFonts w:asciiTheme="minorHAnsi" w:hAnsiTheme="minorHAnsi"/>
          <w:snapToGrid w:val="0"/>
          <w:lang w:val="en-GB" w:eastAsia="en-US"/>
        </w:rPr>
        <w:t>.</w:t>
      </w:r>
      <w:r w:rsidR="001A359E">
        <w:rPr>
          <w:rFonts w:asciiTheme="minorHAnsi" w:hAnsiTheme="minorHAnsi"/>
          <w:snapToGrid w:val="0"/>
          <w:lang w:val="en-GB" w:eastAsia="en-US"/>
        </w:rPr>
        <w:t xml:space="preserve"> </w:t>
      </w:r>
      <w:r w:rsidR="009729FC">
        <w:rPr>
          <w:rFonts w:asciiTheme="minorHAnsi" w:hAnsiTheme="minorHAnsi"/>
          <w:snapToGrid w:val="0"/>
          <w:lang w:val="en-GB" w:eastAsia="en-US"/>
        </w:rPr>
        <w:t>Key issues</w:t>
      </w:r>
      <w:r w:rsidR="00472D47">
        <w:rPr>
          <w:rFonts w:asciiTheme="minorHAnsi" w:hAnsiTheme="minorHAnsi"/>
          <w:snapToGrid w:val="0"/>
          <w:lang w:val="en-GB" w:eastAsia="en-US"/>
        </w:rPr>
        <w:t xml:space="preserve"> with </w:t>
      </w:r>
      <w:r w:rsidR="001C2FE8">
        <w:rPr>
          <w:rFonts w:asciiTheme="minorHAnsi" w:hAnsiTheme="minorHAnsi"/>
          <w:snapToGrid w:val="0"/>
          <w:lang w:val="en-GB" w:eastAsia="en-US"/>
        </w:rPr>
        <w:t xml:space="preserve">the </w:t>
      </w:r>
      <w:r w:rsidR="00472D47">
        <w:rPr>
          <w:rFonts w:asciiTheme="minorHAnsi" w:hAnsiTheme="minorHAnsi"/>
          <w:snapToGrid w:val="0"/>
          <w:lang w:val="en-GB" w:eastAsia="en-US"/>
        </w:rPr>
        <w:t>ADMIRAL</w:t>
      </w:r>
      <w:r w:rsidR="009729FC">
        <w:rPr>
          <w:rFonts w:asciiTheme="minorHAnsi" w:hAnsiTheme="minorHAnsi"/>
          <w:snapToGrid w:val="0"/>
          <w:lang w:val="en-GB" w:eastAsia="en-US"/>
        </w:rPr>
        <w:t xml:space="preserve"> </w:t>
      </w:r>
      <w:r w:rsidR="001C2FE8">
        <w:rPr>
          <w:rFonts w:asciiTheme="minorHAnsi" w:hAnsiTheme="minorHAnsi"/>
          <w:snapToGrid w:val="0"/>
          <w:lang w:val="en-GB" w:eastAsia="en-US"/>
        </w:rPr>
        <w:t xml:space="preserve">trial and analyses </w:t>
      </w:r>
      <w:r w:rsidR="00041886">
        <w:rPr>
          <w:rFonts w:asciiTheme="minorHAnsi" w:hAnsiTheme="minorHAnsi"/>
          <w:snapToGrid w:val="0"/>
          <w:lang w:val="en-GB" w:eastAsia="en-US"/>
        </w:rPr>
        <w:t>noted</w:t>
      </w:r>
      <w:r w:rsidR="009729FC">
        <w:rPr>
          <w:rFonts w:asciiTheme="minorHAnsi" w:hAnsiTheme="minorHAnsi"/>
          <w:snapToGrid w:val="0"/>
          <w:lang w:val="en-GB" w:eastAsia="en-US"/>
        </w:rPr>
        <w:t xml:space="preserve"> by the PBAC included: </w:t>
      </w:r>
      <w:r w:rsidR="008776BB">
        <w:rPr>
          <w:rFonts w:asciiTheme="minorHAnsi" w:hAnsiTheme="minorHAnsi"/>
          <w:snapToGrid w:val="0"/>
          <w:lang w:val="en-GB" w:eastAsia="en-US"/>
        </w:rPr>
        <w:t xml:space="preserve">(i) </w:t>
      </w:r>
      <w:r w:rsidR="00472D47">
        <w:rPr>
          <w:rFonts w:asciiTheme="minorHAnsi" w:hAnsiTheme="minorHAnsi"/>
          <w:snapToGrid w:val="0"/>
          <w:lang w:val="en-GB" w:eastAsia="en-US"/>
        </w:rPr>
        <w:t xml:space="preserve">concerns about the applicability of the data to the PBS population in terms HSCT rates during the trial, prior FLT3 inhibitor use, as well as age and general fitness; </w:t>
      </w:r>
      <w:r w:rsidR="008776BB">
        <w:rPr>
          <w:rFonts w:asciiTheme="minorHAnsi" w:hAnsiTheme="minorHAnsi"/>
          <w:snapToGrid w:val="0"/>
          <w:lang w:val="en-GB" w:eastAsia="en-US"/>
        </w:rPr>
        <w:t xml:space="preserve">(ii) </w:t>
      </w:r>
      <w:r w:rsidR="00472D47">
        <w:rPr>
          <w:rFonts w:asciiTheme="minorHAnsi" w:hAnsiTheme="minorHAnsi"/>
          <w:snapToGrid w:val="0"/>
          <w:lang w:val="en-GB" w:eastAsia="en-US"/>
        </w:rPr>
        <w:t xml:space="preserve">the potential for confounding of </w:t>
      </w:r>
      <w:r w:rsidR="00DB4998">
        <w:rPr>
          <w:rFonts w:asciiTheme="minorHAnsi" w:hAnsiTheme="minorHAnsi"/>
          <w:snapToGrid w:val="0"/>
          <w:lang w:val="en-GB" w:eastAsia="en-US"/>
        </w:rPr>
        <w:t>overall survival (</w:t>
      </w:r>
      <w:r w:rsidR="00472D47">
        <w:rPr>
          <w:rFonts w:asciiTheme="minorHAnsi" w:hAnsiTheme="minorHAnsi"/>
          <w:snapToGrid w:val="0"/>
          <w:lang w:val="en-GB" w:eastAsia="en-US"/>
        </w:rPr>
        <w:t>OS</w:t>
      </w:r>
      <w:r w:rsidR="00DB4998">
        <w:rPr>
          <w:rFonts w:asciiTheme="minorHAnsi" w:hAnsiTheme="minorHAnsi"/>
          <w:snapToGrid w:val="0"/>
          <w:lang w:val="en-GB" w:eastAsia="en-US"/>
        </w:rPr>
        <w:t>)</w:t>
      </w:r>
      <w:r w:rsidR="00472D47">
        <w:rPr>
          <w:rFonts w:asciiTheme="minorHAnsi" w:hAnsiTheme="minorHAnsi"/>
          <w:snapToGrid w:val="0"/>
          <w:lang w:val="en-GB" w:eastAsia="en-US"/>
        </w:rPr>
        <w:t xml:space="preserve"> results due to differential use of subsequent therapies; </w:t>
      </w:r>
      <w:r w:rsidR="008776BB">
        <w:rPr>
          <w:rFonts w:asciiTheme="minorHAnsi" w:hAnsiTheme="minorHAnsi"/>
          <w:snapToGrid w:val="0"/>
          <w:lang w:val="en-GB" w:eastAsia="en-US"/>
        </w:rPr>
        <w:t xml:space="preserve">(iii) </w:t>
      </w:r>
      <w:r w:rsidR="00B86175">
        <w:rPr>
          <w:rFonts w:asciiTheme="minorHAnsi" w:hAnsiTheme="minorHAnsi"/>
          <w:snapToGrid w:val="0"/>
          <w:lang w:val="en-GB" w:eastAsia="en-US"/>
        </w:rPr>
        <w:t xml:space="preserve">the short treatment duration in the salvage chemotherapy arm limiting the reliability of response assessments including </w:t>
      </w:r>
      <w:r w:rsidR="00B86175" w:rsidRPr="008B0C28">
        <w:t xml:space="preserve">event free survival </w:t>
      </w:r>
      <w:r w:rsidR="00B86175">
        <w:t>(</w:t>
      </w:r>
      <w:r w:rsidR="00B86175" w:rsidRPr="00B46A2E">
        <w:rPr>
          <w:rFonts w:asciiTheme="minorHAnsi" w:hAnsiTheme="minorHAnsi"/>
          <w:snapToGrid w:val="0"/>
          <w:lang w:val="en-GB" w:eastAsia="en-US"/>
        </w:rPr>
        <w:t>EFS</w:t>
      </w:r>
      <w:r w:rsidR="00B86175">
        <w:rPr>
          <w:rFonts w:asciiTheme="minorHAnsi" w:hAnsiTheme="minorHAnsi"/>
          <w:snapToGrid w:val="0"/>
          <w:lang w:val="en-GB" w:eastAsia="en-US"/>
        </w:rPr>
        <w:t xml:space="preserve">); </w:t>
      </w:r>
      <w:r w:rsidR="008776BB">
        <w:rPr>
          <w:rFonts w:asciiTheme="minorHAnsi" w:hAnsiTheme="minorHAnsi"/>
          <w:snapToGrid w:val="0"/>
          <w:lang w:val="en-GB" w:eastAsia="en-US"/>
        </w:rPr>
        <w:t xml:space="preserve">(iv) </w:t>
      </w:r>
      <w:r w:rsidR="00472D47">
        <w:rPr>
          <w:rFonts w:asciiTheme="minorHAnsi" w:hAnsiTheme="minorHAnsi"/>
          <w:snapToGrid w:val="0"/>
          <w:lang w:val="en-GB" w:eastAsia="en-US"/>
        </w:rPr>
        <w:t>small numbers</w:t>
      </w:r>
      <w:r w:rsidR="00A41D14">
        <w:rPr>
          <w:rFonts w:asciiTheme="minorHAnsi" w:hAnsiTheme="minorHAnsi"/>
          <w:snapToGrid w:val="0"/>
          <w:lang w:val="en-GB" w:eastAsia="en-US"/>
        </w:rPr>
        <w:t xml:space="preserve">, a </w:t>
      </w:r>
      <w:r w:rsidR="00472D47">
        <w:rPr>
          <w:rFonts w:asciiTheme="minorHAnsi" w:hAnsiTheme="minorHAnsi"/>
          <w:snapToGrid w:val="0"/>
          <w:lang w:val="en-GB" w:eastAsia="en-US"/>
        </w:rPr>
        <w:t>lack of documentation</w:t>
      </w:r>
      <w:r w:rsidR="00A41D14">
        <w:rPr>
          <w:rFonts w:asciiTheme="minorHAnsi" w:hAnsiTheme="minorHAnsi"/>
          <w:snapToGrid w:val="0"/>
          <w:lang w:val="en-GB" w:eastAsia="en-US"/>
        </w:rPr>
        <w:t>, and study design limitations making the post-HSCT maintenance use analysis difficult to interpret;</w:t>
      </w:r>
      <w:r w:rsidR="008776BB">
        <w:rPr>
          <w:rFonts w:asciiTheme="minorHAnsi" w:hAnsiTheme="minorHAnsi"/>
          <w:snapToGrid w:val="0"/>
          <w:lang w:val="en-GB" w:eastAsia="en-US"/>
        </w:rPr>
        <w:t xml:space="preserve"> (v)</w:t>
      </w:r>
      <w:r w:rsidR="00A41D14">
        <w:rPr>
          <w:rFonts w:asciiTheme="minorHAnsi" w:hAnsiTheme="minorHAnsi"/>
          <w:snapToGrid w:val="0"/>
          <w:lang w:val="en-GB" w:eastAsia="en-US"/>
        </w:rPr>
        <w:t xml:space="preserve"> limited data to support a survival benefit in patients who did not receive HSCT during the trial follow up; and </w:t>
      </w:r>
      <w:r w:rsidR="008776BB">
        <w:rPr>
          <w:rFonts w:asciiTheme="minorHAnsi" w:hAnsiTheme="minorHAnsi"/>
          <w:snapToGrid w:val="0"/>
          <w:lang w:val="en-GB" w:eastAsia="en-US"/>
        </w:rPr>
        <w:t xml:space="preserve">(vi) </w:t>
      </w:r>
      <w:r w:rsidR="00A41D14">
        <w:rPr>
          <w:rFonts w:asciiTheme="minorHAnsi" w:hAnsiTheme="minorHAnsi"/>
          <w:snapToGrid w:val="0"/>
          <w:lang w:val="en-GB" w:eastAsia="en-US"/>
        </w:rPr>
        <w:t xml:space="preserve">likely evidence of ongoing disease in patients whom the submission claimed were “cured”. </w:t>
      </w:r>
      <w:r w:rsidR="001C2FE8">
        <w:rPr>
          <w:rFonts w:asciiTheme="minorHAnsi" w:hAnsiTheme="minorHAnsi"/>
          <w:snapToGrid w:val="0"/>
          <w:lang w:val="en-GB" w:eastAsia="en-US"/>
        </w:rPr>
        <w:t xml:space="preserve">The safety analysis was limited by, among other issues, the lack of comparison between low and high-intensity salvage chemotherapy regimens, which </w:t>
      </w:r>
      <w:r w:rsidR="00B46A2E">
        <w:rPr>
          <w:rFonts w:asciiTheme="minorHAnsi" w:hAnsiTheme="minorHAnsi"/>
          <w:snapToGrid w:val="0"/>
          <w:lang w:val="en-GB" w:eastAsia="en-US"/>
        </w:rPr>
        <w:t xml:space="preserve">the PBAC noted </w:t>
      </w:r>
      <w:r w:rsidR="001C2FE8">
        <w:rPr>
          <w:rFonts w:asciiTheme="minorHAnsi" w:hAnsiTheme="minorHAnsi"/>
          <w:snapToGrid w:val="0"/>
          <w:lang w:val="en-GB" w:eastAsia="en-US"/>
        </w:rPr>
        <w:t xml:space="preserve">have different safety profiles. </w:t>
      </w:r>
    </w:p>
    <w:p w:rsidR="000F728D" w:rsidRPr="00A91484" w:rsidRDefault="001C2FE8" w:rsidP="001A751E">
      <w:pPr>
        <w:widowControl w:val="0"/>
        <w:numPr>
          <w:ilvl w:val="1"/>
          <w:numId w:val="1"/>
        </w:numPr>
        <w:spacing w:after="120"/>
        <w:rPr>
          <w:rFonts w:asciiTheme="minorHAnsi" w:hAnsiTheme="minorHAnsi"/>
          <w:snapToGrid w:val="0"/>
          <w:color w:val="0070C0"/>
          <w:lang w:val="en-GB" w:eastAsia="en-US"/>
        </w:rPr>
      </w:pPr>
      <w:r w:rsidRPr="00A91484">
        <w:rPr>
          <w:rFonts w:asciiTheme="minorHAnsi" w:hAnsiTheme="minorHAnsi"/>
          <w:snapToGrid w:val="0"/>
          <w:lang w:val="en-GB" w:eastAsia="en-US"/>
        </w:rPr>
        <w:t xml:space="preserve">Overall, the </w:t>
      </w:r>
      <w:r w:rsidR="006672FE" w:rsidRPr="00A91484">
        <w:rPr>
          <w:rFonts w:asciiTheme="minorHAnsi" w:hAnsiTheme="minorHAnsi"/>
          <w:snapToGrid w:val="0"/>
          <w:lang w:val="en-GB" w:eastAsia="en-US"/>
        </w:rPr>
        <w:t xml:space="preserve">PBAC </w:t>
      </w:r>
      <w:r w:rsidR="00041886" w:rsidRPr="00A91484">
        <w:rPr>
          <w:rFonts w:asciiTheme="minorHAnsi" w:hAnsiTheme="minorHAnsi"/>
          <w:snapToGrid w:val="0"/>
          <w:lang w:val="en-GB" w:eastAsia="en-US"/>
        </w:rPr>
        <w:t xml:space="preserve">agreed with the ESC that </w:t>
      </w:r>
      <w:r w:rsidR="006672FE" w:rsidRPr="00A91484">
        <w:rPr>
          <w:rFonts w:asciiTheme="minorHAnsi" w:hAnsiTheme="minorHAnsi"/>
          <w:snapToGrid w:val="0"/>
          <w:lang w:val="en-GB" w:eastAsia="en-US"/>
        </w:rPr>
        <w:t xml:space="preserve">the </w:t>
      </w:r>
      <w:r w:rsidRPr="00A91484">
        <w:rPr>
          <w:rFonts w:asciiTheme="minorHAnsi" w:hAnsiTheme="minorHAnsi"/>
          <w:snapToGrid w:val="0"/>
          <w:lang w:val="en-GB" w:eastAsia="en-US"/>
        </w:rPr>
        <w:t xml:space="preserve">submission’s claim of </w:t>
      </w:r>
      <w:r w:rsidR="006672FE" w:rsidRPr="00A91484">
        <w:rPr>
          <w:rFonts w:asciiTheme="minorHAnsi" w:hAnsiTheme="minorHAnsi"/>
          <w:snapToGrid w:val="0"/>
          <w:lang w:val="en-GB" w:eastAsia="en-US"/>
        </w:rPr>
        <w:t>superior comparative effectiveness was</w:t>
      </w:r>
      <w:r w:rsidR="00A67A85">
        <w:rPr>
          <w:rFonts w:asciiTheme="minorHAnsi" w:hAnsiTheme="minorHAnsi"/>
          <w:snapToGrid w:val="0"/>
          <w:lang w:val="en-GB" w:eastAsia="en-US"/>
        </w:rPr>
        <w:t xml:space="preserve"> likely</w:t>
      </w:r>
      <w:r w:rsidR="006672FE" w:rsidRPr="00A91484">
        <w:rPr>
          <w:rFonts w:asciiTheme="minorHAnsi" w:hAnsiTheme="minorHAnsi"/>
          <w:snapToGrid w:val="0"/>
          <w:lang w:val="en-GB" w:eastAsia="en-US"/>
        </w:rPr>
        <w:t xml:space="preserve"> reasonable in terms of improved </w:t>
      </w:r>
      <w:r w:rsidR="00A91484" w:rsidRPr="00A91484">
        <w:rPr>
          <w:rFonts w:asciiTheme="minorHAnsi" w:hAnsiTheme="minorHAnsi"/>
          <w:snapToGrid w:val="0"/>
          <w:lang w:val="en-GB" w:eastAsia="en-US"/>
        </w:rPr>
        <w:t>OS</w:t>
      </w:r>
      <w:r w:rsidR="00041886" w:rsidRPr="00A91484">
        <w:rPr>
          <w:rFonts w:asciiTheme="minorHAnsi" w:hAnsiTheme="minorHAnsi"/>
          <w:snapToGrid w:val="0"/>
          <w:lang w:val="en-GB" w:eastAsia="en-US"/>
        </w:rPr>
        <w:t xml:space="preserve"> over the trial duration</w:t>
      </w:r>
      <w:r w:rsidR="006672FE" w:rsidRPr="00A91484">
        <w:rPr>
          <w:rFonts w:asciiTheme="minorHAnsi" w:hAnsiTheme="minorHAnsi"/>
          <w:snapToGrid w:val="0"/>
          <w:lang w:val="en-GB" w:eastAsia="en-US"/>
        </w:rPr>
        <w:t xml:space="preserve">, </w:t>
      </w:r>
      <w:r w:rsidR="00A91484" w:rsidRPr="00A91484">
        <w:rPr>
          <w:rFonts w:asciiTheme="minorHAnsi" w:hAnsiTheme="minorHAnsi"/>
          <w:snapToGrid w:val="0"/>
          <w:lang w:val="en-GB" w:eastAsia="en-US"/>
        </w:rPr>
        <w:t>noting that OS was statistically significantly longer for patients in the gilteritinib arm than in the salvage chemotherapy arm, with more robust results at later data cuts (</w:t>
      </w:r>
      <w:r w:rsidR="00A91484">
        <w:t xml:space="preserve">Table </w:t>
      </w:r>
      <w:r w:rsidR="00A91484">
        <w:rPr>
          <w:noProof/>
        </w:rPr>
        <w:t>4</w:t>
      </w:r>
      <w:r w:rsidR="00A91484" w:rsidRPr="00A91484">
        <w:rPr>
          <w:rFonts w:asciiTheme="minorHAnsi" w:hAnsiTheme="minorHAnsi"/>
          <w:snapToGrid w:val="0"/>
          <w:lang w:val="en-GB" w:eastAsia="en-US"/>
        </w:rPr>
        <w:t>)</w:t>
      </w:r>
      <w:r w:rsidR="004A13A8">
        <w:rPr>
          <w:rFonts w:asciiTheme="minorHAnsi" w:hAnsiTheme="minorHAnsi"/>
          <w:snapToGrid w:val="0"/>
          <w:lang w:val="en-GB" w:eastAsia="en-US"/>
        </w:rPr>
        <w:t>, and that there was consistency of benefit seen across primary and secondary outcomes</w:t>
      </w:r>
      <w:r w:rsidR="00A91484" w:rsidRPr="00A91484">
        <w:rPr>
          <w:rFonts w:asciiTheme="minorHAnsi" w:hAnsiTheme="minorHAnsi"/>
          <w:snapToGrid w:val="0"/>
          <w:lang w:val="en-GB" w:eastAsia="en-US"/>
        </w:rPr>
        <w:t>. However, the range of issues noted in the previous paragraph</w:t>
      </w:r>
      <w:r w:rsidR="00A67A85">
        <w:rPr>
          <w:rFonts w:asciiTheme="minorHAnsi" w:hAnsiTheme="minorHAnsi"/>
          <w:snapToGrid w:val="0"/>
          <w:lang w:val="en-GB" w:eastAsia="en-US"/>
        </w:rPr>
        <w:t xml:space="preserve"> </w:t>
      </w:r>
      <w:r w:rsidR="00A91484" w:rsidRPr="00A91484">
        <w:rPr>
          <w:rFonts w:asciiTheme="minorHAnsi" w:hAnsiTheme="minorHAnsi"/>
          <w:snapToGrid w:val="0"/>
          <w:lang w:val="en-GB" w:eastAsia="en-US"/>
        </w:rPr>
        <w:t>meant that the</w:t>
      </w:r>
      <w:r w:rsidR="00041886" w:rsidRPr="00A91484">
        <w:rPr>
          <w:rFonts w:asciiTheme="minorHAnsi" w:hAnsiTheme="minorHAnsi"/>
          <w:snapToGrid w:val="0"/>
          <w:lang w:val="en-GB" w:eastAsia="en-US"/>
        </w:rPr>
        <w:t xml:space="preserve"> </w:t>
      </w:r>
      <w:r w:rsidR="00FB3867" w:rsidRPr="00A91484">
        <w:rPr>
          <w:rFonts w:asciiTheme="minorHAnsi" w:hAnsiTheme="minorHAnsi"/>
          <w:snapToGrid w:val="0"/>
          <w:lang w:val="en-GB" w:eastAsia="en-US"/>
        </w:rPr>
        <w:t>magnitude of</w:t>
      </w:r>
      <w:r w:rsidR="00A91484" w:rsidRPr="00A91484">
        <w:rPr>
          <w:rFonts w:asciiTheme="minorHAnsi" w:hAnsiTheme="minorHAnsi"/>
          <w:snapToGrid w:val="0"/>
          <w:lang w:val="en-GB" w:eastAsia="en-US"/>
        </w:rPr>
        <w:t xml:space="preserve"> survival</w:t>
      </w:r>
      <w:r w:rsidR="00FB3867" w:rsidRPr="00A91484">
        <w:rPr>
          <w:rFonts w:asciiTheme="minorHAnsi" w:hAnsiTheme="minorHAnsi"/>
          <w:snapToGrid w:val="0"/>
          <w:lang w:val="en-GB" w:eastAsia="en-US"/>
        </w:rPr>
        <w:t xml:space="preserve"> benefit over the long term was uncertain</w:t>
      </w:r>
      <w:r w:rsidR="00A91484" w:rsidRPr="00A91484">
        <w:rPr>
          <w:rFonts w:asciiTheme="minorHAnsi" w:hAnsiTheme="minorHAnsi"/>
          <w:snapToGrid w:val="0"/>
          <w:lang w:val="en-GB" w:eastAsia="en-US"/>
        </w:rPr>
        <w:t>, particularly in the subgroups of patients who do and do not proceed to HSCT</w:t>
      </w:r>
      <w:r w:rsidR="00FB3867" w:rsidRPr="00A91484">
        <w:rPr>
          <w:rFonts w:asciiTheme="minorHAnsi" w:hAnsiTheme="minorHAnsi"/>
          <w:snapToGrid w:val="0"/>
          <w:lang w:val="en-GB" w:eastAsia="en-US"/>
        </w:rPr>
        <w:t>.</w:t>
      </w:r>
      <w:r w:rsidR="00A91484">
        <w:rPr>
          <w:rFonts w:asciiTheme="minorHAnsi" w:hAnsiTheme="minorHAnsi"/>
          <w:snapToGrid w:val="0"/>
          <w:lang w:val="en-GB" w:eastAsia="en-US"/>
        </w:rPr>
        <w:t xml:space="preserve"> The </w:t>
      </w:r>
      <w:r w:rsidR="00A67A85">
        <w:rPr>
          <w:rFonts w:asciiTheme="minorHAnsi" w:hAnsiTheme="minorHAnsi"/>
          <w:snapToGrid w:val="0"/>
          <w:lang w:val="en-GB" w:eastAsia="en-US"/>
        </w:rPr>
        <w:t xml:space="preserve">PBAC also deemed that the </w:t>
      </w:r>
      <w:r w:rsidR="00A91484">
        <w:rPr>
          <w:rFonts w:asciiTheme="minorHAnsi" w:hAnsiTheme="minorHAnsi"/>
          <w:snapToGrid w:val="0"/>
          <w:lang w:val="en-GB" w:eastAsia="en-US"/>
        </w:rPr>
        <w:t>long-term remission and relapse outcomes</w:t>
      </w:r>
      <w:r w:rsidR="00A67A85">
        <w:rPr>
          <w:rFonts w:asciiTheme="minorHAnsi" w:hAnsiTheme="minorHAnsi"/>
          <w:snapToGrid w:val="0"/>
          <w:lang w:val="en-GB" w:eastAsia="en-US"/>
        </w:rPr>
        <w:t xml:space="preserve"> were </w:t>
      </w:r>
      <w:r w:rsidR="00A91484">
        <w:rPr>
          <w:rFonts w:asciiTheme="minorHAnsi" w:hAnsiTheme="minorHAnsi"/>
          <w:snapToGrid w:val="0"/>
          <w:lang w:val="en-GB" w:eastAsia="en-US"/>
        </w:rPr>
        <w:t>unclear</w:t>
      </w:r>
      <w:r w:rsidR="00D36B63">
        <w:rPr>
          <w:rFonts w:asciiTheme="minorHAnsi" w:hAnsiTheme="minorHAnsi"/>
          <w:snapToGrid w:val="0"/>
          <w:lang w:val="en-GB" w:eastAsia="en-US"/>
        </w:rPr>
        <w:t xml:space="preserve">, although </w:t>
      </w:r>
      <w:r w:rsidR="004A13A8">
        <w:rPr>
          <w:rFonts w:asciiTheme="minorHAnsi" w:hAnsiTheme="minorHAnsi"/>
          <w:snapToGrid w:val="0"/>
          <w:lang w:val="en-GB" w:eastAsia="en-US"/>
        </w:rPr>
        <w:t xml:space="preserve">noted </w:t>
      </w:r>
      <w:r w:rsidR="00D36B63">
        <w:rPr>
          <w:rFonts w:asciiTheme="minorHAnsi" w:hAnsiTheme="minorHAnsi"/>
          <w:snapToGrid w:val="0"/>
          <w:lang w:val="en-GB" w:eastAsia="en-US"/>
        </w:rPr>
        <w:t>there was a trend towards longer EFS</w:t>
      </w:r>
      <w:r w:rsidR="00A67A85">
        <w:rPr>
          <w:rFonts w:asciiTheme="minorHAnsi" w:hAnsiTheme="minorHAnsi"/>
          <w:snapToGrid w:val="0"/>
          <w:lang w:val="en-GB" w:eastAsia="en-US"/>
        </w:rPr>
        <w:t>. Importantly, the PBAC also agreed with the ESC that the treatment benefit in the post-HSCT maintenance setting was unsupported, and considered it appropriate that the pre-PBAC response had withdrawn this aspect of the requested listing.</w:t>
      </w:r>
    </w:p>
    <w:p w:rsidR="00B5546A" w:rsidRDefault="00B5546A" w:rsidP="008B0C28">
      <w:pPr>
        <w:widowControl w:val="0"/>
        <w:numPr>
          <w:ilvl w:val="1"/>
          <w:numId w:val="1"/>
        </w:numPr>
        <w:spacing w:after="120"/>
        <w:rPr>
          <w:rFonts w:asciiTheme="minorHAnsi" w:hAnsiTheme="minorHAnsi"/>
          <w:snapToGrid w:val="0"/>
          <w:lang w:val="en-GB" w:eastAsia="en-US"/>
        </w:rPr>
      </w:pPr>
      <w:r w:rsidRPr="00B5546A">
        <w:rPr>
          <w:rFonts w:asciiTheme="minorHAnsi" w:hAnsiTheme="minorHAnsi"/>
          <w:snapToGrid w:val="0"/>
          <w:lang w:val="en-GB" w:eastAsia="en-US"/>
        </w:rPr>
        <w:t>The PBAC agreed with the ESC that the safety profiles of gilteritinib and salvage chemotherapy were similar in intensity but with some important differences in both type and incidence of adverse effects encountered, which meant that the claim of superior comparative safety was not adequately supported by the data presented in the submission.</w:t>
      </w:r>
    </w:p>
    <w:p w:rsidR="00D22F46" w:rsidRDefault="003A7563" w:rsidP="008B0C28">
      <w:pPr>
        <w:widowControl w:val="0"/>
        <w:numPr>
          <w:ilvl w:val="1"/>
          <w:numId w:val="1"/>
        </w:numPr>
        <w:spacing w:after="120"/>
        <w:rPr>
          <w:rFonts w:asciiTheme="minorHAnsi" w:hAnsiTheme="minorHAnsi"/>
          <w:snapToGrid w:val="0"/>
          <w:lang w:val="en-GB" w:eastAsia="en-US"/>
        </w:rPr>
      </w:pPr>
      <w:r>
        <w:rPr>
          <w:rFonts w:asciiTheme="minorHAnsi" w:hAnsiTheme="minorHAnsi"/>
          <w:snapToGrid w:val="0"/>
          <w:lang w:val="en-GB" w:eastAsia="en-US"/>
        </w:rPr>
        <w:t xml:space="preserve">In terms of the economic analysis, </w:t>
      </w:r>
      <w:r w:rsidR="00192BC0">
        <w:rPr>
          <w:rFonts w:asciiTheme="minorHAnsi" w:hAnsiTheme="minorHAnsi"/>
          <w:snapToGrid w:val="0"/>
          <w:lang w:val="en-GB" w:eastAsia="en-US"/>
        </w:rPr>
        <w:t xml:space="preserve">the PBAC noted the </w:t>
      </w:r>
      <w:r w:rsidR="009B169F">
        <w:rPr>
          <w:rFonts w:asciiTheme="minorHAnsi" w:hAnsiTheme="minorHAnsi"/>
          <w:snapToGrid w:val="0"/>
          <w:lang w:val="en-GB" w:eastAsia="en-US"/>
        </w:rPr>
        <w:t xml:space="preserve">wide range of </w:t>
      </w:r>
      <w:r w:rsidR="00192BC0">
        <w:rPr>
          <w:rFonts w:asciiTheme="minorHAnsi" w:hAnsiTheme="minorHAnsi"/>
          <w:snapToGrid w:val="0"/>
          <w:lang w:val="en-GB" w:eastAsia="en-US"/>
        </w:rPr>
        <w:t xml:space="preserve">concerns raised by the </w:t>
      </w:r>
      <w:r w:rsidR="0052418F">
        <w:rPr>
          <w:rFonts w:asciiTheme="minorHAnsi" w:hAnsiTheme="minorHAnsi"/>
          <w:snapToGrid w:val="0"/>
          <w:lang w:val="en-GB" w:eastAsia="en-US"/>
        </w:rPr>
        <w:t>evaluation</w:t>
      </w:r>
      <w:r w:rsidR="00F4191C">
        <w:rPr>
          <w:rFonts w:asciiTheme="minorHAnsi" w:hAnsiTheme="minorHAnsi"/>
          <w:snapToGrid w:val="0"/>
          <w:lang w:val="en-GB" w:eastAsia="en-US"/>
        </w:rPr>
        <w:t xml:space="preserve"> and the ESC</w:t>
      </w:r>
      <w:r w:rsidR="009B169F">
        <w:rPr>
          <w:rFonts w:asciiTheme="minorHAnsi" w:hAnsiTheme="minorHAnsi"/>
          <w:snapToGrid w:val="0"/>
          <w:lang w:val="en-GB" w:eastAsia="en-US"/>
        </w:rPr>
        <w:t xml:space="preserve">, particularly </w:t>
      </w:r>
      <w:r w:rsidR="0052418F">
        <w:rPr>
          <w:rFonts w:asciiTheme="minorHAnsi" w:hAnsiTheme="minorHAnsi"/>
          <w:snapToGrid w:val="0"/>
          <w:lang w:val="en-GB" w:eastAsia="en-US"/>
        </w:rPr>
        <w:t xml:space="preserve">the 40-year time horizon, the assumption of 100% hospitalisation in the salvage chemotherapy arm, </w:t>
      </w:r>
      <w:r w:rsidR="00E0108A">
        <w:rPr>
          <w:rFonts w:asciiTheme="minorHAnsi" w:hAnsiTheme="minorHAnsi"/>
          <w:snapToGrid w:val="0"/>
          <w:lang w:val="en-GB" w:eastAsia="en-US"/>
        </w:rPr>
        <w:t>the modelled post-HSCT gilteritinib maintenance treatment benefit</w:t>
      </w:r>
      <w:r w:rsidR="00694644">
        <w:rPr>
          <w:rFonts w:asciiTheme="minorHAnsi" w:hAnsiTheme="minorHAnsi"/>
          <w:snapToGrid w:val="0"/>
          <w:lang w:val="en-GB" w:eastAsia="en-US"/>
        </w:rPr>
        <w:t>,</w:t>
      </w:r>
      <w:r w:rsidR="00E0108A">
        <w:rPr>
          <w:rFonts w:asciiTheme="minorHAnsi" w:hAnsiTheme="minorHAnsi"/>
          <w:snapToGrid w:val="0"/>
          <w:lang w:val="en-GB" w:eastAsia="en-US"/>
        </w:rPr>
        <w:t xml:space="preserve"> and the impact of the 2-year cure assumption. </w:t>
      </w:r>
      <w:r w:rsidR="002A2396">
        <w:rPr>
          <w:rFonts w:asciiTheme="minorHAnsi" w:hAnsiTheme="minorHAnsi"/>
          <w:snapToGrid w:val="0"/>
          <w:lang w:val="en-GB" w:eastAsia="en-US"/>
        </w:rPr>
        <w:t xml:space="preserve">The PBAC noted the ESC’s respecified base case </w:t>
      </w:r>
      <w:r w:rsidR="00E30AB0">
        <w:rPr>
          <w:rFonts w:asciiTheme="minorHAnsi" w:hAnsiTheme="minorHAnsi"/>
          <w:snapToGrid w:val="0"/>
          <w:lang w:val="en-GB" w:eastAsia="en-US"/>
        </w:rPr>
        <w:t>which</w:t>
      </w:r>
      <w:r w:rsidR="009F2A8F">
        <w:rPr>
          <w:rFonts w:asciiTheme="minorHAnsi" w:hAnsiTheme="minorHAnsi"/>
          <w:snapToGrid w:val="0"/>
          <w:lang w:val="en-GB" w:eastAsia="en-US"/>
        </w:rPr>
        <w:t>:</w:t>
      </w:r>
      <w:r w:rsidR="00E30AB0">
        <w:rPr>
          <w:rFonts w:asciiTheme="minorHAnsi" w:hAnsiTheme="minorHAnsi"/>
          <w:snapToGrid w:val="0"/>
          <w:lang w:val="en-GB" w:eastAsia="en-US"/>
        </w:rPr>
        <w:t xml:space="preserve"> reduced the </w:t>
      </w:r>
      <w:r w:rsidR="00163EA9">
        <w:rPr>
          <w:rFonts w:asciiTheme="minorHAnsi" w:hAnsiTheme="minorHAnsi"/>
          <w:snapToGrid w:val="0"/>
          <w:lang w:val="en-GB" w:eastAsia="en-US"/>
        </w:rPr>
        <w:t xml:space="preserve">time horizon to 25 years (consistent with previous models in similar AML populations); </w:t>
      </w:r>
      <w:r w:rsidR="009F2A8F">
        <w:rPr>
          <w:rFonts w:asciiTheme="minorHAnsi" w:hAnsiTheme="minorHAnsi"/>
          <w:snapToGrid w:val="0"/>
          <w:lang w:val="en-GB" w:eastAsia="en-US"/>
        </w:rPr>
        <w:t xml:space="preserve">reduced </w:t>
      </w:r>
      <w:r w:rsidR="00163EA9">
        <w:rPr>
          <w:rFonts w:asciiTheme="minorHAnsi" w:hAnsiTheme="minorHAnsi"/>
          <w:snapToGrid w:val="0"/>
          <w:lang w:val="en-GB" w:eastAsia="en-US"/>
        </w:rPr>
        <w:t>hospitalisation in the salvage chemotherapy arm to 58.</w:t>
      </w:r>
      <w:r w:rsidR="00984953">
        <w:rPr>
          <w:rFonts w:asciiTheme="minorHAnsi" w:hAnsiTheme="minorHAnsi"/>
          <w:snapToGrid w:val="0"/>
          <w:lang w:val="en-GB" w:eastAsia="en-US"/>
        </w:rPr>
        <w:t>9</w:t>
      </w:r>
      <w:r w:rsidR="002A2396">
        <w:rPr>
          <w:rFonts w:asciiTheme="minorHAnsi" w:hAnsiTheme="minorHAnsi"/>
          <w:snapToGrid w:val="0"/>
          <w:lang w:val="en-GB" w:eastAsia="en-US"/>
        </w:rPr>
        <w:t xml:space="preserve"> </w:t>
      </w:r>
      <w:r w:rsidR="00163EA9">
        <w:rPr>
          <w:rFonts w:asciiTheme="minorHAnsi" w:hAnsiTheme="minorHAnsi"/>
          <w:snapToGrid w:val="0"/>
          <w:lang w:val="en-GB" w:eastAsia="en-US"/>
        </w:rPr>
        <w:t xml:space="preserve">(consistent with ADMIRAL, and more reflective of different intensity regimens used); </w:t>
      </w:r>
      <w:r w:rsidR="009F2A8F">
        <w:rPr>
          <w:rFonts w:asciiTheme="minorHAnsi" w:hAnsiTheme="minorHAnsi"/>
          <w:snapToGrid w:val="0"/>
          <w:lang w:val="en-GB" w:eastAsia="en-US"/>
        </w:rPr>
        <w:t xml:space="preserve">excluded </w:t>
      </w:r>
      <w:r w:rsidR="00163EA9">
        <w:rPr>
          <w:rFonts w:asciiTheme="minorHAnsi" w:hAnsiTheme="minorHAnsi"/>
          <w:snapToGrid w:val="0"/>
          <w:lang w:val="en-GB" w:eastAsia="en-US"/>
        </w:rPr>
        <w:t>post-HSCT maintenance use</w:t>
      </w:r>
      <w:r w:rsidR="009F2A8F">
        <w:rPr>
          <w:rFonts w:asciiTheme="minorHAnsi" w:hAnsiTheme="minorHAnsi"/>
          <w:snapToGrid w:val="0"/>
          <w:lang w:val="en-GB" w:eastAsia="en-US"/>
        </w:rPr>
        <w:t xml:space="preserve"> </w:t>
      </w:r>
      <w:r w:rsidR="00163EA9">
        <w:rPr>
          <w:rFonts w:asciiTheme="minorHAnsi" w:hAnsiTheme="minorHAnsi"/>
          <w:snapToGrid w:val="0"/>
          <w:lang w:val="en-GB" w:eastAsia="en-US"/>
        </w:rPr>
        <w:t xml:space="preserve">benefits; </w:t>
      </w:r>
      <w:r w:rsidR="004A13A8">
        <w:rPr>
          <w:rFonts w:asciiTheme="minorHAnsi" w:hAnsiTheme="minorHAnsi"/>
          <w:snapToGrid w:val="0"/>
          <w:lang w:val="en-GB" w:eastAsia="en-US"/>
        </w:rPr>
        <w:t xml:space="preserve">and </w:t>
      </w:r>
      <w:r w:rsidR="009F2A8F">
        <w:rPr>
          <w:rFonts w:asciiTheme="minorHAnsi" w:hAnsiTheme="minorHAnsi"/>
          <w:snapToGrid w:val="0"/>
          <w:lang w:val="en-GB" w:eastAsia="en-US"/>
        </w:rPr>
        <w:t xml:space="preserve">applied </w:t>
      </w:r>
      <w:r w:rsidR="00325C79">
        <w:rPr>
          <w:rFonts w:asciiTheme="minorHAnsi" w:hAnsiTheme="minorHAnsi"/>
          <w:snapToGrid w:val="0"/>
          <w:lang w:val="en-GB" w:eastAsia="en-US"/>
        </w:rPr>
        <w:t>a</w:t>
      </w:r>
      <w:r w:rsidR="00E0108A">
        <w:rPr>
          <w:rFonts w:asciiTheme="minorHAnsi" w:hAnsiTheme="minorHAnsi"/>
          <w:snapToGrid w:val="0"/>
          <w:lang w:val="en-GB" w:eastAsia="en-US"/>
        </w:rPr>
        <w:t xml:space="preserve"> </w:t>
      </w:r>
      <w:r w:rsidR="009F2A8F">
        <w:rPr>
          <w:rFonts w:asciiTheme="minorHAnsi" w:hAnsiTheme="minorHAnsi"/>
          <w:snapToGrid w:val="0"/>
          <w:lang w:val="en-GB" w:eastAsia="en-US"/>
        </w:rPr>
        <w:t xml:space="preserve">3-year </w:t>
      </w:r>
      <w:r w:rsidR="00325C79">
        <w:rPr>
          <w:rFonts w:asciiTheme="minorHAnsi" w:hAnsiTheme="minorHAnsi"/>
          <w:snapToGrid w:val="0"/>
          <w:lang w:val="en-GB" w:eastAsia="en-US"/>
        </w:rPr>
        <w:t>cure assumption</w:t>
      </w:r>
      <w:r w:rsidR="00E0108A">
        <w:rPr>
          <w:rFonts w:asciiTheme="minorHAnsi" w:hAnsiTheme="minorHAnsi"/>
          <w:snapToGrid w:val="0"/>
          <w:lang w:val="en-GB" w:eastAsia="en-US"/>
        </w:rPr>
        <w:t xml:space="preserve"> (yielded a more conservative estimate of cure in sensitivity analyses)</w:t>
      </w:r>
      <w:r w:rsidR="00325C79">
        <w:rPr>
          <w:rFonts w:asciiTheme="minorHAnsi" w:hAnsiTheme="minorHAnsi"/>
          <w:snapToGrid w:val="0"/>
          <w:lang w:val="en-GB" w:eastAsia="en-US"/>
        </w:rPr>
        <w:t>.</w:t>
      </w:r>
      <w:r w:rsidR="009F2A8F">
        <w:rPr>
          <w:rFonts w:asciiTheme="minorHAnsi" w:hAnsiTheme="minorHAnsi"/>
          <w:snapToGrid w:val="0"/>
          <w:lang w:val="en-GB" w:eastAsia="en-US"/>
        </w:rPr>
        <w:t xml:space="preserve"> The PBAC noted the pre-PBAC response </w:t>
      </w:r>
      <w:r w:rsidR="009F2A8F">
        <w:rPr>
          <w:lang w:val="en-GB" w:eastAsia="en-US"/>
        </w:rPr>
        <w:t>withdrawal of the request for gilteritinib maintenance use post-HSCT and considered that both the costs and benefits of such use should be excluded</w:t>
      </w:r>
      <w:r w:rsidR="00E0108A">
        <w:rPr>
          <w:lang w:val="en-GB" w:eastAsia="en-US"/>
        </w:rPr>
        <w:t xml:space="preserve"> from the economic model</w:t>
      </w:r>
      <w:r w:rsidR="009F2A8F">
        <w:rPr>
          <w:lang w:val="en-GB" w:eastAsia="en-US"/>
        </w:rPr>
        <w:t xml:space="preserve">. </w:t>
      </w:r>
      <w:r w:rsidR="009B169F">
        <w:rPr>
          <w:rFonts w:asciiTheme="minorHAnsi" w:hAnsiTheme="minorHAnsi"/>
          <w:snapToGrid w:val="0"/>
          <w:lang w:val="en-GB" w:eastAsia="en-US"/>
        </w:rPr>
        <w:t>The PBAC considered th</w:t>
      </w:r>
      <w:r w:rsidR="00242AFD">
        <w:rPr>
          <w:rFonts w:asciiTheme="minorHAnsi" w:hAnsiTheme="minorHAnsi"/>
          <w:snapToGrid w:val="0"/>
          <w:lang w:val="en-GB" w:eastAsia="en-US"/>
        </w:rPr>
        <w:t xml:space="preserve">at the </w:t>
      </w:r>
      <w:r w:rsidR="009B169F">
        <w:rPr>
          <w:rFonts w:asciiTheme="minorHAnsi" w:hAnsiTheme="minorHAnsi"/>
          <w:snapToGrid w:val="0"/>
          <w:lang w:val="en-GB" w:eastAsia="en-US"/>
        </w:rPr>
        <w:t xml:space="preserve">economic model could be relied </w:t>
      </w:r>
      <w:r w:rsidR="00EE7206">
        <w:rPr>
          <w:rFonts w:asciiTheme="minorHAnsi" w:hAnsiTheme="minorHAnsi"/>
          <w:snapToGrid w:val="0"/>
          <w:lang w:val="en-GB" w:eastAsia="en-US"/>
        </w:rPr>
        <w:t>upon for decision making with the following amendments</w:t>
      </w:r>
      <w:r w:rsidR="009B169F">
        <w:rPr>
          <w:rFonts w:asciiTheme="minorHAnsi" w:hAnsiTheme="minorHAnsi"/>
          <w:snapToGrid w:val="0"/>
          <w:lang w:val="en-GB" w:eastAsia="en-US"/>
        </w:rPr>
        <w:t xml:space="preserve">: </w:t>
      </w:r>
    </w:p>
    <w:p w:rsidR="00843512" w:rsidRDefault="00843512" w:rsidP="0078654B">
      <w:pPr>
        <w:pStyle w:val="ExecSumBodyText"/>
        <w:numPr>
          <w:ilvl w:val="0"/>
          <w:numId w:val="6"/>
        </w:numPr>
        <w:ind w:left="1077" w:hanging="357"/>
        <w:rPr>
          <w:lang w:val="en-GB" w:eastAsia="en-US"/>
        </w:rPr>
      </w:pPr>
      <w:r>
        <w:rPr>
          <w:lang w:val="en-GB" w:eastAsia="en-US"/>
        </w:rPr>
        <w:t xml:space="preserve">use of the current azacitidine price; </w:t>
      </w:r>
    </w:p>
    <w:p w:rsidR="00EE7206" w:rsidRPr="0078654B" w:rsidRDefault="00EE7206" w:rsidP="0078654B">
      <w:pPr>
        <w:pStyle w:val="ExecSumBodyText"/>
        <w:numPr>
          <w:ilvl w:val="0"/>
          <w:numId w:val="6"/>
        </w:numPr>
        <w:ind w:left="1077" w:hanging="357"/>
        <w:rPr>
          <w:lang w:val="en-GB" w:eastAsia="en-US"/>
        </w:rPr>
      </w:pPr>
      <w:r w:rsidRPr="0078654B">
        <w:rPr>
          <w:lang w:val="en-GB" w:eastAsia="en-US"/>
        </w:rPr>
        <w:t>58.9% of patients hospitalised for salvage chemo</w:t>
      </w:r>
      <w:r w:rsidRPr="008A1CBC">
        <w:rPr>
          <w:lang w:val="en-GB" w:eastAsia="en-US"/>
        </w:rPr>
        <w:t>therapy</w:t>
      </w:r>
      <w:r w:rsidRPr="0078654B">
        <w:rPr>
          <w:lang w:val="en-GB" w:eastAsia="en-US"/>
        </w:rPr>
        <w:t>;</w:t>
      </w:r>
    </w:p>
    <w:p w:rsidR="00EE7206" w:rsidRPr="0078654B" w:rsidRDefault="00EE7206" w:rsidP="0078654B">
      <w:pPr>
        <w:pStyle w:val="ExecSumBodyText"/>
        <w:numPr>
          <w:ilvl w:val="0"/>
          <w:numId w:val="6"/>
        </w:numPr>
        <w:ind w:left="1077" w:hanging="357"/>
        <w:rPr>
          <w:lang w:val="en-GB" w:eastAsia="en-US"/>
        </w:rPr>
      </w:pPr>
      <w:r w:rsidRPr="0078654B">
        <w:rPr>
          <w:lang w:val="en-GB" w:eastAsia="en-US"/>
        </w:rPr>
        <w:t>post-HSCT gilteritinib ma</w:t>
      </w:r>
      <w:r w:rsidRPr="008A1CBC">
        <w:rPr>
          <w:lang w:val="en-GB" w:eastAsia="en-US"/>
        </w:rPr>
        <w:t>intenance therapy costs and benefits excluded</w:t>
      </w:r>
      <w:r w:rsidRPr="0078654B">
        <w:rPr>
          <w:lang w:val="en-GB" w:eastAsia="en-US"/>
        </w:rPr>
        <w:t>;</w:t>
      </w:r>
    </w:p>
    <w:p w:rsidR="00EE7206" w:rsidRPr="0078654B" w:rsidRDefault="00EE7206" w:rsidP="0078654B">
      <w:pPr>
        <w:pStyle w:val="ExecSumBodyText"/>
        <w:numPr>
          <w:ilvl w:val="0"/>
          <w:numId w:val="6"/>
        </w:numPr>
        <w:ind w:left="1077" w:hanging="357"/>
        <w:rPr>
          <w:lang w:val="en-GB" w:eastAsia="en-US"/>
        </w:rPr>
      </w:pPr>
      <w:r w:rsidRPr="0078654B">
        <w:rPr>
          <w:lang w:val="en-GB" w:eastAsia="en-US"/>
        </w:rPr>
        <w:t>a 25-year time horizon;</w:t>
      </w:r>
    </w:p>
    <w:p w:rsidR="00D22F46" w:rsidRDefault="00EE7206" w:rsidP="0078654B">
      <w:pPr>
        <w:pStyle w:val="ExecSumBodyText"/>
        <w:numPr>
          <w:ilvl w:val="0"/>
          <w:numId w:val="6"/>
        </w:numPr>
        <w:ind w:left="1077" w:hanging="357"/>
        <w:rPr>
          <w:lang w:val="en-GB" w:eastAsia="en-US"/>
        </w:rPr>
      </w:pPr>
      <w:r w:rsidRPr="0078654B">
        <w:rPr>
          <w:lang w:val="en-GB" w:eastAsia="en-US"/>
        </w:rPr>
        <w:t>a</w:t>
      </w:r>
      <w:r w:rsidR="00434563">
        <w:rPr>
          <w:lang w:val="en-GB" w:eastAsia="en-US"/>
        </w:rPr>
        <w:t xml:space="preserve"> clinically</w:t>
      </w:r>
      <w:r w:rsidR="008A1CBC" w:rsidRPr="008A1CBC">
        <w:rPr>
          <w:lang w:val="en-GB" w:eastAsia="en-US"/>
        </w:rPr>
        <w:t xml:space="preserve"> appropriate</w:t>
      </w:r>
      <w:r w:rsidR="00434563">
        <w:rPr>
          <w:lang w:val="en-GB" w:eastAsia="en-US"/>
        </w:rPr>
        <w:t xml:space="preserve"> and justified</w:t>
      </w:r>
      <w:r w:rsidR="008A1CBC" w:rsidRPr="008A1CBC">
        <w:rPr>
          <w:lang w:val="en-GB" w:eastAsia="en-US"/>
        </w:rPr>
        <w:t xml:space="preserve"> </w:t>
      </w:r>
      <w:r w:rsidRPr="008A1CBC">
        <w:rPr>
          <w:lang w:val="en-GB" w:eastAsia="en-US"/>
        </w:rPr>
        <w:t>cure assumption.</w:t>
      </w:r>
    </w:p>
    <w:p w:rsidR="003A7563" w:rsidRDefault="00325C79" w:rsidP="0078654B">
      <w:pPr>
        <w:pStyle w:val="ExecSumBodyText"/>
        <w:numPr>
          <w:ilvl w:val="0"/>
          <w:numId w:val="0"/>
        </w:numPr>
        <w:ind w:left="720"/>
        <w:rPr>
          <w:lang w:val="en-GB" w:eastAsia="en-US"/>
        </w:rPr>
      </w:pPr>
      <w:r>
        <w:rPr>
          <w:lang w:val="en-GB" w:eastAsia="en-US"/>
        </w:rPr>
        <w:t xml:space="preserve">With </w:t>
      </w:r>
      <w:r w:rsidR="004A13A8">
        <w:rPr>
          <w:lang w:val="en-GB" w:eastAsia="en-US"/>
        </w:rPr>
        <w:t>the</w:t>
      </w:r>
      <w:r>
        <w:rPr>
          <w:lang w:val="en-GB" w:eastAsia="en-US"/>
        </w:rPr>
        <w:t xml:space="preserve"> changes</w:t>
      </w:r>
      <w:r w:rsidR="004A13A8">
        <w:rPr>
          <w:lang w:val="en-GB" w:eastAsia="en-US"/>
        </w:rPr>
        <w:t xml:space="preserve"> described here</w:t>
      </w:r>
      <w:r>
        <w:rPr>
          <w:lang w:val="en-GB" w:eastAsia="en-US"/>
        </w:rPr>
        <w:t xml:space="preserve">, the PBAC considered that a price reduction would be required to achieve an acceptable </w:t>
      </w:r>
      <w:r w:rsidR="00EE7206">
        <w:rPr>
          <w:lang w:val="en-GB" w:eastAsia="en-US"/>
        </w:rPr>
        <w:t>ICER</w:t>
      </w:r>
      <w:r w:rsidR="004E6639">
        <w:rPr>
          <w:lang w:val="en-GB" w:eastAsia="en-US"/>
        </w:rPr>
        <w:t xml:space="preserve"> in the range of $70,000 to $80,000 per QALY gained</w:t>
      </w:r>
      <w:r>
        <w:rPr>
          <w:lang w:val="en-GB" w:eastAsia="en-US"/>
        </w:rPr>
        <w:t>, and to help mitigate remaining uncertainty associated with the clinical inputs and model results.</w:t>
      </w:r>
    </w:p>
    <w:p w:rsidR="00E40A2C" w:rsidRPr="00E40A2C" w:rsidRDefault="00F4191C" w:rsidP="00D2725A">
      <w:pPr>
        <w:widowControl w:val="0"/>
        <w:numPr>
          <w:ilvl w:val="1"/>
          <w:numId w:val="1"/>
        </w:numPr>
        <w:spacing w:after="120"/>
        <w:rPr>
          <w:lang w:val="en-GB" w:eastAsia="en-US"/>
        </w:rPr>
      </w:pPr>
      <w:r w:rsidRPr="00E40A2C">
        <w:rPr>
          <w:rFonts w:asciiTheme="minorHAnsi" w:hAnsiTheme="minorHAnsi"/>
          <w:snapToGrid w:val="0"/>
          <w:lang w:val="en-GB" w:eastAsia="en-US"/>
        </w:rPr>
        <w:t>In consider</w:t>
      </w:r>
      <w:r w:rsidR="004A13A8" w:rsidRPr="00E40A2C">
        <w:rPr>
          <w:rFonts w:asciiTheme="minorHAnsi" w:hAnsiTheme="minorHAnsi"/>
          <w:snapToGrid w:val="0"/>
          <w:lang w:val="en-GB" w:eastAsia="en-US"/>
        </w:rPr>
        <w:t>ation</w:t>
      </w:r>
      <w:r w:rsidRPr="00E40A2C">
        <w:rPr>
          <w:rFonts w:asciiTheme="minorHAnsi" w:hAnsiTheme="minorHAnsi"/>
          <w:snapToGrid w:val="0"/>
          <w:lang w:val="en-GB" w:eastAsia="en-US"/>
        </w:rPr>
        <w:t xml:space="preserve"> of the financial impact, the PBAC </w:t>
      </w:r>
      <w:r w:rsidR="0043388C">
        <w:rPr>
          <w:rFonts w:asciiTheme="minorHAnsi" w:hAnsiTheme="minorHAnsi"/>
          <w:snapToGrid w:val="0"/>
          <w:lang w:val="en-GB" w:eastAsia="en-US"/>
        </w:rPr>
        <w:t xml:space="preserve">acknowledged the concerns raised with the published estimates, the uncertainty around the duration of treatment and the potential for use outside of the proposed restriction in combination with other chemotherapy agents or beyond disease progression. The PBAC considered </w:t>
      </w:r>
      <w:r w:rsidR="00EB5BB9">
        <w:rPr>
          <w:rFonts w:asciiTheme="minorHAnsi" w:hAnsiTheme="minorHAnsi"/>
          <w:snapToGrid w:val="0"/>
          <w:lang w:val="en-GB" w:eastAsia="en-US"/>
        </w:rPr>
        <w:t>that the incidence of AML had been slightly overestimated, and that a rate of 4.2 per 100,000 was the most up-to-date estimate</w:t>
      </w:r>
      <w:r w:rsidR="004A13A8" w:rsidRPr="00E40A2C">
        <w:rPr>
          <w:rFonts w:asciiTheme="minorHAnsi" w:hAnsiTheme="minorHAnsi"/>
          <w:snapToGrid w:val="0"/>
          <w:lang w:val="en-GB" w:eastAsia="en-US"/>
        </w:rPr>
        <w:t>.</w:t>
      </w:r>
      <w:r w:rsidR="00EB5BB9">
        <w:rPr>
          <w:rFonts w:asciiTheme="minorHAnsi" w:hAnsiTheme="minorHAnsi"/>
          <w:snapToGrid w:val="0"/>
          <w:lang w:val="en-GB" w:eastAsia="en-US"/>
        </w:rPr>
        <w:t xml:space="preserve"> The uptake was also likely to be lower than </w:t>
      </w:r>
      <w:r w:rsidR="00DD7357">
        <w:rPr>
          <w:rFonts w:asciiTheme="minorHAnsi" w:hAnsiTheme="minorHAnsi"/>
          <w:noProof/>
          <w:snapToGrid w:val="0"/>
          <w:color w:val="000000"/>
          <w:highlight w:val="black"/>
          <w:lang w:val="en-GB" w:eastAsia="en-US"/>
        </w:rPr>
        <w:t>'''''</w:t>
      </w:r>
      <w:r w:rsidR="00EB5BB9">
        <w:rPr>
          <w:rFonts w:asciiTheme="minorHAnsi" w:hAnsiTheme="minorHAnsi"/>
          <w:snapToGrid w:val="0"/>
          <w:lang w:val="en-GB" w:eastAsia="en-US"/>
        </w:rPr>
        <w:t>%, given that a proportion of patients surviving to the relapsed/refractory setting may no longer be suitable for active treatment.</w:t>
      </w:r>
      <w:r w:rsidR="004A13A8" w:rsidRPr="00E40A2C">
        <w:rPr>
          <w:rFonts w:asciiTheme="minorHAnsi" w:hAnsiTheme="minorHAnsi"/>
          <w:snapToGrid w:val="0"/>
          <w:lang w:val="en-GB" w:eastAsia="en-US"/>
        </w:rPr>
        <w:t xml:space="preserve"> </w:t>
      </w:r>
      <w:r w:rsidR="00EB5BB9">
        <w:rPr>
          <w:rFonts w:asciiTheme="minorHAnsi" w:hAnsiTheme="minorHAnsi"/>
          <w:snapToGrid w:val="0"/>
          <w:lang w:val="en-GB" w:eastAsia="en-US"/>
        </w:rPr>
        <w:t>At the same time</w:t>
      </w:r>
      <w:r w:rsidR="0043388C">
        <w:rPr>
          <w:rFonts w:asciiTheme="minorHAnsi" w:hAnsiTheme="minorHAnsi"/>
          <w:snapToGrid w:val="0"/>
          <w:lang w:val="en-GB" w:eastAsia="en-US"/>
        </w:rPr>
        <w:t xml:space="preserve">, the PBAC considered concerns regarding treatment duration were reduced with the pre-PBAC response removal of the request for post-HSCT maintenance therapy. The PBAC also considered that the restriction wording around use as monotherapy and the proposed Authority Required (Telephone/Electronic) listing would likely reduce the potential for use in combination with other treatments or beyond disease progression. </w:t>
      </w:r>
      <w:r w:rsidR="00E40A2C">
        <w:rPr>
          <w:rFonts w:asciiTheme="minorHAnsi" w:hAnsiTheme="minorHAnsi"/>
          <w:snapToGrid w:val="0"/>
          <w:lang w:val="en-GB" w:eastAsia="en-US"/>
        </w:rPr>
        <w:t xml:space="preserve">The PBAC noted </w:t>
      </w:r>
      <w:r w:rsidR="003C0447">
        <w:rPr>
          <w:rFonts w:asciiTheme="minorHAnsi" w:hAnsiTheme="minorHAnsi"/>
          <w:snapToGrid w:val="0"/>
          <w:lang w:val="en-GB" w:eastAsia="en-US"/>
        </w:rPr>
        <w:t>the pre-PBAC response</w:t>
      </w:r>
      <w:r w:rsidR="003C0447" w:rsidRPr="003C0447">
        <w:rPr>
          <w:rFonts w:eastAsia="Calibri"/>
          <w:iCs/>
        </w:rPr>
        <w:t xml:space="preserve"> </w:t>
      </w:r>
      <w:r w:rsidR="003C0447">
        <w:rPr>
          <w:rFonts w:eastAsia="Calibri"/>
          <w:iCs/>
        </w:rPr>
        <w:t>estimates applied an o</w:t>
      </w:r>
      <w:r w:rsidR="003C0447" w:rsidRPr="009454FC">
        <w:rPr>
          <w:rFonts w:eastAsia="Calibri"/>
          <w:iCs/>
        </w:rPr>
        <w:t xml:space="preserve">verall mean </w:t>
      </w:r>
      <w:r w:rsidR="003C0447">
        <w:rPr>
          <w:rFonts w:eastAsia="Calibri"/>
          <w:iCs/>
        </w:rPr>
        <w:t xml:space="preserve">of </w:t>
      </w:r>
      <w:r w:rsidR="003C0447" w:rsidRPr="009454FC">
        <w:rPr>
          <w:rFonts w:eastAsia="Calibri"/>
          <w:iCs/>
        </w:rPr>
        <w:t>5.84 cycles</w:t>
      </w:r>
      <w:r w:rsidR="003C0447">
        <w:rPr>
          <w:rFonts w:eastAsia="Calibri"/>
          <w:iCs/>
        </w:rPr>
        <w:t>, which was consistent with removing the request for post-HSCT maintenance therapy and considered</w:t>
      </w:r>
      <w:r w:rsidR="003C0447">
        <w:rPr>
          <w:rFonts w:asciiTheme="minorHAnsi" w:hAnsiTheme="minorHAnsi"/>
          <w:snapToGrid w:val="0"/>
          <w:lang w:val="en-GB" w:eastAsia="en-US"/>
        </w:rPr>
        <w:t xml:space="preserve"> </w:t>
      </w:r>
      <w:r w:rsidR="00E40A2C">
        <w:rPr>
          <w:rFonts w:asciiTheme="minorHAnsi" w:hAnsiTheme="minorHAnsi"/>
          <w:snapToGrid w:val="0"/>
          <w:lang w:val="en-GB" w:eastAsia="en-US"/>
        </w:rPr>
        <w:t xml:space="preserve">that a resubmission would </w:t>
      </w:r>
      <w:r w:rsidR="003C0447">
        <w:rPr>
          <w:rFonts w:asciiTheme="minorHAnsi" w:hAnsiTheme="minorHAnsi"/>
          <w:snapToGrid w:val="0"/>
          <w:lang w:val="en-GB" w:eastAsia="en-US"/>
        </w:rPr>
        <w:t xml:space="preserve">also </w:t>
      </w:r>
      <w:r w:rsidR="00E40A2C">
        <w:rPr>
          <w:rFonts w:asciiTheme="minorHAnsi" w:hAnsiTheme="minorHAnsi"/>
          <w:snapToGrid w:val="0"/>
          <w:lang w:val="en-GB" w:eastAsia="en-US"/>
        </w:rPr>
        <w:t>need to update the financial estimates according to a revised price</w:t>
      </w:r>
      <w:r w:rsidR="003C0447">
        <w:rPr>
          <w:rFonts w:asciiTheme="minorHAnsi" w:hAnsiTheme="minorHAnsi"/>
          <w:snapToGrid w:val="0"/>
          <w:lang w:val="en-GB" w:eastAsia="en-US"/>
        </w:rPr>
        <w:t xml:space="preserve"> as outlined in paragraph 7.8</w:t>
      </w:r>
      <w:r w:rsidR="008B66E2">
        <w:rPr>
          <w:rFonts w:asciiTheme="minorHAnsi" w:hAnsiTheme="minorHAnsi"/>
          <w:snapToGrid w:val="0"/>
          <w:lang w:val="en-GB" w:eastAsia="en-US"/>
        </w:rPr>
        <w:t>, and with reduced AML incidence and gilteritinib uptake</w:t>
      </w:r>
      <w:r w:rsidR="00E40A2C">
        <w:rPr>
          <w:rFonts w:asciiTheme="minorHAnsi" w:hAnsiTheme="minorHAnsi"/>
          <w:snapToGrid w:val="0"/>
          <w:lang w:val="en-GB" w:eastAsia="en-US"/>
        </w:rPr>
        <w:t xml:space="preserve">. </w:t>
      </w:r>
      <w:r w:rsidR="008B66E2">
        <w:rPr>
          <w:rFonts w:asciiTheme="minorHAnsi" w:hAnsiTheme="minorHAnsi"/>
          <w:snapToGrid w:val="0"/>
          <w:lang w:val="en-GB" w:eastAsia="en-US"/>
        </w:rPr>
        <w:t>The PBAC advised that, given the overall uncertainty regarding the estimated patient numbers, a Risk Sharing Arrangement (RSA) would be required.</w:t>
      </w:r>
    </w:p>
    <w:p w:rsidR="0078654B" w:rsidRDefault="00E73CF7" w:rsidP="00D2725A">
      <w:pPr>
        <w:widowControl w:val="0"/>
        <w:numPr>
          <w:ilvl w:val="1"/>
          <w:numId w:val="1"/>
        </w:numPr>
        <w:spacing w:after="120"/>
        <w:rPr>
          <w:lang w:val="en-GB" w:eastAsia="en-US"/>
        </w:rPr>
      </w:pPr>
      <w:r w:rsidRPr="00E40A2C">
        <w:rPr>
          <w:lang w:val="en-GB" w:eastAsia="en-US"/>
        </w:rPr>
        <w:t xml:space="preserve">The PBAC considered the outstanding issues could be easily resolved in a simple resubmission for </w:t>
      </w:r>
      <w:r w:rsidR="00891FF2" w:rsidRPr="00E40A2C">
        <w:rPr>
          <w:lang w:val="en-GB" w:eastAsia="en-US"/>
        </w:rPr>
        <w:t>gilteritinib</w:t>
      </w:r>
      <w:r w:rsidRPr="00E40A2C">
        <w:rPr>
          <w:lang w:val="en-GB" w:eastAsia="en-US"/>
        </w:rPr>
        <w:t xml:space="preserve"> using the early re-entry pathway.</w:t>
      </w:r>
      <w:r w:rsidR="0078654B">
        <w:rPr>
          <w:lang w:val="en-GB" w:eastAsia="en-US"/>
        </w:rPr>
        <w:t xml:space="preserve"> If the sponsor accepts this pathway, the following changes may address these outstanding issues:</w:t>
      </w:r>
    </w:p>
    <w:p w:rsidR="0078654B" w:rsidRDefault="0078654B" w:rsidP="00121D71">
      <w:pPr>
        <w:pStyle w:val="ExecSumBodyText"/>
        <w:numPr>
          <w:ilvl w:val="0"/>
          <w:numId w:val="6"/>
        </w:numPr>
        <w:ind w:left="1077" w:hanging="357"/>
        <w:rPr>
          <w:lang w:val="en-GB" w:eastAsia="en-US"/>
        </w:rPr>
      </w:pPr>
      <w:r>
        <w:rPr>
          <w:lang w:val="en-GB" w:eastAsia="en-US"/>
        </w:rPr>
        <w:t>a price reduction to achieve</w:t>
      </w:r>
      <w:r w:rsidR="007672C8">
        <w:rPr>
          <w:lang w:val="en-GB" w:eastAsia="en-US"/>
        </w:rPr>
        <w:t xml:space="preserve"> </w:t>
      </w:r>
      <w:r w:rsidR="00BA1122">
        <w:rPr>
          <w:lang w:val="en-GB" w:eastAsia="en-US"/>
        </w:rPr>
        <w:t xml:space="preserve">an </w:t>
      </w:r>
      <w:r>
        <w:rPr>
          <w:lang w:val="en-GB" w:eastAsia="en-US"/>
        </w:rPr>
        <w:t>ICER</w:t>
      </w:r>
      <w:r w:rsidR="00BA1122">
        <w:rPr>
          <w:lang w:val="en-GB" w:eastAsia="en-US"/>
        </w:rPr>
        <w:t xml:space="preserve"> of $70,000 to $80,000 per QALY gained</w:t>
      </w:r>
      <w:r>
        <w:rPr>
          <w:lang w:val="en-GB" w:eastAsia="en-US"/>
        </w:rPr>
        <w:t xml:space="preserve"> based on the scenario outlined in paragraph 7.8; </w:t>
      </w:r>
    </w:p>
    <w:p w:rsidR="008B66E2" w:rsidRDefault="0078654B" w:rsidP="00121D71">
      <w:pPr>
        <w:pStyle w:val="ExecSumBodyText"/>
        <w:numPr>
          <w:ilvl w:val="0"/>
          <w:numId w:val="6"/>
        </w:numPr>
        <w:ind w:left="1077" w:hanging="357"/>
        <w:rPr>
          <w:lang w:val="en-GB" w:eastAsia="en-US"/>
        </w:rPr>
      </w:pPr>
      <w:r>
        <w:rPr>
          <w:lang w:val="en-GB" w:eastAsia="en-US"/>
        </w:rPr>
        <w:t>the revised financial estimates presented in the pre-PBAC response updated with the price reduction outlined in paragraph 7.8</w:t>
      </w:r>
      <w:r w:rsidR="008B66E2">
        <w:rPr>
          <w:lang w:val="en-GB" w:eastAsia="en-US"/>
        </w:rPr>
        <w:t>, reduced AML incidence and reduced gilteritinib uptake</w:t>
      </w:r>
      <w:r>
        <w:rPr>
          <w:lang w:val="en-GB" w:eastAsia="en-US"/>
        </w:rPr>
        <w:t>.</w:t>
      </w:r>
    </w:p>
    <w:p w:rsidR="0078654B" w:rsidRDefault="008B66E2" w:rsidP="00121D71">
      <w:pPr>
        <w:pStyle w:val="ExecSumBodyText"/>
        <w:numPr>
          <w:ilvl w:val="0"/>
          <w:numId w:val="6"/>
        </w:numPr>
        <w:ind w:left="1077" w:hanging="357"/>
        <w:rPr>
          <w:lang w:val="en-GB" w:eastAsia="en-US"/>
        </w:rPr>
      </w:pPr>
      <w:r>
        <w:rPr>
          <w:lang w:val="en-GB" w:eastAsia="en-US"/>
        </w:rPr>
        <w:t>A proposal for an RSA.</w:t>
      </w:r>
      <w:r w:rsidR="0078654B">
        <w:rPr>
          <w:lang w:val="en-GB" w:eastAsia="en-US"/>
        </w:rPr>
        <w:t xml:space="preserve"> </w:t>
      </w:r>
    </w:p>
    <w:p w:rsidR="00E73CF7" w:rsidRPr="00E40A2C" w:rsidRDefault="0078654B" w:rsidP="00897426">
      <w:pPr>
        <w:pStyle w:val="ExecSumBodyText"/>
        <w:numPr>
          <w:ilvl w:val="0"/>
          <w:numId w:val="0"/>
        </w:numPr>
        <w:ind w:left="720"/>
        <w:rPr>
          <w:lang w:val="en-GB" w:eastAsia="en-US"/>
        </w:rPr>
      </w:pPr>
      <w:r>
        <w:rPr>
          <w:lang w:val="en-GB" w:eastAsia="en-US"/>
        </w:rPr>
        <w:t xml:space="preserve">The PBAC noted that </w:t>
      </w:r>
      <w:r w:rsidR="00121D71">
        <w:rPr>
          <w:lang w:val="en-GB" w:eastAsia="en-US"/>
        </w:rPr>
        <w:t xml:space="preserve">for an early re-entry pathway these analyses should not require further re-evaluation. </w:t>
      </w:r>
      <w:r w:rsidR="00897426">
        <w:rPr>
          <w:lang w:val="en-GB" w:eastAsia="en-US"/>
        </w:rPr>
        <w:t xml:space="preserve">In particular, the PBAC advised that for an early re-entry pathway the amended cure assumption applied should not result in the model requiring evaluation, and noted if evaluation is required then a standard re-entry pathway would be appropriate. </w:t>
      </w:r>
    </w:p>
    <w:p w:rsidR="00E73CF7" w:rsidRPr="001D79E7" w:rsidRDefault="00E73CF7" w:rsidP="00891FF2">
      <w:pPr>
        <w:pStyle w:val="ExecSumBodyText"/>
        <w:rPr>
          <w:lang w:val="en-GB" w:eastAsia="en-US"/>
        </w:rPr>
      </w:pPr>
      <w:r w:rsidRPr="001D79E7">
        <w:rPr>
          <w:lang w:val="en-GB" w:eastAsia="en-US"/>
        </w:rPr>
        <w:t>The early re-entry resubmission must be lodged by week 7 of the current PBAC cycle or the next cycle. If the issues cannot be addressed by the sponsor in a simple resubmission and the early re-entry timing is not acceptable, a standard re-entry pathway is available.</w:t>
      </w:r>
    </w:p>
    <w:p w:rsidR="006D1553" w:rsidRPr="006D1553" w:rsidRDefault="00E73CF7" w:rsidP="008B0C28">
      <w:pPr>
        <w:widowControl w:val="0"/>
        <w:numPr>
          <w:ilvl w:val="1"/>
          <w:numId w:val="1"/>
        </w:numPr>
        <w:spacing w:after="120"/>
        <w:rPr>
          <w:rFonts w:asciiTheme="minorHAnsi" w:hAnsiTheme="minorHAnsi"/>
          <w:b/>
          <w:bCs/>
          <w:snapToGrid w:val="0"/>
          <w:lang w:val="en-GB" w:eastAsia="en-US"/>
        </w:rPr>
      </w:pPr>
      <w:r w:rsidRPr="00E73CF7">
        <w:rPr>
          <w:rFonts w:asciiTheme="minorHAnsi" w:hAnsiTheme="minorHAnsi"/>
          <w:bCs/>
          <w:snapToGrid w:val="0"/>
          <w:lang w:val="en-GB" w:eastAsia="en-US"/>
        </w:rPr>
        <w:t>The PBAC noted that this submission is eligible for an Independent Review.</w:t>
      </w:r>
    </w:p>
    <w:p w:rsidR="00E73CF7" w:rsidRPr="00E73CF7" w:rsidRDefault="00E73CF7" w:rsidP="008B0C28">
      <w:pPr>
        <w:widowControl w:val="0"/>
        <w:rPr>
          <w:rFonts w:asciiTheme="minorHAnsi" w:hAnsiTheme="minorHAnsi"/>
          <w:b/>
          <w:bCs/>
          <w:snapToGrid w:val="0"/>
          <w:lang w:val="en-GB" w:eastAsia="en-US"/>
        </w:rPr>
      </w:pPr>
      <w:r w:rsidRPr="00E73CF7">
        <w:rPr>
          <w:rFonts w:asciiTheme="minorHAnsi" w:hAnsiTheme="minorHAnsi"/>
          <w:b/>
          <w:bCs/>
          <w:snapToGrid w:val="0"/>
          <w:lang w:val="en-GB" w:eastAsia="en-US"/>
        </w:rPr>
        <w:t>Outcome:</w:t>
      </w:r>
    </w:p>
    <w:p w:rsidR="00C56FCF" w:rsidRDefault="00E73CF7" w:rsidP="00BF7565">
      <w:pPr>
        <w:rPr>
          <w:rFonts w:asciiTheme="minorHAnsi" w:hAnsiTheme="minorHAnsi"/>
          <w:bCs/>
          <w:snapToGrid w:val="0"/>
          <w:lang w:val="en-GB" w:eastAsia="en-US"/>
        </w:rPr>
      </w:pPr>
      <w:r w:rsidRPr="00E73CF7">
        <w:rPr>
          <w:rFonts w:asciiTheme="minorHAnsi" w:hAnsiTheme="minorHAnsi"/>
          <w:bCs/>
          <w:snapToGrid w:val="0"/>
          <w:lang w:val="en-GB" w:eastAsia="en-US"/>
        </w:rPr>
        <w:t>Not recommended</w:t>
      </w:r>
      <w:bookmarkEnd w:id="61"/>
      <w:bookmarkEnd w:id="62"/>
    </w:p>
    <w:p w:rsidR="00DA1F75" w:rsidRDefault="00DA1F75" w:rsidP="00BF7565">
      <w:pPr>
        <w:rPr>
          <w:rFonts w:asciiTheme="minorHAnsi" w:hAnsiTheme="minorHAnsi"/>
          <w:bCs/>
          <w:snapToGrid w:val="0"/>
          <w:lang w:val="en-GB" w:eastAsia="en-US"/>
        </w:rPr>
      </w:pPr>
    </w:p>
    <w:p w:rsidR="00DA1F75" w:rsidRPr="007672C8" w:rsidRDefault="00DA1F75" w:rsidP="007672C8">
      <w:pPr>
        <w:pStyle w:val="2-SectionHeading"/>
      </w:pPr>
      <w:r w:rsidRPr="00C07617">
        <w:t>Context for Decision</w:t>
      </w:r>
    </w:p>
    <w:p w:rsidR="00DA1F75" w:rsidRPr="007129F2" w:rsidRDefault="00DA1F75" w:rsidP="007672C8">
      <w:pPr>
        <w:spacing w:after="120"/>
        <w:ind w:left="720"/>
        <w:rPr>
          <w:bCs/>
          <w:lang w:val="en-GB"/>
        </w:rPr>
      </w:pPr>
      <w:r w:rsidRPr="007129F2">
        <w:rPr>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rsidR="00DA1F75" w:rsidRPr="007672C8" w:rsidRDefault="00DA1F75" w:rsidP="007672C8">
      <w:pPr>
        <w:pStyle w:val="2-SectionHeading"/>
        <w:rPr>
          <w:b w:val="0"/>
        </w:rPr>
      </w:pPr>
      <w:r>
        <w:t>Sponsor’s Comment</w:t>
      </w:r>
    </w:p>
    <w:p w:rsidR="00DA1F75" w:rsidRDefault="000437BA" w:rsidP="007672C8">
      <w:pPr>
        <w:spacing w:after="120"/>
        <w:ind w:left="720"/>
        <w:rPr>
          <w:bCs/>
          <w:lang w:val="en-GB"/>
        </w:rPr>
      </w:pPr>
      <w:r w:rsidRPr="008404F7">
        <w:rPr>
          <w:bCs/>
          <w:lang w:val="en-GB"/>
        </w:rPr>
        <w:t xml:space="preserve">Astellas Pharma Australia appreciates the PBAC feedback </w:t>
      </w:r>
      <w:r>
        <w:rPr>
          <w:bCs/>
          <w:lang w:val="en-GB"/>
        </w:rPr>
        <w:t xml:space="preserve">and recognition of the </w:t>
      </w:r>
      <w:r w:rsidRPr="00DA52A8">
        <w:rPr>
          <w:rFonts w:asciiTheme="minorHAnsi" w:hAnsiTheme="minorHAnsi"/>
          <w:snapToGrid w:val="0"/>
          <w:lang w:val="en-GB" w:eastAsia="en-US"/>
        </w:rPr>
        <w:t>need for new effective regimens</w:t>
      </w:r>
      <w:r w:rsidRPr="008404F7">
        <w:rPr>
          <w:bCs/>
          <w:lang w:val="en-GB"/>
        </w:rPr>
        <w:t xml:space="preserve"> and </w:t>
      </w:r>
      <w:r>
        <w:rPr>
          <w:bCs/>
          <w:lang w:val="en-GB"/>
        </w:rPr>
        <w:t xml:space="preserve">will </w:t>
      </w:r>
      <w:r w:rsidRPr="008404F7">
        <w:rPr>
          <w:bCs/>
          <w:lang w:val="en-GB"/>
        </w:rPr>
        <w:t>avidly continue</w:t>
      </w:r>
      <w:r>
        <w:rPr>
          <w:bCs/>
          <w:lang w:val="en-GB"/>
        </w:rPr>
        <w:t xml:space="preserve"> </w:t>
      </w:r>
      <w:r w:rsidRPr="008404F7">
        <w:rPr>
          <w:bCs/>
          <w:lang w:val="en-GB"/>
        </w:rPr>
        <w:t xml:space="preserve">to work </w:t>
      </w:r>
      <w:r>
        <w:rPr>
          <w:bCs/>
          <w:lang w:val="en-GB"/>
        </w:rPr>
        <w:t xml:space="preserve">with the PBAC </w:t>
      </w:r>
      <w:r w:rsidRPr="008404F7">
        <w:rPr>
          <w:bCs/>
          <w:lang w:val="en-GB"/>
        </w:rPr>
        <w:t>towards enabling patients in Australia with refractory or relapsed FLT3 mutation AML to benefit from gilteritinib being available through the PBS</w:t>
      </w:r>
      <w:r>
        <w:rPr>
          <w:bCs/>
          <w:lang w:val="en-GB"/>
        </w:rPr>
        <w:t>.</w:t>
      </w:r>
    </w:p>
    <w:p w:rsidR="00590B23" w:rsidRPr="001179AC" w:rsidRDefault="00590B23" w:rsidP="007672C8">
      <w:pPr>
        <w:spacing w:after="120"/>
        <w:ind w:left="720"/>
        <w:rPr>
          <w:bCs/>
        </w:rPr>
      </w:pPr>
      <w:r w:rsidRPr="00590B23">
        <w:rPr>
          <w:bCs/>
        </w:rPr>
        <w:t>Astellas Pharma Australia wishes to clarify that the post-HSCT maintenance use was withdrawn in response to ESC's proposed base case (refer to para 3.6, 4.7, Table 9 and para 6.42)</w:t>
      </w:r>
      <w:r>
        <w:rPr>
          <w:bCs/>
        </w:rPr>
        <w:t>.</w:t>
      </w:r>
    </w:p>
    <w:p w:rsidR="00DA1F75" w:rsidRPr="00BF7565" w:rsidRDefault="00DA1F75" w:rsidP="00BF7565">
      <w:pPr>
        <w:rPr>
          <w:rFonts w:asciiTheme="minorHAnsi" w:hAnsiTheme="minorHAnsi"/>
          <w:bCs/>
          <w:snapToGrid w:val="0"/>
          <w:lang w:val="en-GB" w:eastAsia="en-US"/>
        </w:rPr>
      </w:pPr>
      <w:bookmarkStart w:id="64" w:name="_GoBack"/>
      <w:bookmarkEnd w:id="64"/>
    </w:p>
    <w:sectPr w:rsidR="00DA1F75" w:rsidRPr="00BF7565" w:rsidSect="00251006">
      <w:headerReference w:type="even" r:id="rId18"/>
      <w:headerReference w:type="default" r:id="rId19"/>
      <w:footerReference w:type="even" r:id="rId20"/>
      <w:footerReference w:type="default" r:id="rId21"/>
      <w:headerReference w:type="first" r:id="rId22"/>
      <w:footerReference w:type="first" r:id="rId23"/>
      <w:pgSz w:w="11907" w:h="16840"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C1EE6" w:rsidRDefault="00DC1EE6" w:rsidP="00124A51">
      <w:r>
        <w:separator/>
      </w:r>
    </w:p>
    <w:p w:rsidR="00DC1EE6" w:rsidRDefault="00DC1EE6"/>
  </w:endnote>
  <w:endnote w:type="continuationSeparator" w:id="0">
    <w:p w:rsidR="00DC1EE6" w:rsidRDefault="00DC1EE6" w:rsidP="00124A51">
      <w:r>
        <w:continuationSeparator/>
      </w:r>
    </w:p>
    <w:p w:rsidR="00DC1EE6" w:rsidRDefault="00DC1EE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Times">
    <w:altName w:val="﷽﷽﷽﷽﷽﷽桀頺ȷ"/>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6AF8" w:rsidRDefault="00376AF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1EE6" w:rsidRDefault="00DC1EE6">
    <w:pPr>
      <w:pStyle w:val="Footer"/>
      <w:jc w:val="center"/>
    </w:pPr>
  </w:p>
  <w:p w:rsidR="00DC1EE6" w:rsidRPr="002332F5" w:rsidRDefault="000449C3" w:rsidP="002332F5">
    <w:pPr>
      <w:pStyle w:val="Footer"/>
      <w:jc w:val="center"/>
      <w:rPr>
        <w:b/>
      </w:rPr>
    </w:pPr>
    <w:sdt>
      <w:sdtPr>
        <w:id w:val="349688827"/>
        <w:docPartObj>
          <w:docPartGallery w:val="Page Numbers (Bottom of Page)"/>
          <w:docPartUnique/>
        </w:docPartObj>
      </w:sdtPr>
      <w:sdtEndPr>
        <w:rPr>
          <w:b/>
          <w:noProof/>
        </w:rPr>
      </w:sdtEndPr>
      <w:sdtContent>
        <w:r w:rsidR="00DC1EE6" w:rsidRPr="002332F5">
          <w:rPr>
            <w:b/>
          </w:rPr>
          <w:fldChar w:fldCharType="begin"/>
        </w:r>
        <w:r w:rsidR="00DC1EE6" w:rsidRPr="002332F5">
          <w:rPr>
            <w:b/>
          </w:rPr>
          <w:instrText xml:space="preserve"> PAGE   \* MERGEFORMAT </w:instrText>
        </w:r>
        <w:r w:rsidR="00DC1EE6" w:rsidRPr="002332F5">
          <w:rPr>
            <w:b/>
          </w:rPr>
          <w:fldChar w:fldCharType="separate"/>
        </w:r>
        <w:r>
          <w:rPr>
            <w:b/>
            <w:noProof/>
          </w:rPr>
          <w:t>49</w:t>
        </w:r>
        <w:r w:rsidR="00DC1EE6" w:rsidRPr="002332F5">
          <w:rPr>
            <w:b/>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6AF8" w:rsidRDefault="00376AF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C1EE6" w:rsidRDefault="00DC1EE6" w:rsidP="00124A51">
      <w:r>
        <w:separator/>
      </w:r>
    </w:p>
    <w:p w:rsidR="00DC1EE6" w:rsidRDefault="00DC1EE6"/>
  </w:footnote>
  <w:footnote w:type="continuationSeparator" w:id="0">
    <w:p w:rsidR="00DC1EE6" w:rsidRDefault="00DC1EE6" w:rsidP="00124A51">
      <w:r>
        <w:continuationSeparator/>
      </w:r>
    </w:p>
    <w:p w:rsidR="00DC1EE6" w:rsidRDefault="00DC1EE6"/>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6AF8" w:rsidRDefault="00376AF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1EE6" w:rsidRPr="005D0C24" w:rsidRDefault="00DC1EE6" w:rsidP="00C00A16">
    <w:pPr>
      <w:pStyle w:val="NoSpacing"/>
      <w:jc w:val="center"/>
      <w:rPr>
        <w:rFonts w:asciiTheme="minorHAnsi" w:hAnsiTheme="minorHAnsi" w:cstheme="minorHAnsi"/>
        <w:i/>
        <w:sz w:val="24"/>
        <w:szCs w:val="24"/>
      </w:rPr>
    </w:pPr>
    <w:r w:rsidRPr="00DA1F75">
      <w:rPr>
        <w:rFonts w:asciiTheme="minorHAnsi" w:hAnsiTheme="minorHAnsi" w:cstheme="minorHAnsi"/>
        <w:i/>
        <w:sz w:val="24"/>
        <w:szCs w:val="24"/>
      </w:rPr>
      <w:t xml:space="preserve">Public Summary Document </w:t>
    </w:r>
    <w:r>
      <w:rPr>
        <w:rFonts w:asciiTheme="minorHAnsi" w:hAnsiTheme="minorHAnsi" w:cstheme="minorHAnsi"/>
        <w:i/>
        <w:sz w:val="24"/>
        <w:szCs w:val="24"/>
      </w:rPr>
      <w:t>– November</w:t>
    </w:r>
    <w:r w:rsidRPr="005D0C24">
      <w:rPr>
        <w:rFonts w:asciiTheme="minorHAnsi" w:hAnsiTheme="minorHAnsi" w:cstheme="minorHAnsi"/>
        <w:i/>
        <w:sz w:val="24"/>
        <w:szCs w:val="24"/>
      </w:rPr>
      <w:t xml:space="preserve"> 2021 PBAC Meeting</w:t>
    </w:r>
  </w:p>
  <w:p w:rsidR="00DC1EE6" w:rsidRDefault="00DC1EE6"/>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6AF8" w:rsidRDefault="00376AF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84EE470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3EDA72E0"/>
    <w:multiLevelType w:val="hybridMultilevel"/>
    <w:tmpl w:val="B4BACB42"/>
    <w:lvl w:ilvl="0" w:tplc="0C090001">
      <w:start w:val="1"/>
      <w:numFmt w:val="bullet"/>
      <w:lvlText w:val=""/>
      <w:lvlJc w:val="left"/>
      <w:pPr>
        <w:ind w:left="1493" w:hanging="360"/>
      </w:pPr>
      <w:rPr>
        <w:rFonts w:ascii="Symbol" w:hAnsi="Symbol" w:hint="default"/>
      </w:rPr>
    </w:lvl>
    <w:lvl w:ilvl="1" w:tplc="0C090003" w:tentative="1">
      <w:start w:val="1"/>
      <w:numFmt w:val="bullet"/>
      <w:lvlText w:val="o"/>
      <w:lvlJc w:val="left"/>
      <w:pPr>
        <w:ind w:left="2213" w:hanging="360"/>
      </w:pPr>
      <w:rPr>
        <w:rFonts w:ascii="Courier New" w:hAnsi="Courier New" w:cs="Courier New" w:hint="default"/>
      </w:rPr>
    </w:lvl>
    <w:lvl w:ilvl="2" w:tplc="0C090005" w:tentative="1">
      <w:start w:val="1"/>
      <w:numFmt w:val="bullet"/>
      <w:lvlText w:val=""/>
      <w:lvlJc w:val="left"/>
      <w:pPr>
        <w:ind w:left="2933" w:hanging="360"/>
      </w:pPr>
      <w:rPr>
        <w:rFonts w:ascii="Wingdings" w:hAnsi="Wingdings" w:hint="default"/>
      </w:rPr>
    </w:lvl>
    <w:lvl w:ilvl="3" w:tplc="0C090001" w:tentative="1">
      <w:start w:val="1"/>
      <w:numFmt w:val="bullet"/>
      <w:lvlText w:val=""/>
      <w:lvlJc w:val="left"/>
      <w:pPr>
        <w:ind w:left="3653" w:hanging="360"/>
      </w:pPr>
      <w:rPr>
        <w:rFonts w:ascii="Symbol" w:hAnsi="Symbol" w:hint="default"/>
      </w:rPr>
    </w:lvl>
    <w:lvl w:ilvl="4" w:tplc="0C090003" w:tentative="1">
      <w:start w:val="1"/>
      <w:numFmt w:val="bullet"/>
      <w:lvlText w:val="o"/>
      <w:lvlJc w:val="left"/>
      <w:pPr>
        <w:ind w:left="4373" w:hanging="360"/>
      </w:pPr>
      <w:rPr>
        <w:rFonts w:ascii="Courier New" w:hAnsi="Courier New" w:cs="Courier New" w:hint="default"/>
      </w:rPr>
    </w:lvl>
    <w:lvl w:ilvl="5" w:tplc="0C090005" w:tentative="1">
      <w:start w:val="1"/>
      <w:numFmt w:val="bullet"/>
      <w:lvlText w:val=""/>
      <w:lvlJc w:val="left"/>
      <w:pPr>
        <w:ind w:left="5093" w:hanging="360"/>
      </w:pPr>
      <w:rPr>
        <w:rFonts w:ascii="Wingdings" w:hAnsi="Wingdings" w:hint="default"/>
      </w:rPr>
    </w:lvl>
    <w:lvl w:ilvl="6" w:tplc="0C090001" w:tentative="1">
      <w:start w:val="1"/>
      <w:numFmt w:val="bullet"/>
      <w:lvlText w:val=""/>
      <w:lvlJc w:val="left"/>
      <w:pPr>
        <w:ind w:left="5813" w:hanging="360"/>
      </w:pPr>
      <w:rPr>
        <w:rFonts w:ascii="Symbol" w:hAnsi="Symbol" w:hint="default"/>
      </w:rPr>
    </w:lvl>
    <w:lvl w:ilvl="7" w:tplc="0C090003" w:tentative="1">
      <w:start w:val="1"/>
      <w:numFmt w:val="bullet"/>
      <w:lvlText w:val="o"/>
      <w:lvlJc w:val="left"/>
      <w:pPr>
        <w:ind w:left="6533" w:hanging="360"/>
      </w:pPr>
      <w:rPr>
        <w:rFonts w:ascii="Courier New" w:hAnsi="Courier New" w:cs="Courier New" w:hint="default"/>
      </w:rPr>
    </w:lvl>
    <w:lvl w:ilvl="8" w:tplc="0C090005" w:tentative="1">
      <w:start w:val="1"/>
      <w:numFmt w:val="bullet"/>
      <w:lvlText w:val=""/>
      <w:lvlJc w:val="left"/>
      <w:pPr>
        <w:ind w:left="7253" w:hanging="360"/>
      </w:pPr>
      <w:rPr>
        <w:rFonts w:ascii="Wingdings" w:hAnsi="Wingdings" w:hint="default"/>
      </w:rPr>
    </w:lvl>
  </w:abstractNum>
  <w:abstractNum w:abstractNumId="7" w15:restartNumberingAfterBreak="0">
    <w:nsid w:val="425F7266"/>
    <w:multiLevelType w:val="hybridMultilevel"/>
    <w:tmpl w:val="281C3620"/>
    <w:lvl w:ilvl="0" w:tplc="86BE8D6E">
      <w:start w:val="1"/>
      <w:numFmt w:val="decimal"/>
      <w:lvlText w:val="%1."/>
      <w:lvlJc w:val="left"/>
      <w:pPr>
        <w:ind w:left="720" w:hanging="360"/>
      </w:pPr>
      <w:rPr>
        <w:rFonts w:ascii="Calibri" w:hAnsi="Calibri" w:cs="Calibri" w:hint="default"/>
        <w:sz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42E04293"/>
    <w:multiLevelType w:val="hybridMultilevel"/>
    <w:tmpl w:val="69E26DC6"/>
    <w:lvl w:ilvl="0" w:tplc="883A9820">
      <w:numFmt w:val="bullet"/>
      <w:lvlText w:val="-"/>
      <w:lvlJc w:val="left"/>
      <w:pPr>
        <w:ind w:left="1080" w:hanging="360"/>
      </w:pPr>
      <w:rPr>
        <w:rFonts w:ascii="Calibri" w:eastAsia="Times New Roman" w:hAnsi="Calibri" w:cs="Calibr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9"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58D67A6"/>
    <w:multiLevelType w:val="hybridMultilevel"/>
    <w:tmpl w:val="50821D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A7D6AF5"/>
    <w:multiLevelType w:val="hybridMultilevel"/>
    <w:tmpl w:val="0548E0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D237F17"/>
    <w:multiLevelType w:val="hybridMultilevel"/>
    <w:tmpl w:val="281C3620"/>
    <w:lvl w:ilvl="0" w:tplc="86BE8D6E">
      <w:start w:val="1"/>
      <w:numFmt w:val="decimal"/>
      <w:lvlText w:val="%1."/>
      <w:lvlJc w:val="left"/>
      <w:pPr>
        <w:ind w:left="720" w:hanging="360"/>
      </w:pPr>
      <w:rPr>
        <w:rFonts w:ascii="Calibri" w:hAnsi="Calibri" w:cs="Calibri" w:hint="default"/>
        <w:sz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54C430CE"/>
    <w:multiLevelType w:val="hybridMultilevel"/>
    <w:tmpl w:val="16A6223C"/>
    <w:lvl w:ilvl="0" w:tplc="BC6C023C">
      <w:start w:val="1"/>
      <w:numFmt w:val="decimal"/>
      <w:lvlText w:val="%1."/>
      <w:lvlJc w:val="left"/>
      <w:pPr>
        <w:tabs>
          <w:tab w:val="num" w:pos="360"/>
        </w:tabs>
        <w:ind w:left="360" w:hanging="360"/>
      </w:pPr>
      <w:rPr>
        <w:rFonts w:ascii="Arial" w:hAnsi="Arial" w:cs="Arial" w:hint="default"/>
        <w:sz w:val="22"/>
        <w:szCs w:val="22"/>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14"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57250022"/>
    <w:multiLevelType w:val="hybridMultilevel"/>
    <w:tmpl w:val="24EA6F30"/>
    <w:lvl w:ilvl="0" w:tplc="E5DEFE9C">
      <w:start w:val="1"/>
      <w:numFmt w:val="bullet"/>
      <w:lvlText w:val=""/>
      <w:lvlJc w:val="left"/>
      <w:pPr>
        <w:ind w:left="1429" w:hanging="360"/>
      </w:pPr>
      <w:rPr>
        <w:rFonts w:ascii="Symbol" w:hAnsi="Symbol" w:hint="default"/>
        <w:color w:val="auto"/>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16" w15:restartNumberingAfterBreak="0">
    <w:nsid w:val="5FFA4976"/>
    <w:multiLevelType w:val="hybridMultilevel"/>
    <w:tmpl w:val="B32407CA"/>
    <w:lvl w:ilvl="0" w:tplc="0C090019">
      <w:start w:val="2"/>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7" w15:restartNumberingAfterBreak="0">
    <w:nsid w:val="6D5D538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6EBC0146"/>
    <w:multiLevelType w:val="hybridMultilevel"/>
    <w:tmpl w:val="F9FCDCD2"/>
    <w:lvl w:ilvl="0" w:tplc="CCEC2DAA">
      <w:start w:val="1"/>
      <w:numFmt w:val="decimal"/>
      <w:lvlText w:val="%1."/>
      <w:lvlJc w:val="left"/>
      <w:pPr>
        <w:ind w:left="720" w:hanging="360"/>
      </w:pPr>
      <w:rPr>
        <w:rFonts w:hint="default"/>
        <w:b w:val="0"/>
        <w:bCs/>
        <w:color w:val="auto"/>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784D033C"/>
    <w:multiLevelType w:val="multilevel"/>
    <w:tmpl w:val="CC92A716"/>
    <w:lvl w:ilvl="0">
      <w:start w:val="1"/>
      <w:numFmt w:val="decimal"/>
      <w:pStyle w:val="2-SectionHeading"/>
      <w:lvlText w:val="%1"/>
      <w:lvlJc w:val="left"/>
      <w:pPr>
        <w:ind w:left="720" w:hanging="720"/>
      </w:pPr>
      <w:rPr>
        <w:rFonts w:hint="default"/>
        <w:b/>
      </w:rPr>
    </w:lvl>
    <w:lvl w:ilvl="1">
      <w:start w:val="1"/>
      <w:numFmt w:val="decimal"/>
      <w:pStyle w:val="ExecSumBodyText"/>
      <w:lvlText w:val="%1.%2"/>
      <w:lvlJc w:val="left"/>
      <w:pPr>
        <w:ind w:left="720" w:hanging="720"/>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7D5B706A"/>
    <w:multiLevelType w:val="hybridMultilevel"/>
    <w:tmpl w:val="ABE881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F53672A"/>
    <w:multiLevelType w:val="hybridMultilevel"/>
    <w:tmpl w:val="A4B43658"/>
    <w:lvl w:ilvl="0" w:tplc="1788446E">
      <w:start w:val="1"/>
      <w:numFmt w:val="decimal"/>
      <w:lvlText w:val="%1."/>
      <w:lvlJc w:val="left"/>
      <w:pPr>
        <w:ind w:left="1800" w:hanging="360"/>
      </w:pPr>
      <w:rPr>
        <w:i/>
        <w:color w:val="auto"/>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num w:numId="1">
    <w:abstractNumId w:val="19"/>
  </w:num>
  <w:num w:numId="2">
    <w:abstractNumId w:val="9"/>
  </w:num>
  <w:num w:numId="3">
    <w:abstractNumId w:val="0"/>
  </w:num>
  <w:num w:numId="4">
    <w:abstractNumId w:val="19"/>
  </w:num>
  <w:num w:numId="5">
    <w:abstractNumId w:val="11"/>
  </w:num>
  <w:num w:numId="6">
    <w:abstractNumId w:val="15"/>
  </w:num>
  <w:num w:numId="7">
    <w:abstractNumId w:val="21"/>
  </w:num>
  <w:num w:numId="8">
    <w:abstractNumId w:val="18"/>
  </w:num>
  <w:num w:numId="9">
    <w:abstractNumId w:val="6"/>
  </w:num>
  <w:num w:numId="10">
    <w:abstractNumId w:val="13"/>
  </w:num>
  <w:num w:numId="11">
    <w:abstractNumId w:val="14"/>
  </w:num>
  <w:num w:numId="12">
    <w:abstractNumId w:val="2"/>
  </w:num>
  <w:num w:numId="13">
    <w:abstractNumId w:val="1"/>
  </w:num>
  <w:num w:numId="14">
    <w:abstractNumId w:val="4"/>
  </w:num>
  <w:num w:numId="15">
    <w:abstractNumId w:val="5"/>
  </w:num>
  <w:num w:numId="16">
    <w:abstractNumId w:val="3"/>
  </w:num>
  <w:num w:numId="17">
    <w:abstractNumId w:val="1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7"/>
  </w:num>
  <w:num w:numId="19">
    <w:abstractNumId w:val="19"/>
  </w:num>
  <w:num w:numId="20">
    <w:abstractNumId w:val="19"/>
  </w:num>
  <w:num w:numId="21">
    <w:abstractNumId w:val="19"/>
  </w:num>
  <w:num w:numId="22">
    <w:abstractNumId w:val="19"/>
  </w:num>
  <w:num w:numId="23">
    <w:abstractNumId w:val="8"/>
  </w:num>
  <w:num w:numId="24">
    <w:abstractNumId w:val="19"/>
  </w:num>
  <w:num w:numId="25">
    <w:abstractNumId w:val="19"/>
  </w:num>
  <w:num w:numId="26">
    <w:abstractNumId w:val="19"/>
  </w:num>
  <w:num w:numId="27">
    <w:abstractNumId w:val="19"/>
  </w:num>
  <w:num w:numId="28">
    <w:abstractNumId w:val="19"/>
  </w:num>
  <w:num w:numId="29">
    <w:abstractNumId w:val="19"/>
  </w:num>
  <w:num w:numId="30">
    <w:abstractNumId w:val="19"/>
  </w:num>
  <w:num w:numId="31">
    <w:abstractNumId w:val="19"/>
  </w:num>
  <w:num w:numId="3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9"/>
  </w:num>
  <w:num w:numId="34">
    <w:abstractNumId w:val="19"/>
  </w:num>
  <w:num w:numId="35">
    <w:abstractNumId w:val="19"/>
  </w:num>
  <w:num w:numId="36">
    <w:abstractNumId w:val="19"/>
  </w:num>
  <w:num w:numId="37">
    <w:abstractNumId w:val="19"/>
  </w:num>
  <w:num w:numId="38">
    <w:abstractNumId w:val="20"/>
  </w:num>
  <w:num w:numId="39">
    <w:abstractNumId w:val="10"/>
  </w:num>
  <w:num w:numId="40">
    <w:abstractNumId w:val="7"/>
  </w:num>
  <w:num w:numId="41">
    <w:abstractNumId w:val="12"/>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4"/>
  <w:removePersonalInformation/>
  <w:removeDateAndTime/>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5E79"/>
    <w:rsid w:val="00000652"/>
    <w:rsid w:val="00000790"/>
    <w:rsid w:val="00000C9C"/>
    <w:rsid w:val="0000110B"/>
    <w:rsid w:val="00003499"/>
    <w:rsid w:val="00003763"/>
    <w:rsid w:val="00003962"/>
    <w:rsid w:val="000039B7"/>
    <w:rsid w:val="000049D8"/>
    <w:rsid w:val="0000639A"/>
    <w:rsid w:val="00006A39"/>
    <w:rsid w:val="00006C75"/>
    <w:rsid w:val="00007147"/>
    <w:rsid w:val="000102AB"/>
    <w:rsid w:val="00013247"/>
    <w:rsid w:val="00014A33"/>
    <w:rsid w:val="00014E78"/>
    <w:rsid w:val="00015886"/>
    <w:rsid w:val="00015EB3"/>
    <w:rsid w:val="000162EF"/>
    <w:rsid w:val="00016B15"/>
    <w:rsid w:val="000171AB"/>
    <w:rsid w:val="000207C9"/>
    <w:rsid w:val="00021560"/>
    <w:rsid w:val="0002225F"/>
    <w:rsid w:val="000223B4"/>
    <w:rsid w:val="000229D6"/>
    <w:rsid w:val="000234B3"/>
    <w:rsid w:val="00023763"/>
    <w:rsid w:val="000238AF"/>
    <w:rsid w:val="00025CE5"/>
    <w:rsid w:val="00026375"/>
    <w:rsid w:val="000274B8"/>
    <w:rsid w:val="000279C8"/>
    <w:rsid w:val="00030291"/>
    <w:rsid w:val="000314E8"/>
    <w:rsid w:val="00031C27"/>
    <w:rsid w:val="000321EE"/>
    <w:rsid w:val="0003264F"/>
    <w:rsid w:val="00033149"/>
    <w:rsid w:val="000331EC"/>
    <w:rsid w:val="00033863"/>
    <w:rsid w:val="00035DC0"/>
    <w:rsid w:val="00035E6F"/>
    <w:rsid w:val="00036829"/>
    <w:rsid w:val="00036F04"/>
    <w:rsid w:val="00040517"/>
    <w:rsid w:val="00040895"/>
    <w:rsid w:val="00040942"/>
    <w:rsid w:val="00041886"/>
    <w:rsid w:val="00042775"/>
    <w:rsid w:val="00042AE0"/>
    <w:rsid w:val="00042ED3"/>
    <w:rsid w:val="000435EE"/>
    <w:rsid w:val="000437BA"/>
    <w:rsid w:val="00043C37"/>
    <w:rsid w:val="000449C3"/>
    <w:rsid w:val="00045017"/>
    <w:rsid w:val="000450DB"/>
    <w:rsid w:val="00045107"/>
    <w:rsid w:val="00045A2B"/>
    <w:rsid w:val="0004698F"/>
    <w:rsid w:val="00047E73"/>
    <w:rsid w:val="000505B7"/>
    <w:rsid w:val="00051B2E"/>
    <w:rsid w:val="000539D0"/>
    <w:rsid w:val="000541D2"/>
    <w:rsid w:val="00054621"/>
    <w:rsid w:val="00054645"/>
    <w:rsid w:val="000546D7"/>
    <w:rsid w:val="00055797"/>
    <w:rsid w:val="00056ECF"/>
    <w:rsid w:val="000577BB"/>
    <w:rsid w:val="00057F1C"/>
    <w:rsid w:val="000604DF"/>
    <w:rsid w:val="00061273"/>
    <w:rsid w:val="00062211"/>
    <w:rsid w:val="0006244A"/>
    <w:rsid w:val="00063E9C"/>
    <w:rsid w:val="000653B5"/>
    <w:rsid w:val="00066237"/>
    <w:rsid w:val="00066360"/>
    <w:rsid w:val="00066620"/>
    <w:rsid w:val="00066AF8"/>
    <w:rsid w:val="00066D63"/>
    <w:rsid w:val="00066EFA"/>
    <w:rsid w:val="00067C71"/>
    <w:rsid w:val="000701EA"/>
    <w:rsid w:val="00070552"/>
    <w:rsid w:val="00071137"/>
    <w:rsid w:val="00071248"/>
    <w:rsid w:val="000720B9"/>
    <w:rsid w:val="00072B1C"/>
    <w:rsid w:val="000731EA"/>
    <w:rsid w:val="000737F7"/>
    <w:rsid w:val="0007398C"/>
    <w:rsid w:val="00074660"/>
    <w:rsid w:val="0007483E"/>
    <w:rsid w:val="00074A7B"/>
    <w:rsid w:val="0007541F"/>
    <w:rsid w:val="0007672F"/>
    <w:rsid w:val="00076B24"/>
    <w:rsid w:val="00076B54"/>
    <w:rsid w:val="000774F0"/>
    <w:rsid w:val="000778C8"/>
    <w:rsid w:val="00080909"/>
    <w:rsid w:val="000812CA"/>
    <w:rsid w:val="00081C7C"/>
    <w:rsid w:val="00081E63"/>
    <w:rsid w:val="00081FEC"/>
    <w:rsid w:val="000820E0"/>
    <w:rsid w:val="0008258D"/>
    <w:rsid w:val="000830C2"/>
    <w:rsid w:val="00083C69"/>
    <w:rsid w:val="00083DE2"/>
    <w:rsid w:val="00083E99"/>
    <w:rsid w:val="00084135"/>
    <w:rsid w:val="000848CF"/>
    <w:rsid w:val="00084F19"/>
    <w:rsid w:val="00084FA8"/>
    <w:rsid w:val="0008501B"/>
    <w:rsid w:val="000856C5"/>
    <w:rsid w:val="00085C31"/>
    <w:rsid w:val="000860C2"/>
    <w:rsid w:val="000862CE"/>
    <w:rsid w:val="00086F45"/>
    <w:rsid w:val="000902D9"/>
    <w:rsid w:val="00090B3E"/>
    <w:rsid w:val="00090C7E"/>
    <w:rsid w:val="00090C84"/>
    <w:rsid w:val="00090DBD"/>
    <w:rsid w:val="000919F5"/>
    <w:rsid w:val="00092600"/>
    <w:rsid w:val="0009262B"/>
    <w:rsid w:val="00093095"/>
    <w:rsid w:val="0009329E"/>
    <w:rsid w:val="000932F7"/>
    <w:rsid w:val="00093310"/>
    <w:rsid w:val="00093365"/>
    <w:rsid w:val="0009445C"/>
    <w:rsid w:val="00094DC7"/>
    <w:rsid w:val="00095200"/>
    <w:rsid w:val="0009576B"/>
    <w:rsid w:val="00095FE5"/>
    <w:rsid w:val="00096284"/>
    <w:rsid w:val="00097F8F"/>
    <w:rsid w:val="000A0981"/>
    <w:rsid w:val="000A0FBF"/>
    <w:rsid w:val="000A1BC0"/>
    <w:rsid w:val="000A277B"/>
    <w:rsid w:val="000A27A3"/>
    <w:rsid w:val="000A2B1D"/>
    <w:rsid w:val="000A3951"/>
    <w:rsid w:val="000A3ACD"/>
    <w:rsid w:val="000A4273"/>
    <w:rsid w:val="000A5D33"/>
    <w:rsid w:val="000A6039"/>
    <w:rsid w:val="000A6448"/>
    <w:rsid w:val="000A6BE7"/>
    <w:rsid w:val="000A6DE0"/>
    <w:rsid w:val="000A7453"/>
    <w:rsid w:val="000A7BAE"/>
    <w:rsid w:val="000A7D08"/>
    <w:rsid w:val="000B0121"/>
    <w:rsid w:val="000B0670"/>
    <w:rsid w:val="000B0BAA"/>
    <w:rsid w:val="000B0E75"/>
    <w:rsid w:val="000B1A95"/>
    <w:rsid w:val="000B2DCB"/>
    <w:rsid w:val="000B3842"/>
    <w:rsid w:val="000B4966"/>
    <w:rsid w:val="000B54B7"/>
    <w:rsid w:val="000B5CE0"/>
    <w:rsid w:val="000B6CAC"/>
    <w:rsid w:val="000B6ED4"/>
    <w:rsid w:val="000B71D3"/>
    <w:rsid w:val="000B7474"/>
    <w:rsid w:val="000B7612"/>
    <w:rsid w:val="000B7816"/>
    <w:rsid w:val="000B78AE"/>
    <w:rsid w:val="000C0270"/>
    <w:rsid w:val="000C0B5A"/>
    <w:rsid w:val="000C15E5"/>
    <w:rsid w:val="000C1A27"/>
    <w:rsid w:val="000C2C38"/>
    <w:rsid w:val="000C3DF9"/>
    <w:rsid w:val="000C4705"/>
    <w:rsid w:val="000C54DA"/>
    <w:rsid w:val="000C5DF8"/>
    <w:rsid w:val="000C6713"/>
    <w:rsid w:val="000D0639"/>
    <w:rsid w:val="000D0982"/>
    <w:rsid w:val="000D1689"/>
    <w:rsid w:val="000D1BFC"/>
    <w:rsid w:val="000D1D5D"/>
    <w:rsid w:val="000D254B"/>
    <w:rsid w:val="000D281A"/>
    <w:rsid w:val="000D2848"/>
    <w:rsid w:val="000D2D6C"/>
    <w:rsid w:val="000D326A"/>
    <w:rsid w:val="000D394A"/>
    <w:rsid w:val="000D4E43"/>
    <w:rsid w:val="000D51FB"/>
    <w:rsid w:val="000D5869"/>
    <w:rsid w:val="000D5D5A"/>
    <w:rsid w:val="000D651F"/>
    <w:rsid w:val="000D69E0"/>
    <w:rsid w:val="000E0274"/>
    <w:rsid w:val="000E0640"/>
    <w:rsid w:val="000E135D"/>
    <w:rsid w:val="000E1516"/>
    <w:rsid w:val="000E2C99"/>
    <w:rsid w:val="000E4229"/>
    <w:rsid w:val="000E4E0D"/>
    <w:rsid w:val="000E519F"/>
    <w:rsid w:val="000E5567"/>
    <w:rsid w:val="000E6CA0"/>
    <w:rsid w:val="000F00BA"/>
    <w:rsid w:val="000F07F1"/>
    <w:rsid w:val="000F089F"/>
    <w:rsid w:val="000F0CB4"/>
    <w:rsid w:val="000F1AA3"/>
    <w:rsid w:val="000F2712"/>
    <w:rsid w:val="000F2E92"/>
    <w:rsid w:val="000F316A"/>
    <w:rsid w:val="000F32B1"/>
    <w:rsid w:val="000F35F5"/>
    <w:rsid w:val="000F3C74"/>
    <w:rsid w:val="000F4489"/>
    <w:rsid w:val="000F4BB8"/>
    <w:rsid w:val="000F4FA9"/>
    <w:rsid w:val="000F527C"/>
    <w:rsid w:val="000F53FB"/>
    <w:rsid w:val="000F61A1"/>
    <w:rsid w:val="000F7127"/>
    <w:rsid w:val="000F728D"/>
    <w:rsid w:val="000F7A2D"/>
    <w:rsid w:val="000F7B54"/>
    <w:rsid w:val="000F7C1B"/>
    <w:rsid w:val="00100A94"/>
    <w:rsid w:val="00100F8A"/>
    <w:rsid w:val="0010102B"/>
    <w:rsid w:val="0010146D"/>
    <w:rsid w:val="00103C70"/>
    <w:rsid w:val="00103E16"/>
    <w:rsid w:val="0010452E"/>
    <w:rsid w:val="001059ED"/>
    <w:rsid w:val="00105AE2"/>
    <w:rsid w:val="001060C6"/>
    <w:rsid w:val="00106B80"/>
    <w:rsid w:val="00106EEC"/>
    <w:rsid w:val="00107201"/>
    <w:rsid w:val="001072B9"/>
    <w:rsid w:val="0011032E"/>
    <w:rsid w:val="001117D3"/>
    <w:rsid w:val="0011222E"/>
    <w:rsid w:val="0011348B"/>
    <w:rsid w:val="00113D8B"/>
    <w:rsid w:val="00114A7C"/>
    <w:rsid w:val="001155CF"/>
    <w:rsid w:val="00115982"/>
    <w:rsid w:val="00116BD6"/>
    <w:rsid w:val="00116C53"/>
    <w:rsid w:val="0011771A"/>
    <w:rsid w:val="00121799"/>
    <w:rsid w:val="00121D71"/>
    <w:rsid w:val="00121DF8"/>
    <w:rsid w:val="001222FC"/>
    <w:rsid w:val="00123902"/>
    <w:rsid w:val="00124A51"/>
    <w:rsid w:val="00125030"/>
    <w:rsid w:val="00126621"/>
    <w:rsid w:val="00126B1D"/>
    <w:rsid w:val="0012782B"/>
    <w:rsid w:val="001301E9"/>
    <w:rsid w:val="00130F69"/>
    <w:rsid w:val="0013166B"/>
    <w:rsid w:val="00131B1D"/>
    <w:rsid w:val="00131C2C"/>
    <w:rsid w:val="00131C5D"/>
    <w:rsid w:val="00131D82"/>
    <w:rsid w:val="00131F06"/>
    <w:rsid w:val="00132B22"/>
    <w:rsid w:val="00132EC8"/>
    <w:rsid w:val="001333A3"/>
    <w:rsid w:val="00133D36"/>
    <w:rsid w:val="00136F34"/>
    <w:rsid w:val="00136F4E"/>
    <w:rsid w:val="001375A9"/>
    <w:rsid w:val="00137645"/>
    <w:rsid w:val="00137B08"/>
    <w:rsid w:val="0014015A"/>
    <w:rsid w:val="0014037D"/>
    <w:rsid w:val="00140809"/>
    <w:rsid w:val="00140D2C"/>
    <w:rsid w:val="00140E99"/>
    <w:rsid w:val="00141A4A"/>
    <w:rsid w:val="0014311A"/>
    <w:rsid w:val="00143B3F"/>
    <w:rsid w:val="00143F67"/>
    <w:rsid w:val="00145540"/>
    <w:rsid w:val="001456B0"/>
    <w:rsid w:val="00145844"/>
    <w:rsid w:val="00146633"/>
    <w:rsid w:val="0014701D"/>
    <w:rsid w:val="001477EC"/>
    <w:rsid w:val="00147B76"/>
    <w:rsid w:val="0015006E"/>
    <w:rsid w:val="00151231"/>
    <w:rsid w:val="0015156D"/>
    <w:rsid w:val="00152481"/>
    <w:rsid w:val="00153DE2"/>
    <w:rsid w:val="00154F00"/>
    <w:rsid w:val="00155F22"/>
    <w:rsid w:val="0015616A"/>
    <w:rsid w:val="00156F8F"/>
    <w:rsid w:val="00157130"/>
    <w:rsid w:val="001576B1"/>
    <w:rsid w:val="0016047B"/>
    <w:rsid w:val="00160A4C"/>
    <w:rsid w:val="00160C7B"/>
    <w:rsid w:val="00162913"/>
    <w:rsid w:val="0016386D"/>
    <w:rsid w:val="00163EA9"/>
    <w:rsid w:val="00163EFF"/>
    <w:rsid w:val="00163F66"/>
    <w:rsid w:val="001644CD"/>
    <w:rsid w:val="00164C21"/>
    <w:rsid w:val="001654C8"/>
    <w:rsid w:val="001661FB"/>
    <w:rsid w:val="001668BD"/>
    <w:rsid w:val="00166B99"/>
    <w:rsid w:val="001671A0"/>
    <w:rsid w:val="0016767F"/>
    <w:rsid w:val="00167B36"/>
    <w:rsid w:val="0017103E"/>
    <w:rsid w:val="001714C2"/>
    <w:rsid w:val="001722E2"/>
    <w:rsid w:val="00173565"/>
    <w:rsid w:val="001736FF"/>
    <w:rsid w:val="00173B07"/>
    <w:rsid w:val="00174668"/>
    <w:rsid w:val="001751FA"/>
    <w:rsid w:val="00175438"/>
    <w:rsid w:val="00175D66"/>
    <w:rsid w:val="001779D7"/>
    <w:rsid w:val="001805AF"/>
    <w:rsid w:val="001810CA"/>
    <w:rsid w:val="00181144"/>
    <w:rsid w:val="00181D9C"/>
    <w:rsid w:val="001833D0"/>
    <w:rsid w:val="00183B42"/>
    <w:rsid w:val="00184B0E"/>
    <w:rsid w:val="00184C08"/>
    <w:rsid w:val="00184E1A"/>
    <w:rsid w:val="00185E2D"/>
    <w:rsid w:val="0018752F"/>
    <w:rsid w:val="00190729"/>
    <w:rsid w:val="00191156"/>
    <w:rsid w:val="00191B45"/>
    <w:rsid w:val="00192BC0"/>
    <w:rsid w:val="00192F67"/>
    <w:rsid w:val="00193838"/>
    <w:rsid w:val="001946BA"/>
    <w:rsid w:val="00194AD8"/>
    <w:rsid w:val="00195095"/>
    <w:rsid w:val="00195222"/>
    <w:rsid w:val="00195515"/>
    <w:rsid w:val="00196221"/>
    <w:rsid w:val="001975D8"/>
    <w:rsid w:val="00197932"/>
    <w:rsid w:val="001A00A9"/>
    <w:rsid w:val="001A0830"/>
    <w:rsid w:val="001A150C"/>
    <w:rsid w:val="001A178E"/>
    <w:rsid w:val="001A27ED"/>
    <w:rsid w:val="001A359E"/>
    <w:rsid w:val="001A43FA"/>
    <w:rsid w:val="001A47C5"/>
    <w:rsid w:val="001A48EC"/>
    <w:rsid w:val="001A59FB"/>
    <w:rsid w:val="001A5E9E"/>
    <w:rsid w:val="001A6354"/>
    <w:rsid w:val="001A6366"/>
    <w:rsid w:val="001A6387"/>
    <w:rsid w:val="001A751E"/>
    <w:rsid w:val="001A7AE8"/>
    <w:rsid w:val="001B00E5"/>
    <w:rsid w:val="001B05DD"/>
    <w:rsid w:val="001B07E4"/>
    <w:rsid w:val="001B0820"/>
    <w:rsid w:val="001B08D3"/>
    <w:rsid w:val="001B1221"/>
    <w:rsid w:val="001B186C"/>
    <w:rsid w:val="001B2010"/>
    <w:rsid w:val="001B204E"/>
    <w:rsid w:val="001B2372"/>
    <w:rsid w:val="001B3416"/>
    <w:rsid w:val="001B3443"/>
    <w:rsid w:val="001B3B2A"/>
    <w:rsid w:val="001B46ED"/>
    <w:rsid w:val="001B4D20"/>
    <w:rsid w:val="001B4F4F"/>
    <w:rsid w:val="001B5958"/>
    <w:rsid w:val="001B599A"/>
    <w:rsid w:val="001B6465"/>
    <w:rsid w:val="001B6A39"/>
    <w:rsid w:val="001B740C"/>
    <w:rsid w:val="001B75CC"/>
    <w:rsid w:val="001C0056"/>
    <w:rsid w:val="001C1209"/>
    <w:rsid w:val="001C2A9B"/>
    <w:rsid w:val="001C2FE8"/>
    <w:rsid w:val="001C4299"/>
    <w:rsid w:val="001C4874"/>
    <w:rsid w:val="001C5CCD"/>
    <w:rsid w:val="001C5F94"/>
    <w:rsid w:val="001C5FF8"/>
    <w:rsid w:val="001C628E"/>
    <w:rsid w:val="001C6A6E"/>
    <w:rsid w:val="001C6E66"/>
    <w:rsid w:val="001C7009"/>
    <w:rsid w:val="001C7956"/>
    <w:rsid w:val="001C7D22"/>
    <w:rsid w:val="001D1100"/>
    <w:rsid w:val="001D1391"/>
    <w:rsid w:val="001D1F2E"/>
    <w:rsid w:val="001D25D7"/>
    <w:rsid w:val="001D2A51"/>
    <w:rsid w:val="001D38D9"/>
    <w:rsid w:val="001D3EF7"/>
    <w:rsid w:val="001D4B4A"/>
    <w:rsid w:val="001D50B2"/>
    <w:rsid w:val="001D5AAE"/>
    <w:rsid w:val="001D5C32"/>
    <w:rsid w:val="001D7645"/>
    <w:rsid w:val="001D79E7"/>
    <w:rsid w:val="001E0D87"/>
    <w:rsid w:val="001E1381"/>
    <w:rsid w:val="001E1701"/>
    <w:rsid w:val="001E1778"/>
    <w:rsid w:val="001E179C"/>
    <w:rsid w:val="001E19AC"/>
    <w:rsid w:val="001E1E86"/>
    <w:rsid w:val="001E238E"/>
    <w:rsid w:val="001E2483"/>
    <w:rsid w:val="001E279D"/>
    <w:rsid w:val="001E2B1E"/>
    <w:rsid w:val="001E2B70"/>
    <w:rsid w:val="001E2CFF"/>
    <w:rsid w:val="001E2F24"/>
    <w:rsid w:val="001E2F51"/>
    <w:rsid w:val="001E30D4"/>
    <w:rsid w:val="001E34DF"/>
    <w:rsid w:val="001E36F0"/>
    <w:rsid w:val="001E381C"/>
    <w:rsid w:val="001E4404"/>
    <w:rsid w:val="001E50D9"/>
    <w:rsid w:val="001E52EB"/>
    <w:rsid w:val="001E61C7"/>
    <w:rsid w:val="001E61D2"/>
    <w:rsid w:val="001E740C"/>
    <w:rsid w:val="001E76C3"/>
    <w:rsid w:val="001E7AF2"/>
    <w:rsid w:val="001F1235"/>
    <w:rsid w:val="001F1CB3"/>
    <w:rsid w:val="001F24A5"/>
    <w:rsid w:val="001F2AE4"/>
    <w:rsid w:val="001F3513"/>
    <w:rsid w:val="001F38B5"/>
    <w:rsid w:val="001F3CA7"/>
    <w:rsid w:val="001F4081"/>
    <w:rsid w:val="001F4A92"/>
    <w:rsid w:val="001F67D3"/>
    <w:rsid w:val="001F7361"/>
    <w:rsid w:val="00200EF8"/>
    <w:rsid w:val="002011B0"/>
    <w:rsid w:val="00202D22"/>
    <w:rsid w:val="00203181"/>
    <w:rsid w:val="00203783"/>
    <w:rsid w:val="0020385F"/>
    <w:rsid w:val="00205447"/>
    <w:rsid w:val="00206289"/>
    <w:rsid w:val="00206831"/>
    <w:rsid w:val="002068A0"/>
    <w:rsid w:val="00207021"/>
    <w:rsid w:val="002070AD"/>
    <w:rsid w:val="0020732F"/>
    <w:rsid w:val="002079B7"/>
    <w:rsid w:val="00207D00"/>
    <w:rsid w:val="002105C1"/>
    <w:rsid w:val="00210DD3"/>
    <w:rsid w:val="00211848"/>
    <w:rsid w:val="0021239D"/>
    <w:rsid w:val="00212DDD"/>
    <w:rsid w:val="00213B08"/>
    <w:rsid w:val="00213EF5"/>
    <w:rsid w:val="00213FF7"/>
    <w:rsid w:val="00214F61"/>
    <w:rsid w:val="002152AB"/>
    <w:rsid w:val="00215631"/>
    <w:rsid w:val="00215667"/>
    <w:rsid w:val="0021621A"/>
    <w:rsid w:val="00216323"/>
    <w:rsid w:val="00216BF5"/>
    <w:rsid w:val="002200AE"/>
    <w:rsid w:val="00222C7F"/>
    <w:rsid w:val="002236ED"/>
    <w:rsid w:val="00223B49"/>
    <w:rsid w:val="00223D5A"/>
    <w:rsid w:val="00224946"/>
    <w:rsid w:val="00224AAD"/>
    <w:rsid w:val="00224B7B"/>
    <w:rsid w:val="00224DD4"/>
    <w:rsid w:val="00224EB2"/>
    <w:rsid w:val="0022556D"/>
    <w:rsid w:val="002257A9"/>
    <w:rsid w:val="00225D33"/>
    <w:rsid w:val="00226AF0"/>
    <w:rsid w:val="0022718F"/>
    <w:rsid w:val="002278A0"/>
    <w:rsid w:val="002309CC"/>
    <w:rsid w:val="00230DB1"/>
    <w:rsid w:val="0023209F"/>
    <w:rsid w:val="002328A8"/>
    <w:rsid w:val="002332F5"/>
    <w:rsid w:val="00233C01"/>
    <w:rsid w:val="0023413C"/>
    <w:rsid w:val="002346F0"/>
    <w:rsid w:val="00235613"/>
    <w:rsid w:val="0023576F"/>
    <w:rsid w:val="0023584E"/>
    <w:rsid w:val="0023629D"/>
    <w:rsid w:val="00237162"/>
    <w:rsid w:val="00237255"/>
    <w:rsid w:val="0024054B"/>
    <w:rsid w:val="0024088E"/>
    <w:rsid w:val="0024214E"/>
    <w:rsid w:val="002424AF"/>
    <w:rsid w:val="00242AFD"/>
    <w:rsid w:val="002439DC"/>
    <w:rsid w:val="00243AFA"/>
    <w:rsid w:val="002441D2"/>
    <w:rsid w:val="00244B89"/>
    <w:rsid w:val="00244C12"/>
    <w:rsid w:val="00244DC8"/>
    <w:rsid w:val="0024504E"/>
    <w:rsid w:val="002458BA"/>
    <w:rsid w:val="00245B2F"/>
    <w:rsid w:val="00245C8D"/>
    <w:rsid w:val="00245CE9"/>
    <w:rsid w:val="0024636C"/>
    <w:rsid w:val="00247925"/>
    <w:rsid w:val="00250413"/>
    <w:rsid w:val="0025041D"/>
    <w:rsid w:val="00250581"/>
    <w:rsid w:val="00250EA6"/>
    <w:rsid w:val="00251006"/>
    <w:rsid w:val="002524D5"/>
    <w:rsid w:val="00253B1D"/>
    <w:rsid w:val="00254582"/>
    <w:rsid w:val="00254DCF"/>
    <w:rsid w:val="0025534B"/>
    <w:rsid w:val="00255A86"/>
    <w:rsid w:val="00255BB7"/>
    <w:rsid w:val="002560B1"/>
    <w:rsid w:val="00256248"/>
    <w:rsid w:val="0025633C"/>
    <w:rsid w:val="0025649F"/>
    <w:rsid w:val="00256CD6"/>
    <w:rsid w:val="00257541"/>
    <w:rsid w:val="0025780D"/>
    <w:rsid w:val="002579E9"/>
    <w:rsid w:val="00257A39"/>
    <w:rsid w:val="00257AC4"/>
    <w:rsid w:val="002605D7"/>
    <w:rsid w:val="0026090A"/>
    <w:rsid w:val="00260BF2"/>
    <w:rsid w:val="002611B4"/>
    <w:rsid w:val="002612A1"/>
    <w:rsid w:val="00261EEF"/>
    <w:rsid w:val="00262A1A"/>
    <w:rsid w:val="00262A87"/>
    <w:rsid w:val="00263224"/>
    <w:rsid w:val="00263BE8"/>
    <w:rsid w:val="00264D26"/>
    <w:rsid w:val="002672C7"/>
    <w:rsid w:val="00267642"/>
    <w:rsid w:val="00267AEA"/>
    <w:rsid w:val="002700E6"/>
    <w:rsid w:val="00270370"/>
    <w:rsid w:val="00270CC0"/>
    <w:rsid w:val="00271861"/>
    <w:rsid w:val="002718D5"/>
    <w:rsid w:val="0027294B"/>
    <w:rsid w:val="002735BE"/>
    <w:rsid w:val="00273EB4"/>
    <w:rsid w:val="00274682"/>
    <w:rsid w:val="002757DB"/>
    <w:rsid w:val="00275A6D"/>
    <w:rsid w:val="00275AEC"/>
    <w:rsid w:val="00275C5A"/>
    <w:rsid w:val="00276182"/>
    <w:rsid w:val="002769EF"/>
    <w:rsid w:val="00277411"/>
    <w:rsid w:val="002778C6"/>
    <w:rsid w:val="002802DF"/>
    <w:rsid w:val="002802E0"/>
    <w:rsid w:val="00280B2F"/>
    <w:rsid w:val="00281014"/>
    <w:rsid w:val="00282202"/>
    <w:rsid w:val="0028224A"/>
    <w:rsid w:val="00282786"/>
    <w:rsid w:val="00283954"/>
    <w:rsid w:val="00284006"/>
    <w:rsid w:val="00285AFE"/>
    <w:rsid w:val="00285B07"/>
    <w:rsid w:val="00285E4F"/>
    <w:rsid w:val="0028665D"/>
    <w:rsid w:val="002868A3"/>
    <w:rsid w:val="0028770D"/>
    <w:rsid w:val="00287DB8"/>
    <w:rsid w:val="00290D03"/>
    <w:rsid w:val="00291455"/>
    <w:rsid w:val="002916DD"/>
    <w:rsid w:val="0029199C"/>
    <w:rsid w:val="00291DB8"/>
    <w:rsid w:val="00291E46"/>
    <w:rsid w:val="00291F71"/>
    <w:rsid w:val="00292279"/>
    <w:rsid w:val="00293BF7"/>
    <w:rsid w:val="00294566"/>
    <w:rsid w:val="00294866"/>
    <w:rsid w:val="002A14AB"/>
    <w:rsid w:val="002A1E35"/>
    <w:rsid w:val="002A2396"/>
    <w:rsid w:val="002A2410"/>
    <w:rsid w:val="002A2ADE"/>
    <w:rsid w:val="002A2F50"/>
    <w:rsid w:val="002A320A"/>
    <w:rsid w:val="002A409C"/>
    <w:rsid w:val="002A46E8"/>
    <w:rsid w:val="002A4B80"/>
    <w:rsid w:val="002A543A"/>
    <w:rsid w:val="002A5818"/>
    <w:rsid w:val="002A796D"/>
    <w:rsid w:val="002B05A1"/>
    <w:rsid w:val="002B0755"/>
    <w:rsid w:val="002B09A4"/>
    <w:rsid w:val="002B1078"/>
    <w:rsid w:val="002B1C1F"/>
    <w:rsid w:val="002B1D2E"/>
    <w:rsid w:val="002B2444"/>
    <w:rsid w:val="002B26CA"/>
    <w:rsid w:val="002B293F"/>
    <w:rsid w:val="002B3598"/>
    <w:rsid w:val="002B432F"/>
    <w:rsid w:val="002B57FE"/>
    <w:rsid w:val="002B5A21"/>
    <w:rsid w:val="002B62B3"/>
    <w:rsid w:val="002B6754"/>
    <w:rsid w:val="002B6A04"/>
    <w:rsid w:val="002B6CCE"/>
    <w:rsid w:val="002B6D54"/>
    <w:rsid w:val="002C0B66"/>
    <w:rsid w:val="002C1438"/>
    <w:rsid w:val="002C2112"/>
    <w:rsid w:val="002C2510"/>
    <w:rsid w:val="002C2775"/>
    <w:rsid w:val="002C27C1"/>
    <w:rsid w:val="002C3261"/>
    <w:rsid w:val="002C3D3D"/>
    <w:rsid w:val="002C4CDB"/>
    <w:rsid w:val="002C5099"/>
    <w:rsid w:val="002C5889"/>
    <w:rsid w:val="002C5DD9"/>
    <w:rsid w:val="002C6F14"/>
    <w:rsid w:val="002C71CE"/>
    <w:rsid w:val="002C7636"/>
    <w:rsid w:val="002C7A0F"/>
    <w:rsid w:val="002D08F8"/>
    <w:rsid w:val="002D577C"/>
    <w:rsid w:val="002D59AC"/>
    <w:rsid w:val="002D5F34"/>
    <w:rsid w:val="002D6C6E"/>
    <w:rsid w:val="002E1071"/>
    <w:rsid w:val="002E15B9"/>
    <w:rsid w:val="002E2158"/>
    <w:rsid w:val="002E2DA8"/>
    <w:rsid w:val="002E4F02"/>
    <w:rsid w:val="002E6BF4"/>
    <w:rsid w:val="002E6F43"/>
    <w:rsid w:val="002E7722"/>
    <w:rsid w:val="002F07BA"/>
    <w:rsid w:val="002F0DA9"/>
    <w:rsid w:val="002F1014"/>
    <w:rsid w:val="002F1896"/>
    <w:rsid w:val="002F1DF5"/>
    <w:rsid w:val="002F2BDE"/>
    <w:rsid w:val="002F3ABD"/>
    <w:rsid w:val="002F569C"/>
    <w:rsid w:val="002F5937"/>
    <w:rsid w:val="002F5CA7"/>
    <w:rsid w:val="002F643C"/>
    <w:rsid w:val="002F658F"/>
    <w:rsid w:val="002F67B5"/>
    <w:rsid w:val="002F6B09"/>
    <w:rsid w:val="002F71C0"/>
    <w:rsid w:val="002F74F1"/>
    <w:rsid w:val="00301017"/>
    <w:rsid w:val="0030155F"/>
    <w:rsid w:val="00302780"/>
    <w:rsid w:val="00303286"/>
    <w:rsid w:val="00303368"/>
    <w:rsid w:val="00304057"/>
    <w:rsid w:val="0030587B"/>
    <w:rsid w:val="00306D98"/>
    <w:rsid w:val="0030753F"/>
    <w:rsid w:val="0030772F"/>
    <w:rsid w:val="0030786C"/>
    <w:rsid w:val="00310173"/>
    <w:rsid w:val="0031031A"/>
    <w:rsid w:val="003108EC"/>
    <w:rsid w:val="00310981"/>
    <w:rsid w:val="003124D9"/>
    <w:rsid w:val="00312594"/>
    <w:rsid w:val="00313E15"/>
    <w:rsid w:val="00314C19"/>
    <w:rsid w:val="00315498"/>
    <w:rsid w:val="00316474"/>
    <w:rsid w:val="003175BC"/>
    <w:rsid w:val="003176CB"/>
    <w:rsid w:val="003178F0"/>
    <w:rsid w:val="00317B88"/>
    <w:rsid w:val="00321164"/>
    <w:rsid w:val="00321A23"/>
    <w:rsid w:val="00322107"/>
    <w:rsid w:val="00322355"/>
    <w:rsid w:val="00322846"/>
    <w:rsid w:val="00322C1E"/>
    <w:rsid w:val="00322DCA"/>
    <w:rsid w:val="0032301A"/>
    <w:rsid w:val="00323715"/>
    <w:rsid w:val="00324353"/>
    <w:rsid w:val="0032454A"/>
    <w:rsid w:val="00324693"/>
    <w:rsid w:val="003253E7"/>
    <w:rsid w:val="003254A6"/>
    <w:rsid w:val="0032568D"/>
    <w:rsid w:val="00325C79"/>
    <w:rsid w:val="00326C1D"/>
    <w:rsid w:val="00326DA7"/>
    <w:rsid w:val="003270E4"/>
    <w:rsid w:val="0032743B"/>
    <w:rsid w:val="00327F93"/>
    <w:rsid w:val="00330DAA"/>
    <w:rsid w:val="00330F5C"/>
    <w:rsid w:val="003311BB"/>
    <w:rsid w:val="00332F0E"/>
    <w:rsid w:val="00333223"/>
    <w:rsid w:val="00333D5A"/>
    <w:rsid w:val="00334800"/>
    <w:rsid w:val="00334B00"/>
    <w:rsid w:val="00335261"/>
    <w:rsid w:val="003366C9"/>
    <w:rsid w:val="00336798"/>
    <w:rsid w:val="00336926"/>
    <w:rsid w:val="003371B0"/>
    <w:rsid w:val="003371DE"/>
    <w:rsid w:val="00340B3A"/>
    <w:rsid w:val="00340DF1"/>
    <w:rsid w:val="00341AA6"/>
    <w:rsid w:val="00343038"/>
    <w:rsid w:val="003434AB"/>
    <w:rsid w:val="00343A9F"/>
    <w:rsid w:val="00344B18"/>
    <w:rsid w:val="00345142"/>
    <w:rsid w:val="00345DDB"/>
    <w:rsid w:val="00346146"/>
    <w:rsid w:val="00346727"/>
    <w:rsid w:val="00350EC8"/>
    <w:rsid w:val="003517F9"/>
    <w:rsid w:val="003518AC"/>
    <w:rsid w:val="00351BA9"/>
    <w:rsid w:val="00353226"/>
    <w:rsid w:val="00354F64"/>
    <w:rsid w:val="003550A6"/>
    <w:rsid w:val="00355229"/>
    <w:rsid w:val="003559D5"/>
    <w:rsid w:val="0035620E"/>
    <w:rsid w:val="0035662D"/>
    <w:rsid w:val="00360345"/>
    <w:rsid w:val="0036082A"/>
    <w:rsid w:val="00361059"/>
    <w:rsid w:val="00361A05"/>
    <w:rsid w:val="003624C4"/>
    <w:rsid w:val="003631A1"/>
    <w:rsid w:val="00363705"/>
    <w:rsid w:val="00363B00"/>
    <w:rsid w:val="003654AC"/>
    <w:rsid w:val="00367B85"/>
    <w:rsid w:val="00370827"/>
    <w:rsid w:val="003710CF"/>
    <w:rsid w:val="0037128D"/>
    <w:rsid w:val="00371C2B"/>
    <w:rsid w:val="003726D1"/>
    <w:rsid w:val="0037358A"/>
    <w:rsid w:val="003735E1"/>
    <w:rsid w:val="003737D0"/>
    <w:rsid w:val="003750F6"/>
    <w:rsid w:val="003754EB"/>
    <w:rsid w:val="00375F42"/>
    <w:rsid w:val="003760FC"/>
    <w:rsid w:val="00376AF8"/>
    <w:rsid w:val="00376F57"/>
    <w:rsid w:val="0037721D"/>
    <w:rsid w:val="003805FC"/>
    <w:rsid w:val="0038174B"/>
    <w:rsid w:val="00382CC6"/>
    <w:rsid w:val="0038365C"/>
    <w:rsid w:val="0038369B"/>
    <w:rsid w:val="00383B78"/>
    <w:rsid w:val="00383E7B"/>
    <w:rsid w:val="00384576"/>
    <w:rsid w:val="003856DD"/>
    <w:rsid w:val="00385A9D"/>
    <w:rsid w:val="00385B57"/>
    <w:rsid w:val="00385CC4"/>
    <w:rsid w:val="003860C1"/>
    <w:rsid w:val="00386891"/>
    <w:rsid w:val="0038744C"/>
    <w:rsid w:val="003875DB"/>
    <w:rsid w:val="00387AC9"/>
    <w:rsid w:val="003902B1"/>
    <w:rsid w:val="003906D1"/>
    <w:rsid w:val="0039073A"/>
    <w:rsid w:val="0039132C"/>
    <w:rsid w:val="0039179C"/>
    <w:rsid w:val="00391941"/>
    <w:rsid w:val="0039325B"/>
    <w:rsid w:val="003949E5"/>
    <w:rsid w:val="003953E6"/>
    <w:rsid w:val="003958D4"/>
    <w:rsid w:val="00395AE2"/>
    <w:rsid w:val="00395EF5"/>
    <w:rsid w:val="00396896"/>
    <w:rsid w:val="00396FD0"/>
    <w:rsid w:val="0039724D"/>
    <w:rsid w:val="003A1A7A"/>
    <w:rsid w:val="003A1D32"/>
    <w:rsid w:val="003A2392"/>
    <w:rsid w:val="003A2831"/>
    <w:rsid w:val="003A302E"/>
    <w:rsid w:val="003A38B7"/>
    <w:rsid w:val="003A3CB6"/>
    <w:rsid w:val="003A3ED1"/>
    <w:rsid w:val="003A40B2"/>
    <w:rsid w:val="003A44DB"/>
    <w:rsid w:val="003A471A"/>
    <w:rsid w:val="003A52B7"/>
    <w:rsid w:val="003A6B32"/>
    <w:rsid w:val="003A7563"/>
    <w:rsid w:val="003B0AD5"/>
    <w:rsid w:val="003B167D"/>
    <w:rsid w:val="003B2A79"/>
    <w:rsid w:val="003B2AF7"/>
    <w:rsid w:val="003B2D28"/>
    <w:rsid w:val="003B38FB"/>
    <w:rsid w:val="003B3971"/>
    <w:rsid w:val="003B55D1"/>
    <w:rsid w:val="003B5B61"/>
    <w:rsid w:val="003B6523"/>
    <w:rsid w:val="003B6834"/>
    <w:rsid w:val="003C0447"/>
    <w:rsid w:val="003C0FF9"/>
    <w:rsid w:val="003C10DE"/>
    <w:rsid w:val="003C1654"/>
    <w:rsid w:val="003C1A94"/>
    <w:rsid w:val="003C2C44"/>
    <w:rsid w:val="003C3655"/>
    <w:rsid w:val="003C4D63"/>
    <w:rsid w:val="003C5542"/>
    <w:rsid w:val="003C6817"/>
    <w:rsid w:val="003C7B8C"/>
    <w:rsid w:val="003C7D19"/>
    <w:rsid w:val="003C7D2F"/>
    <w:rsid w:val="003D02EA"/>
    <w:rsid w:val="003D1828"/>
    <w:rsid w:val="003D1A43"/>
    <w:rsid w:val="003D1DE4"/>
    <w:rsid w:val="003D1E9A"/>
    <w:rsid w:val="003D1EEA"/>
    <w:rsid w:val="003D2422"/>
    <w:rsid w:val="003D39A1"/>
    <w:rsid w:val="003D3E94"/>
    <w:rsid w:val="003D3FBF"/>
    <w:rsid w:val="003D4769"/>
    <w:rsid w:val="003D4A30"/>
    <w:rsid w:val="003D5C66"/>
    <w:rsid w:val="003D5D02"/>
    <w:rsid w:val="003D651A"/>
    <w:rsid w:val="003D7000"/>
    <w:rsid w:val="003D7452"/>
    <w:rsid w:val="003D7507"/>
    <w:rsid w:val="003D79BB"/>
    <w:rsid w:val="003D7C98"/>
    <w:rsid w:val="003D7D9D"/>
    <w:rsid w:val="003D7E4E"/>
    <w:rsid w:val="003D7F04"/>
    <w:rsid w:val="003E016D"/>
    <w:rsid w:val="003E0543"/>
    <w:rsid w:val="003E14AD"/>
    <w:rsid w:val="003E2611"/>
    <w:rsid w:val="003E28AC"/>
    <w:rsid w:val="003E28D4"/>
    <w:rsid w:val="003E4E5E"/>
    <w:rsid w:val="003E545A"/>
    <w:rsid w:val="003E58B2"/>
    <w:rsid w:val="003E59CE"/>
    <w:rsid w:val="003E5F20"/>
    <w:rsid w:val="003E749E"/>
    <w:rsid w:val="003E7639"/>
    <w:rsid w:val="003F01DF"/>
    <w:rsid w:val="003F02FE"/>
    <w:rsid w:val="003F3146"/>
    <w:rsid w:val="003F3498"/>
    <w:rsid w:val="003F39F6"/>
    <w:rsid w:val="003F4156"/>
    <w:rsid w:val="003F4C15"/>
    <w:rsid w:val="003F5ADF"/>
    <w:rsid w:val="003F5C75"/>
    <w:rsid w:val="003F781B"/>
    <w:rsid w:val="003F7CF4"/>
    <w:rsid w:val="00400768"/>
    <w:rsid w:val="00400B29"/>
    <w:rsid w:val="004015AB"/>
    <w:rsid w:val="00403EA0"/>
    <w:rsid w:val="004043C3"/>
    <w:rsid w:val="00404820"/>
    <w:rsid w:val="0040504B"/>
    <w:rsid w:val="0040595A"/>
    <w:rsid w:val="004059F4"/>
    <w:rsid w:val="00406800"/>
    <w:rsid w:val="00407FE5"/>
    <w:rsid w:val="004101B0"/>
    <w:rsid w:val="00410326"/>
    <w:rsid w:val="004104BE"/>
    <w:rsid w:val="00410708"/>
    <w:rsid w:val="00410ABE"/>
    <w:rsid w:val="00410EC7"/>
    <w:rsid w:val="00411B39"/>
    <w:rsid w:val="004123EB"/>
    <w:rsid w:val="004127A7"/>
    <w:rsid w:val="0041335D"/>
    <w:rsid w:val="00413A1E"/>
    <w:rsid w:val="00414476"/>
    <w:rsid w:val="00414A06"/>
    <w:rsid w:val="00414C2E"/>
    <w:rsid w:val="004151CF"/>
    <w:rsid w:val="004159C2"/>
    <w:rsid w:val="00416364"/>
    <w:rsid w:val="00417168"/>
    <w:rsid w:val="00417AEF"/>
    <w:rsid w:val="00420361"/>
    <w:rsid w:val="0042047F"/>
    <w:rsid w:val="00420AA6"/>
    <w:rsid w:val="00420B9F"/>
    <w:rsid w:val="0042192C"/>
    <w:rsid w:val="00421FC2"/>
    <w:rsid w:val="00422260"/>
    <w:rsid w:val="0042302A"/>
    <w:rsid w:val="0042413F"/>
    <w:rsid w:val="00424EF8"/>
    <w:rsid w:val="00430A56"/>
    <w:rsid w:val="0043135D"/>
    <w:rsid w:val="004319F8"/>
    <w:rsid w:val="00431E55"/>
    <w:rsid w:val="004321F6"/>
    <w:rsid w:val="00433044"/>
    <w:rsid w:val="00433059"/>
    <w:rsid w:val="00433413"/>
    <w:rsid w:val="004337F1"/>
    <w:rsid w:val="0043388C"/>
    <w:rsid w:val="00433F01"/>
    <w:rsid w:val="00434088"/>
    <w:rsid w:val="00434563"/>
    <w:rsid w:val="00435C1F"/>
    <w:rsid w:val="00436155"/>
    <w:rsid w:val="00436405"/>
    <w:rsid w:val="00436E62"/>
    <w:rsid w:val="0043712D"/>
    <w:rsid w:val="004375B9"/>
    <w:rsid w:val="00440E91"/>
    <w:rsid w:val="00441031"/>
    <w:rsid w:val="0044108E"/>
    <w:rsid w:val="00442776"/>
    <w:rsid w:val="004428D0"/>
    <w:rsid w:val="00442AB4"/>
    <w:rsid w:val="00443CA7"/>
    <w:rsid w:val="004440E7"/>
    <w:rsid w:val="00444185"/>
    <w:rsid w:val="004443A7"/>
    <w:rsid w:val="00444404"/>
    <w:rsid w:val="0044442C"/>
    <w:rsid w:val="004448F0"/>
    <w:rsid w:val="00445941"/>
    <w:rsid w:val="00445DBA"/>
    <w:rsid w:val="004464EB"/>
    <w:rsid w:val="00446C80"/>
    <w:rsid w:val="00447D26"/>
    <w:rsid w:val="00447DFC"/>
    <w:rsid w:val="0045186E"/>
    <w:rsid w:val="004520E8"/>
    <w:rsid w:val="00454C2A"/>
    <w:rsid w:val="00454FA5"/>
    <w:rsid w:val="0045515A"/>
    <w:rsid w:val="004551B3"/>
    <w:rsid w:val="00455D45"/>
    <w:rsid w:val="00456B27"/>
    <w:rsid w:val="0046034E"/>
    <w:rsid w:val="0046099E"/>
    <w:rsid w:val="00461737"/>
    <w:rsid w:val="00462234"/>
    <w:rsid w:val="00462D4E"/>
    <w:rsid w:val="00464595"/>
    <w:rsid w:val="004649C2"/>
    <w:rsid w:val="00464DCD"/>
    <w:rsid w:val="00465462"/>
    <w:rsid w:val="00465469"/>
    <w:rsid w:val="0046556D"/>
    <w:rsid w:val="004658B5"/>
    <w:rsid w:val="00466E4D"/>
    <w:rsid w:val="00467586"/>
    <w:rsid w:val="0047056E"/>
    <w:rsid w:val="00471B4D"/>
    <w:rsid w:val="00471EA5"/>
    <w:rsid w:val="00472A79"/>
    <w:rsid w:val="00472D47"/>
    <w:rsid w:val="004732B2"/>
    <w:rsid w:val="00473F19"/>
    <w:rsid w:val="004740DF"/>
    <w:rsid w:val="0047451C"/>
    <w:rsid w:val="00475E22"/>
    <w:rsid w:val="00476266"/>
    <w:rsid w:val="0048088E"/>
    <w:rsid w:val="00480F2B"/>
    <w:rsid w:val="00481842"/>
    <w:rsid w:val="00482720"/>
    <w:rsid w:val="00482CF2"/>
    <w:rsid w:val="004835E7"/>
    <w:rsid w:val="0048480E"/>
    <w:rsid w:val="00485511"/>
    <w:rsid w:val="00486663"/>
    <w:rsid w:val="004867E2"/>
    <w:rsid w:val="00486E82"/>
    <w:rsid w:val="004879CF"/>
    <w:rsid w:val="00490B17"/>
    <w:rsid w:val="00490D21"/>
    <w:rsid w:val="004911E1"/>
    <w:rsid w:val="00491B3A"/>
    <w:rsid w:val="00491E5F"/>
    <w:rsid w:val="00492704"/>
    <w:rsid w:val="00492CFD"/>
    <w:rsid w:val="0049303C"/>
    <w:rsid w:val="00493367"/>
    <w:rsid w:val="00494207"/>
    <w:rsid w:val="00494C5F"/>
    <w:rsid w:val="00494DD5"/>
    <w:rsid w:val="0049512D"/>
    <w:rsid w:val="00495B3F"/>
    <w:rsid w:val="004962D2"/>
    <w:rsid w:val="0049632D"/>
    <w:rsid w:val="00497141"/>
    <w:rsid w:val="00497581"/>
    <w:rsid w:val="004975C6"/>
    <w:rsid w:val="00497BB0"/>
    <w:rsid w:val="004A0DA1"/>
    <w:rsid w:val="004A13A8"/>
    <w:rsid w:val="004A13D6"/>
    <w:rsid w:val="004A13E3"/>
    <w:rsid w:val="004A1C7E"/>
    <w:rsid w:val="004A2341"/>
    <w:rsid w:val="004A26E4"/>
    <w:rsid w:val="004A5219"/>
    <w:rsid w:val="004A52E9"/>
    <w:rsid w:val="004A58FE"/>
    <w:rsid w:val="004A5AA2"/>
    <w:rsid w:val="004A6040"/>
    <w:rsid w:val="004A6597"/>
    <w:rsid w:val="004A66EB"/>
    <w:rsid w:val="004A74AE"/>
    <w:rsid w:val="004A7848"/>
    <w:rsid w:val="004B1962"/>
    <w:rsid w:val="004B1CB4"/>
    <w:rsid w:val="004B2F18"/>
    <w:rsid w:val="004B3C38"/>
    <w:rsid w:val="004B3CFA"/>
    <w:rsid w:val="004B3DDB"/>
    <w:rsid w:val="004B4102"/>
    <w:rsid w:val="004B44FC"/>
    <w:rsid w:val="004B44FD"/>
    <w:rsid w:val="004B4D24"/>
    <w:rsid w:val="004B4D50"/>
    <w:rsid w:val="004B58F1"/>
    <w:rsid w:val="004B5C2B"/>
    <w:rsid w:val="004B5CFC"/>
    <w:rsid w:val="004B64A7"/>
    <w:rsid w:val="004B6F79"/>
    <w:rsid w:val="004B7064"/>
    <w:rsid w:val="004B774D"/>
    <w:rsid w:val="004B7DA0"/>
    <w:rsid w:val="004C068D"/>
    <w:rsid w:val="004C1A48"/>
    <w:rsid w:val="004C2A1A"/>
    <w:rsid w:val="004C4AED"/>
    <w:rsid w:val="004C6BA6"/>
    <w:rsid w:val="004D01CC"/>
    <w:rsid w:val="004D1DD4"/>
    <w:rsid w:val="004D2C2D"/>
    <w:rsid w:val="004D416A"/>
    <w:rsid w:val="004D4444"/>
    <w:rsid w:val="004D597C"/>
    <w:rsid w:val="004D66F8"/>
    <w:rsid w:val="004D69B5"/>
    <w:rsid w:val="004D7227"/>
    <w:rsid w:val="004D763B"/>
    <w:rsid w:val="004D7D80"/>
    <w:rsid w:val="004E0852"/>
    <w:rsid w:val="004E0E7F"/>
    <w:rsid w:val="004E0EB8"/>
    <w:rsid w:val="004E18E9"/>
    <w:rsid w:val="004E1CB1"/>
    <w:rsid w:val="004E2ADC"/>
    <w:rsid w:val="004E3BD2"/>
    <w:rsid w:val="004E3DDF"/>
    <w:rsid w:val="004E43B2"/>
    <w:rsid w:val="004E4920"/>
    <w:rsid w:val="004E4980"/>
    <w:rsid w:val="004E619F"/>
    <w:rsid w:val="004E6639"/>
    <w:rsid w:val="004F04F2"/>
    <w:rsid w:val="004F1D02"/>
    <w:rsid w:val="004F23B0"/>
    <w:rsid w:val="004F2679"/>
    <w:rsid w:val="004F2F21"/>
    <w:rsid w:val="004F3DE5"/>
    <w:rsid w:val="004F3E18"/>
    <w:rsid w:val="004F43CC"/>
    <w:rsid w:val="004F5336"/>
    <w:rsid w:val="004F63B8"/>
    <w:rsid w:val="004F6913"/>
    <w:rsid w:val="004F6A28"/>
    <w:rsid w:val="004F6BE7"/>
    <w:rsid w:val="004F7865"/>
    <w:rsid w:val="004F7EE7"/>
    <w:rsid w:val="00500231"/>
    <w:rsid w:val="00500937"/>
    <w:rsid w:val="00500A5B"/>
    <w:rsid w:val="0050174E"/>
    <w:rsid w:val="00501854"/>
    <w:rsid w:val="00501C95"/>
    <w:rsid w:val="0050219B"/>
    <w:rsid w:val="00503A93"/>
    <w:rsid w:val="00503F17"/>
    <w:rsid w:val="005040B8"/>
    <w:rsid w:val="00505328"/>
    <w:rsid w:val="00505866"/>
    <w:rsid w:val="00505CA9"/>
    <w:rsid w:val="005066FB"/>
    <w:rsid w:val="00506928"/>
    <w:rsid w:val="00507007"/>
    <w:rsid w:val="005077D0"/>
    <w:rsid w:val="005077EF"/>
    <w:rsid w:val="00507E7E"/>
    <w:rsid w:val="00511AD5"/>
    <w:rsid w:val="00511B32"/>
    <w:rsid w:val="00511DC7"/>
    <w:rsid w:val="00512C9D"/>
    <w:rsid w:val="00513822"/>
    <w:rsid w:val="005142C5"/>
    <w:rsid w:val="00514D81"/>
    <w:rsid w:val="0051501B"/>
    <w:rsid w:val="005152B5"/>
    <w:rsid w:val="005156FF"/>
    <w:rsid w:val="005167E9"/>
    <w:rsid w:val="00516F55"/>
    <w:rsid w:val="0052123C"/>
    <w:rsid w:val="00521319"/>
    <w:rsid w:val="0052143F"/>
    <w:rsid w:val="0052228E"/>
    <w:rsid w:val="00522BC8"/>
    <w:rsid w:val="00522C42"/>
    <w:rsid w:val="00523938"/>
    <w:rsid w:val="005239DD"/>
    <w:rsid w:val="00523C28"/>
    <w:rsid w:val="0052418F"/>
    <w:rsid w:val="00524548"/>
    <w:rsid w:val="00524593"/>
    <w:rsid w:val="00524957"/>
    <w:rsid w:val="00525C1C"/>
    <w:rsid w:val="00525F31"/>
    <w:rsid w:val="00526BCE"/>
    <w:rsid w:val="00526E61"/>
    <w:rsid w:val="00527650"/>
    <w:rsid w:val="005277E5"/>
    <w:rsid w:val="005277F8"/>
    <w:rsid w:val="005302CE"/>
    <w:rsid w:val="00531388"/>
    <w:rsid w:val="0053176B"/>
    <w:rsid w:val="00531F17"/>
    <w:rsid w:val="00534D42"/>
    <w:rsid w:val="00536F42"/>
    <w:rsid w:val="00537182"/>
    <w:rsid w:val="00537862"/>
    <w:rsid w:val="005405C7"/>
    <w:rsid w:val="0054131B"/>
    <w:rsid w:val="00541EDD"/>
    <w:rsid w:val="00542743"/>
    <w:rsid w:val="00542C2D"/>
    <w:rsid w:val="0054319C"/>
    <w:rsid w:val="00543D4D"/>
    <w:rsid w:val="00545535"/>
    <w:rsid w:val="005478BD"/>
    <w:rsid w:val="005479E3"/>
    <w:rsid w:val="00551726"/>
    <w:rsid w:val="00551985"/>
    <w:rsid w:val="0055241F"/>
    <w:rsid w:val="00552BD3"/>
    <w:rsid w:val="0055320F"/>
    <w:rsid w:val="005532A0"/>
    <w:rsid w:val="005533CF"/>
    <w:rsid w:val="0055341D"/>
    <w:rsid w:val="00554E2A"/>
    <w:rsid w:val="00555109"/>
    <w:rsid w:val="0055548F"/>
    <w:rsid w:val="00555999"/>
    <w:rsid w:val="00555E13"/>
    <w:rsid w:val="00556356"/>
    <w:rsid w:val="005563C1"/>
    <w:rsid w:val="0055668A"/>
    <w:rsid w:val="0055679D"/>
    <w:rsid w:val="00556B35"/>
    <w:rsid w:val="0055741A"/>
    <w:rsid w:val="00560F5E"/>
    <w:rsid w:val="00561067"/>
    <w:rsid w:val="005611B7"/>
    <w:rsid w:val="0056121D"/>
    <w:rsid w:val="00561409"/>
    <w:rsid w:val="005618D4"/>
    <w:rsid w:val="005628E4"/>
    <w:rsid w:val="00565DF0"/>
    <w:rsid w:val="0056696F"/>
    <w:rsid w:val="00566CF7"/>
    <w:rsid w:val="00570381"/>
    <w:rsid w:val="005713E6"/>
    <w:rsid w:val="00571FB8"/>
    <w:rsid w:val="00572269"/>
    <w:rsid w:val="0057244A"/>
    <w:rsid w:val="00572F26"/>
    <w:rsid w:val="00573A63"/>
    <w:rsid w:val="005743F7"/>
    <w:rsid w:val="00574A1B"/>
    <w:rsid w:val="005750C5"/>
    <w:rsid w:val="005752DE"/>
    <w:rsid w:val="00575A43"/>
    <w:rsid w:val="00575D8D"/>
    <w:rsid w:val="00576042"/>
    <w:rsid w:val="00576972"/>
    <w:rsid w:val="0057736F"/>
    <w:rsid w:val="00577E72"/>
    <w:rsid w:val="00581633"/>
    <w:rsid w:val="00582D90"/>
    <w:rsid w:val="00583699"/>
    <w:rsid w:val="00584C91"/>
    <w:rsid w:val="00584F84"/>
    <w:rsid w:val="00585539"/>
    <w:rsid w:val="00585CDD"/>
    <w:rsid w:val="00586306"/>
    <w:rsid w:val="00587053"/>
    <w:rsid w:val="00587058"/>
    <w:rsid w:val="0058759B"/>
    <w:rsid w:val="00590920"/>
    <w:rsid w:val="00590B23"/>
    <w:rsid w:val="00591957"/>
    <w:rsid w:val="00593F69"/>
    <w:rsid w:val="005947D9"/>
    <w:rsid w:val="00594FE7"/>
    <w:rsid w:val="00595A72"/>
    <w:rsid w:val="00595E89"/>
    <w:rsid w:val="00596692"/>
    <w:rsid w:val="0059718C"/>
    <w:rsid w:val="005978E5"/>
    <w:rsid w:val="00597BF9"/>
    <w:rsid w:val="00597C49"/>
    <w:rsid w:val="00597D88"/>
    <w:rsid w:val="005A309A"/>
    <w:rsid w:val="005A373D"/>
    <w:rsid w:val="005A3788"/>
    <w:rsid w:val="005A40DE"/>
    <w:rsid w:val="005A4DDB"/>
    <w:rsid w:val="005A540A"/>
    <w:rsid w:val="005A5BBC"/>
    <w:rsid w:val="005A5EE9"/>
    <w:rsid w:val="005A6F51"/>
    <w:rsid w:val="005A7803"/>
    <w:rsid w:val="005B0B58"/>
    <w:rsid w:val="005B25F9"/>
    <w:rsid w:val="005B3672"/>
    <w:rsid w:val="005B40C1"/>
    <w:rsid w:val="005B4402"/>
    <w:rsid w:val="005B4D59"/>
    <w:rsid w:val="005B4E53"/>
    <w:rsid w:val="005B52C8"/>
    <w:rsid w:val="005B5857"/>
    <w:rsid w:val="005B5DEC"/>
    <w:rsid w:val="005B68C0"/>
    <w:rsid w:val="005B79D1"/>
    <w:rsid w:val="005C0205"/>
    <w:rsid w:val="005C0D29"/>
    <w:rsid w:val="005C123B"/>
    <w:rsid w:val="005C1B83"/>
    <w:rsid w:val="005C20C7"/>
    <w:rsid w:val="005C25FF"/>
    <w:rsid w:val="005C2D55"/>
    <w:rsid w:val="005C319D"/>
    <w:rsid w:val="005C346B"/>
    <w:rsid w:val="005C3F0C"/>
    <w:rsid w:val="005C4DBF"/>
    <w:rsid w:val="005C676B"/>
    <w:rsid w:val="005C6BD7"/>
    <w:rsid w:val="005C792D"/>
    <w:rsid w:val="005C79FA"/>
    <w:rsid w:val="005D044D"/>
    <w:rsid w:val="005D0A37"/>
    <w:rsid w:val="005D0ABD"/>
    <w:rsid w:val="005D0EC6"/>
    <w:rsid w:val="005D18AD"/>
    <w:rsid w:val="005D20D5"/>
    <w:rsid w:val="005D20F0"/>
    <w:rsid w:val="005D26B4"/>
    <w:rsid w:val="005D3891"/>
    <w:rsid w:val="005D4B6F"/>
    <w:rsid w:val="005D50B4"/>
    <w:rsid w:val="005D50FB"/>
    <w:rsid w:val="005D59A4"/>
    <w:rsid w:val="005D5B7B"/>
    <w:rsid w:val="005D5D97"/>
    <w:rsid w:val="005D6927"/>
    <w:rsid w:val="005D6A80"/>
    <w:rsid w:val="005D7E70"/>
    <w:rsid w:val="005E0128"/>
    <w:rsid w:val="005E0451"/>
    <w:rsid w:val="005E3106"/>
    <w:rsid w:val="005E3EEA"/>
    <w:rsid w:val="005E4439"/>
    <w:rsid w:val="005E456A"/>
    <w:rsid w:val="005E465E"/>
    <w:rsid w:val="005E6111"/>
    <w:rsid w:val="005E655F"/>
    <w:rsid w:val="005E6CBC"/>
    <w:rsid w:val="005E72FF"/>
    <w:rsid w:val="005E73C0"/>
    <w:rsid w:val="005E75B9"/>
    <w:rsid w:val="005F189C"/>
    <w:rsid w:val="005F2706"/>
    <w:rsid w:val="005F34BC"/>
    <w:rsid w:val="005F5C59"/>
    <w:rsid w:val="005F64BA"/>
    <w:rsid w:val="005F66A6"/>
    <w:rsid w:val="005F6951"/>
    <w:rsid w:val="005F6A8F"/>
    <w:rsid w:val="005F6BB7"/>
    <w:rsid w:val="005F753C"/>
    <w:rsid w:val="005F7588"/>
    <w:rsid w:val="005F7912"/>
    <w:rsid w:val="00601155"/>
    <w:rsid w:val="006015BC"/>
    <w:rsid w:val="006017B4"/>
    <w:rsid w:val="0060184F"/>
    <w:rsid w:val="00602069"/>
    <w:rsid w:val="0060251F"/>
    <w:rsid w:val="006027F6"/>
    <w:rsid w:val="006029E4"/>
    <w:rsid w:val="006030EB"/>
    <w:rsid w:val="00603CB0"/>
    <w:rsid w:val="00603D01"/>
    <w:rsid w:val="00603DB9"/>
    <w:rsid w:val="00604EAB"/>
    <w:rsid w:val="00606FBA"/>
    <w:rsid w:val="0060751F"/>
    <w:rsid w:val="00607669"/>
    <w:rsid w:val="006076F4"/>
    <w:rsid w:val="00607AFD"/>
    <w:rsid w:val="00607E2C"/>
    <w:rsid w:val="006102EF"/>
    <w:rsid w:val="00611296"/>
    <w:rsid w:val="00612189"/>
    <w:rsid w:val="006125F7"/>
    <w:rsid w:val="00612F97"/>
    <w:rsid w:val="0061345D"/>
    <w:rsid w:val="00613781"/>
    <w:rsid w:val="00613ACB"/>
    <w:rsid w:val="0061549B"/>
    <w:rsid w:val="006167C9"/>
    <w:rsid w:val="00616802"/>
    <w:rsid w:val="006168A0"/>
    <w:rsid w:val="00617383"/>
    <w:rsid w:val="00617E12"/>
    <w:rsid w:val="00617FCF"/>
    <w:rsid w:val="00620613"/>
    <w:rsid w:val="0062086F"/>
    <w:rsid w:val="00620C25"/>
    <w:rsid w:val="00621477"/>
    <w:rsid w:val="00621ADA"/>
    <w:rsid w:val="0062248E"/>
    <w:rsid w:val="00622B2A"/>
    <w:rsid w:val="00623F7B"/>
    <w:rsid w:val="006240FA"/>
    <w:rsid w:val="00624733"/>
    <w:rsid w:val="00626547"/>
    <w:rsid w:val="00626B6B"/>
    <w:rsid w:val="006309C0"/>
    <w:rsid w:val="0063112F"/>
    <w:rsid w:val="0063158F"/>
    <w:rsid w:val="00631D6B"/>
    <w:rsid w:val="00632183"/>
    <w:rsid w:val="00632BC1"/>
    <w:rsid w:val="006330A1"/>
    <w:rsid w:val="00634343"/>
    <w:rsid w:val="0063479F"/>
    <w:rsid w:val="006353F0"/>
    <w:rsid w:val="006357B5"/>
    <w:rsid w:val="0063609E"/>
    <w:rsid w:val="006364A1"/>
    <w:rsid w:val="0063678E"/>
    <w:rsid w:val="00637091"/>
    <w:rsid w:val="006374C9"/>
    <w:rsid w:val="00637559"/>
    <w:rsid w:val="006378A9"/>
    <w:rsid w:val="00637BFD"/>
    <w:rsid w:val="00641608"/>
    <w:rsid w:val="00641C4E"/>
    <w:rsid w:val="00641FB3"/>
    <w:rsid w:val="006424FA"/>
    <w:rsid w:val="00642E9E"/>
    <w:rsid w:val="006437BA"/>
    <w:rsid w:val="006438E0"/>
    <w:rsid w:val="00643B03"/>
    <w:rsid w:val="0064434C"/>
    <w:rsid w:val="006446B9"/>
    <w:rsid w:val="00645943"/>
    <w:rsid w:val="00645BB7"/>
    <w:rsid w:val="00646A25"/>
    <w:rsid w:val="006471CC"/>
    <w:rsid w:val="00647A29"/>
    <w:rsid w:val="006501A2"/>
    <w:rsid w:val="0065079F"/>
    <w:rsid w:val="006527A3"/>
    <w:rsid w:val="00652A28"/>
    <w:rsid w:val="00652C47"/>
    <w:rsid w:val="0065374D"/>
    <w:rsid w:val="0065379F"/>
    <w:rsid w:val="00653F72"/>
    <w:rsid w:val="006540AD"/>
    <w:rsid w:val="00655F40"/>
    <w:rsid w:val="00656188"/>
    <w:rsid w:val="00656906"/>
    <w:rsid w:val="00656C4B"/>
    <w:rsid w:val="00656FE3"/>
    <w:rsid w:val="0065715A"/>
    <w:rsid w:val="0065725B"/>
    <w:rsid w:val="00660B31"/>
    <w:rsid w:val="00660E3F"/>
    <w:rsid w:val="006610F1"/>
    <w:rsid w:val="0066144B"/>
    <w:rsid w:val="00661C6B"/>
    <w:rsid w:val="00661C8E"/>
    <w:rsid w:val="00662E07"/>
    <w:rsid w:val="00663ABD"/>
    <w:rsid w:val="00664E65"/>
    <w:rsid w:val="0066662A"/>
    <w:rsid w:val="0066679D"/>
    <w:rsid w:val="006672FE"/>
    <w:rsid w:val="00667BE6"/>
    <w:rsid w:val="00667E90"/>
    <w:rsid w:val="00670B9C"/>
    <w:rsid w:val="00671004"/>
    <w:rsid w:val="0067144E"/>
    <w:rsid w:val="00671801"/>
    <w:rsid w:val="00672646"/>
    <w:rsid w:val="006736E2"/>
    <w:rsid w:val="00674E42"/>
    <w:rsid w:val="00674FE7"/>
    <w:rsid w:val="00675132"/>
    <w:rsid w:val="0068046A"/>
    <w:rsid w:val="00680671"/>
    <w:rsid w:val="00680899"/>
    <w:rsid w:val="00680B43"/>
    <w:rsid w:val="00680B5D"/>
    <w:rsid w:val="00680BAD"/>
    <w:rsid w:val="006813F8"/>
    <w:rsid w:val="00681FE1"/>
    <w:rsid w:val="00682112"/>
    <w:rsid w:val="00682B51"/>
    <w:rsid w:val="00682B76"/>
    <w:rsid w:val="00682BA6"/>
    <w:rsid w:val="0068310A"/>
    <w:rsid w:val="0068333E"/>
    <w:rsid w:val="006837BB"/>
    <w:rsid w:val="00684733"/>
    <w:rsid w:val="00684C84"/>
    <w:rsid w:val="00685CC9"/>
    <w:rsid w:val="00685DD6"/>
    <w:rsid w:val="00686957"/>
    <w:rsid w:val="006872BA"/>
    <w:rsid w:val="00690795"/>
    <w:rsid w:val="006907CB"/>
    <w:rsid w:val="00691648"/>
    <w:rsid w:val="006917D7"/>
    <w:rsid w:val="006919AB"/>
    <w:rsid w:val="00691A4C"/>
    <w:rsid w:val="006932D0"/>
    <w:rsid w:val="006937AF"/>
    <w:rsid w:val="00693DE5"/>
    <w:rsid w:val="0069434C"/>
    <w:rsid w:val="00694644"/>
    <w:rsid w:val="006948DA"/>
    <w:rsid w:val="00694F44"/>
    <w:rsid w:val="00696F51"/>
    <w:rsid w:val="0069707C"/>
    <w:rsid w:val="00697941"/>
    <w:rsid w:val="006979A5"/>
    <w:rsid w:val="00697D09"/>
    <w:rsid w:val="006A03DE"/>
    <w:rsid w:val="006A050D"/>
    <w:rsid w:val="006A33D8"/>
    <w:rsid w:val="006A35A0"/>
    <w:rsid w:val="006A35B6"/>
    <w:rsid w:val="006A4022"/>
    <w:rsid w:val="006A4DF5"/>
    <w:rsid w:val="006A4E98"/>
    <w:rsid w:val="006A4FA6"/>
    <w:rsid w:val="006A5335"/>
    <w:rsid w:val="006A6B99"/>
    <w:rsid w:val="006A6F78"/>
    <w:rsid w:val="006A7E5F"/>
    <w:rsid w:val="006B0BB3"/>
    <w:rsid w:val="006B261B"/>
    <w:rsid w:val="006B2C90"/>
    <w:rsid w:val="006B2EFE"/>
    <w:rsid w:val="006B35E6"/>
    <w:rsid w:val="006B3BB3"/>
    <w:rsid w:val="006B41A2"/>
    <w:rsid w:val="006B4309"/>
    <w:rsid w:val="006B44C4"/>
    <w:rsid w:val="006B465A"/>
    <w:rsid w:val="006B5798"/>
    <w:rsid w:val="006B639C"/>
    <w:rsid w:val="006B6DD0"/>
    <w:rsid w:val="006B71E9"/>
    <w:rsid w:val="006B751B"/>
    <w:rsid w:val="006C0399"/>
    <w:rsid w:val="006C0DDD"/>
    <w:rsid w:val="006C2A8E"/>
    <w:rsid w:val="006C3255"/>
    <w:rsid w:val="006C3F26"/>
    <w:rsid w:val="006C4314"/>
    <w:rsid w:val="006C545E"/>
    <w:rsid w:val="006C563A"/>
    <w:rsid w:val="006C7874"/>
    <w:rsid w:val="006C7FB8"/>
    <w:rsid w:val="006D0CAD"/>
    <w:rsid w:val="006D0D17"/>
    <w:rsid w:val="006D0F08"/>
    <w:rsid w:val="006D1553"/>
    <w:rsid w:val="006D2F48"/>
    <w:rsid w:val="006D3524"/>
    <w:rsid w:val="006D3C7D"/>
    <w:rsid w:val="006D3F6D"/>
    <w:rsid w:val="006D4659"/>
    <w:rsid w:val="006D46F8"/>
    <w:rsid w:val="006D5D5F"/>
    <w:rsid w:val="006D68FB"/>
    <w:rsid w:val="006E0CF4"/>
    <w:rsid w:val="006E193D"/>
    <w:rsid w:val="006E2868"/>
    <w:rsid w:val="006E291C"/>
    <w:rsid w:val="006E2B18"/>
    <w:rsid w:val="006E44EC"/>
    <w:rsid w:val="006E4981"/>
    <w:rsid w:val="006E554D"/>
    <w:rsid w:val="006E5C2B"/>
    <w:rsid w:val="006E7F8A"/>
    <w:rsid w:val="006F0426"/>
    <w:rsid w:val="006F1B44"/>
    <w:rsid w:val="006F306C"/>
    <w:rsid w:val="006F35E4"/>
    <w:rsid w:val="006F3794"/>
    <w:rsid w:val="006F37A3"/>
    <w:rsid w:val="006F408C"/>
    <w:rsid w:val="006F4274"/>
    <w:rsid w:val="006F47CD"/>
    <w:rsid w:val="006F63A5"/>
    <w:rsid w:val="006F681F"/>
    <w:rsid w:val="006F77DE"/>
    <w:rsid w:val="006F7CAE"/>
    <w:rsid w:val="006F7FD6"/>
    <w:rsid w:val="0070142B"/>
    <w:rsid w:val="00702480"/>
    <w:rsid w:val="0070276E"/>
    <w:rsid w:val="00702F8F"/>
    <w:rsid w:val="00703D3D"/>
    <w:rsid w:val="00703FC3"/>
    <w:rsid w:val="00704094"/>
    <w:rsid w:val="0070648B"/>
    <w:rsid w:val="0070655A"/>
    <w:rsid w:val="007071A4"/>
    <w:rsid w:val="007078E5"/>
    <w:rsid w:val="007079FC"/>
    <w:rsid w:val="00711976"/>
    <w:rsid w:val="00711A36"/>
    <w:rsid w:val="00711EAA"/>
    <w:rsid w:val="00712183"/>
    <w:rsid w:val="007144AF"/>
    <w:rsid w:val="00714C26"/>
    <w:rsid w:val="0071529C"/>
    <w:rsid w:val="0071595F"/>
    <w:rsid w:val="007170DA"/>
    <w:rsid w:val="0071711E"/>
    <w:rsid w:val="007172AD"/>
    <w:rsid w:val="00717887"/>
    <w:rsid w:val="00717CC0"/>
    <w:rsid w:val="00717D5F"/>
    <w:rsid w:val="00717E19"/>
    <w:rsid w:val="00720801"/>
    <w:rsid w:val="00720D9D"/>
    <w:rsid w:val="00721C8E"/>
    <w:rsid w:val="007227F6"/>
    <w:rsid w:val="007228EE"/>
    <w:rsid w:val="007229BC"/>
    <w:rsid w:val="00722B1B"/>
    <w:rsid w:val="00723C84"/>
    <w:rsid w:val="0072416F"/>
    <w:rsid w:val="00724DA4"/>
    <w:rsid w:val="00725AF5"/>
    <w:rsid w:val="00727979"/>
    <w:rsid w:val="00727C94"/>
    <w:rsid w:val="007301D9"/>
    <w:rsid w:val="00731B0A"/>
    <w:rsid w:val="00731EAE"/>
    <w:rsid w:val="0073274E"/>
    <w:rsid w:val="00732F8D"/>
    <w:rsid w:val="00733073"/>
    <w:rsid w:val="00733C3C"/>
    <w:rsid w:val="00733E79"/>
    <w:rsid w:val="0073444E"/>
    <w:rsid w:val="00735033"/>
    <w:rsid w:val="00735328"/>
    <w:rsid w:val="007355B2"/>
    <w:rsid w:val="007357E4"/>
    <w:rsid w:val="00735B26"/>
    <w:rsid w:val="007360C1"/>
    <w:rsid w:val="0073685B"/>
    <w:rsid w:val="007368F5"/>
    <w:rsid w:val="00736F2C"/>
    <w:rsid w:val="007375DA"/>
    <w:rsid w:val="0074152D"/>
    <w:rsid w:val="00743301"/>
    <w:rsid w:val="007437C4"/>
    <w:rsid w:val="00743C63"/>
    <w:rsid w:val="00744894"/>
    <w:rsid w:val="007449BF"/>
    <w:rsid w:val="00744C91"/>
    <w:rsid w:val="007462AE"/>
    <w:rsid w:val="00746702"/>
    <w:rsid w:val="007467C4"/>
    <w:rsid w:val="00746902"/>
    <w:rsid w:val="00746914"/>
    <w:rsid w:val="00746BC0"/>
    <w:rsid w:val="00750D6F"/>
    <w:rsid w:val="00750EBA"/>
    <w:rsid w:val="0075103E"/>
    <w:rsid w:val="007510B4"/>
    <w:rsid w:val="00752142"/>
    <w:rsid w:val="007523F9"/>
    <w:rsid w:val="0075273A"/>
    <w:rsid w:val="00752C85"/>
    <w:rsid w:val="0075357E"/>
    <w:rsid w:val="0075460B"/>
    <w:rsid w:val="0075466A"/>
    <w:rsid w:val="00754D9D"/>
    <w:rsid w:val="00755528"/>
    <w:rsid w:val="00755BD0"/>
    <w:rsid w:val="00757355"/>
    <w:rsid w:val="007573E8"/>
    <w:rsid w:val="00757E8C"/>
    <w:rsid w:val="007609B0"/>
    <w:rsid w:val="00760C19"/>
    <w:rsid w:val="00760C4E"/>
    <w:rsid w:val="00760F9E"/>
    <w:rsid w:val="007627BE"/>
    <w:rsid w:val="00762A58"/>
    <w:rsid w:val="007641DE"/>
    <w:rsid w:val="007643A8"/>
    <w:rsid w:val="00764F03"/>
    <w:rsid w:val="00765140"/>
    <w:rsid w:val="00765B1A"/>
    <w:rsid w:val="00765DDE"/>
    <w:rsid w:val="00765F01"/>
    <w:rsid w:val="007672C8"/>
    <w:rsid w:val="00767495"/>
    <w:rsid w:val="0077071F"/>
    <w:rsid w:val="00770BD3"/>
    <w:rsid w:val="0077151E"/>
    <w:rsid w:val="00771761"/>
    <w:rsid w:val="007730DB"/>
    <w:rsid w:val="0077428A"/>
    <w:rsid w:val="00775005"/>
    <w:rsid w:val="00776D0D"/>
    <w:rsid w:val="00777335"/>
    <w:rsid w:val="0077741D"/>
    <w:rsid w:val="00781760"/>
    <w:rsid w:val="00782C9A"/>
    <w:rsid w:val="007843F2"/>
    <w:rsid w:val="00784CD0"/>
    <w:rsid w:val="00785002"/>
    <w:rsid w:val="007852D8"/>
    <w:rsid w:val="00785A9F"/>
    <w:rsid w:val="007861E5"/>
    <w:rsid w:val="0078654B"/>
    <w:rsid w:val="007867AC"/>
    <w:rsid w:val="007925DF"/>
    <w:rsid w:val="0079268F"/>
    <w:rsid w:val="00792F7D"/>
    <w:rsid w:val="00793492"/>
    <w:rsid w:val="00793B81"/>
    <w:rsid w:val="00794067"/>
    <w:rsid w:val="00794AF1"/>
    <w:rsid w:val="007953DF"/>
    <w:rsid w:val="00795DCE"/>
    <w:rsid w:val="00796017"/>
    <w:rsid w:val="007960B8"/>
    <w:rsid w:val="00796F7D"/>
    <w:rsid w:val="007A08AA"/>
    <w:rsid w:val="007A0A12"/>
    <w:rsid w:val="007A132D"/>
    <w:rsid w:val="007A1345"/>
    <w:rsid w:val="007A16F2"/>
    <w:rsid w:val="007A2ADA"/>
    <w:rsid w:val="007A2DDB"/>
    <w:rsid w:val="007A32D9"/>
    <w:rsid w:val="007A363A"/>
    <w:rsid w:val="007A69A5"/>
    <w:rsid w:val="007A6F95"/>
    <w:rsid w:val="007A6FE2"/>
    <w:rsid w:val="007A70BA"/>
    <w:rsid w:val="007A7893"/>
    <w:rsid w:val="007A7D55"/>
    <w:rsid w:val="007B05CC"/>
    <w:rsid w:val="007B0BAA"/>
    <w:rsid w:val="007B0D68"/>
    <w:rsid w:val="007B251D"/>
    <w:rsid w:val="007B2A26"/>
    <w:rsid w:val="007B39C0"/>
    <w:rsid w:val="007B3ECB"/>
    <w:rsid w:val="007B41E3"/>
    <w:rsid w:val="007B4F58"/>
    <w:rsid w:val="007B528D"/>
    <w:rsid w:val="007B534C"/>
    <w:rsid w:val="007B588A"/>
    <w:rsid w:val="007B5DF8"/>
    <w:rsid w:val="007B5FB8"/>
    <w:rsid w:val="007B63CA"/>
    <w:rsid w:val="007B6680"/>
    <w:rsid w:val="007B6D8C"/>
    <w:rsid w:val="007B77D1"/>
    <w:rsid w:val="007C03A7"/>
    <w:rsid w:val="007C07C7"/>
    <w:rsid w:val="007C11A4"/>
    <w:rsid w:val="007C1CD9"/>
    <w:rsid w:val="007C1EEC"/>
    <w:rsid w:val="007C32EF"/>
    <w:rsid w:val="007C3478"/>
    <w:rsid w:val="007C361D"/>
    <w:rsid w:val="007C3F5E"/>
    <w:rsid w:val="007C4647"/>
    <w:rsid w:val="007C4B84"/>
    <w:rsid w:val="007C5A0E"/>
    <w:rsid w:val="007C70FF"/>
    <w:rsid w:val="007C73E6"/>
    <w:rsid w:val="007C78A1"/>
    <w:rsid w:val="007C7C25"/>
    <w:rsid w:val="007D004F"/>
    <w:rsid w:val="007D09FF"/>
    <w:rsid w:val="007D0B38"/>
    <w:rsid w:val="007D2959"/>
    <w:rsid w:val="007D2B4E"/>
    <w:rsid w:val="007D3128"/>
    <w:rsid w:val="007D33B4"/>
    <w:rsid w:val="007D5440"/>
    <w:rsid w:val="007D63BC"/>
    <w:rsid w:val="007D68EA"/>
    <w:rsid w:val="007D69EB"/>
    <w:rsid w:val="007D76ED"/>
    <w:rsid w:val="007E02DA"/>
    <w:rsid w:val="007E0EF0"/>
    <w:rsid w:val="007E128F"/>
    <w:rsid w:val="007E1B7A"/>
    <w:rsid w:val="007E2657"/>
    <w:rsid w:val="007E3C0C"/>
    <w:rsid w:val="007E54A1"/>
    <w:rsid w:val="007E5984"/>
    <w:rsid w:val="007E6C84"/>
    <w:rsid w:val="007E7197"/>
    <w:rsid w:val="007E7723"/>
    <w:rsid w:val="007F1017"/>
    <w:rsid w:val="007F3527"/>
    <w:rsid w:val="007F4A3F"/>
    <w:rsid w:val="007F4A61"/>
    <w:rsid w:val="007F5255"/>
    <w:rsid w:val="007F56CC"/>
    <w:rsid w:val="007F61C2"/>
    <w:rsid w:val="007F6493"/>
    <w:rsid w:val="007F698D"/>
    <w:rsid w:val="00801B68"/>
    <w:rsid w:val="00802841"/>
    <w:rsid w:val="00802DCC"/>
    <w:rsid w:val="00803317"/>
    <w:rsid w:val="00803803"/>
    <w:rsid w:val="0080513A"/>
    <w:rsid w:val="00805142"/>
    <w:rsid w:val="008051CE"/>
    <w:rsid w:val="00805386"/>
    <w:rsid w:val="00805FCE"/>
    <w:rsid w:val="00806612"/>
    <w:rsid w:val="00806838"/>
    <w:rsid w:val="008075EE"/>
    <w:rsid w:val="00807A55"/>
    <w:rsid w:val="00807A8B"/>
    <w:rsid w:val="00811383"/>
    <w:rsid w:val="00811EE9"/>
    <w:rsid w:val="008120D0"/>
    <w:rsid w:val="00812149"/>
    <w:rsid w:val="00812CAC"/>
    <w:rsid w:val="00812F5F"/>
    <w:rsid w:val="0081397E"/>
    <w:rsid w:val="00816361"/>
    <w:rsid w:val="008166EF"/>
    <w:rsid w:val="00816FEF"/>
    <w:rsid w:val="0082075D"/>
    <w:rsid w:val="00820A8C"/>
    <w:rsid w:val="008215FB"/>
    <w:rsid w:val="0082241F"/>
    <w:rsid w:val="00822445"/>
    <w:rsid w:val="00823174"/>
    <w:rsid w:val="0082413B"/>
    <w:rsid w:val="00824249"/>
    <w:rsid w:val="00825751"/>
    <w:rsid w:val="008264EB"/>
    <w:rsid w:val="008269D1"/>
    <w:rsid w:val="00826D2C"/>
    <w:rsid w:val="0082796F"/>
    <w:rsid w:val="008307A9"/>
    <w:rsid w:val="008311E6"/>
    <w:rsid w:val="0083124B"/>
    <w:rsid w:val="00831625"/>
    <w:rsid w:val="0083270F"/>
    <w:rsid w:val="00832C71"/>
    <w:rsid w:val="00833B05"/>
    <w:rsid w:val="00835950"/>
    <w:rsid w:val="00836130"/>
    <w:rsid w:val="008361D1"/>
    <w:rsid w:val="008362B4"/>
    <w:rsid w:val="00836876"/>
    <w:rsid w:val="00837388"/>
    <w:rsid w:val="00837BFB"/>
    <w:rsid w:val="00837C9E"/>
    <w:rsid w:val="00840252"/>
    <w:rsid w:val="0084060F"/>
    <w:rsid w:val="00840CA2"/>
    <w:rsid w:val="00840D47"/>
    <w:rsid w:val="00843512"/>
    <w:rsid w:val="0084374F"/>
    <w:rsid w:val="00843B2E"/>
    <w:rsid w:val="00844A22"/>
    <w:rsid w:val="008451B2"/>
    <w:rsid w:val="008457B9"/>
    <w:rsid w:val="00845F63"/>
    <w:rsid w:val="00846130"/>
    <w:rsid w:val="00846719"/>
    <w:rsid w:val="00847276"/>
    <w:rsid w:val="00847703"/>
    <w:rsid w:val="00847DF5"/>
    <w:rsid w:val="0085309D"/>
    <w:rsid w:val="00853DAA"/>
    <w:rsid w:val="00853FE4"/>
    <w:rsid w:val="008541C3"/>
    <w:rsid w:val="00854D1A"/>
    <w:rsid w:val="00854E59"/>
    <w:rsid w:val="0085599E"/>
    <w:rsid w:val="00855D09"/>
    <w:rsid w:val="00855F46"/>
    <w:rsid w:val="0085688B"/>
    <w:rsid w:val="00856897"/>
    <w:rsid w:val="008569DC"/>
    <w:rsid w:val="00856A5B"/>
    <w:rsid w:val="00856E0B"/>
    <w:rsid w:val="00856E9A"/>
    <w:rsid w:val="0086075D"/>
    <w:rsid w:val="00860DD2"/>
    <w:rsid w:val="0086210E"/>
    <w:rsid w:val="00862131"/>
    <w:rsid w:val="008621F4"/>
    <w:rsid w:val="00862502"/>
    <w:rsid w:val="00862CC1"/>
    <w:rsid w:val="00864A84"/>
    <w:rsid w:val="008660D4"/>
    <w:rsid w:val="00866814"/>
    <w:rsid w:val="00867924"/>
    <w:rsid w:val="00870867"/>
    <w:rsid w:val="00871435"/>
    <w:rsid w:val="00871CEE"/>
    <w:rsid w:val="00871FA9"/>
    <w:rsid w:val="00872064"/>
    <w:rsid w:val="00872633"/>
    <w:rsid w:val="008728E9"/>
    <w:rsid w:val="00872C62"/>
    <w:rsid w:val="008734C0"/>
    <w:rsid w:val="008737DD"/>
    <w:rsid w:val="00875F6E"/>
    <w:rsid w:val="008776BB"/>
    <w:rsid w:val="00877A1C"/>
    <w:rsid w:val="00880DE2"/>
    <w:rsid w:val="00882874"/>
    <w:rsid w:val="00882D01"/>
    <w:rsid w:val="00882E3C"/>
    <w:rsid w:val="00883787"/>
    <w:rsid w:val="008847AD"/>
    <w:rsid w:val="008854AF"/>
    <w:rsid w:val="008855E4"/>
    <w:rsid w:val="008856D5"/>
    <w:rsid w:val="00885F4F"/>
    <w:rsid w:val="008861F5"/>
    <w:rsid w:val="00886CD2"/>
    <w:rsid w:val="008871D5"/>
    <w:rsid w:val="008908A4"/>
    <w:rsid w:val="00891E6F"/>
    <w:rsid w:val="00891FF2"/>
    <w:rsid w:val="008920BD"/>
    <w:rsid w:val="0089275D"/>
    <w:rsid w:val="00892A36"/>
    <w:rsid w:val="00892B9C"/>
    <w:rsid w:val="00892BC5"/>
    <w:rsid w:val="008931C4"/>
    <w:rsid w:val="00893239"/>
    <w:rsid w:val="00894228"/>
    <w:rsid w:val="00894489"/>
    <w:rsid w:val="0089463C"/>
    <w:rsid w:val="00896194"/>
    <w:rsid w:val="008963A5"/>
    <w:rsid w:val="008969D3"/>
    <w:rsid w:val="00896D5D"/>
    <w:rsid w:val="00897105"/>
    <w:rsid w:val="0089739D"/>
    <w:rsid w:val="00897426"/>
    <w:rsid w:val="008A02D3"/>
    <w:rsid w:val="008A1CBC"/>
    <w:rsid w:val="008A200E"/>
    <w:rsid w:val="008A3053"/>
    <w:rsid w:val="008A3363"/>
    <w:rsid w:val="008A3371"/>
    <w:rsid w:val="008A3C3E"/>
    <w:rsid w:val="008A4BC7"/>
    <w:rsid w:val="008A75AC"/>
    <w:rsid w:val="008A781D"/>
    <w:rsid w:val="008A79DE"/>
    <w:rsid w:val="008B0C28"/>
    <w:rsid w:val="008B1757"/>
    <w:rsid w:val="008B4E85"/>
    <w:rsid w:val="008B5377"/>
    <w:rsid w:val="008B5B46"/>
    <w:rsid w:val="008B5DC0"/>
    <w:rsid w:val="008B66E2"/>
    <w:rsid w:val="008B7992"/>
    <w:rsid w:val="008B7D7E"/>
    <w:rsid w:val="008C18CC"/>
    <w:rsid w:val="008C1C19"/>
    <w:rsid w:val="008C24CD"/>
    <w:rsid w:val="008C3517"/>
    <w:rsid w:val="008C537D"/>
    <w:rsid w:val="008C5610"/>
    <w:rsid w:val="008C5739"/>
    <w:rsid w:val="008C6265"/>
    <w:rsid w:val="008C6B24"/>
    <w:rsid w:val="008C7D53"/>
    <w:rsid w:val="008C7DFF"/>
    <w:rsid w:val="008C7ECB"/>
    <w:rsid w:val="008D31E4"/>
    <w:rsid w:val="008D3B86"/>
    <w:rsid w:val="008D4755"/>
    <w:rsid w:val="008D4C3D"/>
    <w:rsid w:val="008D5233"/>
    <w:rsid w:val="008D5CE8"/>
    <w:rsid w:val="008D62B5"/>
    <w:rsid w:val="008D646B"/>
    <w:rsid w:val="008D6563"/>
    <w:rsid w:val="008D6F17"/>
    <w:rsid w:val="008D743C"/>
    <w:rsid w:val="008D74E2"/>
    <w:rsid w:val="008D7D63"/>
    <w:rsid w:val="008E0D3C"/>
    <w:rsid w:val="008E1B9E"/>
    <w:rsid w:val="008E2028"/>
    <w:rsid w:val="008E381B"/>
    <w:rsid w:val="008E4968"/>
    <w:rsid w:val="008E4E8F"/>
    <w:rsid w:val="008E50CA"/>
    <w:rsid w:val="008E55AB"/>
    <w:rsid w:val="008E5996"/>
    <w:rsid w:val="008E5CC0"/>
    <w:rsid w:val="008F120A"/>
    <w:rsid w:val="008F27E0"/>
    <w:rsid w:val="008F308F"/>
    <w:rsid w:val="008F48EB"/>
    <w:rsid w:val="008F4BA6"/>
    <w:rsid w:val="008F4EFD"/>
    <w:rsid w:val="008F4F0B"/>
    <w:rsid w:val="008F5A04"/>
    <w:rsid w:val="008F6C42"/>
    <w:rsid w:val="009022AB"/>
    <w:rsid w:val="00902B46"/>
    <w:rsid w:val="009033DC"/>
    <w:rsid w:val="00903605"/>
    <w:rsid w:val="0090369A"/>
    <w:rsid w:val="009046C4"/>
    <w:rsid w:val="00904E74"/>
    <w:rsid w:val="00905126"/>
    <w:rsid w:val="00905746"/>
    <w:rsid w:val="0090579D"/>
    <w:rsid w:val="00905AC4"/>
    <w:rsid w:val="009062A5"/>
    <w:rsid w:val="00906F4B"/>
    <w:rsid w:val="00907C28"/>
    <w:rsid w:val="009100C0"/>
    <w:rsid w:val="00910AC6"/>
    <w:rsid w:val="00910FA7"/>
    <w:rsid w:val="00911272"/>
    <w:rsid w:val="009135D6"/>
    <w:rsid w:val="00914C77"/>
    <w:rsid w:val="00915CCA"/>
    <w:rsid w:val="0091620B"/>
    <w:rsid w:val="00917626"/>
    <w:rsid w:val="00920F2B"/>
    <w:rsid w:val="00921A9D"/>
    <w:rsid w:val="00921ACB"/>
    <w:rsid w:val="00921C13"/>
    <w:rsid w:val="00923028"/>
    <w:rsid w:val="00923066"/>
    <w:rsid w:val="009235D6"/>
    <w:rsid w:val="00923651"/>
    <w:rsid w:val="0092369B"/>
    <w:rsid w:val="009237E4"/>
    <w:rsid w:val="00924176"/>
    <w:rsid w:val="00925814"/>
    <w:rsid w:val="00925C9D"/>
    <w:rsid w:val="00927EC3"/>
    <w:rsid w:val="0093061B"/>
    <w:rsid w:val="00931772"/>
    <w:rsid w:val="00931CB7"/>
    <w:rsid w:val="00934323"/>
    <w:rsid w:val="0093446D"/>
    <w:rsid w:val="00934988"/>
    <w:rsid w:val="00935250"/>
    <w:rsid w:val="009353A6"/>
    <w:rsid w:val="009354FB"/>
    <w:rsid w:val="00935B85"/>
    <w:rsid w:val="0093661A"/>
    <w:rsid w:val="00937089"/>
    <w:rsid w:val="009376FE"/>
    <w:rsid w:val="00940619"/>
    <w:rsid w:val="0094208C"/>
    <w:rsid w:val="00944789"/>
    <w:rsid w:val="009449B8"/>
    <w:rsid w:val="00944B68"/>
    <w:rsid w:val="00944DAD"/>
    <w:rsid w:val="00944F8A"/>
    <w:rsid w:val="009454FC"/>
    <w:rsid w:val="00946298"/>
    <w:rsid w:val="009464DD"/>
    <w:rsid w:val="00946CD1"/>
    <w:rsid w:val="009510A2"/>
    <w:rsid w:val="00951245"/>
    <w:rsid w:val="00952DB7"/>
    <w:rsid w:val="00953257"/>
    <w:rsid w:val="0095474C"/>
    <w:rsid w:val="00955DC0"/>
    <w:rsid w:val="0095644D"/>
    <w:rsid w:val="009566EE"/>
    <w:rsid w:val="00956830"/>
    <w:rsid w:val="009575BD"/>
    <w:rsid w:val="0096064B"/>
    <w:rsid w:val="009629C5"/>
    <w:rsid w:val="00962CB9"/>
    <w:rsid w:val="00962FB4"/>
    <w:rsid w:val="00963F36"/>
    <w:rsid w:val="00964312"/>
    <w:rsid w:val="0096536D"/>
    <w:rsid w:val="00965B8A"/>
    <w:rsid w:val="00966A38"/>
    <w:rsid w:val="009674DA"/>
    <w:rsid w:val="009678B8"/>
    <w:rsid w:val="0097071F"/>
    <w:rsid w:val="009708A1"/>
    <w:rsid w:val="00970B14"/>
    <w:rsid w:val="00970C67"/>
    <w:rsid w:val="00970C84"/>
    <w:rsid w:val="009717AC"/>
    <w:rsid w:val="009723A2"/>
    <w:rsid w:val="009729FC"/>
    <w:rsid w:val="0097331B"/>
    <w:rsid w:val="009734AA"/>
    <w:rsid w:val="0097382F"/>
    <w:rsid w:val="009739E4"/>
    <w:rsid w:val="0097436C"/>
    <w:rsid w:val="00975066"/>
    <w:rsid w:val="00975121"/>
    <w:rsid w:val="009751C1"/>
    <w:rsid w:val="009758C5"/>
    <w:rsid w:val="00976402"/>
    <w:rsid w:val="009774CB"/>
    <w:rsid w:val="00981145"/>
    <w:rsid w:val="0098114D"/>
    <w:rsid w:val="009811F1"/>
    <w:rsid w:val="0098136F"/>
    <w:rsid w:val="009813D8"/>
    <w:rsid w:val="0098230C"/>
    <w:rsid w:val="0098277E"/>
    <w:rsid w:val="00983E57"/>
    <w:rsid w:val="00984503"/>
    <w:rsid w:val="00984953"/>
    <w:rsid w:val="00984BE3"/>
    <w:rsid w:val="009850F3"/>
    <w:rsid w:val="00985A84"/>
    <w:rsid w:val="00985B8D"/>
    <w:rsid w:val="00985C9B"/>
    <w:rsid w:val="00985DE2"/>
    <w:rsid w:val="00985F4C"/>
    <w:rsid w:val="0098675D"/>
    <w:rsid w:val="0098709A"/>
    <w:rsid w:val="00987823"/>
    <w:rsid w:val="00990200"/>
    <w:rsid w:val="0099145A"/>
    <w:rsid w:val="009915E7"/>
    <w:rsid w:val="00992296"/>
    <w:rsid w:val="009926E0"/>
    <w:rsid w:val="009933C4"/>
    <w:rsid w:val="0099359A"/>
    <w:rsid w:val="0099383F"/>
    <w:rsid w:val="0099405B"/>
    <w:rsid w:val="00994157"/>
    <w:rsid w:val="009944DF"/>
    <w:rsid w:val="0099451E"/>
    <w:rsid w:val="00994D2E"/>
    <w:rsid w:val="00994FEA"/>
    <w:rsid w:val="009969DE"/>
    <w:rsid w:val="00996B1A"/>
    <w:rsid w:val="009979FA"/>
    <w:rsid w:val="00997F1B"/>
    <w:rsid w:val="009A0FE5"/>
    <w:rsid w:val="009A2A45"/>
    <w:rsid w:val="009A2DCC"/>
    <w:rsid w:val="009A3E1B"/>
    <w:rsid w:val="009A47C1"/>
    <w:rsid w:val="009A5A13"/>
    <w:rsid w:val="009A5ABC"/>
    <w:rsid w:val="009A66C2"/>
    <w:rsid w:val="009A71A0"/>
    <w:rsid w:val="009A7C5A"/>
    <w:rsid w:val="009A7F10"/>
    <w:rsid w:val="009B169F"/>
    <w:rsid w:val="009B27FE"/>
    <w:rsid w:val="009B2929"/>
    <w:rsid w:val="009B2D44"/>
    <w:rsid w:val="009B3E26"/>
    <w:rsid w:val="009B406A"/>
    <w:rsid w:val="009B4300"/>
    <w:rsid w:val="009B4A3B"/>
    <w:rsid w:val="009B5B29"/>
    <w:rsid w:val="009B6099"/>
    <w:rsid w:val="009B72B1"/>
    <w:rsid w:val="009B7D95"/>
    <w:rsid w:val="009B7EC9"/>
    <w:rsid w:val="009C00F9"/>
    <w:rsid w:val="009C0A97"/>
    <w:rsid w:val="009C0B4C"/>
    <w:rsid w:val="009C0E70"/>
    <w:rsid w:val="009C27F2"/>
    <w:rsid w:val="009C3706"/>
    <w:rsid w:val="009C3A3A"/>
    <w:rsid w:val="009C63F6"/>
    <w:rsid w:val="009C679E"/>
    <w:rsid w:val="009C6CEA"/>
    <w:rsid w:val="009C7B85"/>
    <w:rsid w:val="009D0254"/>
    <w:rsid w:val="009D0806"/>
    <w:rsid w:val="009D1528"/>
    <w:rsid w:val="009D1A64"/>
    <w:rsid w:val="009D2F0F"/>
    <w:rsid w:val="009D425B"/>
    <w:rsid w:val="009D4738"/>
    <w:rsid w:val="009D493A"/>
    <w:rsid w:val="009D58F5"/>
    <w:rsid w:val="009D5B91"/>
    <w:rsid w:val="009D792E"/>
    <w:rsid w:val="009E0280"/>
    <w:rsid w:val="009E058A"/>
    <w:rsid w:val="009E0DFE"/>
    <w:rsid w:val="009E153A"/>
    <w:rsid w:val="009E15F6"/>
    <w:rsid w:val="009E1959"/>
    <w:rsid w:val="009E1983"/>
    <w:rsid w:val="009E31F6"/>
    <w:rsid w:val="009E4564"/>
    <w:rsid w:val="009E4C07"/>
    <w:rsid w:val="009E6166"/>
    <w:rsid w:val="009E673D"/>
    <w:rsid w:val="009E6BFA"/>
    <w:rsid w:val="009E6D50"/>
    <w:rsid w:val="009E7FD5"/>
    <w:rsid w:val="009F0224"/>
    <w:rsid w:val="009F03A4"/>
    <w:rsid w:val="009F1607"/>
    <w:rsid w:val="009F2A8F"/>
    <w:rsid w:val="009F2BCD"/>
    <w:rsid w:val="009F2C9D"/>
    <w:rsid w:val="009F3459"/>
    <w:rsid w:val="00A002AF"/>
    <w:rsid w:val="00A007F3"/>
    <w:rsid w:val="00A00A65"/>
    <w:rsid w:val="00A01184"/>
    <w:rsid w:val="00A0159E"/>
    <w:rsid w:val="00A01B86"/>
    <w:rsid w:val="00A022DE"/>
    <w:rsid w:val="00A032E8"/>
    <w:rsid w:val="00A034C3"/>
    <w:rsid w:val="00A037C2"/>
    <w:rsid w:val="00A03D43"/>
    <w:rsid w:val="00A04380"/>
    <w:rsid w:val="00A04ADE"/>
    <w:rsid w:val="00A04B0B"/>
    <w:rsid w:val="00A053CA"/>
    <w:rsid w:val="00A05472"/>
    <w:rsid w:val="00A05A63"/>
    <w:rsid w:val="00A05C32"/>
    <w:rsid w:val="00A0653F"/>
    <w:rsid w:val="00A07C7F"/>
    <w:rsid w:val="00A10711"/>
    <w:rsid w:val="00A111B4"/>
    <w:rsid w:val="00A118C3"/>
    <w:rsid w:val="00A11CD0"/>
    <w:rsid w:val="00A11CE9"/>
    <w:rsid w:val="00A13885"/>
    <w:rsid w:val="00A13948"/>
    <w:rsid w:val="00A13979"/>
    <w:rsid w:val="00A14C41"/>
    <w:rsid w:val="00A1555B"/>
    <w:rsid w:val="00A155C5"/>
    <w:rsid w:val="00A16AD8"/>
    <w:rsid w:val="00A17B3F"/>
    <w:rsid w:val="00A203BC"/>
    <w:rsid w:val="00A20B80"/>
    <w:rsid w:val="00A20EEA"/>
    <w:rsid w:val="00A2176C"/>
    <w:rsid w:val="00A21C95"/>
    <w:rsid w:val="00A21CF3"/>
    <w:rsid w:val="00A24813"/>
    <w:rsid w:val="00A2609F"/>
    <w:rsid w:val="00A263BC"/>
    <w:rsid w:val="00A266BD"/>
    <w:rsid w:val="00A27AEC"/>
    <w:rsid w:val="00A31171"/>
    <w:rsid w:val="00A320DB"/>
    <w:rsid w:val="00A338BD"/>
    <w:rsid w:val="00A33DB7"/>
    <w:rsid w:val="00A34DD3"/>
    <w:rsid w:val="00A3535C"/>
    <w:rsid w:val="00A35D16"/>
    <w:rsid w:val="00A379AF"/>
    <w:rsid w:val="00A37BCD"/>
    <w:rsid w:val="00A405EB"/>
    <w:rsid w:val="00A41689"/>
    <w:rsid w:val="00A41CCD"/>
    <w:rsid w:val="00A41D14"/>
    <w:rsid w:val="00A42592"/>
    <w:rsid w:val="00A42B36"/>
    <w:rsid w:val="00A42E2F"/>
    <w:rsid w:val="00A43C59"/>
    <w:rsid w:val="00A44597"/>
    <w:rsid w:val="00A47A3C"/>
    <w:rsid w:val="00A503F2"/>
    <w:rsid w:val="00A50ECD"/>
    <w:rsid w:val="00A518F3"/>
    <w:rsid w:val="00A52084"/>
    <w:rsid w:val="00A522F1"/>
    <w:rsid w:val="00A52729"/>
    <w:rsid w:val="00A533D2"/>
    <w:rsid w:val="00A53675"/>
    <w:rsid w:val="00A53972"/>
    <w:rsid w:val="00A564D7"/>
    <w:rsid w:val="00A56B6A"/>
    <w:rsid w:val="00A56C30"/>
    <w:rsid w:val="00A5745D"/>
    <w:rsid w:val="00A578DC"/>
    <w:rsid w:val="00A57FA3"/>
    <w:rsid w:val="00A613BD"/>
    <w:rsid w:val="00A61785"/>
    <w:rsid w:val="00A61B50"/>
    <w:rsid w:val="00A62F37"/>
    <w:rsid w:val="00A640E2"/>
    <w:rsid w:val="00A6410E"/>
    <w:rsid w:val="00A64D65"/>
    <w:rsid w:val="00A66A1E"/>
    <w:rsid w:val="00A66BD8"/>
    <w:rsid w:val="00A6725B"/>
    <w:rsid w:val="00A67A55"/>
    <w:rsid w:val="00A67A85"/>
    <w:rsid w:val="00A70488"/>
    <w:rsid w:val="00A7049C"/>
    <w:rsid w:val="00A70605"/>
    <w:rsid w:val="00A7060C"/>
    <w:rsid w:val="00A7069C"/>
    <w:rsid w:val="00A70794"/>
    <w:rsid w:val="00A715D7"/>
    <w:rsid w:val="00A71EB6"/>
    <w:rsid w:val="00A723FF"/>
    <w:rsid w:val="00A72622"/>
    <w:rsid w:val="00A73134"/>
    <w:rsid w:val="00A7328B"/>
    <w:rsid w:val="00A759F0"/>
    <w:rsid w:val="00A75A68"/>
    <w:rsid w:val="00A76001"/>
    <w:rsid w:val="00A777B2"/>
    <w:rsid w:val="00A77C09"/>
    <w:rsid w:val="00A81896"/>
    <w:rsid w:val="00A82521"/>
    <w:rsid w:val="00A825D4"/>
    <w:rsid w:val="00A828F6"/>
    <w:rsid w:val="00A82AFB"/>
    <w:rsid w:val="00A82B73"/>
    <w:rsid w:val="00A8324F"/>
    <w:rsid w:val="00A83860"/>
    <w:rsid w:val="00A8415F"/>
    <w:rsid w:val="00A85311"/>
    <w:rsid w:val="00A85BDD"/>
    <w:rsid w:val="00A86469"/>
    <w:rsid w:val="00A86E8B"/>
    <w:rsid w:val="00A87164"/>
    <w:rsid w:val="00A902B5"/>
    <w:rsid w:val="00A91484"/>
    <w:rsid w:val="00A91A21"/>
    <w:rsid w:val="00A91C2D"/>
    <w:rsid w:val="00A92083"/>
    <w:rsid w:val="00A93072"/>
    <w:rsid w:val="00A938BD"/>
    <w:rsid w:val="00A93953"/>
    <w:rsid w:val="00A95640"/>
    <w:rsid w:val="00A959D8"/>
    <w:rsid w:val="00A97851"/>
    <w:rsid w:val="00A97DCE"/>
    <w:rsid w:val="00AA0A80"/>
    <w:rsid w:val="00AA113D"/>
    <w:rsid w:val="00AA11F0"/>
    <w:rsid w:val="00AA2887"/>
    <w:rsid w:val="00AA2F01"/>
    <w:rsid w:val="00AA38AA"/>
    <w:rsid w:val="00AA3DDF"/>
    <w:rsid w:val="00AA4C3A"/>
    <w:rsid w:val="00AA4EC4"/>
    <w:rsid w:val="00AA533C"/>
    <w:rsid w:val="00AA6BD5"/>
    <w:rsid w:val="00AA6BD8"/>
    <w:rsid w:val="00AA6C7D"/>
    <w:rsid w:val="00AA719C"/>
    <w:rsid w:val="00AA7FD6"/>
    <w:rsid w:val="00AB042A"/>
    <w:rsid w:val="00AB1534"/>
    <w:rsid w:val="00AB19EF"/>
    <w:rsid w:val="00AB1D7D"/>
    <w:rsid w:val="00AB2D34"/>
    <w:rsid w:val="00AB2F20"/>
    <w:rsid w:val="00AB3430"/>
    <w:rsid w:val="00AB37B9"/>
    <w:rsid w:val="00AB4AD1"/>
    <w:rsid w:val="00AB5E07"/>
    <w:rsid w:val="00AB6949"/>
    <w:rsid w:val="00AB78DA"/>
    <w:rsid w:val="00AB7CFA"/>
    <w:rsid w:val="00AC0520"/>
    <w:rsid w:val="00AC170C"/>
    <w:rsid w:val="00AC17F6"/>
    <w:rsid w:val="00AC1EEA"/>
    <w:rsid w:val="00AC2546"/>
    <w:rsid w:val="00AC3C52"/>
    <w:rsid w:val="00AC4334"/>
    <w:rsid w:val="00AC5251"/>
    <w:rsid w:val="00AC571D"/>
    <w:rsid w:val="00AC5968"/>
    <w:rsid w:val="00AC5B48"/>
    <w:rsid w:val="00AC6063"/>
    <w:rsid w:val="00AC6088"/>
    <w:rsid w:val="00AC6B3F"/>
    <w:rsid w:val="00AC6F6F"/>
    <w:rsid w:val="00AC71B9"/>
    <w:rsid w:val="00AC7C52"/>
    <w:rsid w:val="00AD0990"/>
    <w:rsid w:val="00AD1450"/>
    <w:rsid w:val="00AD1900"/>
    <w:rsid w:val="00AD1E72"/>
    <w:rsid w:val="00AD3B9B"/>
    <w:rsid w:val="00AD57FF"/>
    <w:rsid w:val="00AD5EC6"/>
    <w:rsid w:val="00AD6502"/>
    <w:rsid w:val="00AD75BC"/>
    <w:rsid w:val="00AE0695"/>
    <w:rsid w:val="00AE0ACF"/>
    <w:rsid w:val="00AE0C1D"/>
    <w:rsid w:val="00AE183A"/>
    <w:rsid w:val="00AE1C97"/>
    <w:rsid w:val="00AE206A"/>
    <w:rsid w:val="00AE2D3A"/>
    <w:rsid w:val="00AE36FF"/>
    <w:rsid w:val="00AE3E7E"/>
    <w:rsid w:val="00AE46CD"/>
    <w:rsid w:val="00AE4B61"/>
    <w:rsid w:val="00AE4B74"/>
    <w:rsid w:val="00AE51E3"/>
    <w:rsid w:val="00AE5FB3"/>
    <w:rsid w:val="00AE6CC0"/>
    <w:rsid w:val="00AE7070"/>
    <w:rsid w:val="00AE7193"/>
    <w:rsid w:val="00AF007D"/>
    <w:rsid w:val="00AF12EE"/>
    <w:rsid w:val="00AF1315"/>
    <w:rsid w:val="00AF19BF"/>
    <w:rsid w:val="00AF2DC3"/>
    <w:rsid w:val="00AF4281"/>
    <w:rsid w:val="00AF50F0"/>
    <w:rsid w:val="00AF6652"/>
    <w:rsid w:val="00AF66EC"/>
    <w:rsid w:val="00AF7EA0"/>
    <w:rsid w:val="00B02A18"/>
    <w:rsid w:val="00B033E5"/>
    <w:rsid w:val="00B03A63"/>
    <w:rsid w:val="00B04B5D"/>
    <w:rsid w:val="00B05779"/>
    <w:rsid w:val="00B06696"/>
    <w:rsid w:val="00B06E3F"/>
    <w:rsid w:val="00B07F5F"/>
    <w:rsid w:val="00B116CB"/>
    <w:rsid w:val="00B11F7A"/>
    <w:rsid w:val="00B11FAF"/>
    <w:rsid w:val="00B1273E"/>
    <w:rsid w:val="00B12C18"/>
    <w:rsid w:val="00B13FBA"/>
    <w:rsid w:val="00B146DB"/>
    <w:rsid w:val="00B1481B"/>
    <w:rsid w:val="00B157DE"/>
    <w:rsid w:val="00B15D39"/>
    <w:rsid w:val="00B201A4"/>
    <w:rsid w:val="00B201D1"/>
    <w:rsid w:val="00B213A6"/>
    <w:rsid w:val="00B218DF"/>
    <w:rsid w:val="00B21F26"/>
    <w:rsid w:val="00B2233E"/>
    <w:rsid w:val="00B228D0"/>
    <w:rsid w:val="00B235B0"/>
    <w:rsid w:val="00B23884"/>
    <w:rsid w:val="00B24DF6"/>
    <w:rsid w:val="00B2656C"/>
    <w:rsid w:val="00B33207"/>
    <w:rsid w:val="00B34FE2"/>
    <w:rsid w:val="00B35166"/>
    <w:rsid w:val="00B357D8"/>
    <w:rsid w:val="00B358E9"/>
    <w:rsid w:val="00B360F4"/>
    <w:rsid w:val="00B36331"/>
    <w:rsid w:val="00B36A00"/>
    <w:rsid w:val="00B37BFC"/>
    <w:rsid w:val="00B40358"/>
    <w:rsid w:val="00B40DA4"/>
    <w:rsid w:val="00B411E4"/>
    <w:rsid w:val="00B41614"/>
    <w:rsid w:val="00B41708"/>
    <w:rsid w:val="00B4218D"/>
    <w:rsid w:val="00B42851"/>
    <w:rsid w:val="00B4298F"/>
    <w:rsid w:val="00B42DE3"/>
    <w:rsid w:val="00B42F80"/>
    <w:rsid w:val="00B42FB4"/>
    <w:rsid w:val="00B435CB"/>
    <w:rsid w:val="00B44A67"/>
    <w:rsid w:val="00B46A09"/>
    <w:rsid w:val="00B46A2E"/>
    <w:rsid w:val="00B47A54"/>
    <w:rsid w:val="00B505C8"/>
    <w:rsid w:val="00B50DB8"/>
    <w:rsid w:val="00B51040"/>
    <w:rsid w:val="00B51849"/>
    <w:rsid w:val="00B51DEA"/>
    <w:rsid w:val="00B53654"/>
    <w:rsid w:val="00B53905"/>
    <w:rsid w:val="00B548BE"/>
    <w:rsid w:val="00B54B5B"/>
    <w:rsid w:val="00B54E58"/>
    <w:rsid w:val="00B5546A"/>
    <w:rsid w:val="00B5562E"/>
    <w:rsid w:val="00B55D65"/>
    <w:rsid w:val="00B562B8"/>
    <w:rsid w:val="00B57000"/>
    <w:rsid w:val="00B57C0F"/>
    <w:rsid w:val="00B57F7F"/>
    <w:rsid w:val="00B60070"/>
    <w:rsid w:val="00B602B8"/>
    <w:rsid w:val="00B60939"/>
    <w:rsid w:val="00B60AFD"/>
    <w:rsid w:val="00B60FBA"/>
    <w:rsid w:val="00B614F7"/>
    <w:rsid w:val="00B62715"/>
    <w:rsid w:val="00B6347F"/>
    <w:rsid w:val="00B6358A"/>
    <w:rsid w:val="00B64611"/>
    <w:rsid w:val="00B65611"/>
    <w:rsid w:val="00B66A1F"/>
    <w:rsid w:val="00B67468"/>
    <w:rsid w:val="00B70450"/>
    <w:rsid w:val="00B70E8E"/>
    <w:rsid w:val="00B71B9F"/>
    <w:rsid w:val="00B72345"/>
    <w:rsid w:val="00B73554"/>
    <w:rsid w:val="00B73561"/>
    <w:rsid w:val="00B73F1F"/>
    <w:rsid w:val="00B74C64"/>
    <w:rsid w:val="00B75806"/>
    <w:rsid w:val="00B7681E"/>
    <w:rsid w:val="00B768F7"/>
    <w:rsid w:val="00B76C92"/>
    <w:rsid w:val="00B77FBC"/>
    <w:rsid w:val="00B802D0"/>
    <w:rsid w:val="00B8091F"/>
    <w:rsid w:val="00B818A4"/>
    <w:rsid w:val="00B82886"/>
    <w:rsid w:val="00B84117"/>
    <w:rsid w:val="00B842C9"/>
    <w:rsid w:val="00B846D3"/>
    <w:rsid w:val="00B858F0"/>
    <w:rsid w:val="00B85AA2"/>
    <w:rsid w:val="00B85BAA"/>
    <w:rsid w:val="00B85C60"/>
    <w:rsid w:val="00B85E0C"/>
    <w:rsid w:val="00B86175"/>
    <w:rsid w:val="00B8649C"/>
    <w:rsid w:val="00B8695D"/>
    <w:rsid w:val="00B8786E"/>
    <w:rsid w:val="00B87F0A"/>
    <w:rsid w:val="00B90BF3"/>
    <w:rsid w:val="00B91586"/>
    <w:rsid w:val="00B92D0B"/>
    <w:rsid w:val="00B93660"/>
    <w:rsid w:val="00B93D7F"/>
    <w:rsid w:val="00B94945"/>
    <w:rsid w:val="00B94DD6"/>
    <w:rsid w:val="00B95088"/>
    <w:rsid w:val="00B95607"/>
    <w:rsid w:val="00B95ADA"/>
    <w:rsid w:val="00B96B88"/>
    <w:rsid w:val="00B96D22"/>
    <w:rsid w:val="00B977D2"/>
    <w:rsid w:val="00BA0671"/>
    <w:rsid w:val="00BA1122"/>
    <w:rsid w:val="00BA1411"/>
    <w:rsid w:val="00BA19C8"/>
    <w:rsid w:val="00BA29C2"/>
    <w:rsid w:val="00BA322D"/>
    <w:rsid w:val="00BA3FBD"/>
    <w:rsid w:val="00BA4289"/>
    <w:rsid w:val="00BA4847"/>
    <w:rsid w:val="00BA63FA"/>
    <w:rsid w:val="00BA65D2"/>
    <w:rsid w:val="00BA73A5"/>
    <w:rsid w:val="00BA74F5"/>
    <w:rsid w:val="00BA793B"/>
    <w:rsid w:val="00BB00B3"/>
    <w:rsid w:val="00BB023F"/>
    <w:rsid w:val="00BB0371"/>
    <w:rsid w:val="00BB0BDD"/>
    <w:rsid w:val="00BB0E90"/>
    <w:rsid w:val="00BB0FE9"/>
    <w:rsid w:val="00BB176C"/>
    <w:rsid w:val="00BB1C6C"/>
    <w:rsid w:val="00BB2A73"/>
    <w:rsid w:val="00BB337F"/>
    <w:rsid w:val="00BB33FC"/>
    <w:rsid w:val="00BB3A45"/>
    <w:rsid w:val="00BB441D"/>
    <w:rsid w:val="00BB4ACC"/>
    <w:rsid w:val="00BB703E"/>
    <w:rsid w:val="00BB732D"/>
    <w:rsid w:val="00BB7405"/>
    <w:rsid w:val="00BC0D4E"/>
    <w:rsid w:val="00BC18F1"/>
    <w:rsid w:val="00BC1B21"/>
    <w:rsid w:val="00BC2D28"/>
    <w:rsid w:val="00BC3631"/>
    <w:rsid w:val="00BC39A6"/>
    <w:rsid w:val="00BC591F"/>
    <w:rsid w:val="00BC5B74"/>
    <w:rsid w:val="00BC65E1"/>
    <w:rsid w:val="00BC7D6D"/>
    <w:rsid w:val="00BD10C7"/>
    <w:rsid w:val="00BD1906"/>
    <w:rsid w:val="00BD2108"/>
    <w:rsid w:val="00BD21A9"/>
    <w:rsid w:val="00BD2977"/>
    <w:rsid w:val="00BD50DF"/>
    <w:rsid w:val="00BD5256"/>
    <w:rsid w:val="00BD59FB"/>
    <w:rsid w:val="00BD5A62"/>
    <w:rsid w:val="00BD5FDF"/>
    <w:rsid w:val="00BD68A3"/>
    <w:rsid w:val="00BD6938"/>
    <w:rsid w:val="00BD6C60"/>
    <w:rsid w:val="00BD6CF3"/>
    <w:rsid w:val="00BD72B3"/>
    <w:rsid w:val="00BD7826"/>
    <w:rsid w:val="00BD7B40"/>
    <w:rsid w:val="00BE00D0"/>
    <w:rsid w:val="00BE0AD1"/>
    <w:rsid w:val="00BE0ECA"/>
    <w:rsid w:val="00BE1A3A"/>
    <w:rsid w:val="00BE2180"/>
    <w:rsid w:val="00BE21F2"/>
    <w:rsid w:val="00BE3240"/>
    <w:rsid w:val="00BE38E9"/>
    <w:rsid w:val="00BE4013"/>
    <w:rsid w:val="00BE4275"/>
    <w:rsid w:val="00BE5092"/>
    <w:rsid w:val="00BE6FB1"/>
    <w:rsid w:val="00BE76E9"/>
    <w:rsid w:val="00BF06AE"/>
    <w:rsid w:val="00BF0F95"/>
    <w:rsid w:val="00BF1CBA"/>
    <w:rsid w:val="00BF2433"/>
    <w:rsid w:val="00BF3641"/>
    <w:rsid w:val="00BF3D1D"/>
    <w:rsid w:val="00BF3D46"/>
    <w:rsid w:val="00BF61C9"/>
    <w:rsid w:val="00BF6C94"/>
    <w:rsid w:val="00BF7565"/>
    <w:rsid w:val="00C00184"/>
    <w:rsid w:val="00C00424"/>
    <w:rsid w:val="00C00A16"/>
    <w:rsid w:val="00C036A8"/>
    <w:rsid w:val="00C05C4A"/>
    <w:rsid w:val="00C07E93"/>
    <w:rsid w:val="00C1041F"/>
    <w:rsid w:val="00C10C81"/>
    <w:rsid w:val="00C1179F"/>
    <w:rsid w:val="00C1182E"/>
    <w:rsid w:val="00C119FF"/>
    <w:rsid w:val="00C12C14"/>
    <w:rsid w:val="00C13409"/>
    <w:rsid w:val="00C13579"/>
    <w:rsid w:val="00C1410D"/>
    <w:rsid w:val="00C15F04"/>
    <w:rsid w:val="00C17278"/>
    <w:rsid w:val="00C179B3"/>
    <w:rsid w:val="00C17E3F"/>
    <w:rsid w:val="00C200AA"/>
    <w:rsid w:val="00C21AA0"/>
    <w:rsid w:val="00C22412"/>
    <w:rsid w:val="00C22544"/>
    <w:rsid w:val="00C237ED"/>
    <w:rsid w:val="00C23F90"/>
    <w:rsid w:val="00C24632"/>
    <w:rsid w:val="00C24F67"/>
    <w:rsid w:val="00C25418"/>
    <w:rsid w:val="00C25D9C"/>
    <w:rsid w:val="00C26AFB"/>
    <w:rsid w:val="00C2778B"/>
    <w:rsid w:val="00C304ED"/>
    <w:rsid w:val="00C311FC"/>
    <w:rsid w:val="00C31633"/>
    <w:rsid w:val="00C31649"/>
    <w:rsid w:val="00C32AF1"/>
    <w:rsid w:val="00C33B87"/>
    <w:rsid w:val="00C3434C"/>
    <w:rsid w:val="00C369BC"/>
    <w:rsid w:val="00C40385"/>
    <w:rsid w:val="00C40A8E"/>
    <w:rsid w:val="00C41026"/>
    <w:rsid w:val="00C412DC"/>
    <w:rsid w:val="00C41768"/>
    <w:rsid w:val="00C436EE"/>
    <w:rsid w:val="00C437E2"/>
    <w:rsid w:val="00C43ED5"/>
    <w:rsid w:val="00C44242"/>
    <w:rsid w:val="00C44385"/>
    <w:rsid w:val="00C466CB"/>
    <w:rsid w:val="00C475AA"/>
    <w:rsid w:val="00C47801"/>
    <w:rsid w:val="00C50E5C"/>
    <w:rsid w:val="00C51A82"/>
    <w:rsid w:val="00C52605"/>
    <w:rsid w:val="00C52834"/>
    <w:rsid w:val="00C53C3B"/>
    <w:rsid w:val="00C53C98"/>
    <w:rsid w:val="00C55BFC"/>
    <w:rsid w:val="00C56FCF"/>
    <w:rsid w:val="00C570DD"/>
    <w:rsid w:val="00C57321"/>
    <w:rsid w:val="00C57AB0"/>
    <w:rsid w:val="00C57B6C"/>
    <w:rsid w:val="00C609F5"/>
    <w:rsid w:val="00C61F21"/>
    <w:rsid w:val="00C6219D"/>
    <w:rsid w:val="00C628A6"/>
    <w:rsid w:val="00C64344"/>
    <w:rsid w:val="00C64A50"/>
    <w:rsid w:val="00C65108"/>
    <w:rsid w:val="00C65576"/>
    <w:rsid w:val="00C66165"/>
    <w:rsid w:val="00C67706"/>
    <w:rsid w:val="00C7060A"/>
    <w:rsid w:val="00C7109D"/>
    <w:rsid w:val="00C7151A"/>
    <w:rsid w:val="00C717E3"/>
    <w:rsid w:val="00C719ED"/>
    <w:rsid w:val="00C71A0D"/>
    <w:rsid w:val="00C71F60"/>
    <w:rsid w:val="00C72241"/>
    <w:rsid w:val="00C72DA2"/>
    <w:rsid w:val="00C7349E"/>
    <w:rsid w:val="00C743BA"/>
    <w:rsid w:val="00C74920"/>
    <w:rsid w:val="00C74C1F"/>
    <w:rsid w:val="00C74C4F"/>
    <w:rsid w:val="00C750C8"/>
    <w:rsid w:val="00C7560F"/>
    <w:rsid w:val="00C763E5"/>
    <w:rsid w:val="00C775DF"/>
    <w:rsid w:val="00C80041"/>
    <w:rsid w:val="00C80A0E"/>
    <w:rsid w:val="00C8147F"/>
    <w:rsid w:val="00C816D7"/>
    <w:rsid w:val="00C81AB1"/>
    <w:rsid w:val="00C8213F"/>
    <w:rsid w:val="00C838A3"/>
    <w:rsid w:val="00C84150"/>
    <w:rsid w:val="00C84ADC"/>
    <w:rsid w:val="00C84DC4"/>
    <w:rsid w:val="00C84FC5"/>
    <w:rsid w:val="00C85154"/>
    <w:rsid w:val="00C853F4"/>
    <w:rsid w:val="00C8694A"/>
    <w:rsid w:val="00C870DD"/>
    <w:rsid w:val="00C87421"/>
    <w:rsid w:val="00C8786E"/>
    <w:rsid w:val="00C8797A"/>
    <w:rsid w:val="00C879C1"/>
    <w:rsid w:val="00C900B8"/>
    <w:rsid w:val="00C908AA"/>
    <w:rsid w:val="00C90C71"/>
    <w:rsid w:val="00C90F41"/>
    <w:rsid w:val="00C90F83"/>
    <w:rsid w:val="00C914D8"/>
    <w:rsid w:val="00C91FD1"/>
    <w:rsid w:val="00C930D3"/>
    <w:rsid w:val="00C931CF"/>
    <w:rsid w:val="00C93803"/>
    <w:rsid w:val="00C938CF"/>
    <w:rsid w:val="00C94053"/>
    <w:rsid w:val="00C9624D"/>
    <w:rsid w:val="00C969DA"/>
    <w:rsid w:val="00C96A6E"/>
    <w:rsid w:val="00C96EC2"/>
    <w:rsid w:val="00CA1150"/>
    <w:rsid w:val="00CA14C8"/>
    <w:rsid w:val="00CA1CB8"/>
    <w:rsid w:val="00CA2C77"/>
    <w:rsid w:val="00CA2F0D"/>
    <w:rsid w:val="00CA2F66"/>
    <w:rsid w:val="00CA3924"/>
    <w:rsid w:val="00CA4331"/>
    <w:rsid w:val="00CA444F"/>
    <w:rsid w:val="00CA493A"/>
    <w:rsid w:val="00CA5245"/>
    <w:rsid w:val="00CA5CC3"/>
    <w:rsid w:val="00CA6FC7"/>
    <w:rsid w:val="00CA7146"/>
    <w:rsid w:val="00CA71F4"/>
    <w:rsid w:val="00CA7B09"/>
    <w:rsid w:val="00CB12A5"/>
    <w:rsid w:val="00CB1CAC"/>
    <w:rsid w:val="00CB1EA4"/>
    <w:rsid w:val="00CB2F2A"/>
    <w:rsid w:val="00CB5B1A"/>
    <w:rsid w:val="00CB5DD6"/>
    <w:rsid w:val="00CB6129"/>
    <w:rsid w:val="00CB67DF"/>
    <w:rsid w:val="00CB6B22"/>
    <w:rsid w:val="00CB7922"/>
    <w:rsid w:val="00CB7D89"/>
    <w:rsid w:val="00CB7E37"/>
    <w:rsid w:val="00CB7F5F"/>
    <w:rsid w:val="00CC021A"/>
    <w:rsid w:val="00CC024D"/>
    <w:rsid w:val="00CC0588"/>
    <w:rsid w:val="00CC1B39"/>
    <w:rsid w:val="00CC1D1A"/>
    <w:rsid w:val="00CC35EA"/>
    <w:rsid w:val="00CC3848"/>
    <w:rsid w:val="00CC495E"/>
    <w:rsid w:val="00CC5A22"/>
    <w:rsid w:val="00CC6DF0"/>
    <w:rsid w:val="00CC777D"/>
    <w:rsid w:val="00CC78D4"/>
    <w:rsid w:val="00CD15EA"/>
    <w:rsid w:val="00CD3E13"/>
    <w:rsid w:val="00CD3F77"/>
    <w:rsid w:val="00CD648B"/>
    <w:rsid w:val="00CD6ADC"/>
    <w:rsid w:val="00CD6B36"/>
    <w:rsid w:val="00CD7193"/>
    <w:rsid w:val="00CD74DB"/>
    <w:rsid w:val="00CE015D"/>
    <w:rsid w:val="00CE01ED"/>
    <w:rsid w:val="00CE0646"/>
    <w:rsid w:val="00CE26D1"/>
    <w:rsid w:val="00CE2E9C"/>
    <w:rsid w:val="00CE2EFE"/>
    <w:rsid w:val="00CE2F35"/>
    <w:rsid w:val="00CE38C8"/>
    <w:rsid w:val="00CE404B"/>
    <w:rsid w:val="00CE6274"/>
    <w:rsid w:val="00CE6B3E"/>
    <w:rsid w:val="00CE77B6"/>
    <w:rsid w:val="00CF0A81"/>
    <w:rsid w:val="00CF2584"/>
    <w:rsid w:val="00CF296D"/>
    <w:rsid w:val="00CF2B8D"/>
    <w:rsid w:val="00CF327D"/>
    <w:rsid w:val="00CF34B6"/>
    <w:rsid w:val="00CF456B"/>
    <w:rsid w:val="00CF544E"/>
    <w:rsid w:val="00CF578A"/>
    <w:rsid w:val="00CF5A22"/>
    <w:rsid w:val="00CF5DD9"/>
    <w:rsid w:val="00CF6CDB"/>
    <w:rsid w:val="00CF7E14"/>
    <w:rsid w:val="00CF7E3F"/>
    <w:rsid w:val="00D00E6D"/>
    <w:rsid w:val="00D01271"/>
    <w:rsid w:val="00D01CE8"/>
    <w:rsid w:val="00D0262E"/>
    <w:rsid w:val="00D027F4"/>
    <w:rsid w:val="00D02816"/>
    <w:rsid w:val="00D02A90"/>
    <w:rsid w:val="00D02F7D"/>
    <w:rsid w:val="00D03A2D"/>
    <w:rsid w:val="00D0586E"/>
    <w:rsid w:val="00D05E3D"/>
    <w:rsid w:val="00D060F6"/>
    <w:rsid w:val="00D06139"/>
    <w:rsid w:val="00D06579"/>
    <w:rsid w:val="00D06BE6"/>
    <w:rsid w:val="00D100F2"/>
    <w:rsid w:val="00D110BD"/>
    <w:rsid w:val="00D13675"/>
    <w:rsid w:val="00D13A1E"/>
    <w:rsid w:val="00D141E1"/>
    <w:rsid w:val="00D148FA"/>
    <w:rsid w:val="00D14D25"/>
    <w:rsid w:val="00D15314"/>
    <w:rsid w:val="00D15806"/>
    <w:rsid w:val="00D158AC"/>
    <w:rsid w:val="00D15EDF"/>
    <w:rsid w:val="00D17C0E"/>
    <w:rsid w:val="00D17CC3"/>
    <w:rsid w:val="00D17D6C"/>
    <w:rsid w:val="00D21519"/>
    <w:rsid w:val="00D2155B"/>
    <w:rsid w:val="00D2174D"/>
    <w:rsid w:val="00D228C5"/>
    <w:rsid w:val="00D22F46"/>
    <w:rsid w:val="00D230F8"/>
    <w:rsid w:val="00D23C3C"/>
    <w:rsid w:val="00D23C51"/>
    <w:rsid w:val="00D23D11"/>
    <w:rsid w:val="00D23F61"/>
    <w:rsid w:val="00D244B6"/>
    <w:rsid w:val="00D24C1F"/>
    <w:rsid w:val="00D24F40"/>
    <w:rsid w:val="00D2539A"/>
    <w:rsid w:val="00D25B29"/>
    <w:rsid w:val="00D2725A"/>
    <w:rsid w:val="00D2754D"/>
    <w:rsid w:val="00D27B27"/>
    <w:rsid w:val="00D306AB"/>
    <w:rsid w:val="00D30C5C"/>
    <w:rsid w:val="00D33645"/>
    <w:rsid w:val="00D336A6"/>
    <w:rsid w:val="00D33939"/>
    <w:rsid w:val="00D33BE9"/>
    <w:rsid w:val="00D33F93"/>
    <w:rsid w:val="00D351EE"/>
    <w:rsid w:val="00D357FF"/>
    <w:rsid w:val="00D35E6D"/>
    <w:rsid w:val="00D35EE7"/>
    <w:rsid w:val="00D36203"/>
    <w:rsid w:val="00D367B3"/>
    <w:rsid w:val="00D36B63"/>
    <w:rsid w:val="00D36C14"/>
    <w:rsid w:val="00D36EA7"/>
    <w:rsid w:val="00D37E54"/>
    <w:rsid w:val="00D405CD"/>
    <w:rsid w:val="00D4115D"/>
    <w:rsid w:val="00D41D67"/>
    <w:rsid w:val="00D41F81"/>
    <w:rsid w:val="00D424C7"/>
    <w:rsid w:val="00D43B2A"/>
    <w:rsid w:val="00D43C06"/>
    <w:rsid w:val="00D43D83"/>
    <w:rsid w:val="00D450C8"/>
    <w:rsid w:val="00D45DFC"/>
    <w:rsid w:val="00D471ED"/>
    <w:rsid w:val="00D47575"/>
    <w:rsid w:val="00D5243B"/>
    <w:rsid w:val="00D52678"/>
    <w:rsid w:val="00D5278E"/>
    <w:rsid w:val="00D533EC"/>
    <w:rsid w:val="00D55738"/>
    <w:rsid w:val="00D55851"/>
    <w:rsid w:val="00D56A95"/>
    <w:rsid w:val="00D6114D"/>
    <w:rsid w:val="00D613FD"/>
    <w:rsid w:val="00D61CEC"/>
    <w:rsid w:val="00D628A0"/>
    <w:rsid w:val="00D629A9"/>
    <w:rsid w:val="00D63E61"/>
    <w:rsid w:val="00D64C5C"/>
    <w:rsid w:val="00D65621"/>
    <w:rsid w:val="00D65E34"/>
    <w:rsid w:val="00D664AC"/>
    <w:rsid w:val="00D66B53"/>
    <w:rsid w:val="00D67170"/>
    <w:rsid w:val="00D67C23"/>
    <w:rsid w:val="00D70F16"/>
    <w:rsid w:val="00D72740"/>
    <w:rsid w:val="00D72980"/>
    <w:rsid w:val="00D72A97"/>
    <w:rsid w:val="00D72F57"/>
    <w:rsid w:val="00D7329F"/>
    <w:rsid w:val="00D73509"/>
    <w:rsid w:val="00D7418E"/>
    <w:rsid w:val="00D74DAC"/>
    <w:rsid w:val="00D74FE8"/>
    <w:rsid w:val="00D75738"/>
    <w:rsid w:val="00D76A44"/>
    <w:rsid w:val="00D805C5"/>
    <w:rsid w:val="00D80606"/>
    <w:rsid w:val="00D815EF"/>
    <w:rsid w:val="00D81F26"/>
    <w:rsid w:val="00D8340C"/>
    <w:rsid w:val="00D84CBD"/>
    <w:rsid w:val="00D84F41"/>
    <w:rsid w:val="00D85D15"/>
    <w:rsid w:val="00D86231"/>
    <w:rsid w:val="00D8640E"/>
    <w:rsid w:val="00D87535"/>
    <w:rsid w:val="00D90394"/>
    <w:rsid w:val="00D903D1"/>
    <w:rsid w:val="00D906AE"/>
    <w:rsid w:val="00D907E6"/>
    <w:rsid w:val="00D90D32"/>
    <w:rsid w:val="00D917B6"/>
    <w:rsid w:val="00D91923"/>
    <w:rsid w:val="00D91A9D"/>
    <w:rsid w:val="00D92526"/>
    <w:rsid w:val="00D92ACB"/>
    <w:rsid w:val="00D93753"/>
    <w:rsid w:val="00D94158"/>
    <w:rsid w:val="00D95F76"/>
    <w:rsid w:val="00D961E3"/>
    <w:rsid w:val="00D962E9"/>
    <w:rsid w:val="00D96909"/>
    <w:rsid w:val="00DA0613"/>
    <w:rsid w:val="00DA0AD0"/>
    <w:rsid w:val="00DA0CDD"/>
    <w:rsid w:val="00DA12AC"/>
    <w:rsid w:val="00DA12D0"/>
    <w:rsid w:val="00DA1F75"/>
    <w:rsid w:val="00DA3167"/>
    <w:rsid w:val="00DA4589"/>
    <w:rsid w:val="00DA4DC3"/>
    <w:rsid w:val="00DA52A8"/>
    <w:rsid w:val="00DA6865"/>
    <w:rsid w:val="00DA77A5"/>
    <w:rsid w:val="00DB04A1"/>
    <w:rsid w:val="00DB3DBF"/>
    <w:rsid w:val="00DB484F"/>
    <w:rsid w:val="00DB4998"/>
    <w:rsid w:val="00DB4AED"/>
    <w:rsid w:val="00DB6992"/>
    <w:rsid w:val="00DB7343"/>
    <w:rsid w:val="00DB7C67"/>
    <w:rsid w:val="00DC032B"/>
    <w:rsid w:val="00DC04F6"/>
    <w:rsid w:val="00DC0690"/>
    <w:rsid w:val="00DC1D65"/>
    <w:rsid w:val="00DC1EE6"/>
    <w:rsid w:val="00DC2F7F"/>
    <w:rsid w:val="00DC3C57"/>
    <w:rsid w:val="00DC5501"/>
    <w:rsid w:val="00DC56CD"/>
    <w:rsid w:val="00DC7154"/>
    <w:rsid w:val="00DC725E"/>
    <w:rsid w:val="00DC7A46"/>
    <w:rsid w:val="00DC7D98"/>
    <w:rsid w:val="00DC7E8A"/>
    <w:rsid w:val="00DD0F78"/>
    <w:rsid w:val="00DD273C"/>
    <w:rsid w:val="00DD3F28"/>
    <w:rsid w:val="00DD4142"/>
    <w:rsid w:val="00DD4537"/>
    <w:rsid w:val="00DD4835"/>
    <w:rsid w:val="00DD4D2A"/>
    <w:rsid w:val="00DD4E15"/>
    <w:rsid w:val="00DD5069"/>
    <w:rsid w:val="00DD53CD"/>
    <w:rsid w:val="00DD542B"/>
    <w:rsid w:val="00DD6205"/>
    <w:rsid w:val="00DD7357"/>
    <w:rsid w:val="00DD7749"/>
    <w:rsid w:val="00DE019A"/>
    <w:rsid w:val="00DE034E"/>
    <w:rsid w:val="00DE0FFE"/>
    <w:rsid w:val="00DE102E"/>
    <w:rsid w:val="00DE2304"/>
    <w:rsid w:val="00DE2602"/>
    <w:rsid w:val="00DE275E"/>
    <w:rsid w:val="00DE2A6F"/>
    <w:rsid w:val="00DE3138"/>
    <w:rsid w:val="00DE37F8"/>
    <w:rsid w:val="00DE3EB1"/>
    <w:rsid w:val="00DE4FCB"/>
    <w:rsid w:val="00DE58EE"/>
    <w:rsid w:val="00DE5D07"/>
    <w:rsid w:val="00DE72A7"/>
    <w:rsid w:val="00DE7832"/>
    <w:rsid w:val="00DF05D6"/>
    <w:rsid w:val="00DF0DB5"/>
    <w:rsid w:val="00DF18FC"/>
    <w:rsid w:val="00DF194F"/>
    <w:rsid w:val="00DF1CBE"/>
    <w:rsid w:val="00DF2184"/>
    <w:rsid w:val="00DF2C15"/>
    <w:rsid w:val="00DF3C36"/>
    <w:rsid w:val="00DF3EEA"/>
    <w:rsid w:val="00DF58CF"/>
    <w:rsid w:val="00DF5D2B"/>
    <w:rsid w:val="00DF6077"/>
    <w:rsid w:val="00E00292"/>
    <w:rsid w:val="00E00E8E"/>
    <w:rsid w:val="00E0108A"/>
    <w:rsid w:val="00E01144"/>
    <w:rsid w:val="00E01407"/>
    <w:rsid w:val="00E01AD1"/>
    <w:rsid w:val="00E02C7A"/>
    <w:rsid w:val="00E02DA0"/>
    <w:rsid w:val="00E04578"/>
    <w:rsid w:val="00E04F59"/>
    <w:rsid w:val="00E04F63"/>
    <w:rsid w:val="00E05630"/>
    <w:rsid w:val="00E06DBB"/>
    <w:rsid w:val="00E07310"/>
    <w:rsid w:val="00E077AF"/>
    <w:rsid w:val="00E07BFF"/>
    <w:rsid w:val="00E10149"/>
    <w:rsid w:val="00E11340"/>
    <w:rsid w:val="00E11494"/>
    <w:rsid w:val="00E11957"/>
    <w:rsid w:val="00E119F4"/>
    <w:rsid w:val="00E122A1"/>
    <w:rsid w:val="00E13438"/>
    <w:rsid w:val="00E13883"/>
    <w:rsid w:val="00E1541D"/>
    <w:rsid w:val="00E15C8C"/>
    <w:rsid w:val="00E15FA0"/>
    <w:rsid w:val="00E16372"/>
    <w:rsid w:val="00E17488"/>
    <w:rsid w:val="00E17B42"/>
    <w:rsid w:val="00E2077F"/>
    <w:rsid w:val="00E20E4D"/>
    <w:rsid w:val="00E20ED6"/>
    <w:rsid w:val="00E2103C"/>
    <w:rsid w:val="00E210D2"/>
    <w:rsid w:val="00E21358"/>
    <w:rsid w:val="00E2169A"/>
    <w:rsid w:val="00E21F6E"/>
    <w:rsid w:val="00E22149"/>
    <w:rsid w:val="00E2233A"/>
    <w:rsid w:val="00E2235D"/>
    <w:rsid w:val="00E2249B"/>
    <w:rsid w:val="00E22516"/>
    <w:rsid w:val="00E22A0D"/>
    <w:rsid w:val="00E244F6"/>
    <w:rsid w:val="00E2499D"/>
    <w:rsid w:val="00E24CD6"/>
    <w:rsid w:val="00E26B9C"/>
    <w:rsid w:val="00E2746F"/>
    <w:rsid w:val="00E274F6"/>
    <w:rsid w:val="00E27508"/>
    <w:rsid w:val="00E27528"/>
    <w:rsid w:val="00E276E9"/>
    <w:rsid w:val="00E2771E"/>
    <w:rsid w:val="00E30AB0"/>
    <w:rsid w:val="00E30B8C"/>
    <w:rsid w:val="00E311EF"/>
    <w:rsid w:val="00E315CC"/>
    <w:rsid w:val="00E32180"/>
    <w:rsid w:val="00E326A3"/>
    <w:rsid w:val="00E33076"/>
    <w:rsid w:val="00E34948"/>
    <w:rsid w:val="00E36C0A"/>
    <w:rsid w:val="00E36D64"/>
    <w:rsid w:val="00E37569"/>
    <w:rsid w:val="00E401B2"/>
    <w:rsid w:val="00E40A2C"/>
    <w:rsid w:val="00E4145F"/>
    <w:rsid w:val="00E41DFE"/>
    <w:rsid w:val="00E41E30"/>
    <w:rsid w:val="00E42734"/>
    <w:rsid w:val="00E42F73"/>
    <w:rsid w:val="00E43B7D"/>
    <w:rsid w:val="00E43D70"/>
    <w:rsid w:val="00E4582A"/>
    <w:rsid w:val="00E466F3"/>
    <w:rsid w:val="00E47119"/>
    <w:rsid w:val="00E472BF"/>
    <w:rsid w:val="00E473DC"/>
    <w:rsid w:val="00E47B2C"/>
    <w:rsid w:val="00E47D78"/>
    <w:rsid w:val="00E51560"/>
    <w:rsid w:val="00E51791"/>
    <w:rsid w:val="00E51CBE"/>
    <w:rsid w:val="00E51DC4"/>
    <w:rsid w:val="00E52635"/>
    <w:rsid w:val="00E53EE1"/>
    <w:rsid w:val="00E53F2E"/>
    <w:rsid w:val="00E53FC8"/>
    <w:rsid w:val="00E5413A"/>
    <w:rsid w:val="00E54347"/>
    <w:rsid w:val="00E5445F"/>
    <w:rsid w:val="00E55424"/>
    <w:rsid w:val="00E5586C"/>
    <w:rsid w:val="00E55915"/>
    <w:rsid w:val="00E559F3"/>
    <w:rsid w:val="00E55BB5"/>
    <w:rsid w:val="00E606E2"/>
    <w:rsid w:val="00E6171F"/>
    <w:rsid w:val="00E62497"/>
    <w:rsid w:val="00E630DF"/>
    <w:rsid w:val="00E63B0F"/>
    <w:rsid w:val="00E65E79"/>
    <w:rsid w:val="00E6653C"/>
    <w:rsid w:val="00E66BA2"/>
    <w:rsid w:val="00E6713E"/>
    <w:rsid w:val="00E67416"/>
    <w:rsid w:val="00E67573"/>
    <w:rsid w:val="00E71684"/>
    <w:rsid w:val="00E718B6"/>
    <w:rsid w:val="00E72018"/>
    <w:rsid w:val="00E723BA"/>
    <w:rsid w:val="00E725CB"/>
    <w:rsid w:val="00E7326E"/>
    <w:rsid w:val="00E73581"/>
    <w:rsid w:val="00E73CF7"/>
    <w:rsid w:val="00E744F2"/>
    <w:rsid w:val="00E74B70"/>
    <w:rsid w:val="00E74D18"/>
    <w:rsid w:val="00E77292"/>
    <w:rsid w:val="00E8021F"/>
    <w:rsid w:val="00E808F6"/>
    <w:rsid w:val="00E80ADF"/>
    <w:rsid w:val="00E8161D"/>
    <w:rsid w:val="00E8197B"/>
    <w:rsid w:val="00E833F7"/>
    <w:rsid w:val="00E83BDF"/>
    <w:rsid w:val="00E848FC"/>
    <w:rsid w:val="00E8503B"/>
    <w:rsid w:val="00E859F0"/>
    <w:rsid w:val="00E87A1D"/>
    <w:rsid w:val="00E87B8A"/>
    <w:rsid w:val="00E9094A"/>
    <w:rsid w:val="00E913E5"/>
    <w:rsid w:val="00E91D35"/>
    <w:rsid w:val="00E92339"/>
    <w:rsid w:val="00E926A5"/>
    <w:rsid w:val="00E950D7"/>
    <w:rsid w:val="00E95898"/>
    <w:rsid w:val="00E95B2D"/>
    <w:rsid w:val="00E968A3"/>
    <w:rsid w:val="00E96B1E"/>
    <w:rsid w:val="00E96B24"/>
    <w:rsid w:val="00E97D1E"/>
    <w:rsid w:val="00EA0A61"/>
    <w:rsid w:val="00EA17C3"/>
    <w:rsid w:val="00EA1A61"/>
    <w:rsid w:val="00EA2CAA"/>
    <w:rsid w:val="00EA3864"/>
    <w:rsid w:val="00EA4412"/>
    <w:rsid w:val="00EA4824"/>
    <w:rsid w:val="00EA482F"/>
    <w:rsid w:val="00EA5E1E"/>
    <w:rsid w:val="00EA6312"/>
    <w:rsid w:val="00EA7F1C"/>
    <w:rsid w:val="00EB0DE3"/>
    <w:rsid w:val="00EB15B6"/>
    <w:rsid w:val="00EB1990"/>
    <w:rsid w:val="00EB252D"/>
    <w:rsid w:val="00EB2E05"/>
    <w:rsid w:val="00EB3417"/>
    <w:rsid w:val="00EB3D06"/>
    <w:rsid w:val="00EB48C2"/>
    <w:rsid w:val="00EB4916"/>
    <w:rsid w:val="00EB5795"/>
    <w:rsid w:val="00EB58D7"/>
    <w:rsid w:val="00EB5BB9"/>
    <w:rsid w:val="00EB5C23"/>
    <w:rsid w:val="00EB754A"/>
    <w:rsid w:val="00EC00C9"/>
    <w:rsid w:val="00EC0861"/>
    <w:rsid w:val="00EC0DD9"/>
    <w:rsid w:val="00EC133F"/>
    <w:rsid w:val="00EC156A"/>
    <w:rsid w:val="00EC1610"/>
    <w:rsid w:val="00EC2649"/>
    <w:rsid w:val="00EC31ED"/>
    <w:rsid w:val="00EC3C75"/>
    <w:rsid w:val="00EC5836"/>
    <w:rsid w:val="00EC66A7"/>
    <w:rsid w:val="00EC688C"/>
    <w:rsid w:val="00EC70EC"/>
    <w:rsid w:val="00EC7E72"/>
    <w:rsid w:val="00ED0A67"/>
    <w:rsid w:val="00ED16A4"/>
    <w:rsid w:val="00ED1E2A"/>
    <w:rsid w:val="00ED21F1"/>
    <w:rsid w:val="00ED2804"/>
    <w:rsid w:val="00ED426A"/>
    <w:rsid w:val="00ED4B19"/>
    <w:rsid w:val="00ED57EA"/>
    <w:rsid w:val="00ED5927"/>
    <w:rsid w:val="00ED5BD4"/>
    <w:rsid w:val="00ED637B"/>
    <w:rsid w:val="00ED6EDF"/>
    <w:rsid w:val="00ED764F"/>
    <w:rsid w:val="00EE07D3"/>
    <w:rsid w:val="00EE0D90"/>
    <w:rsid w:val="00EE1996"/>
    <w:rsid w:val="00EE1C01"/>
    <w:rsid w:val="00EE22AF"/>
    <w:rsid w:val="00EE29EE"/>
    <w:rsid w:val="00EE2AAD"/>
    <w:rsid w:val="00EE5C5F"/>
    <w:rsid w:val="00EE5F8A"/>
    <w:rsid w:val="00EE698A"/>
    <w:rsid w:val="00EE7206"/>
    <w:rsid w:val="00EE774D"/>
    <w:rsid w:val="00EF0171"/>
    <w:rsid w:val="00EF03CD"/>
    <w:rsid w:val="00EF0A98"/>
    <w:rsid w:val="00EF1B25"/>
    <w:rsid w:val="00EF1D60"/>
    <w:rsid w:val="00EF1DA0"/>
    <w:rsid w:val="00EF2AB8"/>
    <w:rsid w:val="00EF311F"/>
    <w:rsid w:val="00EF3759"/>
    <w:rsid w:val="00EF463F"/>
    <w:rsid w:val="00EF4747"/>
    <w:rsid w:val="00EF4BF8"/>
    <w:rsid w:val="00EF6490"/>
    <w:rsid w:val="00EF7EEF"/>
    <w:rsid w:val="00F006F7"/>
    <w:rsid w:val="00F01452"/>
    <w:rsid w:val="00F02070"/>
    <w:rsid w:val="00F02253"/>
    <w:rsid w:val="00F033E5"/>
    <w:rsid w:val="00F03C2E"/>
    <w:rsid w:val="00F04627"/>
    <w:rsid w:val="00F04A66"/>
    <w:rsid w:val="00F04B4B"/>
    <w:rsid w:val="00F0516C"/>
    <w:rsid w:val="00F055CD"/>
    <w:rsid w:val="00F067A2"/>
    <w:rsid w:val="00F07B9E"/>
    <w:rsid w:val="00F10FFC"/>
    <w:rsid w:val="00F1116F"/>
    <w:rsid w:val="00F118F8"/>
    <w:rsid w:val="00F119C7"/>
    <w:rsid w:val="00F1217F"/>
    <w:rsid w:val="00F1239B"/>
    <w:rsid w:val="00F12560"/>
    <w:rsid w:val="00F1263A"/>
    <w:rsid w:val="00F139FB"/>
    <w:rsid w:val="00F149AE"/>
    <w:rsid w:val="00F15B77"/>
    <w:rsid w:val="00F1619B"/>
    <w:rsid w:val="00F16251"/>
    <w:rsid w:val="00F1679E"/>
    <w:rsid w:val="00F16F29"/>
    <w:rsid w:val="00F17219"/>
    <w:rsid w:val="00F175BF"/>
    <w:rsid w:val="00F20CAE"/>
    <w:rsid w:val="00F21C7A"/>
    <w:rsid w:val="00F22114"/>
    <w:rsid w:val="00F2247C"/>
    <w:rsid w:val="00F225B8"/>
    <w:rsid w:val="00F22780"/>
    <w:rsid w:val="00F227EF"/>
    <w:rsid w:val="00F234C7"/>
    <w:rsid w:val="00F235C8"/>
    <w:rsid w:val="00F237D6"/>
    <w:rsid w:val="00F23E4E"/>
    <w:rsid w:val="00F2403E"/>
    <w:rsid w:val="00F244DE"/>
    <w:rsid w:val="00F24646"/>
    <w:rsid w:val="00F24684"/>
    <w:rsid w:val="00F24837"/>
    <w:rsid w:val="00F24DC8"/>
    <w:rsid w:val="00F2575F"/>
    <w:rsid w:val="00F25A93"/>
    <w:rsid w:val="00F26523"/>
    <w:rsid w:val="00F27565"/>
    <w:rsid w:val="00F30904"/>
    <w:rsid w:val="00F310D4"/>
    <w:rsid w:val="00F311E8"/>
    <w:rsid w:val="00F312E2"/>
    <w:rsid w:val="00F31D5A"/>
    <w:rsid w:val="00F328F7"/>
    <w:rsid w:val="00F329A0"/>
    <w:rsid w:val="00F3383C"/>
    <w:rsid w:val="00F33975"/>
    <w:rsid w:val="00F33DE9"/>
    <w:rsid w:val="00F34B38"/>
    <w:rsid w:val="00F35560"/>
    <w:rsid w:val="00F35E6D"/>
    <w:rsid w:val="00F3619A"/>
    <w:rsid w:val="00F368FC"/>
    <w:rsid w:val="00F404DA"/>
    <w:rsid w:val="00F406F6"/>
    <w:rsid w:val="00F40AAA"/>
    <w:rsid w:val="00F40BA7"/>
    <w:rsid w:val="00F40F9D"/>
    <w:rsid w:val="00F4142A"/>
    <w:rsid w:val="00F4191C"/>
    <w:rsid w:val="00F41ACD"/>
    <w:rsid w:val="00F4227C"/>
    <w:rsid w:val="00F425C0"/>
    <w:rsid w:val="00F42901"/>
    <w:rsid w:val="00F43B1D"/>
    <w:rsid w:val="00F43C1F"/>
    <w:rsid w:val="00F43D89"/>
    <w:rsid w:val="00F44308"/>
    <w:rsid w:val="00F44542"/>
    <w:rsid w:val="00F44F3C"/>
    <w:rsid w:val="00F45924"/>
    <w:rsid w:val="00F45A7A"/>
    <w:rsid w:val="00F46CB6"/>
    <w:rsid w:val="00F4756D"/>
    <w:rsid w:val="00F47DE8"/>
    <w:rsid w:val="00F5163C"/>
    <w:rsid w:val="00F51CED"/>
    <w:rsid w:val="00F51D76"/>
    <w:rsid w:val="00F51EFE"/>
    <w:rsid w:val="00F53AB9"/>
    <w:rsid w:val="00F542C1"/>
    <w:rsid w:val="00F55BDE"/>
    <w:rsid w:val="00F55E73"/>
    <w:rsid w:val="00F55EDA"/>
    <w:rsid w:val="00F56C80"/>
    <w:rsid w:val="00F573EC"/>
    <w:rsid w:val="00F57ACC"/>
    <w:rsid w:val="00F60092"/>
    <w:rsid w:val="00F60870"/>
    <w:rsid w:val="00F61935"/>
    <w:rsid w:val="00F61C18"/>
    <w:rsid w:val="00F61D6B"/>
    <w:rsid w:val="00F61E77"/>
    <w:rsid w:val="00F64097"/>
    <w:rsid w:val="00F646D2"/>
    <w:rsid w:val="00F652EE"/>
    <w:rsid w:val="00F65F38"/>
    <w:rsid w:val="00F65F4B"/>
    <w:rsid w:val="00F664B2"/>
    <w:rsid w:val="00F6706E"/>
    <w:rsid w:val="00F67A69"/>
    <w:rsid w:val="00F700DC"/>
    <w:rsid w:val="00F70BFF"/>
    <w:rsid w:val="00F70C9D"/>
    <w:rsid w:val="00F715ED"/>
    <w:rsid w:val="00F725CE"/>
    <w:rsid w:val="00F74AD4"/>
    <w:rsid w:val="00F74CD9"/>
    <w:rsid w:val="00F76470"/>
    <w:rsid w:val="00F76501"/>
    <w:rsid w:val="00F76761"/>
    <w:rsid w:val="00F76857"/>
    <w:rsid w:val="00F76B52"/>
    <w:rsid w:val="00F809E7"/>
    <w:rsid w:val="00F80A3E"/>
    <w:rsid w:val="00F80A7B"/>
    <w:rsid w:val="00F80C18"/>
    <w:rsid w:val="00F80E5D"/>
    <w:rsid w:val="00F813FC"/>
    <w:rsid w:val="00F818E8"/>
    <w:rsid w:val="00F81E19"/>
    <w:rsid w:val="00F81E78"/>
    <w:rsid w:val="00F8498C"/>
    <w:rsid w:val="00F851CE"/>
    <w:rsid w:val="00F85D6C"/>
    <w:rsid w:val="00F85F0B"/>
    <w:rsid w:val="00F86265"/>
    <w:rsid w:val="00F86C56"/>
    <w:rsid w:val="00F875C6"/>
    <w:rsid w:val="00F876E4"/>
    <w:rsid w:val="00F91219"/>
    <w:rsid w:val="00F91CBF"/>
    <w:rsid w:val="00F92444"/>
    <w:rsid w:val="00F93643"/>
    <w:rsid w:val="00F9393E"/>
    <w:rsid w:val="00F95332"/>
    <w:rsid w:val="00F955CA"/>
    <w:rsid w:val="00F96FD0"/>
    <w:rsid w:val="00F97A78"/>
    <w:rsid w:val="00FA0B20"/>
    <w:rsid w:val="00FA1773"/>
    <w:rsid w:val="00FA24E7"/>
    <w:rsid w:val="00FA2B83"/>
    <w:rsid w:val="00FA30F7"/>
    <w:rsid w:val="00FA323B"/>
    <w:rsid w:val="00FA44CC"/>
    <w:rsid w:val="00FA4919"/>
    <w:rsid w:val="00FA5EE6"/>
    <w:rsid w:val="00FA61FA"/>
    <w:rsid w:val="00FA6337"/>
    <w:rsid w:val="00FA6AE7"/>
    <w:rsid w:val="00FA76AD"/>
    <w:rsid w:val="00FA7956"/>
    <w:rsid w:val="00FB1C38"/>
    <w:rsid w:val="00FB2A45"/>
    <w:rsid w:val="00FB2FCB"/>
    <w:rsid w:val="00FB3867"/>
    <w:rsid w:val="00FB5975"/>
    <w:rsid w:val="00FB6DE3"/>
    <w:rsid w:val="00FB7808"/>
    <w:rsid w:val="00FB7C55"/>
    <w:rsid w:val="00FC0342"/>
    <w:rsid w:val="00FC1074"/>
    <w:rsid w:val="00FC1884"/>
    <w:rsid w:val="00FC18FA"/>
    <w:rsid w:val="00FC371D"/>
    <w:rsid w:val="00FC3C46"/>
    <w:rsid w:val="00FC5F0B"/>
    <w:rsid w:val="00FC5FE3"/>
    <w:rsid w:val="00FC63E4"/>
    <w:rsid w:val="00FC6929"/>
    <w:rsid w:val="00FC7355"/>
    <w:rsid w:val="00FC762A"/>
    <w:rsid w:val="00FC7CDF"/>
    <w:rsid w:val="00FD13D9"/>
    <w:rsid w:val="00FD178F"/>
    <w:rsid w:val="00FD2100"/>
    <w:rsid w:val="00FD434A"/>
    <w:rsid w:val="00FD436C"/>
    <w:rsid w:val="00FD446D"/>
    <w:rsid w:val="00FD46C8"/>
    <w:rsid w:val="00FD4BD2"/>
    <w:rsid w:val="00FD4C43"/>
    <w:rsid w:val="00FD4F2C"/>
    <w:rsid w:val="00FD5104"/>
    <w:rsid w:val="00FD6394"/>
    <w:rsid w:val="00FE0E6C"/>
    <w:rsid w:val="00FE0F9E"/>
    <w:rsid w:val="00FE1293"/>
    <w:rsid w:val="00FE1944"/>
    <w:rsid w:val="00FE1CDC"/>
    <w:rsid w:val="00FE1F32"/>
    <w:rsid w:val="00FE21FF"/>
    <w:rsid w:val="00FE3C63"/>
    <w:rsid w:val="00FE4611"/>
    <w:rsid w:val="00FE48AC"/>
    <w:rsid w:val="00FE7020"/>
    <w:rsid w:val="00FE70C3"/>
    <w:rsid w:val="00FE7362"/>
    <w:rsid w:val="00FE7A5C"/>
    <w:rsid w:val="00FF0525"/>
    <w:rsid w:val="00FF0EEB"/>
    <w:rsid w:val="00FF14B3"/>
    <w:rsid w:val="00FF2AD9"/>
    <w:rsid w:val="00FF359F"/>
    <w:rsid w:val="00FF3D97"/>
    <w:rsid w:val="00FF3DC5"/>
    <w:rsid w:val="00FF3DCF"/>
    <w:rsid w:val="00FF492C"/>
    <w:rsid w:val="00FF4980"/>
    <w:rsid w:val="00FF4A21"/>
    <w:rsid w:val="00FF4BD1"/>
    <w:rsid w:val="00FF4C3C"/>
    <w:rsid w:val="00FF5AA3"/>
    <w:rsid w:val="00FF5AD8"/>
    <w:rsid w:val="00FF62E6"/>
    <w:rsid w:val="00FF6FC0"/>
    <w:rsid w:val="00FF7550"/>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1"/>
    <w:lsdException w:name="heading 7" w:semiHidden="1" w:unhideWhenUsed="1"/>
    <w:lsdException w:name="heading 8" w:semiHidden="1" w:uiPriority="7"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nhideWhenUsed="1" w:qFormat="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40A2C"/>
    <w:pPr>
      <w:jc w:val="both"/>
    </w:pPr>
    <w:rPr>
      <w:rFonts w:ascii="Calibri" w:hAnsi="Calibri" w:cs="Arial"/>
      <w:sz w:val="24"/>
      <w:szCs w:val="24"/>
    </w:rPr>
  </w:style>
  <w:style w:type="paragraph" w:styleId="Heading1">
    <w:name w:val="heading 1"/>
    <w:basedOn w:val="Normal"/>
    <w:next w:val="Normal"/>
    <w:uiPriority w:val="1"/>
    <w:rsid w:val="001B204E"/>
    <w:pPr>
      <w:ind w:left="720" w:hanging="720"/>
      <w:outlineLvl w:val="0"/>
    </w:pPr>
    <w:rPr>
      <w:b/>
      <w:caps/>
      <w:sz w:val="32"/>
    </w:rPr>
  </w:style>
  <w:style w:type="paragraph" w:styleId="Heading2">
    <w:name w:val="heading 2"/>
    <w:basedOn w:val="Normal"/>
    <w:next w:val="Normal"/>
    <w:link w:val="Heading2Char"/>
    <w:rsid w:val="001B204E"/>
    <w:pPr>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table" w:styleId="TableGrid">
    <w:name w:val="Table Grid"/>
    <w:aliases w:val="Summary box,Table Gridbeth,CMA Table Template,ASD Table,PBAC table,new style,MSD Table Grid,HTAtableplain,Lash Style Table"/>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5-SubSubSubHead">
    <w:name w:val="5-Sub Sub Sub Head"/>
    <w:basedOn w:val="Heading4"/>
    <w:qFormat/>
    <w:rsid w:val="008621F4"/>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6F408C"/>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customStyle="1" w:styleId="Bulletpoints">
    <w:name w:val="Bullet points"/>
    <w:basedOn w:val="Normal"/>
    <w:rsid w:val="00200EF8"/>
    <w:pPr>
      <w:numPr>
        <w:numId w:val="2"/>
      </w:numPr>
      <w:spacing w:after="120"/>
      <w:contextualSpacing/>
    </w:pPr>
    <w:rPr>
      <w:rFonts w:asciiTheme="minorHAnsi" w:hAnsiTheme="minorHAnsi"/>
      <w:snapToGrid w:val="0"/>
    </w:rPr>
  </w:style>
  <w:style w:type="paragraph" w:styleId="Revision">
    <w:name w:val="Revision"/>
    <w:hidden/>
    <w:uiPriority w:val="99"/>
    <w:semiHidden/>
    <w:rsid w:val="00043C37"/>
    <w:rPr>
      <w:rFonts w:ascii="Arial" w:hAnsi="Arial" w:cs="Arial"/>
      <w:snapToGrid w:val="0"/>
      <w:sz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
    <w:name w:val="Table Text"/>
    <w:link w:val="TableTextChar"/>
    <w:qFormat/>
    <w:rsid w:val="00EE1996"/>
    <w:pPr>
      <w:keepNext/>
    </w:pPr>
    <w:rPr>
      <w:rFonts w:ascii="Arial Narrow" w:eastAsiaTheme="majorEastAsia" w:hAnsi="Arial Narrow" w:cstheme="majorBidi"/>
      <w:bCs/>
      <w:szCs w:val="24"/>
    </w:rPr>
  </w:style>
  <w:style w:type="paragraph" w:customStyle="1" w:styleId="Tableheadingrow">
    <w:name w:val="Table heading row"/>
    <w:qFormat/>
    <w:rsid w:val="00EE1996"/>
    <w:pPr>
      <w:keepNext/>
    </w:pPr>
    <w:rPr>
      <w:rFonts w:ascii="Arial Narrow" w:eastAsiaTheme="majorEastAsia" w:hAnsi="Arial Narrow"/>
      <w:b/>
      <w:szCs w:val="24"/>
      <w:lang w:val="en-US"/>
    </w:rPr>
  </w:style>
  <w:style w:type="paragraph" w:customStyle="1" w:styleId="2-SectionHeading">
    <w:name w:val="2-Section Heading"/>
    <w:qFormat/>
    <w:rsid w:val="00EE1996"/>
    <w:pPr>
      <w:keepNext/>
      <w:numPr>
        <w:numId w:val="4"/>
      </w:numPr>
      <w:spacing w:before="240" w:after="120"/>
      <w:outlineLvl w:val="0"/>
    </w:pPr>
    <w:rPr>
      <w:rFonts w:asciiTheme="minorHAnsi" w:hAnsiTheme="minorHAnsi" w:cs="Arial"/>
      <w:b/>
      <w:snapToGrid w:val="0"/>
      <w:sz w:val="32"/>
      <w:szCs w:val="32"/>
    </w:rPr>
  </w:style>
  <w:style w:type="paragraph" w:customStyle="1" w:styleId="1-MainHeading">
    <w:name w:val="1- Main Heading"/>
    <w:link w:val="1-MainHeadingChar"/>
    <w:qFormat/>
    <w:rsid w:val="00EE1996"/>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 Main Heading Char"/>
    <w:basedOn w:val="DefaultParagraphFont"/>
    <w:link w:val="1-MainHeading"/>
    <w:rsid w:val="00EE1996"/>
    <w:rPr>
      <w:rFonts w:asciiTheme="minorHAnsi" w:eastAsiaTheme="majorEastAsia" w:hAnsiTheme="minorHAnsi" w:cstheme="majorBidi"/>
      <w:b/>
      <w:spacing w:val="5"/>
      <w:kern w:val="28"/>
      <w:sz w:val="36"/>
      <w:szCs w:val="36"/>
    </w:rPr>
  </w:style>
  <w:style w:type="paragraph" w:customStyle="1" w:styleId="TableFigureCaption">
    <w:name w:val="Table/Figure Caption"/>
    <w:next w:val="Tableheadingrow"/>
    <w:link w:val="TableFigureCaptionChar"/>
    <w:qFormat/>
    <w:rsid w:val="005478BD"/>
    <w:pPr>
      <w:keepNext/>
    </w:pPr>
    <w:rPr>
      <w:rFonts w:ascii="Arial Narrow" w:eastAsiaTheme="majorEastAsia" w:hAnsi="Arial Narrow" w:cstheme="majorBidi"/>
      <w:b/>
      <w:bCs/>
      <w:szCs w:val="24"/>
    </w:rPr>
  </w:style>
  <w:style w:type="character" w:customStyle="1" w:styleId="TableFigureCaptionChar">
    <w:name w:val="Table/Figure Caption Char"/>
    <w:basedOn w:val="DefaultParagraphFont"/>
    <w:link w:val="TableFigureCaption"/>
    <w:rsid w:val="005478BD"/>
    <w:rPr>
      <w:rFonts w:ascii="Arial Narrow" w:eastAsiaTheme="majorEastAsia" w:hAnsi="Arial Narrow" w:cstheme="majorBidi"/>
      <w:b/>
      <w:bCs/>
      <w:szCs w:val="24"/>
    </w:rPr>
  </w:style>
  <w:style w:type="paragraph" w:customStyle="1" w:styleId="ExecSumBodyText">
    <w:name w:val="Exec Sum Body Text"/>
    <w:basedOn w:val="Normal"/>
    <w:link w:val="ExecSumBodyTextChar"/>
    <w:qFormat/>
    <w:rsid w:val="00200EF8"/>
    <w:pPr>
      <w:numPr>
        <w:ilvl w:val="1"/>
        <w:numId w:val="4"/>
      </w:numPr>
      <w:spacing w:after="120"/>
    </w:pPr>
    <w:rPr>
      <w:rFonts w:asciiTheme="minorHAnsi" w:hAnsiTheme="minorHAnsi"/>
      <w:snapToGrid w:val="0"/>
    </w:rPr>
  </w:style>
  <w:style w:type="character" w:customStyle="1" w:styleId="ExecSumBodyTextChar">
    <w:name w:val="Exec Sum Body Text Char"/>
    <w:basedOn w:val="DefaultParagraphFont"/>
    <w:link w:val="ExecSumBodyText"/>
    <w:rsid w:val="00200EF8"/>
    <w:rPr>
      <w:rFonts w:asciiTheme="minorHAnsi" w:hAnsiTheme="minorHAnsi" w:cs="Arial"/>
      <w:snapToGrid w:val="0"/>
      <w:sz w:val="24"/>
      <w:szCs w:val="24"/>
    </w:rPr>
  </w:style>
  <w:style w:type="paragraph" w:customStyle="1" w:styleId="TableFigureFooter">
    <w:name w:val="Table/Figure Footer"/>
    <w:basedOn w:val="Normal"/>
    <w:link w:val="TableFigureFooterChar"/>
    <w:qFormat/>
    <w:rsid w:val="00EC5836"/>
    <w:pPr>
      <w:spacing w:after="120"/>
      <w:contextualSpacing/>
    </w:pPr>
    <w:rPr>
      <w:rFonts w:ascii="Arial Narrow" w:hAnsi="Arial Narrow"/>
      <w:snapToGrid w:val="0"/>
      <w:sz w:val="18"/>
      <w:szCs w:val="22"/>
    </w:rPr>
  </w:style>
  <w:style w:type="character" w:customStyle="1" w:styleId="TableFigureFooterChar">
    <w:name w:val="Table/Figure Footer Char"/>
    <w:link w:val="TableFigureFooter"/>
    <w:rsid w:val="00EC5836"/>
    <w:rPr>
      <w:rFonts w:ascii="Arial Narrow" w:hAnsi="Arial Narrow" w:cs="Arial"/>
      <w:snapToGrid w:val="0"/>
      <w:sz w:val="18"/>
      <w:szCs w:val="22"/>
    </w:rPr>
  </w:style>
  <w:style w:type="paragraph" w:customStyle="1" w:styleId="3-SubsectionHeading">
    <w:name w:val="3-Subsection Heading"/>
    <w:basedOn w:val="Heading2"/>
    <w:next w:val="ExecSumBodyText"/>
    <w:link w:val="3-SubsectionHeadingChar"/>
    <w:qFormat/>
    <w:rsid w:val="00EE1996"/>
    <w:pPr>
      <w:keepNext/>
      <w:spacing w:before="120" w:after="120"/>
    </w:pPr>
    <w:rPr>
      <w:rFonts w:asciiTheme="minorHAnsi" w:eastAsiaTheme="majorEastAsia" w:hAnsiTheme="minorHAnsi" w:cstheme="majorBidi"/>
      <w:spacing w:val="5"/>
      <w:kern w:val="28"/>
      <w:szCs w:val="36"/>
    </w:rPr>
  </w:style>
  <w:style w:type="character" w:customStyle="1" w:styleId="3-SubsectionHeadingChar">
    <w:name w:val="3-Subsection Heading Char"/>
    <w:basedOn w:val="Heading2Char"/>
    <w:link w:val="3-SubsectionHeading"/>
    <w:rsid w:val="00EE1996"/>
    <w:rPr>
      <w:rFonts w:asciiTheme="minorHAnsi" w:eastAsiaTheme="majorEastAsia" w:hAnsiTheme="minorHAnsi" w:cstheme="majorBidi"/>
      <w:b/>
      <w:i/>
      <w:snapToGrid/>
      <w:spacing w:val="5"/>
      <w:kern w:val="28"/>
      <w:sz w:val="28"/>
      <w:szCs w:val="36"/>
      <w:lang w:eastAsia="en-US"/>
    </w:rPr>
  </w:style>
  <w:style w:type="paragraph" w:customStyle="1" w:styleId="4-SubsectSubhead">
    <w:name w:val="4-Subsect Subhead"/>
    <w:basedOn w:val="Heading3"/>
    <w:next w:val="ExecSumBodyText"/>
    <w:link w:val="4-SubsectSubheadChar"/>
    <w:qFormat/>
    <w:rsid w:val="008621F4"/>
    <w:pPr>
      <w:keepNext/>
      <w:keepLines/>
      <w:spacing w:before="160" w:after="120"/>
    </w:pPr>
    <w:rPr>
      <w:rFonts w:asciiTheme="minorHAnsi" w:eastAsiaTheme="majorEastAsia" w:hAnsiTheme="minorHAnsi" w:cstheme="majorBidi"/>
      <w:b/>
      <w:color w:val="000000" w:themeColor="text1"/>
      <w:sz w:val="28"/>
      <w:szCs w:val="28"/>
      <w:u w:val="none"/>
    </w:rPr>
  </w:style>
  <w:style w:type="character" w:customStyle="1" w:styleId="4-SubsectSubheadChar">
    <w:name w:val="4-Subsect Subhead Char"/>
    <w:basedOn w:val="DefaultParagraphFont"/>
    <w:link w:val="4-SubsectSubhead"/>
    <w:rsid w:val="008621F4"/>
    <w:rPr>
      <w:rFonts w:asciiTheme="minorHAnsi" w:eastAsiaTheme="majorEastAsia" w:hAnsiTheme="minorHAnsi" w:cstheme="majorBidi"/>
      <w:b/>
      <w:color w:val="000000" w:themeColor="text1"/>
      <w:sz w:val="28"/>
      <w:szCs w:val="28"/>
    </w:rPr>
  </w:style>
  <w:style w:type="paragraph" w:styleId="ListBullet">
    <w:name w:val="List Bullet"/>
    <w:basedOn w:val="Normal"/>
    <w:semiHidden/>
    <w:unhideWhenUsed/>
    <w:rsid w:val="00EE1996"/>
    <w:pPr>
      <w:numPr>
        <w:numId w:val="3"/>
      </w:numPr>
      <w:contextualSpacing/>
    </w:pPr>
  </w:style>
  <w:style w:type="character" w:customStyle="1" w:styleId="TableTextChar">
    <w:name w:val="Table Text Char"/>
    <w:basedOn w:val="DefaultParagraphFont"/>
    <w:link w:val="TableText"/>
    <w:rsid w:val="00EE1996"/>
    <w:rPr>
      <w:rFonts w:ascii="Arial Narrow" w:eastAsiaTheme="majorEastAsia" w:hAnsi="Arial Narrow" w:cstheme="majorBidi"/>
      <w:bCs/>
      <w:szCs w:val="24"/>
    </w:rPr>
  </w:style>
  <w:style w:type="paragraph" w:styleId="Header">
    <w:name w:val="header"/>
    <w:basedOn w:val="Normal"/>
    <w:link w:val="HeaderChar"/>
    <w:unhideWhenUsed/>
    <w:qFormat/>
    <w:rsid w:val="00291455"/>
    <w:pPr>
      <w:tabs>
        <w:tab w:val="center" w:pos="4513"/>
        <w:tab w:val="right" w:pos="9026"/>
      </w:tabs>
    </w:pPr>
  </w:style>
  <w:style w:type="character" w:customStyle="1" w:styleId="HeaderChar">
    <w:name w:val="Header Char"/>
    <w:basedOn w:val="DefaultParagraphFont"/>
    <w:link w:val="Header"/>
    <w:rsid w:val="00291455"/>
    <w:rPr>
      <w:rFonts w:ascii="Calibri" w:hAnsi="Calibri" w:cs="Arial"/>
      <w:sz w:val="24"/>
      <w:szCs w:val="24"/>
    </w:rPr>
  </w:style>
  <w:style w:type="paragraph" w:styleId="Footer">
    <w:name w:val="footer"/>
    <w:basedOn w:val="Normal"/>
    <w:link w:val="FooterChar"/>
    <w:uiPriority w:val="99"/>
    <w:unhideWhenUsed/>
    <w:rsid w:val="00291455"/>
    <w:pPr>
      <w:tabs>
        <w:tab w:val="center" w:pos="4513"/>
        <w:tab w:val="right" w:pos="9026"/>
      </w:tabs>
    </w:pPr>
  </w:style>
  <w:style w:type="character" w:customStyle="1" w:styleId="FooterChar">
    <w:name w:val="Footer Char"/>
    <w:basedOn w:val="DefaultParagraphFont"/>
    <w:link w:val="Footer"/>
    <w:uiPriority w:val="99"/>
    <w:rsid w:val="00291455"/>
    <w:rPr>
      <w:rFonts w:ascii="Calibri" w:hAnsi="Calibri" w:cs="Arial"/>
      <w:sz w:val="24"/>
      <w:szCs w:val="24"/>
    </w:rPr>
  </w:style>
  <w:style w:type="paragraph" w:styleId="ListParagraph">
    <w:name w:val="List Paragraph"/>
    <w:aliases w:val="Numbered para,BulletPoints,Body Text Bullet Points,List Paragraph1,Bullet point,List Paragraph11,Recommendation,Section heading,Footnote,ES Paragraph,PBAC ES Paragraph,PBAC normal points,Bullet List,Figure_name,Numbered Indented Text,lp1"/>
    <w:basedOn w:val="Normal"/>
    <w:link w:val="ListParagraphChar"/>
    <w:uiPriority w:val="34"/>
    <w:qFormat/>
    <w:rsid w:val="00897105"/>
    <w:pPr>
      <w:ind w:left="720"/>
      <w:contextualSpacing/>
    </w:pPr>
  </w:style>
  <w:style w:type="character" w:styleId="CommentReference">
    <w:name w:val="annotation reference"/>
    <w:basedOn w:val="DefaultParagraphFont"/>
    <w:uiPriority w:val="99"/>
    <w:semiHidden/>
    <w:unhideWhenUsed/>
    <w:rsid w:val="000B71D3"/>
    <w:rPr>
      <w:sz w:val="16"/>
      <w:szCs w:val="16"/>
    </w:rPr>
  </w:style>
  <w:style w:type="paragraph" w:styleId="CommentText">
    <w:name w:val="annotation text"/>
    <w:aliases w:val="- H19,Comment Text Char1 Char,Comment Text Char Char Char,Annotationtext,Char, Char,Char1,Char2,list paragraph 2,Comment Text ZS,Comment Text Char Char"/>
    <w:basedOn w:val="Normal"/>
    <w:link w:val="CommentTextChar"/>
    <w:uiPriority w:val="99"/>
    <w:unhideWhenUsed/>
    <w:qFormat/>
    <w:rsid w:val="000B71D3"/>
    <w:rPr>
      <w:sz w:val="20"/>
      <w:szCs w:val="20"/>
    </w:rPr>
  </w:style>
  <w:style w:type="character" w:customStyle="1" w:styleId="CommentTextChar">
    <w:name w:val="Comment Text Char"/>
    <w:aliases w:val="- H19 Char,Comment Text Char1 Char Char,Comment Text Char Char Char Char,Annotationtext Char,Char Char, Char Char,Char1 Char,Char2 Char,list paragraph 2 Char,Comment Text ZS Char,Comment Text Char Char Char1"/>
    <w:basedOn w:val="DefaultParagraphFont"/>
    <w:link w:val="CommentText"/>
    <w:uiPriority w:val="99"/>
    <w:rsid w:val="000B71D3"/>
    <w:rPr>
      <w:rFonts w:ascii="Calibri" w:hAnsi="Calibri" w:cs="Arial"/>
    </w:rPr>
  </w:style>
  <w:style w:type="paragraph" w:styleId="CommentSubject">
    <w:name w:val="annotation subject"/>
    <w:basedOn w:val="CommentText"/>
    <w:next w:val="CommentText"/>
    <w:link w:val="CommentSubjectChar"/>
    <w:semiHidden/>
    <w:unhideWhenUsed/>
    <w:rsid w:val="000B71D3"/>
    <w:rPr>
      <w:b/>
      <w:bCs/>
    </w:rPr>
  </w:style>
  <w:style w:type="character" w:customStyle="1" w:styleId="CommentSubjectChar">
    <w:name w:val="Comment Subject Char"/>
    <w:basedOn w:val="CommentTextChar"/>
    <w:link w:val="CommentSubject"/>
    <w:semiHidden/>
    <w:rsid w:val="000B71D3"/>
    <w:rPr>
      <w:rFonts w:ascii="Calibri" w:hAnsi="Calibri" w:cs="Arial"/>
      <w:b/>
      <w:bCs/>
    </w:rPr>
  </w:style>
  <w:style w:type="paragraph" w:styleId="Subtitle">
    <w:name w:val="Subtitle"/>
    <w:basedOn w:val="Normal"/>
    <w:next w:val="Normal"/>
    <w:link w:val="SubtitleChar"/>
    <w:rsid w:val="00185E2D"/>
    <w:pPr>
      <w:spacing w:after="720" w:line="360" w:lineRule="auto"/>
      <w:jc w:val="right"/>
    </w:pPr>
    <w:rPr>
      <w:rFonts w:asciiTheme="majorHAnsi" w:eastAsiaTheme="majorEastAsia" w:hAnsiTheme="majorHAnsi" w:cstheme="majorBidi"/>
      <w:sz w:val="22"/>
      <w:szCs w:val="22"/>
      <w:lang w:eastAsia="en-US"/>
    </w:rPr>
  </w:style>
  <w:style w:type="character" w:customStyle="1" w:styleId="SubtitleChar">
    <w:name w:val="Subtitle Char"/>
    <w:basedOn w:val="DefaultParagraphFont"/>
    <w:link w:val="Subtitle"/>
    <w:rsid w:val="00185E2D"/>
    <w:rPr>
      <w:rFonts w:asciiTheme="majorHAnsi" w:eastAsiaTheme="majorEastAsia" w:hAnsiTheme="majorHAnsi" w:cstheme="majorBidi"/>
      <w:sz w:val="22"/>
      <w:szCs w:val="22"/>
      <w:lang w:eastAsia="en-US"/>
    </w:rPr>
  </w:style>
  <w:style w:type="paragraph" w:customStyle="1" w:styleId="Tabletext0">
    <w:name w:val="Table text"/>
    <w:basedOn w:val="Normal"/>
    <w:link w:val="TabletextChar0"/>
    <w:qFormat/>
    <w:rsid w:val="00185E2D"/>
    <w:pPr>
      <w:keepNext/>
      <w:keepLines/>
      <w:spacing w:before="60" w:after="40"/>
      <w:jc w:val="left"/>
    </w:pPr>
    <w:rPr>
      <w:rFonts w:ascii="Arial Narrow" w:eastAsiaTheme="minorHAnsi" w:hAnsi="Arial Narrow" w:cstheme="minorBidi"/>
      <w:sz w:val="20"/>
      <w:szCs w:val="20"/>
      <w:lang w:eastAsia="en-US"/>
    </w:rPr>
  </w:style>
  <w:style w:type="character" w:customStyle="1" w:styleId="TabletextChar0">
    <w:name w:val="Table text Char"/>
    <w:link w:val="Tabletext0"/>
    <w:locked/>
    <w:rsid w:val="00185E2D"/>
    <w:rPr>
      <w:rFonts w:ascii="Arial Narrow" w:eastAsiaTheme="minorHAnsi" w:hAnsi="Arial Narrow" w:cstheme="minorBidi"/>
      <w:lang w:eastAsia="en-US"/>
    </w:rPr>
  </w:style>
  <w:style w:type="paragraph" w:styleId="NormalWeb">
    <w:name w:val="Normal (Web)"/>
    <w:basedOn w:val="Normal"/>
    <w:uiPriority w:val="99"/>
    <w:semiHidden/>
    <w:unhideWhenUsed/>
    <w:rsid w:val="00A14C41"/>
    <w:pPr>
      <w:spacing w:before="100" w:beforeAutospacing="1" w:after="100" w:afterAutospacing="1"/>
      <w:jc w:val="left"/>
    </w:pPr>
    <w:rPr>
      <w:rFonts w:ascii="Times New Roman" w:hAnsi="Times New Roman" w:cs="Times New Roman"/>
    </w:rPr>
  </w:style>
  <w:style w:type="character" w:customStyle="1" w:styleId="ListParagraphChar">
    <w:name w:val="List Paragraph Char"/>
    <w:aliases w:val="Numbered para Char,BulletPoints Char,Body Text Bullet Points Char,List Paragraph1 Char,Bullet point Char,List Paragraph11 Char,Recommendation Char,Section heading Char,Footnote Char,ES Paragraph Char,PBAC ES Paragraph Char,lp1 Char"/>
    <w:basedOn w:val="DefaultParagraphFont"/>
    <w:link w:val="ListParagraph"/>
    <w:uiPriority w:val="34"/>
    <w:qFormat/>
    <w:locked/>
    <w:rsid w:val="00526E61"/>
    <w:rPr>
      <w:rFonts w:ascii="Calibri" w:hAnsi="Calibri" w:cs="Arial"/>
      <w:sz w:val="24"/>
      <w:szCs w:val="24"/>
    </w:rPr>
  </w:style>
  <w:style w:type="paragraph" w:customStyle="1" w:styleId="Default">
    <w:name w:val="Default"/>
    <w:rsid w:val="00ED6EDF"/>
    <w:pPr>
      <w:autoSpaceDE w:val="0"/>
      <w:autoSpaceDN w:val="0"/>
      <w:adjustRightInd w:val="0"/>
    </w:pPr>
    <w:rPr>
      <w:rFonts w:ascii="Trebuchet MS" w:hAnsi="Trebuchet MS" w:cs="Trebuchet MS"/>
      <w:color w:val="000000"/>
      <w:sz w:val="24"/>
      <w:szCs w:val="24"/>
    </w:rPr>
  </w:style>
  <w:style w:type="character" w:styleId="Emphasis">
    <w:name w:val="Emphasis"/>
    <w:basedOn w:val="DefaultParagraphFont"/>
    <w:uiPriority w:val="20"/>
    <w:qFormat/>
    <w:rsid w:val="0028224A"/>
    <w:rPr>
      <w:i/>
      <w:iCs/>
    </w:rPr>
  </w:style>
  <w:style w:type="paragraph" w:customStyle="1" w:styleId="TableFooter">
    <w:name w:val="Table Footer"/>
    <w:basedOn w:val="Normal"/>
    <w:link w:val="TableFooterChar"/>
    <w:qFormat/>
    <w:rsid w:val="004B44FC"/>
    <w:pPr>
      <w:widowControl w:val="0"/>
    </w:pPr>
    <w:rPr>
      <w:rFonts w:ascii="Arial Narrow" w:hAnsi="Arial Narrow"/>
      <w:snapToGrid w:val="0"/>
      <w:sz w:val="18"/>
      <w:szCs w:val="22"/>
      <w:lang w:eastAsia="en-US"/>
    </w:rPr>
  </w:style>
  <w:style w:type="character" w:customStyle="1" w:styleId="TableFooterChar">
    <w:name w:val="Table Footer Char"/>
    <w:link w:val="TableFooter"/>
    <w:rsid w:val="004B44FC"/>
    <w:rPr>
      <w:rFonts w:ascii="Arial Narrow" w:hAnsi="Arial Narrow" w:cs="Arial"/>
      <w:snapToGrid w:val="0"/>
      <w:sz w:val="18"/>
      <w:szCs w:val="22"/>
      <w:lang w:eastAsia="en-US"/>
    </w:rPr>
  </w:style>
  <w:style w:type="paragraph" w:customStyle="1" w:styleId="TableHeading">
    <w:name w:val="Table Heading"/>
    <w:basedOn w:val="Normal"/>
    <w:link w:val="TableHeadingChar"/>
    <w:qFormat/>
    <w:rsid w:val="004B44FC"/>
    <w:pPr>
      <w:keepNext/>
      <w:spacing w:after="60"/>
      <w:jc w:val="left"/>
    </w:pPr>
    <w:rPr>
      <w:rFonts w:ascii="Arial Narrow" w:eastAsiaTheme="minorHAnsi" w:hAnsi="Arial Narrow" w:cstheme="minorBidi"/>
      <w:b/>
      <w:sz w:val="20"/>
      <w:szCs w:val="22"/>
      <w:lang w:eastAsia="en-US"/>
    </w:rPr>
  </w:style>
  <w:style w:type="character" w:customStyle="1" w:styleId="TableHeadingChar">
    <w:name w:val="Table Heading Char"/>
    <w:link w:val="TableHeading"/>
    <w:rsid w:val="004B44FC"/>
    <w:rPr>
      <w:rFonts w:ascii="Arial Narrow" w:eastAsiaTheme="minorHAnsi" w:hAnsi="Arial Narrow" w:cstheme="minorBidi"/>
      <w:b/>
      <w:szCs w:val="22"/>
      <w:lang w:eastAsia="en-US"/>
    </w:rPr>
  </w:style>
  <w:style w:type="table" w:customStyle="1" w:styleId="LashStyleTable37">
    <w:name w:val="Lash Style Table37"/>
    <w:basedOn w:val="TableNormal"/>
    <w:next w:val="TableGrid"/>
    <w:uiPriority w:val="39"/>
    <w:rsid w:val="004B44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ashStyleTable36">
    <w:name w:val="Lash Style Table36"/>
    <w:basedOn w:val="TableNormal"/>
    <w:next w:val="TableGrid"/>
    <w:uiPriority w:val="39"/>
    <w:rsid w:val="004B44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ashStyleTable39">
    <w:name w:val="Lash Style Table39"/>
    <w:basedOn w:val="TableNormal"/>
    <w:next w:val="TableGrid"/>
    <w:uiPriority w:val="39"/>
    <w:rsid w:val="004B44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centred">
    <w:name w:val="Table text centred"/>
    <w:basedOn w:val="Normal"/>
    <w:link w:val="TabletextcentredChar"/>
    <w:qFormat/>
    <w:rsid w:val="00B1273E"/>
    <w:pPr>
      <w:keepNext/>
      <w:jc w:val="center"/>
    </w:pPr>
    <w:rPr>
      <w:rFonts w:ascii="Arial Narrow" w:hAnsi="Arial Narrow" w:cs="Arial Narrow"/>
      <w:sz w:val="20"/>
      <w:szCs w:val="20"/>
      <w:lang w:eastAsia="en-US"/>
    </w:rPr>
  </w:style>
  <w:style w:type="character" w:customStyle="1" w:styleId="TabletextcentredChar">
    <w:name w:val="Table text centred Char"/>
    <w:link w:val="Tabletextcentred"/>
    <w:rsid w:val="00B1273E"/>
    <w:rPr>
      <w:rFonts w:ascii="Arial Narrow" w:hAnsi="Arial Narrow" w:cs="Arial Narrow"/>
      <w:lang w:eastAsia="en-US"/>
    </w:rPr>
  </w:style>
  <w:style w:type="paragraph" w:styleId="Caption">
    <w:name w:val="caption"/>
    <w:basedOn w:val="Normal"/>
    <w:next w:val="Normal"/>
    <w:unhideWhenUsed/>
    <w:rsid w:val="00256248"/>
    <w:pPr>
      <w:spacing w:after="200"/>
    </w:pPr>
    <w:rPr>
      <w:i/>
      <w:iCs/>
      <w:color w:val="1F497D" w:themeColor="text2"/>
      <w:sz w:val="18"/>
      <w:szCs w:val="18"/>
    </w:rPr>
  </w:style>
  <w:style w:type="character" w:customStyle="1" w:styleId="UnresolvedMention1">
    <w:name w:val="Unresolved Mention1"/>
    <w:basedOn w:val="DefaultParagraphFont"/>
    <w:uiPriority w:val="99"/>
    <w:semiHidden/>
    <w:unhideWhenUsed/>
    <w:rsid w:val="00680671"/>
    <w:rPr>
      <w:color w:val="605E5C"/>
      <w:shd w:val="clear" w:color="auto" w:fill="E1DFDD"/>
    </w:rPr>
  </w:style>
  <w:style w:type="paragraph" w:styleId="FootnoteText">
    <w:name w:val="footnote text"/>
    <w:basedOn w:val="Normal"/>
    <w:link w:val="FootnoteTextChar"/>
    <w:semiHidden/>
    <w:unhideWhenUsed/>
    <w:rsid w:val="00E96B1E"/>
    <w:rPr>
      <w:sz w:val="20"/>
      <w:szCs w:val="20"/>
    </w:rPr>
  </w:style>
  <w:style w:type="character" w:customStyle="1" w:styleId="FootnoteTextChar">
    <w:name w:val="Footnote Text Char"/>
    <w:basedOn w:val="DefaultParagraphFont"/>
    <w:link w:val="FootnoteText"/>
    <w:semiHidden/>
    <w:rsid w:val="00E96B1E"/>
    <w:rPr>
      <w:rFonts w:ascii="Calibri" w:hAnsi="Calibri" w:cs="Arial"/>
    </w:rPr>
  </w:style>
  <w:style w:type="character" w:styleId="FootnoteReference">
    <w:name w:val="footnote reference"/>
    <w:basedOn w:val="DefaultParagraphFont"/>
    <w:semiHidden/>
    <w:unhideWhenUsed/>
    <w:rsid w:val="00E96B1E"/>
    <w:rPr>
      <w:vertAlign w:val="superscript"/>
    </w:rPr>
  </w:style>
  <w:style w:type="paragraph" w:customStyle="1" w:styleId="PBACHeading1">
    <w:name w:val="PBAC Heading 1"/>
    <w:qFormat/>
    <w:rsid w:val="0096064B"/>
    <w:pPr>
      <w:ind w:left="720" w:hanging="720"/>
    </w:pPr>
    <w:rPr>
      <w:rFonts w:ascii="Calibri" w:hAnsi="Calibri" w:cs="Arial"/>
      <w:b/>
      <w:snapToGrid w:val="0"/>
      <w:sz w:val="32"/>
      <w:szCs w:val="22"/>
      <w:lang w:eastAsia="en-US"/>
    </w:rPr>
  </w:style>
  <w:style w:type="paragraph" w:styleId="NoSpacing">
    <w:name w:val="No Spacing"/>
    <w:basedOn w:val="Normal"/>
    <w:link w:val="NoSpacingChar"/>
    <w:uiPriority w:val="1"/>
    <w:qFormat/>
    <w:rsid w:val="00C00A16"/>
    <w:rPr>
      <w:rFonts w:ascii="Arial" w:hAnsi="Arial" w:cs="Times New Roman"/>
      <w:sz w:val="22"/>
      <w:szCs w:val="22"/>
    </w:rPr>
  </w:style>
  <w:style w:type="character" w:customStyle="1" w:styleId="NoSpacingChar">
    <w:name w:val="No Spacing Char"/>
    <w:basedOn w:val="DefaultParagraphFont"/>
    <w:link w:val="NoSpacing"/>
    <w:uiPriority w:val="1"/>
    <w:rsid w:val="00C00A16"/>
    <w:rPr>
      <w:rFonts w:ascii="Arial" w:hAnsi="Arial"/>
      <w:sz w:val="22"/>
      <w:szCs w:val="22"/>
    </w:rPr>
  </w:style>
  <w:style w:type="character" w:customStyle="1" w:styleId="UnresolvedMention2">
    <w:name w:val="Unresolved Mention2"/>
    <w:basedOn w:val="DefaultParagraphFont"/>
    <w:uiPriority w:val="99"/>
    <w:semiHidden/>
    <w:unhideWhenUsed/>
    <w:rsid w:val="0071595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165246980">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371228328">
      <w:bodyDiv w:val="1"/>
      <w:marLeft w:val="0"/>
      <w:marRight w:val="0"/>
      <w:marTop w:val="0"/>
      <w:marBottom w:val="0"/>
      <w:divBdr>
        <w:top w:val="none" w:sz="0" w:space="0" w:color="auto"/>
        <w:left w:val="none" w:sz="0" w:space="0" w:color="auto"/>
        <w:bottom w:val="none" w:sz="0" w:space="0" w:color="auto"/>
        <w:right w:val="none" w:sz="0" w:space="0" w:color="auto"/>
      </w:divBdr>
    </w:div>
    <w:div w:id="373771016">
      <w:bodyDiv w:val="1"/>
      <w:marLeft w:val="0"/>
      <w:marRight w:val="0"/>
      <w:marTop w:val="0"/>
      <w:marBottom w:val="0"/>
      <w:divBdr>
        <w:top w:val="none" w:sz="0" w:space="0" w:color="auto"/>
        <w:left w:val="none" w:sz="0" w:space="0" w:color="auto"/>
        <w:bottom w:val="none" w:sz="0" w:space="0" w:color="auto"/>
        <w:right w:val="none" w:sz="0" w:space="0" w:color="auto"/>
      </w:divBdr>
    </w:div>
    <w:div w:id="396392335">
      <w:bodyDiv w:val="1"/>
      <w:marLeft w:val="0"/>
      <w:marRight w:val="0"/>
      <w:marTop w:val="0"/>
      <w:marBottom w:val="0"/>
      <w:divBdr>
        <w:top w:val="none" w:sz="0" w:space="0" w:color="auto"/>
        <w:left w:val="none" w:sz="0" w:space="0" w:color="auto"/>
        <w:bottom w:val="none" w:sz="0" w:space="0" w:color="auto"/>
        <w:right w:val="none" w:sz="0" w:space="0" w:color="auto"/>
      </w:divBdr>
    </w:div>
    <w:div w:id="453184135">
      <w:bodyDiv w:val="1"/>
      <w:marLeft w:val="0"/>
      <w:marRight w:val="0"/>
      <w:marTop w:val="0"/>
      <w:marBottom w:val="0"/>
      <w:divBdr>
        <w:top w:val="none" w:sz="0" w:space="0" w:color="auto"/>
        <w:left w:val="none" w:sz="0" w:space="0" w:color="auto"/>
        <w:bottom w:val="none" w:sz="0" w:space="0" w:color="auto"/>
        <w:right w:val="none" w:sz="0" w:space="0" w:color="auto"/>
      </w:divBdr>
    </w:div>
    <w:div w:id="581330230">
      <w:bodyDiv w:val="1"/>
      <w:marLeft w:val="0"/>
      <w:marRight w:val="0"/>
      <w:marTop w:val="0"/>
      <w:marBottom w:val="0"/>
      <w:divBdr>
        <w:top w:val="none" w:sz="0" w:space="0" w:color="auto"/>
        <w:left w:val="none" w:sz="0" w:space="0" w:color="auto"/>
        <w:bottom w:val="none" w:sz="0" w:space="0" w:color="auto"/>
        <w:right w:val="none" w:sz="0" w:space="0" w:color="auto"/>
      </w:divBdr>
      <w:divsChild>
        <w:div w:id="337386379">
          <w:marLeft w:val="1080"/>
          <w:marRight w:val="0"/>
          <w:marTop w:val="100"/>
          <w:marBottom w:val="0"/>
          <w:divBdr>
            <w:top w:val="none" w:sz="0" w:space="0" w:color="auto"/>
            <w:left w:val="none" w:sz="0" w:space="0" w:color="auto"/>
            <w:bottom w:val="none" w:sz="0" w:space="0" w:color="auto"/>
            <w:right w:val="none" w:sz="0" w:space="0" w:color="auto"/>
          </w:divBdr>
        </w:div>
      </w:divsChild>
    </w:div>
    <w:div w:id="640160138">
      <w:bodyDiv w:val="1"/>
      <w:marLeft w:val="0"/>
      <w:marRight w:val="0"/>
      <w:marTop w:val="0"/>
      <w:marBottom w:val="0"/>
      <w:divBdr>
        <w:top w:val="none" w:sz="0" w:space="0" w:color="auto"/>
        <w:left w:val="none" w:sz="0" w:space="0" w:color="auto"/>
        <w:bottom w:val="none" w:sz="0" w:space="0" w:color="auto"/>
        <w:right w:val="none" w:sz="0" w:space="0" w:color="auto"/>
      </w:divBdr>
      <w:divsChild>
        <w:div w:id="1142817843">
          <w:marLeft w:val="360"/>
          <w:marRight w:val="0"/>
          <w:marTop w:val="200"/>
          <w:marBottom w:val="0"/>
          <w:divBdr>
            <w:top w:val="none" w:sz="0" w:space="0" w:color="auto"/>
            <w:left w:val="none" w:sz="0" w:space="0" w:color="auto"/>
            <w:bottom w:val="none" w:sz="0" w:space="0" w:color="auto"/>
            <w:right w:val="none" w:sz="0" w:space="0" w:color="auto"/>
          </w:divBdr>
        </w:div>
      </w:divsChild>
    </w:div>
    <w:div w:id="658121306">
      <w:bodyDiv w:val="1"/>
      <w:marLeft w:val="0"/>
      <w:marRight w:val="0"/>
      <w:marTop w:val="0"/>
      <w:marBottom w:val="0"/>
      <w:divBdr>
        <w:top w:val="none" w:sz="0" w:space="0" w:color="auto"/>
        <w:left w:val="none" w:sz="0" w:space="0" w:color="auto"/>
        <w:bottom w:val="none" w:sz="0" w:space="0" w:color="auto"/>
        <w:right w:val="none" w:sz="0" w:space="0" w:color="auto"/>
      </w:divBdr>
      <w:divsChild>
        <w:div w:id="1063528835">
          <w:marLeft w:val="360"/>
          <w:marRight w:val="0"/>
          <w:marTop w:val="200"/>
          <w:marBottom w:val="0"/>
          <w:divBdr>
            <w:top w:val="none" w:sz="0" w:space="0" w:color="auto"/>
            <w:left w:val="none" w:sz="0" w:space="0" w:color="auto"/>
            <w:bottom w:val="none" w:sz="0" w:space="0" w:color="auto"/>
            <w:right w:val="none" w:sz="0" w:space="0" w:color="auto"/>
          </w:divBdr>
        </w:div>
      </w:divsChild>
    </w:div>
    <w:div w:id="734667117">
      <w:bodyDiv w:val="1"/>
      <w:marLeft w:val="0"/>
      <w:marRight w:val="0"/>
      <w:marTop w:val="0"/>
      <w:marBottom w:val="0"/>
      <w:divBdr>
        <w:top w:val="none" w:sz="0" w:space="0" w:color="auto"/>
        <w:left w:val="none" w:sz="0" w:space="0" w:color="auto"/>
        <w:bottom w:val="none" w:sz="0" w:space="0" w:color="auto"/>
        <w:right w:val="none" w:sz="0" w:space="0" w:color="auto"/>
      </w:divBdr>
    </w:div>
    <w:div w:id="769349791">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1869907">
      <w:bodyDiv w:val="1"/>
      <w:marLeft w:val="0"/>
      <w:marRight w:val="0"/>
      <w:marTop w:val="0"/>
      <w:marBottom w:val="0"/>
      <w:divBdr>
        <w:top w:val="none" w:sz="0" w:space="0" w:color="auto"/>
        <w:left w:val="none" w:sz="0" w:space="0" w:color="auto"/>
        <w:bottom w:val="none" w:sz="0" w:space="0" w:color="auto"/>
        <w:right w:val="none" w:sz="0" w:space="0" w:color="auto"/>
      </w:divBdr>
    </w:div>
    <w:div w:id="1535269542">
      <w:bodyDiv w:val="1"/>
      <w:marLeft w:val="0"/>
      <w:marRight w:val="0"/>
      <w:marTop w:val="0"/>
      <w:marBottom w:val="0"/>
      <w:divBdr>
        <w:top w:val="none" w:sz="0" w:space="0" w:color="auto"/>
        <w:left w:val="none" w:sz="0" w:space="0" w:color="auto"/>
        <w:bottom w:val="none" w:sz="0" w:space="0" w:color="auto"/>
        <w:right w:val="none" w:sz="0" w:space="0" w:color="auto"/>
      </w:divBdr>
    </w:div>
    <w:div w:id="1662544582">
      <w:bodyDiv w:val="1"/>
      <w:marLeft w:val="0"/>
      <w:marRight w:val="0"/>
      <w:marTop w:val="0"/>
      <w:marBottom w:val="0"/>
      <w:divBdr>
        <w:top w:val="none" w:sz="0" w:space="0" w:color="auto"/>
        <w:left w:val="none" w:sz="0" w:space="0" w:color="auto"/>
        <w:bottom w:val="none" w:sz="0" w:space="0" w:color="auto"/>
        <w:right w:val="none" w:sz="0" w:space="0" w:color="auto"/>
      </w:divBdr>
      <w:divsChild>
        <w:div w:id="439879603">
          <w:marLeft w:val="360"/>
          <w:marRight w:val="0"/>
          <w:marTop w:val="200"/>
          <w:marBottom w:val="0"/>
          <w:divBdr>
            <w:top w:val="none" w:sz="0" w:space="0" w:color="auto"/>
            <w:left w:val="none" w:sz="0" w:space="0" w:color="auto"/>
            <w:bottom w:val="none" w:sz="0" w:space="0" w:color="auto"/>
            <w:right w:val="none" w:sz="0" w:space="0" w:color="auto"/>
          </w:divBdr>
        </w:div>
      </w:divsChild>
    </w:div>
    <w:div w:id="1684436203">
      <w:bodyDiv w:val="1"/>
      <w:marLeft w:val="0"/>
      <w:marRight w:val="0"/>
      <w:marTop w:val="0"/>
      <w:marBottom w:val="0"/>
      <w:divBdr>
        <w:top w:val="none" w:sz="0" w:space="0" w:color="auto"/>
        <w:left w:val="none" w:sz="0" w:space="0" w:color="auto"/>
        <w:bottom w:val="none" w:sz="0" w:space="0" w:color="auto"/>
        <w:right w:val="none" w:sz="0" w:space="0" w:color="auto"/>
      </w:divBdr>
      <w:divsChild>
        <w:div w:id="359550026">
          <w:marLeft w:val="360"/>
          <w:marRight w:val="0"/>
          <w:marTop w:val="200"/>
          <w:marBottom w:val="0"/>
          <w:divBdr>
            <w:top w:val="none" w:sz="0" w:space="0" w:color="auto"/>
            <w:left w:val="none" w:sz="0" w:space="0" w:color="auto"/>
            <w:bottom w:val="none" w:sz="0" w:space="0" w:color="auto"/>
            <w:right w:val="none" w:sz="0" w:space="0" w:color="auto"/>
          </w:divBdr>
        </w:div>
      </w:divsChild>
    </w:div>
    <w:div w:id="1689209353">
      <w:bodyDiv w:val="1"/>
      <w:marLeft w:val="0"/>
      <w:marRight w:val="0"/>
      <w:marTop w:val="0"/>
      <w:marBottom w:val="0"/>
      <w:divBdr>
        <w:top w:val="none" w:sz="0" w:space="0" w:color="auto"/>
        <w:left w:val="none" w:sz="0" w:space="0" w:color="auto"/>
        <w:bottom w:val="none" w:sz="0" w:space="0" w:color="auto"/>
        <w:right w:val="none" w:sz="0" w:space="0" w:color="auto"/>
      </w:divBdr>
      <w:divsChild>
        <w:div w:id="46271374">
          <w:marLeft w:val="360"/>
          <w:marRight w:val="0"/>
          <w:marTop w:val="200"/>
          <w:marBottom w:val="0"/>
          <w:divBdr>
            <w:top w:val="none" w:sz="0" w:space="0" w:color="auto"/>
            <w:left w:val="none" w:sz="0" w:space="0" w:color="auto"/>
            <w:bottom w:val="none" w:sz="0" w:space="0" w:color="auto"/>
            <w:right w:val="none" w:sz="0" w:space="0" w:color="auto"/>
          </w:divBdr>
        </w:div>
      </w:divsChild>
    </w:div>
    <w:div w:id="1753314016">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 w:id="2046633804">
      <w:bodyDiv w:val="1"/>
      <w:marLeft w:val="0"/>
      <w:marRight w:val="0"/>
      <w:marTop w:val="0"/>
      <w:marBottom w:val="0"/>
      <w:divBdr>
        <w:top w:val="none" w:sz="0" w:space="0" w:color="auto"/>
        <w:left w:val="none" w:sz="0" w:space="0" w:color="auto"/>
        <w:bottom w:val="none" w:sz="0" w:space="0" w:color="auto"/>
        <w:right w:val="none" w:sz="0" w:space="0" w:color="auto"/>
      </w:divBdr>
    </w:div>
    <w:div w:id="2087992459">
      <w:bodyDiv w:val="1"/>
      <w:marLeft w:val="0"/>
      <w:marRight w:val="0"/>
      <w:marTop w:val="0"/>
      <w:marBottom w:val="0"/>
      <w:divBdr>
        <w:top w:val="none" w:sz="0" w:space="0" w:color="auto"/>
        <w:left w:val="none" w:sz="0" w:space="0" w:color="auto"/>
        <w:bottom w:val="none" w:sz="0" w:space="0" w:color="auto"/>
        <w:right w:val="none" w:sz="0" w:space="0" w:color="auto"/>
      </w:divBdr>
      <w:divsChild>
        <w:div w:id="735854913">
          <w:marLeft w:val="360"/>
          <w:marRight w:val="0"/>
          <w:marTop w:val="200"/>
          <w:marBottom w:val="0"/>
          <w:divBdr>
            <w:top w:val="none" w:sz="0" w:space="0" w:color="auto"/>
            <w:left w:val="none" w:sz="0" w:space="0" w:color="auto"/>
            <w:bottom w:val="none" w:sz="0" w:space="0" w:color="auto"/>
            <w:right w:val="none" w:sz="0" w:space="0" w:color="auto"/>
          </w:divBdr>
        </w:div>
      </w:divsChild>
    </w:div>
    <w:div w:id="2101174351">
      <w:bodyDiv w:val="1"/>
      <w:marLeft w:val="0"/>
      <w:marRight w:val="0"/>
      <w:marTop w:val="0"/>
      <w:marBottom w:val="0"/>
      <w:divBdr>
        <w:top w:val="none" w:sz="0" w:space="0" w:color="auto"/>
        <w:left w:val="none" w:sz="0" w:space="0" w:color="auto"/>
        <w:bottom w:val="none" w:sz="0" w:space="0" w:color="auto"/>
        <w:right w:val="none" w:sz="0" w:space="0" w:color="auto"/>
      </w:divBdr>
      <w:divsChild>
        <w:div w:id="1097405815">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footer" Target="footer3.xml"/><Relationship Id="rId10" Type="http://schemas.openxmlformats.org/officeDocument/2006/relationships/image" Target="media/image3.png"/><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87A41C-0142-42BC-A5E7-81A9E8E073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49</Pages>
  <Words>19869</Words>
  <Characters>114713</Characters>
  <Application>Microsoft Office Word</Application>
  <DocSecurity>0</DocSecurity>
  <Lines>955</Lines>
  <Paragraphs>268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2022-03-10T22:54:00Z</dcterms:created>
  <dcterms:modified xsi:type="dcterms:W3CDTF">2022-03-16T04:54:00Z</dcterms:modified>
</cp:coreProperties>
</file>