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199F1" w14:textId="77777777" w:rsidR="00B60939" w:rsidRDefault="00F540B0" w:rsidP="001A5F33">
      <w:pPr>
        <w:pStyle w:val="1-MainHeading"/>
      </w:pPr>
      <w:bookmarkStart w:id="0" w:name="_Toc82609538"/>
      <w:r w:rsidRPr="00BF06FC">
        <w:t>5.03</w:t>
      </w:r>
      <w:r w:rsidR="00163F66" w:rsidRPr="00BF06FC">
        <w:tab/>
      </w:r>
      <w:r w:rsidR="001A5F33" w:rsidRPr="00BF06FC">
        <w:t>APALUTAMIDE,</w:t>
      </w:r>
      <w:r w:rsidR="001A5F33" w:rsidRPr="00BF06FC">
        <w:br/>
      </w:r>
      <w:r w:rsidRPr="00BF06FC">
        <w:t>T</w:t>
      </w:r>
      <w:r w:rsidR="001A5F33" w:rsidRPr="00BF06FC">
        <w:t>ablet</w:t>
      </w:r>
      <w:r w:rsidRPr="00BF06FC">
        <w:t xml:space="preserve"> </w:t>
      </w:r>
      <w:r w:rsidR="001A5F33" w:rsidRPr="00BF06FC">
        <w:t>60 mg,</w:t>
      </w:r>
      <w:r w:rsidR="001A5F33" w:rsidRPr="00BF06FC">
        <w:br/>
      </w:r>
      <w:proofErr w:type="spellStart"/>
      <w:r w:rsidR="001A5F33" w:rsidRPr="00BF06FC">
        <w:t>Eryland</w:t>
      </w:r>
      <w:proofErr w:type="spellEnd"/>
      <w:r w:rsidR="001A5F33" w:rsidRPr="00BF06FC">
        <w:rPr>
          <w:vertAlign w:val="superscript"/>
        </w:rPr>
        <w:t>®</w:t>
      </w:r>
      <w:r w:rsidR="001A5F33" w:rsidRPr="00BF06FC">
        <w:t>,</w:t>
      </w:r>
      <w:r w:rsidR="001A5F33" w:rsidRPr="00BF06FC">
        <w:br/>
        <w:t xml:space="preserve">Janssen </w:t>
      </w:r>
      <w:proofErr w:type="spellStart"/>
      <w:r w:rsidR="001A5F33" w:rsidRPr="00BF06FC">
        <w:t>Cilag</w:t>
      </w:r>
      <w:proofErr w:type="spellEnd"/>
      <w:r w:rsidR="001A5F33" w:rsidRPr="00BF06FC">
        <w:t xml:space="preserve"> Pty Ltd.</w:t>
      </w:r>
      <w:bookmarkEnd w:id="0"/>
    </w:p>
    <w:p w14:paraId="6E7B7250" w14:textId="77777777" w:rsidR="00814F74" w:rsidRPr="00BF06FC" w:rsidRDefault="00814F74" w:rsidP="00814F74">
      <w:pPr>
        <w:pStyle w:val="2-SectionHeading"/>
        <w:numPr>
          <w:ilvl w:val="0"/>
          <w:numId w:val="1"/>
        </w:numPr>
      </w:pPr>
      <w:bookmarkStart w:id="1" w:name="_Toc22898844"/>
      <w:bookmarkStart w:id="2" w:name="_Toc82609540"/>
      <w:r w:rsidRPr="00BF06FC">
        <w:t>Purpose of submission</w:t>
      </w:r>
      <w:bookmarkEnd w:id="1"/>
      <w:bookmarkEnd w:id="2"/>
    </w:p>
    <w:p w14:paraId="10DD5702" w14:textId="77777777" w:rsidR="00814F74" w:rsidRPr="00BF06FC" w:rsidRDefault="00814F74" w:rsidP="00814F74">
      <w:pPr>
        <w:pStyle w:val="3-BodyText"/>
      </w:pPr>
      <w:r w:rsidRPr="00BF06FC">
        <w:t xml:space="preserve">The </w:t>
      </w:r>
      <w:r w:rsidR="001964C8" w:rsidRPr="00BF06FC">
        <w:t xml:space="preserve">Category 2 </w:t>
      </w:r>
      <w:r w:rsidRPr="00BF06FC">
        <w:t>submission requested Authority Required (Telephone) listing of apalutamide for the treatment of patients with metastatic hormone sensitive prostate cancer (</w:t>
      </w:r>
      <w:proofErr w:type="spellStart"/>
      <w:r w:rsidRPr="00BF06FC">
        <w:t>mHSPC</w:t>
      </w:r>
      <w:proofErr w:type="spellEnd"/>
      <w:r w:rsidRPr="00BF06FC">
        <w:rPr>
          <w:rStyle w:val="FootnoteReference"/>
        </w:rPr>
        <w:footnoteReference w:id="1"/>
      </w:r>
      <w:r w:rsidRPr="00BF06FC">
        <w:t xml:space="preserve">) who have </w:t>
      </w:r>
      <w:proofErr w:type="spellStart"/>
      <w:r w:rsidRPr="00BF06FC">
        <w:t>i</w:t>
      </w:r>
      <w:proofErr w:type="spellEnd"/>
      <w:r w:rsidRPr="00BF06FC">
        <w:t>) low volume (LV) disease or ii) high volume (HV) disease who are unsuitable for chemotherapy.</w:t>
      </w:r>
    </w:p>
    <w:p w14:paraId="165FA997" w14:textId="77777777" w:rsidR="00814F74" w:rsidRPr="00BF06FC" w:rsidRDefault="00814F74" w:rsidP="00814F74">
      <w:pPr>
        <w:pStyle w:val="3-BodyText"/>
      </w:pPr>
      <w:r w:rsidRPr="00BF06FC">
        <w:t xml:space="preserve">Listing of apalutamide used in addition to androgen deprivation therapy (ADT) was requested </w:t>
      </w:r>
      <w:proofErr w:type="gramStart"/>
      <w:r w:rsidRPr="00BF06FC">
        <w:t>on the basis of</w:t>
      </w:r>
      <w:proofErr w:type="gramEnd"/>
      <w:r w:rsidRPr="00BF06FC">
        <w:t xml:space="preserve"> a cost-utility analysis versus ADT alone. Table 1 summarises the components of the overall clinical claim addressed by the submission.</w:t>
      </w:r>
    </w:p>
    <w:p w14:paraId="6EF9D2BB" w14:textId="77777777" w:rsidR="00814F74" w:rsidRPr="00BF06FC" w:rsidRDefault="00814F74" w:rsidP="00D93747">
      <w:pPr>
        <w:pStyle w:val="TableFigureHeading"/>
        <w:rPr>
          <w:b w:val="0"/>
          <w:bCs w:val="0"/>
        </w:rPr>
      </w:pPr>
      <w:r w:rsidRPr="00BF06FC">
        <w:rPr>
          <w:rStyle w:val="CommentReference"/>
          <w:b/>
          <w:bCs w:val="0"/>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7885"/>
      </w:tblGrid>
      <w:tr w:rsidR="00814F74" w:rsidRPr="00BF06FC" w14:paraId="34F856DF" w14:textId="77777777" w:rsidTr="00DF5EF9">
        <w:tc>
          <w:tcPr>
            <w:tcW w:w="1271" w:type="dxa"/>
            <w:vAlign w:val="center"/>
          </w:tcPr>
          <w:p w14:paraId="011637B7" w14:textId="77777777" w:rsidR="00814F74" w:rsidRPr="00BF06FC" w:rsidRDefault="00814F74" w:rsidP="00D93747">
            <w:pPr>
              <w:pStyle w:val="In-tableHeading"/>
              <w:rPr>
                <w:lang w:val="en-AU"/>
              </w:rPr>
            </w:pPr>
            <w:r w:rsidRPr="00BF06FC">
              <w:rPr>
                <w:lang w:val="en-AU"/>
              </w:rPr>
              <w:t>Component</w:t>
            </w:r>
          </w:p>
        </w:tc>
        <w:tc>
          <w:tcPr>
            <w:tcW w:w="7885" w:type="dxa"/>
            <w:vAlign w:val="center"/>
          </w:tcPr>
          <w:p w14:paraId="4C640A9F" w14:textId="77777777" w:rsidR="00814F74" w:rsidRPr="00BF06FC" w:rsidRDefault="00814F74" w:rsidP="00D93747">
            <w:pPr>
              <w:pStyle w:val="In-tableHeading"/>
              <w:rPr>
                <w:lang w:val="en-AU"/>
              </w:rPr>
            </w:pPr>
            <w:r w:rsidRPr="00BF06FC">
              <w:rPr>
                <w:lang w:val="en-AU"/>
              </w:rPr>
              <w:t>Description</w:t>
            </w:r>
          </w:p>
        </w:tc>
      </w:tr>
      <w:tr w:rsidR="00814F74" w:rsidRPr="00BF06FC" w14:paraId="5924C68C" w14:textId="77777777" w:rsidTr="00DF5EF9">
        <w:tc>
          <w:tcPr>
            <w:tcW w:w="1271" w:type="dxa"/>
            <w:vAlign w:val="center"/>
          </w:tcPr>
          <w:p w14:paraId="3629778A" w14:textId="77777777" w:rsidR="00814F74" w:rsidRPr="00BF06FC" w:rsidRDefault="00814F74" w:rsidP="00D93747">
            <w:pPr>
              <w:pStyle w:val="TableText0"/>
            </w:pPr>
            <w:r w:rsidRPr="00BF06FC">
              <w:t>Population</w:t>
            </w:r>
          </w:p>
        </w:tc>
        <w:tc>
          <w:tcPr>
            <w:tcW w:w="7885" w:type="dxa"/>
            <w:vAlign w:val="center"/>
          </w:tcPr>
          <w:p w14:paraId="6FDBAA65" w14:textId="77777777" w:rsidR="00814F74" w:rsidRPr="00BF06FC" w:rsidRDefault="00814F74" w:rsidP="00D93747">
            <w:pPr>
              <w:pStyle w:val="TableText0"/>
            </w:pPr>
            <w:r w:rsidRPr="00BF06FC">
              <w:t xml:space="preserve">Patients with </w:t>
            </w:r>
            <w:proofErr w:type="spellStart"/>
            <w:r w:rsidRPr="00BF06FC">
              <w:t>mHSPC</w:t>
            </w:r>
            <w:proofErr w:type="spellEnd"/>
            <w:r w:rsidRPr="00BF06FC">
              <w:t xml:space="preserve"> who have </w:t>
            </w:r>
            <w:r w:rsidR="00F540B0" w:rsidRPr="00BF06FC">
              <w:t>(</w:t>
            </w:r>
            <w:proofErr w:type="spellStart"/>
            <w:r w:rsidR="00F540B0" w:rsidRPr="00BF06FC">
              <w:t>i</w:t>
            </w:r>
            <w:proofErr w:type="spellEnd"/>
            <w:r w:rsidR="00F540B0" w:rsidRPr="00BF06FC">
              <w:t xml:space="preserve">) </w:t>
            </w:r>
            <w:r w:rsidRPr="00BF06FC">
              <w:t xml:space="preserve">low volume disease or </w:t>
            </w:r>
            <w:r w:rsidR="00F540B0" w:rsidRPr="00BF06FC">
              <w:t xml:space="preserve">(ii) </w:t>
            </w:r>
            <w:r w:rsidRPr="00BF06FC">
              <w:t>high-volume disease who are too frail (as assessed by ECOG score ≥</w:t>
            </w:r>
            <w:r w:rsidR="00F540B0" w:rsidRPr="00BF06FC">
              <w:t xml:space="preserve"> </w:t>
            </w:r>
            <w:r w:rsidRPr="00BF06FC">
              <w:t>2) and/or with comorbidities or contraindications that preclude chemotherapy use.</w:t>
            </w:r>
          </w:p>
        </w:tc>
      </w:tr>
      <w:tr w:rsidR="00814F74" w:rsidRPr="00BF06FC" w14:paraId="70498DE2" w14:textId="77777777" w:rsidTr="00DF5EF9">
        <w:tc>
          <w:tcPr>
            <w:tcW w:w="1271" w:type="dxa"/>
            <w:vAlign w:val="center"/>
          </w:tcPr>
          <w:p w14:paraId="72E1CB63" w14:textId="77777777" w:rsidR="00814F74" w:rsidRPr="00BF06FC" w:rsidRDefault="00814F74" w:rsidP="00D93747">
            <w:pPr>
              <w:pStyle w:val="TableText0"/>
            </w:pPr>
            <w:r w:rsidRPr="00BF06FC">
              <w:t>Intervention</w:t>
            </w:r>
          </w:p>
        </w:tc>
        <w:tc>
          <w:tcPr>
            <w:tcW w:w="7885" w:type="dxa"/>
            <w:vAlign w:val="center"/>
          </w:tcPr>
          <w:p w14:paraId="5B448FB2" w14:textId="77777777" w:rsidR="00814F74" w:rsidRPr="00BF06FC" w:rsidRDefault="00814F74" w:rsidP="00D93747">
            <w:pPr>
              <w:pStyle w:val="TableText0"/>
            </w:pPr>
            <w:r w:rsidRPr="00BF06FC">
              <w:t>Apalutamide is administered orally at a dose of 240 mg daily (as 4 x 60 mg tablets) in addition to ADT.</w:t>
            </w:r>
          </w:p>
        </w:tc>
      </w:tr>
      <w:tr w:rsidR="00814F74" w:rsidRPr="00BF06FC" w14:paraId="20F75A04" w14:textId="77777777" w:rsidTr="00DF5EF9">
        <w:tc>
          <w:tcPr>
            <w:tcW w:w="1271" w:type="dxa"/>
            <w:vAlign w:val="center"/>
          </w:tcPr>
          <w:p w14:paraId="50D4F85C" w14:textId="77777777" w:rsidR="00814F74" w:rsidRPr="00BF06FC" w:rsidRDefault="00814F74" w:rsidP="00D93747">
            <w:pPr>
              <w:pStyle w:val="TableText0"/>
            </w:pPr>
            <w:r w:rsidRPr="00BF06FC">
              <w:t>Comparator</w:t>
            </w:r>
          </w:p>
        </w:tc>
        <w:tc>
          <w:tcPr>
            <w:tcW w:w="7885" w:type="dxa"/>
            <w:vAlign w:val="center"/>
          </w:tcPr>
          <w:p w14:paraId="1548B292" w14:textId="77777777" w:rsidR="00814F74" w:rsidRPr="00BF06FC" w:rsidRDefault="00814F74" w:rsidP="00D93747">
            <w:pPr>
              <w:pStyle w:val="TableText0"/>
            </w:pPr>
            <w:r w:rsidRPr="00BF06FC">
              <w:t>Main comparator: ADT which is comprised of LHRH agonists or an antagonist or surgical ADT (i.e., orchidectomy).</w:t>
            </w:r>
          </w:p>
        </w:tc>
      </w:tr>
      <w:tr w:rsidR="00814F74" w:rsidRPr="00BF06FC" w14:paraId="150B8E99" w14:textId="77777777" w:rsidTr="00DF5EF9">
        <w:tc>
          <w:tcPr>
            <w:tcW w:w="1271" w:type="dxa"/>
            <w:vAlign w:val="center"/>
          </w:tcPr>
          <w:p w14:paraId="4C451029" w14:textId="77777777" w:rsidR="00814F74" w:rsidRPr="00BF06FC" w:rsidRDefault="00814F74" w:rsidP="00D93747">
            <w:pPr>
              <w:pStyle w:val="TableText0"/>
            </w:pPr>
            <w:r w:rsidRPr="00BF06FC">
              <w:t>Outcomes</w:t>
            </w:r>
          </w:p>
        </w:tc>
        <w:tc>
          <w:tcPr>
            <w:tcW w:w="7885" w:type="dxa"/>
            <w:vAlign w:val="center"/>
          </w:tcPr>
          <w:p w14:paraId="1089E464" w14:textId="77777777" w:rsidR="00814F74" w:rsidRPr="00BF06FC" w:rsidRDefault="00814F74" w:rsidP="00D93747">
            <w:pPr>
              <w:pStyle w:val="TableText0"/>
            </w:pPr>
            <w:r w:rsidRPr="00BF06FC">
              <w:t>Radiographic progression free survival (</w:t>
            </w:r>
            <w:proofErr w:type="spellStart"/>
            <w:r w:rsidRPr="00BF06FC">
              <w:t>rPFS</w:t>
            </w:r>
            <w:proofErr w:type="spellEnd"/>
            <w:r w:rsidRPr="00BF06FC">
              <w:t>), overall survival (OS), time to initiation of cytotoxic chemotherapy, adverse events (AEs), and quality of life (QoL).</w:t>
            </w:r>
          </w:p>
        </w:tc>
      </w:tr>
      <w:tr w:rsidR="00814F74" w:rsidRPr="00BF06FC" w14:paraId="59A04F22" w14:textId="77777777" w:rsidTr="00DF5EF9">
        <w:tc>
          <w:tcPr>
            <w:tcW w:w="1271" w:type="dxa"/>
            <w:vAlign w:val="center"/>
          </w:tcPr>
          <w:p w14:paraId="776A34E2" w14:textId="77777777" w:rsidR="00814F74" w:rsidRPr="00BF06FC" w:rsidRDefault="00814F74" w:rsidP="00D93747">
            <w:pPr>
              <w:pStyle w:val="TableText0"/>
            </w:pPr>
            <w:r w:rsidRPr="00BF06FC">
              <w:t>Clinical claim</w:t>
            </w:r>
          </w:p>
        </w:tc>
        <w:tc>
          <w:tcPr>
            <w:tcW w:w="7885" w:type="dxa"/>
            <w:vAlign w:val="center"/>
          </w:tcPr>
          <w:p w14:paraId="407BAFDF" w14:textId="77777777" w:rsidR="00814F74" w:rsidRPr="00BF06FC" w:rsidRDefault="00814F74" w:rsidP="00D93747">
            <w:pPr>
              <w:pStyle w:val="TableText0"/>
            </w:pPr>
            <w:r w:rsidRPr="00BF06FC">
              <w:t xml:space="preserve">In patients with </w:t>
            </w:r>
            <w:proofErr w:type="spellStart"/>
            <w:r w:rsidRPr="00BF06FC">
              <w:t>mHSPC</w:t>
            </w:r>
            <w:proofErr w:type="spellEnd"/>
            <w:r w:rsidRPr="00BF06FC">
              <w:t xml:space="preserve"> who have </w:t>
            </w:r>
            <w:r w:rsidR="00F540B0" w:rsidRPr="00BF06FC">
              <w:t>(</w:t>
            </w:r>
            <w:proofErr w:type="spellStart"/>
            <w:r w:rsidR="00F540B0" w:rsidRPr="00BF06FC">
              <w:t>i</w:t>
            </w:r>
            <w:proofErr w:type="spellEnd"/>
            <w:r w:rsidR="00F540B0" w:rsidRPr="00BF06FC">
              <w:t xml:space="preserve">) </w:t>
            </w:r>
            <w:r w:rsidRPr="00BF06FC">
              <w:t xml:space="preserve">low volume disease or </w:t>
            </w:r>
            <w:r w:rsidR="00F540B0" w:rsidRPr="00BF06FC">
              <w:t xml:space="preserve">(ii) </w:t>
            </w:r>
            <w:r w:rsidRPr="00BF06FC">
              <w:t xml:space="preserve">high-volume disease who are too frail and/or have comorbidities or contraindications that preclude chemotherapy use, apalutamide when used in addition to ADT demonstrates superior comparative effectiveness compared with ADT monotherapy (referred to placebo + ADT in the TITAN trial) as assessed by statistically and clinically significant improvements in </w:t>
            </w:r>
            <w:proofErr w:type="spellStart"/>
            <w:r w:rsidRPr="00BF06FC">
              <w:t>rPFS</w:t>
            </w:r>
            <w:proofErr w:type="spellEnd"/>
            <w:r w:rsidRPr="00BF06FC">
              <w:t>, OS, and time to initiation of cytotoxic chemotherapy.</w:t>
            </w:r>
          </w:p>
          <w:p w14:paraId="6416DBE5" w14:textId="77777777" w:rsidR="00814F74" w:rsidRPr="00BF06FC" w:rsidRDefault="00814F74" w:rsidP="00D93747">
            <w:pPr>
              <w:pStyle w:val="TableText0"/>
            </w:pPr>
          </w:p>
          <w:p w14:paraId="5BFED0E2" w14:textId="77777777" w:rsidR="00814F74" w:rsidRPr="00BF06FC" w:rsidRDefault="00814F74" w:rsidP="00D93747">
            <w:pPr>
              <w:pStyle w:val="TableText0"/>
            </w:pPr>
            <w:r w:rsidRPr="00BF06FC">
              <w:t>Apalutamide + ADT is associated with additional AEs compared with ADT monotherapy (</w:t>
            </w:r>
            <w:proofErr w:type="gramStart"/>
            <w:r w:rsidRPr="00BF06FC">
              <w:t>i.e.</w:t>
            </w:r>
            <w:proofErr w:type="gramEnd"/>
            <w:r w:rsidRPr="00BF06FC">
              <w:t xml:space="preserve"> placebo + ADT) and therefore is associated with an inferior safety profile. However, these AEs are mild to moderate in severity, manageable (predominantly managed by dose reduction or temporary dose interruption), do not require discontinuation of apalutamide, are unlikely to impact patients </w:t>
            </w:r>
            <w:proofErr w:type="spellStart"/>
            <w:r w:rsidRPr="00BF06FC">
              <w:t>HRQoL</w:t>
            </w:r>
            <w:proofErr w:type="spellEnd"/>
            <w:r w:rsidRPr="00BF06FC">
              <w:t xml:space="preserve"> and are largely consistent with treatment with ADT. As such clinicians are familiar with these AEs and thus are experienced in their management and their prevention.</w:t>
            </w:r>
          </w:p>
        </w:tc>
      </w:tr>
    </w:tbl>
    <w:p w14:paraId="7608ADCE" w14:textId="77777777" w:rsidR="00814F74" w:rsidRPr="00BF06FC" w:rsidRDefault="00814F74" w:rsidP="00814F74">
      <w:pPr>
        <w:pStyle w:val="TableFigureFooter"/>
      </w:pPr>
      <w:r w:rsidRPr="00BF06FC">
        <w:t xml:space="preserve">Abbreviations: ADT=androgen deprivation therapy; ECOG=Eastern Cooperative Oncology Group (ECOG) Performance Status score; </w:t>
      </w:r>
      <w:proofErr w:type="spellStart"/>
      <w:r w:rsidRPr="00BF06FC">
        <w:t>HRQoL</w:t>
      </w:r>
      <w:proofErr w:type="spellEnd"/>
      <w:r w:rsidRPr="00BF06FC">
        <w:t xml:space="preserve">=health-related quality of life; LHRH=luteinising hormone releasing hormone; </w:t>
      </w:r>
      <w:proofErr w:type="spellStart"/>
      <w:r w:rsidRPr="00BF06FC">
        <w:t>mHSPC</w:t>
      </w:r>
      <w:proofErr w:type="spellEnd"/>
      <w:r w:rsidRPr="00BF06FC">
        <w:t xml:space="preserve">=metastatic hormone sensitive prostate cancer; OS=overall survival; </w:t>
      </w:r>
      <w:proofErr w:type="spellStart"/>
      <w:r w:rsidRPr="00BF06FC">
        <w:t>rPFS</w:t>
      </w:r>
      <w:proofErr w:type="spellEnd"/>
      <w:r w:rsidRPr="00BF06FC">
        <w:t xml:space="preserve">=radiographical progression free survival </w:t>
      </w:r>
    </w:p>
    <w:p w14:paraId="4600AB9A" w14:textId="77777777" w:rsidR="00814F74" w:rsidRPr="00BF06FC" w:rsidRDefault="00814F74" w:rsidP="00814F74">
      <w:pPr>
        <w:pStyle w:val="TableFigureFooter"/>
      </w:pPr>
      <w:r w:rsidRPr="00BF06FC">
        <w:t>Source: Table 1.1, p10 of the submission.</w:t>
      </w:r>
    </w:p>
    <w:p w14:paraId="22C3FEDA" w14:textId="77777777" w:rsidR="00814F74" w:rsidRPr="00BF06FC" w:rsidRDefault="00814F74" w:rsidP="00814F74">
      <w:pPr>
        <w:pStyle w:val="2-SectionHeading"/>
        <w:numPr>
          <w:ilvl w:val="0"/>
          <w:numId w:val="1"/>
        </w:numPr>
      </w:pPr>
      <w:bookmarkStart w:id="3" w:name="_Toc22898845"/>
      <w:bookmarkStart w:id="4" w:name="_Toc82609541"/>
      <w:r w:rsidRPr="00BF06FC">
        <w:lastRenderedPageBreak/>
        <w:t>Background</w:t>
      </w:r>
      <w:bookmarkEnd w:id="3"/>
      <w:bookmarkEnd w:id="4"/>
    </w:p>
    <w:p w14:paraId="5414A4BF" w14:textId="77777777" w:rsidR="00814F74" w:rsidRPr="00BF06FC" w:rsidRDefault="00814F74" w:rsidP="00814F74">
      <w:pPr>
        <w:pStyle w:val="4-SubsectionHeading"/>
      </w:pPr>
      <w:bookmarkStart w:id="5" w:name="_Toc22897638"/>
      <w:bookmarkStart w:id="6" w:name="_Toc22898846"/>
      <w:bookmarkStart w:id="7" w:name="_Toc82609542"/>
      <w:r w:rsidRPr="00BF06FC">
        <w:t>Registration status</w:t>
      </w:r>
      <w:bookmarkEnd w:id="5"/>
      <w:bookmarkEnd w:id="6"/>
      <w:bookmarkEnd w:id="7"/>
    </w:p>
    <w:p w14:paraId="37010C07" w14:textId="77777777" w:rsidR="00814F74" w:rsidRPr="00BF06FC" w:rsidRDefault="00814F74" w:rsidP="00814F74">
      <w:pPr>
        <w:pStyle w:val="3-BodyText"/>
        <w:spacing w:after="0"/>
      </w:pPr>
      <w:r w:rsidRPr="00BF06FC">
        <w:t>Apalutamide was registered by the TGA on 18 January 2021 for the following indication:</w:t>
      </w:r>
    </w:p>
    <w:p w14:paraId="3E373DD0" w14:textId="77777777" w:rsidR="00814F74" w:rsidRPr="00BF06FC" w:rsidRDefault="00814F74" w:rsidP="00814F74">
      <w:pPr>
        <w:pStyle w:val="3-BodyText"/>
        <w:numPr>
          <w:ilvl w:val="0"/>
          <w:numId w:val="0"/>
        </w:numPr>
        <w:spacing w:after="0"/>
        <w:ind w:left="720"/>
      </w:pPr>
      <w:r w:rsidRPr="00BF06FC">
        <w:t>“</w:t>
      </w:r>
      <w:r w:rsidR="00F540B0" w:rsidRPr="00BF06FC">
        <w:t>F</w:t>
      </w:r>
      <w:r w:rsidRPr="00BF06FC">
        <w:t>or the treatment of patients with:</w:t>
      </w:r>
    </w:p>
    <w:p w14:paraId="684B2329" w14:textId="77777777" w:rsidR="00814F74" w:rsidRPr="00BF06FC" w:rsidRDefault="00814F74" w:rsidP="00814F74">
      <w:pPr>
        <w:pStyle w:val="ListBullet"/>
        <w:tabs>
          <w:tab w:val="clear" w:pos="360"/>
        </w:tabs>
        <w:ind w:left="993" w:hanging="218"/>
      </w:pPr>
      <w:r w:rsidRPr="00BF06FC">
        <w:t xml:space="preserve">Metastatic castration sensitive prostate cancer or </w:t>
      </w:r>
    </w:p>
    <w:p w14:paraId="2590CA7E" w14:textId="77777777" w:rsidR="00814F74" w:rsidRPr="00BF06FC" w:rsidRDefault="00814F74" w:rsidP="00814F74">
      <w:pPr>
        <w:pStyle w:val="ListBullet"/>
        <w:tabs>
          <w:tab w:val="clear" w:pos="360"/>
        </w:tabs>
        <w:spacing w:after="240"/>
        <w:ind w:left="993" w:hanging="218"/>
      </w:pPr>
      <w:r w:rsidRPr="00BF06FC">
        <w:t>Non-metastatic, castration-resistant prostate cancer”</w:t>
      </w:r>
    </w:p>
    <w:p w14:paraId="3EB4FB25" w14:textId="77777777" w:rsidR="00FE58E8" w:rsidRPr="00FE58E8" w:rsidRDefault="00FE58E8" w:rsidP="00FE58E8">
      <w:pPr>
        <w:pStyle w:val="3-BodyText"/>
        <w:numPr>
          <w:ilvl w:val="0"/>
          <w:numId w:val="0"/>
        </w:numPr>
        <w:ind w:left="720"/>
        <w:rPr>
          <w:iCs/>
        </w:rPr>
      </w:pPr>
      <w:r w:rsidRPr="00FE58E8">
        <w:rPr>
          <w:i/>
        </w:rPr>
        <w:t>For more detail on PBAC’s view, see Section 7 PBAC outcome.</w:t>
      </w:r>
    </w:p>
    <w:p w14:paraId="40139D32" w14:textId="77777777" w:rsidR="00814F74" w:rsidRDefault="00814F74" w:rsidP="00203306">
      <w:pPr>
        <w:pStyle w:val="2-SectionHeading"/>
        <w:keepNext w:val="0"/>
        <w:pageBreakBefore/>
        <w:numPr>
          <w:ilvl w:val="0"/>
          <w:numId w:val="1"/>
        </w:numPr>
      </w:pPr>
      <w:bookmarkStart w:id="8" w:name="_Toc82609543"/>
      <w:r w:rsidRPr="00BF06FC">
        <w:lastRenderedPageBreak/>
        <w:t>Requested listing</w:t>
      </w:r>
      <w:bookmarkEnd w:id="8"/>
    </w:p>
    <w:p w14:paraId="4B827070" w14:textId="77777777" w:rsidR="005E3EAF" w:rsidRPr="00FE58E8" w:rsidRDefault="005E3EAF" w:rsidP="007A76D3">
      <w:pPr>
        <w:pStyle w:val="ListParagraph"/>
        <w:numPr>
          <w:ilvl w:val="0"/>
          <w:numId w:val="0"/>
        </w:numPr>
        <w:ind w:left="720"/>
        <w:rPr>
          <w:rFonts w:cs="Calibri"/>
          <w:bCs/>
          <w:i/>
          <w:highlight w:val="yellow"/>
        </w:rPr>
      </w:pPr>
    </w:p>
    <w:tbl>
      <w:tblPr>
        <w:tblW w:w="8953"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1276"/>
        <w:gridCol w:w="1134"/>
        <w:gridCol w:w="850"/>
        <w:gridCol w:w="1985"/>
        <w:gridCol w:w="1723"/>
      </w:tblGrid>
      <w:tr w:rsidR="00814F74" w:rsidRPr="00BF06FC" w14:paraId="161F943C" w14:textId="77777777" w:rsidTr="00DF5EF9">
        <w:tc>
          <w:tcPr>
            <w:tcW w:w="1985" w:type="dxa"/>
          </w:tcPr>
          <w:p w14:paraId="66205A64" w14:textId="77777777" w:rsidR="00814F74" w:rsidRPr="00BF06FC" w:rsidRDefault="00814F74" w:rsidP="00203306">
            <w:pPr>
              <w:pStyle w:val="Tabletext"/>
              <w:rPr>
                <w:b/>
                <w:bCs/>
              </w:rPr>
            </w:pPr>
            <w:r w:rsidRPr="00BF06FC">
              <w:rPr>
                <w:b/>
              </w:rPr>
              <w:t>Name, restriction, manner of administration, form</w:t>
            </w:r>
          </w:p>
        </w:tc>
        <w:tc>
          <w:tcPr>
            <w:tcW w:w="1276" w:type="dxa"/>
          </w:tcPr>
          <w:p w14:paraId="0238A924" w14:textId="77777777" w:rsidR="00814F74" w:rsidRPr="00BF06FC" w:rsidRDefault="00814F74" w:rsidP="00203306">
            <w:pPr>
              <w:pStyle w:val="Tabletext"/>
              <w:jc w:val="center"/>
              <w:rPr>
                <w:b/>
                <w:bCs/>
              </w:rPr>
            </w:pPr>
            <w:r w:rsidRPr="00BF06FC">
              <w:rPr>
                <w:b/>
              </w:rPr>
              <w:t>Maximum quantity (packs)</w:t>
            </w:r>
          </w:p>
        </w:tc>
        <w:tc>
          <w:tcPr>
            <w:tcW w:w="1134" w:type="dxa"/>
          </w:tcPr>
          <w:p w14:paraId="52BD7264" w14:textId="77777777" w:rsidR="00814F74" w:rsidRPr="00BF06FC" w:rsidRDefault="00814F74" w:rsidP="00203306">
            <w:pPr>
              <w:pStyle w:val="Tabletext"/>
              <w:jc w:val="center"/>
              <w:rPr>
                <w:b/>
                <w:bCs/>
              </w:rPr>
            </w:pPr>
            <w:r w:rsidRPr="00BF06FC">
              <w:rPr>
                <w:b/>
              </w:rPr>
              <w:t>Maximum quantity (units)</w:t>
            </w:r>
          </w:p>
        </w:tc>
        <w:tc>
          <w:tcPr>
            <w:tcW w:w="850" w:type="dxa"/>
          </w:tcPr>
          <w:p w14:paraId="48DA3588" w14:textId="77777777" w:rsidR="00814F74" w:rsidRPr="00BF06FC" w:rsidRDefault="00814F74" w:rsidP="00203306">
            <w:pPr>
              <w:pStyle w:val="Tabletext"/>
              <w:rPr>
                <w:b/>
                <w:bCs/>
              </w:rPr>
            </w:pPr>
            <w:r w:rsidRPr="00BF06FC">
              <w:rPr>
                <w:b/>
              </w:rPr>
              <w:t>No. of repeats</w:t>
            </w:r>
          </w:p>
        </w:tc>
        <w:tc>
          <w:tcPr>
            <w:tcW w:w="1985" w:type="dxa"/>
          </w:tcPr>
          <w:p w14:paraId="76446CA8" w14:textId="77777777" w:rsidR="00814F74" w:rsidRPr="00BF06FC" w:rsidRDefault="00814F74" w:rsidP="00203306">
            <w:pPr>
              <w:pStyle w:val="Tabletext"/>
              <w:rPr>
                <w:b/>
                <w:bCs/>
              </w:rPr>
            </w:pPr>
            <w:r w:rsidRPr="00BF06FC">
              <w:rPr>
                <w:b/>
              </w:rPr>
              <w:t>Dispensed price for maximum quantity</w:t>
            </w:r>
          </w:p>
        </w:tc>
        <w:tc>
          <w:tcPr>
            <w:tcW w:w="1723" w:type="dxa"/>
          </w:tcPr>
          <w:p w14:paraId="3A096976" w14:textId="77777777" w:rsidR="00814F74" w:rsidRPr="00BF06FC" w:rsidRDefault="00814F74" w:rsidP="00203306">
            <w:pPr>
              <w:pStyle w:val="Tabletext"/>
              <w:rPr>
                <w:b/>
                <w:bCs/>
              </w:rPr>
            </w:pPr>
            <w:r w:rsidRPr="00BF06FC">
              <w:rPr>
                <w:b/>
              </w:rPr>
              <w:t>Proprietary name and manufacturer</w:t>
            </w:r>
          </w:p>
        </w:tc>
      </w:tr>
      <w:tr w:rsidR="00814F74" w:rsidRPr="00BF06FC" w14:paraId="17D29E7A" w14:textId="77777777" w:rsidTr="00DF5EF9">
        <w:tc>
          <w:tcPr>
            <w:tcW w:w="1985" w:type="dxa"/>
            <w:tcBorders>
              <w:bottom w:val="nil"/>
            </w:tcBorders>
            <w:vAlign w:val="center"/>
          </w:tcPr>
          <w:p w14:paraId="54867665" w14:textId="77777777" w:rsidR="00814F74" w:rsidRPr="00BF06FC" w:rsidRDefault="00814F74" w:rsidP="00203306">
            <w:pPr>
              <w:pStyle w:val="Tabletext"/>
            </w:pPr>
            <w:r w:rsidRPr="00BF06FC">
              <w:rPr>
                <w:smallCaps/>
              </w:rPr>
              <w:t>Apalutamide</w:t>
            </w:r>
          </w:p>
        </w:tc>
        <w:tc>
          <w:tcPr>
            <w:tcW w:w="1276" w:type="dxa"/>
            <w:tcBorders>
              <w:bottom w:val="nil"/>
            </w:tcBorders>
            <w:vAlign w:val="center"/>
          </w:tcPr>
          <w:p w14:paraId="4578EE29" w14:textId="77777777" w:rsidR="00814F74" w:rsidRPr="00BF06FC" w:rsidRDefault="00814F74" w:rsidP="00203306">
            <w:pPr>
              <w:pStyle w:val="Tabletext"/>
              <w:jc w:val="center"/>
              <w:rPr>
                <w:rFonts w:ascii="Times" w:hAnsi="Times"/>
              </w:rPr>
            </w:pPr>
          </w:p>
        </w:tc>
        <w:tc>
          <w:tcPr>
            <w:tcW w:w="1134" w:type="dxa"/>
            <w:tcBorders>
              <w:bottom w:val="nil"/>
            </w:tcBorders>
            <w:vAlign w:val="center"/>
          </w:tcPr>
          <w:p w14:paraId="4B558332" w14:textId="77777777" w:rsidR="00814F74" w:rsidRPr="00BF06FC" w:rsidRDefault="00814F74" w:rsidP="00203306">
            <w:pPr>
              <w:pStyle w:val="Tabletext"/>
              <w:jc w:val="center"/>
              <w:rPr>
                <w:rFonts w:ascii="Times" w:hAnsi="Times"/>
              </w:rPr>
            </w:pPr>
          </w:p>
        </w:tc>
        <w:tc>
          <w:tcPr>
            <w:tcW w:w="850" w:type="dxa"/>
            <w:tcBorders>
              <w:bottom w:val="nil"/>
            </w:tcBorders>
            <w:vAlign w:val="center"/>
          </w:tcPr>
          <w:p w14:paraId="2A96E903" w14:textId="77777777" w:rsidR="00814F74" w:rsidRPr="00BF06FC" w:rsidRDefault="00814F74" w:rsidP="00203306">
            <w:pPr>
              <w:pStyle w:val="Tabletext"/>
              <w:jc w:val="center"/>
              <w:rPr>
                <w:rFonts w:ascii="Times" w:hAnsi="Times"/>
              </w:rPr>
            </w:pPr>
          </w:p>
        </w:tc>
        <w:tc>
          <w:tcPr>
            <w:tcW w:w="1985" w:type="dxa"/>
            <w:tcBorders>
              <w:bottom w:val="nil"/>
            </w:tcBorders>
            <w:vAlign w:val="center"/>
          </w:tcPr>
          <w:p w14:paraId="7A75D561" w14:textId="77777777" w:rsidR="00814F74" w:rsidRPr="00BF06FC" w:rsidRDefault="00814F74" w:rsidP="00203306">
            <w:pPr>
              <w:pStyle w:val="Tabletext"/>
              <w:jc w:val="center"/>
              <w:rPr>
                <w:rFonts w:ascii="Times" w:hAnsi="Times"/>
              </w:rPr>
            </w:pPr>
          </w:p>
        </w:tc>
        <w:tc>
          <w:tcPr>
            <w:tcW w:w="1723" w:type="dxa"/>
            <w:tcBorders>
              <w:bottom w:val="nil"/>
            </w:tcBorders>
            <w:vAlign w:val="center"/>
          </w:tcPr>
          <w:p w14:paraId="1587DA69" w14:textId="77777777" w:rsidR="00814F74" w:rsidRPr="00BF06FC" w:rsidRDefault="00814F74" w:rsidP="00203306">
            <w:pPr>
              <w:pStyle w:val="Tabletext"/>
              <w:jc w:val="center"/>
              <w:rPr>
                <w:rFonts w:ascii="Times" w:hAnsi="Times"/>
              </w:rPr>
            </w:pPr>
          </w:p>
        </w:tc>
      </w:tr>
      <w:tr w:rsidR="007D36C5" w:rsidRPr="00BF06FC" w14:paraId="1493F2B8" w14:textId="77777777" w:rsidTr="007D36C5">
        <w:trPr>
          <w:trHeight w:val="80"/>
        </w:trPr>
        <w:tc>
          <w:tcPr>
            <w:tcW w:w="1985" w:type="dxa"/>
            <w:tcBorders>
              <w:top w:val="nil"/>
            </w:tcBorders>
            <w:vAlign w:val="center"/>
          </w:tcPr>
          <w:p w14:paraId="061667DE" w14:textId="77777777" w:rsidR="007D36C5" w:rsidRPr="00BF06FC" w:rsidRDefault="007D36C5" w:rsidP="00203306">
            <w:pPr>
              <w:pStyle w:val="Tabletext"/>
              <w:rPr>
                <w:b/>
                <w:smallCaps/>
              </w:rPr>
            </w:pPr>
            <w:r w:rsidRPr="00BF06FC">
              <w:t>Oral tablet, 60 mg</w:t>
            </w:r>
          </w:p>
        </w:tc>
        <w:tc>
          <w:tcPr>
            <w:tcW w:w="1276" w:type="dxa"/>
            <w:tcBorders>
              <w:top w:val="nil"/>
            </w:tcBorders>
            <w:vAlign w:val="center"/>
          </w:tcPr>
          <w:p w14:paraId="249B764F" w14:textId="77777777" w:rsidR="007D36C5" w:rsidRPr="00BF06FC" w:rsidRDefault="007D36C5" w:rsidP="00203306">
            <w:pPr>
              <w:pStyle w:val="Tabletext"/>
              <w:jc w:val="center"/>
            </w:pPr>
            <w:r w:rsidRPr="00BF06FC">
              <w:t>1</w:t>
            </w:r>
          </w:p>
        </w:tc>
        <w:tc>
          <w:tcPr>
            <w:tcW w:w="1134" w:type="dxa"/>
            <w:tcBorders>
              <w:top w:val="nil"/>
            </w:tcBorders>
            <w:vAlign w:val="center"/>
          </w:tcPr>
          <w:p w14:paraId="7B167330" w14:textId="77777777" w:rsidR="007D36C5" w:rsidRPr="00BF06FC" w:rsidRDefault="007D36C5" w:rsidP="00203306">
            <w:pPr>
              <w:pStyle w:val="Tabletext"/>
              <w:jc w:val="center"/>
            </w:pPr>
            <w:r w:rsidRPr="00BF06FC">
              <w:t>120</w:t>
            </w:r>
          </w:p>
        </w:tc>
        <w:tc>
          <w:tcPr>
            <w:tcW w:w="850" w:type="dxa"/>
            <w:tcBorders>
              <w:top w:val="nil"/>
            </w:tcBorders>
            <w:vAlign w:val="center"/>
          </w:tcPr>
          <w:p w14:paraId="274DE503" w14:textId="77777777" w:rsidR="007D36C5" w:rsidRPr="00BF06FC" w:rsidRDefault="007D36C5" w:rsidP="00203306">
            <w:pPr>
              <w:pStyle w:val="Tabletext"/>
              <w:jc w:val="center"/>
            </w:pPr>
            <w:r w:rsidRPr="00BF06FC">
              <w:t>5</w:t>
            </w:r>
          </w:p>
        </w:tc>
        <w:tc>
          <w:tcPr>
            <w:tcW w:w="1985" w:type="dxa"/>
            <w:tcBorders>
              <w:top w:val="nil"/>
            </w:tcBorders>
            <w:vAlign w:val="center"/>
          </w:tcPr>
          <w:p w14:paraId="72575F35" w14:textId="77777777" w:rsidR="007D36C5" w:rsidRPr="00BF06FC" w:rsidRDefault="007D36C5" w:rsidP="00203306">
            <w:pPr>
              <w:pStyle w:val="Tabletext"/>
              <w:jc w:val="center"/>
            </w:pPr>
            <w:r w:rsidRPr="00BF06FC">
              <w:t>$</w:t>
            </w:r>
            <w:r w:rsidR="002037C2">
              <w:rPr>
                <w:noProof/>
                <w:color w:val="000000"/>
                <w:highlight w:val="black"/>
              </w:rPr>
              <w:t>'''''''''''''''''''''''</w:t>
            </w:r>
            <w:r w:rsidRPr="00BF06FC">
              <w:t xml:space="preserve"> (Published)^</w:t>
            </w:r>
          </w:p>
          <w:p w14:paraId="1CEC5A29" w14:textId="77777777" w:rsidR="007D36C5" w:rsidRPr="00BF06FC" w:rsidRDefault="007D36C5" w:rsidP="00203306">
            <w:pPr>
              <w:pStyle w:val="Tabletext"/>
              <w:jc w:val="center"/>
            </w:pPr>
            <w:r w:rsidRPr="00BF06FC">
              <w:t>$</w:t>
            </w:r>
            <w:r w:rsidR="002037C2">
              <w:rPr>
                <w:noProof/>
                <w:color w:val="000000"/>
                <w:highlight w:val="black"/>
              </w:rPr>
              <w:t xml:space="preserve">'''''''''''''''''''''' </w:t>
            </w:r>
            <w:r w:rsidRPr="00BF06FC">
              <w:t>(Effective)</w:t>
            </w:r>
          </w:p>
        </w:tc>
        <w:tc>
          <w:tcPr>
            <w:tcW w:w="1723" w:type="dxa"/>
            <w:tcBorders>
              <w:top w:val="nil"/>
            </w:tcBorders>
            <w:vAlign w:val="center"/>
          </w:tcPr>
          <w:p w14:paraId="324B8B92" w14:textId="77777777" w:rsidR="007D36C5" w:rsidRPr="00BF06FC" w:rsidRDefault="007D36C5" w:rsidP="00203306">
            <w:pPr>
              <w:pStyle w:val="Tabletext"/>
              <w:jc w:val="center"/>
            </w:pPr>
            <w:r w:rsidRPr="00BF06FC">
              <w:t>ERLYAND</w:t>
            </w:r>
            <w:r w:rsidRPr="00BF06FC">
              <w:rPr>
                <w:vertAlign w:val="superscript"/>
              </w:rPr>
              <w:t>®</w:t>
            </w:r>
          </w:p>
          <w:p w14:paraId="17362E1E" w14:textId="77777777" w:rsidR="007D36C5" w:rsidRPr="00BF06FC" w:rsidRDefault="007D36C5" w:rsidP="00203306">
            <w:pPr>
              <w:pStyle w:val="Tabletext"/>
              <w:jc w:val="center"/>
            </w:pPr>
            <w:r w:rsidRPr="00BF06FC">
              <w:t>Janssen-</w:t>
            </w:r>
            <w:proofErr w:type="spellStart"/>
            <w:r w:rsidRPr="00BF06FC">
              <w:t>Cilag</w:t>
            </w:r>
            <w:proofErr w:type="spellEnd"/>
            <w:r w:rsidRPr="00BF06FC">
              <w:t xml:space="preserve"> Pty Ltd</w:t>
            </w:r>
          </w:p>
        </w:tc>
      </w:tr>
    </w:tbl>
    <w:p w14:paraId="0AD32AB4" w14:textId="77777777" w:rsidR="00814F74" w:rsidRPr="00BF06FC" w:rsidRDefault="00814F74" w:rsidP="00203306">
      <w:pPr>
        <w:pStyle w:val="TableFooter"/>
        <w:tabs>
          <w:tab w:val="left" w:pos="142"/>
        </w:tabs>
      </w:pPr>
      <w:r w:rsidRPr="00BF06FC">
        <w:t>^</w:t>
      </w:r>
      <w:r w:rsidRPr="00BF06FC">
        <w:tab/>
        <w:t xml:space="preserve">Using July 2021 </w:t>
      </w:r>
      <w:r w:rsidR="00184194" w:rsidRPr="00184194">
        <w:t>mark-ups and fees</w:t>
      </w:r>
      <w:r w:rsidRPr="00BF06FC">
        <w:t xml:space="preserve">, the published DPMQ for apalutamide is </w:t>
      </w:r>
      <w:bookmarkStart w:id="9" w:name="_Hlk81832005"/>
      <w:r w:rsidRPr="00BF06FC">
        <w:t>$</w:t>
      </w:r>
      <w:bookmarkEnd w:id="9"/>
      <w:r w:rsidR="002037C2">
        <w:rPr>
          <w:noProof/>
          <w:color w:val="000000"/>
          <w:highlight w:val="black"/>
        </w:rPr>
        <w:t>'''''''''''''''''''''</w:t>
      </w:r>
    </w:p>
    <w:p w14:paraId="6219F529" w14:textId="77777777" w:rsidR="007D36C5" w:rsidRPr="00BF06FC" w:rsidRDefault="007D36C5" w:rsidP="00203306">
      <w:pPr>
        <w:pStyle w:val="TableFooter"/>
        <w:tabs>
          <w:tab w:val="left" w:pos="142"/>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7"/>
        <w:gridCol w:w="7313"/>
        <w:gridCol w:w="7"/>
      </w:tblGrid>
      <w:tr w:rsidR="00814F74" w:rsidRPr="00BF06FC" w14:paraId="6150A6F7" w14:textId="77777777" w:rsidTr="007D36C5">
        <w:trPr>
          <w:gridAfter w:val="1"/>
          <w:wAfter w:w="4" w:type="pct"/>
          <w:trHeight w:val="20"/>
        </w:trPr>
        <w:tc>
          <w:tcPr>
            <w:tcW w:w="941" w:type="pct"/>
            <w:tcBorders>
              <w:top w:val="single" w:sz="4" w:space="0" w:color="auto"/>
              <w:left w:val="single" w:sz="4" w:space="0" w:color="auto"/>
              <w:bottom w:val="single" w:sz="4" w:space="0" w:color="auto"/>
              <w:right w:val="single" w:sz="4" w:space="0" w:color="auto"/>
            </w:tcBorders>
            <w:hideMark/>
          </w:tcPr>
          <w:p w14:paraId="18DF0176" w14:textId="77777777" w:rsidR="00814F74" w:rsidRPr="00BF06FC" w:rsidRDefault="00814F74" w:rsidP="00203306">
            <w:pPr>
              <w:pStyle w:val="Tabletext"/>
            </w:pPr>
            <w:r w:rsidRPr="00BF06FC">
              <w:t>Category/Program:</w:t>
            </w:r>
          </w:p>
        </w:tc>
        <w:tc>
          <w:tcPr>
            <w:tcW w:w="4055" w:type="pct"/>
            <w:tcBorders>
              <w:top w:val="single" w:sz="4" w:space="0" w:color="auto"/>
              <w:left w:val="single" w:sz="4" w:space="0" w:color="auto"/>
              <w:bottom w:val="single" w:sz="4" w:space="0" w:color="auto"/>
              <w:right w:val="single" w:sz="4" w:space="0" w:color="auto"/>
            </w:tcBorders>
          </w:tcPr>
          <w:p w14:paraId="3E47BDFF" w14:textId="77777777" w:rsidR="00814F74" w:rsidRPr="00BF06FC" w:rsidRDefault="00814F74" w:rsidP="00203306">
            <w:pPr>
              <w:pStyle w:val="Tabletext"/>
            </w:pPr>
            <w:r w:rsidRPr="00BF06FC">
              <w:t>GENERAL – General Schedule (Code GE)</w:t>
            </w:r>
          </w:p>
        </w:tc>
      </w:tr>
      <w:tr w:rsidR="00814F74" w:rsidRPr="00BF06FC" w14:paraId="3694C90D" w14:textId="77777777" w:rsidTr="007D36C5">
        <w:trPr>
          <w:gridAfter w:val="1"/>
          <w:wAfter w:w="4" w:type="pct"/>
          <w:trHeight w:val="20"/>
        </w:trPr>
        <w:tc>
          <w:tcPr>
            <w:tcW w:w="941" w:type="pct"/>
            <w:tcBorders>
              <w:top w:val="single" w:sz="4" w:space="0" w:color="auto"/>
              <w:left w:val="single" w:sz="4" w:space="0" w:color="auto"/>
              <w:bottom w:val="single" w:sz="4" w:space="0" w:color="auto"/>
              <w:right w:val="single" w:sz="4" w:space="0" w:color="auto"/>
            </w:tcBorders>
            <w:hideMark/>
          </w:tcPr>
          <w:p w14:paraId="6E224EEF" w14:textId="77777777" w:rsidR="00814F74" w:rsidRPr="00BF06FC" w:rsidRDefault="00814F74" w:rsidP="00203306">
            <w:pPr>
              <w:pStyle w:val="Tabletext"/>
            </w:pPr>
            <w:r w:rsidRPr="00BF06FC">
              <w:t>PBS indication:</w:t>
            </w:r>
          </w:p>
        </w:tc>
        <w:tc>
          <w:tcPr>
            <w:tcW w:w="4055" w:type="pct"/>
            <w:tcBorders>
              <w:top w:val="single" w:sz="4" w:space="0" w:color="auto"/>
              <w:left w:val="single" w:sz="4" w:space="0" w:color="auto"/>
              <w:bottom w:val="single" w:sz="4" w:space="0" w:color="auto"/>
              <w:right w:val="single" w:sz="4" w:space="0" w:color="auto"/>
            </w:tcBorders>
          </w:tcPr>
          <w:p w14:paraId="353B14AC" w14:textId="77777777" w:rsidR="00814F74" w:rsidRPr="00BF06FC" w:rsidRDefault="00814F74" w:rsidP="00203306">
            <w:pPr>
              <w:pStyle w:val="Tabletext"/>
            </w:pPr>
            <w:r w:rsidRPr="00BF06FC">
              <w:t>Castration sensitive metastatic carcinoma of the prostate</w:t>
            </w:r>
          </w:p>
        </w:tc>
      </w:tr>
      <w:tr w:rsidR="00814F74" w:rsidRPr="00BF06FC" w14:paraId="1D5D7F6B" w14:textId="77777777" w:rsidTr="007D36C5">
        <w:trPr>
          <w:gridAfter w:val="1"/>
          <w:wAfter w:w="4" w:type="pct"/>
          <w:trHeight w:val="20"/>
        </w:trPr>
        <w:tc>
          <w:tcPr>
            <w:tcW w:w="941" w:type="pct"/>
            <w:tcBorders>
              <w:top w:val="single" w:sz="4" w:space="0" w:color="auto"/>
              <w:left w:val="single" w:sz="4" w:space="0" w:color="auto"/>
              <w:bottom w:val="single" w:sz="4" w:space="0" w:color="auto"/>
              <w:right w:val="single" w:sz="4" w:space="0" w:color="auto"/>
            </w:tcBorders>
            <w:hideMark/>
          </w:tcPr>
          <w:p w14:paraId="04F1C4E7" w14:textId="77777777" w:rsidR="00814F74" w:rsidRPr="00BF06FC" w:rsidRDefault="00814F74" w:rsidP="00203306">
            <w:pPr>
              <w:pStyle w:val="Tabletext"/>
            </w:pPr>
            <w:r w:rsidRPr="00BF06FC">
              <w:t>Treatment phase:</w:t>
            </w:r>
          </w:p>
        </w:tc>
        <w:tc>
          <w:tcPr>
            <w:tcW w:w="4055" w:type="pct"/>
            <w:tcBorders>
              <w:top w:val="single" w:sz="4" w:space="0" w:color="auto"/>
              <w:left w:val="single" w:sz="4" w:space="0" w:color="auto"/>
              <w:bottom w:val="single" w:sz="4" w:space="0" w:color="auto"/>
              <w:right w:val="single" w:sz="4" w:space="0" w:color="auto"/>
            </w:tcBorders>
          </w:tcPr>
          <w:p w14:paraId="4A1B88D7" w14:textId="77777777" w:rsidR="00814F74" w:rsidRPr="00BF06FC" w:rsidRDefault="00814F74" w:rsidP="00203306">
            <w:pPr>
              <w:pStyle w:val="Tabletext"/>
            </w:pPr>
            <w:r w:rsidRPr="00BF06FC">
              <w:t>Initial</w:t>
            </w:r>
          </w:p>
        </w:tc>
      </w:tr>
      <w:tr w:rsidR="00814F74" w:rsidRPr="00BF06FC" w14:paraId="3B7E8C21" w14:textId="77777777" w:rsidTr="007D36C5">
        <w:trPr>
          <w:gridAfter w:val="1"/>
          <w:wAfter w:w="4" w:type="pct"/>
          <w:trHeight w:val="20"/>
        </w:trPr>
        <w:tc>
          <w:tcPr>
            <w:tcW w:w="941" w:type="pct"/>
            <w:tcBorders>
              <w:top w:val="single" w:sz="4" w:space="0" w:color="auto"/>
              <w:left w:val="single" w:sz="4" w:space="0" w:color="auto"/>
              <w:bottom w:val="single" w:sz="4" w:space="0" w:color="auto"/>
              <w:right w:val="single" w:sz="4" w:space="0" w:color="auto"/>
            </w:tcBorders>
            <w:hideMark/>
          </w:tcPr>
          <w:p w14:paraId="26EDE126" w14:textId="77777777" w:rsidR="00814F74" w:rsidRPr="00BF06FC" w:rsidRDefault="00814F74" w:rsidP="00203306">
            <w:pPr>
              <w:pStyle w:val="Tabletext"/>
            </w:pPr>
            <w:r w:rsidRPr="00BF06FC">
              <w:t>Restriction</w:t>
            </w:r>
            <w:r w:rsidR="00F540B0" w:rsidRPr="00BF06FC">
              <w:t xml:space="preserve"> level</w:t>
            </w:r>
            <w:r w:rsidRPr="00BF06FC">
              <w:t>:</w:t>
            </w:r>
          </w:p>
        </w:tc>
        <w:tc>
          <w:tcPr>
            <w:tcW w:w="4055" w:type="pct"/>
            <w:tcBorders>
              <w:top w:val="single" w:sz="4" w:space="0" w:color="auto"/>
              <w:left w:val="single" w:sz="4" w:space="0" w:color="auto"/>
              <w:bottom w:val="single" w:sz="4" w:space="0" w:color="auto"/>
              <w:right w:val="single" w:sz="4" w:space="0" w:color="auto"/>
            </w:tcBorders>
          </w:tcPr>
          <w:p w14:paraId="0EE327E7" w14:textId="77777777" w:rsidR="00814F74" w:rsidRPr="00BF06FC" w:rsidRDefault="00814F74" w:rsidP="00203306">
            <w:pPr>
              <w:pStyle w:val="Tabletext"/>
            </w:pPr>
            <w:r w:rsidRPr="00BF06FC">
              <w:t>Authority Required – Telephone, Electronic</w:t>
            </w:r>
          </w:p>
        </w:tc>
      </w:tr>
      <w:tr w:rsidR="00814F74" w:rsidRPr="00BF06FC" w14:paraId="0790E8EC" w14:textId="77777777" w:rsidTr="007D36C5">
        <w:trPr>
          <w:gridAfter w:val="1"/>
          <w:wAfter w:w="4" w:type="pct"/>
          <w:trHeight w:val="20"/>
        </w:trPr>
        <w:tc>
          <w:tcPr>
            <w:tcW w:w="941" w:type="pct"/>
            <w:tcBorders>
              <w:top w:val="single" w:sz="4" w:space="0" w:color="auto"/>
              <w:left w:val="single" w:sz="4" w:space="0" w:color="auto"/>
              <w:bottom w:val="single" w:sz="4" w:space="0" w:color="auto"/>
              <w:right w:val="single" w:sz="4" w:space="0" w:color="auto"/>
            </w:tcBorders>
            <w:hideMark/>
          </w:tcPr>
          <w:p w14:paraId="00D2A536" w14:textId="77777777" w:rsidR="00814F74" w:rsidRPr="00BF06FC" w:rsidRDefault="00814F74" w:rsidP="00203306">
            <w:pPr>
              <w:pStyle w:val="Tabletext"/>
            </w:pPr>
            <w:r w:rsidRPr="00BF06FC">
              <w:t>Clinical criteria:</w:t>
            </w:r>
          </w:p>
        </w:tc>
        <w:tc>
          <w:tcPr>
            <w:tcW w:w="4055" w:type="pct"/>
            <w:tcBorders>
              <w:top w:val="single" w:sz="4" w:space="0" w:color="auto"/>
              <w:left w:val="single" w:sz="4" w:space="0" w:color="auto"/>
              <w:bottom w:val="single" w:sz="4" w:space="0" w:color="auto"/>
              <w:right w:val="single" w:sz="4" w:space="0" w:color="auto"/>
            </w:tcBorders>
          </w:tcPr>
          <w:p w14:paraId="2C18A637" w14:textId="77777777" w:rsidR="00814F74" w:rsidRPr="00BF06FC" w:rsidRDefault="00814F74" w:rsidP="00203306">
            <w:pPr>
              <w:pStyle w:val="TableText0"/>
              <w:keepNext w:val="0"/>
              <w:rPr>
                <w:rFonts w:cs="Arial"/>
              </w:rPr>
            </w:pPr>
            <w:r w:rsidRPr="00BF06FC">
              <w:rPr>
                <w:rFonts w:cs="Arial"/>
              </w:rPr>
              <w:t>Patient must have low volume metastases defined as no visceral metastases and less than 4 bone lesions</w:t>
            </w:r>
          </w:p>
          <w:p w14:paraId="48AD5C28" w14:textId="77777777" w:rsidR="00814F74" w:rsidRPr="00BF06FC" w:rsidRDefault="00814F74" w:rsidP="00203306">
            <w:pPr>
              <w:pStyle w:val="TableText0"/>
              <w:keepNext w:val="0"/>
              <w:rPr>
                <w:rFonts w:cs="Arial"/>
              </w:rPr>
            </w:pPr>
            <w:r w:rsidRPr="00BF06FC">
              <w:rPr>
                <w:rFonts w:cs="Arial"/>
              </w:rPr>
              <w:t>OR</w:t>
            </w:r>
          </w:p>
          <w:p w14:paraId="3DB53725" w14:textId="77777777" w:rsidR="00814F74" w:rsidRPr="00BF06FC" w:rsidRDefault="00814F74" w:rsidP="00203306">
            <w:pPr>
              <w:pStyle w:val="TableText0"/>
              <w:keepNext w:val="0"/>
              <w:rPr>
                <w:rFonts w:cs="Arial"/>
              </w:rPr>
            </w:pPr>
            <w:r w:rsidRPr="00BF06FC">
              <w:rPr>
                <w:rFonts w:cs="Arial"/>
              </w:rPr>
              <w:t>Patient must be contraindicated or have comorbidities that are unsuitable for docetaxel</w:t>
            </w:r>
          </w:p>
          <w:p w14:paraId="6C11690B" w14:textId="77777777" w:rsidR="00814F74" w:rsidRPr="00BF06FC" w:rsidRDefault="00814F74" w:rsidP="00203306">
            <w:pPr>
              <w:pStyle w:val="TableText0"/>
              <w:keepNext w:val="0"/>
              <w:rPr>
                <w:rFonts w:cs="Arial"/>
              </w:rPr>
            </w:pPr>
            <w:r w:rsidRPr="00BF06FC">
              <w:rPr>
                <w:rFonts w:cs="Arial"/>
              </w:rPr>
              <w:t>AND</w:t>
            </w:r>
          </w:p>
          <w:p w14:paraId="72F7CCB2" w14:textId="77777777" w:rsidR="00814F74" w:rsidRPr="00BF06FC" w:rsidRDefault="00814F74" w:rsidP="00203306">
            <w:pPr>
              <w:pStyle w:val="TableText0"/>
              <w:keepNext w:val="0"/>
              <w:rPr>
                <w:rFonts w:cs="Arial"/>
              </w:rPr>
            </w:pPr>
            <w:r w:rsidRPr="00BF06FC">
              <w:rPr>
                <w:rFonts w:cs="Arial"/>
              </w:rPr>
              <w:t>Treatment must be used in combination with androgen deprivation therapy</w:t>
            </w:r>
          </w:p>
          <w:p w14:paraId="2774B2B0" w14:textId="77777777" w:rsidR="00814F74" w:rsidRPr="00BF06FC" w:rsidRDefault="00814F74" w:rsidP="00203306">
            <w:pPr>
              <w:pStyle w:val="TableText0"/>
              <w:keepNext w:val="0"/>
              <w:rPr>
                <w:rFonts w:cs="Arial"/>
              </w:rPr>
            </w:pPr>
            <w:r w:rsidRPr="00BF06FC">
              <w:rPr>
                <w:rFonts w:cs="Arial"/>
              </w:rPr>
              <w:t xml:space="preserve">AND </w:t>
            </w:r>
          </w:p>
          <w:p w14:paraId="42F7E4AD" w14:textId="77777777" w:rsidR="00814F74" w:rsidRPr="00BF06FC" w:rsidRDefault="00814F74" w:rsidP="00203306">
            <w:pPr>
              <w:pStyle w:val="TableText0"/>
              <w:keepNext w:val="0"/>
              <w:rPr>
                <w:rFonts w:cs="Arial"/>
              </w:rPr>
            </w:pPr>
            <w:r w:rsidRPr="00BF06FC">
              <w:rPr>
                <w:rFonts w:cs="Arial"/>
              </w:rPr>
              <w:t>Patients must not have received prior PBS-subsidised treatment with abiraterone or enzalutamide</w:t>
            </w:r>
          </w:p>
          <w:p w14:paraId="3B0C996A" w14:textId="77777777" w:rsidR="00814F74" w:rsidRPr="00BF06FC" w:rsidRDefault="00814F74" w:rsidP="00203306">
            <w:pPr>
              <w:pStyle w:val="TableText0"/>
              <w:keepNext w:val="0"/>
              <w:rPr>
                <w:rFonts w:cs="Arial"/>
              </w:rPr>
            </w:pPr>
            <w:r w:rsidRPr="00BF06FC">
              <w:rPr>
                <w:rFonts w:cs="Arial"/>
              </w:rPr>
              <w:t>AND</w:t>
            </w:r>
          </w:p>
          <w:p w14:paraId="6D6645CE" w14:textId="77777777" w:rsidR="00814F74" w:rsidRPr="00BF06FC" w:rsidRDefault="00814F74" w:rsidP="00203306">
            <w:pPr>
              <w:pStyle w:val="Tabletext"/>
            </w:pPr>
            <w:r w:rsidRPr="00BF06FC">
              <w:rPr>
                <w:rFonts w:cs="Arial"/>
              </w:rPr>
              <w:t>Patients who have progressive disease while on this drug are no longer eligible for PBS-subsidised treatment with this drug</w:t>
            </w:r>
          </w:p>
        </w:tc>
      </w:tr>
      <w:tr w:rsidR="00814F74" w:rsidRPr="00BF06FC" w14:paraId="3128550C" w14:textId="77777777" w:rsidTr="007D36C5">
        <w:trPr>
          <w:gridAfter w:val="1"/>
          <w:wAfter w:w="4" w:type="pct"/>
          <w:trHeight w:val="20"/>
        </w:trPr>
        <w:tc>
          <w:tcPr>
            <w:tcW w:w="941" w:type="pct"/>
            <w:tcBorders>
              <w:top w:val="single" w:sz="4" w:space="0" w:color="auto"/>
              <w:left w:val="single" w:sz="4" w:space="0" w:color="auto"/>
              <w:bottom w:val="single" w:sz="4" w:space="0" w:color="auto"/>
              <w:right w:val="single" w:sz="4" w:space="0" w:color="auto"/>
            </w:tcBorders>
            <w:hideMark/>
          </w:tcPr>
          <w:p w14:paraId="5D446D97" w14:textId="77777777" w:rsidR="00814F74" w:rsidRPr="00BF06FC" w:rsidRDefault="00814F74" w:rsidP="00203306">
            <w:pPr>
              <w:pStyle w:val="Tabletext"/>
            </w:pPr>
            <w:r w:rsidRPr="00BF06FC">
              <w:t>Prescriber criteria:</w:t>
            </w:r>
          </w:p>
        </w:tc>
        <w:tc>
          <w:tcPr>
            <w:tcW w:w="4055" w:type="pct"/>
            <w:tcBorders>
              <w:top w:val="single" w:sz="4" w:space="0" w:color="auto"/>
              <w:left w:val="single" w:sz="4" w:space="0" w:color="auto"/>
              <w:bottom w:val="single" w:sz="4" w:space="0" w:color="auto"/>
              <w:right w:val="single" w:sz="4" w:space="0" w:color="auto"/>
            </w:tcBorders>
          </w:tcPr>
          <w:p w14:paraId="252D1B1D" w14:textId="77777777" w:rsidR="00814F74" w:rsidRPr="00BF06FC" w:rsidRDefault="00814F74" w:rsidP="00203306">
            <w:pPr>
              <w:pStyle w:val="TableText0"/>
              <w:keepNext w:val="0"/>
            </w:pPr>
            <w:r w:rsidRPr="00BF06FC">
              <w:t>Patients must have one of the following contraindications or comorbidities, or meet the ECOG performance score, to satisfy the criterion of being unsuitable for docetaxel:</w:t>
            </w:r>
          </w:p>
          <w:p w14:paraId="4E75F888" w14:textId="77777777" w:rsidR="00814F74" w:rsidRPr="00BF06FC" w:rsidRDefault="00814F74" w:rsidP="00203306">
            <w:pPr>
              <w:pStyle w:val="TableText0"/>
              <w:keepNext w:val="0"/>
            </w:pPr>
            <w:r w:rsidRPr="00BF06FC">
              <w:t>Contraindications:</w:t>
            </w:r>
          </w:p>
          <w:p w14:paraId="1ECC60CF" w14:textId="77777777" w:rsidR="00814F74" w:rsidRPr="00BF06FC" w:rsidRDefault="00814F74" w:rsidP="00203306">
            <w:pPr>
              <w:pStyle w:val="TableText0"/>
              <w:keepNext w:val="0"/>
              <w:numPr>
                <w:ilvl w:val="0"/>
                <w:numId w:val="8"/>
              </w:numPr>
              <w:ind w:left="394" w:hanging="284"/>
            </w:pPr>
            <w:r w:rsidRPr="00BF06FC">
              <w:t>Dementia,</w:t>
            </w:r>
          </w:p>
          <w:p w14:paraId="21AAB227" w14:textId="77777777" w:rsidR="00814F74" w:rsidRPr="00BF06FC" w:rsidRDefault="00814F74" w:rsidP="00203306">
            <w:pPr>
              <w:pStyle w:val="TableText0"/>
              <w:keepNext w:val="0"/>
              <w:numPr>
                <w:ilvl w:val="0"/>
                <w:numId w:val="8"/>
              </w:numPr>
              <w:ind w:left="394" w:hanging="284"/>
            </w:pPr>
            <w:r w:rsidRPr="00BF06FC">
              <w:t>Hypersensitivity,</w:t>
            </w:r>
          </w:p>
          <w:p w14:paraId="2C814A8D" w14:textId="77777777" w:rsidR="00814F74" w:rsidRPr="00BF06FC" w:rsidRDefault="00814F74" w:rsidP="00203306">
            <w:pPr>
              <w:pStyle w:val="TableText0"/>
              <w:keepNext w:val="0"/>
              <w:numPr>
                <w:ilvl w:val="0"/>
                <w:numId w:val="8"/>
              </w:numPr>
              <w:ind w:left="394" w:hanging="284"/>
            </w:pPr>
            <w:r w:rsidRPr="00BF06FC">
              <w:t>Severe liver impairment</w:t>
            </w:r>
          </w:p>
          <w:p w14:paraId="7715C887" w14:textId="77777777" w:rsidR="00814F74" w:rsidRPr="00BF06FC" w:rsidRDefault="00814F74" w:rsidP="00203306">
            <w:pPr>
              <w:pStyle w:val="TableText0"/>
              <w:keepNext w:val="0"/>
              <w:numPr>
                <w:ilvl w:val="0"/>
                <w:numId w:val="8"/>
              </w:numPr>
              <w:ind w:left="394" w:hanging="284"/>
            </w:pPr>
            <w:r w:rsidRPr="00BF06FC">
              <w:t>Uncontrolled serious disease (such as infections, inflammatory, autoimmune disease), or</w:t>
            </w:r>
          </w:p>
          <w:p w14:paraId="19BAE3EC" w14:textId="77777777" w:rsidR="00814F74" w:rsidRPr="00BF06FC" w:rsidRDefault="00814F74" w:rsidP="00203306">
            <w:pPr>
              <w:pStyle w:val="TableText0"/>
              <w:keepNext w:val="0"/>
              <w:numPr>
                <w:ilvl w:val="0"/>
                <w:numId w:val="8"/>
              </w:numPr>
              <w:ind w:left="394" w:hanging="284"/>
            </w:pPr>
            <w:r w:rsidRPr="00BF06FC">
              <w:t xml:space="preserve">Neutrophil count &lt; 1500 </w:t>
            </w:r>
            <w:proofErr w:type="spellStart"/>
            <w:r w:rsidRPr="00BF06FC">
              <w:t>uL</w:t>
            </w:r>
            <w:proofErr w:type="spellEnd"/>
            <w:r w:rsidRPr="00BF06FC">
              <w:t>.</w:t>
            </w:r>
          </w:p>
          <w:p w14:paraId="31C69865" w14:textId="77777777" w:rsidR="00814F74" w:rsidRPr="00BF06FC" w:rsidRDefault="00814F74" w:rsidP="00203306">
            <w:pPr>
              <w:pStyle w:val="TableText0"/>
              <w:keepNext w:val="0"/>
            </w:pPr>
            <w:r w:rsidRPr="00BF06FC">
              <w:t>Comorbidities:</w:t>
            </w:r>
          </w:p>
          <w:p w14:paraId="2AD1355B" w14:textId="77777777" w:rsidR="00814F74" w:rsidRPr="00BF06FC" w:rsidRDefault="00814F74" w:rsidP="00203306">
            <w:pPr>
              <w:pStyle w:val="TableText0"/>
              <w:keepNext w:val="0"/>
              <w:numPr>
                <w:ilvl w:val="0"/>
                <w:numId w:val="8"/>
              </w:numPr>
              <w:ind w:left="394" w:hanging="284"/>
            </w:pPr>
            <w:r w:rsidRPr="00BF06FC">
              <w:t>Renal insufficiency,</w:t>
            </w:r>
          </w:p>
          <w:p w14:paraId="36F8B5A8" w14:textId="77777777" w:rsidR="00814F74" w:rsidRPr="00BF06FC" w:rsidRDefault="00814F74" w:rsidP="00203306">
            <w:pPr>
              <w:pStyle w:val="TableText0"/>
              <w:keepNext w:val="0"/>
              <w:numPr>
                <w:ilvl w:val="0"/>
                <w:numId w:val="8"/>
              </w:numPr>
              <w:ind w:left="394" w:hanging="284"/>
            </w:pPr>
            <w:r w:rsidRPr="00BF06FC">
              <w:t>Hepatic insufficiency,</w:t>
            </w:r>
          </w:p>
          <w:p w14:paraId="7E5DC073" w14:textId="77777777" w:rsidR="00814F74" w:rsidRPr="00BF06FC" w:rsidRDefault="00814F74" w:rsidP="00203306">
            <w:pPr>
              <w:pStyle w:val="TableText0"/>
              <w:keepNext w:val="0"/>
              <w:numPr>
                <w:ilvl w:val="0"/>
                <w:numId w:val="8"/>
              </w:numPr>
              <w:ind w:left="394" w:hanging="284"/>
            </w:pPr>
            <w:r w:rsidRPr="00BF06FC">
              <w:t>Peripheral neuropathy,</w:t>
            </w:r>
          </w:p>
          <w:p w14:paraId="6DACF47C" w14:textId="77777777" w:rsidR="00814F74" w:rsidRPr="00BF06FC" w:rsidRDefault="00814F74" w:rsidP="00203306">
            <w:pPr>
              <w:pStyle w:val="TableText0"/>
              <w:keepNext w:val="0"/>
              <w:numPr>
                <w:ilvl w:val="0"/>
                <w:numId w:val="8"/>
              </w:numPr>
              <w:ind w:left="394" w:hanging="284"/>
            </w:pPr>
            <w:r w:rsidRPr="00BF06FC">
              <w:t>Diabetes,</w:t>
            </w:r>
          </w:p>
          <w:p w14:paraId="1F2C2ADE" w14:textId="77777777" w:rsidR="00814F74" w:rsidRPr="00BF06FC" w:rsidRDefault="00814F74" w:rsidP="00203306">
            <w:pPr>
              <w:pStyle w:val="TableText0"/>
              <w:keepNext w:val="0"/>
              <w:numPr>
                <w:ilvl w:val="0"/>
                <w:numId w:val="8"/>
              </w:numPr>
              <w:ind w:left="394" w:hanging="284"/>
            </w:pPr>
            <w:r w:rsidRPr="00BF06FC">
              <w:t>HIV,</w:t>
            </w:r>
          </w:p>
          <w:p w14:paraId="7C7536D3" w14:textId="77777777" w:rsidR="00814F74" w:rsidRPr="00BF06FC" w:rsidRDefault="00814F74" w:rsidP="00203306">
            <w:pPr>
              <w:pStyle w:val="TableText0"/>
              <w:keepNext w:val="0"/>
              <w:numPr>
                <w:ilvl w:val="0"/>
                <w:numId w:val="8"/>
              </w:numPr>
              <w:ind w:left="394" w:hanging="284"/>
            </w:pPr>
            <w:r w:rsidRPr="00BF06FC">
              <w:t>Respiratory disease (such as COPD or severe lung disease), or</w:t>
            </w:r>
          </w:p>
          <w:p w14:paraId="37C534FD" w14:textId="77777777" w:rsidR="00814F74" w:rsidRPr="00BF06FC" w:rsidRDefault="00814F74" w:rsidP="00203306">
            <w:pPr>
              <w:pStyle w:val="TableText0"/>
              <w:keepNext w:val="0"/>
              <w:numPr>
                <w:ilvl w:val="0"/>
                <w:numId w:val="8"/>
              </w:numPr>
              <w:ind w:left="394" w:hanging="284"/>
            </w:pPr>
            <w:r w:rsidRPr="00BF06FC">
              <w:t xml:space="preserve">Cardiovascular disease (such as ischaemic heart disease, cerebrovascular disease, heart failure, unstable angina, severe </w:t>
            </w:r>
            <w:proofErr w:type="gramStart"/>
            <w:r w:rsidRPr="00BF06FC">
              <w:t>arrhythmia</w:t>
            </w:r>
            <w:proofErr w:type="gramEnd"/>
            <w:r w:rsidRPr="00BF06FC">
              <w:t xml:space="preserve"> and thromboembolic events), or</w:t>
            </w:r>
          </w:p>
          <w:p w14:paraId="238E9CF6" w14:textId="77777777" w:rsidR="00814F74" w:rsidRPr="00BF06FC" w:rsidRDefault="00814F74" w:rsidP="00203306">
            <w:pPr>
              <w:pStyle w:val="Tabletext"/>
              <w:rPr>
                <w:color w:val="000000"/>
              </w:rPr>
            </w:pPr>
            <w:r w:rsidRPr="00BF06FC">
              <w:t>ECOG performance score status of at least 2.</w:t>
            </w:r>
          </w:p>
        </w:tc>
      </w:tr>
      <w:tr w:rsidR="00814F74" w:rsidRPr="00BF06FC" w14:paraId="782153C0" w14:textId="77777777" w:rsidTr="007D36C5">
        <w:trPr>
          <w:gridAfter w:val="1"/>
          <w:wAfter w:w="4" w:type="pct"/>
          <w:trHeight w:val="20"/>
        </w:trPr>
        <w:tc>
          <w:tcPr>
            <w:tcW w:w="941" w:type="pct"/>
            <w:tcBorders>
              <w:top w:val="single" w:sz="4" w:space="0" w:color="auto"/>
              <w:left w:val="single" w:sz="4" w:space="0" w:color="auto"/>
              <w:bottom w:val="double" w:sz="4" w:space="0" w:color="auto"/>
              <w:right w:val="single" w:sz="4" w:space="0" w:color="auto"/>
            </w:tcBorders>
          </w:tcPr>
          <w:p w14:paraId="7353725E" w14:textId="77777777" w:rsidR="00814F74" w:rsidRPr="00BF06FC" w:rsidRDefault="00814F74" w:rsidP="00203306">
            <w:pPr>
              <w:pStyle w:val="Tabletext"/>
            </w:pPr>
            <w:r w:rsidRPr="00BF06FC">
              <w:t>Administrative Advice:</w:t>
            </w:r>
          </w:p>
        </w:tc>
        <w:tc>
          <w:tcPr>
            <w:tcW w:w="4055" w:type="pct"/>
            <w:tcBorders>
              <w:top w:val="single" w:sz="4" w:space="0" w:color="auto"/>
              <w:left w:val="single" w:sz="4" w:space="0" w:color="auto"/>
              <w:bottom w:val="double" w:sz="4" w:space="0" w:color="auto"/>
              <w:right w:val="single" w:sz="4" w:space="0" w:color="auto"/>
            </w:tcBorders>
          </w:tcPr>
          <w:p w14:paraId="63576526" w14:textId="77777777" w:rsidR="00814F74" w:rsidRPr="00BF06FC" w:rsidRDefault="00814F74" w:rsidP="00203306">
            <w:pPr>
              <w:pStyle w:val="TableText0"/>
              <w:keepNext w:val="0"/>
            </w:pPr>
            <w:r w:rsidRPr="00BF06FC">
              <w:t>Special Pricing Arrangements apply</w:t>
            </w:r>
          </w:p>
          <w:p w14:paraId="2AD05D50" w14:textId="77777777" w:rsidR="00814F74" w:rsidRPr="00BF06FC" w:rsidRDefault="00814F74" w:rsidP="00203306">
            <w:pPr>
              <w:pStyle w:val="TableText0"/>
              <w:keepNext w:val="0"/>
            </w:pPr>
            <w:r w:rsidRPr="00BF06FC">
              <w:t>No increase in the maximum quantity or number of units may be authorised</w:t>
            </w:r>
          </w:p>
          <w:p w14:paraId="16989F3B" w14:textId="77777777" w:rsidR="00814F74" w:rsidRPr="00BF06FC" w:rsidRDefault="00814F74" w:rsidP="00203306">
            <w:pPr>
              <w:pStyle w:val="TableText0"/>
              <w:keepNext w:val="0"/>
            </w:pPr>
            <w:r w:rsidRPr="00BF06FC">
              <w:t>No increase in the maximum number of repeats may be authorised</w:t>
            </w:r>
          </w:p>
        </w:tc>
      </w:tr>
      <w:tr w:rsidR="00F540B0" w:rsidRPr="00BF06FC" w14:paraId="57FD38F7" w14:textId="77777777" w:rsidTr="007D36C5">
        <w:tblPrEx>
          <w:tblCellMar>
            <w:left w:w="108" w:type="dxa"/>
            <w:right w:w="108" w:type="dxa"/>
          </w:tblCellMar>
        </w:tblPrEx>
        <w:tc>
          <w:tcPr>
            <w:tcW w:w="941" w:type="pct"/>
            <w:tcBorders>
              <w:top w:val="double" w:sz="4" w:space="0" w:color="auto"/>
              <w:left w:val="single" w:sz="4" w:space="0" w:color="auto"/>
              <w:bottom w:val="single" w:sz="4" w:space="0" w:color="auto"/>
              <w:right w:val="single" w:sz="4" w:space="0" w:color="auto"/>
            </w:tcBorders>
            <w:shd w:val="clear" w:color="auto" w:fill="auto"/>
            <w:hideMark/>
          </w:tcPr>
          <w:p w14:paraId="3196EB3B" w14:textId="77777777" w:rsidR="00F540B0" w:rsidRPr="00BF06FC" w:rsidRDefault="00F540B0" w:rsidP="00203306">
            <w:pPr>
              <w:rPr>
                <w:rFonts w:ascii="Arial Narrow" w:eastAsia="Calibri" w:hAnsi="Arial Narrow" w:cs="Times New Roman"/>
                <w:b/>
                <w:sz w:val="20"/>
                <w:szCs w:val="20"/>
              </w:rPr>
            </w:pPr>
            <w:bookmarkStart w:id="10" w:name="_Hlk76204934"/>
            <w:r w:rsidRPr="00BF06FC">
              <w:rPr>
                <w:rFonts w:ascii="Arial Narrow" w:eastAsia="Calibri" w:hAnsi="Arial Narrow" w:cs="Times New Roman"/>
                <w:b/>
                <w:sz w:val="20"/>
                <w:szCs w:val="20"/>
              </w:rPr>
              <w:t>Treatment phase</w:t>
            </w:r>
          </w:p>
        </w:tc>
        <w:tc>
          <w:tcPr>
            <w:tcW w:w="4059" w:type="pct"/>
            <w:gridSpan w:val="2"/>
            <w:tcBorders>
              <w:top w:val="double" w:sz="4" w:space="0" w:color="auto"/>
              <w:left w:val="single" w:sz="4" w:space="0" w:color="auto"/>
              <w:bottom w:val="single" w:sz="4" w:space="0" w:color="auto"/>
              <w:right w:val="single" w:sz="4" w:space="0" w:color="auto"/>
            </w:tcBorders>
            <w:shd w:val="clear" w:color="auto" w:fill="auto"/>
            <w:hideMark/>
          </w:tcPr>
          <w:p w14:paraId="05CB014A" w14:textId="77777777" w:rsidR="00F540B0" w:rsidRPr="00BF06FC" w:rsidRDefault="00F540B0" w:rsidP="00203306">
            <w:pPr>
              <w:rPr>
                <w:rFonts w:ascii="Arial Narrow" w:eastAsia="Calibri" w:hAnsi="Arial Narrow" w:cs="Times New Roman"/>
                <w:sz w:val="20"/>
                <w:szCs w:val="20"/>
              </w:rPr>
            </w:pPr>
            <w:r w:rsidRPr="00BF06FC">
              <w:rPr>
                <w:rFonts w:ascii="Arial Narrow" w:hAnsi="Arial Narrow"/>
                <w:sz w:val="20"/>
                <w:szCs w:val="20"/>
              </w:rPr>
              <w:t xml:space="preserve">Continuing </w:t>
            </w:r>
          </w:p>
        </w:tc>
      </w:tr>
      <w:tr w:rsidR="00F540B0" w:rsidRPr="00BF06FC" w14:paraId="1CC0800D" w14:textId="77777777" w:rsidTr="007D36C5">
        <w:tblPrEx>
          <w:tblCellMar>
            <w:left w:w="108" w:type="dxa"/>
            <w:right w:w="108" w:type="dxa"/>
          </w:tblCellMar>
        </w:tblPrEx>
        <w:tc>
          <w:tcPr>
            <w:tcW w:w="941" w:type="pct"/>
            <w:tcBorders>
              <w:top w:val="single" w:sz="4" w:space="0" w:color="auto"/>
              <w:left w:val="single" w:sz="4" w:space="0" w:color="auto"/>
              <w:bottom w:val="single" w:sz="4" w:space="0" w:color="auto"/>
              <w:right w:val="single" w:sz="4" w:space="0" w:color="auto"/>
            </w:tcBorders>
            <w:shd w:val="clear" w:color="auto" w:fill="auto"/>
            <w:hideMark/>
          </w:tcPr>
          <w:p w14:paraId="287F47B4" w14:textId="77777777" w:rsidR="00F540B0" w:rsidRPr="00BF06FC" w:rsidRDefault="00F540B0" w:rsidP="00203306">
            <w:pPr>
              <w:rPr>
                <w:rFonts w:ascii="Arial Narrow" w:eastAsia="Calibri" w:hAnsi="Arial Narrow" w:cs="Times New Roman"/>
                <w:b/>
                <w:sz w:val="20"/>
                <w:szCs w:val="20"/>
              </w:rPr>
            </w:pPr>
            <w:r w:rsidRPr="00BF06FC">
              <w:rPr>
                <w:rFonts w:ascii="Arial Narrow" w:eastAsia="Calibri" w:hAnsi="Arial Narrow" w:cs="Times New Roman"/>
                <w:b/>
                <w:sz w:val="20"/>
                <w:szCs w:val="20"/>
              </w:rPr>
              <w:t>Restriction Level</w:t>
            </w:r>
          </w:p>
        </w:tc>
        <w:tc>
          <w:tcPr>
            <w:tcW w:w="4059" w:type="pct"/>
            <w:gridSpan w:val="2"/>
            <w:tcBorders>
              <w:top w:val="single" w:sz="4" w:space="0" w:color="auto"/>
              <w:left w:val="single" w:sz="4" w:space="0" w:color="auto"/>
              <w:bottom w:val="single" w:sz="4" w:space="0" w:color="auto"/>
              <w:right w:val="single" w:sz="4" w:space="0" w:color="auto"/>
            </w:tcBorders>
            <w:shd w:val="clear" w:color="auto" w:fill="auto"/>
            <w:hideMark/>
          </w:tcPr>
          <w:p w14:paraId="35EE946A" w14:textId="77777777" w:rsidR="00F540B0" w:rsidRPr="00BF06FC" w:rsidRDefault="00F540B0" w:rsidP="00203306">
            <w:pPr>
              <w:rPr>
                <w:rFonts w:ascii="Arial Narrow" w:eastAsia="Calibri" w:hAnsi="Arial Narrow" w:cs="Times New Roman"/>
                <w:sz w:val="20"/>
                <w:szCs w:val="20"/>
              </w:rPr>
            </w:pPr>
            <w:r w:rsidRPr="00BF06FC">
              <w:rPr>
                <w:rFonts w:ascii="Arial Narrow" w:hAnsi="Arial Narrow"/>
                <w:sz w:val="20"/>
                <w:szCs w:val="20"/>
              </w:rPr>
              <w:t>Authority Required – telephone</w:t>
            </w:r>
          </w:p>
        </w:tc>
      </w:tr>
      <w:tr w:rsidR="00F540B0" w:rsidRPr="00BF06FC" w14:paraId="5E978F04" w14:textId="77777777" w:rsidTr="007D36C5">
        <w:tblPrEx>
          <w:tblCellMar>
            <w:left w:w="108" w:type="dxa"/>
            <w:right w:w="108" w:type="dxa"/>
          </w:tblCellMar>
        </w:tblPrEx>
        <w:tc>
          <w:tcPr>
            <w:tcW w:w="941" w:type="pct"/>
            <w:tcBorders>
              <w:top w:val="single" w:sz="4" w:space="0" w:color="auto"/>
              <w:left w:val="single" w:sz="4" w:space="0" w:color="auto"/>
              <w:bottom w:val="single" w:sz="4" w:space="0" w:color="auto"/>
              <w:right w:val="single" w:sz="4" w:space="0" w:color="auto"/>
            </w:tcBorders>
            <w:shd w:val="clear" w:color="auto" w:fill="auto"/>
            <w:hideMark/>
          </w:tcPr>
          <w:p w14:paraId="1FFD2886" w14:textId="77777777" w:rsidR="00F540B0" w:rsidRPr="00BF06FC" w:rsidRDefault="00F540B0" w:rsidP="00203306">
            <w:pPr>
              <w:rPr>
                <w:rFonts w:ascii="Arial Narrow" w:eastAsia="Calibri" w:hAnsi="Arial Narrow" w:cs="Times New Roman"/>
                <w:b/>
                <w:sz w:val="20"/>
                <w:szCs w:val="20"/>
              </w:rPr>
            </w:pPr>
            <w:r w:rsidRPr="00BF06FC">
              <w:rPr>
                <w:rFonts w:ascii="Arial Narrow" w:eastAsia="Calibri" w:hAnsi="Arial Narrow" w:cs="Times New Roman"/>
                <w:b/>
                <w:sz w:val="20"/>
                <w:szCs w:val="20"/>
              </w:rPr>
              <w:t>Clinical criteria</w:t>
            </w:r>
          </w:p>
        </w:tc>
        <w:tc>
          <w:tcPr>
            <w:tcW w:w="4059" w:type="pct"/>
            <w:gridSpan w:val="2"/>
            <w:tcBorders>
              <w:top w:val="single" w:sz="4" w:space="0" w:color="auto"/>
              <w:left w:val="single" w:sz="4" w:space="0" w:color="auto"/>
              <w:bottom w:val="single" w:sz="4" w:space="0" w:color="auto"/>
              <w:right w:val="single" w:sz="4" w:space="0" w:color="auto"/>
            </w:tcBorders>
            <w:shd w:val="clear" w:color="auto" w:fill="auto"/>
            <w:hideMark/>
          </w:tcPr>
          <w:p w14:paraId="4E086031" w14:textId="77777777" w:rsidR="00F540B0" w:rsidRPr="00BF06FC" w:rsidRDefault="00F540B0" w:rsidP="00203306">
            <w:pPr>
              <w:rPr>
                <w:rFonts w:ascii="Arial Narrow" w:hAnsi="Arial Narrow"/>
                <w:sz w:val="20"/>
                <w:szCs w:val="20"/>
              </w:rPr>
            </w:pPr>
            <w:r w:rsidRPr="00BF06FC">
              <w:rPr>
                <w:rFonts w:ascii="Arial Narrow" w:hAnsi="Arial Narrow"/>
                <w:sz w:val="20"/>
                <w:szCs w:val="20"/>
              </w:rPr>
              <w:t>Patient must have previously received PBS-subsidised treatment with this drug for this condition</w:t>
            </w:r>
          </w:p>
          <w:p w14:paraId="325F0487"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t>AND</w:t>
            </w:r>
          </w:p>
          <w:p w14:paraId="023D88E3"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lastRenderedPageBreak/>
              <w:t>Treatment must be used in combination with androgen deprivation therapy</w:t>
            </w:r>
          </w:p>
          <w:p w14:paraId="0DB917C7"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t>AND</w:t>
            </w:r>
          </w:p>
          <w:p w14:paraId="10D1E053"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t>Patients who have progressive disease while on this drug are no longer eligible for PBS-subsidised treatment with this drug</w:t>
            </w:r>
          </w:p>
        </w:tc>
      </w:tr>
      <w:tr w:rsidR="00F540B0" w:rsidRPr="00BF06FC" w14:paraId="77B730B9" w14:textId="77777777" w:rsidTr="007D36C5">
        <w:tblPrEx>
          <w:tblCellMar>
            <w:left w:w="108" w:type="dxa"/>
            <w:right w:w="108" w:type="dxa"/>
          </w:tblCellMar>
        </w:tblPrEx>
        <w:tc>
          <w:tcPr>
            <w:tcW w:w="941" w:type="pct"/>
            <w:tcBorders>
              <w:top w:val="single" w:sz="4" w:space="0" w:color="auto"/>
              <w:left w:val="single" w:sz="4" w:space="0" w:color="auto"/>
              <w:bottom w:val="single" w:sz="4" w:space="0" w:color="auto"/>
              <w:right w:val="single" w:sz="4" w:space="0" w:color="auto"/>
            </w:tcBorders>
            <w:shd w:val="clear" w:color="auto" w:fill="auto"/>
            <w:hideMark/>
          </w:tcPr>
          <w:p w14:paraId="77567580" w14:textId="77777777" w:rsidR="00F540B0" w:rsidRPr="00BF06FC" w:rsidRDefault="00F540B0" w:rsidP="00203306">
            <w:pPr>
              <w:rPr>
                <w:rFonts w:ascii="Arial Narrow" w:eastAsia="Calibri" w:hAnsi="Arial Narrow" w:cs="Times New Roman"/>
                <w:b/>
                <w:sz w:val="20"/>
                <w:szCs w:val="20"/>
              </w:rPr>
            </w:pPr>
            <w:r w:rsidRPr="00BF06FC">
              <w:rPr>
                <w:rFonts w:ascii="Arial Narrow" w:eastAsia="Calibri" w:hAnsi="Arial Narrow" w:cs="Times New Roman"/>
                <w:b/>
                <w:sz w:val="20"/>
                <w:szCs w:val="20"/>
              </w:rPr>
              <w:lastRenderedPageBreak/>
              <w:t>Administrative advice</w:t>
            </w:r>
          </w:p>
        </w:tc>
        <w:tc>
          <w:tcPr>
            <w:tcW w:w="4059" w:type="pct"/>
            <w:gridSpan w:val="2"/>
            <w:tcBorders>
              <w:top w:val="single" w:sz="4" w:space="0" w:color="auto"/>
              <w:left w:val="single" w:sz="4" w:space="0" w:color="auto"/>
              <w:bottom w:val="single" w:sz="4" w:space="0" w:color="auto"/>
              <w:right w:val="single" w:sz="4" w:space="0" w:color="auto"/>
            </w:tcBorders>
            <w:shd w:val="clear" w:color="auto" w:fill="auto"/>
            <w:hideMark/>
          </w:tcPr>
          <w:p w14:paraId="4AE6A2AA"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t>Special Pricing Arrangements apply</w:t>
            </w:r>
          </w:p>
          <w:p w14:paraId="0CFB34A5"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t>No increase in the maximum quantity or number of units may be authorised</w:t>
            </w:r>
          </w:p>
          <w:p w14:paraId="1C1F4C1A" w14:textId="77777777" w:rsidR="00F540B0" w:rsidRPr="00BF06FC" w:rsidRDefault="00F540B0" w:rsidP="00203306">
            <w:pPr>
              <w:rPr>
                <w:rFonts w:ascii="Arial Narrow" w:eastAsia="Calibri" w:hAnsi="Arial Narrow" w:cs="Times New Roman"/>
                <w:sz w:val="20"/>
                <w:szCs w:val="20"/>
              </w:rPr>
            </w:pPr>
            <w:r w:rsidRPr="00BF06FC">
              <w:rPr>
                <w:rFonts w:ascii="Arial Narrow" w:eastAsia="Calibri" w:hAnsi="Arial Narrow" w:cs="Times New Roman"/>
                <w:sz w:val="20"/>
                <w:szCs w:val="20"/>
              </w:rPr>
              <w:t>No increase in the maximum number of repeats may be authorised</w:t>
            </w:r>
          </w:p>
        </w:tc>
      </w:tr>
      <w:bookmarkEnd w:id="10"/>
    </w:tbl>
    <w:p w14:paraId="49D51AA6" w14:textId="77777777" w:rsidR="00F540B0" w:rsidRPr="00BF06FC" w:rsidRDefault="00F540B0" w:rsidP="00203306"/>
    <w:p w14:paraId="0F6C2C72" w14:textId="77777777" w:rsidR="00814F74" w:rsidRPr="00FE58E8" w:rsidRDefault="00814F74" w:rsidP="00203306">
      <w:pPr>
        <w:pStyle w:val="3-BodyText"/>
      </w:pPr>
      <w:r w:rsidRPr="00FE58E8">
        <w:t xml:space="preserve">The submission proposed a special pricing arrangement </w:t>
      </w:r>
      <w:r w:rsidR="003607CA" w:rsidRPr="00FE58E8">
        <w:t xml:space="preserve">(SPA) </w:t>
      </w:r>
      <w:r w:rsidRPr="00FE58E8">
        <w:t xml:space="preserve">with a proposed published price </w:t>
      </w:r>
      <w:r w:rsidRPr="005E1569">
        <w:t>of $</w:t>
      </w:r>
      <w:r w:rsidR="002037C2">
        <w:rPr>
          <w:noProof/>
          <w:color w:val="000000"/>
          <w:highlight w:val="black"/>
        </w:rPr>
        <w:t>''''''''''''''''''</w:t>
      </w:r>
      <w:r w:rsidRPr="005E1569">
        <w:t xml:space="preserve"> and</w:t>
      </w:r>
      <w:r w:rsidRPr="00FE58E8">
        <w:t xml:space="preserve"> an effective price of $</w:t>
      </w:r>
      <w:r w:rsidR="002037C2">
        <w:rPr>
          <w:noProof/>
          <w:color w:val="000000"/>
          <w:highlight w:val="black"/>
        </w:rPr>
        <w:t>''''''''''''''''</w:t>
      </w:r>
      <w:r w:rsidRPr="00FE58E8">
        <w:t xml:space="preserve"> </w:t>
      </w:r>
    </w:p>
    <w:p w14:paraId="43F1D899" w14:textId="77777777" w:rsidR="00814F74" w:rsidRPr="00FE58E8" w:rsidRDefault="00814F74" w:rsidP="00814F74">
      <w:pPr>
        <w:pStyle w:val="3-BodyText"/>
      </w:pPr>
      <w:r w:rsidRPr="00FE58E8">
        <w:t xml:space="preserve">The requested restriction of apalutamide for </w:t>
      </w:r>
      <w:proofErr w:type="spellStart"/>
      <w:r w:rsidRPr="00FE58E8">
        <w:t>mHSPC</w:t>
      </w:r>
      <w:proofErr w:type="spellEnd"/>
      <w:r w:rsidRPr="00FE58E8">
        <w:t xml:space="preserve"> is narrower than its TGA indication (which was granted irrespective of disease volume and docetaxel suitability). A key consideration with respect to the requested restriction is whether the proposed comorbidities/contraindications/ECOG status would be sufficient to exclude use of apalutamide in HV docetaxel suitable patients. Use of apalutamide in </w:t>
      </w:r>
      <w:r w:rsidR="003607CA" w:rsidRPr="00FE58E8">
        <w:t xml:space="preserve">the HV </w:t>
      </w:r>
      <w:r w:rsidRPr="00FE58E8">
        <w:t xml:space="preserve">population would also be clinically appropriate given results of the TITAN trial and apalutamide’s </w:t>
      </w:r>
      <w:r w:rsidR="006C1688" w:rsidRPr="00FE58E8">
        <w:t>improved</w:t>
      </w:r>
      <w:r w:rsidR="00BD100F" w:rsidRPr="00FE58E8">
        <w:t xml:space="preserve"> </w:t>
      </w:r>
      <w:r w:rsidRPr="00FE58E8">
        <w:t>safety profile</w:t>
      </w:r>
      <w:r w:rsidR="00C351B8" w:rsidRPr="00FE58E8">
        <w:t xml:space="preserve"> </w:t>
      </w:r>
      <w:r w:rsidR="00C351B8" w:rsidRPr="00FE58E8">
        <w:rPr>
          <w:snapToGrid/>
        </w:rPr>
        <w:t>versus docetaxel</w:t>
      </w:r>
      <w:r w:rsidR="00C351B8" w:rsidRPr="00FE58E8">
        <w:t xml:space="preserve"> </w:t>
      </w:r>
      <w:r w:rsidRPr="00FE58E8">
        <w:t>(see further discussion below).</w:t>
      </w:r>
    </w:p>
    <w:p w14:paraId="300F2E7D" w14:textId="77777777" w:rsidR="008A42D8" w:rsidRDefault="00814F74" w:rsidP="008A42D8">
      <w:pPr>
        <w:pStyle w:val="3-BodyText"/>
      </w:pPr>
      <w:r w:rsidRPr="00FE58E8">
        <w:t xml:space="preserve">The listed contraindications/comorbidities for docetaxel unsuitability, such as dementia, diabetes, renal or hepatic insufficiency, respiratory disease or cardiovascular disease are </w:t>
      </w:r>
      <w:proofErr w:type="gramStart"/>
      <w:r w:rsidRPr="00FE58E8">
        <w:t>broad</w:t>
      </w:r>
      <w:proofErr w:type="gramEnd"/>
      <w:r w:rsidR="00F540B0" w:rsidRPr="00FE58E8">
        <w:t xml:space="preserve"> </w:t>
      </w:r>
      <w:r w:rsidR="00E876CC" w:rsidRPr="00FE58E8">
        <w:t>and</w:t>
      </w:r>
      <w:r w:rsidRPr="00FE58E8">
        <w:t xml:space="preserve"> it is </w:t>
      </w:r>
      <w:r w:rsidR="003607CA" w:rsidRPr="00FE58E8">
        <w:t xml:space="preserve">expected </w:t>
      </w:r>
      <w:r w:rsidRPr="00FE58E8">
        <w:t xml:space="preserve">that a large number of patients with </w:t>
      </w:r>
      <w:r w:rsidR="003607CA" w:rsidRPr="00FE58E8">
        <w:t xml:space="preserve">HV </w:t>
      </w:r>
      <w:proofErr w:type="spellStart"/>
      <w:r w:rsidRPr="00FE58E8">
        <w:t>mHSPC</w:t>
      </w:r>
      <w:proofErr w:type="spellEnd"/>
      <w:r w:rsidRPr="00FE58E8">
        <w:t xml:space="preserve"> will qualify given the disease predominantly affects elderly men. The median age of patients in TITAN was 69 years (</w:t>
      </w:r>
      <w:r w:rsidR="00F540B0" w:rsidRPr="00FE58E8">
        <w:t xml:space="preserve">compared to </w:t>
      </w:r>
      <w:r w:rsidRPr="00FE58E8">
        <w:t>74 years in the Victorian Prostate Cancer Outcomes Registry).</w:t>
      </w:r>
      <w:r w:rsidR="00064D91" w:rsidRPr="00FE58E8">
        <w:t xml:space="preserve"> In addition, </w:t>
      </w:r>
      <w:r w:rsidR="007862A7" w:rsidRPr="00FE58E8">
        <w:t xml:space="preserve">the ESC noted that </w:t>
      </w:r>
      <w:r w:rsidR="00064D91" w:rsidRPr="00FE58E8">
        <w:t>most of the contraindications/comorbi</w:t>
      </w:r>
      <w:r w:rsidR="007862A7" w:rsidRPr="00FE58E8">
        <w:t>di</w:t>
      </w:r>
      <w:r w:rsidR="00064D91" w:rsidRPr="00FE58E8">
        <w:t xml:space="preserve">ties </w:t>
      </w:r>
      <w:r w:rsidR="00A87262" w:rsidRPr="00FE58E8">
        <w:t xml:space="preserve">listed were not </w:t>
      </w:r>
      <w:r w:rsidR="00064D91" w:rsidRPr="00FE58E8">
        <w:t>contraindications to docetaxel, particularly if not severe (e.g. renal insufficiency, diabetes, respiratory disease)</w:t>
      </w:r>
      <w:r w:rsidR="007862A7" w:rsidRPr="00FE58E8">
        <w:t xml:space="preserve"> and that </w:t>
      </w:r>
      <w:r w:rsidR="00064D91" w:rsidRPr="00FE58E8">
        <w:t xml:space="preserve">many were </w:t>
      </w:r>
      <w:r w:rsidR="00AE3955" w:rsidRPr="00FE58E8">
        <w:t xml:space="preserve">exclusion criteria </w:t>
      </w:r>
      <w:r w:rsidR="00064D91" w:rsidRPr="00FE58E8">
        <w:t xml:space="preserve">to enrolment </w:t>
      </w:r>
      <w:r w:rsidR="003607CA" w:rsidRPr="00FE58E8">
        <w:t>i</w:t>
      </w:r>
      <w:r w:rsidR="00064D91" w:rsidRPr="00FE58E8">
        <w:t xml:space="preserve">n the TITAN </w:t>
      </w:r>
      <w:r w:rsidR="007862A7" w:rsidRPr="00FE58E8">
        <w:t xml:space="preserve">trial </w:t>
      </w:r>
      <w:r w:rsidR="00064D91" w:rsidRPr="00FE58E8">
        <w:t>(“</w:t>
      </w:r>
      <w:r w:rsidR="007862A7" w:rsidRPr="00FE58E8">
        <w:t xml:space="preserve">patients with </w:t>
      </w:r>
      <w:r w:rsidR="00064D91" w:rsidRPr="00FE58E8">
        <w:t>…</w:t>
      </w:r>
      <w:r w:rsidR="00064D91" w:rsidRPr="00FE58E8">
        <w:rPr>
          <w:lang w:val="en-GB"/>
        </w:rPr>
        <w:t>severe angina, myocardial infarction, congestive heart failure, arterial or venous thromboembolic events, a history of or predisposition to seizure, or recent ventricular arrhythmias were excluded” (Chi et al, TITAN study, NEJM 2019)</w:t>
      </w:r>
      <w:r w:rsidR="007862A7" w:rsidRPr="00FE58E8">
        <w:rPr>
          <w:lang w:val="en-GB"/>
        </w:rPr>
        <w:t>)</w:t>
      </w:r>
      <w:r w:rsidR="00064D91" w:rsidRPr="00FE58E8">
        <w:rPr>
          <w:lang w:val="en-GB"/>
        </w:rPr>
        <w:t xml:space="preserve">. </w:t>
      </w:r>
      <w:r w:rsidR="00AE3955" w:rsidRPr="00FE58E8">
        <w:rPr>
          <w:lang w:val="en-GB"/>
        </w:rPr>
        <w:t xml:space="preserve">The ESC considered that the reasons for docetaxel unsuitability were too broad and included many contraindications/comorbidities that did not preclude treatment with docetaxel, as per the docetaxel Product Information. </w:t>
      </w:r>
      <w:r w:rsidR="007862A7" w:rsidRPr="00FE58E8">
        <w:rPr>
          <w:lang w:val="en-GB"/>
        </w:rPr>
        <w:t xml:space="preserve">With </w:t>
      </w:r>
      <w:r w:rsidR="00064D91" w:rsidRPr="00FE58E8">
        <w:rPr>
          <w:lang w:val="en-GB"/>
        </w:rPr>
        <w:t xml:space="preserve">regards to ECOG performance status, </w:t>
      </w:r>
      <w:r w:rsidR="007862A7" w:rsidRPr="00FE58E8">
        <w:rPr>
          <w:lang w:val="en-GB"/>
        </w:rPr>
        <w:t xml:space="preserve">the ESC noted that </w:t>
      </w:r>
      <w:r w:rsidR="005A75ED" w:rsidRPr="00FE58E8">
        <w:rPr>
          <w:lang w:val="en-GB"/>
        </w:rPr>
        <w:t>an ECOG performance status score of 2 does not</w:t>
      </w:r>
      <w:r w:rsidR="001342F0" w:rsidRPr="00FE58E8">
        <w:rPr>
          <w:lang w:val="en-GB"/>
        </w:rPr>
        <w:t xml:space="preserve"> </w:t>
      </w:r>
      <w:r w:rsidR="005A75ED" w:rsidRPr="00FE58E8">
        <w:rPr>
          <w:lang w:val="en-GB"/>
        </w:rPr>
        <w:t xml:space="preserve">preclude treatment with </w:t>
      </w:r>
      <w:r w:rsidR="00064D91" w:rsidRPr="00FE58E8">
        <w:rPr>
          <w:lang w:val="en-GB"/>
        </w:rPr>
        <w:t>docetaxel</w:t>
      </w:r>
      <w:r w:rsidR="005A75ED" w:rsidRPr="00FE58E8">
        <w:rPr>
          <w:lang w:val="en-GB"/>
        </w:rPr>
        <w:t xml:space="preserve">. </w:t>
      </w:r>
      <w:r w:rsidR="006B350C" w:rsidRPr="00FE58E8">
        <w:rPr>
          <w:lang w:val="en-GB"/>
        </w:rPr>
        <w:t>The ESC considered that it might be more clinically appropriate if the restriction did not limit apalutamide use in HV disease.</w:t>
      </w:r>
      <w:r w:rsidR="002E4807">
        <w:rPr>
          <w:lang w:val="en-GB"/>
        </w:rPr>
        <w:t xml:space="preserve"> </w:t>
      </w:r>
      <w:r w:rsidR="008A42D8">
        <w:t xml:space="preserve">The pre-PBAC response acknowledged </w:t>
      </w:r>
      <w:r w:rsidR="008A42D8" w:rsidRPr="00783D0B">
        <w:t xml:space="preserve">the difficulty in defining unsuitability for docetaxel </w:t>
      </w:r>
      <w:r w:rsidR="008A42D8">
        <w:t xml:space="preserve">and stated </w:t>
      </w:r>
      <w:r w:rsidR="008A42D8" w:rsidRPr="00783D0B">
        <w:t xml:space="preserve">this decision is </w:t>
      </w:r>
      <w:r w:rsidR="008A42D8">
        <w:t>based on</w:t>
      </w:r>
      <w:r w:rsidR="008A42D8" w:rsidRPr="00783D0B">
        <w:t xml:space="preserve"> clinical jud</w:t>
      </w:r>
      <w:r w:rsidR="00843AE9">
        <w:t xml:space="preserve">gement.  The pre-PBAC response </w:t>
      </w:r>
      <w:r w:rsidR="008A42D8" w:rsidRPr="00783D0B">
        <w:t xml:space="preserve">noted potential alternative approaches to defining this patient population </w:t>
      </w:r>
      <w:r w:rsidR="008A42D8">
        <w:t xml:space="preserve">may </w:t>
      </w:r>
      <w:r w:rsidR="008A42D8" w:rsidRPr="00783D0B">
        <w:t>includ</w:t>
      </w:r>
      <w:r w:rsidR="008A42D8">
        <w:t>e</w:t>
      </w:r>
      <w:r w:rsidR="008A42D8" w:rsidRPr="00783D0B">
        <w:t xml:space="preserve"> frailty/performance assessments, and the NICE docetaxel unsuitability criteria used as the basis for the NICE apalutamide recommendation.</w:t>
      </w:r>
    </w:p>
    <w:p w14:paraId="51774122" w14:textId="77777777" w:rsidR="008A42D8" w:rsidRDefault="008A42D8" w:rsidP="008A42D8">
      <w:pPr>
        <w:pStyle w:val="3-BodyText"/>
      </w:pPr>
      <w:r w:rsidRPr="00FE58E8">
        <w:lastRenderedPageBreak/>
        <w:t>The ESC noted that the proposed clinical criteria should align with the TITAN trial and state that patients must have received no more than 6 months of ADT before commencing apalutamide.</w:t>
      </w:r>
    </w:p>
    <w:p w14:paraId="670A9961" w14:textId="77777777" w:rsidR="008A42D8" w:rsidRDefault="008A42D8" w:rsidP="008A42D8">
      <w:pPr>
        <w:pStyle w:val="3-BodyText"/>
      </w:pPr>
      <w:r>
        <w:t>The PBAC noted that in Canada, the CADTH pan-Canadian Oncology Drug Review (</w:t>
      </w:r>
      <w:proofErr w:type="spellStart"/>
      <w:r>
        <w:t>pCODR</w:t>
      </w:r>
      <w:proofErr w:type="spellEnd"/>
      <w:r>
        <w:t xml:space="preserve">) Expert Review Committee conditionally recommended funding of apalutamide in combination with ADT for patients with </w:t>
      </w:r>
      <w:proofErr w:type="spellStart"/>
      <w:r>
        <w:t>mHSPC</w:t>
      </w:r>
      <w:proofErr w:type="spellEnd"/>
      <w:r>
        <w:t xml:space="preserve">, and this recommendation was for all hormone sensitive patients </w:t>
      </w:r>
      <w:r w:rsidR="00781CEE">
        <w:t>who</w:t>
      </w:r>
      <w:r>
        <w:t xml:space="preserve"> had not received prior ADT or were within six months of beginning ADT with good performance status (CADTH 2020</w:t>
      </w:r>
      <w:r>
        <w:rPr>
          <w:rStyle w:val="FootnoteReference"/>
        </w:rPr>
        <w:footnoteReference w:id="2"/>
      </w:r>
      <w:r>
        <w:t>).</w:t>
      </w:r>
    </w:p>
    <w:p w14:paraId="1CAB0AE3" w14:textId="77777777" w:rsidR="00814F74" w:rsidRPr="00FE58E8" w:rsidRDefault="00814F74" w:rsidP="00814F74">
      <w:pPr>
        <w:pStyle w:val="3-BodyText"/>
      </w:pPr>
      <w:r w:rsidRPr="00FE58E8">
        <w:t xml:space="preserve">Consistent with the current restrictions for abiraterone and enzalutamide for </w:t>
      </w:r>
      <w:proofErr w:type="spellStart"/>
      <w:r w:rsidRPr="00FE58E8">
        <w:t>mCRPC</w:t>
      </w:r>
      <w:proofErr w:type="spellEnd"/>
      <w:r w:rsidRPr="00FE58E8">
        <w:t xml:space="preserve">, the requested restriction for apalutamide does not define the type of imaging </w:t>
      </w:r>
      <w:proofErr w:type="gramStart"/>
      <w:r w:rsidRPr="00FE58E8">
        <w:t>i.e.</w:t>
      </w:r>
      <w:proofErr w:type="gramEnd"/>
      <w:r w:rsidRPr="00FE58E8">
        <w:t xml:space="preserve"> conventional or new imaging modality (PSMA PET) to determine disease volume. In the TITAN trial, imaging of patients was performed using conventional bone scan and CT scans. With the availability of PSMA PET, there is potential for </w:t>
      </w:r>
      <w:proofErr w:type="spellStart"/>
      <w:r w:rsidRPr="00FE58E8">
        <w:t>mHSPC</w:t>
      </w:r>
      <w:proofErr w:type="spellEnd"/>
      <w:r w:rsidRPr="00FE58E8">
        <w:t xml:space="preserve"> patients (previously classified as having non-metastatic disease on conventional imaging) being classified as having metastatic disease and hence</w:t>
      </w:r>
      <w:r w:rsidR="007A76D3">
        <w:t>, becoming</w:t>
      </w:r>
      <w:r w:rsidRPr="00FE58E8">
        <w:t xml:space="preserve"> eligible to receive treatment earlier with apalutamide.</w:t>
      </w:r>
      <w:r w:rsidR="00A6020E" w:rsidRPr="00FE58E8">
        <w:t xml:space="preserve"> </w:t>
      </w:r>
    </w:p>
    <w:p w14:paraId="68CD6879" w14:textId="77777777" w:rsidR="00814F74" w:rsidRPr="00FE58E8" w:rsidRDefault="00814F74" w:rsidP="00814F74">
      <w:pPr>
        <w:pStyle w:val="3-BodyText"/>
      </w:pPr>
      <w:r w:rsidRPr="00FE58E8">
        <w:t xml:space="preserve">The requested restriction requires “patients must not have received prior PBS-subsidised treatment with abiraterone or enzalutamide” </w:t>
      </w:r>
      <w:proofErr w:type="gramStart"/>
      <w:r w:rsidRPr="00FE58E8">
        <w:t>in an attempt to</w:t>
      </w:r>
      <w:proofErr w:type="gramEnd"/>
      <w:r w:rsidRPr="00FE58E8">
        <w:t xml:space="preserve"> limit treatment to one novel hormonal agent (NHA) </w:t>
      </w:r>
      <w:r w:rsidR="007A76D3">
        <w:t>per</w:t>
      </w:r>
      <w:r w:rsidRPr="00FE58E8">
        <w:t xml:space="preserve"> lifetime. Given the recent </w:t>
      </w:r>
      <w:r w:rsidR="007A76D3">
        <w:t>PBS listing of</w:t>
      </w:r>
      <w:r w:rsidRPr="00FE58E8">
        <w:t xml:space="preserve"> </w:t>
      </w:r>
      <w:proofErr w:type="spellStart"/>
      <w:r w:rsidRPr="00FE58E8">
        <w:t>darolutamide</w:t>
      </w:r>
      <w:proofErr w:type="spellEnd"/>
      <w:r w:rsidRPr="00FE58E8">
        <w:t xml:space="preserve"> in m0CRPC, </w:t>
      </w:r>
      <w:proofErr w:type="spellStart"/>
      <w:r w:rsidRPr="00FE58E8">
        <w:t>darolutamide</w:t>
      </w:r>
      <w:proofErr w:type="spellEnd"/>
      <w:r w:rsidRPr="00FE58E8">
        <w:t xml:space="preserve"> should also be named in this clinical criterion. </w:t>
      </w:r>
      <w:r w:rsidR="004A0EA4" w:rsidRPr="00FE58E8">
        <w:t xml:space="preserve">Flow on changes would be required to the abiraterone, enzalutamide and </w:t>
      </w:r>
      <w:proofErr w:type="spellStart"/>
      <w:r w:rsidR="004A0EA4" w:rsidRPr="00FE58E8">
        <w:t>darolutamide</w:t>
      </w:r>
      <w:proofErr w:type="spellEnd"/>
      <w:r w:rsidR="004A0EA4" w:rsidRPr="00FE58E8">
        <w:t xml:space="preserve"> restrictions.</w:t>
      </w:r>
    </w:p>
    <w:p w14:paraId="2B2DEB23" w14:textId="77777777" w:rsidR="00814F74" w:rsidRPr="00FE58E8" w:rsidRDefault="00814F74" w:rsidP="00814F74">
      <w:pPr>
        <w:pStyle w:val="3-BodyText"/>
      </w:pPr>
      <w:r w:rsidRPr="00FE58E8">
        <w:t xml:space="preserve">The submission also requested </w:t>
      </w:r>
      <w:r w:rsidR="00781CEE">
        <w:t>non-PBS to PBS transitioning arrangements (</w:t>
      </w:r>
      <w:proofErr w:type="gramStart"/>
      <w:r w:rsidR="00781CEE">
        <w:t>i.e.</w:t>
      </w:r>
      <w:proofErr w:type="gramEnd"/>
      <w:r w:rsidR="00781CEE">
        <w:t xml:space="preserve"> a ‘grandfather’ listing) </w:t>
      </w:r>
      <w:r w:rsidRPr="00FE58E8">
        <w:t>for an estimated 39 patients enrolled in a planned early access program (EAP).</w:t>
      </w:r>
    </w:p>
    <w:p w14:paraId="1BA256E3" w14:textId="77777777" w:rsidR="00DA3B4A" w:rsidRDefault="00814F74" w:rsidP="00DC5755">
      <w:pPr>
        <w:pStyle w:val="3-BodyText"/>
      </w:pPr>
      <w:r w:rsidRPr="00FE58E8">
        <w:t xml:space="preserve">The submission stated that assessment and monitoring of patients with </w:t>
      </w:r>
      <w:proofErr w:type="spellStart"/>
      <w:r w:rsidRPr="00FE58E8">
        <w:t>mHSPC</w:t>
      </w:r>
      <w:proofErr w:type="spellEnd"/>
      <w:r w:rsidRPr="00FE58E8">
        <w:t xml:space="preserve"> include routine PSA testing performed every 3 months and imaging performed between every 3 to 12 months depending on response level</w:t>
      </w:r>
      <w:r w:rsidR="00D37CA2" w:rsidRPr="00FE58E8">
        <w:t>;</w:t>
      </w:r>
      <w:r w:rsidRPr="00FE58E8">
        <w:t xml:space="preserve"> these are reimbursed on the MBS. </w:t>
      </w:r>
      <w:r w:rsidR="00EA46BF" w:rsidRPr="00FE58E8">
        <w:t xml:space="preserve">The submission stated that the </w:t>
      </w:r>
      <w:r w:rsidRPr="00FE58E8">
        <w:t xml:space="preserve">continued monitoring of </w:t>
      </w:r>
      <w:proofErr w:type="spellStart"/>
      <w:r w:rsidR="00EA46BF" w:rsidRPr="00FE58E8">
        <w:t>mHSPC</w:t>
      </w:r>
      <w:proofErr w:type="spellEnd"/>
      <w:r w:rsidR="00EA46BF" w:rsidRPr="00FE58E8">
        <w:t xml:space="preserve"> </w:t>
      </w:r>
      <w:r w:rsidRPr="00FE58E8">
        <w:t xml:space="preserve">patients treated with apalutamide was unlikely to change </w:t>
      </w:r>
      <w:r w:rsidR="00EA46BF" w:rsidRPr="00FE58E8">
        <w:t xml:space="preserve">the </w:t>
      </w:r>
      <w:r w:rsidRPr="00FE58E8">
        <w:t>utilisation of PSA tests given that it is routine practice</w:t>
      </w:r>
      <w:r w:rsidR="00EA46BF" w:rsidRPr="00FE58E8">
        <w:t>; h</w:t>
      </w:r>
      <w:r w:rsidRPr="00FE58E8">
        <w:t xml:space="preserve">owever, the submission </w:t>
      </w:r>
      <w:r w:rsidR="00EA46BF" w:rsidRPr="00FE58E8">
        <w:t xml:space="preserve">proposed </w:t>
      </w:r>
      <w:r w:rsidRPr="00FE58E8">
        <w:t>that clinicians will perform conventional imaging every 6 months. Patients were monitored more frequently in TITAN (every 16 weeks)</w:t>
      </w:r>
      <w:r w:rsidR="00EA46BF" w:rsidRPr="00FE58E8">
        <w:t>; however</w:t>
      </w:r>
      <w:r w:rsidRPr="00FE58E8">
        <w:t xml:space="preserve">, given </w:t>
      </w:r>
      <w:r w:rsidR="00EA46BF" w:rsidRPr="00FE58E8">
        <w:t xml:space="preserve">the </w:t>
      </w:r>
      <w:r w:rsidRPr="00FE58E8">
        <w:t xml:space="preserve">longer expected interval between successive imaging, treatment duration with apalutamide on </w:t>
      </w:r>
      <w:r w:rsidR="00EA46BF" w:rsidRPr="00FE58E8">
        <w:t xml:space="preserve">the </w:t>
      </w:r>
      <w:r w:rsidRPr="00FE58E8">
        <w:t>PBS may be longer, including potential continued use in patients who have progressed.</w:t>
      </w:r>
    </w:p>
    <w:p w14:paraId="3DEC0CA5" w14:textId="77777777" w:rsidR="00FE58E8" w:rsidRPr="00FE58E8" w:rsidRDefault="00FE58E8" w:rsidP="00FE58E8">
      <w:pPr>
        <w:pStyle w:val="3-BodyText"/>
        <w:numPr>
          <w:ilvl w:val="0"/>
          <w:numId w:val="0"/>
        </w:numPr>
        <w:ind w:left="720"/>
        <w:rPr>
          <w:i/>
          <w:iCs/>
        </w:rPr>
      </w:pPr>
      <w:r w:rsidRPr="00FE58E8">
        <w:rPr>
          <w:i/>
          <w:iCs/>
        </w:rPr>
        <w:lastRenderedPageBreak/>
        <w:t>For more detail on PBAC’s view, see section 7 PBAC outcome.</w:t>
      </w:r>
    </w:p>
    <w:p w14:paraId="23ADE90A" w14:textId="77777777" w:rsidR="00814F74" w:rsidRPr="00BF06FC" w:rsidRDefault="00814F74" w:rsidP="00814F74">
      <w:pPr>
        <w:pStyle w:val="2-SectionHeading"/>
        <w:numPr>
          <w:ilvl w:val="0"/>
          <w:numId w:val="1"/>
        </w:numPr>
      </w:pPr>
      <w:bookmarkStart w:id="11" w:name="_Toc22898849"/>
      <w:bookmarkStart w:id="12" w:name="_Toc82609544"/>
      <w:r w:rsidRPr="00BF06FC">
        <w:t>Population and disease</w:t>
      </w:r>
      <w:bookmarkEnd w:id="11"/>
      <w:bookmarkEnd w:id="12"/>
    </w:p>
    <w:p w14:paraId="61D1E8F7" w14:textId="77777777" w:rsidR="00814F74" w:rsidRPr="005E3EAF" w:rsidRDefault="00814F74" w:rsidP="00C80B17">
      <w:pPr>
        <w:pStyle w:val="3-BodyText"/>
      </w:pPr>
      <w:proofErr w:type="spellStart"/>
      <w:r w:rsidRPr="005E3EAF">
        <w:t>mHSPC</w:t>
      </w:r>
      <w:proofErr w:type="spellEnd"/>
      <w:r w:rsidRPr="005E3EAF">
        <w:t xml:space="preserve"> is a stage of advanced prostate cancer when the cancer has spread past the </w:t>
      </w:r>
      <w:proofErr w:type="gramStart"/>
      <w:r w:rsidRPr="005E3EAF">
        <w:t>prostate</w:t>
      </w:r>
      <w:proofErr w:type="gramEnd"/>
      <w:r w:rsidRPr="005E3EAF">
        <w:t xml:space="preserve"> but the tumour is sensitive/responds to ADT. Metastatic prostate cancer is incurable, all patients with </w:t>
      </w:r>
      <w:proofErr w:type="spellStart"/>
      <w:r w:rsidRPr="005E3EAF">
        <w:t>mHSPC</w:t>
      </w:r>
      <w:proofErr w:type="spellEnd"/>
      <w:r w:rsidRPr="005E3EAF">
        <w:t xml:space="preserve"> will eventually progress with the tumour becoming castration resistant</w:t>
      </w:r>
      <w:r w:rsidR="00EA46BF" w:rsidRPr="005E3EAF">
        <w:t>. T</w:t>
      </w:r>
      <w:r w:rsidRPr="005E3EAF">
        <w:t xml:space="preserve">he goal of treatment is to delay progression to </w:t>
      </w:r>
      <w:proofErr w:type="spellStart"/>
      <w:r w:rsidRPr="005E3EAF">
        <w:t>mCRPC</w:t>
      </w:r>
      <w:proofErr w:type="spellEnd"/>
      <w:r w:rsidRPr="005E3EAF">
        <w:t xml:space="preserve"> and prolong survival. ADT (lowering the serum testosterone to castrate levels) is an integral part of the initial treatment of men with </w:t>
      </w:r>
      <w:proofErr w:type="spellStart"/>
      <w:r w:rsidRPr="005E3EAF">
        <w:t>mHSPC</w:t>
      </w:r>
      <w:proofErr w:type="spellEnd"/>
      <w:r w:rsidRPr="005E3EAF">
        <w:t>. Recent evidence also supports the use of additional systemic therapies including docetaxel (a chemotherapeutic agent) and NHAs (abiraterone, enzalutamide and apalutamide) in combination with ADT for initial therapy of men with advanced disease</w:t>
      </w:r>
      <w:r w:rsidR="00EA46BF" w:rsidRPr="005E3EAF">
        <w:t>. T</w:t>
      </w:r>
      <w:r w:rsidRPr="005E3EAF">
        <w:t>hese combination therapies have now become a preferred approach for men with locally advanced HSPC</w:t>
      </w:r>
      <w:r w:rsidR="00C80B17" w:rsidRPr="005E3EAF">
        <w:t>,</w:t>
      </w:r>
      <w:r w:rsidRPr="005E3EAF">
        <w:t xml:space="preserve"> both non-metastatic and metastatic disease</w:t>
      </w:r>
      <w:r w:rsidR="00C80B17" w:rsidRPr="005E3EAF">
        <w:t xml:space="preserve"> (ASCO 2021 and NCCN 2021)</w:t>
      </w:r>
      <w:r w:rsidRPr="005E3EAF">
        <w:t>.</w:t>
      </w:r>
    </w:p>
    <w:p w14:paraId="4CE33EBF" w14:textId="77777777" w:rsidR="00A6252B" w:rsidRPr="005E3EAF" w:rsidRDefault="00A6252B" w:rsidP="00A6252B">
      <w:pPr>
        <w:pStyle w:val="3-BodyText"/>
      </w:pPr>
      <w:r w:rsidRPr="005E3EAF">
        <w:t xml:space="preserve">Results from a growing list of published network meta-analyses (NMAs) suggest the combination therapies (i.e., apalutamide, abiraterone, enzalutamide or docetaxel plus ADT) do not differ significantly with respect to OS. All are more effective than ADT alone, and, where reported, abiraterone plus ADT was often ranked highest in terms of estimated OS benefit and abiraterone or enzalutamide plus ADT the highest in terms of delaying progression. However, no combination therapy has been clearly proven to be superior </w:t>
      </w:r>
      <w:proofErr w:type="gramStart"/>
      <w:r w:rsidRPr="005E3EAF">
        <w:t>over</w:t>
      </w:r>
      <w:proofErr w:type="gramEnd"/>
      <w:r w:rsidRPr="005E3EAF">
        <w:t xml:space="preserve"> another (</w:t>
      </w:r>
      <w:proofErr w:type="spellStart"/>
      <w:r w:rsidRPr="005E3EAF">
        <w:t>Sathianathen</w:t>
      </w:r>
      <w:proofErr w:type="spellEnd"/>
      <w:r w:rsidRPr="005E3EAF">
        <w:t xml:space="preserve"> 2020</w:t>
      </w:r>
      <w:r w:rsidRPr="005E3EAF">
        <w:rPr>
          <w:rStyle w:val="FootnoteReference"/>
        </w:rPr>
        <w:footnoteReference w:id="3"/>
      </w:r>
      <w:r w:rsidRPr="005E3EAF">
        <w:t xml:space="preserve">, </w:t>
      </w:r>
      <w:proofErr w:type="spellStart"/>
      <w:r w:rsidRPr="005E3EAF">
        <w:t>Marchioni</w:t>
      </w:r>
      <w:proofErr w:type="spellEnd"/>
      <w:r w:rsidRPr="005E3EAF">
        <w:t xml:space="preserve"> 20</w:t>
      </w:r>
      <w:r w:rsidR="00AA62D3">
        <w:t>20</w:t>
      </w:r>
      <w:r w:rsidRPr="005E3EAF">
        <w:t xml:space="preserve"> </w:t>
      </w:r>
      <w:r w:rsidRPr="005E3EAF">
        <w:rPr>
          <w:rStyle w:val="FootnoteReference"/>
        </w:rPr>
        <w:footnoteReference w:id="4"/>
      </w:r>
      <w:r w:rsidRPr="005E3EAF">
        <w:t>, Chen</w:t>
      </w:r>
      <w:r w:rsidR="00550468">
        <w:t xml:space="preserve"> </w:t>
      </w:r>
      <w:r w:rsidRPr="005E3EAF">
        <w:lastRenderedPageBreak/>
        <w:t>2020</w:t>
      </w:r>
      <w:r w:rsidRPr="005E3EAF">
        <w:rPr>
          <w:rStyle w:val="FootnoteReference"/>
        </w:rPr>
        <w:footnoteReference w:id="5"/>
      </w:r>
      <w:r w:rsidRPr="005E3EAF">
        <w:t xml:space="preserve"> Wang 2021</w:t>
      </w:r>
      <w:r w:rsidRPr="005E3EAF">
        <w:rPr>
          <w:rStyle w:val="FootnoteReference"/>
        </w:rPr>
        <w:footnoteReference w:id="6"/>
      </w:r>
      <w:r w:rsidRPr="005E3EAF">
        <w:t>, Wenzel 2021</w:t>
      </w:r>
      <w:r w:rsidRPr="005E3EAF">
        <w:rPr>
          <w:rStyle w:val="FootnoteReference"/>
        </w:rPr>
        <w:footnoteReference w:id="7"/>
      </w:r>
      <w:r w:rsidRPr="005E3EAF">
        <w:t>, Mori 2021</w:t>
      </w:r>
      <w:r w:rsidRPr="005E3EAF">
        <w:rPr>
          <w:rStyle w:val="FootnoteReference"/>
        </w:rPr>
        <w:footnoteReference w:id="8"/>
      </w:r>
      <w:r w:rsidRPr="005E3EAF">
        <w:t xml:space="preserve">, </w:t>
      </w:r>
      <w:proofErr w:type="spellStart"/>
      <w:r w:rsidRPr="005E3EAF">
        <w:t>Mutlu</w:t>
      </w:r>
      <w:proofErr w:type="spellEnd"/>
      <w:r w:rsidRPr="005E3EAF">
        <w:t xml:space="preserve"> 2021</w:t>
      </w:r>
      <w:r w:rsidRPr="005E3EAF">
        <w:rPr>
          <w:rStyle w:val="FootnoteReference"/>
        </w:rPr>
        <w:footnoteReference w:id="9"/>
      </w:r>
      <w:r w:rsidRPr="005E3EAF">
        <w:t xml:space="preserve">). In addition, all NHA plus ADT combinations (particularly apalutamide or enzalutamide) were associated with significantly fewer side effects compared to docetaxel plus ADT. </w:t>
      </w:r>
    </w:p>
    <w:p w14:paraId="44EAF842" w14:textId="77777777" w:rsidR="00814F74" w:rsidRPr="005E3EAF" w:rsidRDefault="00814F74" w:rsidP="00814F74">
      <w:pPr>
        <w:pStyle w:val="3-BodyText"/>
      </w:pPr>
      <w:r w:rsidRPr="005E3EAF">
        <w:t xml:space="preserve">The submission’s treatment algorithms differentiated choice of therapy for </w:t>
      </w:r>
      <w:proofErr w:type="spellStart"/>
      <w:r w:rsidRPr="005E3EAF">
        <w:t>mHSPC</w:t>
      </w:r>
      <w:proofErr w:type="spellEnd"/>
      <w:r w:rsidRPr="005E3EAF">
        <w:t xml:space="preserve"> by disease volume </w:t>
      </w:r>
      <w:r w:rsidR="00466442" w:rsidRPr="005E3EAF">
        <w:t xml:space="preserve">(as </w:t>
      </w:r>
      <w:r w:rsidR="008C313E" w:rsidRPr="005E3EAF">
        <w:t xml:space="preserve">per </w:t>
      </w:r>
      <w:r w:rsidR="005F4B86" w:rsidRPr="005E3EAF">
        <w:t>CHARRTED</w:t>
      </w:r>
      <w:r w:rsidR="00DA53A1" w:rsidRPr="005E3EAF">
        <w:t xml:space="preserve"> and </w:t>
      </w:r>
      <w:r w:rsidR="008C313E" w:rsidRPr="005E3EAF">
        <w:t xml:space="preserve">subsequently </w:t>
      </w:r>
      <w:r w:rsidR="00DA53A1" w:rsidRPr="005E3EAF">
        <w:t>replicated in TITAN</w:t>
      </w:r>
      <w:r w:rsidR="00FB732D" w:rsidRPr="005E3EAF">
        <w:t xml:space="preserve">) </w:t>
      </w:r>
      <w:r w:rsidRPr="005E3EAF">
        <w:t>and suitability for docetaxel</w:t>
      </w:r>
      <w:r w:rsidR="00C807D9" w:rsidRPr="005E3EAF">
        <w:t xml:space="preserve">. The populations </w:t>
      </w:r>
      <w:r w:rsidRPr="005E3EAF">
        <w:t xml:space="preserve">identified </w:t>
      </w:r>
      <w:r w:rsidR="00C807D9" w:rsidRPr="005E3EAF">
        <w:t>to be eligible to receive apalutamide therapy were those with</w:t>
      </w:r>
      <w:r w:rsidRPr="005E3EAF">
        <w:t>:</w:t>
      </w:r>
    </w:p>
    <w:p w14:paraId="0542D1C6" w14:textId="77777777" w:rsidR="00814F74" w:rsidRPr="005E3EAF" w:rsidRDefault="00814F74" w:rsidP="00814F74">
      <w:pPr>
        <w:pStyle w:val="ListBullet"/>
        <w:tabs>
          <w:tab w:val="clear" w:pos="360"/>
          <w:tab w:val="num" w:pos="993"/>
        </w:tabs>
        <w:ind w:left="993" w:hanging="284"/>
      </w:pPr>
      <w:r w:rsidRPr="005E3EAF">
        <w:t>LV disease – no visceral metastases and less than 4 bone metastases, or</w:t>
      </w:r>
    </w:p>
    <w:p w14:paraId="6F764B94" w14:textId="77777777" w:rsidR="00814F74" w:rsidRPr="005E3EAF" w:rsidRDefault="00814F74" w:rsidP="00814F74">
      <w:pPr>
        <w:pStyle w:val="ListBullet"/>
        <w:tabs>
          <w:tab w:val="clear" w:pos="360"/>
          <w:tab w:val="num" w:pos="993"/>
        </w:tabs>
        <w:ind w:left="993" w:hanging="284"/>
      </w:pPr>
      <w:r w:rsidRPr="005E3EAF">
        <w:t>HV disease</w:t>
      </w:r>
      <w:r w:rsidR="00EA46BF" w:rsidRPr="005E3EAF">
        <w:t xml:space="preserve"> </w:t>
      </w:r>
      <w:r w:rsidRPr="005E3EAF">
        <w:t>– visceral metastases or at least 4 bone metastases including at least one outside the vertebral column or pelvis</w:t>
      </w:r>
      <w:r w:rsidR="00C807D9" w:rsidRPr="005E3EAF">
        <w:t xml:space="preserve"> – and</w:t>
      </w:r>
      <w:r w:rsidRPr="005E3EAF">
        <w:t xml:space="preserve"> </w:t>
      </w:r>
      <w:r w:rsidR="00EA46BF" w:rsidRPr="005E3EAF">
        <w:t xml:space="preserve">who </w:t>
      </w:r>
      <w:r w:rsidRPr="005E3EAF">
        <w:t>are unsuitable for chemotherapy with docetaxel.</w:t>
      </w:r>
    </w:p>
    <w:p w14:paraId="283E64E1" w14:textId="77777777" w:rsidR="00814F74" w:rsidRPr="005E3EAF" w:rsidRDefault="00814F74" w:rsidP="00814F74">
      <w:pPr>
        <w:pStyle w:val="ListBullet"/>
        <w:numPr>
          <w:ilvl w:val="0"/>
          <w:numId w:val="0"/>
        </w:numPr>
        <w:ind w:left="993"/>
      </w:pPr>
    </w:p>
    <w:p w14:paraId="7CB0C5CE" w14:textId="77777777" w:rsidR="00443A65" w:rsidRPr="005E3EAF" w:rsidRDefault="00814F74" w:rsidP="002B6EA3">
      <w:pPr>
        <w:pStyle w:val="3-BodyText"/>
      </w:pPr>
      <w:r w:rsidRPr="005E3EAF">
        <w:t>Specifically, the submission only considered docetaxel plus ADT a</w:t>
      </w:r>
      <w:r w:rsidR="00EA46BF" w:rsidRPr="005E3EAF">
        <w:t>s a treatment</w:t>
      </w:r>
      <w:r w:rsidRPr="005E3EAF">
        <w:t xml:space="preserve"> option for patients with HV </w:t>
      </w:r>
      <w:proofErr w:type="spellStart"/>
      <w:r w:rsidRPr="005E3EAF">
        <w:t>mHSPC</w:t>
      </w:r>
      <w:proofErr w:type="spellEnd"/>
      <w:r w:rsidR="00EA46BF" w:rsidRPr="005E3EAF">
        <w:t xml:space="preserve">, </w:t>
      </w:r>
      <w:r w:rsidRPr="005E3EAF">
        <w:t xml:space="preserve">not in those with LV disease. </w:t>
      </w:r>
      <w:r w:rsidR="003C46DA" w:rsidRPr="005E3EAF">
        <w:t>As support</w:t>
      </w:r>
      <w:r w:rsidR="00414A3B" w:rsidRPr="005E3EAF">
        <w:t>,</w:t>
      </w:r>
      <w:r w:rsidR="004D767B" w:rsidRPr="005E3EAF">
        <w:t xml:space="preserve"> t</w:t>
      </w:r>
      <w:r w:rsidR="00737A90" w:rsidRPr="005E3EAF">
        <w:t xml:space="preserve">he </w:t>
      </w:r>
      <w:r w:rsidR="009A2512" w:rsidRPr="005E3EAF">
        <w:t xml:space="preserve">submission presented a meta-analysis </w:t>
      </w:r>
      <w:r w:rsidR="00737A90" w:rsidRPr="005E3EAF">
        <w:t xml:space="preserve">(Appendix 5) </w:t>
      </w:r>
      <w:r w:rsidR="009A2512" w:rsidRPr="005E3EAF">
        <w:t xml:space="preserve">comparing docetaxel vs placebo in combination with ADT based on three trials (GETUG-AFU15, STAMPEDE and CHAARTED) for the total trial population and the subgroup with LV </w:t>
      </w:r>
      <w:proofErr w:type="spellStart"/>
      <w:r w:rsidR="009A2512" w:rsidRPr="005E3EAF">
        <w:t>mHSPC</w:t>
      </w:r>
      <w:proofErr w:type="spellEnd"/>
      <w:r w:rsidR="009A2512" w:rsidRPr="005E3EAF">
        <w:t xml:space="preserve">. While the results in the whole trial population showed that treatment with docetaxel significantly extended OS and progression free survival in patients with </w:t>
      </w:r>
      <w:proofErr w:type="spellStart"/>
      <w:r w:rsidR="009A2512" w:rsidRPr="005E3EAF">
        <w:t>mHSPC</w:t>
      </w:r>
      <w:proofErr w:type="spellEnd"/>
      <w:r w:rsidR="009A2512" w:rsidRPr="005E3EAF">
        <w:t xml:space="preserve">, there was no significant survival benefit among LV </w:t>
      </w:r>
      <w:proofErr w:type="spellStart"/>
      <w:r w:rsidR="009A2512" w:rsidRPr="005E3EAF">
        <w:t>mHSPC</w:t>
      </w:r>
      <w:proofErr w:type="spellEnd"/>
      <w:r w:rsidR="009A2512" w:rsidRPr="005E3EAF">
        <w:t xml:space="preserve"> patients.</w:t>
      </w:r>
      <w:r w:rsidR="005520F6" w:rsidRPr="005E3EAF">
        <w:t xml:space="preserve">  </w:t>
      </w:r>
      <w:r w:rsidR="00443A65" w:rsidRPr="005E3EAF">
        <w:t xml:space="preserve">The same definition for disease volume was used in TITAN comparing apalutamide plus ADT to ADT alone. </w:t>
      </w:r>
      <w:r w:rsidR="00715D25" w:rsidRPr="005E3EAF">
        <w:t>However,</w:t>
      </w:r>
      <w:r w:rsidR="00443A65" w:rsidRPr="005E3EAF">
        <w:t xml:space="preserve"> in contrast, TITAN found apalutamide plus ADT to be beneficial irrespective of disease volume, with statistically significant improvements in OS in the intention-to-treat (ITT) population as well as the LV and HV subgroups. Trials of other NHAs in combination with ADT in </w:t>
      </w:r>
      <w:proofErr w:type="spellStart"/>
      <w:r w:rsidR="00443A65" w:rsidRPr="005E3EAF">
        <w:t>mHSPC</w:t>
      </w:r>
      <w:proofErr w:type="spellEnd"/>
      <w:r w:rsidR="00443A65" w:rsidRPr="005E3EAF">
        <w:t xml:space="preserve"> including for enzalutamide (ENZAMET, ARCHES) and for abiraterone (LATTITUDE and STAMPEDE) similarly show benefit for OS, although </w:t>
      </w:r>
      <w:r w:rsidR="00443A65" w:rsidRPr="005E3EAF">
        <w:lastRenderedPageBreak/>
        <w:t>the magnitude of the estimated benefits varied due to differences in trial populations, treatments administered and follow up.</w:t>
      </w:r>
    </w:p>
    <w:p w14:paraId="24A16746" w14:textId="77777777" w:rsidR="00443A65" w:rsidRPr="005E3EAF" w:rsidRDefault="0085190F" w:rsidP="009A2512">
      <w:pPr>
        <w:pStyle w:val="3-BodyText"/>
      </w:pPr>
      <w:r w:rsidRPr="005E3EAF">
        <w:t xml:space="preserve">The choice of NHAs over docetaxel in LV </w:t>
      </w:r>
      <w:r w:rsidR="00967D04" w:rsidRPr="005E3EAF">
        <w:t>di</w:t>
      </w:r>
      <w:r w:rsidR="00780B7A" w:rsidRPr="005E3EAF">
        <w:t>s</w:t>
      </w:r>
      <w:r w:rsidR="00967D04" w:rsidRPr="005E3EAF">
        <w:t xml:space="preserve">ease </w:t>
      </w:r>
      <w:r w:rsidR="00414A3B" w:rsidRPr="005E3EAF">
        <w:t xml:space="preserve">was </w:t>
      </w:r>
      <w:r w:rsidR="00715D25" w:rsidRPr="005E3EAF">
        <w:t xml:space="preserve">consistent with </w:t>
      </w:r>
      <w:r w:rsidR="00A6252B" w:rsidRPr="005E3EAF">
        <w:t>some international guidelines (ASCO 2021</w:t>
      </w:r>
      <w:r w:rsidR="00A6252B" w:rsidRPr="005E3EAF">
        <w:rPr>
          <w:rStyle w:val="FootnoteReference"/>
        </w:rPr>
        <w:footnoteReference w:id="10"/>
      </w:r>
      <w:r w:rsidR="00A6252B" w:rsidRPr="005E3EAF">
        <w:t xml:space="preserve"> and NCCN 2021)</w:t>
      </w:r>
      <w:r w:rsidR="008A42D8">
        <w:t>;</w:t>
      </w:r>
      <w:r w:rsidR="00A6252B" w:rsidRPr="005E3EAF">
        <w:t xml:space="preserve"> </w:t>
      </w:r>
      <w:r w:rsidR="00414A3B" w:rsidRPr="005E3EAF">
        <w:t>however</w:t>
      </w:r>
      <w:r w:rsidR="008A42D8">
        <w:t>,</w:t>
      </w:r>
      <w:r w:rsidR="00414A3B" w:rsidRPr="005E3EAF">
        <w:t xml:space="preserve"> </w:t>
      </w:r>
      <w:r w:rsidR="00A6252B" w:rsidRPr="005E3EAF">
        <w:t>other guidelines (ESMO 2020, NICE 2019 and EAU 2021) broadly consider apalutamide, abiraterone, enzalutamide and docetaxel plus ADT to be treatment options irrespective of disease volume.</w:t>
      </w:r>
    </w:p>
    <w:p w14:paraId="5F03B096" w14:textId="77777777" w:rsidR="009A2512" w:rsidRPr="005E3EAF" w:rsidRDefault="00BA5548" w:rsidP="002B6EA3">
      <w:pPr>
        <w:pStyle w:val="3-BodyText"/>
      </w:pPr>
      <w:r w:rsidRPr="005E3EAF">
        <w:t>R</w:t>
      </w:r>
      <w:r w:rsidR="00DC302F" w:rsidRPr="005E3EAF">
        <w:t xml:space="preserve">ecently published NMAs (Wenzel 2021, Mori 2021 and </w:t>
      </w:r>
      <w:proofErr w:type="spellStart"/>
      <w:r w:rsidR="00DC302F" w:rsidRPr="005E3EAF">
        <w:t>Mutlu</w:t>
      </w:r>
      <w:proofErr w:type="spellEnd"/>
      <w:r w:rsidR="00DC302F" w:rsidRPr="005E3EAF">
        <w:t xml:space="preserve"> 2021) compared the relative efficacy of the combination </w:t>
      </w:r>
      <w:r w:rsidR="00DD7FA2">
        <w:t xml:space="preserve">NHA + ADT </w:t>
      </w:r>
      <w:r w:rsidR="00DC302F" w:rsidRPr="005E3EAF">
        <w:t>regimens in LV and HV disease. All studies concluded that abiraterone is the preferred agent with respect to OS benefit in HV disease and enzalutamide the preferred agent in LV disease</w:t>
      </w:r>
      <w:r w:rsidRPr="005E3EAF">
        <w:t>.</w:t>
      </w:r>
      <w:r w:rsidR="008C0301" w:rsidRPr="005E3EAF">
        <w:t xml:space="preserve"> However, the estimated HRs for OS of combination regimens versus ADT</w:t>
      </w:r>
      <w:r w:rsidR="00C77C29" w:rsidRPr="005E3EAF">
        <w:t xml:space="preserve"> included</w:t>
      </w:r>
      <w:r w:rsidR="006E02F8" w:rsidRPr="005E3EAF">
        <w:t xml:space="preserve"> </w:t>
      </w:r>
      <w:r w:rsidR="008C0301" w:rsidRPr="005E3EAF">
        <w:t>wide overlapping confidence intervals, indicating a lack of significant differences between the regimens should they be compared to each othe</w:t>
      </w:r>
      <w:r w:rsidR="003C46DA" w:rsidRPr="005E3EAF">
        <w:t>r</w:t>
      </w:r>
      <w:r w:rsidR="00BE67A2" w:rsidRPr="005E3EAF">
        <w:t>.</w:t>
      </w:r>
      <w:r w:rsidR="003C46DA" w:rsidRPr="005E3EAF">
        <w:t xml:space="preserve"> </w:t>
      </w:r>
      <w:r w:rsidR="00BE67A2" w:rsidRPr="005E3EAF">
        <w:t>This is likely to hold even if inco</w:t>
      </w:r>
      <w:r w:rsidR="006E02F8" w:rsidRPr="005E3EAF">
        <w:t>rp</w:t>
      </w:r>
      <w:r w:rsidR="00BE67A2" w:rsidRPr="005E3EAF">
        <w:t>or</w:t>
      </w:r>
      <w:r w:rsidR="006E02F8" w:rsidRPr="005E3EAF">
        <w:t>a</w:t>
      </w:r>
      <w:r w:rsidR="00BE67A2" w:rsidRPr="005E3EAF">
        <w:t xml:space="preserve">ting </w:t>
      </w:r>
      <w:r w:rsidR="007106DF" w:rsidRPr="005E3EAF">
        <w:t xml:space="preserve">the </w:t>
      </w:r>
      <w:r w:rsidR="00BE67A2" w:rsidRPr="005E3EAF">
        <w:t xml:space="preserve">unpublished HV and LV subgroup results from the final analysis of TITAN, </w:t>
      </w:r>
      <w:r w:rsidR="00B72F24" w:rsidRPr="005E3EAF">
        <w:t>w</w:t>
      </w:r>
      <w:r w:rsidR="006F7C27" w:rsidRPr="005E3EAF">
        <w:t>hich</w:t>
      </w:r>
      <w:r w:rsidR="007106DF" w:rsidRPr="005E3EAF">
        <w:t xml:space="preserve"> reported </w:t>
      </w:r>
      <w:r w:rsidR="00B72F24" w:rsidRPr="005E3EAF">
        <w:t xml:space="preserve">similar </w:t>
      </w:r>
      <w:r w:rsidR="007106DF" w:rsidRPr="005E3EAF">
        <w:t xml:space="preserve">HRs for </w:t>
      </w:r>
      <w:r w:rsidR="006E02F8" w:rsidRPr="005E3EAF">
        <w:t xml:space="preserve">OS </w:t>
      </w:r>
      <w:r w:rsidR="00C77C29" w:rsidRPr="005E3EAF">
        <w:t xml:space="preserve">as the interim analysis </w:t>
      </w:r>
      <w:r w:rsidR="00FC0F62" w:rsidRPr="005E3EAF">
        <w:t xml:space="preserve">versus ADT </w:t>
      </w:r>
      <w:r w:rsidR="00B72F24" w:rsidRPr="005E3EAF">
        <w:t xml:space="preserve">alone </w:t>
      </w:r>
      <w:r w:rsidR="00BE67A2" w:rsidRPr="005E3EAF">
        <w:t xml:space="preserve">(Chi </w:t>
      </w:r>
      <w:r w:rsidR="0060637C" w:rsidRPr="005E3EAF">
        <w:t xml:space="preserve">et al </w:t>
      </w:r>
      <w:r w:rsidR="00BE67A2" w:rsidRPr="005E3EAF">
        <w:t xml:space="preserve">2019) but with tighter confidence intervals, </w:t>
      </w:r>
      <w:r w:rsidR="006F7C27" w:rsidRPr="005E3EAF">
        <w:t xml:space="preserve">additionally </w:t>
      </w:r>
      <w:r w:rsidR="00B72F24" w:rsidRPr="005E3EAF">
        <w:t xml:space="preserve">reaching </w:t>
      </w:r>
      <w:r w:rsidR="00BE67A2" w:rsidRPr="005E3EAF">
        <w:t>statistical significance in the LV subgroup.</w:t>
      </w:r>
    </w:p>
    <w:p w14:paraId="2B9A4143" w14:textId="77777777" w:rsidR="00814F74" w:rsidRPr="005E3EAF" w:rsidRDefault="00814F74" w:rsidP="00814F74">
      <w:pPr>
        <w:pStyle w:val="3-BodyText"/>
      </w:pPr>
      <w:r w:rsidRPr="005E3EAF">
        <w:t xml:space="preserve">The submission’s clinical algorithms further differentiated treatment choice based on docetaxel suitability, reserving apalutamide (in the proposed algorithm) for patients </w:t>
      </w:r>
      <w:r w:rsidR="00C807D9" w:rsidRPr="005E3EAF">
        <w:t xml:space="preserve">in </w:t>
      </w:r>
      <w:r w:rsidRPr="005E3EAF">
        <w:t>whom docetaxel treatment would not be preferred (</w:t>
      </w:r>
      <w:proofErr w:type="gramStart"/>
      <w:r w:rsidRPr="005E3EAF">
        <w:t>i.e.</w:t>
      </w:r>
      <w:proofErr w:type="gramEnd"/>
      <w:r w:rsidRPr="005E3EAF">
        <w:t xml:space="preserve"> in LV disease where the benefit of docetaxel plus ADT is less convincing and in HV disease, where docetaxel plus ADT is effective versus ADT alone but due to either poor ECOG status, comorbidities or contraindications the patient is unsuitable for docetaxel). Given </w:t>
      </w:r>
      <w:r w:rsidR="00C807D9" w:rsidRPr="005E3EAF">
        <w:t xml:space="preserve">the </w:t>
      </w:r>
      <w:r w:rsidRPr="005E3EAF">
        <w:t xml:space="preserve">OS benefit for apalutamide plus ADT versus ADT alone was observed for patients with LV and HV </w:t>
      </w:r>
      <w:proofErr w:type="spellStart"/>
      <w:r w:rsidRPr="005E3EAF">
        <w:t>mHSPC</w:t>
      </w:r>
      <w:proofErr w:type="spellEnd"/>
      <w:r w:rsidRPr="005E3EAF">
        <w:t xml:space="preserve"> in TITAN, there appeared to be little clinical reasoning to exclude use of apalutamide in HV patients (even if they can tolerate docetaxel).</w:t>
      </w:r>
    </w:p>
    <w:p w14:paraId="57C667DA" w14:textId="77777777" w:rsidR="00814F74" w:rsidRPr="005E3EAF" w:rsidRDefault="00814F74" w:rsidP="006B578B">
      <w:pPr>
        <w:pStyle w:val="3-BodyText"/>
      </w:pPr>
      <w:r w:rsidRPr="005E3EAF">
        <w:t xml:space="preserve">A PBS listing of apalutamide for </w:t>
      </w:r>
      <w:proofErr w:type="spellStart"/>
      <w:r w:rsidRPr="005E3EAF">
        <w:t>mHSPC</w:t>
      </w:r>
      <w:proofErr w:type="spellEnd"/>
      <w:r w:rsidRPr="005E3EAF">
        <w:t xml:space="preserve"> would have the effect of shifting NHA earlier in the treatment pathway and</w:t>
      </w:r>
      <w:r w:rsidR="00C807D9" w:rsidRPr="005E3EAF">
        <w:t>,</w:t>
      </w:r>
      <w:r w:rsidRPr="005E3EAF">
        <w:t xml:space="preserve"> conversely</w:t>
      </w:r>
      <w:r w:rsidR="00C807D9" w:rsidRPr="005E3EAF">
        <w:t>,</w:t>
      </w:r>
      <w:r w:rsidRPr="005E3EAF">
        <w:t xml:space="preserve"> pushing docetaxel further down the pathway. The overall impact of this shift on OS is unknown</w:t>
      </w:r>
      <w:r w:rsidR="00C807D9" w:rsidRPr="005E3EAF">
        <w:t>.</w:t>
      </w:r>
    </w:p>
    <w:p w14:paraId="718AFF18" w14:textId="77777777" w:rsidR="00814F74" w:rsidRPr="005E3EAF" w:rsidRDefault="00814F74" w:rsidP="00814F74">
      <w:pPr>
        <w:pStyle w:val="3-BodyText"/>
      </w:pPr>
      <w:r w:rsidRPr="005E3EAF">
        <w:t>Apalutamide is an orally administered androgen receptor inhibitor that directly binds to the ligand-binding domain of the receptor, blocking the binding of endogenous androgens such as testosterone and interrupting the androgen dependent cellular cascade that leads to prostate cancer growth.</w:t>
      </w:r>
    </w:p>
    <w:p w14:paraId="7C6920F2" w14:textId="77777777" w:rsidR="0078568D" w:rsidRDefault="00814F74" w:rsidP="00814F74">
      <w:pPr>
        <w:pStyle w:val="3-BodyText"/>
      </w:pPr>
      <w:r w:rsidRPr="005E3EAF">
        <w:lastRenderedPageBreak/>
        <w:t>The recommended dose of apalutamide is 240 mg (4 x 60 mg tablets) administered orally once daily</w:t>
      </w:r>
      <w:r w:rsidR="009B3E04" w:rsidRPr="005E3EAF">
        <w:t xml:space="preserve">, which is the same as </w:t>
      </w:r>
      <w:r w:rsidRPr="005E3EAF">
        <w:t>for patients with m0CRPC. The PI recommends dose adjustment: if a patient experiences ≥</w:t>
      </w:r>
      <w:r w:rsidR="009B3E04" w:rsidRPr="005E3EAF">
        <w:t xml:space="preserve"> </w:t>
      </w:r>
      <w:r w:rsidRPr="005E3EAF">
        <w:t>Grade 3 toxicity or an intolerable adverse effect, hold dosing until symptoms improve to ≤</w:t>
      </w:r>
      <w:r w:rsidR="009B3E04" w:rsidRPr="005E3EAF">
        <w:t xml:space="preserve"> </w:t>
      </w:r>
      <w:r w:rsidRPr="005E3EAF">
        <w:t>Grade 1 or original grade, then resume at the same dose or a reduced dose (180 mg or 120 mg), if warranted.</w:t>
      </w:r>
    </w:p>
    <w:p w14:paraId="6821CD09" w14:textId="77777777" w:rsidR="00FE58E8" w:rsidRPr="00FE58E8" w:rsidRDefault="00FE58E8" w:rsidP="00FE58E8">
      <w:pPr>
        <w:pStyle w:val="3-BodyText"/>
        <w:numPr>
          <w:ilvl w:val="0"/>
          <w:numId w:val="0"/>
        </w:numPr>
        <w:ind w:left="720"/>
        <w:rPr>
          <w:i/>
          <w:iCs/>
        </w:rPr>
      </w:pPr>
      <w:r w:rsidRPr="00FE58E8">
        <w:rPr>
          <w:i/>
          <w:iCs/>
        </w:rPr>
        <w:t>For more detail on PBAC’s view, see section 7 PBAC outcome.</w:t>
      </w:r>
    </w:p>
    <w:p w14:paraId="73C3CC7A" w14:textId="77777777" w:rsidR="00814F74" w:rsidRPr="00BF06FC" w:rsidRDefault="00814F74" w:rsidP="00814F74">
      <w:pPr>
        <w:pStyle w:val="2-SectionHeading"/>
        <w:numPr>
          <w:ilvl w:val="0"/>
          <w:numId w:val="1"/>
        </w:numPr>
      </w:pPr>
      <w:bookmarkStart w:id="13" w:name="_Toc22898850"/>
      <w:bookmarkStart w:id="14" w:name="_Toc82609545"/>
      <w:r w:rsidRPr="00BF06FC">
        <w:t>Comparator</w:t>
      </w:r>
      <w:bookmarkEnd w:id="13"/>
      <w:bookmarkEnd w:id="14"/>
    </w:p>
    <w:p w14:paraId="398847FA" w14:textId="77777777" w:rsidR="00814F74" w:rsidRPr="00FE58E8" w:rsidRDefault="00814F74" w:rsidP="00814F74">
      <w:pPr>
        <w:pStyle w:val="3-BodyText"/>
        <w:rPr>
          <w:snapToGrid/>
        </w:rPr>
      </w:pPr>
      <w:r w:rsidRPr="005E3EAF">
        <w:t>The submission nominated ADT alone (also referred to as placebo plus ADT in the clinical trial) as the main comparator. ADT comprised of luteinizing hormone-releasing hormone (LHRH) agonists or an antagonist or surgical ADT (</w:t>
      </w:r>
      <w:proofErr w:type="gramStart"/>
      <w:r w:rsidRPr="005E3EAF">
        <w:t>i.e.</w:t>
      </w:r>
      <w:proofErr w:type="gramEnd"/>
      <w:r w:rsidRPr="005E3EAF">
        <w:t xml:space="preserve"> orchidectomy).</w:t>
      </w:r>
      <w:r w:rsidR="004A0EA4">
        <w:t xml:space="preserve"> </w:t>
      </w:r>
      <w:r w:rsidR="004A0EA4" w:rsidRPr="00FE58E8">
        <w:t>The ESC consider</w:t>
      </w:r>
      <w:r w:rsidR="00203306" w:rsidRPr="00FE58E8">
        <w:t>ed</w:t>
      </w:r>
      <w:r w:rsidR="004A0EA4" w:rsidRPr="00FE58E8">
        <w:t xml:space="preserve"> that this was an appropriate comparator for patients with LV </w:t>
      </w:r>
      <w:proofErr w:type="spellStart"/>
      <w:r w:rsidR="004A0EA4" w:rsidRPr="00FE58E8">
        <w:t>mHSPC</w:t>
      </w:r>
      <w:proofErr w:type="spellEnd"/>
      <w:r w:rsidR="004A0EA4" w:rsidRPr="00FE58E8">
        <w:t>.</w:t>
      </w:r>
    </w:p>
    <w:p w14:paraId="3C3E0BC6" w14:textId="77777777" w:rsidR="00814F74" w:rsidRDefault="00814F74" w:rsidP="00D87FA7">
      <w:pPr>
        <w:pStyle w:val="3-BodyText"/>
        <w:rPr>
          <w:snapToGrid/>
        </w:rPr>
      </w:pPr>
      <w:r w:rsidRPr="005E3EAF">
        <w:rPr>
          <w:snapToGrid/>
        </w:rPr>
        <w:t xml:space="preserve">The nomination of ADT alone as comparator </w:t>
      </w:r>
      <w:r w:rsidR="009B3E04" w:rsidRPr="005E3EAF">
        <w:rPr>
          <w:snapToGrid/>
        </w:rPr>
        <w:t xml:space="preserve">was </w:t>
      </w:r>
      <w:r w:rsidRPr="005E3EAF">
        <w:rPr>
          <w:snapToGrid/>
        </w:rPr>
        <w:t xml:space="preserve">only reasonable if </w:t>
      </w:r>
      <w:r w:rsidR="004A0EA4">
        <w:rPr>
          <w:snapToGrid/>
        </w:rPr>
        <w:t>patients with HV disease</w:t>
      </w:r>
      <w:r w:rsidR="004A0EA4" w:rsidRPr="005E3EAF">
        <w:rPr>
          <w:snapToGrid/>
        </w:rPr>
        <w:t xml:space="preserve"> </w:t>
      </w:r>
      <w:r w:rsidRPr="005E3EAF">
        <w:rPr>
          <w:snapToGrid/>
        </w:rPr>
        <w:t xml:space="preserve">accessing treatment </w:t>
      </w:r>
      <w:r w:rsidR="003A670A" w:rsidRPr="005E3EAF">
        <w:rPr>
          <w:snapToGrid/>
        </w:rPr>
        <w:t>we</w:t>
      </w:r>
      <w:r w:rsidRPr="005E3EAF">
        <w:rPr>
          <w:snapToGrid/>
        </w:rPr>
        <w:t xml:space="preserve">re truly docetaxel unsuitable. A concern with the choice of comparator was that given the </w:t>
      </w:r>
      <w:r w:rsidR="00690A35" w:rsidRPr="005E3EAF">
        <w:rPr>
          <w:snapToGrid/>
        </w:rPr>
        <w:t>improved</w:t>
      </w:r>
      <w:r w:rsidRPr="005E3EAF">
        <w:rPr>
          <w:snapToGrid/>
        </w:rPr>
        <w:t xml:space="preserve"> safety of apalutamide versus docetaxel and comparable OS benefit, patients who are suitable for docetaxel </w:t>
      </w:r>
      <w:r w:rsidR="009B3E04" w:rsidRPr="005E3EAF">
        <w:rPr>
          <w:snapToGrid/>
        </w:rPr>
        <w:t xml:space="preserve">would be likely to </w:t>
      </w:r>
      <w:r w:rsidRPr="005E3EAF">
        <w:rPr>
          <w:snapToGrid/>
        </w:rPr>
        <w:t xml:space="preserve">prefer to receive apalutamide. The list of contraindications/comorbidities for docetaxel </w:t>
      </w:r>
      <w:r w:rsidR="009B3E04" w:rsidRPr="005E3EAF">
        <w:rPr>
          <w:snapToGrid/>
        </w:rPr>
        <w:t xml:space="preserve">outlined </w:t>
      </w:r>
      <w:r w:rsidRPr="005E3EAF">
        <w:rPr>
          <w:snapToGrid/>
        </w:rPr>
        <w:t xml:space="preserve">in the requested </w:t>
      </w:r>
      <w:r w:rsidR="009B3E04" w:rsidRPr="005E3EAF">
        <w:rPr>
          <w:snapToGrid/>
        </w:rPr>
        <w:t xml:space="preserve">initial </w:t>
      </w:r>
      <w:r w:rsidRPr="005E3EAF">
        <w:rPr>
          <w:snapToGrid/>
        </w:rPr>
        <w:t>restriction is broad and</w:t>
      </w:r>
      <w:r w:rsidRPr="00E81269">
        <w:rPr>
          <w:snapToGrid/>
        </w:rPr>
        <w:t xml:space="preserve"> </w:t>
      </w:r>
      <w:r w:rsidR="00A732F2" w:rsidRPr="00E81269">
        <w:rPr>
          <w:iCs/>
          <w:snapToGrid/>
        </w:rPr>
        <w:t>do</w:t>
      </w:r>
      <w:r w:rsidR="004A0EA4" w:rsidRPr="00E81269">
        <w:rPr>
          <w:iCs/>
          <w:snapToGrid/>
        </w:rPr>
        <w:t>es</w:t>
      </w:r>
      <w:r w:rsidR="00A732F2">
        <w:rPr>
          <w:snapToGrid/>
        </w:rPr>
        <w:t xml:space="preserve"> </w:t>
      </w:r>
      <w:r w:rsidRPr="005E3EAF">
        <w:rPr>
          <w:snapToGrid/>
        </w:rPr>
        <w:t xml:space="preserve">not represent absolute contraindications to docetaxel. The clinical guidelines generally recommend that underlying comorbidities should be taken into consideration in the decision to use docetaxel or other NHAs but do not identify specific comorbidities that preclude docetaxel use (Virgo et al 2021, Parker et al 2020). As noted above, a large proportion of patients with </w:t>
      </w:r>
      <w:r w:rsidR="004A0EA4">
        <w:rPr>
          <w:snapToGrid/>
        </w:rPr>
        <w:t xml:space="preserve">HV </w:t>
      </w:r>
      <w:proofErr w:type="spellStart"/>
      <w:r w:rsidRPr="005E3EAF">
        <w:rPr>
          <w:snapToGrid/>
        </w:rPr>
        <w:t>mHSPC</w:t>
      </w:r>
      <w:proofErr w:type="spellEnd"/>
      <w:r w:rsidRPr="005E3EAF">
        <w:rPr>
          <w:snapToGrid/>
        </w:rPr>
        <w:t xml:space="preserve"> would </w:t>
      </w:r>
      <w:r w:rsidR="009B3E04" w:rsidRPr="005E3EAF">
        <w:rPr>
          <w:snapToGrid/>
        </w:rPr>
        <w:t xml:space="preserve">likely </w:t>
      </w:r>
      <w:r w:rsidRPr="005E3EAF">
        <w:rPr>
          <w:snapToGrid/>
        </w:rPr>
        <w:t xml:space="preserve">meet the proposed </w:t>
      </w:r>
      <w:r w:rsidR="003A670A" w:rsidRPr="005E3EAF">
        <w:rPr>
          <w:snapToGrid/>
        </w:rPr>
        <w:t xml:space="preserve">contraindication/comorbidity </w:t>
      </w:r>
      <w:r w:rsidRPr="005E3EAF">
        <w:rPr>
          <w:snapToGrid/>
        </w:rPr>
        <w:t xml:space="preserve">criteria given the disease affects predominantly an elderly population. </w:t>
      </w:r>
    </w:p>
    <w:p w14:paraId="33568F7C" w14:textId="77777777" w:rsidR="003634B8" w:rsidRPr="00FE58E8" w:rsidRDefault="003634B8" w:rsidP="00D87FA7">
      <w:pPr>
        <w:pStyle w:val="3-BodyText"/>
        <w:rPr>
          <w:snapToGrid/>
        </w:rPr>
      </w:pPr>
      <w:r w:rsidRPr="00FE58E8">
        <w:rPr>
          <w:snapToGrid/>
        </w:rPr>
        <w:t xml:space="preserve">In addition, the ESC noted that many patients with HV disease who would be considered unsuitable for docetaxel chemotherapy based on the proposed restriction would not have been eligible for inclusion in the TITAN trial. Therefore, the degree of benefit seen in the TITAN trial for HV patients was unlikely to reflect the benefit in this patient group in clinical practice as competing comorbidities were likely to reduce the </w:t>
      </w:r>
      <w:r w:rsidR="00AC6CF1" w:rsidRPr="00FE58E8">
        <w:rPr>
          <w:snapToGrid/>
        </w:rPr>
        <w:t>overall survival (</w:t>
      </w:r>
      <w:r w:rsidRPr="00FE58E8">
        <w:rPr>
          <w:snapToGrid/>
        </w:rPr>
        <w:t>OS</w:t>
      </w:r>
      <w:r w:rsidR="00AC6CF1" w:rsidRPr="00FE58E8">
        <w:rPr>
          <w:snapToGrid/>
        </w:rPr>
        <w:t>)</w:t>
      </w:r>
      <w:r w:rsidRPr="00FE58E8">
        <w:rPr>
          <w:snapToGrid/>
        </w:rPr>
        <w:t xml:space="preserve"> benefit.</w:t>
      </w:r>
    </w:p>
    <w:p w14:paraId="1ACB58BF" w14:textId="77777777" w:rsidR="003634B8" w:rsidRPr="00FE58E8" w:rsidRDefault="006B350C" w:rsidP="00D87FA7">
      <w:pPr>
        <w:pStyle w:val="3-BodyText"/>
        <w:rPr>
          <w:snapToGrid/>
        </w:rPr>
      </w:pPr>
      <w:r w:rsidRPr="00FE58E8">
        <w:rPr>
          <w:snapToGrid/>
        </w:rPr>
        <w:t>T</w:t>
      </w:r>
      <w:r w:rsidR="003634B8" w:rsidRPr="00FE58E8">
        <w:rPr>
          <w:snapToGrid/>
        </w:rPr>
        <w:t xml:space="preserve">he ESC considered that docetaxel plus ADT </w:t>
      </w:r>
      <w:r w:rsidR="004A0EA4" w:rsidRPr="00FE58E8">
        <w:rPr>
          <w:snapToGrid/>
        </w:rPr>
        <w:t>would</w:t>
      </w:r>
      <w:r w:rsidR="003634B8" w:rsidRPr="00FE58E8">
        <w:rPr>
          <w:snapToGrid/>
        </w:rPr>
        <w:t xml:space="preserve"> also be an appropriate comparator </w:t>
      </w:r>
      <w:r w:rsidR="004A0EA4" w:rsidRPr="00FE58E8">
        <w:rPr>
          <w:snapToGrid/>
        </w:rPr>
        <w:t xml:space="preserve">for patients with HV </w:t>
      </w:r>
      <w:proofErr w:type="spellStart"/>
      <w:r w:rsidR="004A0EA4" w:rsidRPr="00FE58E8">
        <w:rPr>
          <w:snapToGrid/>
        </w:rPr>
        <w:t>mHSPC</w:t>
      </w:r>
      <w:proofErr w:type="spellEnd"/>
      <w:r w:rsidR="004A0EA4" w:rsidRPr="00FE58E8">
        <w:rPr>
          <w:snapToGrid/>
        </w:rPr>
        <w:t xml:space="preserve"> </w:t>
      </w:r>
      <w:r w:rsidR="003634B8" w:rsidRPr="00FE58E8">
        <w:rPr>
          <w:snapToGrid/>
        </w:rPr>
        <w:t>given it would also be replaced in clinical practice.</w:t>
      </w:r>
      <w:r w:rsidR="000F0984">
        <w:rPr>
          <w:snapToGrid/>
        </w:rPr>
        <w:t xml:space="preserve">  The pre-PBAC response argued against broadening the request to include HV docetaxel-suitable patients, reiterating the intention of the submission to seek PBS listing only for patients who are unsuitable for chemotherapy.</w:t>
      </w:r>
    </w:p>
    <w:p w14:paraId="061862EB" w14:textId="77777777" w:rsidR="00C173E3" w:rsidRDefault="00814F74" w:rsidP="00814F74">
      <w:pPr>
        <w:pStyle w:val="3-BodyText"/>
        <w:rPr>
          <w:snapToGrid/>
        </w:rPr>
      </w:pPr>
      <w:r w:rsidRPr="005E3EAF">
        <w:rPr>
          <w:snapToGrid/>
        </w:rPr>
        <w:t xml:space="preserve">Other NHAs with evidence of benefit in </w:t>
      </w:r>
      <w:proofErr w:type="spellStart"/>
      <w:r w:rsidRPr="005E3EAF">
        <w:rPr>
          <w:snapToGrid/>
        </w:rPr>
        <w:t>mHSPC</w:t>
      </w:r>
      <w:proofErr w:type="spellEnd"/>
      <w:r w:rsidRPr="005E3EAF">
        <w:rPr>
          <w:snapToGrid/>
        </w:rPr>
        <w:t xml:space="preserve"> include enzalutamide and abiraterone and these </w:t>
      </w:r>
      <w:r w:rsidR="003A670A" w:rsidRPr="005E3EAF">
        <w:rPr>
          <w:snapToGrid/>
        </w:rPr>
        <w:t xml:space="preserve">may </w:t>
      </w:r>
      <w:r w:rsidRPr="005E3EAF">
        <w:rPr>
          <w:snapToGrid/>
        </w:rPr>
        <w:t xml:space="preserve">be potential future comparators for apalutamide. Abiraterone is currently TGA registered for use in newly diagnosed high risk </w:t>
      </w:r>
      <w:proofErr w:type="spellStart"/>
      <w:r w:rsidRPr="005E3EAF">
        <w:rPr>
          <w:snapToGrid/>
        </w:rPr>
        <w:t>mHSPC</w:t>
      </w:r>
      <w:proofErr w:type="spellEnd"/>
      <w:r w:rsidRPr="005E3EAF">
        <w:rPr>
          <w:snapToGrid/>
        </w:rPr>
        <w:t xml:space="preserve">. Both abiraterone and enzalutamide are reimbursed on the PBS for </w:t>
      </w:r>
      <w:proofErr w:type="spellStart"/>
      <w:r w:rsidRPr="005E3EAF">
        <w:rPr>
          <w:snapToGrid/>
        </w:rPr>
        <w:t>mCRPC</w:t>
      </w:r>
      <w:proofErr w:type="spellEnd"/>
      <w:r w:rsidRPr="005E3EAF">
        <w:rPr>
          <w:snapToGrid/>
        </w:rPr>
        <w:t xml:space="preserve"> (once the tumour becomes </w:t>
      </w:r>
      <w:r w:rsidRPr="005E3EAF">
        <w:rPr>
          <w:snapToGrid/>
        </w:rPr>
        <w:lastRenderedPageBreak/>
        <w:t>irresponsive to hormone therapy), with restrictions ensuring patients receive only one NHA once in a lifetime.</w:t>
      </w:r>
    </w:p>
    <w:p w14:paraId="70978871" w14:textId="77777777" w:rsidR="00FE58E8" w:rsidRPr="00FE58E8" w:rsidRDefault="00FE58E8" w:rsidP="00FE58E8">
      <w:pPr>
        <w:pStyle w:val="3-BodyText"/>
        <w:numPr>
          <w:ilvl w:val="0"/>
          <w:numId w:val="0"/>
        </w:numPr>
        <w:ind w:left="720"/>
        <w:rPr>
          <w:i/>
          <w:iCs/>
          <w:snapToGrid/>
        </w:rPr>
      </w:pPr>
      <w:r w:rsidRPr="00FE58E8">
        <w:rPr>
          <w:i/>
          <w:iCs/>
          <w:snapToGrid/>
        </w:rPr>
        <w:t>For more detail on PBAC’s view, see section 7 PBAC outcome.</w:t>
      </w:r>
    </w:p>
    <w:p w14:paraId="005A444D" w14:textId="77777777" w:rsidR="00814F74" w:rsidRPr="00BF06FC" w:rsidRDefault="00814F74" w:rsidP="00814F74">
      <w:pPr>
        <w:pStyle w:val="2-SectionHeading"/>
        <w:numPr>
          <w:ilvl w:val="0"/>
          <w:numId w:val="1"/>
        </w:numPr>
      </w:pPr>
      <w:bookmarkStart w:id="15" w:name="_Toc82609546"/>
      <w:bookmarkStart w:id="16" w:name="_Toc22897640"/>
      <w:bookmarkStart w:id="17" w:name="_Toc22898852"/>
      <w:r w:rsidRPr="00BF06FC">
        <w:t>Consideration of the evidence</w:t>
      </w:r>
      <w:bookmarkEnd w:id="15"/>
    </w:p>
    <w:p w14:paraId="21FAEB28" w14:textId="77777777" w:rsidR="00FE58E8" w:rsidRPr="006E1229" w:rsidRDefault="00FE58E8" w:rsidP="00FE58E8">
      <w:pPr>
        <w:pStyle w:val="4-SubsectionHeading"/>
      </w:pPr>
      <w:bookmarkStart w:id="18" w:name="_Hlk76375935"/>
      <w:bookmarkStart w:id="19" w:name="_Toc82609547"/>
      <w:r w:rsidRPr="006E1229">
        <w:t>Sponsor hearing</w:t>
      </w:r>
    </w:p>
    <w:p w14:paraId="321C2551" w14:textId="77777777" w:rsidR="005D1DC5" w:rsidRPr="00836F75" w:rsidRDefault="005D1DC5" w:rsidP="005D1DC5">
      <w:pPr>
        <w:pStyle w:val="3-BodyText"/>
        <w:rPr>
          <w:bCs/>
        </w:rPr>
      </w:pPr>
      <w:bookmarkStart w:id="20" w:name="_Hlk76382586"/>
      <w:r w:rsidRPr="005D1DC5">
        <w:rPr>
          <w:bCs/>
        </w:rPr>
        <w:t>The sponsor provided a hearing for this item. The clinician discussed the narrow therapeutic index associated with docetaxel, and the potential adverse events associated with treatment.  The clinician also discussed the difficulty of defining which patients are unsuitable for docetaxel, stating that age and ECOG status are not sufficient to determine this.  The clinician discussed factors that are taken into consideration by the oncologist when treating these patients, highlighting frailty and comorbidities as most important.</w:t>
      </w:r>
      <w:r w:rsidR="007D4FA7" w:rsidRPr="007D4FA7">
        <w:rPr>
          <w:bCs/>
        </w:rPr>
        <w:t xml:space="preserve"> </w:t>
      </w:r>
      <w:r w:rsidR="007D4FA7" w:rsidRPr="008A42D8">
        <w:rPr>
          <w:bCs/>
        </w:rPr>
        <w:t>The PBAC considered that the hearing was informative as it provided a clinical perspective on the potential role for apalutamide in clinical practice.</w:t>
      </w:r>
    </w:p>
    <w:bookmarkEnd w:id="20"/>
    <w:p w14:paraId="7CD056BC" w14:textId="77777777" w:rsidR="00FE58E8" w:rsidRPr="006E1229" w:rsidRDefault="00FE58E8" w:rsidP="00FE58E8">
      <w:pPr>
        <w:pStyle w:val="4-SubsectionHeading"/>
      </w:pPr>
      <w:r w:rsidRPr="006E1229">
        <w:t>Consumer comments</w:t>
      </w:r>
    </w:p>
    <w:p w14:paraId="5F9C60FB" w14:textId="77777777" w:rsidR="00890D2D" w:rsidRPr="00836F75" w:rsidRDefault="00890D2D" w:rsidP="00890D2D">
      <w:pPr>
        <w:widowControl w:val="0"/>
        <w:numPr>
          <w:ilvl w:val="1"/>
          <w:numId w:val="1"/>
        </w:numPr>
        <w:spacing w:after="120"/>
        <w:rPr>
          <w:rFonts w:asciiTheme="minorHAnsi" w:hAnsiTheme="minorHAnsi"/>
          <w:bCs/>
          <w:snapToGrid w:val="0"/>
        </w:rPr>
      </w:pPr>
      <w:bookmarkStart w:id="21" w:name="_Hlk76382618"/>
      <w:r w:rsidRPr="00836F75">
        <w:rPr>
          <w:rFonts w:asciiTheme="minorHAnsi" w:hAnsiTheme="minorHAnsi"/>
          <w:bCs/>
          <w:snapToGrid w:val="0"/>
        </w:rPr>
        <w:t>The PBAC note</w:t>
      </w:r>
      <w:r>
        <w:rPr>
          <w:rFonts w:asciiTheme="minorHAnsi" w:hAnsiTheme="minorHAnsi"/>
          <w:bCs/>
          <w:snapToGrid w:val="0"/>
        </w:rPr>
        <w:t xml:space="preserve">d </w:t>
      </w:r>
      <w:r w:rsidRPr="00836F75">
        <w:rPr>
          <w:rFonts w:asciiTheme="minorHAnsi" w:hAnsiTheme="minorHAnsi"/>
          <w:bCs/>
          <w:snapToGrid w:val="0"/>
        </w:rPr>
        <w:t>and welcomed the input from individuals</w:t>
      </w:r>
      <w:r>
        <w:rPr>
          <w:rFonts w:asciiTheme="minorHAnsi" w:hAnsiTheme="minorHAnsi"/>
          <w:bCs/>
          <w:snapToGrid w:val="0"/>
        </w:rPr>
        <w:t xml:space="preserve"> (29)</w:t>
      </w:r>
      <w:r w:rsidRPr="00836F75">
        <w:rPr>
          <w:rFonts w:asciiTheme="minorHAnsi" w:hAnsiTheme="minorHAnsi"/>
          <w:bCs/>
          <w:snapToGrid w:val="0"/>
        </w:rPr>
        <w:t xml:space="preserve"> </w:t>
      </w:r>
      <w:r>
        <w:rPr>
          <w:rFonts w:asciiTheme="minorHAnsi" w:hAnsiTheme="minorHAnsi"/>
          <w:bCs/>
          <w:snapToGrid w:val="0"/>
        </w:rPr>
        <w:t>and</w:t>
      </w:r>
      <w:r w:rsidRPr="00836F75">
        <w:rPr>
          <w:rFonts w:asciiTheme="minorHAnsi" w:hAnsiTheme="minorHAnsi"/>
          <w:bCs/>
          <w:snapToGrid w:val="0"/>
        </w:rPr>
        <w:t xml:space="preserve"> health care professionals</w:t>
      </w:r>
      <w:r>
        <w:rPr>
          <w:rFonts w:asciiTheme="minorHAnsi" w:hAnsiTheme="minorHAnsi"/>
          <w:bCs/>
          <w:snapToGrid w:val="0"/>
        </w:rPr>
        <w:t xml:space="preserve"> (4), as well as </w:t>
      </w:r>
      <w:r w:rsidRPr="00836F75">
        <w:rPr>
          <w:rFonts w:asciiTheme="minorHAnsi" w:hAnsiTheme="minorHAnsi"/>
          <w:bCs/>
          <w:snapToGrid w:val="0"/>
        </w:rPr>
        <w:t>organisations (</w:t>
      </w:r>
      <w:r>
        <w:rPr>
          <w:rFonts w:asciiTheme="minorHAnsi" w:hAnsiTheme="minorHAnsi"/>
          <w:bCs/>
          <w:snapToGrid w:val="0"/>
        </w:rPr>
        <w:t>9</w:t>
      </w:r>
      <w:r w:rsidRPr="00836F75">
        <w:rPr>
          <w:rFonts w:asciiTheme="minorHAnsi" w:hAnsiTheme="minorHAnsi"/>
          <w:bCs/>
          <w:snapToGrid w:val="0"/>
        </w:rPr>
        <w:t xml:space="preserve">) via the Consumer Comments facility on the PBS website.  The comments described a range of benefits </w:t>
      </w:r>
      <w:r>
        <w:rPr>
          <w:rFonts w:asciiTheme="minorHAnsi" w:hAnsiTheme="minorHAnsi"/>
          <w:bCs/>
          <w:snapToGrid w:val="0"/>
        </w:rPr>
        <w:t xml:space="preserve">associated with </w:t>
      </w:r>
      <w:r w:rsidRPr="00836F75">
        <w:rPr>
          <w:rFonts w:asciiTheme="minorHAnsi" w:hAnsiTheme="minorHAnsi"/>
          <w:bCs/>
          <w:snapToGrid w:val="0"/>
        </w:rPr>
        <w:t xml:space="preserve">treatment with </w:t>
      </w:r>
      <w:r>
        <w:rPr>
          <w:rFonts w:asciiTheme="minorHAnsi" w:hAnsiTheme="minorHAnsi"/>
          <w:bCs/>
          <w:snapToGrid w:val="0"/>
        </w:rPr>
        <w:t xml:space="preserve">apalutamide </w:t>
      </w:r>
      <w:r w:rsidRPr="00836F75">
        <w:rPr>
          <w:rFonts w:asciiTheme="minorHAnsi" w:hAnsiTheme="minorHAnsi"/>
          <w:bCs/>
          <w:snapToGrid w:val="0"/>
        </w:rPr>
        <w:t xml:space="preserve">including the </w:t>
      </w:r>
      <w:r>
        <w:rPr>
          <w:rFonts w:asciiTheme="minorHAnsi" w:hAnsiTheme="minorHAnsi"/>
          <w:bCs/>
          <w:snapToGrid w:val="0"/>
        </w:rPr>
        <w:t>potential for an improved life expectancy and improvements in quality of life.</w:t>
      </w:r>
      <w:r w:rsidRPr="00836F75">
        <w:rPr>
          <w:rFonts w:asciiTheme="minorHAnsi" w:hAnsiTheme="minorHAnsi"/>
          <w:bCs/>
          <w:snapToGrid w:val="0"/>
        </w:rPr>
        <w:t xml:space="preserve">  </w:t>
      </w:r>
      <w:r>
        <w:rPr>
          <w:rFonts w:asciiTheme="minorHAnsi" w:hAnsiTheme="minorHAnsi"/>
          <w:bCs/>
          <w:snapToGrid w:val="0"/>
        </w:rPr>
        <w:t xml:space="preserve">Individuals also described the high cost of apalutamide if the treatment is not PBS-listed. </w:t>
      </w:r>
    </w:p>
    <w:p w14:paraId="0D41729A" w14:textId="77777777" w:rsidR="00890D2D" w:rsidRDefault="00890D2D" w:rsidP="00890D2D">
      <w:pPr>
        <w:widowControl w:val="0"/>
        <w:numPr>
          <w:ilvl w:val="1"/>
          <w:numId w:val="1"/>
        </w:numPr>
        <w:spacing w:after="120"/>
        <w:rPr>
          <w:bCs/>
        </w:rPr>
      </w:pPr>
      <w:r w:rsidRPr="00836F75">
        <w:rPr>
          <w:rFonts w:asciiTheme="minorHAnsi" w:hAnsiTheme="minorHAnsi"/>
          <w:bCs/>
          <w:snapToGrid w:val="0"/>
        </w:rPr>
        <w:t xml:space="preserve">The PBAC noted the advice received from </w:t>
      </w:r>
      <w:r>
        <w:rPr>
          <w:rFonts w:asciiTheme="minorHAnsi" w:hAnsiTheme="minorHAnsi"/>
          <w:bCs/>
          <w:snapToGrid w:val="0"/>
        </w:rPr>
        <w:t>the following prostate cancer support groups: Tamworth and District, Ocean Reef, South Eastern, Heidelberg, and Nepean/Blue Mountains</w:t>
      </w:r>
      <w:r w:rsidR="00850D3D">
        <w:rPr>
          <w:rFonts w:asciiTheme="minorHAnsi" w:hAnsiTheme="minorHAnsi"/>
          <w:bCs/>
          <w:snapToGrid w:val="0"/>
        </w:rPr>
        <w:t xml:space="preserve"> and Geelong</w:t>
      </w:r>
      <w:r>
        <w:rPr>
          <w:rFonts w:asciiTheme="minorHAnsi" w:hAnsiTheme="minorHAnsi"/>
          <w:bCs/>
          <w:snapToGrid w:val="0"/>
        </w:rPr>
        <w:t xml:space="preserve">, outlining the need for additional prostate cancer treatments. Support for the submission was also received from </w:t>
      </w:r>
      <w:proofErr w:type="spellStart"/>
      <w:r>
        <w:rPr>
          <w:rFonts w:asciiTheme="minorHAnsi" w:hAnsiTheme="minorHAnsi"/>
          <w:bCs/>
          <w:snapToGrid w:val="0"/>
        </w:rPr>
        <w:t>Movember</w:t>
      </w:r>
      <w:proofErr w:type="spellEnd"/>
      <w:r>
        <w:rPr>
          <w:rFonts w:asciiTheme="minorHAnsi" w:hAnsiTheme="minorHAnsi"/>
          <w:bCs/>
          <w:snapToGrid w:val="0"/>
        </w:rPr>
        <w:t xml:space="preserve"> and the Prostate Cancer Foundation of Australia. </w:t>
      </w:r>
    </w:p>
    <w:p w14:paraId="22D62343" w14:textId="77777777" w:rsidR="00890D2D" w:rsidRPr="00850D3D" w:rsidRDefault="00890D2D" w:rsidP="00850D3D">
      <w:pPr>
        <w:widowControl w:val="0"/>
        <w:numPr>
          <w:ilvl w:val="1"/>
          <w:numId w:val="1"/>
        </w:numPr>
        <w:spacing w:after="120"/>
      </w:pPr>
      <w:r w:rsidRPr="00337163">
        <w:rPr>
          <w:rFonts w:asciiTheme="minorHAnsi" w:hAnsiTheme="minorHAnsi"/>
          <w:bCs/>
          <w:snapToGrid w:val="0"/>
        </w:rPr>
        <w:t xml:space="preserve">The Medical Oncology Group of Australia (MOGA) also expressed its strong support for the apalutamide in m0CRPC submission, categorising it as one of the therapies of “highest priority for PBS listing” </w:t>
      </w:r>
      <w:proofErr w:type="gramStart"/>
      <w:r w:rsidRPr="00337163">
        <w:rPr>
          <w:rFonts w:asciiTheme="minorHAnsi" w:hAnsiTheme="minorHAnsi"/>
          <w:bCs/>
          <w:snapToGrid w:val="0"/>
        </w:rPr>
        <w:t>on the basis of</w:t>
      </w:r>
      <w:proofErr w:type="gramEnd"/>
      <w:r w:rsidRPr="00337163">
        <w:rPr>
          <w:rFonts w:asciiTheme="minorHAnsi" w:hAnsiTheme="minorHAnsi"/>
          <w:bCs/>
          <w:snapToGrid w:val="0"/>
        </w:rPr>
        <w:t xml:space="preserve"> the </w:t>
      </w:r>
      <w:r w:rsidR="00850D3D">
        <w:rPr>
          <w:rFonts w:asciiTheme="minorHAnsi" w:hAnsiTheme="minorHAnsi"/>
          <w:bCs/>
          <w:snapToGrid w:val="0"/>
        </w:rPr>
        <w:t>TITAN</w:t>
      </w:r>
      <w:r w:rsidRPr="00337163">
        <w:rPr>
          <w:rFonts w:asciiTheme="minorHAnsi" w:hAnsiTheme="minorHAnsi"/>
          <w:bCs/>
          <w:snapToGrid w:val="0"/>
        </w:rPr>
        <w:t xml:space="preserve"> trial. The PBAC noted that the MOGA presented a European Society for Medical Oncology Magnitude of Clinical Benefit Scale (ESMO-MCBS) for apalutamide, which was limited to </w:t>
      </w:r>
      <w:r w:rsidR="00850D3D">
        <w:rPr>
          <w:rFonts w:asciiTheme="minorHAnsi" w:hAnsiTheme="minorHAnsi"/>
          <w:bCs/>
          <w:snapToGrid w:val="0"/>
        </w:rPr>
        <w:t>4</w:t>
      </w:r>
      <w:r w:rsidRPr="00337163">
        <w:rPr>
          <w:rFonts w:asciiTheme="minorHAnsi" w:hAnsiTheme="minorHAnsi"/>
          <w:bCs/>
          <w:snapToGrid w:val="0"/>
        </w:rPr>
        <w:t xml:space="preserve"> (out of a maximum of 5, where 5 and 4 represent the grades with substantial </w:t>
      </w:r>
      <w:proofErr w:type="gramStart"/>
      <w:r w:rsidRPr="00337163">
        <w:rPr>
          <w:rFonts w:asciiTheme="minorHAnsi" w:hAnsiTheme="minorHAnsi"/>
          <w:bCs/>
          <w:snapToGrid w:val="0"/>
        </w:rPr>
        <w:t>improvement)</w:t>
      </w:r>
      <w:r w:rsidRPr="00337163">
        <w:rPr>
          <w:rFonts w:asciiTheme="minorHAnsi" w:hAnsiTheme="minorHAnsi"/>
          <w:bCs/>
          <w:snapToGrid w:val="0"/>
          <w:vertAlign w:val="superscript"/>
        </w:rPr>
        <w:t>[</w:t>
      </w:r>
      <w:proofErr w:type="gramEnd"/>
      <w:r w:rsidRPr="00337163">
        <w:rPr>
          <w:rFonts w:asciiTheme="minorHAnsi" w:hAnsiTheme="minorHAnsi"/>
          <w:bCs/>
          <w:snapToGrid w:val="0"/>
          <w:vertAlign w:val="superscript"/>
        </w:rPr>
        <w:t>1]</w:t>
      </w:r>
      <w:r w:rsidRPr="00337163">
        <w:rPr>
          <w:rFonts w:asciiTheme="minorHAnsi" w:hAnsiTheme="minorHAnsi"/>
          <w:bCs/>
          <w:snapToGrid w:val="0"/>
        </w:rPr>
        <w:t>, based on a comparison with placebo.</w:t>
      </w:r>
      <w:r>
        <w:rPr>
          <w:rStyle w:val="FootnoteReference"/>
          <w:rFonts w:asciiTheme="minorHAnsi" w:hAnsiTheme="minorHAnsi"/>
          <w:bCs/>
          <w:snapToGrid w:val="0"/>
        </w:rPr>
        <w:footnoteReference w:id="11"/>
      </w:r>
      <w:r w:rsidRPr="00337163">
        <w:rPr>
          <w:rFonts w:asciiTheme="minorHAnsi" w:hAnsiTheme="minorHAnsi"/>
          <w:bCs/>
          <w:snapToGrid w:val="0"/>
        </w:rPr>
        <w:t xml:space="preserve">  </w:t>
      </w:r>
    </w:p>
    <w:bookmarkEnd w:id="18"/>
    <w:bookmarkEnd w:id="21"/>
    <w:p w14:paraId="0C13865A" w14:textId="77777777" w:rsidR="00814F74" w:rsidRPr="00BF06FC" w:rsidRDefault="00814F74" w:rsidP="00814F74">
      <w:pPr>
        <w:pStyle w:val="4-SubsectionHeading"/>
      </w:pPr>
      <w:r w:rsidRPr="00BF06FC">
        <w:lastRenderedPageBreak/>
        <w:t>Clinical trials</w:t>
      </w:r>
      <w:bookmarkEnd w:id="16"/>
      <w:bookmarkEnd w:id="17"/>
      <w:bookmarkEnd w:id="19"/>
    </w:p>
    <w:p w14:paraId="6415E955" w14:textId="77777777" w:rsidR="00814F74" w:rsidRPr="00BF06FC" w:rsidRDefault="00814F74" w:rsidP="00814F74">
      <w:pPr>
        <w:pStyle w:val="3-BodyText"/>
      </w:pPr>
      <w:r w:rsidRPr="00BF06FC">
        <w:t>The submission was based on one head-to-head randomised trial (TITAN), comparing apalutamide plus ADT to placebo plus ADT (</w:t>
      </w:r>
      <w:proofErr w:type="gramStart"/>
      <w:r w:rsidRPr="00BF06FC">
        <w:t>i.e.</w:t>
      </w:r>
      <w:proofErr w:type="gramEnd"/>
      <w:r w:rsidRPr="00BF06FC">
        <w:t xml:space="preserve"> standard of care) in patients with </w:t>
      </w:r>
      <w:proofErr w:type="spellStart"/>
      <w:r w:rsidRPr="00BF06FC">
        <w:t>mHSPC</w:t>
      </w:r>
      <w:proofErr w:type="spellEnd"/>
      <w:r w:rsidRPr="00BF06FC">
        <w:t>.</w:t>
      </w:r>
    </w:p>
    <w:p w14:paraId="37A55C63" w14:textId="77777777" w:rsidR="00814F74" w:rsidRPr="00BF06FC" w:rsidRDefault="00814F74" w:rsidP="00814F74">
      <w:pPr>
        <w:pStyle w:val="TableFigureHeading"/>
        <w:rPr>
          <w:rStyle w:val="CommentReference"/>
          <w:b/>
          <w:bCs w:val="0"/>
        </w:rPr>
      </w:pPr>
      <w:r w:rsidRPr="00BF06FC">
        <w:rPr>
          <w:rStyle w:val="CommentReference"/>
          <w:b/>
          <w:bCs w:val="0"/>
        </w:rPr>
        <w:t>Table 2: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6238"/>
        <w:gridCol w:w="1650"/>
      </w:tblGrid>
      <w:tr w:rsidR="00814F74" w:rsidRPr="00BF06FC" w14:paraId="662FE4CC" w14:textId="77777777" w:rsidTr="00DF5EF9">
        <w:trPr>
          <w:tblHeader/>
        </w:trPr>
        <w:tc>
          <w:tcPr>
            <w:tcW w:w="626" w:type="pct"/>
            <w:vAlign w:val="center"/>
          </w:tcPr>
          <w:p w14:paraId="5DD61B21" w14:textId="77777777" w:rsidR="00814F74" w:rsidRPr="00BF06FC" w:rsidRDefault="00814F74" w:rsidP="00DF5EF9">
            <w:pPr>
              <w:pStyle w:val="In-tableHeading"/>
              <w:rPr>
                <w:lang w:val="en-AU"/>
              </w:rPr>
            </w:pPr>
            <w:r w:rsidRPr="00BF06FC">
              <w:rPr>
                <w:lang w:val="en-AU"/>
              </w:rPr>
              <w:t>Trial ID</w:t>
            </w:r>
          </w:p>
        </w:tc>
        <w:tc>
          <w:tcPr>
            <w:tcW w:w="3459" w:type="pct"/>
            <w:vAlign w:val="center"/>
          </w:tcPr>
          <w:p w14:paraId="79DBA0AB" w14:textId="77777777" w:rsidR="00814F74" w:rsidRPr="00BF06FC" w:rsidRDefault="00814F74" w:rsidP="00DF5EF9">
            <w:pPr>
              <w:pStyle w:val="In-tableHeading"/>
              <w:rPr>
                <w:lang w:val="en-AU"/>
              </w:rPr>
            </w:pPr>
            <w:r w:rsidRPr="00BF06FC">
              <w:rPr>
                <w:lang w:val="en-AU"/>
              </w:rPr>
              <w:t>Protocol title/ Publication title</w:t>
            </w:r>
          </w:p>
        </w:tc>
        <w:tc>
          <w:tcPr>
            <w:tcW w:w="915" w:type="pct"/>
            <w:vAlign w:val="center"/>
          </w:tcPr>
          <w:p w14:paraId="79AFBE99" w14:textId="77777777" w:rsidR="00814F74" w:rsidRPr="00BF06FC" w:rsidRDefault="00814F74" w:rsidP="00DF5EF9">
            <w:pPr>
              <w:pStyle w:val="In-tableHeading"/>
              <w:rPr>
                <w:lang w:val="en-AU"/>
              </w:rPr>
            </w:pPr>
            <w:r w:rsidRPr="00BF06FC">
              <w:rPr>
                <w:lang w:val="en-AU"/>
              </w:rPr>
              <w:t>Publication citation</w:t>
            </w:r>
          </w:p>
        </w:tc>
      </w:tr>
      <w:tr w:rsidR="00814F74" w:rsidRPr="00BF06FC" w14:paraId="6122D42B" w14:textId="77777777" w:rsidTr="00DF5EF9">
        <w:tc>
          <w:tcPr>
            <w:tcW w:w="626" w:type="pct"/>
            <w:vMerge w:val="restart"/>
            <w:vAlign w:val="center"/>
          </w:tcPr>
          <w:p w14:paraId="566951A1" w14:textId="77777777" w:rsidR="00814F74" w:rsidRPr="00BF06FC" w:rsidRDefault="00814F74" w:rsidP="00DF5EF9">
            <w:pPr>
              <w:pStyle w:val="TableText0"/>
            </w:pPr>
            <w:r w:rsidRPr="00BF06FC">
              <w:t>TITAN</w:t>
            </w:r>
          </w:p>
          <w:p w14:paraId="216D806E" w14:textId="77777777" w:rsidR="00814F74" w:rsidRPr="00BF06FC" w:rsidRDefault="00814F74" w:rsidP="00DF5EF9">
            <w:pPr>
              <w:pStyle w:val="TableText0"/>
            </w:pPr>
            <w:r w:rsidRPr="00BF06FC">
              <w:t>NCT02489318</w:t>
            </w:r>
          </w:p>
        </w:tc>
        <w:tc>
          <w:tcPr>
            <w:tcW w:w="3459" w:type="pct"/>
            <w:tcBorders>
              <w:bottom w:val="nil"/>
            </w:tcBorders>
            <w:vAlign w:val="center"/>
          </w:tcPr>
          <w:p w14:paraId="00E4C7DE" w14:textId="77777777" w:rsidR="00814F74" w:rsidRPr="00BF06FC" w:rsidRDefault="00814F74" w:rsidP="00DF5EF9">
            <w:pPr>
              <w:pStyle w:val="TableText0"/>
              <w:rPr>
                <w:szCs w:val="18"/>
              </w:rPr>
            </w:pPr>
            <w:r w:rsidRPr="00BF06FC">
              <w:rPr>
                <w:szCs w:val="18"/>
              </w:rPr>
              <w:t>A phase 3 randomised, placebo-controlled, double-blind study of apalutamide plus androgen deprivation therapy (ADT) versus ADT in subjects with metastatic hormone sensitive prostate cancer (</w:t>
            </w:r>
            <w:proofErr w:type="spellStart"/>
            <w:r w:rsidRPr="00BF06FC">
              <w:rPr>
                <w:szCs w:val="18"/>
              </w:rPr>
              <w:t>mHSPC</w:t>
            </w:r>
            <w:proofErr w:type="spellEnd"/>
            <w:r w:rsidRPr="00BF06FC">
              <w:rPr>
                <w:szCs w:val="18"/>
              </w:rPr>
              <w:t xml:space="preserve">). Final Report of overall survival, </w:t>
            </w:r>
            <w:proofErr w:type="gramStart"/>
            <w:r w:rsidRPr="00BF06FC">
              <w:rPr>
                <w:szCs w:val="18"/>
              </w:rPr>
              <w:t>efficacy</w:t>
            </w:r>
            <w:proofErr w:type="gramEnd"/>
            <w:r w:rsidRPr="00BF06FC">
              <w:rPr>
                <w:szCs w:val="18"/>
              </w:rPr>
              <w:t xml:space="preserve"> and safety</w:t>
            </w:r>
          </w:p>
        </w:tc>
        <w:tc>
          <w:tcPr>
            <w:tcW w:w="915" w:type="pct"/>
            <w:tcBorders>
              <w:bottom w:val="nil"/>
            </w:tcBorders>
            <w:vAlign w:val="center"/>
          </w:tcPr>
          <w:p w14:paraId="63D44332" w14:textId="77777777" w:rsidR="00814F74" w:rsidRPr="00BF06FC" w:rsidRDefault="00814F74" w:rsidP="00DF5EF9">
            <w:pPr>
              <w:pStyle w:val="TableText0"/>
            </w:pPr>
            <w:r w:rsidRPr="00BF06FC">
              <w:t>12 February 2021</w:t>
            </w:r>
          </w:p>
        </w:tc>
      </w:tr>
      <w:tr w:rsidR="00814F74" w:rsidRPr="00BF06FC" w14:paraId="2AEBCBA3" w14:textId="77777777" w:rsidTr="00DF5EF9">
        <w:tc>
          <w:tcPr>
            <w:tcW w:w="626" w:type="pct"/>
            <w:vMerge/>
            <w:vAlign w:val="center"/>
          </w:tcPr>
          <w:p w14:paraId="1032565B" w14:textId="77777777" w:rsidR="00814F74" w:rsidRPr="00BF06FC" w:rsidRDefault="00814F74" w:rsidP="00DF5EF9">
            <w:pPr>
              <w:pStyle w:val="TableText0"/>
            </w:pPr>
          </w:p>
        </w:tc>
        <w:tc>
          <w:tcPr>
            <w:tcW w:w="3459" w:type="pct"/>
            <w:tcBorders>
              <w:top w:val="nil"/>
              <w:bottom w:val="nil"/>
            </w:tcBorders>
            <w:vAlign w:val="center"/>
          </w:tcPr>
          <w:p w14:paraId="7627A7A3" w14:textId="77777777" w:rsidR="00814F74" w:rsidRPr="00BF06FC" w:rsidRDefault="00814F74" w:rsidP="00DF5EF9">
            <w:pPr>
              <w:pStyle w:val="TableText0"/>
              <w:rPr>
                <w:szCs w:val="18"/>
              </w:rPr>
            </w:pPr>
            <w:r w:rsidRPr="00BF06FC">
              <w:rPr>
                <w:szCs w:val="18"/>
              </w:rPr>
              <w:t>(Agarwal et al. 2019a). ‘Health-related quality of life after apalutamide treatment in patients with metastatic castration-sensitive prostate cancer (TITAN): a randomised, placebo-controlled, phase 3 study’</w:t>
            </w:r>
          </w:p>
        </w:tc>
        <w:tc>
          <w:tcPr>
            <w:tcW w:w="915" w:type="pct"/>
            <w:tcBorders>
              <w:top w:val="nil"/>
              <w:bottom w:val="nil"/>
            </w:tcBorders>
            <w:vAlign w:val="center"/>
          </w:tcPr>
          <w:p w14:paraId="6A571C76" w14:textId="77777777" w:rsidR="00814F74" w:rsidRPr="00BF06FC" w:rsidRDefault="00814F74" w:rsidP="00DF5EF9">
            <w:pPr>
              <w:pStyle w:val="TableText0"/>
              <w:rPr>
                <w:szCs w:val="18"/>
              </w:rPr>
            </w:pPr>
            <w:r w:rsidRPr="00BF06FC">
              <w:rPr>
                <w:szCs w:val="18"/>
              </w:rPr>
              <w:t>Lancet Oncology, 20(11):1518-1530</w:t>
            </w:r>
          </w:p>
        </w:tc>
      </w:tr>
      <w:tr w:rsidR="00814F74" w:rsidRPr="00BF06FC" w14:paraId="55D91861" w14:textId="77777777" w:rsidTr="00DF5EF9">
        <w:trPr>
          <w:trHeight w:val="70"/>
        </w:trPr>
        <w:tc>
          <w:tcPr>
            <w:tcW w:w="626" w:type="pct"/>
            <w:vMerge/>
            <w:tcBorders>
              <w:bottom w:val="single" w:sz="4" w:space="0" w:color="auto"/>
            </w:tcBorders>
            <w:vAlign w:val="center"/>
          </w:tcPr>
          <w:p w14:paraId="32EFEDDA" w14:textId="77777777" w:rsidR="00814F74" w:rsidRPr="00BF06FC" w:rsidRDefault="00814F74" w:rsidP="00DF5EF9">
            <w:pPr>
              <w:pStyle w:val="TableText0"/>
            </w:pPr>
          </w:p>
        </w:tc>
        <w:tc>
          <w:tcPr>
            <w:tcW w:w="3459" w:type="pct"/>
            <w:tcBorders>
              <w:top w:val="nil"/>
              <w:bottom w:val="single" w:sz="4" w:space="0" w:color="auto"/>
            </w:tcBorders>
            <w:vAlign w:val="center"/>
          </w:tcPr>
          <w:p w14:paraId="3984A288" w14:textId="77777777" w:rsidR="00814F74" w:rsidRPr="00BF06FC" w:rsidRDefault="00814F74" w:rsidP="00DF5EF9">
            <w:pPr>
              <w:pStyle w:val="TableText0"/>
              <w:rPr>
                <w:szCs w:val="18"/>
              </w:rPr>
            </w:pPr>
            <w:r w:rsidRPr="00BF06FC">
              <w:rPr>
                <w:szCs w:val="18"/>
              </w:rPr>
              <w:t xml:space="preserve">(Chi et al. 2019). ‘Apalutamide for metastatic, castration-sensitive prostate cancer’ </w:t>
            </w:r>
          </w:p>
        </w:tc>
        <w:tc>
          <w:tcPr>
            <w:tcW w:w="915" w:type="pct"/>
            <w:tcBorders>
              <w:top w:val="nil"/>
              <w:bottom w:val="single" w:sz="4" w:space="0" w:color="auto"/>
            </w:tcBorders>
            <w:vAlign w:val="center"/>
          </w:tcPr>
          <w:p w14:paraId="305C092F" w14:textId="77777777" w:rsidR="00814F74" w:rsidRPr="00BF06FC" w:rsidRDefault="00814F74" w:rsidP="00DF5EF9">
            <w:pPr>
              <w:pStyle w:val="TableText0"/>
              <w:rPr>
                <w:i/>
                <w:szCs w:val="18"/>
              </w:rPr>
            </w:pPr>
            <w:r w:rsidRPr="00BF06FC">
              <w:rPr>
                <w:szCs w:val="18"/>
              </w:rPr>
              <w:t>New England Journal of Medicine, 381(1):13-24</w:t>
            </w:r>
          </w:p>
        </w:tc>
      </w:tr>
    </w:tbl>
    <w:p w14:paraId="048925F2" w14:textId="77777777" w:rsidR="00814F74" w:rsidRPr="00BF06FC" w:rsidRDefault="00814F74" w:rsidP="00814F74">
      <w:pPr>
        <w:pStyle w:val="TableFooter"/>
        <w:spacing w:after="120"/>
      </w:pPr>
      <w:r w:rsidRPr="00BF06FC">
        <w:t>Source: Table 2.3, p61 of the submission.</w:t>
      </w:r>
    </w:p>
    <w:p w14:paraId="1C816D30" w14:textId="77777777" w:rsidR="00814F74" w:rsidRPr="003F72E0" w:rsidRDefault="00814F74" w:rsidP="00814F74">
      <w:pPr>
        <w:pStyle w:val="3-BodyText"/>
      </w:pPr>
      <w:r w:rsidRPr="003F72E0">
        <w:t>Table 3 summarises the key features of TITAN. The ITT population in TITAN consisted of two pre-specified subgroups defined by disease volume at baseline: LV disease defined as no visceral metastases and &lt;4 bone lesions; and HV disease (the complement population).</w:t>
      </w:r>
    </w:p>
    <w:p w14:paraId="2C468DBA" w14:textId="77777777" w:rsidR="00814F74" w:rsidRPr="003F72E0" w:rsidRDefault="00814F74" w:rsidP="00814F74">
      <w:pPr>
        <w:pStyle w:val="TableFigureHeading"/>
        <w:rPr>
          <w:rStyle w:val="CommentReference"/>
          <w:b/>
          <w:bCs w:val="0"/>
        </w:rPr>
      </w:pPr>
      <w:r w:rsidRPr="003F72E0">
        <w:rPr>
          <w:rStyle w:val="CommentReference"/>
          <w:b/>
          <w:bCs w:val="0"/>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7"/>
        <w:gridCol w:w="421"/>
        <w:gridCol w:w="1615"/>
        <w:gridCol w:w="622"/>
        <w:gridCol w:w="1822"/>
        <w:gridCol w:w="904"/>
        <w:gridCol w:w="2112"/>
        <w:gridCol w:w="884"/>
      </w:tblGrid>
      <w:tr w:rsidR="00814F74" w:rsidRPr="003F72E0" w14:paraId="2804483F" w14:textId="77777777" w:rsidTr="00DF5EF9">
        <w:trPr>
          <w:cantSplit/>
          <w:tblHeader/>
        </w:trPr>
        <w:tc>
          <w:tcPr>
            <w:tcW w:w="375" w:type="pct"/>
            <w:shd w:val="clear" w:color="auto" w:fill="auto"/>
            <w:vAlign w:val="center"/>
          </w:tcPr>
          <w:p w14:paraId="29B7D065" w14:textId="77777777" w:rsidR="00814F74" w:rsidRPr="003F72E0" w:rsidRDefault="00814F74" w:rsidP="00DF5EF9">
            <w:pPr>
              <w:pStyle w:val="In-tableHeading"/>
              <w:rPr>
                <w:lang w:val="en-AU"/>
              </w:rPr>
            </w:pPr>
            <w:r w:rsidRPr="003F72E0">
              <w:rPr>
                <w:lang w:val="en-AU"/>
              </w:rPr>
              <w:t>Trial</w:t>
            </w:r>
          </w:p>
        </w:tc>
        <w:tc>
          <w:tcPr>
            <w:tcW w:w="233" w:type="pct"/>
            <w:shd w:val="clear" w:color="auto" w:fill="auto"/>
            <w:vAlign w:val="center"/>
          </w:tcPr>
          <w:p w14:paraId="0BC27289" w14:textId="77777777" w:rsidR="00814F74" w:rsidRPr="003F72E0" w:rsidRDefault="00814F74" w:rsidP="00DF5EF9">
            <w:pPr>
              <w:pStyle w:val="In-tableHeading"/>
              <w:jc w:val="center"/>
              <w:rPr>
                <w:lang w:val="en-AU"/>
              </w:rPr>
            </w:pPr>
            <w:r w:rsidRPr="003F72E0">
              <w:rPr>
                <w:lang w:val="en-AU"/>
              </w:rPr>
              <w:t>N</w:t>
            </w:r>
          </w:p>
        </w:tc>
        <w:tc>
          <w:tcPr>
            <w:tcW w:w="917" w:type="pct"/>
            <w:shd w:val="clear" w:color="auto" w:fill="auto"/>
            <w:vAlign w:val="center"/>
          </w:tcPr>
          <w:p w14:paraId="3DB09BF4" w14:textId="77777777" w:rsidR="00814F74" w:rsidRPr="003F72E0" w:rsidRDefault="00814F74" w:rsidP="00DF5EF9">
            <w:pPr>
              <w:pStyle w:val="In-tableHeading"/>
              <w:jc w:val="center"/>
              <w:rPr>
                <w:lang w:val="en-AU"/>
              </w:rPr>
            </w:pPr>
            <w:r w:rsidRPr="003F72E0">
              <w:rPr>
                <w:lang w:val="en-AU"/>
              </w:rPr>
              <w:t>Design/ duration</w:t>
            </w:r>
          </w:p>
        </w:tc>
        <w:tc>
          <w:tcPr>
            <w:tcW w:w="345" w:type="pct"/>
            <w:shd w:val="clear" w:color="auto" w:fill="auto"/>
            <w:vAlign w:val="center"/>
          </w:tcPr>
          <w:p w14:paraId="3B5BC398" w14:textId="77777777" w:rsidR="00814F74" w:rsidRPr="003F72E0" w:rsidRDefault="00814F74" w:rsidP="00DF5EF9">
            <w:pPr>
              <w:pStyle w:val="In-tableHeading"/>
              <w:jc w:val="center"/>
              <w:rPr>
                <w:lang w:val="en-AU"/>
              </w:rPr>
            </w:pPr>
            <w:r w:rsidRPr="003F72E0">
              <w:rPr>
                <w:lang w:val="en-AU"/>
              </w:rPr>
              <w:t>Bias</w:t>
            </w:r>
          </w:p>
        </w:tc>
        <w:tc>
          <w:tcPr>
            <w:tcW w:w="1032" w:type="pct"/>
            <w:vAlign w:val="center"/>
          </w:tcPr>
          <w:p w14:paraId="4A6B83E5" w14:textId="77777777" w:rsidR="00814F74" w:rsidRPr="003F72E0" w:rsidRDefault="00814F74" w:rsidP="00DF5EF9">
            <w:pPr>
              <w:pStyle w:val="In-tableHeading"/>
              <w:jc w:val="center"/>
              <w:rPr>
                <w:lang w:val="en-AU"/>
              </w:rPr>
            </w:pPr>
            <w:r w:rsidRPr="003F72E0">
              <w:rPr>
                <w:lang w:val="en-AU"/>
              </w:rPr>
              <w:t>Treatment arms</w:t>
            </w:r>
          </w:p>
        </w:tc>
        <w:tc>
          <w:tcPr>
            <w:tcW w:w="395" w:type="pct"/>
            <w:shd w:val="clear" w:color="auto" w:fill="auto"/>
            <w:vAlign w:val="center"/>
          </w:tcPr>
          <w:p w14:paraId="19AFD4B1" w14:textId="77777777" w:rsidR="00814F74" w:rsidRPr="003F72E0" w:rsidRDefault="00814F74" w:rsidP="00DF5EF9">
            <w:pPr>
              <w:pStyle w:val="In-tableHeading"/>
              <w:jc w:val="center"/>
              <w:rPr>
                <w:lang w:val="en-AU"/>
              </w:rPr>
            </w:pPr>
            <w:r w:rsidRPr="003F72E0">
              <w:rPr>
                <w:lang w:val="en-AU"/>
              </w:rPr>
              <w:t>Population</w:t>
            </w:r>
          </w:p>
        </w:tc>
        <w:tc>
          <w:tcPr>
            <w:tcW w:w="1192" w:type="pct"/>
            <w:shd w:val="clear" w:color="auto" w:fill="auto"/>
            <w:vAlign w:val="center"/>
          </w:tcPr>
          <w:p w14:paraId="097F3E61" w14:textId="77777777" w:rsidR="00814F74" w:rsidRPr="003F72E0" w:rsidRDefault="00814F74" w:rsidP="00DF5EF9">
            <w:pPr>
              <w:pStyle w:val="In-tableHeading"/>
              <w:jc w:val="center"/>
              <w:rPr>
                <w:lang w:val="en-AU"/>
              </w:rPr>
            </w:pPr>
            <w:r w:rsidRPr="003F72E0">
              <w:rPr>
                <w:lang w:val="en-AU"/>
              </w:rPr>
              <w:t>Outcome(s)</w:t>
            </w:r>
          </w:p>
        </w:tc>
        <w:tc>
          <w:tcPr>
            <w:tcW w:w="509" w:type="pct"/>
            <w:shd w:val="clear" w:color="auto" w:fill="auto"/>
            <w:vAlign w:val="center"/>
          </w:tcPr>
          <w:p w14:paraId="7188CBED" w14:textId="77777777" w:rsidR="00814F74" w:rsidRPr="003F72E0" w:rsidRDefault="00814F74" w:rsidP="00DF5EF9">
            <w:pPr>
              <w:pStyle w:val="In-tableHeading"/>
              <w:jc w:val="center"/>
              <w:rPr>
                <w:lang w:val="en-AU"/>
              </w:rPr>
            </w:pPr>
            <w:r w:rsidRPr="003F72E0">
              <w:rPr>
                <w:lang w:val="en-AU"/>
              </w:rPr>
              <w:t>Modelled evaluation</w:t>
            </w:r>
          </w:p>
        </w:tc>
      </w:tr>
      <w:tr w:rsidR="00814F74" w:rsidRPr="003F72E0" w14:paraId="0C7A69FD" w14:textId="77777777" w:rsidTr="00DF5EF9">
        <w:trPr>
          <w:cantSplit/>
        </w:trPr>
        <w:tc>
          <w:tcPr>
            <w:tcW w:w="5000" w:type="pct"/>
            <w:gridSpan w:val="8"/>
          </w:tcPr>
          <w:p w14:paraId="47546A2F" w14:textId="77777777" w:rsidR="00814F74" w:rsidRPr="003F72E0" w:rsidRDefault="00814F74" w:rsidP="00DF5EF9">
            <w:pPr>
              <w:pStyle w:val="In-tableHeading"/>
              <w:rPr>
                <w:lang w:val="en-AU"/>
              </w:rPr>
            </w:pPr>
            <w:r w:rsidRPr="003F72E0">
              <w:rPr>
                <w:lang w:val="en-AU"/>
              </w:rPr>
              <w:t>Apalutamide vs placebo (standard of care)</w:t>
            </w:r>
          </w:p>
        </w:tc>
      </w:tr>
      <w:tr w:rsidR="00814F74" w:rsidRPr="003F72E0" w14:paraId="5F710A19" w14:textId="77777777" w:rsidTr="00DF5EF9">
        <w:trPr>
          <w:cantSplit/>
        </w:trPr>
        <w:tc>
          <w:tcPr>
            <w:tcW w:w="375" w:type="pct"/>
            <w:shd w:val="clear" w:color="auto" w:fill="auto"/>
            <w:vAlign w:val="center"/>
          </w:tcPr>
          <w:p w14:paraId="4F40CB60" w14:textId="77777777" w:rsidR="00814F74" w:rsidRPr="003F72E0" w:rsidRDefault="00814F74" w:rsidP="00DF5EF9">
            <w:pPr>
              <w:pStyle w:val="TableText0"/>
            </w:pPr>
            <w:r w:rsidRPr="003F72E0">
              <w:t>TITAN</w:t>
            </w:r>
          </w:p>
        </w:tc>
        <w:tc>
          <w:tcPr>
            <w:tcW w:w="233" w:type="pct"/>
            <w:shd w:val="clear" w:color="auto" w:fill="auto"/>
            <w:vAlign w:val="center"/>
          </w:tcPr>
          <w:p w14:paraId="03C7121F" w14:textId="77777777" w:rsidR="00814F74" w:rsidRPr="003F72E0" w:rsidRDefault="00814F74" w:rsidP="00DF5EF9">
            <w:pPr>
              <w:pStyle w:val="TableText0"/>
              <w:jc w:val="center"/>
            </w:pPr>
            <w:r w:rsidRPr="003F72E0">
              <w:t>1052</w:t>
            </w:r>
          </w:p>
        </w:tc>
        <w:tc>
          <w:tcPr>
            <w:tcW w:w="917" w:type="pct"/>
            <w:shd w:val="clear" w:color="auto" w:fill="auto"/>
            <w:vAlign w:val="center"/>
          </w:tcPr>
          <w:p w14:paraId="070EE67D" w14:textId="77777777" w:rsidR="00814F74" w:rsidRPr="003F72E0" w:rsidRDefault="00814F74" w:rsidP="00DF5EF9">
            <w:pPr>
              <w:pStyle w:val="TableText0"/>
              <w:jc w:val="center"/>
            </w:pPr>
            <w:r w:rsidRPr="003F72E0">
              <w:t>R, MC, PC, DB,</w:t>
            </w:r>
          </w:p>
          <w:p w14:paraId="61ACF7DD" w14:textId="77777777" w:rsidR="00814F74" w:rsidRPr="003F72E0" w:rsidRDefault="00814F74" w:rsidP="00DF5EF9">
            <w:pPr>
              <w:pStyle w:val="TableText0"/>
              <w:jc w:val="center"/>
            </w:pPr>
            <w:r w:rsidRPr="003F72E0">
              <w:t xml:space="preserve">22-44 </w:t>
            </w:r>
            <w:proofErr w:type="spellStart"/>
            <w:r w:rsidRPr="003F72E0">
              <w:t>mths</w:t>
            </w:r>
            <w:proofErr w:type="spellEnd"/>
            <w:r w:rsidRPr="003F72E0">
              <w:t>#, OL extension 3 years^</w:t>
            </w:r>
          </w:p>
        </w:tc>
        <w:tc>
          <w:tcPr>
            <w:tcW w:w="345" w:type="pct"/>
            <w:shd w:val="clear" w:color="auto" w:fill="auto"/>
            <w:vAlign w:val="center"/>
          </w:tcPr>
          <w:p w14:paraId="43ADCACD" w14:textId="77777777" w:rsidR="00814F74" w:rsidRPr="003F72E0" w:rsidRDefault="00814F74" w:rsidP="00DF5EF9">
            <w:pPr>
              <w:pStyle w:val="TableText0"/>
              <w:jc w:val="center"/>
            </w:pPr>
            <w:r w:rsidRPr="003F72E0">
              <w:t>Unclear</w:t>
            </w:r>
          </w:p>
        </w:tc>
        <w:tc>
          <w:tcPr>
            <w:tcW w:w="1032" w:type="pct"/>
            <w:vAlign w:val="center"/>
          </w:tcPr>
          <w:p w14:paraId="7D49FB6D" w14:textId="77777777" w:rsidR="00814F74" w:rsidRPr="003F72E0" w:rsidRDefault="00814F74" w:rsidP="00DF5EF9">
            <w:pPr>
              <w:pStyle w:val="TableText0"/>
            </w:pPr>
            <w:r w:rsidRPr="003F72E0">
              <w:t>Apalutamide 4x60 mg daily plus ADT</w:t>
            </w:r>
          </w:p>
          <w:p w14:paraId="1A3F8673" w14:textId="77777777" w:rsidR="00814F74" w:rsidRPr="003F72E0" w:rsidRDefault="00814F74" w:rsidP="00DF5EF9">
            <w:pPr>
              <w:pStyle w:val="TableText0"/>
            </w:pPr>
            <w:r w:rsidRPr="003F72E0">
              <w:t>Placebo daily plus ADT</w:t>
            </w:r>
          </w:p>
        </w:tc>
        <w:tc>
          <w:tcPr>
            <w:tcW w:w="395" w:type="pct"/>
            <w:shd w:val="clear" w:color="auto" w:fill="auto"/>
            <w:vAlign w:val="center"/>
          </w:tcPr>
          <w:p w14:paraId="1215BB61" w14:textId="77777777" w:rsidR="00814F74" w:rsidRPr="003F72E0" w:rsidRDefault="00814F74" w:rsidP="00DF5EF9">
            <w:pPr>
              <w:pStyle w:val="TableText0"/>
              <w:jc w:val="center"/>
            </w:pPr>
            <w:proofErr w:type="spellStart"/>
            <w:r w:rsidRPr="003F72E0">
              <w:t>mHSPC</w:t>
            </w:r>
            <w:proofErr w:type="spellEnd"/>
          </w:p>
        </w:tc>
        <w:tc>
          <w:tcPr>
            <w:tcW w:w="1192" w:type="pct"/>
            <w:shd w:val="clear" w:color="auto" w:fill="auto"/>
            <w:vAlign w:val="center"/>
          </w:tcPr>
          <w:p w14:paraId="66C2244B" w14:textId="77777777" w:rsidR="00814F74" w:rsidRPr="003F72E0" w:rsidRDefault="00814F74" w:rsidP="00DF5EF9">
            <w:pPr>
              <w:pStyle w:val="TableText0"/>
            </w:pPr>
            <w:r w:rsidRPr="003F72E0">
              <w:t xml:space="preserve">1°: </w:t>
            </w:r>
            <w:proofErr w:type="spellStart"/>
            <w:r w:rsidRPr="003F72E0">
              <w:t>rPFS</w:t>
            </w:r>
            <w:proofErr w:type="spellEnd"/>
            <w:r w:rsidRPr="003F72E0">
              <w:t>, OS</w:t>
            </w:r>
          </w:p>
          <w:p w14:paraId="40F749F5" w14:textId="77777777" w:rsidR="00814F74" w:rsidRPr="003F72E0" w:rsidRDefault="00814F74" w:rsidP="00DF5EF9">
            <w:pPr>
              <w:pStyle w:val="TableText0"/>
            </w:pPr>
            <w:r w:rsidRPr="003F72E0">
              <w:t>2°: pain progression, SREs, initiation of chemotherapy</w:t>
            </w:r>
          </w:p>
        </w:tc>
        <w:tc>
          <w:tcPr>
            <w:tcW w:w="509" w:type="pct"/>
            <w:shd w:val="clear" w:color="auto" w:fill="auto"/>
            <w:vAlign w:val="center"/>
          </w:tcPr>
          <w:p w14:paraId="69DD0761" w14:textId="77777777" w:rsidR="00814F74" w:rsidRPr="003F72E0" w:rsidRDefault="00814F74" w:rsidP="00DF5EF9">
            <w:pPr>
              <w:pStyle w:val="TableText0"/>
              <w:jc w:val="center"/>
            </w:pPr>
            <w:proofErr w:type="spellStart"/>
            <w:r w:rsidRPr="003F72E0">
              <w:t>rPFS</w:t>
            </w:r>
            <w:proofErr w:type="spellEnd"/>
          </w:p>
        </w:tc>
      </w:tr>
    </w:tbl>
    <w:p w14:paraId="0E9D5693" w14:textId="77777777" w:rsidR="00814F74" w:rsidRPr="00BF06FC" w:rsidRDefault="00814F74" w:rsidP="00814F74">
      <w:pPr>
        <w:pStyle w:val="TableFigureFooter"/>
        <w:rPr>
          <w:sz w:val="20"/>
        </w:rPr>
      </w:pPr>
      <w:r w:rsidRPr="00BF06FC">
        <w:t xml:space="preserve">Abbreviations: DB=double blind; MC=multi-centre; </w:t>
      </w:r>
      <w:proofErr w:type="spellStart"/>
      <w:r w:rsidRPr="00BF06FC">
        <w:t>mHSPC</w:t>
      </w:r>
      <w:proofErr w:type="spellEnd"/>
      <w:r w:rsidRPr="00BF06FC">
        <w:t xml:space="preserve">=metastatic hormone sensitive prostate cancer; OL=open label; OS=overall survival; </w:t>
      </w:r>
      <w:proofErr w:type="spellStart"/>
      <w:r w:rsidRPr="00BF06FC">
        <w:t>rPFS</w:t>
      </w:r>
      <w:proofErr w:type="spellEnd"/>
      <w:r w:rsidRPr="00BF06FC">
        <w:t>=radiographic progression-free survival; R=randomised; SRE=skeletal-related event</w:t>
      </w:r>
    </w:p>
    <w:p w14:paraId="450EF1AF" w14:textId="77777777" w:rsidR="00814F74" w:rsidRPr="00BF06FC" w:rsidRDefault="00814F74" w:rsidP="00814F74">
      <w:pPr>
        <w:pStyle w:val="TableFigureFooter"/>
        <w:tabs>
          <w:tab w:val="left" w:pos="142"/>
        </w:tabs>
        <w:ind w:left="140" w:hanging="140"/>
      </w:pPr>
      <w:r w:rsidRPr="00BF06FC">
        <w:t>#</w:t>
      </w:r>
      <w:r w:rsidRPr="00BF06FC">
        <w:tab/>
        <w:t xml:space="preserve">Median follow-up of interim analysis was 22.7 months and final data analysis was 43.8 months. Following review of data (primary analysis of </w:t>
      </w:r>
      <w:proofErr w:type="spellStart"/>
      <w:r w:rsidRPr="00BF06FC">
        <w:t>rPFS</w:t>
      </w:r>
      <w:proofErr w:type="spellEnd"/>
      <w:r w:rsidRPr="00BF06FC">
        <w:t xml:space="preserve"> and interim analysis of OS) in November 2018, trial investigators decided to unblind the study and patients randomised to placebo could crossover to receive OL apalutamide in the OL extension phase. The final analyses were done in September 2020.</w:t>
      </w:r>
    </w:p>
    <w:p w14:paraId="695AADD3" w14:textId="77777777" w:rsidR="00814F74" w:rsidRPr="00BF06FC" w:rsidRDefault="00814F74" w:rsidP="00814F74">
      <w:pPr>
        <w:pStyle w:val="TableFigureFooter"/>
        <w:tabs>
          <w:tab w:val="left" w:pos="142"/>
        </w:tabs>
        <w:ind w:left="140" w:hanging="140"/>
      </w:pPr>
      <w:r w:rsidRPr="00BF06FC">
        <w:t>^</w:t>
      </w:r>
      <w:r w:rsidRPr="00BF06FC">
        <w:tab/>
        <w:t>The OL extension phase allow patients to receive active drug (apalutamide plus ADT) for approximately 3 years. Patients previously receiving placebo in the Treatment Phase will be allowed to receive apalutamide.</w:t>
      </w:r>
    </w:p>
    <w:p w14:paraId="56CB5D07" w14:textId="77777777" w:rsidR="00814F74" w:rsidRPr="00BF06FC" w:rsidRDefault="00814F74" w:rsidP="00814F74">
      <w:pPr>
        <w:pStyle w:val="TableFigureFooter"/>
      </w:pPr>
      <w:r w:rsidRPr="00BF06FC">
        <w:t>Source: Section 2.3, p63 of the submission and Appendix 4 CSR_TITAN FA.</w:t>
      </w:r>
    </w:p>
    <w:p w14:paraId="52BCCC87" w14:textId="77777777" w:rsidR="00814F74" w:rsidRPr="003F72E0" w:rsidRDefault="00814F74" w:rsidP="00814F74">
      <w:pPr>
        <w:pStyle w:val="3-BodyText"/>
      </w:pPr>
      <w:r w:rsidRPr="003F72E0">
        <w:t>As per the trial protocol, based on the results of the first clinical cut-off (</w:t>
      </w:r>
      <w:proofErr w:type="gramStart"/>
      <w:r w:rsidRPr="003F72E0">
        <w:t>i.e.</w:t>
      </w:r>
      <w:proofErr w:type="gramEnd"/>
      <w:r w:rsidRPr="003F72E0">
        <w:t xml:space="preserve"> interim OS and final </w:t>
      </w:r>
      <w:proofErr w:type="spellStart"/>
      <w:r w:rsidRPr="003F72E0">
        <w:t>rPFS</w:t>
      </w:r>
      <w:proofErr w:type="spellEnd"/>
      <w:r w:rsidRPr="003F72E0">
        <w:t xml:space="preserve"> analysis met statistical significance) the independent data and safety monitoring committee decided to un-blind the study for all patients to receive active treatment in the open-label extension phase. After un-blinding, 208 (39.5%) placebo patients without evidence of disease progression switched to receive </w:t>
      </w:r>
      <w:proofErr w:type="gramStart"/>
      <w:r w:rsidRPr="003F72E0">
        <w:t>open-label</w:t>
      </w:r>
      <w:proofErr w:type="gramEnd"/>
      <w:r w:rsidRPr="003F72E0">
        <w:t xml:space="preserve"> apalutamide. These patients received a medi</w:t>
      </w:r>
      <w:r w:rsidR="002F0918" w:rsidRPr="003F72E0">
        <w:t>an</w:t>
      </w:r>
      <w:r w:rsidRPr="003F72E0">
        <w:t xml:space="preserve"> of 25.8 months of placebo before switching and a median of 15.8 months of apalutamide by the final data cut-off. The final data cut-off included both the double-blind treatment phase and the open-label extension phase when placebo patients switched to active treatment.</w:t>
      </w:r>
    </w:p>
    <w:p w14:paraId="2FFF41F8" w14:textId="77777777" w:rsidR="00814F74" w:rsidRPr="003F72E0" w:rsidRDefault="00814F74" w:rsidP="00B21F27">
      <w:pPr>
        <w:pStyle w:val="3-BodyText"/>
      </w:pPr>
      <w:r w:rsidRPr="003F72E0">
        <w:lastRenderedPageBreak/>
        <w:t xml:space="preserve">At the final data cut-off, 49% of patients in the apalutamide arm and 67.9% of patients randomised to placebo had discontinued, including 18.8% (39 of </w:t>
      </w:r>
      <w:r w:rsidR="00B21F27" w:rsidRPr="003F72E0">
        <w:t>208</w:t>
      </w:r>
      <w:r w:rsidRPr="003F72E0">
        <w:t>) in placebo-apalutamide crossover arm. The most common reason for discontinuation w</w:t>
      </w:r>
      <w:r w:rsidR="003A670A" w:rsidRPr="003F72E0">
        <w:t>ere</w:t>
      </w:r>
      <w:r w:rsidRPr="003F72E0">
        <w:t xml:space="preserve"> disease progression and adverse events.</w:t>
      </w:r>
    </w:p>
    <w:p w14:paraId="6E928249" w14:textId="77777777" w:rsidR="00814F74" w:rsidRPr="003F72E0" w:rsidRDefault="00814F74" w:rsidP="00814F74">
      <w:pPr>
        <w:pStyle w:val="3-BodyText"/>
      </w:pPr>
      <w:r w:rsidRPr="003F72E0">
        <w:t xml:space="preserve">There </w:t>
      </w:r>
      <w:r w:rsidR="00A403AC" w:rsidRPr="003F72E0">
        <w:t xml:space="preserve">were </w:t>
      </w:r>
      <w:r w:rsidRPr="003F72E0">
        <w:t xml:space="preserve">two key differences between the trial and </w:t>
      </w:r>
      <w:r w:rsidR="003A670A" w:rsidRPr="003F72E0">
        <w:t xml:space="preserve">the </w:t>
      </w:r>
      <w:r w:rsidRPr="003F72E0">
        <w:t>Australian setting that potentially impact</w:t>
      </w:r>
      <w:r w:rsidR="00A403AC" w:rsidRPr="003F72E0">
        <w:t>ed</w:t>
      </w:r>
      <w:r w:rsidRPr="003F72E0">
        <w:t xml:space="preserve"> on whether </w:t>
      </w:r>
      <w:r w:rsidR="00A403AC" w:rsidRPr="003F72E0">
        <w:t xml:space="preserve">the </w:t>
      </w:r>
      <w:r w:rsidRPr="003F72E0">
        <w:t>results observed in TITAN would reasonably translate to practice:</w:t>
      </w:r>
    </w:p>
    <w:p w14:paraId="059D1765" w14:textId="77777777" w:rsidR="00814F74" w:rsidRPr="00FE58E8" w:rsidRDefault="00814F74" w:rsidP="00EA10EB">
      <w:pPr>
        <w:pStyle w:val="3-BodyText"/>
        <w:numPr>
          <w:ilvl w:val="0"/>
          <w:numId w:val="12"/>
        </w:numPr>
      </w:pPr>
      <w:r w:rsidRPr="003F72E0">
        <w:t>A post-hoc analysis found only 10% of patients in the HV subgroup in TITAN met the proposed PBS eligibility criteria (</w:t>
      </w:r>
      <w:proofErr w:type="gramStart"/>
      <w:r w:rsidRPr="003F72E0">
        <w:t>i.e.</w:t>
      </w:r>
      <w:proofErr w:type="gramEnd"/>
      <w:r w:rsidRPr="003F72E0">
        <w:t xml:space="preserve"> one of the criteria making them unsuitable for docetaxel). Hence, TITAN does not provide direct evidence for the requested PBS population of patients with HV disease who are unsuitable for chemotherapy. The submission argued that the underlying risk of disease progression and death for patients with HV disease would be similar. The submission also argued that the ITT trial results were likely applicable to a broader range of patients (including older patients and those with higher ECOG scores that make patients more likely to be unsuitable for chemotherapy), given age and ECOG status were not treatment effect modifiers.</w:t>
      </w:r>
      <w:r w:rsidR="001030C1">
        <w:t xml:space="preserve"> </w:t>
      </w:r>
      <w:r w:rsidR="001030C1" w:rsidRPr="00FE58E8">
        <w:rPr>
          <w:bCs/>
        </w:rPr>
        <w:t xml:space="preserve">The ESC considered that there was a high degree of uncertainty surrounding the benefit of apalutamide in the HV “docetaxel unsuitable” population. The ESC noted that many patients with HV disease who would be considered unsuitable for docetaxel chemotherapy based on the proposed restriction </w:t>
      </w:r>
      <w:r w:rsidR="00655FC3" w:rsidRPr="00FE58E8">
        <w:rPr>
          <w:bCs/>
        </w:rPr>
        <w:t xml:space="preserve">were </w:t>
      </w:r>
      <w:r w:rsidR="001030C1" w:rsidRPr="00FE58E8">
        <w:rPr>
          <w:bCs/>
        </w:rPr>
        <w:t xml:space="preserve">not eligible for the TITAN trial. Due to competing comorbidities and poor ECOG performance status score (2+), these </w:t>
      </w:r>
      <w:r w:rsidR="00655FC3" w:rsidRPr="00FE58E8">
        <w:rPr>
          <w:bCs/>
        </w:rPr>
        <w:t xml:space="preserve">excluded </w:t>
      </w:r>
      <w:r w:rsidR="001030C1" w:rsidRPr="00FE58E8">
        <w:rPr>
          <w:bCs/>
        </w:rPr>
        <w:t xml:space="preserve">patients would be unlikely to demonstrate the same degree of survival benefit </w:t>
      </w:r>
      <w:r w:rsidR="00655FC3" w:rsidRPr="00FE58E8">
        <w:rPr>
          <w:bCs/>
        </w:rPr>
        <w:t>with</w:t>
      </w:r>
      <w:r w:rsidR="001030C1" w:rsidRPr="00FE58E8">
        <w:rPr>
          <w:bCs/>
        </w:rPr>
        <w:t xml:space="preserve"> apalutamide as </w:t>
      </w:r>
      <w:r w:rsidR="00655FC3" w:rsidRPr="00FE58E8">
        <w:rPr>
          <w:bCs/>
        </w:rPr>
        <w:t xml:space="preserve">the HV subgroup in the trial as </w:t>
      </w:r>
      <w:r w:rsidR="001030C1" w:rsidRPr="00FE58E8">
        <w:rPr>
          <w:bCs/>
        </w:rPr>
        <w:t xml:space="preserve">many would have competing causes of mortality. </w:t>
      </w:r>
      <w:r w:rsidR="001030C1" w:rsidRPr="00FE58E8">
        <w:t>The ESC considered that the argument</w:t>
      </w:r>
      <w:r w:rsidR="00655FC3" w:rsidRPr="00FE58E8">
        <w:t>s</w:t>
      </w:r>
      <w:r w:rsidR="001030C1" w:rsidRPr="00FE58E8">
        <w:t xml:space="preserve"> provided in the submission and the </w:t>
      </w:r>
      <w:r w:rsidR="00792F02">
        <w:t>Pre-Sub-Committee Response (</w:t>
      </w:r>
      <w:r w:rsidR="001030C1" w:rsidRPr="00FE58E8">
        <w:t>PSCR</w:t>
      </w:r>
      <w:r w:rsidR="00792F02">
        <w:t>)</w:t>
      </w:r>
      <w:r w:rsidR="001030C1" w:rsidRPr="00FE58E8">
        <w:t>, which stated that ECOG performance scores were direct marke</w:t>
      </w:r>
      <w:r w:rsidR="00655FC3" w:rsidRPr="00FE58E8">
        <w:t>r</w:t>
      </w:r>
      <w:r w:rsidR="001030C1" w:rsidRPr="00FE58E8">
        <w:t xml:space="preserve">s of suitability for docetaxel, were not reasonable. The ESC noted that differences between an </w:t>
      </w:r>
      <w:r w:rsidR="00CE3649" w:rsidRPr="00FE58E8">
        <w:t>ECOG</w:t>
      </w:r>
      <w:r w:rsidR="001030C1" w:rsidRPr="00FE58E8">
        <w:t xml:space="preserve"> performance status score of 0 and 1 were not the same as difference between 1 and 2+. In addition, as patients with </w:t>
      </w:r>
      <w:r w:rsidR="00CE3649" w:rsidRPr="00FE58E8">
        <w:t>higher</w:t>
      </w:r>
      <w:r w:rsidR="001030C1" w:rsidRPr="00FE58E8">
        <w:t xml:space="preserve"> ECOG performance status score</w:t>
      </w:r>
      <w:r w:rsidR="00CE3649" w:rsidRPr="00FE58E8">
        <w:t>s</w:t>
      </w:r>
      <w:r w:rsidR="001030C1" w:rsidRPr="00FE58E8">
        <w:t xml:space="preserve"> have poorer outcomes, the ESC considered that it was possible that these patients may not benefit from apalutamide due to the competing risks of death.</w:t>
      </w:r>
    </w:p>
    <w:p w14:paraId="76972E51" w14:textId="77777777" w:rsidR="00814F74" w:rsidRPr="00FE58E8" w:rsidRDefault="00814F74" w:rsidP="00EA10EB">
      <w:pPr>
        <w:pStyle w:val="3-BodyText"/>
        <w:numPr>
          <w:ilvl w:val="0"/>
          <w:numId w:val="12"/>
        </w:numPr>
      </w:pPr>
      <w:r w:rsidRPr="00FE58E8">
        <w:rPr>
          <w:snapToGrid/>
        </w:rPr>
        <w:t xml:space="preserve">The treatment algorithms compared in the TITAN trial may not adequately reflect the current and proposed treatment algorithms in Australia. As noted above, </w:t>
      </w:r>
      <w:r w:rsidRPr="00FE58E8">
        <w:t xml:space="preserve">patients in the placebo arm who crossed over to apalutamide would not be eligible for early access to NHAs in practice until after disease progression. Similarly, </w:t>
      </w:r>
      <w:r w:rsidRPr="00FE58E8">
        <w:rPr>
          <w:snapToGrid/>
        </w:rPr>
        <w:t xml:space="preserve">approximately 24% of patients randomised to apalutamide had commenced at least one </w:t>
      </w:r>
      <w:r w:rsidRPr="00FE58E8">
        <w:t xml:space="preserve">subsequent treatment (commonly docetaxel, abiraterone or enzalutamide), but patients would not be eligible for subsequent treatment with abiraterone or enzalutamide on the PBS. </w:t>
      </w:r>
    </w:p>
    <w:p w14:paraId="20D8D536" w14:textId="77777777" w:rsidR="00814F74" w:rsidRPr="00BF06FC" w:rsidRDefault="00814F74" w:rsidP="00814F74">
      <w:pPr>
        <w:pStyle w:val="4-SubsectionHeading"/>
      </w:pPr>
      <w:bookmarkStart w:id="22" w:name="_Toc22897641"/>
      <w:bookmarkStart w:id="23" w:name="_Toc22898853"/>
      <w:bookmarkStart w:id="24" w:name="_Toc82609548"/>
      <w:r w:rsidRPr="00BF06FC">
        <w:lastRenderedPageBreak/>
        <w:t>Comparative effectiveness</w:t>
      </w:r>
      <w:bookmarkEnd w:id="22"/>
      <w:bookmarkEnd w:id="23"/>
      <w:bookmarkEnd w:id="24"/>
    </w:p>
    <w:p w14:paraId="39782ECB" w14:textId="77777777" w:rsidR="00814F74" w:rsidRPr="00BF06FC" w:rsidRDefault="00814F74" w:rsidP="00814F74">
      <w:pPr>
        <w:pStyle w:val="3-BodyText"/>
      </w:pPr>
      <w:r w:rsidRPr="00BF06FC">
        <w:t xml:space="preserve">Table 4 and Figure 1 presents the results of OS and </w:t>
      </w:r>
      <w:proofErr w:type="spellStart"/>
      <w:r w:rsidRPr="00BF06FC">
        <w:t>rPFS</w:t>
      </w:r>
      <w:proofErr w:type="spellEnd"/>
      <w:r w:rsidRPr="00BF06FC">
        <w:t xml:space="preserve"> in TITAN (unadjusted for placebo crossover).</w:t>
      </w:r>
    </w:p>
    <w:p w14:paraId="52A7E1BC" w14:textId="77777777" w:rsidR="00814F74" w:rsidRPr="00BF06FC" w:rsidRDefault="00814F74" w:rsidP="003F72E0">
      <w:pPr>
        <w:keepNext/>
        <w:rPr>
          <w:rFonts w:ascii="Arial Narrow" w:hAnsi="Arial Narrow"/>
          <w:b/>
          <w:sz w:val="20"/>
          <w:szCs w:val="20"/>
        </w:rPr>
      </w:pPr>
      <w:r w:rsidRPr="00BF06FC">
        <w:rPr>
          <w:rFonts w:ascii="Arial Narrow" w:hAnsi="Arial Narrow"/>
          <w:b/>
          <w:sz w:val="20"/>
          <w:szCs w:val="20"/>
        </w:rPr>
        <w:t xml:space="preserve">Table 4: OS and </w:t>
      </w:r>
      <w:proofErr w:type="spellStart"/>
      <w:r w:rsidRPr="00BF06FC">
        <w:rPr>
          <w:rFonts w:ascii="Arial Narrow" w:hAnsi="Arial Narrow"/>
          <w:b/>
          <w:sz w:val="20"/>
          <w:szCs w:val="20"/>
        </w:rPr>
        <w:t>rPFS</w:t>
      </w:r>
      <w:proofErr w:type="spellEnd"/>
      <w:r w:rsidRPr="00BF06FC">
        <w:rPr>
          <w:rFonts w:ascii="Arial Narrow" w:hAnsi="Arial Narrow"/>
          <w:b/>
          <w:sz w:val="20"/>
          <w:szCs w:val="20"/>
        </w:rPr>
        <w:t xml:space="preserve"> in TITAN (unadjusted for treatment switching)</w:t>
      </w:r>
    </w:p>
    <w:tbl>
      <w:tblPr>
        <w:tblStyle w:val="TableGrid"/>
        <w:tblW w:w="0" w:type="auto"/>
        <w:tblLayout w:type="fixed"/>
        <w:tblCellMar>
          <w:left w:w="28" w:type="dxa"/>
          <w:right w:w="28" w:type="dxa"/>
        </w:tblCellMar>
        <w:tblLook w:val="04A0" w:firstRow="1" w:lastRow="0" w:firstColumn="1" w:lastColumn="0" w:noHBand="0" w:noVBand="1"/>
        <w:tblCaption w:val="Table 4: OS and rPFS in TITAN (unadjusted for treatment switching)"/>
      </w:tblPr>
      <w:tblGrid>
        <w:gridCol w:w="1980"/>
        <w:gridCol w:w="1172"/>
        <w:gridCol w:w="1173"/>
        <w:gridCol w:w="1173"/>
        <w:gridCol w:w="1173"/>
        <w:gridCol w:w="1173"/>
        <w:gridCol w:w="1173"/>
      </w:tblGrid>
      <w:tr w:rsidR="00814F74" w:rsidRPr="00BF06FC" w14:paraId="43C5DC26" w14:textId="77777777" w:rsidTr="00422AEB">
        <w:trPr>
          <w:tblHeader/>
        </w:trPr>
        <w:tc>
          <w:tcPr>
            <w:tcW w:w="1980" w:type="dxa"/>
            <w:vMerge w:val="restart"/>
            <w:vAlign w:val="center"/>
          </w:tcPr>
          <w:p w14:paraId="0D8BC7C9" w14:textId="77777777" w:rsidR="00814F74" w:rsidRPr="00BF06FC" w:rsidRDefault="00814F74" w:rsidP="003F72E0">
            <w:pPr>
              <w:keepNext/>
              <w:jc w:val="left"/>
              <w:rPr>
                <w:rFonts w:ascii="Arial Narrow" w:hAnsi="Arial Narrow"/>
                <w:b/>
                <w:sz w:val="20"/>
                <w:szCs w:val="20"/>
              </w:rPr>
            </w:pPr>
            <w:proofErr w:type="spellStart"/>
            <w:r w:rsidRPr="00BF06FC">
              <w:rPr>
                <w:rFonts w:ascii="Arial Narrow" w:hAnsi="Arial Narrow"/>
                <w:b/>
                <w:sz w:val="20"/>
                <w:szCs w:val="20"/>
              </w:rPr>
              <w:t>Outcome</w:t>
            </w:r>
            <w:r w:rsidRPr="00BF06FC">
              <w:rPr>
                <w:rFonts w:ascii="Arial Narrow" w:hAnsi="Arial Narrow"/>
                <w:b/>
                <w:sz w:val="20"/>
                <w:szCs w:val="20"/>
                <w:vertAlign w:val="superscript"/>
              </w:rPr>
              <w:t>a</w:t>
            </w:r>
            <w:proofErr w:type="spellEnd"/>
          </w:p>
        </w:tc>
        <w:tc>
          <w:tcPr>
            <w:tcW w:w="2345" w:type="dxa"/>
            <w:gridSpan w:val="2"/>
            <w:vAlign w:val="center"/>
          </w:tcPr>
          <w:p w14:paraId="467C1F5E"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ITT</w:t>
            </w:r>
          </w:p>
        </w:tc>
        <w:tc>
          <w:tcPr>
            <w:tcW w:w="2346" w:type="dxa"/>
            <w:gridSpan w:val="2"/>
            <w:vAlign w:val="center"/>
          </w:tcPr>
          <w:p w14:paraId="22CC3F94"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LV </w:t>
            </w:r>
            <w:proofErr w:type="spellStart"/>
            <w:r w:rsidRPr="00BF06FC">
              <w:rPr>
                <w:rFonts w:ascii="Arial Narrow" w:hAnsi="Arial Narrow"/>
                <w:b/>
                <w:sz w:val="20"/>
                <w:szCs w:val="20"/>
              </w:rPr>
              <w:t>mHSPC</w:t>
            </w:r>
            <w:proofErr w:type="spellEnd"/>
          </w:p>
        </w:tc>
        <w:tc>
          <w:tcPr>
            <w:tcW w:w="2346" w:type="dxa"/>
            <w:gridSpan w:val="2"/>
            <w:vAlign w:val="center"/>
          </w:tcPr>
          <w:p w14:paraId="10AFCFDC"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HV </w:t>
            </w:r>
            <w:proofErr w:type="spellStart"/>
            <w:r w:rsidRPr="00BF06FC">
              <w:rPr>
                <w:rFonts w:ascii="Arial Narrow" w:hAnsi="Arial Narrow"/>
                <w:b/>
                <w:sz w:val="20"/>
                <w:szCs w:val="20"/>
              </w:rPr>
              <w:t>mHSPC</w:t>
            </w:r>
            <w:proofErr w:type="spellEnd"/>
          </w:p>
        </w:tc>
      </w:tr>
      <w:tr w:rsidR="00814F74" w:rsidRPr="00BF06FC" w14:paraId="550114EA" w14:textId="77777777" w:rsidTr="00422AEB">
        <w:trPr>
          <w:tblHeader/>
        </w:trPr>
        <w:tc>
          <w:tcPr>
            <w:tcW w:w="1980" w:type="dxa"/>
            <w:vMerge/>
          </w:tcPr>
          <w:p w14:paraId="189B849C" w14:textId="77777777" w:rsidR="00814F74" w:rsidRPr="00BF06FC" w:rsidRDefault="00814F74" w:rsidP="003F72E0">
            <w:pPr>
              <w:keepNext/>
              <w:rPr>
                <w:rFonts w:ascii="Arial Narrow" w:hAnsi="Arial Narrow"/>
                <w:b/>
                <w:sz w:val="20"/>
                <w:szCs w:val="20"/>
              </w:rPr>
            </w:pPr>
          </w:p>
        </w:tc>
        <w:tc>
          <w:tcPr>
            <w:tcW w:w="1172" w:type="dxa"/>
            <w:tcBorders>
              <w:bottom w:val="nil"/>
              <w:right w:val="nil"/>
            </w:tcBorders>
            <w:vAlign w:val="center"/>
          </w:tcPr>
          <w:p w14:paraId="213B103E"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APA</w:t>
            </w:r>
          </w:p>
        </w:tc>
        <w:tc>
          <w:tcPr>
            <w:tcW w:w="1173" w:type="dxa"/>
            <w:tcBorders>
              <w:left w:val="nil"/>
              <w:bottom w:val="nil"/>
            </w:tcBorders>
            <w:vAlign w:val="center"/>
          </w:tcPr>
          <w:p w14:paraId="71EADD82"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PBO</w:t>
            </w:r>
          </w:p>
        </w:tc>
        <w:tc>
          <w:tcPr>
            <w:tcW w:w="1173" w:type="dxa"/>
            <w:tcBorders>
              <w:bottom w:val="nil"/>
              <w:right w:val="nil"/>
            </w:tcBorders>
            <w:vAlign w:val="center"/>
          </w:tcPr>
          <w:p w14:paraId="5A40ACE6"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APA</w:t>
            </w:r>
          </w:p>
        </w:tc>
        <w:tc>
          <w:tcPr>
            <w:tcW w:w="1173" w:type="dxa"/>
            <w:tcBorders>
              <w:left w:val="nil"/>
              <w:bottom w:val="nil"/>
            </w:tcBorders>
            <w:vAlign w:val="center"/>
          </w:tcPr>
          <w:p w14:paraId="7E35EA50"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PBO</w:t>
            </w:r>
          </w:p>
        </w:tc>
        <w:tc>
          <w:tcPr>
            <w:tcW w:w="1173" w:type="dxa"/>
            <w:tcBorders>
              <w:bottom w:val="nil"/>
              <w:right w:val="nil"/>
            </w:tcBorders>
            <w:vAlign w:val="center"/>
          </w:tcPr>
          <w:p w14:paraId="756AFB71"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APA</w:t>
            </w:r>
          </w:p>
        </w:tc>
        <w:tc>
          <w:tcPr>
            <w:tcW w:w="1173" w:type="dxa"/>
            <w:tcBorders>
              <w:left w:val="nil"/>
              <w:bottom w:val="nil"/>
            </w:tcBorders>
            <w:vAlign w:val="center"/>
          </w:tcPr>
          <w:p w14:paraId="243D0BF9"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PBO</w:t>
            </w:r>
          </w:p>
        </w:tc>
      </w:tr>
      <w:tr w:rsidR="00814F74" w:rsidRPr="00BF06FC" w14:paraId="3C3839FC" w14:textId="77777777" w:rsidTr="00422AEB">
        <w:trPr>
          <w:tblHeader/>
        </w:trPr>
        <w:tc>
          <w:tcPr>
            <w:tcW w:w="1980" w:type="dxa"/>
            <w:vMerge/>
            <w:tcBorders>
              <w:bottom w:val="single" w:sz="4" w:space="0" w:color="auto"/>
            </w:tcBorders>
          </w:tcPr>
          <w:p w14:paraId="258C3D76" w14:textId="77777777" w:rsidR="00814F74" w:rsidRPr="00BF06FC" w:rsidRDefault="00814F74" w:rsidP="003F72E0">
            <w:pPr>
              <w:keepNext/>
              <w:rPr>
                <w:rFonts w:ascii="Arial Narrow" w:hAnsi="Arial Narrow"/>
                <w:b/>
                <w:sz w:val="20"/>
                <w:szCs w:val="20"/>
              </w:rPr>
            </w:pPr>
          </w:p>
        </w:tc>
        <w:tc>
          <w:tcPr>
            <w:tcW w:w="1172" w:type="dxa"/>
            <w:tcBorders>
              <w:top w:val="nil"/>
              <w:bottom w:val="single" w:sz="4" w:space="0" w:color="auto"/>
              <w:right w:val="nil"/>
            </w:tcBorders>
            <w:vAlign w:val="center"/>
          </w:tcPr>
          <w:p w14:paraId="101E934A"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N=525</w:t>
            </w:r>
          </w:p>
        </w:tc>
        <w:tc>
          <w:tcPr>
            <w:tcW w:w="1173" w:type="dxa"/>
            <w:tcBorders>
              <w:top w:val="nil"/>
              <w:left w:val="nil"/>
              <w:bottom w:val="single" w:sz="4" w:space="0" w:color="auto"/>
            </w:tcBorders>
            <w:vAlign w:val="center"/>
          </w:tcPr>
          <w:p w14:paraId="000532F0"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N=527</w:t>
            </w:r>
          </w:p>
        </w:tc>
        <w:tc>
          <w:tcPr>
            <w:tcW w:w="1173" w:type="dxa"/>
            <w:tcBorders>
              <w:top w:val="nil"/>
              <w:bottom w:val="single" w:sz="4" w:space="0" w:color="auto"/>
              <w:right w:val="nil"/>
            </w:tcBorders>
            <w:vAlign w:val="center"/>
          </w:tcPr>
          <w:p w14:paraId="627FC560"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N=200</w:t>
            </w:r>
          </w:p>
        </w:tc>
        <w:tc>
          <w:tcPr>
            <w:tcW w:w="1173" w:type="dxa"/>
            <w:tcBorders>
              <w:top w:val="nil"/>
              <w:left w:val="nil"/>
              <w:bottom w:val="single" w:sz="4" w:space="0" w:color="auto"/>
            </w:tcBorders>
            <w:vAlign w:val="center"/>
          </w:tcPr>
          <w:p w14:paraId="5AC3E9D0"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N=192</w:t>
            </w:r>
          </w:p>
        </w:tc>
        <w:tc>
          <w:tcPr>
            <w:tcW w:w="1173" w:type="dxa"/>
            <w:tcBorders>
              <w:top w:val="nil"/>
              <w:bottom w:val="single" w:sz="4" w:space="0" w:color="auto"/>
              <w:right w:val="nil"/>
            </w:tcBorders>
            <w:vAlign w:val="center"/>
          </w:tcPr>
          <w:p w14:paraId="28EDB485"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N=325</w:t>
            </w:r>
          </w:p>
        </w:tc>
        <w:tc>
          <w:tcPr>
            <w:tcW w:w="1173" w:type="dxa"/>
            <w:tcBorders>
              <w:top w:val="nil"/>
              <w:left w:val="nil"/>
              <w:bottom w:val="single" w:sz="4" w:space="0" w:color="auto"/>
            </w:tcBorders>
            <w:vAlign w:val="center"/>
          </w:tcPr>
          <w:p w14:paraId="423311A2" w14:textId="77777777" w:rsidR="00814F74" w:rsidRPr="00BF06FC" w:rsidRDefault="00814F74" w:rsidP="003F72E0">
            <w:pPr>
              <w:keepNext/>
              <w:jc w:val="center"/>
              <w:rPr>
                <w:rFonts w:ascii="Arial Narrow" w:hAnsi="Arial Narrow"/>
                <w:b/>
                <w:bCs/>
                <w:sz w:val="20"/>
                <w:szCs w:val="20"/>
              </w:rPr>
            </w:pPr>
            <w:r w:rsidRPr="00BF06FC">
              <w:rPr>
                <w:rFonts w:ascii="Arial Narrow" w:hAnsi="Arial Narrow"/>
                <w:b/>
                <w:bCs/>
                <w:sz w:val="20"/>
                <w:szCs w:val="20"/>
              </w:rPr>
              <w:t>N=335</w:t>
            </w:r>
          </w:p>
        </w:tc>
      </w:tr>
      <w:tr w:rsidR="00814F74" w:rsidRPr="00BF06FC" w14:paraId="3919E3EA" w14:textId="77777777" w:rsidTr="00DF5EF9">
        <w:tc>
          <w:tcPr>
            <w:tcW w:w="1980" w:type="dxa"/>
            <w:tcBorders>
              <w:bottom w:val="nil"/>
            </w:tcBorders>
          </w:tcPr>
          <w:p w14:paraId="541552FC" w14:textId="77777777" w:rsidR="00814F74" w:rsidRPr="00BF06FC" w:rsidRDefault="00814F74" w:rsidP="003F72E0">
            <w:pPr>
              <w:keepNext/>
              <w:rPr>
                <w:rFonts w:ascii="Arial Narrow" w:hAnsi="Arial Narrow"/>
                <w:b/>
                <w:sz w:val="20"/>
                <w:szCs w:val="20"/>
              </w:rPr>
            </w:pPr>
            <w:r w:rsidRPr="00BF06FC">
              <w:rPr>
                <w:rFonts w:ascii="Arial Narrow" w:hAnsi="Arial Narrow"/>
                <w:b/>
                <w:sz w:val="20"/>
                <w:szCs w:val="20"/>
              </w:rPr>
              <w:t>OS, interim analysis</w:t>
            </w:r>
          </w:p>
        </w:tc>
        <w:tc>
          <w:tcPr>
            <w:tcW w:w="1172" w:type="dxa"/>
            <w:tcBorders>
              <w:bottom w:val="nil"/>
              <w:right w:val="nil"/>
            </w:tcBorders>
            <w:vAlign w:val="center"/>
          </w:tcPr>
          <w:p w14:paraId="511D709A" w14:textId="77777777" w:rsidR="00814F74" w:rsidRPr="00BF06FC" w:rsidRDefault="00814F74" w:rsidP="003F72E0">
            <w:pPr>
              <w:keepNext/>
              <w:jc w:val="center"/>
              <w:rPr>
                <w:rFonts w:ascii="Arial Narrow" w:hAnsi="Arial Narrow"/>
                <w:sz w:val="20"/>
                <w:szCs w:val="20"/>
              </w:rPr>
            </w:pPr>
          </w:p>
        </w:tc>
        <w:tc>
          <w:tcPr>
            <w:tcW w:w="1173" w:type="dxa"/>
            <w:tcBorders>
              <w:left w:val="nil"/>
              <w:bottom w:val="nil"/>
            </w:tcBorders>
            <w:vAlign w:val="center"/>
          </w:tcPr>
          <w:p w14:paraId="7175A2BA" w14:textId="77777777" w:rsidR="00814F74" w:rsidRPr="00BF06FC" w:rsidRDefault="00814F74" w:rsidP="003F72E0">
            <w:pPr>
              <w:keepNext/>
              <w:jc w:val="center"/>
              <w:rPr>
                <w:rFonts w:ascii="Arial Narrow" w:hAnsi="Arial Narrow"/>
                <w:sz w:val="20"/>
                <w:szCs w:val="20"/>
              </w:rPr>
            </w:pPr>
          </w:p>
        </w:tc>
        <w:tc>
          <w:tcPr>
            <w:tcW w:w="1173" w:type="dxa"/>
            <w:tcBorders>
              <w:bottom w:val="nil"/>
              <w:right w:val="nil"/>
            </w:tcBorders>
            <w:vAlign w:val="center"/>
          </w:tcPr>
          <w:p w14:paraId="48F0B128" w14:textId="77777777" w:rsidR="00814F74" w:rsidRPr="00BF06FC" w:rsidRDefault="00814F74" w:rsidP="003F72E0">
            <w:pPr>
              <w:keepNext/>
              <w:jc w:val="center"/>
              <w:rPr>
                <w:rFonts w:ascii="Arial Narrow" w:hAnsi="Arial Narrow"/>
                <w:sz w:val="20"/>
                <w:szCs w:val="20"/>
              </w:rPr>
            </w:pPr>
          </w:p>
        </w:tc>
        <w:tc>
          <w:tcPr>
            <w:tcW w:w="1173" w:type="dxa"/>
            <w:tcBorders>
              <w:left w:val="nil"/>
              <w:bottom w:val="nil"/>
            </w:tcBorders>
            <w:vAlign w:val="center"/>
          </w:tcPr>
          <w:p w14:paraId="54C92179" w14:textId="77777777" w:rsidR="00814F74" w:rsidRPr="00BF06FC" w:rsidRDefault="00814F74" w:rsidP="003F72E0">
            <w:pPr>
              <w:keepNext/>
              <w:jc w:val="center"/>
              <w:rPr>
                <w:rFonts w:ascii="Arial Narrow" w:hAnsi="Arial Narrow"/>
                <w:sz w:val="20"/>
                <w:szCs w:val="20"/>
              </w:rPr>
            </w:pPr>
          </w:p>
        </w:tc>
        <w:tc>
          <w:tcPr>
            <w:tcW w:w="1173" w:type="dxa"/>
            <w:tcBorders>
              <w:bottom w:val="nil"/>
              <w:right w:val="nil"/>
            </w:tcBorders>
            <w:vAlign w:val="center"/>
          </w:tcPr>
          <w:p w14:paraId="431605E9" w14:textId="77777777" w:rsidR="00814F74" w:rsidRPr="00BF06FC" w:rsidRDefault="00814F74" w:rsidP="003F72E0">
            <w:pPr>
              <w:keepNext/>
              <w:jc w:val="center"/>
              <w:rPr>
                <w:rFonts w:ascii="Arial Narrow" w:hAnsi="Arial Narrow"/>
                <w:sz w:val="20"/>
                <w:szCs w:val="20"/>
              </w:rPr>
            </w:pPr>
          </w:p>
        </w:tc>
        <w:tc>
          <w:tcPr>
            <w:tcW w:w="1173" w:type="dxa"/>
            <w:tcBorders>
              <w:left w:val="nil"/>
              <w:bottom w:val="nil"/>
            </w:tcBorders>
            <w:vAlign w:val="center"/>
          </w:tcPr>
          <w:p w14:paraId="3EED8526" w14:textId="77777777" w:rsidR="00814F74" w:rsidRPr="00BF06FC" w:rsidRDefault="00814F74" w:rsidP="003F72E0">
            <w:pPr>
              <w:keepNext/>
              <w:jc w:val="center"/>
              <w:rPr>
                <w:rFonts w:ascii="Arial Narrow" w:hAnsi="Arial Narrow"/>
                <w:sz w:val="20"/>
                <w:szCs w:val="20"/>
              </w:rPr>
            </w:pPr>
          </w:p>
        </w:tc>
      </w:tr>
      <w:tr w:rsidR="00814F74" w:rsidRPr="00BF06FC" w14:paraId="1509D297" w14:textId="77777777" w:rsidTr="00DF5EF9">
        <w:tc>
          <w:tcPr>
            <w:tcW w:w="1980" w:type="dxa"/>
            <w:tcBorders>
              <w:top w:val="nil"/>
              <w:bottom w:val="nil"/>
            </w:tcBorders>
          </w:tcPr>
          <w:p w14:paraId="31494B12"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Died, n (%)</w:t>
            </w:r>
          </w:p>
        </w:tc>
        <w:tc>
          <w:tcPr>
            <w:tcW w:w="1172" w:type="dxa"/>
            <w:tcBorders>
              <w:top w:val="nil"/>
              <w:bottom w:val="nil"/>
              <w:right w:val="nil"/>
            </w:tcBorders>
            <w:vAlign w:val="center"/>
          </w:tcPr>
          <w:p w14:paraId="63D1BAD1"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83 (15.8)</w:t>
            </w:r>
          </w:p>
        </w:tc>
        <w:tc>
          <w:tcPr>
            <w:tcW w:w="1173" w:type="dxa"/>
            <w:tcBorders>
              <w:top w:val="nil"/>
              <w:left w:val="nil"/>
              <w:bottom w:val="nil"/>
            </w:tcBorders>
            <w:vAlign w:val="center"/>
          </w:tcPr>
          <w:p w14:paraId="7FF8D67D"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117 (22.2)</w:t>
            </w:r>
          </w:p>
        </w:tc>
        <w:tc>
          <w:tcPr>
            <w:tcW w:w="1173" w:type="dxa"/>
            <w:tcBorders>
              <w:top w:val="nil"/>
              <w:bottom w:val="nil"/>
              <w:right w:val="nil"/>
            </w:tcBorders>
            <w:vAlign w:val="center"/>
          </w:tcPr>
          <w:p w14:paraId="08496F33"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14 (7.0)</w:t>
            </w:r>
          </w:p>
        </w:tc>
        <w:tc>
          <w:tcPr>
            <w:tcW w:w="1173" w:type="dxa"/>
            <w:tcBorders>
              <w:top w:val="nil"/>
              <w:left w:val="nil"/>
              <w:bottom w:val="nil"/>
            </w:tcBorders>
            <w:vAlign w:val="center"/>
          </w:tcPr>
          <w:p w14:paraId="043BBFB0"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20 (10.4)</w:t>
            </w:r>
          </w:p>
        </w:tc>
        <w:tc>
          <w:tcPr>
            <w:tcW w:w="1173" w:type="dxa"/>
            <w:tcBorders>
              <w:top w:val="nil"/>
              <w:bottom w:val="nil"/>
              <w:right w:val="nil"/>
            </w:tcBorders>
            <w:vAlign w:val="center"/>
          </w:tcPr>
          <w:p w14:paraId="03357358"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69 (21.2)</w:t>
            </w:r>
          </w:p>
        </w:tc>
        <w:tc>
          <w:tcPr>
            <w:tcW w:w="1173" w:type="dxa"/>
            <w:tcBorders>
              <w:top w:val="nil"/>
              <w:left w:val="nil"/>
              <w:bottom w:val="nil"/>
            </w:tcBorders>
            <w:vAlign w:val="center"/>
          </w:tcPr>
          <w:p w14:paraId="3496B77C"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97 (29.0)</w:t>
            </w:r>
          </w:p>
        </w:tc>
      </w:tr>
      <w:tr w:rsidR="00814F74" w:rsidRPr="00BF06FC" w14:paraId="3E7A9874" w14:textId="77777777" w:rsidTr="00DF5EF9">
        <w:tc>
          <w:tcPr>
            <w:tcW w:w="1980" w:type="dxa"/>
            <w:tcBorders>
              <w:top w:val="nil"/>
              <w:bottom w:val="nil"/>
            </w:tcBorders>
            <w:vAlign w:val="center"/>
          </w:tcPr>
          <w:p w14:paraId="34E09A5C"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Median, months (95%CI)</w:t>
            </w:r>
          </w:p>
        </w:tc>
        <w:tc>
          <w:tcPr>
            <w:tcW w:w="1172" w:type="dxa"/>
            <w:tcBorders>
              <w:top w:val="nil"/>
              <w:bottom w:val="nil"/>
              <w:right w:val="nil"/>
            </w:tcBorders>
            <w:vAlign w:val="center"/>
          </w:tcPr>
          <w:p w14:paraId="278E9B68"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24ECB269"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bottom w:val="nil"/>
              <w:right w:val="nil"/>
            </w:tcBorders>
            <w:vAlign w:val="center"/>
          </w:tcPr>
          <w:p w14:paraId="27852084"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393D2E89"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bottom w:val="nil"/>
              <w:right w:val="nil"/>
            </w:tcBorders>
            <w:vAlign w:val="center"/>
          </w:tcPr>
          <w:p w14:paraId="7B2F1BA7"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5944C65C"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r>
      <w:tr w:rsidR="00814F74" w:rsidRPr="00BF06FC" w14:paraId="1E8CA24C" w14:textId="77777777" w:rsidTr="00DF5EF9">
        <w:tc>
          <w:tcPr>
            <w:tcW w:w="1980" w:type="dxa"/>
            <w:tcBorders>
              <w:top w:val="nil"/>
              <w:bottom w:val="single" w:sz="4" w:space="0" w:color="auto"/>
            </w:tcBorders>
          </w:tcPr>
          <w:p w14:paraId="00377C9A"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HR (95%CI)</w:t>
            </w:r>
          </w:p>
        </w:tc>
        <w:tc>
          <w:tcPr>
            <w:tcW w:w="2345" w:type="dxa"/>
            <w:gridSpan w:val="2"/>
            <w:tcBorders>
              <w:top w:val="nil"/>
              <w:bottom w:val="single" w:sz="4" w:space="0" w:color="auto"/>
            </w:tcBorders>
            <w:vAlign w:val="center"/>
          </w:tcPr>
          <w:p w14:paraId="6BB3C6FB"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0.671 (0.507, </w:t>
            </w:r>
            <w:proofErr w:type="gramStart"/>
            <w:r w:rsidRPr="00BF06FC">
              <w:rPr>
                <w:rFonts w:ascii="Arial Narrow" w:hAnsi="Arial Narrow"/>
                <w:b/>
                <w:sz w:val="20"/>
                <w:szCs w:val="20"/>
              </w:rPr>
              <w:t>0.890)</w:t>
            </w:r>
            <w:r w:rsidRPr="00BF06FC">
              <w:rPr>
                <w:rFonts w:ascii="Arial Narrow" w:hAnsi="Arial Narrow"/>
                <w:b/>
                <w:sz w:val="20"/>
                <w:szCs w:val="20"/>
                <w:vertAlign w:val="superscript"/>
              </w:rPr>
              <w:t>b</w:t>
            </w:r>
            <w:proofErr w:type="gramEnd"/>
          </w:p>
        </w:tc>
        <w:tc>
          <w:tcPr>
            <w:tcW w:w="2346" w:type="dxa"/>
            <w:gridSpan w:val="2"/>
            <w:tcBorders>
              <w:top w:val="nil"/>
              <w:bottom w:val="single" w:sz="4" w:space="0" w:color="auto"/>
            </w:tcBorders>
            <w:vAlign w:val="center"/>
          </w:tcPr>
          <w:p w14:paraId="6AE57D60"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0.67 (0.34, 1.32)</w:t>
            </w:r>
          </w:p>
        </w:tc>
        <w:tc>
          <w:tcPr>
            <w:tcW w:w="2346" w:type="dxa"/>
            <w:gridSpan w:val="2"/>
            <w:tcBorders>
              <w:top w:val="nil"/>
              <w:bottom w:val="single" w:sz="4" w:space="0" w:color="auto"/>
            </w:tcBorders>
            <w:vAlign w:val="center"/>
          </w:tcPr>
          <w:p w14:paraId="0107AD36"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0.66 (0.50, 0.92)</w:t>
            </w:r>
          </w:p>
        </w:tc>
      </w:tr>
      <w:tr w:rsidR="00814F74" w:rsidRPr="00BF06FC" w14:paraId="327EC228" w14:textId="77777777" w:rsidTr="00DF5EF9">
        <w:tc>
          <w:tcPr>
            <w:tcW w:w="1980" w:type="dxa"/>
            <w:tcBorders>
              <w:top w:val="single" w:sz="4" w:space="0" w:color="auto"/>
              <w:bottom w:val="nil"/>
            </w:tcBorders>
          </w:tcPr>
          <w:p w14:paraId="143B0180" w14:textId="77777777" w:rsidR="00814F74" w:rsidRPr="00BF06FC" w:rsidRDefault="00814F74" w:rsidP="003F72E0">
            <w:pPr>
              <w:keepNext/>
              <w:rPr>
                <w:rFonts w:ascii="Arial Narrow" w:hAnsi="Arial Narrow"/>
                <w:sz w:val="20"/>
                <w:szCs w:val="20"/>
                <w:vertAlign w:val="superscript"/>
              </w:rPr>
            </w:pPr>
            <w:r w:rsidRPr="00BF06FC">
              <w:rPr>
                <w:rFonts w:ascii="Arial Narrow" w:hAnsi="Arial Narrow"/>
                <w:b/>
                <w:sz w:val="20"/>
                <w:szCs w:val="20"/>
              </w:rPr>
              <w:t>OS, final analysis</w:t>
            </w:r>
            <w:r w:rsidRPr="00BF06FC">
              <w:rPr>
                <w:rFonts w:ascii="Arial Narrow" w:hAnsi="Arial Narrow"/>
                <w:b/>
                <w:sz w:val="20"/>
                <w:szCs w:val="20"/>
                <w:vertAlign w:val="superscript"/>
              </w:rPr>
              <w:t>#</w:t>
            </w:r>
          </w:p>
        </w:tc>
        <w:tc>
          <w:tcPr>
            <w:tcW w:w="1172" w:type="dxa"/>
            <w:tcBorders>
              <w:top w:val="single" w:sz="4" w:space="0" w:color="auto"/>
              <w:bottom w:val="nil"/>
              <w:right w:val="nil"/>
            </w:tcBorders>
            <w:vAlign w:val="center"/>
          </w:tcPr>
          <w:p w14:paraId="36B539D8" w14:textId="77777777" w:rsidR="00814F74" w:rsidRPr="00BF06FC" w:rsidRDefault="00814F74" w:rsidP="003F72E0">
            <w:pPr>
              <w:keepNext/>
              <w:jc w:val="center"/>
              <w:rPr>
                <w:rFonts w:ascii="Arial Narrow" w:hAnsi="Arial Narrow"/>
                <w:sz w:val="20"/>
                <w:szCs w:val="20"/>
              </w:rPr>
            </w:pPr>
          </w:p>
        </w:tc>
        <w:tc>
          <w:tcPr>
            <w:tcW w:w="1173" w:type="dxa"/>
            <w:tcBorders>
              <w:top w:val="single" w:sz="4" w:space="0" w:color="auto"/>
              <w:left w:val="nil"/>
              <w:bottom w:val="nil"/>
            </w:tcBorders>
            <w:vAlign w:val="center"/>
          </w:tcPr>
          <w:p w14:paraId="6178E759" w14:textId="77777777" w:rsidR="00814F74" w:rsidRPr="00BF06FC" w:rsidRDefault="00814F74" w:rsidP="003F72E0">
            <w:pPr>
              <w:keepNext/>
              <w:jc w:val="center"/>
              <w:rPr>
                <w:rFonts w:ascii="Arial Narrow" w:hAnsi="Arial Narrow"/>
                <w:sz w:val="20"/>
                <w:szCs w:val="20"/>
              </w:rPr>
            </w:pPr>
          </w:p>
        </w:tc>
        <w:tc>
          <w:tcPr>
            <w:tcW w:w="1173" w:type="dxa"/>
            <w:tcBorders>
              <w:top w:val="single" w:sz="4" w:space="0" w:color="auto"/>
              <w:bottom w:val="nil"/>
              <w:right w:val="nil"/>
            </w:tcBorders>
            <w:vAlign w:val="center"/>
          </w:tcPr>
          <w:p w14:paraId="76503B9D" w14:textId="77777777" w:rsidR="00814F74" w:rsidRPr="00BF06FC" w:rsidRDefault="00814F74" w:rsidP="003F72E0">
            <w:pPr>
              <w:keepNext/>
              <w:jc w:val="center"/>
              <w:rPr>
                <w:rFonts w:ascii="Arial Narrow" w:hAnsi="Arial Narrow"/>
                <w:sz w:val="20"/>
                <w:szCs w:val="20"/>
              </w:rPr>
            </w:pPr>
          </w:p>
        </w:tc>
        <w:tc>
          <w:tcPr>
            <w:tcW w:w="1173" w:type="dxa"/>
            <w:tcBorders>
              <w:top w:val="single" w:sz="4" w:space="0" w:color="auto"/>
              <w:left w:val="nil"/>
              <w:bottom w:val="nil"/>
            </w:tcBorders>
            <w:vAlign w:val="center"/>
          </w:tcPr>
          <w:p w14:paraId="7F0BE0A8" w14:textId="77777777" w:rsidR="00814F74" w:rsidRPr="00BF06FC" w:rsidRDefault="00814F74" w:rsidP="003F72E0">
            <w:pPr>
              <w:keepNext/>
              <w:jc w:val="center"/>
              <w:rPr>
                <w:rFonts w:ascii="Arial Narrow" w:hAnsi="Arial Narrow"/>
                <w:sz w:val="20"/>
                <w:szCs w:val="20"/>
              </w:rPr>
            </w:pPr>
          </w:p>
        </w:tc>
        <w:tc>
          <w:tcPr>
            <w:tcW w:w="1173" w:type="dxa"/>
            <w:tcBorders>
              <w:top w:val="single" w:sz="4" w:space="0" w:color="auto"/>
              <w:bottom w:val="nil"/>
              <w:right w:val="nil"/>
            </w:tcBorders>
            <w:vAlign w:val="center"/>
          </w:tcPr>
          <w:p w14:paraId="05B67928" w14:textId="77777777" w:rsidR="00814F74" w:rsidRPr="00BF06FC" w:rsidRDefault="00814F74" w:rsidP="003F72E0">
            <w:pPr>
              <w:keepNext/>
              <w:jc w:val="center"/>
              <w:rPr>
                <w:rFonts w:ascii="Arial Narrow" w:hAnsi="Arial Narrow"/>
                <w:sz w:val="20"/>
                <w:szCs w:val="20"/>
              </w:rPr>
            </w:pPr>
          </w:p>
        </w:tc>
        <w:tc>
          <w:tcPr>
            <w:tcW w:w="1173" w:type="dxa"/>
            <w:tcBorders>
              <w:top w:val="single" w:sz="4" w:space="0" w:color="auto"/>
              <w:left w:val="nil"/>
              <w:bottom w:val="nil"/>
            </w:tcBorders>
            <w:vAlign w:val="center"/>
          </w:tcPr>
          <w:p w14:paraId="4452AB34" w14:textId="77777777" w:rsidR="00814F74" w:rsidRPr="00BF06FC" w:rsidRDefault="00814F74" w:rsidP="003F72E0">
            <w:pPr>
              <w:keepNext/>
              <w:jc w:val="center"/>
              <w:rPr>
                <w:rFonts w:ascii="Arial Narrow" w:hAnsi="Arial Narrow"/>
                <w:sz w:val="20"/>
                <w:szCs w:val="20"/>
              </w:rPr>
            </w:pPr>
          </w:p>
        </w:tc>
      </w:tr>
      <w:tr w:rsidR="00814F74" w:rsidRPr="00BF06FC" w14:paraId="564DCB46" w14:textId="77777777" w:rsidTr="00DF5EF9">
        <w:tc>
          <w:tcPr>
            <w:tcW w:w="1980" w:type="dxa"/>
            <w:tcBorders>
              <w:top w:val="nil"/>
              <w:bottom w:val="nil"/>
            </w:tcBorders>
          </w:tcPr>
          <w:p w14:paraId="43EB5152"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Died, n (%)</w:t>
            </w:r>
          </w:p>
        </w:tc>
        <w:tc>
          <w:tcPr>
            <w:tcW w:w="1172" w:type="dxa"/>
            <w:tcBorders>
              <w:top w:val="nil"/>
              <w:bottom w:val="nil"/>
              <w:right w:val="nil"/>
            </w:tcBorders>
            <w:vAlign w:val="center"/>
          </w:tcPr>
          <w:p w14:paraId="359B99FF"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170 (32.4)</w:t>
            </w:r>
          </w:p>
        </w:tc>
        <w:tc>
          <w:tcPr>
            <w:tcW w:w="1173" w:type="dxa"/>
            <w:tcBorders>
              <w:top w:val="nil"/>
              <w:left w:val="nil"/>
              <w:bottom w:val="nil"/>
            </w:tcBorders>
            <w:vAlign w:val="center"/>
          </w:tcPr>
          <w:p w14:paraId="2D6F91FF"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235 (44.6)</w:t>
            </w:r>
          </w:p>
        </w:tc>
        <w:tc>
          <w:tcPr>
            <w:tcW w:w="1173" w:type="dxa"/>
            <w:tcBorders>
              <w:top w:val="nil"/>
              <w:bottom w:val="nil"/>
              <w:right w:val="nil"/>
            </w:tcBorders>
            <w:vAlign w:val="center"/>
          </w:tcPr>
          <w:p w14:paraId="2C40AC9E"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36 (18.0)</w:t>
            </w:r>
          </w:p>
        </w:tc>
        <w:tc>
          <w:tcPr>
            <w:tcW w:w="1173" w:type="dxa"/>
            <w:tcBorders>
              <w:top w:val="nil"/>
              <w:left w:val="nil"/>
              <w:bottom w:val="nil"/>
            </w:tcBorders>
            <w:vAlign w:val="center"/>
          </w:tcPr>
          <w:p w14:paraId="482B0017"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60 (31.3)</w:t>
            </w:r>
          </w:p>
        </w:tc>
        <w:tc>
          <w:tcPr>
            <w:tcW w:w="1173" w:type="dxa"/>
            <w:tcBorders>
              <w:top w:val="nil"/>
              <w:bottom w:val="nil"/>
              <w:right w:val="nil"/>
            </w:tcBorders>
            <w:vAlign w:val="center"/>
          </w:tcPr>
          <w:p w14:paraId="34AF5244"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134 (41.2)</w:t>
            </w:r>
          </w:p>
        </w:tc>
        <w:tc>
          <w:tcPr>
            <w:tcW w:w="1173" w:type="dxa"/>
            <w:tcBorders>
              <w:top w:val="nil"/>
              <w:left w:val="nil"/>
              <w:bottom w:val="nil"/>
            </w:tcBorders>
            <w:vAlign w:val="center"/>
          </w:tcPr>
          <w:p w14:paraId="44F3C15C"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175 (52.2)</w:t>
            </w:r>
          </w:p>
        </w:tc>
      </w:tr>
      <w:tr w:rsidR="00814F74" w:rsidRPr="00BF06FC" w14:paraId="789725E1" w14:textId="77777777" w:rsidTr="00DF5EF9">
        <w:tc>
          <w:tcPr>
            <w:tcW w:w="1980" w:type="dxa"/>
            <w:tcBorders>
              <w:top w:val="nil"/>
              <w:bottom w:val="nil"/>
            </w:tcBorders>
            <w:vAlign w:val="center"/>
          </w:tcPr>
          <w:p w14:paraId="017C2901"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Median, months (95%CI)</w:t>
            </w:r>
          </w:p>
        </w:tc>
        <w:tc>
          <w:tcPr>
            <w:tcW w:w="1172" w:type="dxa"/>
            <w:tcBorders>
              <w:top w:val="nil"/>
              <w:bottom w:val="nil"/>
              <w:right w:val="nil"/>
            </w:tcBorders>
            <w:vAlign w:val="center"/>
          </w:tcPr>
          <w:p w14:paraId="133DC669"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43F162B7"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52.2 (41.9, NE)</w:t>
            </w:r>
          </w:p>
        </w:tc>
        <w:tc>
          <w:tcPr>
            <w:tcW w:w="1173" w:type="dxa"/>
            <w:tcBorders>
              <w:top w:val="nil"/>
              <w:bottom w:val="nil"/>
              <w:right w:val="nil"/>
            </w:tcBorders>
            <w:vAlign w:val="center"/>
          </w:tcPr>
          <w:p w14:paraId="1E64F125"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2183CE64"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(52.2, NE)</w:t>
            </w:r>
          </w:p>
        </w:tc>
        <w:tc>
          <w:tcPr>
            <w:tcW w:w="1173" w:type="dxa"/>
            <w:tcBorders>
              <w:top w:val="nil"/>
              <w:bottom w:val="nil"/>
              <w:right w:val="nil"/>
            </w:tcBorders>
            <w:vAlign w:val="center"/>
          </w:tcPr>
          <w:p w14:paraId="5891A3C6"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6644CDC7"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r>
      <w:tr w:rsidR="00814F74" w:rsidRPr="00BF06FC" w14:paraId="33A8EA8C" w14:textId="77777777" w:rsidTr="00DF5EF9">
        <w:tc>
          <w:tcPr>
            <w:tcW w:w="1980" w:type="dxa"/>
            <w:tcBorders>
              <w:top w:val="nil"/>
              <w:bottom w:val="single" w:sz="4" w:space="0" w:color="auto"/>
            </w:tcBorders>
          </w:tcPr>
          <w:p w14:paraId="599519BB"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HR (95%CI)</w:t>
            </w:r>
          </w:p>
        </w:tc>
        <w:tc>
          <w:tcPr>
            <w:tcW w:w="2345" w:type="dxa"/>
            <w:gridSpan w:val="2"/>
            <w:tcBorders>
              <w:top w:val="nil"/>
              <w:bottom w:val="single" w:sz="4" w:space="0" w:color="auto"/>
            </w:tcBorders>
            <w:vAlign w:val="center"/>
          </w:tcPr>
          <w:p w14:paraId="4808F17A"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0.651 (0.534, </w:t>
            </w:r>
            <w:proofErr w:type="gramStart"/>
            <w:r w:rsidRPr="00BF06FC">
              <w:rPr>
                <w:rFonts w:ascii="Arial Narrow" w:hAnsi="Arial Narrow"/>
                <w:b/>
                <w:sz w:val="20"/>
                <w:szCs w:val="20"/>
              </w:rPr>
              <w:t>0.793)</w:t>
            </w:r>
            <w:r w:rsidRPr="00BF06FC">
              <w:rPr>
                <w:rFonts w:ascii="Arial Narrow" w:hAnsi="Arial Narrow"/>
                <w:b/>
                <w:sz w:val="20"/>
                <w:szCs w:val="20"/>
                <w:vertAlign w:val="superscript"/>
              </w:rPr>
              <w:t>b</w:t>
            </w:r>
            <w:proofErr w:type="gramEnd"/>
          </w:p>
        </w:tc>
        <w:tc>
          <w:tcPr>
            <w:tcW w:w="2346" w:type="dxa"/>
            <w:gridSpan w:val="2"/>
            <w:tcBorders>
              <w:top w:val="nil"/>
              <w:bottom w:val="single" w:sz="4" w:space="0" w:color="auto"/>
            </w:tcBorders>
            <w:vAlign w:val="center"/>
          </w:tcPr>
          <w:p w14:paraId="1A24A74B"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0.525 (0.347, </w:t>
            </w:r>
            <w:proofErr w:type="gramStart"/>
            <w:r w:rsidRPr="00BF06FC">
              <w:rPr>
                <w:rFonts w:ascii="Arial Narrow" w:hAnsi="Arial Narrow"/>
                <w:b/>
                <w:sz w:val="20"/>
                <w:szCs w:val="20"/>
              </w:rPr>
              <w:t>0.794)</w:t>
            </w:r>
            <w:r w:rsidRPr="00BF06FC">
              <w:rPr>
                <w:rFonts w:ascii="Arial Narrow" w:hAnsi="Arial Narrow"/>
                <w:b/>
                <w:sz w:val="20"/>
                <w:szCs w:val="20"/>
                <w:vertAlign w:val="superscript"/>
              </w:rPr>
              <w:t>c</w:t>
            </w:r>
            <w:proofErr w:type="gramEnd"/>
          </w:p>
        </w:tc>
        <w:tc>
          <w:tcPr>
            <w:tcW w:w="2346" w:type="dxa"/>
            <w:gridSpan w:val="2"/>
            <w:tcBorders>
              <w:top w:val="nil"/>
              <w:bottom w:val="single" w:sz="4" w:space="0" w:color="auto"/>
            </w:tcBorders>
            <w:vAlign w:val="center"/>
          </w:tcPr>
          <w:p w14:paraId="0B32B726"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0.699 (0.558, </w:t>
            </w:r>
            <w:proofErr w:type="gramStart"/>
            <w:r w:rsidRPr="00BF06FC">
              <w:rPr>
                <w:rFonts w:ascii="Arial Narrow" w:hAnsi="Arial Narrow"/>
                <w:b/>
                <w:sz w:val="20"/>
                <w:szCs w:val="20"/>
              </w:rPr>
              <w:t>0.875)</w:t>
            </w:r>
            <w:r w:rsidRPr="00BF06FC">
              <w:rPr>
                <w:rFonts w:ascii="Arial Narrow" w:hAnsi="Arial Narrow"/>
                <w:b/>
                <w:sz w:val="20"/>
                <w:szCs w:val="20"/>
                <w:vertAlign w:val="superscript"/>
              </w:rPr>
              <w:t>c</w:t>
            </w:r>
            <w:proofErr w:type="gramEnd"/>
          </w:p>
        </w:tc>
      </w:tr>
      <w:tr w:rsidR="00814F74" w:rsidRPr="00BF06FC" w14:paraId="340811D2" w14:textId="77777777" w:rsidTr="00DF5EF9">
        <w:tc>
          <w:tcPr>
            <w:tcW w:w="1980" w:type="dxa"/>
            <w:tcBorders>
              <w:bottom w:val="nil"/>
            </w:tcBorders>
          </w:tcPr>
          <w:p w14:paraId="723ACA1C" w14:textId="77777777" w:rsidR="00814F74" w:rsidRPr="00BF06FC" w:rsidRDefault="00814F74" w:rsidP="003F72E0">
            <w:pPr>
              <w:keepNext/>
              <w:rPr>
                <w:rFonts w:ascii="Arial Narrow" w:hAnsi="Arial Narrow"/>
                <w:sz w:val="20"/>
                <w:szCs w:val="20"/>
              </w:rPr>
            </w:pPr>
            <w:proofErr w:type="spellStart"/>
            <w:r w:rsidRPr="00BF06FC">
              <w:rPr>
                <w:rFonts w:ascii="Arial Narrow" w:hAnsi="Arial Narrow"/>
                <w:b/>
                <w:sz w:val="20"/>
                <w:szCs w:val="20"/>
              </w:rPr>
              <w:t>rPFS</w:t>
            </w:r>
            <w:proofErr w:type="spellEnd"/>
            <w:r w:rsidRPr="00BF06FC">
              <w:rPr>
                <w:rFonts w:ascii="Arial Narrow" w:hAnsi="Arial Narrow"/>
                <w:b/>
                <w:sz w:val="20"/>
                <w:szCs w:val="20"/>
              </w:rPr>
              <w:t>^</w:t>
            </w:r>
          </w:p>
        </w:tc>
        <w:tc>
          <w:tcPr>
            <w:tcW w:w="1172" w:type="dxa"/>
            <w:tcBorders>
              <w:bottom w:val="nil"/>
              <w:right w:val="nil"/>
            </w:tcBorders>
            <w:vAlign w:val="center"/>
          </w:tcPr>
          <w:p w14:paraId="5468786D" w14:textId="77777777" w:rsidR="00814F74" w:rsidRPr="00BF06FC" w:rsidRDefault="00814F74" w:rsidP="003F72E0">
            <w:pPr>
              <w:keepNext/>
              <w:jc w:val="center"/>
              <w:rPr>
                <w:rFonts w:ascii="Arial Narrow" w:hAnsi="Arial Narrow"/>
                <w:sz w:val="20"/>
                <w:szCs w:val="20"/>
              </w:rPr>
            </w:pPr>
          </w:p>
        </w:tc>
        <w:tc>
          <w:tcPr>
            <w:tcW w:w="1173" w:type="dxa"/>
            <w:tcBorders>
              <w:left w:val="nil"/>
              <w:bottom w:val="nil"/>
            </w:tcBorders>
            <w:vAlign w:val="center"/>
          </w:tcPr>
          <w:p w14:paraId="46E0C8EF" w14:textId="77777777" w:rsidR="00814F74" w:rsidRPr="00BF06FC" w:rsidRDefault="00814F74" w:rsidP="003F72E0">
            <w:pPr>
              <w:keepNext/>
              <w:jc w:val="center"/>
              <w:rPr>
                <w:rFonts w:ascii="Arial Narrow" w:hAnsi="Arial Narrow"/>
                <w:sz w:val="20"/>
                <w:szCs w:val="20"/>
              </w:rPr>
            </w:pPr>
          </w:p>
        </w:tc>
        <w:tc>
          <w:tcPr>
            <w:tcW w:w="1173" w:type="dxa"/>
            <w:tcBorders>
              <w:bottom w:val="nil"/>
              <w:right w:val="nil"/>
            </w:tcBorders>
            <w:vAlign w:val="center"/>
          </w:tcPr>
          <w:p w14:paraId="388962C6" w14:textId="77777777" w:rsidR="00814F74" w:rsidRPr="00BF06FC" w:rsidRDefault="00814F74" w:rsidP="003F72E0">
            <w:pPr>
              <w:keepNext/>
              <w:jc w:val="center"/>
              <w:rPr>
                <w:rFonts w:ascii="Arial Narrow" w:hAnsi="Arial Narrow"/>
                <w:sz w:val="20"/>
                <w:szCs w:val="20"/>
              </w:rPr>
            </w:pPr>
          </w:p>
        </w:tc>
        <w:tc>
          <w:tcPr>
            <w:tcW w:w="1173" w:type="dxa"/>
            <w:tcBorders>
              <w:left w:val="nil"/>
              <w:bottom w:val="nil"/>
            </w:tcBorders>
            <w:vAlign w:val="center"/>
          </w:tcPr>
          <w:p w14:paraId="099F19A1" w14:textId="77777777" w:rsidR="00814F74" w:rsidRPr="00BF06FC" w:rsidRDefault="00814F74" w:rsidP="003F72E0">
            <w:pPr>
              <w:keepNext/>
              <w:jc w:val="center"/>
              <w:rPr>
                <w:rFonts w:ascii="Arial Narrow" w:hAnsi="Arial Narrow"/>
                <w:sz w:val="20"/>
                <w:szCs w:val="20"/>
              </w:rPr>
            </w:pPr>
          </w:p>
        </w:tc>
        <w:tc>
          <w:tcPr>
            <w:tcW w:w="1173" w:type="dxa"/>
            <w:tcBorders>
              <w:bottom w:val="nil"/>
              <w:right w:val="nil"/>
            </w:tcBorders>
            <w:vAlign w:val="center"/>
          </w:tcPr>
          <w:p w14:paraId="37A6E4D8" w14:textId="77777777" w:rsidR="00814F74" w:rsidRPr="00BF06FC" w:rsidRDefault="00814F74" w:rsidP="003F72E0">
            <w:pPr>
              <w:keepNext/>
              <w:jc w:val="center"/>
              <w:rPr>
                <w:rFonts w:ascii="Arial Narrow" w:hAnsi="Arial Narrow"/>
                <w:sz w:val="20"/>
                <w:szCs w:val="20"/>
              </w:rPr>
            </w:pPr>
          </w:p>
        </w:tc>
        <w:tc>
          <w:tcPr>
            <w:tcW w:w="1173" w:type="dxa"/>
            <w:tcBorders>
              <w:left w:val="nil"/>
              <w:bottom w:val="nil"/>
            </w:tcBorders>
            <w:vAlign w:val="center"/>
          </w:tcPr>
          <w:p w14:paraId="18A60485" w14:textId="77777777" w:rsidR="00814F74" w:rsidRPr="00BF06FC" w:rsidRDefault="00814F74" w:rsidP="003F72E0">
            <w:pPr>
              <w:keepNext/>
              <w:jc w:val="center"/>
              <w:rPr>
                <w:rFonts w:ascii="Arial Narrow" w:hAnsi="Arial Narrow"/>
                <w:sz w:val="20"/>
                <w:szCs w:val="20"/>
              </w:rPr>
            </w:pPr>
          </w:p>
        </w:tc>
      </w:tr>
      <w:tr w:rsidR="00814F74" w:rsidRPr="00BF06FC" w14:paraId="1D73CE4A" w14:textId="77777777" w:rsidTr="00DF5EF9">
        <w:tc>
          <w:tcPr>
            <w:tcW w:w="1980" w:type="dxa"/>
            <w:tcBorders>
              <w:top w:val="nil"/>
              <w:bottom w:val="nil"/>
            </w:tcBorders>
          </w:tcPr>
          <w:p w14:paraId="34A08546"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Event, n (%)</w:t>
            </w:r>
          </w:p>
        </w:tc>
        <w:tc>
          <w:tcPr>
            <w:tcW w:w="1172" w:type="dxa"/>
            <w:tcBorders>
              <w:top w:val="nil"/>
              <w:bottom w:val="nil"/>
              <w:right w:val="nil"/>
            </w:tcBorders>
            <w:vAlign w:val="center"/>
          </w:tcPr>
          <w:p w14:paraId="0D259C0F"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134 (25.5)</w:t>
            </w:r>
          </w:p>
        </w:tc>
        <w:tc>
          <w:tcPr>
            <w:tcW w:w="1173" w:type="dxa"/>
            <w:tcBorders>
              <w:top w:val="nil"/>
              <w:left w:val="nil"/>
              <w:bottom w:val="nil"/>
            </w:tcBorders>
            <w:vAlign w:val="center"/>
          </w:tcPr>
          <w:p w14:paraId="76E0A5D1"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231 (43.8)</w:t>
            </w:r>
          </w:p>
        </w:tc>
        <w:tc>
          <w:tcPr>
            <w:tcW w:w="1173" w:type="dxa"/>
            <w:tcBorders>
              <w:top w:val="nil"/>
              <w:bottom w:val="nil"/>
              <w:right w:val="nil"/>
            </w:tcBorders>
            <w:vAlign w:val="center"/>
          </w:tcPr>
          <w:p w14:paraId="23462FE0"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25 (12.5)</w:t>
            </w:r>
          </w:p>
        </w:tc>
        <w:tc>
          <w:tcPr>
            <w:tcW w:w="1173" w:type="dxa"/>
            <w:tcBorders>
              <w:top w:val="nil"/>
              <w:left w:val="nil"/>
              <w:bottom w:val="nil"/>
            </w:tcBorders>
            <w:vAlign w:val="center"/>
          </w:tcPr>
          <w:p w14:paraId="56A75C0C"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58 (30.2)</w:t>
            </w:r>
          </w:p>
        </w:tc>
        <w:tc>
          <w:tcPr>
            <w:tcW w:w="1173" w:type="dxa"/>
            <w:tcBorders>
              <w:top w:val="nil"/>
              <w:bottom w:val="nil"/>
              <w:right w:val="nil"/>
            </w:tcBorders>
            <w:vAlign w:val="center"/>
          </w:tcPr>
          <w:p w14:paraId="6D83109F"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109 (33.5)</w:t>
            </w:r>
          </w:p>
        </w:tc>
        <w:tc>
          <w:tcPr>
            <w:tcW w:w="1173" w:type="dxa"/>
            <w:tcBorders>
              <w:top w:val="nil"/>
              <w:left w:val="nil"/>
              <w:bottom w:val="nil"/>
            </w:tcBorders>
            <w:vAlign w:val="center"/>
          </w:tcPr>
          <w:p w14:paraId="5821A2EA"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173 (51.6)</w:t>
            </w:r>
          </w:p>
        </w:tc>
      </w:tr>
      <w:tr w:rsidR="00814F74" w:rsidRPr="00BF06FC" w14:paraId="1E810655" w14:textId="77777777" w:rsidTr="00DF5EF9">
        <w:tc>
          <w:tcPr>
            <w:tcW w:w="1980" w:type="dxa"/>
            <w:tcBorders>
              <w:top w:val="nil"/>
              <w:bottom w:val="nil"/>
            </w:tcBorders>
            <w:vAlign w:val="center"/>
          </w:tcPr>
          <w:p w14:paraId="7EBDBA35"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Median, months (95%CI)</w:t>
            </w:r>
          </w:p>
        </w:tc>
        <w:tc>
          <w:tcPr>
            <w:tcW w:w="1172" w:type="dxa"/>
            <w:tcBorders>
              <w:top w:val="nil"/>
              <w:bottom w:val="nil"/>
              <w:right w:val="nil"/>
            </w:tcBorders>
            <w:vAlign w:val="center"/>
          </w:tcPr>
          <w:p w14:paraId="4F9D6E7A"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65A41576"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22.1(18.5,32.9)</w:t>
            </w:r>
          </w:p>
        </w:tc>
        <w:tc>
          <w:tcPr>
            <w:tcW w:w="1173" w:type="dxa"/>
            <w:tcBorders>
              <w:top w:val="nil"/>
              <w:bottom w:val="nil"/>
              <w:right w:val="nil"/>
            </w:tcBorders>
            <w:vAlign w:val="center"/>
          </w:tcPr>
          <w:p w14:paraId="62D83338"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1B31E601"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30.5 (25.8, NE)</w:t>
            </w:r>
          </w:p>
        </w:tc>
        <w:tc>
          <w:tcPr>
            <w:tcW w:w="1173" w:type="dxa"/>
            <w:tcBorders>
              <w:top w:val="nil"/>
              <w:bottom w:val="nil"/>
              <w:right w:val="nil"/>
            </w:tcBorders>
            <w:vAlign w:val="center"/>
          </w:tcPr>
          <w:p w14:paraId="64517519"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NE (NE, NE)</w:t>
            </w:r>
          </w:p>
        </w:tc>
        <w:tc>
          <w:tcPr>
            <w:tcW w:w="1173" w:type="dxa"/>
            <w:tcBorders>
              <w:top w:val="nil"/>
              <w:left w:val="nil"/>
              <w:bottom w:val="nil"/>
            </w:tcBorders>
            <w:vAlign w:val="center"/>
          </w:tcPr>
          <w:p w14:paraId="24063DE3" w14:textId="77777777" w:rsidR="00814F74" w:rsidRPr="00BF06FC" w:rsidRDefault="00814F74" w:rsidP="003F72E0">
            <w:pPr>
              <w:keepNext/>
              <w:jc w:val="center"/>
              <w:rPr>
                <w:rFonts w:ascii="Arial Narrow" w:hAnsi="Arial Narrow"/>
                <w:sz w:val="20"/>
                <w:szCs w:val="20"/>
              </w:rPr>
            </w:pPr>
            <w:r w:rsidRPr="00BF06FC">
              <w:rPr>
                <w:rFonts w:ascii="Arial Narrow" w:hAnsi="Arial Narrow"/>
                <w:sz w:val="20"/>
                <w:szCs w:val="20"/>
              </w:rPr>
              <w:t>14.9 (NE, NE)</w:t>
            </w:r>
          </w:p>
        </w:tc>
      </w:tr>
      <w:tr w:rsidR="00814F74" w:rsidRPr="00BF06FC" w14:paraId="74027A4D" w14:textId="77777777" w:rsidTr="00DF5EF9">
        <w:tc>
          <w:tcPr>
            <w:tcW w:w="1980" w:type="dxa"/>
            <w:tcBorders>
              <w:top w:val="nil"/>
            </w:tcBorders>
          </w:tcPr>
          <w:p w14:paraId="56DCAEB0" w14:textId="77777777" w:rsidR="00814F74" w:rsidRPr="00BF06FC" w:rsidRDefault="00814F74" w:rsidP="003F72E0">
            <w:pPr>
              <w:keepNext/>
              <w:ind w:left="112"/>
              <w:rPr>
                <w:rFonts w:ascii="Arial Narrow" w:hAnsi="Arial Narrow"/>
                <w:sz w:val="20"/>
                <w:szCs w:val="20"/>
              </w:rPr>
            </w:pPr>
            <w:r w:rsidRPr="00BF06FC">
              <w:rPr>
                <w:rFonts w:ascii="Arial Narrow" w:hAnsi="Arial Narrow"/>
                <w:sz w:val="20"/>
                <w:szCs w:val="20"/>
              </w:rPr>
              <w:t>HR (95%CI)</w:t>
            </w:r>
          </w:p>
        </w:tc>
        <w:tc>
          <w:tcPr>
            <w:tcW w:w="2345" w:type="dxa"/>
            <w:gridSpan w:val="2"/>
            <w:tcBorders>
              <w:top w:val="nil"/>
            </w:tcBorders>
            <w:vAlign w:val="center"/>
          </w:tcPr>
          <w:p w14:paraId="6B267E89" w14:textId="77777777" w:rsidR="00814F74" w:rsidRPr="00BF06FC" w:rsidRDefault="00814F74" w:rsidP="003F72E0">
            <w:pPr>
              <w:keepNext/>
              <w:jc w:val="center"/>
              <w:rPr>
                <w:rFonts w:ascii="Arial Narrow" w:hAnsi="Arial Narrow"/>
                <w:sz w:val="20"/>
                <w:szCs w:val="20"/>
              </w:rPr>
            </w:pPr>
            <w:r w:rsidRPr="00BF06FC">
              <w:rPr>
                <w:rFonts w:ascii="Arial Narrow" w:hAnsi="Arial Narrow"/>
                <w:b/>
                <w:sz w:val="20"/>
                <w:szCs w:val="20"/>
              </w:rPr>
              <w:t xml:space="preserve">0.484 (0.391, </w:t>
            </w:r>
            <w:proofErr w:type="gramStart"/>
            <w:r w:rsidRPr="00BF06FC">
              <w:rPr>
                <w:rFonts w:ascii="Arial Narrow" w:hAnsi="Arial Narrow"/>
                <w:b/>
                <w:sz w:val="20"/>
                <w:szCs w:val="20"/>
              </w:rPr>
              <w:t>0.600)</w:t>
            </w:r>
            <w:r w:rsidRPr="00BF06FC">
              <w:rPr>
                <w:rFonts w:ascii="Arial Narrow" w:hAnsi="Arial Narrow"/>
                <w:b/>
                <w:sz w:val="20"/>
                <w:szCs w:val="20"/>
                <w:vertAlign w:val="superscript"/>
              </w:rPr>
              <w:t>b</w:t>
            </w:r>
            <w:proofErr w:type="gramEnd"/>
          </w:p>
        </w:tc>
        <w:tc>
          <w:tcPr>
            <w:tcW w:w="2346" w:type="dxa"/>
            <w:gridSpan w:val="2"/>
            <w:tcBorders>
              <w:top w:val="nil"/>
            </w:tcBorders>
            <w:vAlign w:val="center"/>
          </w:tcPr>
          <w:p w14:paraId="3ED13D7D"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0.358 (0.224, </w:t>
            </w:r>
            <w:proofErr w:type="gramStart"/>
            <w:r w:rsidRPr="00BF06FC">
              <w:rPr>
                <w:rFonts w:ascii="Arial Narrow" w:hAnsi="Arial Narrow"/>
                <w:b/>
                <w:sz w:val="20"/>
                <w:szCs w:val="20"/>
              </w:rPr>
              <w:t>0.573)</w:t>
            </w:r>
            <w:r w:rsidRPr="00BF06FC">
              <w:rPr>
                <w:rFonts w:ascii="Arial Narrow" w:hAnsi="Arial Narrow"/>
                <w:b/>
                <w:sz w:val="20"/>
                <w:szCs w:val="20"/>
                <w:vertAlign w:val="superscript"/>
              </w:rPr>
              <w:t>c</w:t>
            </w:r>
            <w:proofErr w:type="gramEnd"/>
          </w:p>
        </w:tc>
        <w:tc>
          <w:tcPr>
            <w:tcW w:w="2346" w:type="dxa"/>
            <w:gridSpan w:val="2"/>
            <w:tcBorders>
              <w:top w:val="nil"/>
            </w:tcBorders>
            <w:vAlign w:val="center"/>
          </w:tcPr>
          <w:p w14:paraId="7C30B7A7" w14:textId="77777777" w:rsidR="00814F74" w:rsidRPr="00BF06FC" w:rsidRDefault="00814F74" w:rsidP="003F72E0">
            <w:pPr>
              <w:keepNext/>
              <w:jc w:val="center"/>
              <w:rPr>
                <w:rFonts w:ascii="Arial Narrow" w:hAnsi="Arial Narrow"/>
                <w:b/>
                <w:sz w:val="20"/>
                <w:szCs w:val="20"/>
              </w:rPr>
            </w:pPr>
            <w:r w:rsidRPr="00BF06FC">
              <w:rPr>
                <w:rFonts w:ascii="Arial Narrow" w:hAnsi="Arial Narrow"/>
                <w:b/>
                <w:sz w:val="20"/>
                <w:szCs w:val="20"/>
              </w:rPr>
              <w:t xml:space="preserve">0.515 (0.404, </w:t>
            </w:r>
            <w:proofErr w:type="gramStart"/>
            <w:r w:rsidRPr="00BF06FC">
              <w:rPr>
                <w:rFonts w:ascii="Arial Narrow" w:hAnsi="Arial Narrow"/>
                <w:b/>
                <w:sz w:val="20"/>
                <w:szCs w:val="20"/>
              </w:rPr>
              <w:t>0.657)</w:t>
            </w:r>
            <w:r w:rsidRPr="00BF06FC">
              <w:rPr>
                <w:rFonts w:ascii="Arial Narrow" w:hAnsi="Arial Narrow"/>
                <w:b/>
                <w:sz w:val="20"/>
                <w:szCs w:val="20"/>
                <w:vertAlign w:val="superscript"/>
              </w:rPr>
              <w:t>c</w:t>
            </w:r>
            <w:proofErr w:type="gramEnd"/>
          </w:p>
        </w:tc>
      </w:tr>
    </w:tbl>
    <w:p w14:paraId="1E1AC6E6"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 xml:space="preserve">Abbreviations: ADT=androgen deprivation therapy; APA=apalutamide; CI=confidence intervals; HR=hazard ratio; HV=high volume; LV=low volume; </w:t>
      </w:r>
      <w:proofErr w:type="spellStart"/>
      <w:r w:rsidRPr="00BF06FC">
        <w:rPr>
          <w:rFonts w:ascii="Arial Narrow" w:hAnsi="Arial Narrow"/>
          <w:sz w:val="18"/>
          <w:szCs w:val="18"/>
        </w:rPr>
        <w:t>mHSPC</w:t>
      </w:r>
      <w:proofErr w:type="spellEnd"/>
      <w:r w:rsidRPr="00BF06FC">
        <w:rPr>
          <w:rFonts w:ascii="Arial Narrow" w:hAnsi="Arial Narrow"/>
          <w:sz w:val="18"/>
          <w:szCs w:val="18"/>
        </w:rPr>
        <w:t xml:space="preserve">=metastatic hormone-sensitive prostate cancer; NA=North America; NE=not estimable; OS=overall survival; PBO=placebo; </w:t>
      </w:r>
      <w:proofErr w:type="spellStart"/>
      <w:r w:rsidRPr="00BF06FC">
        <w:rPr>
          <w:rFonts w:ascii="Arial Narrow" w:hAnsi="Arial Narrow"/>
          <w:sz w:val="18"/>
          <w:szCs w:val="18"/>
        </w:rPr>
        <w:t>rPFS</w:t>
      </w:r>
      <w:proofErr w:type="spellEnd"/>
      <w:r w:rsidRPr="00BF06FC">
        <w:rPr>
          <w:rFonts w:ascii="Arial Narrow" w:hAnsi="Arial Narrow"/>
          <w:sz w:val="18"/>
          <w:szCs w:val="18"/>
        </w:rPr>
        <w:t>=radiographic progression-free survival</w:t>
      </w:r>
    </w:p>
    <w:p w14:paraId="044D20D4" w14:textId="77777777" w:rsidR="00814F74" w:rsidRPr="00BF06FC" w:rsidRDefault="00814F74" w:rsidP="00814F74">
      <w:pPr>
        <w:rPr>
          <w:rFonts w:ascii="Arial Narrow" w:hAnsi="Arial Narrow"/>
          <w:sz w:val="18"/>
          <w:szCs w:val="18"/>
        </w:rPr>
      </w:pPr>
      <w:r w:rsidRPr="00BF06FC">
        <w:rPr>
          <w:rFonts w:ascii="Arial Narrow" w:hAnsi="Arial Narrow"/>
          <w:b/>
          <w:sz w:val="18"/>
          <w:szCs w:val="18"/>
        </w:rPr>
        <w:t>Bold</w:t>
      </w:r>
      <w:r w:rsidRPr="00BF06FC">
        <w:rPr>
          <w:rFonts w:ascii="Arial Narrow" w:hAnsi="Arial Narrow"/>
          <w:sz w:val="18"/>
          <w:szCs w:val="18"/>
        </w:rPr>
        <w:t xml:space="preserve"> text indicates statistical significance at p&lt;0.05 level.</w:t>
      </w:r>
    </w:p>
    <w:p w14:paraId="1DF10C21"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w:t>
      </w:r>
      <w:r w:rsidRPr="00BF06FC">
        <w:rPr>
          <w:rFonts w:ascii="Arial Narrow" w:hAnsi="Arial Narrow"/>
          <w:sz w:val="18"/>
          <w:szCs w:val="18"/>
        </w:rPr>
        <w:tab/>
        <w:t>Analysis only conducted for data cut-off on 23 November 2018</w:t>
      </w:r>
    </w:p>
    <w:p w14:paraId="436B20C9"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w:t>
      </w:r>
      <w:r w:rsidRPr="00BF06FC">
        <w:rPr>
          <w:rFonts w:ascii="Arial Narrow" w:hAnsi="Arial Narrow"/>
          <w:sz w:val="18"/>
          <w:szCs w:val="18"/>
        </w:rPr>
        <w:tab/>
        <w:t>39.5% of placebo patients switching to apalutamide after the first interim analysis, approximately 50% with LV disease and 33% with HV disease.</w:t>
      </w:r>
    </w:p>
    <w:p w14:paraId="7FD58DD7"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a</w:t>
      </w:r>
      <w:r w:rsidRPr="00BF06FC">
        <w:rPr>
          <w:rFonts w:ascii="Arial Narrow" w:hAnsi="Arial Narrow"/>
          <w:sz w:val="18"/>
          <w:szCs w:val="18"/>
        </w:rPr>
        <w:tab/>
        <w:t>HR from stratified proportional hazards model. HR &lt;1 favour active treatment.</w:t>
      </w:r>
    </w:p>
    <w:p w14:paraId="3EAF749B" w14:textId="77777777" w:rsidR="00814F74" w:rsidRPr="00BF06FC" w:rsidRDefault="00814F74" w:rsidP="00814F74">
      <w:pPr>
        <w:tabs>
          <w:tab w:val="left" w:pos="142"/>
        </w:tabs>
        <w:ind w:left="140" w:hanging="140"/>
        <w:rPr>
          <w:rFonts w:ascii="Arial Narrow" w:hAnsi="Arial Narrow"/>
          <w:sz w:val="18"/>
          <w:szCs w:val="18"/>
        </w:rPr>
      </w:pPr>
      <w:r w:rsidRPr="00BF06FC">
        <w:rPr>
          <w:rFonts w:ascii="Arial Narrow" w:hAnsi="Arial Narrow"/>
          <w:sz w:val="18"/>
          <w:szCs w:val="18"/>
        </w:rPr>
        <w:t>b</w:t>
      </w:r>
      <w:r w:rsidRPr="00BF06FC">
        <w:rPr>
          <w:rFonts w:ascii="Arial Narrow" w:hAnsi="Arial Narrow"/>
          <w:sz w:val="18"/>
          <w:szCs w:val="18"/>
        </w:rPr>
        <w:tab/>
        <w:t>p-value from the log-rank test stratified by Gleason score at diagnosis (≤7 vs. &gt;7), Region (NA/EU vs. Other Countries), and Prior docetaxel use (Yes vs. No).</w:t>
      </w:r>
    </w:p>
    <w:p w14:paraId="6C192FC1"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c</w:t>
      </w:r>
      <w:r w:rsidRPr="00BF06FC">
        <w:rPr>
          <w:rFonts w:ascii="Arial Narrow" w:hAnsi="Arial Narrow"/>
          <w:sz w:val="18"/>
          <w:szCs w:val="18"/>
        </w:rPr>
        <w:tab/>
        <w:t>p-value is from the log-rank test (non-stratified)</w:t>
      </w:r>
    </w:p>
    <w:p w14:paraId="1D49E9F7" w14:textId="77777777" w:rsidR="00814F74" w:rsidRPr="00BF06FC" w:rsidRDefault="00814F74" w:rsidP="00814F74">
      <w:pPr>
        <w:spacing w:after="120"/>
        <w:rPr>
          <w:rFonts w:ascii="Arial Narrow" w:hAnsi="Arial Narrow"/>
          <w:sz w:val="18"/>
          <w:szCs w:val="18"/>
        </w:rPr>
      </w:pPr>
      <w:r w:rsidRPr="00BF06FC">
        <w:rPr>
          <w:rFonts w:ascii="Arial Narrow" w:hAnsi="Arial Narrow"/>
          <w:sz w:val="18"/>
          <w:szCs w:val="18"/>
        </w:rPr>
        <w:t>Source: Table 2.19, p85, Table 2.20, p88 and Tables 2.33 to 2.38, pp105-113 of the submission.</w:t>
      </w:r>
    </w:p>
    <w:p w14:paraId="37A15D1B" w14:textId="77777777" w:rsidR="00814F74" w:rsidRPr="00BF06FC" w:rsidRDefault="00814F74" w:rsidP="00B54722">
      <w:pPr>
        <w:keepNext/>
        <w:rPr>
          <w:rFonts w:ascii="Arial Narrow" w:hAnsi="Arial Narrow"/>
          <w:b/>
          <w:sz w:val="20"/>
          <w:szCs w:val="20"/>
        </w:rPr>
      </w:pPr>
      <w:r w:rsidRPr="00BF06FC">
        <w:rPr>
          <w:rFonts w:ascii="Arial Narrow" w:hAnsi="Arial Narrow"/>
          <w:b/>
          <w:sz w:val="20"/>
          <w:szCs w:val="20"/>
        </w:rPr>
        <w:lastRenderedPageBreak/>
        <w:t xml:space="preserve">Figure 1: Kaplan-Meier plots of OS and </w:t>
      </w:r>
      <w:proofErr w:type="spellStart"/>
      <w:r w:rsidRPr="00BF06FC">
        <w:rPr>
          <w:rFonts w:ascii="Arial Narrow" w:hAnsi="Arial Narrow"/>
          <w:b/>
          <w:sz w:val="20"/>
          <w:szCs w:val="20"/>
        </w:rPr>
        <w:t>rPFS</w:t>
      </w:r>
      <w:proofErr w:type="spellEnd"/>
      <w:r w:rsidRPr="00BF06FC">
        <w:rPr>
          <w:rFonts w:ascii="Arial Narrow" w:hAnsi="Arial Narrow"/>
          <w:b/>
          <w:sz w:val="20"/>
          <w:szCs w:val="20"/>
        </w:rPr>
        <w:t xml:space="preserve"> in TITAN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Caption w:val="Figure 1: Kaplan-Meier plots of OS and rPFS in TITAN"/>
      </w:tblPr>
      <w:tblGrid>
        <w:gridCol w:w="4451"/>
        <w:gridCol w:w="4576"/>
      </w:tblGrid>
      <w:tr w:rsidR="00814F74" w:rsidRPr="00BF06FC" w14:paraId="1FA03312" w14:textId="77777777" w:rsidTr="00422AEB">
        <w:trPr>
          <w:tblHeader/>
        </w:trPr>
        <w:tc>
          <w:tcPr>
            <w:tcW w:w="2464" w:type="pct"/>
            <w:vAlign w:val="center"/>
          </w:tcPr>
          <w:p w14:paraId="447DAD60" w14:textId="77777777" w:rsidR="00814F74" w:rsidRPr="00BF06FC" w:rsidRDefault="00814F74" w:rsidP="00B54722">
            <w:pPr>
              <w:keepNext/>
              <w:jc w:val="center"/>
              <w:rPr>
                <w:rFonts w:ascii="Arial Narrow" w:hAnsi="Arial Narrow"/>
                <w:b/>
                <w:sz w:val="20"/>
                <w:szCs w:val="20"/>
              </w:rPr>
            </w:pPr>
            <w:r w:rsidRPr="00BF06FC">
              <w:rPr>
                <w:rFonts w:ascii="Arial Narrow" w:hAnsi="Arial Narrow"/>
                <w:b/>
                <w:sz w:val="20"/>
                <w:szCs w:val="20"/>
              </w:rPr>
              <w:t>[A.1] OS (final analysis), ITT</w:t>
            </w:r>
          </w:p>
        </w:tc>
        <w:tc>
          <w:tcPr>
            <w:tcW w:w="2536" w:type="pct"/>
            <w:vAlign w:val="center"/>
          </w:tcPr>
          <w:p w14:paraId="24710A2D" w14:textId="77777777" w:rsidR="00814F74" w:rsidRPr="00BF06FC" w:rsidRDefault="00814F74" w:rsidP="00B54722">
            <w:pPr>
              <w:keepNext/>
              <w:jc w:val="center"/>
              <w:rPr>
                <w:rFonts w:ascii="Arial Narrow" w:hAnsi="Arial Narrow"/>
                <w:b/>
                <w:sz w:val="20"/>
                <w:szCs w:val="20"/>
              </w:rPr>
            </w:pPr>
            <w:r w:rsidRPr="00BF06FC">
              <w:rPr>
                <w:rFonts w:ascii="Arial Narrow" w:hAnsi="Arial Narrow"/>
                <w:b/>
                <w:sz w:val="20"/>
                <w:szCs w:val="20"/>
              </w:rPr>
              <w:t xml:space="preserve">[A.2] </w:t>
            </w:r>
            <w:proofErr w:type="spellStart"/>
            <w:r w:rsidRPr="00BF06FC">
              <w:rPr>
                <w:rFonts w:ascii="Arial Narrow" w:hAnsi="Arial Narrow"/>
                <w:b/>
                <w:sz w:val="20"/>
                <w:szCs w:val="20"/>
              </w:rPr>
              <w:t>rPFS</w:t>
            </w:r>
            <w:proofErr w:type="spellEnd"/>
            <w:r w:rsidRPr="00BF06FC">
              <w:rPr>
                <w:rFonts w:ascii="Arial Narrow" w:hAnsi="Arial Narrow"/>
                <w:b/>
                <w:sz w:val="20"/>
                <w:szCs w:val="20"/>
              </w:rPr>
              <w:t>, ITT</w:t>
            </w:r>
          </w:p>
        </w:tc>
      </w:tr>
      <w:tr w:rsidR="00814F74" w:rsidRPr="00BF06FC" w14:paraId="1E021B47" w14:textId="77777777" w:rsidTr="00DF5EF9">
        <w:tc>
          <w:tcPr>
            <w:tcW w:w="2464" w:type="pct"/>
          </w:tcPr>
          <w:p w14:paraId="5FD40165" w14:textId="77777777" w:rsidR="00814F74" w:rsidRPr="00BF06FC" w:rsidRDefault="00814F74" w:rsidP="00B54722">
            <w:pPr>
              <w:keepNext/>
              <w:rPr>
                <w:rFonts w:ascii="Arial Narrow" w:hAnsi="Arial Narrow"/>
                <w:b/>
                <w:sz w:val="20"/>
                <w:szCs w:val="20"/>
              </w:rPr>
            </w:pPr>
            <w:r w:rsidRPr="00BF06FC">
              <w:rPr>
                <w:rFonts w:cs="Times New Roman"/>
                <w:noProof/>
              </w:rPr>
              <w:drawing>
                <wp:inline distT="0" distB="0" distL="0" distR="0" wp14:anchorId="2494D884" wp14:editId="7D431897">
                  <wp:extent cx="2788920" cy="2156097"/>
                  <wp:effectExtent l="0" t="0" r="0" b="0"/>
                  <wp:docPr id="16" name="Picture 16" title="Figure 1: Kaplan-Meier plots of OS and rPFS in T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7484" cy="2216835"/>
                          </a:xfrm>
                          <a:prstGeom prst="rect">
                            <a:avLst/>
                          </a:prstGeom>
                        </pic:spPr>
                      </pic:pic>
                    </a:graphicData>
                  </a:graphic>
                </wp:inline>
              </w:drawing>
            </w:r>
          </w:p>
        </w:tc>
        <w:tc>
          <w:tcPr>
            <w:tcW w:w="2536" w:type="pct"/>
          </w:tcPr>
          <w:p w14:paraId="634660F2" w14:textId="77777777" w:rsidR="00814F74" w:rsidRPr="00BF06FC" w:rsidRDefault="00814F74" w:rsidP="00B54722">
            <w:pPr>
              <w:keepNext/>
              <w:rPr>
                <w:rFonts w:ascii="Arial Narrow" w:hAnsi="Arial Narrow"/>
                <w:b/>
                <w:sz w:val="20"/>
                <w:szCs w:val="20"/>
              </w:rPr>
            </w:pPr>
            <w:r w:rsidRPr="00BF06FC">
              <w:rPr>
                <w:rFonts w:ascii="Arial Narrow" w:hAnsi="Arial Narrow"/>
                <w:noProof/>
                <w:snapToGrid w:val="0"/>
                <w:sz w:val="18"/>
                <w:szCs w:val="20"/>
              </w:rPr>
              <w:drawing>
                <wp:inline distT="0" distB="0" distL="0" distR="0" wp14:anchorId="1213547E" wp14:editId="0A9D0E2A">
                  <wp:extent cx="2834640" cy="2156460"/>
                  <wp:effectExtent l="0" t="0" r="3810" b="0"/>
                  <wp:docPr id="17" name="Picture 17" title="Figure 1: Kaplan-Meier plots of OS and rPFS in T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4948" cy="2179517"/>
                          </a:xfrm>
                          <a:prstGeom prst="rect">
                            <a:avLst/>
                          </a:prstGeom>
                        </pic:spPr>
                      </pic:pic>
                    </a:graphicData>
                  </a:graphic>
                </wp:inline>
              </w:drawing>
            </w:r>
          </w:p>
        </w:tc>
      </w:tr>
      <w:tr w:rsidR="00814F74" w:rsidRPr="00BF06FC" w14:paraId="3FFC6843" w14:textId="77777777" w:rsidTr="00DF5EF9">
        <w:tc>
          <w:tcPr>
            <w:tcW w:w="2464" w:type="pct"/>
            <w:vAlign w:val="center"/>
          </w:tcPr>
          <w:p w14:paraId="51DD33D4" w14:textId="77777777" w:rsidR="00814F74" w:rsidRPr="00BF06FC" w:rsidRDefault="00814F74" w:rsidP="00B54722">
            <w:pPr>
              <w:keepNext/>
              <w:jc w:val="center"/>
              <w:rPr>
                <w:rFonts w:cs="Times New Roman"/>
                <w:lang w:eastAsia="zh-CN"/>
              </w:rPr>
            </w:pPr>
            <w:r w:rsidRPr="00BF06FC">
              <w:rPr>
                <w:rFonts w:ascii="Arial Narrow" w:hAnsi="Arial Narrow"/>
                <w:b/>
                <w:sz w:val="20"/>
                <w:szCs w:val="20"/>
              </w:rPr>
              <w:t>[B.1] OS (final analysis), LV</w:t>
            </w:r>
          </w:p>
        </w:tc>
        <w:tc>
          <w:tcPr>
            <w:tcW w:w="2536" w:type="pct"/>
            <w:vAlign w:val="center"/>
          </w:tcPr>
          <w:p w14:paraId="2E1A3F55" w14:textId="77777777" w:rsidR="00814F74" w:rsidRPr="00BF06FC" w:rsidRDefault="00814F74" w:rsidP="00B54722">
            <w:pPr>
              <w:keepNext/>
              <w:jc w:val="center"/>
              <w:rPr>
                <w:rFonts w:ascii="Arial Narrow" w:hAnsi="Arial Narrow"/>
                <w:snapToGrid w:val="0"/>
                <w:sz w:val="18"/>
                <w:szCs w:val="20"/>
                <w:lang w:eastAsia="zh-CN"/>
              </w:rPr>
            </w:pPr>
            <w:r w:rsidRPr="00BF06FC">
              <w:rPr>
                <w:rFonts w:ascii="Arial Narrow" w:hAnsi="Arial Narrow"/>
                <w:b/>
                <w:sz w:val="20"/>
                <w:szCs w:val="20"/>
              </w:rPr>
              <w:t xml:space="preserve">[B.2] </w:t>
            </w:r>
            <w:proofErr w:type="spellStart"/>
            <w:r w:rsidRPr="00BF06FC">
              <w:rPr>
                <w:rFonts w:ascii="Arial Narrow" w:hAnsi="Arial Narrow"/>
                <w:b/>
                <w:sz w:val="20"/>
                <w:szCs w:val="20"/>
              </w:rPr>
              <w:t>rPFS</w:t>
            </w:r>
            <w:proofErr w:type="spellEnd"/>
            <w:r w:rsidRPr="00BF06FC">
              <w:rPr>
                <w:rFonts w:ascii="Arial Narrow" w:hAnsi="Arial Narrow"/>
                <w:b/>
                <w:sz w:val="20"/>
                <w:szCs w:val="20"/>
              </w:rPr>
              <w:t>, LV</w:t>
            </w:r>
          </w:p>
        </w:tc>
      </w:tr>
      <w:tr w:rsidR="00814F74" w:rsidRPr="00BF06FC" w14:paraId="47665CF3" w14:textId="77777777" w:rsidTr="00DF5EF9">
        <w:trPr>
          <w:trHeight w:val="2088"/>
        </w:trPr>
        <w:tc>
          <w:tcPr>
            <w:tcW w:w="2464" w:type="pct"/>
          </w:tcPr>
          <w:p w14:paraId="513897A6" w14:textId="77777777" w:rsidR="00814F74" w:rsidRPr="00BF06FC" w:rsidRDefault="00814F74" w:rsidP="00B54722">
            <w:pPr>
              <w:keepNext/>
              <w:rPr>
                <w:rFonts w:ascii="Arial Narrow" w:hAnsi="Arial Narrow"/>
                <w:b/>
                <w:sz w:val="20"/>
                <w:szCs w:val="20"/>
              </w:rPr>
            </w:pPr>
            <w:r w:rsidRPr="00BF06FC">
              <w:rPr>
                <w:rFonts w:ascii="Arial Narrow" w:hAnsi="Arial Narrow"/>
                <w:b/>
                <w:noProof/>
                <w:sz w:val="20"/>
                <w:szCs w:val="20"/>
              </w:rPr>
              <w:drawing>
                <wp:anchor distT="0" distB="0" distL="114300" distR="114300" simplePos="0" relativeHeight="251663360" behindDoc="0" locked="0" layoutInCell="1" allowOverlap="1" wp14:anchorId="46351110" wp14:editId="7CDC684D">
                  <wp:simplePos x="0" y="0"/>
                  <wp:positionH relativeFrom="column">
                    <wp:posOffset>-17540</wp:posOffset>
                  </wp:positionH>
                  <wp:positionV relativeFrom="paragraph">
                    <wp:posOffset>129</wp:posOffset>
                  </wp:positionV>
                  <wp:extent cx="2751455" cy="1973580"/>
                  <wp:effectExtent l="0" t="0" r="0" b="7620"/>
                  <wp:wrapTopAndBottom/>
                  <wp:docPr id="18" name="Picture 18" title="Figure 1: Kaplan-Meier plots of OS and rPFS in T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1455" cy="19735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536" w:type="pct"/>
          </w:tcPr>
          <w:p w14:paraId="031E95D2" w14:textId="77777777" w:rsidR="00814F74" w:rsidRPr="00BF06FC" w:rsidRDefault="00814F74" w:rsidP="00B54722">
            <w:pPr>
              <w:keepNext/>
              <w:rPr>
                <w:rFonts w:ascii="Arial Narrow" w:hAnsi="Arial Narrow"/>
                <w:b/>
                <w:sz w:val="20"/>
                <w:szCs w:val="20"/>
              </w:rPr>
            </w:pPr>
            <w:r w:rsidRPr="00BF06FC">
              <w:rPr>
                <w:noProof/>
              </w:rPr>
              <w:drawing>
                <wp:inline distT="0" distB="0" distL="0" distR="0" wp14:anchorId="2E9A5BD8" wp14:editId="72C22955">
                  <wp:extent cx="2880360" cy="2133305"/>
                  <wp:effectExtent l="0" t="0" r="0" b="635"/>
                  <wp:docPr id="19" name="Picture 19" title="Figure 1: Kaplan-Meier plots of OS and rPFS in T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8939" cy="2154471"/>
                          </a:xfrm>
                          <a:prstGeom prst="rect">
                            <a:avLst/>
                          </a:prstGeom>
                          <a:noFill/>
                        </pic:spPr>
                      </pic:pic>
                    </a:graphicData>
                  </a:graphic>
                </wp:inline>
              </w:drawing>
            </w:r>
          </w:p>
        </w:tc>
      </w:tr>
      <w:tr w:rsidR="00814F74" w:rsidRPr="00BF06FC" w14:paraId="6887FF85" w14:textId="77777777" w:rsidTr="00DF5EF9">
        <w:trPr>
          <w:trHeight w:val="58"/>
        </w:trPr>
        <w:tc>
          <w:tcPr>
            <w:tcW w:w="2464" w:type="pct"/>
            <w:vAlign w:val="center"/>
          </w:tcPr>
          <w:p w14:paraId="3D08B0F2" w14:textId="77777777" w:rsidR="00814F74" w:rsidRPr="00BF06FC" w:rsidRDefault="00814F74" w:rsidP="00B54722">
            <w:pPr>
              <w:keepNext/>
              <w:jc w:val="center"/>
              <w:rPr>
                <w:rFonts w:ascii="Arial Narrow" w:hAnsi="Arial Narrow"/>
                <w:b/>
                <w:sz w:val="20"/>
                <w:szCs w:val="20"/>
                <w:lang w:eastAsia="zh-CN"/>
              </w:rPr>
            </w:pPr>
            <w:r w:rsidRPr="00BF06FC">
              <w:rPr>
                <w:rFonts w:ascii="Arial Narrow" w:hAnsi="Arial Narrow"/>
                <w:b/>
                <w:sz w:val="20"/>
                <w:szCs w:val="20"/>
              </w:rPr>
              <w:t>[C.1] OS (final analysis), HV</w:t>
            </w:r>
          </w:p>
        </w:tc>
        <w:tc>
          <w:tcPr>
            <w:tcW w:w="2536" w:type="pct"/>
            <w:vAlign w:val="center"/>
          </w:tcPr>
          <w:p w14:paraId="1178F627" w14:textId="77777777" w:rsidR="00814F74" w:rsidRPr="00BF06FC" w:rsidRDefault="00814F74" w:rsidP="00B54722">
            <w:pPr>
              <w:keepNext/>
              <w:jc w:val="center"/>
              <w:rPr>
                <w:lang w:eastAsia="zh-CN"/>
              </w:rPr>
            </w:pPr>
            <w:r w:rsidRPr="00BF06FC">
              <w:rPr>
                <w:rFonts w:ascii="Arial Narrow" w:hAnsi="Arial Narrow"/>
                <w:b/>
                <w:sz w:val="20"/>
                <w:szCs w:val="20"/>
              </w:rPr>
              <w:t xml:space="preserve">[C.2] </w:t>
            </w:r>
            <w:proofErr w:type="spellStart"/>
            <w:r w:rsidRPr="00BF06FC">
              <w:rPr>
                <w:rFonts w:ascii="Arial Narrow" w:hAnsi="Arial Narrow"/>
                <w:b/>
                <w:sz w:val="20"/>
                <w:szCs w:val="20"/>
              </w:rPr>
              <w:t>rPFS</w:t>
            </w:r>
            <w:proofErr w:type="spellEnd"/>
            <w:r w:rsidRPr="00BF06FC">
              <w:rPr>
                <w:rFonts w:ascii="Arial Narrow" w:hAnsi="Arial Narrow"/>
                <w:b/>
                <w:sz w:val="20"/>
                <w:szCs w:val="20"/>
              </w:rPr>
              <w:t>, HV</w:t>
            </w:r>
          </w:p>
        </w:tc>
      </w:tr>
      <w:tr w:rsidR="00814F74" w:rsidRPr="00BF06FC" w14:paraId="21682F08" w14:textId="77777777" w:rsidTr="00DF5EF9">
        <w:tc>
          <w:tcPr>
            <w:tcW w:w="2464" w:type="pct"/>
          </w:tcPr>
          <w:p w14:paraId="44628ADA" w14:textId="77777777" w:rsidR="00814F74" w:rsidRPr="00BF06FC" w:rsidRDefault="00814F74" w:rsidP="00B54722">
            <w:pPr>
              <w:keepNext/>
              <w:rPr>
                <w:rFonts w:ascii="Arial Narrow" w:hAnsi="Arial Narrow"/>
                <w:b/>
                <w:sz w:val="20"/>
                <w:szCs w:val="20"/>
              </w:rPr>
            </w:pPr>
            <w:r w:rsidRPr="00BF06FC">
              <w:rPr>
                <w:rFonts w:ascii="Arial Narrow" w:hAnsi="Arial Narrow"/>
                <w:b/>
                <w:noProof/>
                <w:sz w:val="20"/>
                <w:szCs w:val="20"/>
              </w:rPr>
              <w:drawing>
                <wp:inline distT="0" distB="0" distL="0" distR="0" wp14:anchorId="1DB8A71B" wp14:editId="4FEF68C9">
                  <wp:extent cx="2796540" cy="2133600"/>
                  <wp:effectExtent l="0" t="0" r="3810" b="0"/>
                  <wp:docPr id="20" name="Picture 20" title="Figure 1: Kaplan-Meier plots of OS and rPFS in T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6540" cy="2133600"/>
                          </a:xfrm>
                          <a:prstGeom prst="rect">
                            <a:avLst/>
                          </a:prstGeom>
                          <a:noFill/>
                        </pic:spPr>
                      </pic:pic>
                    </a:graphicData>
                  </a:graphic>
                </wp:inline>
              </w:drawing>
            </w:r>
          </w:p>
        </w:tc>
        <w:tc>
          <w:tcPr>
            <w:tcW w:w="2536" w:type="pct"/>
          </w:tcPr>
          <w:p w14:paraId="13759880" w14:textId="77777777" w:rsidR="00814F74" w:rsidRPr="00BF06FC" w:rsidRDefault="00814F74" w:rsidP="00B54722">
            <w:pPr>
              <w:keepNext/>
              <w:rPr>
                <w:rFonts w:ascii="Arial Narrow" w:hAnsi="Arial Narrow"/>
                <w:b/>
                <w:sz w:val="20"/>
                <w:szCs w:val="20"/>
              </w:rPr>
            </w:pPr>
            <w:r w:rsidRPr="00BF06FC">
              <w:rPr>
                <w:noProof/>
              </w:rPr>
              <w:drawing>
                <wp:inline distT="0" distB="0" distL="0" distR="0" wp14:anchorId="2E93C6C7" wp14:editId="763D9F60">
                  <wp:extent cx="2849880" cy="2171700"/>
                  <wp:effectExtent l="0" t="0" r="7620" b="0"/>
                  <wp:docPr id="34" name="Picture 34" title="Figure 1: Kaplan-Meier plots of OS and rPFS in TI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9880" cy="2171700"/>
                          </a:xfrm>
                          <a:prstGeom prst="rect">
                            <a:avLst/>
                          </a:prstGeom>
                          <a:noFill/>
                        </pic:spPr>
                      </pic:pic>
                    </a:graphicData>
                  </a:graphic>
                </wp:inline>
              </w:drawing>
            </w:r>
          </w:p>
        </w:tc>
      </w:tr>
    </w:tbl>
    <w:p w14:paraId="34E11927"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 xml:space="preserve">Abbreviations: HV=high volume; LV=low volume; </w:t>
      </w:r>
      <w:proofErr w:type="spellStart"/>
      <w:r w:rsidRPr="00BF06FC">
        <w:rPr>
          <w:rFonts w:ascii="Arial Narrow" w:hAnsi="Arial Narrow"/>
          <w:sz w:val="18"/>
          <w:szCs w:val="18"/>
        </w:rPr>
        <w:t>mHSPC</w:t>
      </w:r>
      <w:proofErr w:type="spellEnd"/>
      <w:r w:rsidRPr="00BF06FC">
        <w:rPr>
          <w:rFonts w:ascii="Arial Narrow" w:hAnsi="Arial Narrow"/>
          <w:sz w:val="18"/>
          <w:szCs w:val="18"/>
        </w:rPr>
        <w:t xml:space="preserve">=metastatic hormone sensitive prostate cancer; OS=overall survival; </w:t>
      </w:r>
      <w:proofErr w:type="spellStart"/>
      <w:r w:rsidRPr="00BF06FC">
        <w:rPr>
          <w:rFonts w:ascii="Arial Narrow" w:hAnsi="Arial Narrow"/>
          <w:sz w:val="18"/>
          <w:szCs w:val="18"/>
        </w:rPr>
        <w:t>rPFS</w:t>
      </w:r>
      <w:proofErr w:type="spellEnd"/>
      <w:r w:rsidRPr="00BF06FC">
        <w:rPr>
          <w:rFonts w:ascii="Arial Narrow" w:hAnsi="Arial Narrow"/>
          <w:sz w:val="18"/>
          <w:szCs w:val="18"/>
        </w:rPr>
        <w:t>=radiographic progression free survival</w:t>
      </w:r>
    </w:p>
    <w:p w14:paraId="3A8EBF71" w14:textId="77777777" w:rsidR="00814F74" w:rsidRPr="00BF06FC" w:rsidRDefault="00814F74" w:rsidP="00814F74">
      <w:pPr>
        <w:spacing w:after="120"/>
        <w:rPr>
          <w:rFonts w:ascii="Arial Narrow" w:hAnsi="Arial Narrow"/>
          <w:sz w:val="18"/>
          <w:szCs w:val="18"/>
        </w:rPr>
      </w:pPr>
      <w:r w:rsidRPr="00BF06FC">
        <w:rPr>
          <w:rFonts w:ascii="Arial Narrow" w:hAnsi="Arial Narrow"/>
          <w:sz w:val="18"/>
          <w:szCs w:val="18"/>
        </w:rPr>
        <w:t>Source: Figure 2.4, p86, Figure 2.6, p88 and Figures 2.11 to 2.14, pp105-108 of the submission.</w:t>
      </w:r>
    </w:p>
    <w:p w14:paraId="11531677" w14:textId="77777777" w:rsidR="00814F74" w:rsidRPr="003F72E0" w:rsidRDefault="00814F74" w:rsidP="00814F74">
      <w:pPr>
        <w:pStyle w:val="3-BodyText"/>
        <w:rPr>
          <w:iCs/>
        </w:rPr>
      </w:pPr>
      <w:r w:rsidRPr="003F72E0">
        <w:rPr>
          <w:iCs/>
        </w:rPr>
        <w:t xml:space="preserve">For the ITT population, the results showed that OS and </w:t>
      </w:r>
      <w:proofErr w:type="spellStart"/>
      <w:r w:rsidRPr="003F72E0">
        <w:rPr>
          <w:iCs/>
        </w:rPr>
        <w:t>rPFS</w:t>
      </w:r>
      <w:proofErr w:type="spellEnd"/>
      <w:r w:rsidRPr="003F72E0">
        <w:rPr>
          <w:iCs/>
        </w:rPr>
        <w:t xml:space="preserve"> was significantly longer for patients randomised to apalutamide compared to placebo, with a statistically </w:t>
      </w:r>
      <w:r w:rsidRPr="003F72E0">
        <w:rPr>
          <w:iCs/>
        </w:rPr>
        <w:lastRenderedPageBreak/>
        <w:t xml:space="preserve">significant 35% reduction in the risk of death (HR = 0.65, 95%CI: 0.53, 0.79) and a statistically significant 52% reduction in the risk of radiographic progression or death (HR = 0.48, 95%CI: 0.39, 0.60). The results also showed significantly longer OS and </w:t>
      </w:r>
      <w:proofErr w:type="spellStart"/>
      <w:r w:rsidRPr="003F72E0">
        <w:rPr>
          <w:iCs/>
        </w:rPr>
        <w:t>rPFS</w:t>
      </w:r>
      <w:proofErr w:type="spellEnd"/>
      <w:r w:rsidRPr="003F72E0">
        <w:rPr>
          <w:iCs/>
        </w:rPr>
        <w:t xml:space="preserve"> with apalutamide compared to placebo in patients with both LV and HV disease.</w:t>
      </w:r>
    </w:p>
    <w:p w14:paraId="3B91807D" w14:textId="77777777" w:rsidR="00814F74" w:rsidRPr="00FE58E8" w:rsidRDefault="00814F74" w:rsidP="00814F74">
      <w:pPr>
        <w:pStyle w:val="3-BodyText"/>
        <w:rPr>
          <w:iCs/>
        </w:rPr>
      </w:pPr>
      <w:r w:rsidRPr="00FE58E8">
        <w:rPr>
          <w:iCs/>
        </w:rPr>
        <w:t xml:space="preserve">The estimated </w:t>
      </w:r>
      <w:r w:rsidR="000A1189" w:rsidRPr="00FE58E8">
        <w:rPr>
          <w:iCs/>
        </w:rPr>
        <w:t xml:space="preserve">relative </w:t>
      </w:r>
      <w:r w:rsidRPr="00FE58E8">
        <w:rPr>
          <w:iCs/>
        </w:rPr>
        <w:t>treatment effects were numerically larger in patients with LV disease compared to HV disease</w:t>
      </w:r>
      <w:r w:rsidR="00356C3D" w:rsidRPr="00FE58E8">
        <w:rPr>
          <w:iCs/>
        </w:rPr>
        <w:t xml:space="preserve">. Although the submission stated that </w:t>
      </w:r>
      <w:r w:rsidRPr="00FE58E8">
        <w:rPr>
          <w:iCs/>
        </w:rPr>
        <w:t>there was no evidence that disease volume was a treatment effect modifier</w:t>
      </w:r>
      <w:r w:rsidR="00356C3D" w:rsidRPr="00FE58E8">
        <w:rPr>
          <w:iCs/>
        </w:rPr>
        <w:t xml:space="preserve">, the ESC considered that </w:t>
      </w:r>
      <w:r w:rsidR="00655FC3" w:rsidRPr="00FE58E8">
        <w:rPr>
          <w:iCs/>
        </w:rPr>
        <w:t xml:space="preserve">it was likely that </w:t>
      </w:r>
      <w:r w:rsidR="00356C3D" w:rsidRPr="00FE58E8">
        <w:rPr>
          <w:iCs/>
        </w:rPr>
        <w:t xml:space="preserve">a proportion of HV patients had received prior docetaxel, which </w:t>
      </w:r>
      <w:r w:rsidR="00655FC3" w:rsidRPr="00FE58E8">
        <w:rPr>
          <w:iCs/>
        </w:rPr>
        <w:t>may have</w:t>
      </w:r>
      <w:r w:rsidR="00356C3D" w:rsidRPr="00FE58E8">
        <w:rPr>
          <w:iCs/>
        </w:rPr>
        <w:t xml:space="preserve"> reduced or negated the benefit of apalutamide</w:t>
      </w:r>
      <w:r w:rsidR="00356C3D" w:rsidRPr="00FE58E8">
        <w:rPr>
          <w:rStyle w:val="FootnoteReference"/>
          <w:iCs/>
        </w:rPr>
        <w:footnoteReference w:id="12"/>
      </w:r>
      <w:r w:rsidRPr="00FE58E8">
        <w:rPr>
          <w:iCs/>
        </w:rPr>
        <w:t xml:space="preserve">. Results from a Cox proportional hazards model, which included an interaction for disease volume, found the treatment effect for OS was not significantly different for patients with LV or HV disease. (p=0.94). The submission noted no further trial data would become available; at the final follow up, the trial data did not reach median OS or </w:t>
      </w:r>
      <w:proofErr w:type="spellStart"/>
      <w:r w:rsidRPr="00FE58E8">
        <w:rPr>
          <w:iCs/>
        </w:rPr>
        <w:t>rPFS</w:t>
      </w:r>
      <w:proofErr w:type="spellEnd"/>
      <w:r w:rsidRPr="00FE58E8">
        <w:rPr>
          <w:iCs/>
        </w:rPr>
        <w:t xml:space="preserve"> in the apalutamide arm.</w:t>
      </w:r>
    </w:p>
    <w:p w14:paraId="57FB0A29" w14:textId="77777777" w:rsidR="00A71B71" w:rsidRDefault="00814F74" w:rsidP="00893FFB">
      <w:pPr>
        <w:pStyle w:val="3-BodyText"/>
      </w:pPr>
      <w:r w:rsidRPr="003F72E0">
        <w:t>Overall, results across most secondary and exploratory outcomes either numerically or statistically favoured apalutamide compared to placebo, and the estimated treatment effects were numerically larger for patients with LV compared to HV disease. There was also no clinically meaningful difference in EQ-5D-5L utility scores between treatment arms on treatment, and there was a similar decline in utility scores between treatment arms after treatment discontinuation (</w:t>
      </w:r>
      <w:proofErr w:type="gramStart"/>
      <w:r w:rsidRPr="003F72E0">
        <w:t>i.e.</w:t>
      </w:r>
      <w:proofErr w:type="gramEnd"/>
      <w:r w:rsidRPr="003F72E0">
        <w:t xml:space="preserve"> disease progression). </w:t>
      </w:r>
      <w:r w:rsidR="00893FFB">
        <w:t xml:space="preserve">The PBAC noted that the </w:t>
      </w:r>
      <w:r w:rsidR="00893FFB" w:rsidRPr="00893FFB">
        <w:t>time to cytotoxic chemotherapy was significantly longer with apalutamide than with placebo (</w:t>
      </w:r>
      <w:r w:rsidR="00893FFB">
        <w:t xml:space="preserve">HR = </w:t>
      </w:r>
      <w:r w:rsidR="00893FFB" w:rsidRPr="00893FFB">
        <w:rPr>
          <w:iCs/>
        </w:rPr>
        <w:t>0.39</w:t>
      </w:r>
      <w:r w:rsidR="00893FFB">
        <w:rPr>
          <w:iCs/>
        </w:rPr>
        <w:t>, 95%CI:</w:t>
      </w:r>
      <w:r w:rsidR="00893FFB" w:rsidRPr="00893FFB">
        <w:rPr>
          <w:iCs/>
        </w:rPr>
        <w:t xml:space="preserve"> 0.27</w:t>
      </w:r>
      <w:r w:rsidR="00893FFB">
        <w:rPr>
          <w:iCs/>
        </w:rPr>
        <w:t xml:space="preserve">, </w:t>
      </w:r>
      <w:r w:rsidR="00893FFB" w:rsidRPr="00893FFB">
        <w:rPr>
          <w:iCs/>
        </w:rPr>
        <w:t xml:space="preserve">0.56), but not time to pain progression or time to chronic opioid use (Chi </w:t>
      </w:r>
      <w:r w:rsidR="00A4453D">
        <w:rPr>
          <w:iCs/>
        </w:rPr>
        <w:t xml:space="preserve">et al. </w:t>
      </w:r>
      <w:r w:rsidR="00893FFB" w:rsidRPr="00893FFB">
        <w:rPr>
          <w:iCs/>
        </w:rPr>
        <w:t>2019</w:t>
      </w:r>
      <w:r w:rsidR="00A4453D">
        <w:rPr>
          <w:rStyle w:val="FootnoteReference"/>
          <w:iCs/>
        </w:rPr>
        <w:footnoteReference w:id="13"/>
      </w:r>
      <w:r w:rsidR="00893FFB">
        <w:rPr>
          <w:iCs/>
        </w:rPr>
        <w:t>, p7 and p9).</w:t>
      </w:r>
    </w:p>
    <w:p w14:paraId="54C19D10" w14:textId="77777777" w:rsidR="00A71B71" w:rsidRPr="00A71B71" w:rsidRDefault="00A71B71" w:rsidP="00814F74">
      <w:pPr>
        <w:pStyle w:val="3-BodyText"/>
        <w:rPr>
          <w:iCs/>
        </w:rPr>
      </w:pPr>
      <w:r w:rsidRPr="00A71B71">
        <w:rPr>
          <w:iCs/>
        </w:rPr>
        <w:t xml:space="preserve">The submission </w:t>
      </w:r>
      <w:r w:rsidR="00814F74" w:rsidRPr="00A71B71">
        <w:rPr>
          <w:iCs/>
        </w:rPr>
        <w:t>present</w:t>
      </w:r>
      <w:r w:rsidRPr="00A71B71">
        <w:rPr>
          <w:iCs/>
        </w:rPr>
        <w:t>ed</w:t>
      </w:r>
      <w:r w:rsidR="00814F74" w:rsidRPr="00A71B71">
        <w:rPr>
          <w:iCs/>
        </w:rPr>
        <w:t xml:space="preserve"> a comparison of the results for OS with and without adjustment for treatment switching</w:t>
      </w:r>
      <w:r w:rsidRPr="00A71B71">
        <w:rPr>
          <w:iCs/>
        </w:rPr>
        <w:t xml:space="preserve"> in the placebo arm</w:t>
      </w:r>
      <w:r w:rsidR="00814F74" w:rsidRPr="00A71B71">
        <w:rPr>
          <w:iCs/>
        </w:rPr>
        <w:t xml:space="preserve">. </w:t>
      </w:r>
      <w:r w:rsidR="00AE2777" w:rsidRPr="00A71B71">
        <w:rPr>
          <w:iCs/>
        </w:rPr>
        <w:t xml:space="preserve">These were considered as supportive evidence, given </w:t>
      </w:r>
      <w:r w:rsidR="009C1497" w:rsidRPr="00A71B71">
        <w:rPr>
          <w:iCs/>
        </w:rPr>
        <w:t>the</w:t>
      </w:r>
      <w:r w:rsidR="00AE2777" w:rsidRPr="00A71B71">
        <w:rPr>
          <w:iCs/>
        </w:rPr>
        <w:t xml:space="preserve"> unadjusted results were applied in the model base cas</w:t>
      </w:r>
      <w:r w:rsidR="00780B7A" w:rsidRPr="00A71B71">
        <w:rPr>
          <w:iCs/>
        </w:rPr>
        <w:t>e</w:t>
      </w:r>
      <w:r w:rsidR="00AE2777" w:rsidRPr="00A71B71">
        <w:rPr>
          <w:iCs/>
        </w:rPr>
        <w:t xml:space="preserve">. </w:t>
      </w:r>
      <w:bookmarkStart w:id="25" w:name="_Toc22897642"/>
      <w:bookmarkStart w:id="26" w:name="_Toc22898854"/>
      <w:bookmarkStart w:id="27" w:name="_Toc82609549"/>
    </w:p>
    <w:p w14:paraId="22B3444F" w14:textId="77777777" w:rsidR="00814F74" w:rsidRPr="00BF06FC" w:rsidRDefault="00814F74" w:rsidP="00814F74">
      <w:pPr>
        <w:pStyle w:val="4-SubsectionHeading"/>
      </w:pPr>
      <w:r w:rsidRPr="00BF06FC">
        <w:t>Comparative harms</w:t>
      </w:r>
      <w:bookmarkEnd w:id="25"/>
      <w:bookmarkEnd w:id="26"/>
      <w:bookmarkEnd w:id="27"/>
    </w:p>
    <w:p w14:paraId="525047D7" w14:textId="77777777" w:rsidR="00814F74" w:rsidRPr="00BF06FC" w:rsidRDefault="00E2330A" w:rsidP="00814F74">
      <w:pPr>
        <w:pStyle w:val="3-BodyText"/>
      </w:pPr>
      <w:r>
        <w:t>Table 5</w:t>
      </w:r>
      <w:r w:rsidR="00814F74" w:rsidRPr="00BF06FC">
        <w:t xml:space="preserve"> summarises the treatment emergent AEs and AEs of special interest in TITAN, as well as AEs included in the modelled economic evaluation. The submission also presented exposure-adjusted rates of AEs given median exposure to apalutamide (39 months) was twice </w:t>
      </w:r>
      <w:proofErr w:type="gramStart"/>
      <w:r w:rsidR="00814F74" w:rsidRPr="00BF06FC">
        <w:t>as long as</w:t>
      </w:r>
      <w:proofErr w:type="gramEnd"/>
      <w:r w:rsidR="00814F74" w:rsidRPr="00BF06FC">
        <w:t xml:space="preserve"> placebo (20 months) and the placebo-apalutamide crossover arm (15 months).</w:t>
      </w:r>
    </w:p>
    <w:p w14:paraId="6CE0E556" w14:textId="77777777" w:rsidR="00814F74" w:rsidRPr="00BF06FC" w:rsidRDefault="00E2330A" w:rsidP="00E56763">
      <w:pPr>
        <w:keepNext/>
        <w:rPr>
          <w:rFonts w:ascii="Arial Narrow" w:hAnsi="Arial Narrow"/>
          <w:b/>
          <w:sz w:val="20"/>
          <w:szCs w:val="20"/>
        </w:rPr>
      </w:pPr>
      <w:r>
        <w:rPr>
          <w:rFonts w:ascii="Arial Narrow" w:hAnsi="Arial Narrow"/>
          <w:b/>
          <w:sz w:val="20"/>
          <w:szCs w:val="20"/>
        </w:rPr>
        <w:lastRenderedPageBreak/>
        <w:t>Table 5</w:t>
      </w:r>
      <w:r w:rsidR="00814F74" w:rsidRPr="00BF06FC">
        <w:rPr>
          <w:rFonts w:ascii="Arial Narrow" w:hAnsi="Arial Narrow"/>
          <w:b/>
          <w:sz w:val="20"/>
          <w:szCs w:val="20"/>
        </w:rPr>
        <w:t>: Summary of the AEs in TITAN</w:t>
      </w:r>
    </w:p>
    <w:tbl>
      <w:tblPr>
        <w:tblStyle w:val="TableGrid"/>
        <w:tblW w:w="0" w:type="auto"/>
        <w:tblCellMar>
          <w:left w:w="28" w:type="dxa"/>
          <w:right w:w="28" w:type="dxa"/>
        </w:tblCellMar>
        <w:tblLook w:val="04A0" w:firstRow="1" w:lastRow="0" w:firstColumn="1" w:lastColumn="0" w:noHBand="0" w:noVBand="1"/>
        <w:tblCaption w:val="Table 5: Summary of the AEs in TITAN"/>
      </w:tblPr>
      <w:tblGrid>
        <w:gridCol w:w="2689"/>
        <w:gridCol w:w="850"/>
        <w:gridCol w:w="95"/>
        <w:gridCol w:w="897"/>
        <w:gridCol w:w="48"/>
        <w:gridCol w:w="945"/>
        <w:gridCol w:w="1417"/>
        <w:gridCol w:w="1038"/>
        <w:gridCol w:w="1038"/>
      </w:tblGrid>
      <w:tr w:rsidR="00814F74" w:rsidRPr="00BF06FC" w14:paraId="06F91B61" w14:textId="77777777" w:rsidTr="00422AEB">
        <w:trPr>
          <w:tblHeader/>
        </w:trPr>
        <w:tc>
          <w:tcPr>
            <w:tcW w:w="2689" w:type="dxa"/>
            <w:vMerge w:val="restart"/>
            <w:vAlign w:val="center"/>
          </w:tcPr>
          <w:p w14:paraId="0ACAF31B" w14:textId="77777777" w:rsidR="00814F74" w:rsidRPr="00BF06FC" w:rsidRDefault="00814F74" w:rsidP="00E56763">
            <w:pPr>
              <w:keepNext/>
              <w:jc w:val="left"/>
              <w:rPr>
                <w:rFonts w:ascii="Arial Narrow" w:hAnsi="Arial Narrow"/>
                <w:b/>
                <w:sz w:val="20"/>
                <w:szCs w:val="20"/>
              </w:rPr>
            </w:pPr>
            <w:r w:rsidRPr="00BF06FC">
              <w:rPr>
                <w:rFonts w:ascii="Arial Narrow" w:hAnsi="Arial Narrow"/>
                <w:b/>
                <w:sz w:val="20"/>
                <w:szCs w:val="20"/>
              </w:rPr>
              <w:t>AEs</w:t>
            </w:r>
          </w:p>
        </w:tc>
        <w:tc>
          <w:tcPr>
            <w:tcW w:w="4252" w:type="dxa"/>
            <w:gridSpan w:val="6"/>
            <w:vAlign w:val="center"/>
          </w:tcPr>
          <w:p w14:paraId="26DD04CA"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ITT</w:t>
            </w:r>
          </w:p>
        </w:tc>
        <w:tc>
          <w:tcPr>
            <w:tcW w:w="2076" w:type="dxa"/>
            <w:gridSpan w:val="2"/>
            <w:vAlign w:val="center"/>
          </w:tcPr>
          <w:p w14:paraId="080D72C8"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 xml:space="preserve">LV </w:t>
            </w:r>
            <w:proofErr w:type="spellStart"/>
            <w:r w:rsidRPr="00BF06FC">
              <w:rPr>
                <w:rFonts w:ascii="Arial Narrow" w:hAnsi="Arial Narrow"/>
                <w:b/>
                <w:sz w:val="20"/>
                <w:szCs w:val="20"/>
              </w:rPr>
              <w:t>mHSPC</w:t>
            </w:r>
            <w:proofErr w:type="spellEnd"/>
          </w:p>
        </w:tc>
      </w:tr>
      <w:tr w:rsidR="00814F74" w:rsidRPr="00BF06FC" w14:paraId="79F1D241" w14:textId="77777777" w:rsidTr="00422AEB">
        <w:trPr>
          <w:tblHeader/>
        </w:trPr>
        <w:tc>
          <w:tcPr>
            <w:tcW w:w="2689" w:type="dxa"/>
            <w:vMerge/>
            <w:tcBorders>
              <w:bottom w:val="single" w:sz="4" w:space="0" w:color="auto"/>
            </w:tcBorders>
            <w:vAlign w:val="center"/>
          </w:tcPr>
          <w:p w14:paraId="1D9C1EF9" w14:textId="77777777" w:rsidR="00814F74" w:rsidRPr="00BF06FC" w:rsidRDefault="00814F74" w:rsidP="00E56763">
            <w:pPr>
              <w:keepNext/>
              <w:jc w:val="left"/>
              <w:rPr>
                <w:rFonts w:ascii="Arial Narrow" w:hAnsi="Arial Narrow"/>
                <w:b/>
                <w:sz w:val="20"/>
                <w:szCs w:val="20"/>
              </w:rPr>
            </w:pPr>
          </w:p>
        </w:tc>
        <w:tc>
          <w:tcPr>
            <w:tcW w:w="945" w:type="dxa"/>
            <w:gridSpan w:val="2"/>
            <w:tcBorders>
              <w:bottom w:val="single" w:sz="4" w:space="0" w:color="auto"/>
              <w:right w:val="nil"/>
            </w:tcBorders>
            <w:vAlign w:val="center"/>
          </w:tcPr>
          <w:p w14:paraId="095CFBEB"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APA</w:t>
            </w:r>
          </w:p>
          <w:p w14:paraId="4F392875"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N=524</w:t>
            </w:r>
          </w:p>
        </w:tc>
        <w:tc>
          <w:tcPr>
            <w:tcW w:w="945" w:type="dxa"/>
            <w:gridSpan w:val="2"/>
            <w:tcBorders>
              <w:left w:val="nil"/>
              <w:bottom w:val="single" w:sz="4" w:space="0" w:color="auto"/>
              <w:right w:val="nil"/>
            </w:tcBorders>
            <w:vAlign w:val="center"/>
          </w:tcPr>
          <w:p w14:paraId="5ED1F249"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PBO</w:t>
            </w:r>
          </w:p>
          <w:p w14:paraId="3748B5EF"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N=527</w:t>
            </w:r>
          </w:p>
        </w:tc>
        <w:tc>
          <w:tcPr>
            <w:tcW w:w="945" w:type="dxa"/>
            <w:tcBorders>
              <w:left w:val="nil"/>
              <w:bottom w:val="single" w:sz="4" w:space="0" w:color="auto"/>
              <w:right w:val="nil"/>
            </w:tcBorders>
            <w:vAlign w:val="center"/>
          </w:tcPr>
          <w:p w14:paraId="7B785C60"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PBO-APA</w:t>
            </w:r>
          </w:p>
          <w:p w14:paraId="537CC4D0"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N=208</w:t>
            </w:r>
          </w:p>
        </w:tc>
        <w:tc>
          <w:tcPr>
            <w:tcW w:w="1417" w:type="dxa"/>
            <w:tcBorders>
              <w:left w:val="nil"/>
              <w:bottom w:val="single" w:sz="4" w:space="0" w:color="auto"/>
            </w:tcBorders>
            <w:vAlign w:val="center"/>
          </w:tcPr>
          <w:p w14:paraId="749735CD" w14:textId="77777777" w:rsidR="00814F74" w:rsidRPr="00BF06FC" w:rsidRDefault="00814F74" w:rsidP="00E56763">
            <w:pPr>
              <w:keepNext/>
              <w:jc w:val="center"/>
              <w:rPr>
                <w:rFonts w:ascii="Arial Narrow" w:hAnsi="Arial Narrow"/>
                <w:b/>
                <w:bCs/>
                <w:sz w:val="20"/>
                <w:szCs w:val="20"/>
              </w:rPr>
            </w:pPr>
            <w:r w:rsidRPr="00BF06FC">
              <w:rPr>
                <w:rFonts w:ascii="Arial Narrow" w:hAnsi="Arial Narrow"/>
                <w:b/>
                <w:bCs/>
                <w:sz w:val="20"/>
                <w:szCs w:val="20"/>
              </w:rPr>
              <w:t>RD (95%</w:t>
            </w:r>
            <w:proofErr w:type="gramStart"/>
            <w:r w:rsidRPr="00BF06FC">
              <w:rPr>
                <w:rFonts w:ascii="Arial Narrow" w:hAnsi="Arial Narrow"/>
                <w:b/>
                <w:bCs/>
                <w:sz w:val="20"/>
                <w:szCs w:val="20"/>
              </w:rPr>
              <w:t>CI)</w:t>
            </w:r>
            <w:r w:rsidRPr="00BF06FC">
              <w:rPr>
                <w:rFonts w:ascii="Arial Narrow" w:hAnsi="Arial Narrow"/>
                <w:b/>
                <w:bCs/>
                <w:sz w:val="20"/>
                <w:szCs w:val="20"/>
                <w:vertAlign w:val="superscript"/>
              </w:rPr>
              <w:t>b</w:t>
            </w:r>
            <w:proofErr w:type="gramEnd"/>
          </w:p>
        </w:tc>
        <w:tc>
          <w:tcPr>
            <w:tcW w:w="1038" w:type="dxa"/>
            <w:tcBorders>
              <w:bottom w:val="single" w:sz="4" w:space="0" w:color="auto"/>
              <w:right w:val="nil"/>
            </w:tcBorders>
            <w:vAlign w:val="center"/>
          </w:tcPr>
          <w:p w14:paraId="67F7FC4C"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APA</w:t>
            </w:r>
          </w:p>
          <w:p w14:paraId="2F96CF25"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N=199</w:t>
            </w:r>
          </w:p>
        </w:tc>
        <w:tc>
          <w:tcPr>
            <w:tcW w:w="1038" w:type="dxa"/>
            <w:tcBorders>
              <w:left w:val="nil"/>
              <w:bottom w:val="single" w:sz="4" w:space="0" w:color="auto"/>
            </w:tcBorders>
            <w:vAlign w:val="center"/>
          </w:tcPr>
          <w:p w14:paraId="4795889F"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PBO</w:t>
            </w:r>
          </w:p>
          <w:p w14:paraId="4EA70EDB" w14:textId="77777777" w:rsidR="00814F74" w:rsidRPr="00BF06FC" w:rsidRDefault="00814F74" w:rsidP="00E56763">
            <w:pPr>
              <w:keepNext/>
              <w:jc w:val="center"/>
              <w:rPr>
                <w:rFonts w:ascii="Arial Narrow" w:hAnsi="Arial Narrow"/>
                <w:b/>
                <w:sz w:val="20"/>
                <w:szCs w:val="20"/>
              </w:rPr>
            </w:pPr>
            <w:r w:rsidRPr="00BF06FC">
              <w:rPr>
                <w:rFonts w:ascii="Arial Narrow" w:hAnsi="Arial Narrow"/>
                <w:b/>
                <w:sz w:val="20"/>
                <w:szCs w:val="20"/>
              </w:rPr>
              <w:t>N=192</w:t>
            </w:r>
          </w:p>
        </w:tc>
      </w:tr>
      <w:tr w:rsidR="00814F74" w:rsidRPr="00BF06FC" w14:paraId="15742E64" w14:textId="77777777" w:rsidTr="00DF5EF9">
        <w:tc>
          <w:tcPr>
            <w:tcW w:w="2689" w:type="dxa"/>
            <w:tcBorders>
              <w:bottom w:val="nil"/>
              <w:right w:val="single" w:sz="4" w:space="0" w:color="auto"/>
            </w:tcBorders>
            <w:vAlign w:val="center"/>
          </w:tcPr>
          <w:p w14:paraId="4D1BFAA1"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 xml:space="preserve">Any </w:t>
            </w:r>
            <w:proofErr w:type="spellStart"/>
            <w:r w:rsidRPr="003F72E0">
              <w:rPr>
                <w:rFonts w:ascii="Arial Narrow" w:hAnsi="Arial Narrow"/>
                <w:sz w:val="20"/>
                <w:szCs w:val="20"/>
              </w:rPr>
              <w:t>TEAE</w:t>
            </w:r>
            <w:r w:rsidRPr="003F72E0">
              <w:rPr>
                <w:rFonts w:ascii="Arial Narrow" w:hAnsi="Arial Narrow"/>
                <w:sz w:val="20"/>
                <w:szCs w:val="20"/>
                <w:vertAlign w:val="superscript"/>
              </w:rPr>
              <w:t>a</w:t>
            </w:r>
            <w:proofErr w:type="spellEnd"/>
          </w:p>
        </w:tc>
        <w:tc>
          <w:tcPr>
            <w:tcW w:w="945" w:type="dxa"/>
            <w:gridSpan w:val="2"/>
            <w:tcBorders>
              <w:left w:val="single" w:sz="4" w:space="0" w:color="auto"/>
              <w:bottom w:val="nil"/>
              <w:right w:val="nil"/>
            </w:tcBorders>
            <w:vAlign w:val="center"/>
          </w:tcPr>
          <w:p w14:paraId="456AC56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510 (97.3)</w:t>
            </w:r>
          </w:p>
        </w:tc>
        <w:tc>
          <w:tcPr>
            <w:tcW w:w="945" w:type="dxa"/>
            <w:gridSpan w:val="2"/>
            <w:tcBorders>
              <w:left w:val="nil"/>
              <w:bottom w:val="nil"/>
              <w:right w:val="nil"/>
            </w:tcBorders>
            <w:vAlign w:val="center"/>
          </w:tcPr>
          <w:p w14:paraId="2C25101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510 (96.8)</w:t>
            </w:r>
          </w:p>
        </w:tc>
        <w:tc>
          <w:tcPr>
            <w:tcW w:w="945" w:type="dxa"/>
            <w:tcBorders>
              <w:left w:val="nil"/>
              <w:bottom w:val="nil"/>
              <w:right w:val="nil"/>
            </w:tcBorders>
            <w:vAlign w:val="center"/>
          </w:tcPr>
          <w:p w14:paraId="24E6F0E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174 (83.7)</w:t>
            </w:r>
          </w:p>
        </w:tc>
        <w:tc>
          <w:tcPr>
            <w:tcW w:w="1417" w:type="dxa"/>
            <w:tcBorders>
              <w:left w:val="nil"/>
              <w:bottom w:val="nil"/>
            </w:tcBorders>
          </w:tcPr>
          <w:p w14:paraId="4AB4069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 (-2%,3%)</w:t>
            </w:r>
          </w:p>
        </w:tc>
        <w:tc>
          <w:tcPr>
            <w:tcW w:w="1038" w:type="dxa"/>
            <w:tcBorders>
              <w:bottom w:val="nil"/>
              <w:right w:val="nil"/>
            </w:tcBorders>
            <w:vAlign w:val="center"/>
          </w:tcPr>
          <w:p w14:paraId="776D855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197 (99.0)</w:t>
            </w:r>
          </w:p>
        </w:tc>
        <w:tc>
          <w:tcPr>
            <w:tcW w:w="1038" w:type="dxa"/>
            <w:tcBorders>
              <w:left w:val="nil"/>
              <w:bottom w:val="nil"/>
            </w:tcBorders>
            <w:vAlign w:val="center"/>
          </w:tcPr>
          <w:p w14:paraId="3FA0C36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185 (96.4)</w:t>
            </w:r>
          </w:p>
        </w:tc>
      </w:tr>
      <w:tr w:rsidR="00814F74" w:rsidRPr="00BF06FC" w14:paraId="360050CB" w14:textId="77777777" w:rsidTr="00DF5EF9">
        <w:tc>
          <w:tcPr>
            <w:tcW w:w="2689" w:type="dxa"/>
            <w:tcBorders>
              <w:top w:val="nil"/>
              <w:bottom w:val="nil"/>
            </w:tcBorders>
            <w:vAlign w:val="center"/>
          </w:tcPr>
          <w:p w14:paraId="2524771D"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TEAE (Grade 3-4)</w:t>
            </w:r>
          </w:p>
        </w:tc>
        <w:tc>
          <w:tcPr>
            <w:tcW w:w="945" w:type="dxa"/>
            <w:gridSpan w:val="2"/>
            <w:tcBorders>
              <w:top w:val="nil"/>
              <w:bottom w:val="nil"/>
              <w:right w:val="nil"/>
            </w:tcBorders>
            <w:vAlign w:val="center"/>
          </w:tcPr>
          <w:p w14:paraId="02FA63A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259 (49.4)</w:t>
            </w:r>
          </w:p>
        </w:tc>
        <w:tc>
          <w:tcPr>
            <w:tcW w:w="945" w:type="dxa"/>
            <w:gridSpan w:val="2"/>
            <w:tcBorders>
              <w:top w:val="nil"/>
              <w:left w:val="nil"/>
              <w:bottom w:val="nil"/>
              <w:right w:val="nil"/>
            </w:tcBorders>
            <w:vAlign w:val="center"/>
          </w:tcPr>
          <w:p w14:paraId="5ACD1E5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220 (41.7)</w:t>
            </w:r>
          </w:p>
        </w:tc>
        <w:tc>
          <w:tcPr>
            <w:tcW w:w="945" w:type="dxa"/>
            <w:tcBorders>
              <w:top w:val="nil"/>
              <w:left w:val="nil"/>
              <w:bottom w:val="nil"/>
              <w:right w:val="nil"/>
            </w:tcBorders>
            <w:vAlign w:val="center"/>
          </w:tcPr>
          <w:p w14:paraId="0A128778"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57 (27.4)</w:t>
            </w:r>
          </w:p>
        </w:tc>
        <w:tc>
          <w:tcPr>
            <w:tcW w:w="1417" w:type="dxa"/>
            <w:tcBorders>
              <w:top w:val="nil"/>
              <w:left w:val="nil"/>
              <w:bottom w:val="nil"/>
            </w:tcBorders>
          </w:tcPr>
          <w:p w14:paraId="03E3BB1F"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8% (2%, 14%)</w:t>
            </w:r>
          </w:p>
        </w:tc>
        <w:tc>
          <w:tcPr>
            <w:tcW w:w="1038" w:type="dxa"/>
            <w:tcBorders>
              <w:top w:val="nil"/>
              <w:bottom w:val="nil"/>
              <w:right w:val="nil"/>
            </w:tcBorders>
            <w:vAlign w:val="center"/>
          </w:tcPr>
          <w:p w14:paraId="528E546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85 (42.7)</w:t>
            </w:r>
          </w:p>
        </w:tc>
        <w:tc>
          <w:tcPr>
            <w:tcW w:w="1038" w:type="dxa"/>
            <w:tcBorders>
              <w:top w:val="nil"/>
              <w:left w:val="nil"/>
              <w:bottom w:val="nil"/>
            </w:tcBorders>
            <w:vAlign w:val="center"/>
          </w:tcPr>
          <w:p w14:paraId="3948B97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63 (32.8)</w:t>
            </w:r>
          </w:p>
        </w:tc>
      </w:tr>
      <w:tr w:rsidR="00814F74" w:rsidRPr="00BF06FC" w14:paraId="497B4A49" w14:textId="77777777" w:rsidTr="00DF5EF9">
        <w:tc>
          <w:tcPr>
            <w:tcW w:w="2689" w:type="dxa"/>
            <w:tcBorders>
              <w:top w:val="nil"/>
              <w:bottom w:val="nil"/>
            </w:tcBorders>
            <w:vAlign w:val="center"/>
          </w:tcPr>
          <w:p w14:paraId="45283C8F"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TEAE to discontinuation</w:t>
            </w:r>
          </w:p>
        </w:tc>
        <w:tc>
          <w:tcPr>
            <w:tcW w:w="945" w:type="dxa"/>
            <w:gridSpan w:val="2"/>
            <w:tcBorders>
              <w:top w:val="nil"/>
              <w:bottom w:val="nil"/>
              <w:right w:val="nil"/>
            </w:tcBorders>
            <w:vAlign w:val="center"/>
          </w:tcPr>
          <w:p w14:paraId="33A8185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62 (11.8)</w:t>
            </w:r>
          </w:p>
        </w:tc>
        <w:tc>
          <w:tcPr>
            <w:tcW w:w="945" w:type="dxa"/>
            <w:gridSpan w:val="2"/>
            <w:tcBorders>
              <w:top w:val="nil"/>
              <w:left w:val="nil"/>
              <w:bottom w:val="nil"/>
              <w:right w:val="nil"/>
            </w:tcBorders>
            <w:vAlign w:val="center"/>
          </w:tcPr>
          <w:p w14:paraId="52BB562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30 (5.7)</w:t>
            </w:r>
          </w:p>
        </w:tc>
        <w:tc>
          <w:tcPr>
            <w:tcW w:w="945" w:type="dxa"/>
            <w:tcBorders>
              <w:top w:val="nil"/>
              <w:left w:val="nil"/>
              <w:bottom w:val="nil"/>
              <w:right w:val="nil"/>
            </w:tcBorders>
            <w:vAlign w:val="center"/>
          </w:tcPr>
          <w:p w14:paraId="77E573C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16 (7.7)</w:t>
            </w:r>
          </w:p>
        </w:tc>
        <w:tc>
          <w:tcPr>
            <w:tcW w:w="1417" w:type="dxa"/>
            <w:tcBorders>
              <w:top w:val="nil"/>
              <w:left w:val="nil"/>
              <w:bottom w:val="nil"/>
            </w:tcBorders>
          </w:tcPr>
          <w:p w14:paraId="38988AEA"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6% (3%, 10%)</w:t>
            </w:r>
          </w:p>
        </w:tc>
        <w:tc>
          <w:tcPr>
            <w:tcW w:w="1038" w:type="dxa"/>
            <w:tcBorders>
              <w:top w:val="nil"/>
              <w:bottom w:val="nil"/>
              <w:right w:val="nil"/>
            </w:tcBorders>
            <w:vAlign w:val="center"/>
          </w:tcPr>
          <w:p w14:paraId="4F160E3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28 (14.1)</w:t>
            </w:r>
          </w:p>
        </w:tc>
        <w:tc>
          <w:tcPr>
            <w:tcW w:w="1038" w:type="dxa"/>
            <w:tcBorders>
              <w:top w:val="nil"/>
              <w:left w:val="nil"/>
              <w:bottom w:val="nil"/>
            </w:tcBorders>
            <w:vAlign w:val="center"/>
          </w:tcPr>
          <w:p w14:paraId="1C2B702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13 (6.8)</w:t>
            </w:r>
          </w:p>
        </w:tc>
      </w:tr>
      <w:tr w:rsidR="00814F74" w:rsidRPr="00BF06FC" w14:paraId="3C54CCF4" w14:textId="77777777" w:rsidTr="00DF5EF9">
        <w:tc>
          <w:tcPr>
            <w:tcW w:w="2689" w:type="dxa"/>
            <w:tcBorders>
              <w:top w:val="nil"/>
              <w:bottom w:val="nil"/>
            </w:tcBorders>
            <w:vAlign w:val="center"/>
          </w:tcPr>
          <w:p w14:paraId="19DDA77E"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TEAE to dose interruption</w:t>
            </w:r>
          </w:p>
        </w:tc>
        <w:tc>
          <w:tcPr>
            <w:tcW w:w="945" w:type="dxa"/>
            <w:gridSpan w:val="2"/>
            <w:tcBorders>
              <w:top w:val="nil"/>
              <w:bottom w:val="nil"/>
              <w:right w:val="nil"/>
            </w:tcBorders>
            <w:vAlign w:val="center"/>
          </w:tcPr>
          <w:p w14:paraId="676F3F7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119 (22.7)</w:t>
            </w:r>
          </w:p>
        </w:tc>
        <w:tc>
          <w:tcPr>
            <w:tcW w:w="945" w:type="dxa"/>
            <w:gridSpan w:val="2"/>
            <w:tcBorders>
              <w:top w:val="nil"/>
              <w:left w:val="nil"/>
              <w:bottom w:val="nil"/>
              <w:right w:val="nil"/>
            </w:tcBorders>
            <w:vAlign w:val="center"/>
          </w:tcPr>
          <w:p w14:paraId="31E3EA37"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64 (12.1)</w:t>
            </w:r>
          </w:p>
        </w:tc>
        <w:tc>
          <w:tcPr>
            <w:tcW w:w="945" w:type="dxa"/>
            <w:tcBorders>
              <w:top w:val="nil"/>
              <w:left w:val="nil"/>
              <w:bottom w:val="nil"/>
              <w:right w:val="nil"/>
            </w:tcBorders>
            <w:vAlign w:val="center"/>
          </w:tcPr>
          <w:p w14:paraId="0F9D1C38"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36 (17.3)</w:t>
            </w:r>
          </w:p>
        </w:tc>
        <w:tc>
          <w:tcPr>
            <w:tcW w:w="1417" w:type="dxa"/>
            <w:tcBorders>
              <w:top w:val="nil"/>
              <w:left w:val="nil"/>
              <w:bottom w:val="nil"/>
            </w:tcBorders>
          </w:tcPr>
          <w:p w14:paraId="19505AD3"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11% (6%, 15%)</w:t>
            </w:r>
          </w:p>
        </w:tc>
        <w:tc>
          <w:tcPr>
            <w:tcW w:w="1038" w:type="dxa"/>
            <w:tcBorders>
              <w:top w:val="nil"/>
              <w:bottom w:val="nil"/>
              <w:right w:val="nil"/>
            </w:tcBorders>
            <w:vAlign w:val="center"/>
          </w:tcPr>
          <w:p w14:paraId="3AB9194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43 (21.6)</w:t>
            </w:r>
          </w:p>
        </w:tc>
        <w:tc>
          <w:tcPr>
            <w:tcW w:w="1038" w:type="dxa"/>
            <w:tcBorders>
              <w:top w:val="nil"/>
              <w:left w:val="nil"/>
              <w:bottom w:val="nil"/>
            </w:tcBorders>
            <w:vAlign w:val="center"/>
          </w:tcPr>
          <w:p w14:paraId="6A0AD33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28 (14.6)</w:t>
            </w:r>
          </w:p>
        </w:tc>
      </w:tr>
      <w:tr w:rsidR="00814F74" w:rsidRPr="00BF06FC" w14:paraId="4A995B1A" w14:textId="77777777" w:rsidTr="00DF5EF9">
        <w:tc>
          <w:tcPr>
            <w:tcW w:w="2689" w:type="dxa"/>
            <w:tcBorders>
              <w:top w:val="nil"/>
              <w:bottom w:val="nil"/>
            </w:tcBorders>
            <w:vAlign w:val="center"/>
          </w:tcPr>
          <w:p w14:paraId="1C47716D"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SAE (Grade 3-4)</w:t>
            </w:r>
          </w:p>
        </w:tc>
        <w:tc>
          <w:tcPr>
            <w:tcW w:w="945" w:type="dxa"/>
            <w:gridSpan w:val="2"/>
            <w:tcBorders>
              <w:top w:val="nil"/>
              <w:bottom w:val="nil"/>
              <w:right w:val="nil"/>
            </w:tcBorders>
            <w:vAlign w:val="center"/>
          </w:tcPr>
          <w:p w14:paraId="7BD732B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124 (23.7)</w:t>
            </w:r>
          </w:p>
        </w:tc>
        <w:tc>
          <w:tcPr>
            <w:tcW w:w="945" w:type="dxa"/>
            <w:gridSpan w:val="2"/>
            <w:tcBorders>
              <w:top w:val="nil"/>
              <w:left w:val="nil"/>
              <w:bottom w:val="nil"/>
              <w:right w:val="nil"/>
            </w:tcBorders>
            <w:vAlign w:val="center"/>
          </w:tcPr>
          <w:p w14:paraId="09C0B72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93 (17.6)</w:t>
            </w:r>
          </w:p>
        </w:tc>
        <w:tc>
          <w:tcPr>
            <w:tcW w:w="945" w:type="dxa"/>
            <w:tcBorders>
              <w:top w:val="nil"/>
              <w:left w:val="nil"/>
              <w:bottom w:val="nil"/>
              <w:right w:val="nil"/>
            </w:tcBorders>
            <w:vAlign w:val="center"/>
          </w:tcPr>
          <w:p w14:paraId="413FEB0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27 (13.0)</w:t>
            </w:r>
          </w:p>
        </w:tc>
        <w:tc>
          <w:tcPr>
            <w:tcW w:w="1417" w:type="dxa"/>
            <w:tcBorders>
              <w:top w:val="nil"/>
              <w:left w:val="nil"/>
              <w:bottom w:val="nil"/>
            </w:tcBorders>
          </w:tcPr>
          <w:p w14:paraId="4C282F6D"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6% (1%, 11%)</w:t>
            </w:r>
          </w:p>
        </w:tc>
        <w:tc>
          <w:tcPr>
            <w:tcW w:w="1038" w:type="dxa"/>
            <w:tcBorders>
              <w:top w:val="nil"/>
              <w:bottom w:val="nil"/>
              <w:right w:val="nil"/>
            </w:tcBorders>
            <w:vAlign w:val="center"/>
          </w:tcPr>
          <w:p w14:paraId="3CB0582B"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46 (23.1)</w:t>
            </w:r>
          </w:p>
        </w:tc>
        <w:tc>
          <w:tcPr>
            <w:tcW w:w="1038" w:type="dxa"/>
            <w:tcBorders>
              <w:top w:val="nil"/>
              <w:left w:val="nil"/>
              <w:bottom w:val="nil"/>
            </w:tcBorders>
            <w:vAlign w:val="center"/>
          </w:tcPr>
          <w:p w14:paraId="54332EDB"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31 (16.1)</w:t>
            </w:r>
          </w:p>
        </w:tc>
      </w:tr>
      <w:tr w:rsidR="00814F74" w:rsidRPr="00BF06FC" w14:paraId="44C7BDAD" w14:textId="77777777" w:rsidTr="00DF5EF9">
        <w:tc>
          <w:tcPr>
            <w:tcW w:w="2689" w:type="dxa"/>
            <w:tcBorders>
              <w:top w:val="nil"/>
              <w:bottom w:val="single" w:sz="4" w:space="0" w:color="auto"/>
            </w:tcBorders>
            <w:vAlign w:val="center"/>
          </w:tcPr>
          <w:p w14:paraId="7848E296"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TEAE leading to death</w:t>
            </w:r>
          </w:p>
        </w:tc>
        <w:tc>
          <w:tcPr>
            <w:tcW w:w="945" w:type="dxa"/>
            <w:gridSpan w:val="2"/>
            <w:tcBorders>
              <w:top w:val="nil"/>
              <w:bottom w:val="single" w:sz="4" w:space="0" w:color="auto"/>
              <w:right w:val="nil"/>
            </w:tcBorders>
            <w:vAlign w:val="center"/>
          </w:tcPr>
          <w:p w14:paraId="1F299525"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20 (3.8)</w:t>
            </w:r>
          </w:p>
        </w:tc>
        <w:tc>
          <w:tcPr>
            <w:tcW w:w="945" w:type="dxa"/>
            <w:gridSpan w:val="2"/>
            <w:tcBorders>
              <w:top w:val="nil"/>
              <w:left w:val="nil"/>
              <w:bottom w:val="single" w:sz="4" w:space="0" w:color="auto"/>
              <w:right w:val="nil"/>
            </w:tcBorders>
            <w:vAlign w:val="center"/>
          </w:tcPr>
          <w:p w14:paraId="194B81A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17 (3.2)</w:t>
            </w:r>
          </w:p>
        </w:tc>
        <w:tc>
          <w:tcPr>
            <w:tcW w:w="945" w:type="dxa"/>
            <w:tcBorders>
              <w:top w:val="nil"/>
              <w:left w:val="nil"/>
              <w:bottom w:val="single" w:sz="4" w:space="0" w:color="auto"/>
              <w:right w:val="nil"/>
            </w:tcBorders>
            <w:vAlign w:val="center"/>
          </w:tcPr>
          <w:p w14:paraId="00B911D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7 (3.4)</w:t>
            </w:r>
          </w:p>
        </w:tc>
        <w:tc>
          <w:tcPr>
            <w:tcW w:w="1417" w:type="dxa"/>
            <w:tcBorders>
              <w:top w:val="nil"/>
              <w:left w:val="nil"/>
              <w:bottom w:val="single" w:sz="4" w:space="0" w:color="auto"/>
            </w:tcBorders>
          </w:tcPr>
          <w:p w14:paraId="56EE7E2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 (-2%, 3%)</w:t>
            </w:r>
          </w:p>
        </w:tc>
        <w:tc>
          <w:tcPr>
            <w:tcW w:w="1038" w:type="dxa"/>
            <w:tcBorders>
              <w:top w:val="nil"/>
              <w:bottom w:val="single" w:sz="4" w:space="0" w:color="auto"/>
              <w:right w:val="nil"/>
            </w:tcBorders>
            <w:vAlign w:val="center"/>
          </w:tcPr>
          <w:p w14:paraId="166BAE7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7 (3.5)</w:t>
            </w:r>
          </w:p>
        </w:tc>
        <w:tc>
          <w:tcPr>
            <w:tcW w:w="1038" w:type="dxa"/>
            <w:tcBorders>
              <w:top w:val="nil"/>
              <w:left w:val="nil"/>
              <w:bottom w:val="single" w:sz="4" w:space="0" w:color="auto"/>
            </w:tcBorders>
            <w:vAlign w:val="center"/>
          </w:tcPr>
          <w:p w14:paraId="3C0FCA1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 (3.1)</w:t>
            </w:r>
          </w:p>
        </w:tc>
      </w:tr>
      <w:tr w:rsidR="00814F74" w:rsidRPr="00BF06FC" w14:paraId="23C30EFE" w14:textId="77777777" w:rsidTr="00DF5EF9">
        <w:tc>
          <w:tcPr>
            <w:tcW w:w="2689" w:type="dxa"/>
            <w:tcBorders>
              <w:top w:val="double" w:sz="4" w:space="0" w:color="auto"/>
              <w:bottom w:val="nil"/>
            </w:tcBorders>
            <w:vAlign w:val="center"/>
          </w:tcPr>
          <w:p w14:paraId="3DC464F9"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AEs of special interest</w:t>
            </w:r>
          </w:p>
        </w:tc>
        <w:tc>
          <w:tcPr>
            <w:tcW w:w="945" w:type="dxa"/>
            <w:gridSpan w:val="2"/>
            <w:tcBorders>
              <w:top w:val="double" w:sz="4" w:space="0" w:color="auto"/>
              <w:bottom w:val="nil"/>
              <w:right w:val="nil"/>
            </w:tcBorders>
            <w:vAlign w:val="center"/>
          </w:tcPr>
          <w:p w14:paraId="3262771B" w14:textId="77777777" w:rsidR="00814F74" w:rsidRPr="003F72E0" w:rsidRDefault="00814F74" w:rsidP="00E56763">
            <w:pPr>
              <w:keepNext/>
              <w:jc w:val="center"/>
              <w:rPr>
                <w:rFonts w:ascii="Arial Narrow" w:hAnsi="Arial Narrow"/>
                <w:sz w:val="20"/>
                <w:szCs w:val="20"/>
              </w:rPr>
            </w:pPr>
          </w:p>
        </w:tc>
        <w:tc>
          <w:tcPr>
            <w:tcW w:w="945" w:type="dxa"/>
            <w:gridSpan w:val="2"/>
            <w:tcBorders>
              <w:top w:val="double" w:sz="4" w:space="0" w:color="auto"/>
              <w:left w:val="nil"/>
              <w:bottom w:val="nil"/>
              <w:right w:val="nil"/>
            </w:tcBorders>
            <w:vAlign w:val="center"/>
          </w:tcPr>
          <w:p w14:paraId="068007B3" w14:textId="77777777" w:rsidR="00814F74" w:rsidRPr="003F72E0" w:rsidRDefault="00814F74" w:rsidP="00E56763">
            <w:pPr>
              <w:keepNext/>
              <w:jc w:val="center"/>
              <w:rPr>
                <w:rFonts w:ascii="Arial Narrow" w:hAnsi="Arial Narrow"/>
                <w:sz w:val="20"/>
                <w:szCs w:val="20"/>
              </w:rPr>
            </w:pPr>
          </w:p>
        </w:tc>
        <w:tc>
          <w:tcPr>
            <w:tcW w:w="945" w:type="dxa"/>
            <w:tcBorders>
              <w:top w:val="double" w:sz="4" w:space="0" w:color="auto"/>
              <w:left w:val="nil"/>
              <w:bottom w:val="nil"/>
              <w:right w:val="nil"/>
            </w:tcBorders>
            <w:vAlign w:val="center"/>
          </w:tcPr>
          <w:p w14:paraId="78B41D0A" w14:textId="77777777" w:rsidR="00814F74" w:rsidRPr="003F72E0" w:rsidRDefault="00814F74" w:rsidP="00E56763">
            <w:pPr>
              <w:keepNext/>
              <w:jc w:val="center"/>
              <w:rPr>
                <w:rFonts w:ascii="Arial Narrow" w:hAnsi="Arial Narrow"/>
                <w:sz w:val="20"/>
                <w:szCs w:val="20"/>
              </w:rPr>
            </w:pPr>
          </w:p>
        </w:tc>
        <w:tc>
          <w:tcPr>
            <w:tcW w:w="1417" w:type="dxa"/>
            <w:tcBorders>
              <w:top w:val="double" w:sz="4" w:space="0" w:color="auto"/>
              <w:left w:val="nil"/>
              <w:bottom w:val="nil"/>
            </w:tcBorders>
          </w:tcPr>
          <w:p w14:paraId="30CAFF9F" w14:textId="77777777" w:rsidR="00814F74" w:rsidRPr="003F72E0" w:rsidRDefault="00814F74" w:rsidP="00E56763">
            <w:pPr>
              <w:keepNext/>
              <w:jc w:val="center"/>
              <w:rPr>
                <w:rFonts w:ascii="Arial Narrow" w:hAnsi="Arial Narrow"/>
                <w:sz w:val="20"/>
                <w:szCs w:val="20"/>
              </w:rPr>
            </w:pPr>
          </w:p>
        </w:tc>
        <w:tc>
          <w:tcPr>
            <w:tcW w:w="1038" w:type="dxa"/>
            <w:tcBorders>
              <w:top w:val="double" w:sz="4" w:space="0" w:color="auto"/>
              <w:bottom w:val="nil"/>
              <w:right w:val="nil"/>
            </w:tcBorders>
          </w:tcPr>
          <w:p w14:paraId="76BD3B51" w14:textId="77777777" w:rsidR="00814F74" w:rsidRPr="003F72E0" w:rsidRDefault="00814F74" w:rsidP="00E56763">
            <w:pPr>
              <w:keepNext/>
              <w:jc w:val="center"/>
              <w:rPr>
                <w:rFonts w:ascii="Arial Narrow" w:hAnsi="Arial Narrow"/>
                <w:sz w:val="20"/>
                <w:szCs w:val="20"/>
              </w:rPr>
            </w:pPr>
          </w:p>
        </w:tc>
        <w:tc>
          <w:tcPr>
            <w:tcW w:w="1038" w:type="dxa"/>
            <w:tcBorders>
              <w:top w:val="double" w:sz="4" w:space="0" w:color="auto"/>
              <w:left w:val="nil"/>
              <w:bottom w:val="nil"/>
            </w:tcBorders>
          </w:tcPr>
          <w:p w14:paraId="54999A58" w14:textId="77777777" w:rsidR="00814F74" w:rsidRPr="003F72E0" w:rsidRDefault="00814F74" w:rsidP="00E56763">
            <w:pPr>
              <w:keepNext/>
              <w:jc w:val="center"/>
              <w:rPr>
                <w:rFonts w:ascii="Arial Narrow" w:hAnsi="Arial Narrow"/>
                <w:sz w:val="20"/>
                <w:szCs w:val="20"/>
              </w:rPr>
            </w:pPr>
          </w:p>
        </w:tc>
      </w:tr>
      <w:tr w:rsidR="00814F74" w:rsidRPr="00BF06FC" w14:paraId="68FE95DA" w14:textId="77777777" w:rsidTr="00DF5EF9">
        <w:tc>
          <w:tcPr>
            <w:tcW w:w="2689" w:type="dxa"/>
            <w:tcBorders>
              <w:top w:val="nil"/>
              <w:bottom w:val="nil"/>
            </w:tcBorders>
            <w:vAlign w:val="center"/>
          </w:tcPr>
          <w:p w14:paraId="0D22E4C4"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Any</w:t>
            </w:r>
          </w:p>
        </w:tc>
        <w:tc>
          <w:tcPr>
            <w:tcW w:w="945" w:type="dxa"/>
            <w:gridSpan w:val="2"/>
            <w:tcBorders>
              <w:top w:val="nil"/>
              <w:bottom w:val="nil"/>
              <w:right w:val="nil"/>
            </w:tcBorders>
            <w:vAlign w:val="center"/>
          </w:tcPr>
          <w:p w14:paraId="0EAEF96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222 (42.4)</w:t>
            </w:r>
          </w:p>
        </w:tc>
        <w:tc>
          <w:tcPr>
            <w:tcW w:w="945" w:type="dxa"/>
            <w:gridSpan w:val="2"/>
            <w:tcBorders>
              <w:top w:val="nil"/>
              <w:left w:val="nil"/>
              <w:bottom w:val="nil"/>
              <w:right w:val="nil"/>
            </w:tcBorders>
            <w:vAlign w:val="center"/>
          </w:tcPr>
          <w:p w14:paraId="69A3128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99 (18.8)</w:t>
            </w:r>
          </w:p>
        </w:tc>
        <w:tc>
          <w:tcPr>
            <w:tcW w:w="945" w:type="dxa"/>
            <w:tcBorders>
              <w:top w:val="nil"/>
              <w:left w:val="nil"/>
              <w:bottom w:val="nil"/>
              <w:right w:val="nil"/>
            </w:tcBorders>
            <w:vAlign w:val="center"/>
          </w:tcPr>
          <w:p w14:paraId="300B8A28"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59 (28.4)</w:t>
            </w:r>
          </w:p>
        </w:tc>
        <w:tc>
          <w:tcPr>
            <w:tcW w:w="1417" w:type="dxa"/>
            <w:tcBorders>
              <w:top w:val="nil"/>
              <w:left w:val="nil"/>
              <w:bottom w:val="nil"/>
            </w:tcBorders>
          </w:tcPr>
          <w:p w14:paraId="45BFFFB1" w14:textId="77777777" w:rsidR="00814F74" w:rsidRPr="003F72E0" w:rsidRDefault="00814F74" w:rsidP="00E56763">
            <w:pPr>
              <w:keepNext/>
              <w:jc w:val="center"/>
              <w:rPr>
                <w:rFonts w:ascii="Arial Narrow" w:hAnsi="Arial Narrow"/>
                <w:b/>
                <w:sz w:val="20"/>
                <w:szCs w:val="20"/>
              </w:rPr>
            </w:pPr>
            <w:r w:rsidRPr="003F72E0">
              <w:rPr>
                <w:rFonts w:ascii="Arial Narrow" w:hAnsi="Arial Narrow"/>
                <w:b/>
                <w:sz w:val="20"/>
                <w:szCs w:val="20"/>
              </w:rPr>
              <w:t>24% (18%, 29%)</w:t>
            </w:r>
          </w:p>
        </w:tc>
        <w:tc>
          <w:tcPr>
            <w:tcW w:w="1038" w:type="dxa"/>
            <w:tcBorders>
              <w:top w:val="nil"/>
              <w:bottom w:val="nil"/>
              <w:right w:val="nil"/>
            </w:tcBorders>
          </w:tcPr>
          <w:p w14:paraId="71C0F70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tcPr>
          <w:p w14:paraId="12D0A2B4"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05AA6D9C" w14:textId="77777777" w:rsidTr="00DF5EF9">
        <w:tc>
          <w:tcPr>
            <w:tcW w:w="2689" w:type="dxa"/>
            <w:tcBorders>
              <w:top w:val="nil"/>
              <w:bottom w:val="nil"/>
            </w:tcBorders>
            <w:vAlign w:val="center"/>
          </w:tcPr>
          <w:p w14:paraId="09C7AA75"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Skin rash</w:t>
            </w:r>
          </w:p>
        </w:tc>
        <w:tc>
          <w:tcPr>
            <w:tcW w:w="945" w:type="dxa"/>
            <w:gridSpan w:val="2"/>
            <w:tcBorders>
              <w:top w:val="nil"/>
              <w:bottom w:val="nil"/>
              <w:right w:val="nil"/>
            </w:tcBorders>
            <w:vAlign w:val="center"/>
          </w:tcPr>
          <w:p w14:paraId="4BE3115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153 (29.2)</w:t>
            </w:r>
          </w:p>
        </w:tc>
        <w:tc>
          <w:tcPr>
            <w:tcW w:w="945" w:type="dxa"/>
            <w:gridSpan w:val="2"/>
            <w:tcBorders>
              <w:top w:val="nil"/>
              <w:left w:val="nil"/>
              <w:bottom w:val="nil"/>
              <w:right w:val="nil"/>
            </w:tcBorders>
            <w:vAlign w:val="center"/>
          </w:tcPr>
          <w:p w14:paraId="611BF67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49 (9.3)</w:t>
            </w:r>
          </w:p>
        </w:tc>
        <w:tc>
          <w:tcPr>
            <w:tcW w:w="945" w:type="dxa"/>
            <w:tcBorders>
              <w:top w:val="nil"/>
              <w:left w:val="nil"/>
              <w:bottom w:val="nil"/>
              <w:right w:val="nil"/>
            </w:tcBorders>
            <w:vAlign w:val="center"/>
          </w:tcPr>
          <w:p w14:paraId="08CBFDB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45 (22)</w:t>
            </w:r>
          </w:p>
        </w:tc>
        <w:tc>
          <w:tcPr>
            <w:tcW w:w="1417" w:type="dxa"/>
            <w:tcBorders>
              <w:top w:val="nil"/>
              <w:left w:val="nil"/>
              <w:bottom w:val="nil"/>
            </w:tcBorders>
          </w:tcPr>
          <w:p w14:paraId="14D21DD2"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20% (15%, 25%)</w:t>
            </w:r>
          </w:p>
        </w:tc>
        <w:tc>
          <w:tcPr>
            <w:tcW w:w="1038" w:type="dxa"/>
            <w:tcBorders>
              <w:top w:val="nil"/>
              <w:bottom w:val="nil"/>
              <w:right w:val="nil"/>
            </w:tcBorders>
            <w:vAlign w:val="center"/>
          </w:tcPr>
          <w:p w14:paraId="5BCEB2D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23AED83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017DDB8D" w14:textId="77777777" w:rsidTr="00DF5EF9">
        <w:tc>
          <w:tcPr>
            <w:tcW w:w="2689" w:type="dxa"/>
            <w:tcBorders>
              <w:top w:val="nil"/>
              <w:bottom w:val="nil"/>
            </w:tcBorders>
            <w:vAlign w:val="center"/>
          </w:tcPr>
          <w:p w14:paraId="763BBE27" w14:textId="77777777" w:rsidR="00814F74" w:rsidRPr="003F72E0" w:rsidRDefault="00814F74" w:rsidP="00E56763">
            <w:pPr>
              <w:keepNext/>
              <w:ind w:left="254"/>
              <w:jc w:val="left"/>
              <w:rPr>
                <w:rFonts w:ascii="Arial Narrow" w:hAnsi="Arial Narrow"/>
                <w:sz w:val="20"/>
                <w:szCs w:val="20"/>
              </w:rPr>
            </w:pPr>
            <w:r w:rsidRPr="003F72E0">
              <w:rPr>
                <w:rFonts w:ascii="Arial Narrow" w:hAnsi="Arial Narrow"/>
                <w:sz w:val="20"/>
                <w:szCs w:val="20"/>
              </w:rPr>
              <w:t>Exposure-adjusted, /100 SY</w:t>
            </w:r>
          </w:p>
        </w:tc>
        <w:tc>
          <w:tcPr>
            <w:tcW w:w="945" w:type="dxa"/>
            <w:gridSpan w:val="2"/>
            <w:tcBorders>
              <w:top w:val="nil"/>
              <w:bottom w:val="nil"/>
              <w:right w:val="nil"/>
            </w:tcBorders>
            <w:vAlign w:val="center"/>
          </w:tcPr>
          <w:p w14:paraId="6CFADF1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24.4</w:t>
            </w:r>
          </w:p>
        </w:tc>
        <w:tc>
          <w:tcPr>
            <w:tcW w:w="945" w:type="dxa"/>
            <w:gridSpan w:val="2"/>
            <w:tcBorders>
              <w:top w:val="nil"/>
              <w:left w:val="nil"/>
              <w:bottom w:val="nil"/>
              <w:right w:val="nil"/>
            </w:tcBorders>
            <w:vAlign w:val="center"/>
          </w:tcPr>
          <w:p w14:paraId="6F4E72F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8.3</w:t>
            </w:r>
          </w:p>
        </w:tc>
        <w:tc>
          <w:tcPr>
            <w:tcW w:w="945" w:type="dxa"/>
            <w:tcBorders>
              <w:top w:val="nil"/>
              <w:left w:val="nil"/>
              <w:bottom w:val="nil"/>
              <w:right w:val="nil"/>
            </w:tcBorders>
            <w:vAlign w:val="center"/>
          </w:tcPr>
          <w:p w14:paraId="2F9D4B5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30.8</w:t>
            </w:r>
          </w:p>
        </w:tc>
        <w:tc>
          <w:tcPr>
            <w:tcW w:w="1417" w:type="dxa"/>
            <w:tcBorders>
              <w:top w:val="nil"/>
              <w:left w:val="nil"/>
              <w:bottom w:val="nil"/>
            </w:tcBorders>
          </w:tcPr>
          <w:p w14:paraId="405F3752"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1FDA16E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0CADC57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3E39DAED" w14:textId="77777777" w:rsidTr="00DF5EF9">
        <w:tc>
          <w:tcPr>
            <w:tcW w:w="2689" w:type="dxa"/>
            <w:tcBorders>
              <w:top w:val="nil"/>
              <w:bottom w:val="nil"/>
            </w:tcBorders>
            <w:vAlign w:val="center"/>
          </w:tcPr>
          <w:p w14:paraId="545C57DC" w14:textId="77777777" w:rsidR="00814F74" w:rsidRPr="003F72E0" w:rsidRDefault="00814F74" w:rsidP="00E56763">
            <w:pPr>
              <w:keepNext/>
              <w:ind w:left="254"/>
              <w:jc w:val="left"/>
              <w:rPr>
                <w:rFonts w:ascii="Arial Narrow" w:hAnsi="Arial Narrow"/>
                <w:sz w:val="20"/>
                <w:szCs w:val="20"/>
              </w:rPr>
            </w:pPr>
            <w:r w:rsidRPr="003F72E0">
              <w:rPr>
                <w:rFonts w:ascii="Arial Narrow" w:hAnsi="Arial Narrow"/>
                <w:sz w:val="20"/>
                <w:szCs w:val="20"/>
              </w:rPr>
              <w:t>Model (grade 3+)</w:t>
            </w:r>
          </w:p>
        </w:tc>
        <w:tc>
          <w:tcPr>
            <w:tcW w:w="945" w:type="dxa"/>
            <w:gridSpan w:val="2"/>
            <w:tcBorders>
              <w:top w:val="nil"/>
              <w:bottom w:val="nil"/>
              <w:right w:val="nil"/>
            </w:tcBorders>
            <w:vAlign w:val="center"/>
          </w:tcPr>
          <w:p w14:paraId="75A3702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33 (6.3)</w:t>
            </w:r>
          </w:p>
        </w:tc>
        <w:tc>
          <w:tcPr>
            <w:tcW w:w="945" w:type="dxa"/>
            <w:gridSpan w:val="2"/>
            <w:tcBorders>
              <w:top w:val="nil"/>
              <w:left w:val="nil"/>
              <w:bottom w:val="nil"/>
              <w:right w:val="nil"/>
            </w:tcBorders>
            <w:vAlign w:val="center"/>
          </w:tcPr>
          <w:p w14:paraId="1A11AC2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 (0.9)</w:t>
            </w:r>
          </w:p>
        </w:tc>
        <w:tc>
          <w:tcPr>
            <w:tcW w:w="945" w:type="dxa"/>
            <w:tcBorders>
              <w:top w:val="nil"/>
              <w:left w:val="nil"/>
              <w:bottom w:val="nil"/>
              <w:right w:val="nil"/>
            </w:tcBorders>
            <w:vAlign w:val="center"/>
          </w:tcPr>
          <w:p w14:paraId="3306524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417" w:type="dxa"/>
            <w:tcBorders>
              <w:top w:val="nil"/>
              <w:left w:val="nil"/>
              <w:bottom w:val="nil"/>
            </w:tcBorders>
          </w:tcPr>
          <w:p w14:paraId="148F15CF"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5044598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12 (6.0)</w:t>
            </w:r>
          </w:p>
        </w:tc>
        <w:tc>
          <w:tcPr>
            <w:tcW w:w="1038" w:type="dxa"/>
            <w:tcBorders>
              <w:top w:val="nil"/>
              <w:left w:val="nil"/>
              <w:bottom w:val="nil"/>
            </w:tcBorders>
            <w:vAlign w:val="center"/>
          </w:tcPr>
          <w:p w14:paraId="692B53C7"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 (2.1)</w:t>
            </w:r>
          </w:p>
        </w:tc>
      </w:tr>
      <w:tr w:rsidR="00814F74" w:rsidRPr="00BF06FC" w14:paraId="451F77A7" w14:textId="77777777" w:rsidTr="00DF5EF9">
        <w:tc>
          <w:tcPr>
            <w:tcW w:w="2689" w:type="dxa"/>
            <w:tcBorders>
              <w:top w:val="nil"/>
              <w:bottom w:val="nil"/>
            </w:tcBorders>
            <w:vAlign w:val="center"/>
          </w:tcPr>
          <w:p w14:paraId="4C908393"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Fall</w:t>
            </w:r>
          </w:p>
        </w:tc>
        <w:tc>
          <w:tcPr>
            <w:tcW w:w="945" w:type="dxa"/>
            <w:gridSpan w:val="2"/>
            <w:tcBorders>
              <w:top w:val="nil"/>
              <w:bottom w:val="nil"/>
              <w:right w:val="nil"/>
            </w:tcBorders>
            <w:vAlign w:val="center"/>
          </w:tcPr>
          <w:p w14:paraId="5F14713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49 (9.4)</w:t>
            </w:r>
          </w:p>
        </w:tc>
        <w:tc>
          <w:tcPr>
            <w:tcW w:w="945" w:type="dxa"/>
            <w:gridSpan w:val="2"/>
            <w:tcBorders>
              <w:top w:val="nil"/>
              <w:left w:val="nil"/>
              <w:bottom w:val="nil"/>
              <w:right w:val="nil"/>
            </w:tcBorders>
            <w:vAlign w:val="center"/>
          </w:tcPr>
          <w:p w14:paraId="2E47805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37 (7.0)</w:t>
            </w:r>
          </w:p>
        </w:tc>
        <w:tc>
          <w:tcPr>
            <w:tcW w:w="945" w:type="dxa"/>
            <w:tcBorders>
              <w:top w:val="nil"/>
              <w:left w:val="nil"/>
              <w:bottom w:val="nil"/>
              <w:right w:val="nil"/>
            </w:tcBorders>
            <w:vAlign w:val="center"/>
          </w:tcPr>
          <w:p w14:paraId="0813D9D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8 (4)</w:t>
            </w:r>
          </w:p>
        </w:tc>
        <w:tc>
          <w:tcPr>
            <w:tcW w:w="1417" w:type="dxa"/>
            <w:tcBorders>
              <w:top w:val="nil"/>
              <w:left w:val="nil"/>
              <w:bottom w:val="nil"/>
            </w:tcBorders>
          </w:tcPr>
          <w:p w14:paraId="7C9891B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 (-1%, 6%)</w:t>
            </w:r>
          </w:p>
        </w:tc>
        <w:tc>
          <w:tcPr>
            <w:tcW w:w="1038" w:type="dxa"/>
            <w:tcBorders>
              <w:top w:val="nil"/>
              <w:bottom w:val="nil"/>
              <w:right w:val="nil"/>
            </w:tcBorders>
            <w:vAlign w:val="center"/>
          </w:tcPr>
          <w:p w14:paraId="041C56A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4E343D4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7C566D11" w14:textId="77777777" w:rsidTr="00DF5EF9">
        <w:tc>
          <w:tcPr>
            <w:tcW w:w="2689" w:type="dxa"/>
            <w:tcBorders>
              <w:top w:val="nil"/>
              <w:bottom w:val="nil"/>
            </w:tcBorders>
            <w:vAlign w:val="center"/>
          </w:tcPr>
          <w:p w14:paraId="633E179C"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Exposure-adjusted, /100 SY</w:t>
            </w:r>
          </w:p>
        </w:tc>
        <w:tc>
          <w:tcPr>
            <w:tcW w:w="945" w:type="dxa"/>
            <w:gridSpan w:val="2"/>
            <w:tcBorders>
              <w:top w:val="nil"/>
              <w:bottom w:val="nil"/>
              <w:right w:val="nil"/>
            </w:tcBorders>
            <w:vAlign w:val="center"/>
          </w:tcPr>
          <w:p w14:paraId="601CA29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4.6</w:t>
            </w:r>
          </w:p>
        </w:tc>
        <w:tc>
          <w:tcPr>
            <w:tcW w:w="945" w:type="dxa"/>
            <w:gridSpan w:val="2"/>
            <w:tcBorders>
              <w:top w:val="nil"/>
              <w:left w:val="nil"/>
              <w:bottom w:val="nil"/>
              <w:right w:val="nil"/>
            </w:tcBorders>
            <w:vAlign w:val="center"/>
          </w:tcPr>
          <w:p w14:paraId="45979DA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6.8</w:t>
            </w:r>
          </w:p>
        </w:tc>
        <w:tc>
          <w:tcPr>
            <w:tcW w:w="945" w:type="dxa"/>
            <w:tcBorders>
              <w:top w:val="nil"/>
              <w:left w:val="nil"/>
              <w:bottom w:val="nil"/>
              <w:right w:val="nil"/>
            </w:tcBorders>
            <w:vAlign w:val="center"/>
          </w:tcPr>
          <w:p w14:paraId="64870A98"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5.7</w:t>
            </w:r>
          </w:p>
        </w:tc>
        <w:tc>
          <w:tcPr>
            <w:tcW w:w="1417" w:type="dxa"/>
            <w:tcBorders>
              <w:top w:val="nil"/>
              <w:left w:val="nil"/>
              <w:bottom w:val="nil"/>
            </w:tcBorders>
          </w:tcPr>
          <w:p w14:paraId="2BAE52A5"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59A54D38"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35904FE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713E3266" w14:textId="77777777" w:rsidTr="00DF5EF9">
        <w:tc>
          <w:tcPr>
            <w:tcW w:w="2689" w:type="dxa"/>
            <w:tcBorders>
              <w:top w:val="nil"/>
              <w:bottom w:val="nil"/>
            </w:tcBorders>
            <w:vAlign w:val="center"/>
          </w:tcPr>
          <w:p w14:paraId="1AA313B3"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Model (all grade)</w:t>
            </w:r>
          </w:p>
        </w:tc>
        <w:tc>
          <w:tcPr>
            <w:tcW w:w="945" w:type="dxa"/>
            <w:gridSpan w:val="2"/>
            <w:tcBorders>
              <w:top w:val="nil"/>
              <w:bottom w:val="nil"/>
              <w:right w:val="nil"/>
            </w:tcBorders>
            <w:vAlign w:val="center"/>
          </w:tcPr>
          <w:p w14:paraId="7D376A8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49 (9.4)</w:t>
            </w:r>
          </w:p>
        </w:tc>
        <w:tc>
          <w:tcPr>
            <w:tcW w:w="945" w:type="dxa"/>
            <w:gridSpan w:val="2"/>
            <w:tcBorders>
              <w:top w:val="nil"/>
              <w:left w:val="nil"/>
              <w:bottom w:val="nil"/>
              <w:right w:val="nil"/>
            </w:tcBorders>
            <w:vAlign w:val="center"/>
          </w:tcPr>
          <w:p w14:paraId="51FDC4B5"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37 (7.0)</w:t>
            </w:r>
          </w:p>
        </w:tc>
        <w:tc>
          <w:tcPr>
            <w:tcW w:w="945" w:type="dxa"/>
            <w:tcBorders>
              <w:top w:val="nil"/>
              <w:left w:val="nil"/>
              <w:bottom w:val="nil"/>
              <w:right w:val="nil"/>
            </w:tcBorders>
            <w:vAlign w:val="center"/>
          </w:tcPr>
          <w:p w14:paraId="0F7038B0" w14:textId="77777777" w:rsidR="00814F74" w:rsidRPr="003F72E0" w:rsidRDefault="00814F74" w:rsidP="00E56763">
            <w:pPr>
              <w:keepNext/>
              <w:jc w:val="center"/>
              <w:rPr>
                <w:rFonts w:ascii="Arial Narrow" w:hAnsi="Arial Narrow"/>
                <w:sz w:val="20"/>
                <w:szCs w:val="20"/>
              </w:rPr>
            </w:pPr>
          </w:p>
        </w:tc>
        <w:tc>
          <w:tcPr>
            <w:tcW w:w="1417" w:type="dxa"/>
            <w:tcBorders>
              <w:top w:val="nil"/>
              <w:left w:val="nil"/>
              <w:bottom w:val="nil"/>
            </w:tcBorders>
          </w:tcPr>
          <w:p w14:paraId="5F3B5EC0"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03AEC90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22 (11.1)</w:t>
            </w:r>
          </w:p>
        </w:tc>
        <w:tc>
          <w:tcPr>
            <w:tcW w:w="1038" w:type="dxa"/>
            <w:tcBorders>
              <w:top w:val="nil"/>
              <w:left w:val="nil"/>
              <w:bottom w:val="nil"/>
            </w:tcBorders>
            <w:vAlign w:val="center"/>
          </w:tcPr>
          <w:p w14:paraId="63633D94"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19 (9.9)</w:t>
            </w:r>
          </w:p>
        </w:tc>
      </w:tr>
      <w:tr w:rsidR="00814F74" w:rsidRPr="00BF06FC" w14:paraId="3F98ED29" w14:textId="77777777" w:rsidTr="00DF5EF9">
        <w:tc>
          <w:tcPr>
            <w:tcW w:w="2689" w:type="dxa"/>
            <w:tcBorders>
              <w:top w:val="nil"/>
              <w:bottom w:val="nil"/>
            </w:tcBorders>
            <w:vAlign w:val="center"/>
          </w:tcPr>
          <w:p w14:paraId="7A2078E0"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Fracture</w:t>
            </w:r>
          </w:p>
        </w:tc>
        <w:tc>
          <w:tcPr>
            <w:tcW w:w="945" w:type="dxa"/>
            <w:gridSpan w:val="2"/>
            <w:tcBorders>
              <w:top w:val="nil"/>
              <w:bottom w:val="nil"/>
              <w:right w:val="nil"/>
            </w:tcBorders>
            <w:vAlign w:val="center"/>
          </w:tcPr>
          <w:p w14:paraId="4ACA131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54 (10.3)</w:t>
            </w:r>
          </w:p>
        </w:tc>
        <w:tc>
          <w:tcPr>
            <w:tcW w:w="945" w:type="dxa"/>
            <w:gridSpan w:val="2"/>
            <w:tcBorders>
              <w:top w:val="nil"/>
              <w:left w:val="nil"/>
              <w:bottom w:val="nil"/>
              <w:right w:val="nil"/>
            </w:tcBorders>
            <w:vAlign w:val="center"/>
          </w:tcPr>
          <w:p w14:paraId="454B8B4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26 (4.9)</w:t>
            </w:r>
          </w:p>
        </w:tc>
        <w:tc>
          <w:tcPr>
            <w:tcW w:w="945" w:type="dxa"/>
            <w:tcBorders>
              <w:top w:val="nil"/>
              <w:left w:val="nil"/>
              <w:bottom w:val="nil"/>
              <w:right w:val="nil"/>
            </w:tcBorders>
            <w:vAlign w:val="center"/>
          </w:tcPr>
          <w:p w14:paraId="7E2C3EB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 (2)</w:t>
            </w:r>
          </w:p>
        </w:tc>
        <w:tc>
          <w:tcPr>
            <w:tcW w:w="1417" w:type="dxa"/>
            <w:tcBorders>
              <w:top w:val="nil"/>
              <w:left w:val="nil"/>
              <w:bottom w:val="nil"/>
            </w:tcBorders>
          </w:tcPr>
          <w:p w14:paraId="0270188E"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5% (2%, 9%)</w:t>
            </w:r>
          </w:p>
        </w:tc>
        <w:tc>
          <w:tcPr>
            <w:tcW w:w="1038" w:type="dxa"/>
            <w:tcBorders>
              <w:top w:val="nil"/>
              <w:bottom w:val="nil"/>
              <w:right w:val="nil"/>
            </w:tcBorders>
            <w:vAlign w:val="center"/>
          </w:tcPr>
          <w:p w14:paraId="216ABA1B"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16727255"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41141639" w14:textId="77777777" w:rsidTr="00DF5EF9">
        <w:tc>
          <w:tcPr>
            <w:tcW w:w="2689" w:type="dxa"/>
            <w:tcBorders>
              <w:top w:val="nil"/>
              <w:bottom w:val="nil"/>
            </w:tcBorders>
            <w:vAlign w:val="center"/>
          </w:tcPr>
          <w:p w14:paraId="68CF2644"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Exposure-adjusted, /100 SY</w:t>
            </w:r>
          </w:p>
        </w:tc>
        <w:tc>
          <w:tcPr>
            <w:tcW w:w="945" w:type="dxa"/>
            <w:gridSpan w:val="2"/>
            <w:tcBorders>
              <w:top w:val="nil"/>
              <w:bottom w:val="nil"/>
              <w:right w:val="nil"/>
            </w:tcBorders>
            <w:vAlign w:val="center"/>
          </w:tcPr>
          <w:p w14:paraId="6DFBFFE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6.1</w:t>
            </w:r>
          </w:p>
        </w:tc>
        <w:tc>
          <w:tcPr>
            <w:tcW w:w="945" w:type="dxa"/>
            <w:gridSpan w:val="2"/>
            <w:tcBorders>
              <w:top w:val="nil"/>
              <w:left w:val="nil"/>
              <w:bottom w:val="nil"/>
              <w:right w:val="nil"/>
            </w:tcBorders>
            <w:vAlign w:val="center"/>
          </w:tcPr>
          <w:p w14:paraId="77943A45"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4.2</w:t>
            </w:r>
          </w:p>
        </w:tc>
        <w:tc>
          <w:tcPr>
            <w:tcW w:w="945" w:type="dxa"/>
            <w:tcBorders>
              <w:top w:val="nil"/>
              <w:left w:val="nil"/>
              <w:bottom w:val="nil"/>
              <w:right w:val="nil"/>
            </w:tcBorders>
            <w:vAlign w:val="center"/>
          </w:tcPr>
          <w:p w14:paraId="0C8C59B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2.1</w:t>
            </w:r>
          </w:p>
        </w:tc>
        <w:tc>
          <w:tcPr>
            <w:tcW w:w="1417" w:type="dxa"/>
            <w:tcBorders>
              <w:top w:val="nil"/>
              <w:left w:val="nil"/>
              <w:bottom w:val="nil"/>
            </w:tcBorders>
          </w:tcPr>
          <w:p w14:paraId="7F5968B6"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2412FBA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074D71D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0E74EE48" w14:textId="77777777" w:rsidTr="00DF5EF9">
        <w:tc>
          <w:tcPr>
            <w:tcW w:w="2689" w:type="dxa"/>
            <w:tcBorders>
              <w:top w:val="nil"/>
              <w:bottom w:val="nil"/>
            </w:tcBorders>
            <w:vAlign w:val="center"/>
          </w:tcPr>
          <w:p w14:paraId="3AA5647F"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Model (not SAE)</w:t>
            </w:r>
          </w:p>
        </w:tc>
        <w:tc>
          <w:tcPr>
            <w:tcW w:w="945" w:type="dxa"/>
            <w:gridSpan w:val="2"/>
            <w:tcBorders>
              <w:top w:val="nil"/>
              <w:bottom w:val="nil"/>
              <w:right w:val="nil"/>
            </w:tcBorders>
            <w:vAlign w:val="center"/>
          </w:tcPr>
          <w:p w14:paraId="760D232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41 (7.8)</w:t>
            </w:r>
          </w:p>
        </w:tc>
        <w:tc>
          <w:tcPr>
            <w:tcW w:w="945" w:type="dxa"/>
            <w:gridSpan w:val="2"/>
            <w:tcBorders>
              <w:top w:val="nil"/>
              <w:left w:val="nil"/>
              <w:bottom w:val="nil"/>
              <w:right w:val="nil"/>
            </w:tcBorders>
            <w:vAlign w:val="center"/>
          </w:tcPr>
          <w:p w14:paraId="710B09F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21 (4.0)</w:t>
            </w:r>
          </w:p>
        </w:tc>
        <w:tc>
          <w:tcPr>
            <w:tcW w:w="945" w:type="dxa"/>
            <w:tcBorders>
              <w:top w:val="nil"/>
              <w:left w:val="nil"/>
              <w:bottom w:val="nil"/>
              <w:right w:val="nil"/>
            </w:tcBorders>
            <w:vAlign w:val="center"/>
          </w:tcPr>
          <w:p w14:paraId="4F89ADA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417" w:type="dxa"/>
            <w:tcBorders>
              <w:top w:val="nil"/>
              <w:left w:val="nil"/>
              <w:bottom w:val="nil"/>
            </w:tcBorders>
          </w:tcPr>
          <w:p w14:paraId="6FD8D688"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6CAB15F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18 (9.0)</w:t>
            </w:r>
          </w:p>
        </w:tc>
        <w:tc>
          <w:tcPr>
            <w:tcW w:w="1038" w:type="dxa"/>
            <w:tcBorders>
              <w:top w:val="nil"/>
              <w:left w:val="nil"/>
              <w:bottom w:val="nil"/>
            </w:tcBorders>
            <w:vAlign w:val="center"/>
          </w:tcPr>
          <w:p w14:paraId="7A75A62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7 (3.6)</w:t>
            </w:r>
          </w:p>
        </w:tc>
      </w:tr>
      <w:tr w:rsidR="00814F74" w:rsidRPr="00BF06FC" w14:paraId="10B8A7B4" w14:textId="77777777" w:rsidTr="00DF5EF9">
        <w:tc>
          <w:tcPr>
            <w:tcW w:w="2689" w:type="dxa"/>
            <w:tcBorders>
              <w:top w:val="nil"/>
              <w:bottom w:val="nil"/>
            </w:tcBorders>
            <w:vAlign w:val="center"/>
          </w:tcPr>
          <w:p w14:paraId="36E60338"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Model (SAE)</w:t>
            </w:r>
          </w:p>
        </w:tc>
        <w:tc>
          <w:tcPr>
            <w:tcW w:w="945" w:type="dxa"/>
            <w:gridSpan w:val="2"/>
            <w:tcBorders>
              <w:top w:val="nil"/>
              <w:bottom w:val="nil"/>
              <w:right w:val="nil"/>
            </w:tcBorders>
            <w:vAlign w:val="center"/>
          </w:tcPr>
          <w:p w14:paraId="311644A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19 (3.6)</w:t>
            </w:r>
          </w:p>
        </w:tc>
        <w:tc>
          <w:tcPr>
            <w:tcW w:w="945" w:type="dxa"/>
            <w:gridSpan w:val="2"/>
            <w:tcBorders>
              <w:top w:val="nil"/>
              <w:left w:val="nil"/>
              <w:bottom w:val="nil"/>
              <w:right w:val="nil"/>
            </w:tcBorders>
            <w:vAlign w:val="center"/>
          </w:tcPr>
          <w:p w14:paraId="3E537A54"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6 (1.1)</w:t>
            </w:r>
          </w:p>
        </w:tc>
        <w:tc>
          <w:tcPr>
            <w:tcW w:w="945" w:type="dxa"/>
            <w:tcBorders>
              <w:top w:val="nil"/>
              <w:left w:val="nil"/>
              <w:bottom w:val="nil"/>
              <w:right w:val="nil"/>
            </w:tcBorders>
            <w:vAlign w:val="center"/>
          </w:tcPr>
          <w:p w14:paraId="2388B7F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417" w:type="dxa"/>
            <w:tcBorders>
              <w:top w:val="nil"/>
              <w:left w:val="nil"/>
              <w:bottom w:val="nil"/>
            </w:tcBorders>
          </w:tcPr>
          <w:p w14:paraId="4F0560B5"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1C5BD68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8 (4.0)</w:t>
            </w:r>
          </w:p>
        </w:tc>
        <w:tc>
          <w:tcPr>
            <w:tcW w:w="1038" w:type="dxa"/>
            <w:tcBorders>
              <w:top w:val="nil"/>
              <w:left w:val="nil"/>
              <w:bottom w:val="nil"/>
            </w:tcBorders>
            <w:vAlign w:val="center"/>
          </w:tcPr>
          <w:p w14:paraId="0A41933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 (2.6)</w:t>
            </w:r>
          </w:p>
        </w:tc>
      </w:tr>
      <w:tr w:rsidR="00814F74" w:rsidRPr="00BF06FC" w14:paraId="4ACEB880" w14:textId="77777777" w:rsidTr="00DF5EF9">
        <w:tc>
          <w:tcPr>
            <w:tcW w:w="2689" w:type="dxa"/>
            <w:tcBorders>
              <w:top w:val="nil"/>
              <w:bottom w:val="nil"/>
            </w:tcBorders>
            <w:vAlign w:val="center"/>
          </w:tcPr>
          <w:p w14:paraId="17066342"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Seizure</w:t>
            </w:r>
          </w:p>
        </w:tc>
        <w:tc>
          <w:tcPr>
            <w:tcW w:w="945" w:type="dxa"/>
            <w:gridSpan w:val="2"/>
            <w:tcBorders>
              <w:top w:val="nil"/>
              <w:bottom w:val="nil"/>
              <w:right w:val="nil"/>
            </w:tcBorders>
            <w:vAlign w:val="center"/>
          </w:tcPr>
          <w:p w14:paraId="6B1A9DA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 (0.6)</w:t>
            </w:r>
          </w:p>
        </w:tc>
        <w:tc>
          <w:tcPr>
            <w:tcW w:w="945" w:type="dxa"/>
            <w:gridSpan w:val="2"/>
            <w:tcBorders>
              <w:top w:val="nil"/>
              <w:left w:val="nil"/>
              <w:bottom w:val="nil"/>
              <w:right w:val="nil"/>
            </w:tcBorders>
            <w:vAlign w:val="center"/>
          </w:tcPr>
          <w:p w14:paraId="771F4F8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 (0.4)</w:t>
            </w:r>
          </w:p>
        </w:tc>
        <w:tc>
          <w:tcPr>
            <w:tcW w:w="945" w:type="dxa"/>
            <w:tcBorders>
              <w:top w:val="nil"/>
              <w:left w:val="nil"/>
              <w:bottom w:val="nil"/>
              <w:right w:val="nil"/>
            </w:tcBorders>
            <w:vAlign w:val="center"/>
          </w:tcPr>
          <w:p w14:paraId="073C01D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w:t>
            </w:r>
          </w:p>
        </w:tc>
        <w:tc>
          <w:tcPr>
            <w:tcW w:w="1417" w:type="dxa"/>
            <w:tcBorders>
              <w:top w:val="nil"/>
              <w:left w:val="nil"/>
              <w:bottom w:val="nil"/>
            </w:tcBorders>
          </w:tcPr>
          <w:p w14:paraId="241F1CF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 (-1%, 1%)</w:t>
            </w:r>
          </w:p>
        </w:tc>
        <w:tc>
          <w:tcPr>
            <w:tcW w:w="1038" w:type="dxa"/>
            <w:tcBorders>
              <w:top w:val="nil"/>
              <w:bottom w:val="nil"/>
              <w:right w:val="nil"/>
            </w:tcBorders>
            <w:vAlign w:val="center"/>
          </w:tcPr>
          <w:p w14:paraId="58A7591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2710CE7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3A04FAFF" w14:textId="77777777" w:rsidTr="00DF5EF9">
        <w:tc>
          <w:tcPr>
            <w:tcW w:w="2689" w:type="dxa"/>
            <w:tcBorders>
              <w:top w:val="nil"/>
              <w:bottom w:val="nil"/>
            </w:tcBorders>
            <w:vAlign w:val="center"/>
          </w:tcPr>
          <w:p w14:paraId="7788E295"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Exposure-adjusted, /100 SY</w:t>
            </w:r>
          </w:p>
        </w:tc>
        <w:tc>
          <w:tcPr>
            <w:tcW w:w="945" w:type="dxa"/>
            <w:gridSpan w:val="2"/>
            <w:tcBorders>
              <w:top w:val="nil"/>
              <w:bottom w:val="nil"/>
              <w:right w:val="nil"/>
            </w:tcBorders>
            <w:vAlign w:val="center"/>
          </w:tcPr>
          <w:p w14:paraId="59697765"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0.2</w:t>
            </w:r>
          </w:p>
        </w:tc>
        <w:tc>
          <w:tcPr>
            <w:tcW w:w="945" w:type="dxa"/>
            <w:gridSpan w:val="2"/>
            <w:tcBorders>
              <w:top w:val="nil"/>
              <w:left w:val="nil"/>
              <w:bottom w:val="nil"/>
              <w:right w:val="nil"/>
            </w:tcBorders>
            <w:vAlign w:val="center"/>
          </w:tcPr>
          <w:p w14:paraId="3E1654E7"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0.3</w:t>
            </w:r>
          </w:p>
        </w:tc>
        <w:tc>
          <w:tcPr>
            <w:tcW w:w="945" w:type="dxa"/>
            <w:tcBorders>
              <w:top w:val="nil"/>
              <w:left w:val="nil"/>
              <w:bottom w:val="nil"/>
              <w:right w:val="nil"/>
            </w:tcBorders>
            <w:vAlign w:val="center"/>
          </w:tcPr>
          <w:p w14:paraId="79C3FB6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w:t>
            </w:r>
          </w:p>
        </w:tc>
        <w:tc>
          <w:tcPr>
            <w:tcW w:w="1417" w:type="dxa"/>
            <w:tcBorders>
              <w:top w:val="nil"/>
              <w:left w:val="nil"/>
              <w:bottom w:val="nil"/>
            </w:tcBorders>
          </w:tcPr>
          <w:p w14:paraId="6E8FB3CB"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19F160D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5C1C055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4C2E484E" w14:textId="77777777" w:rsidTr="00DF5EF9">
        <w:tc>
          <w:tcPr>
            <w:tcW w:w="2689" w:type="dxa"/>
            <w:tcBorders>
              <w:top w:val="nil"/>
              <w:bottom w:val="nil"/>
            </w:tcBorders>
            <w:vAlign w:val="center"/>
          </w:tcPr>
          <w:p w14:paraId="6C1DEB2A"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Model (grade 3+)</w:t>
            </w:r>
          </w:p>
        </w:tc>
        <w:tc>
          <w:tcPr>
            <w:tcW w:w="945" w:type="dxa"/>
            <w:gridSpan w:val="2"/>
            <w:tcBorders>
              <w:top w:val="nil"/>
              <w:bottom w:val="nil"/>
              <w:right w:val="nil"/>
            </w:tcBorders>
            <w:vAlign w:val="center"/>
          </w:tcPr>
          <w:p w14:paraId="52D3A4F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 (0.2)</w:t>
            </w:r>
          </w:p>
        </w:tc>
        <w:tc>
          <w:tcPr>
            <w:tcW w:w="945" w:type="dxa"/>
            <w:gridSpan w:val="2"/>
            <w:tcBorders>
              <w:top w:val="nil"/>
              <w:left w:val="nil"/>
              <w:bottom w:val="nil"/>
              <w:right w:val="nil"/>
            </w:tcBorders>
            <w:vAlign w:val="center"/>
          </w:tcPr>
          <w:p w14:paraId="1C6D6C2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w:t>
            </w:r>
          </w:p>
        </w:tc>
        <w:tc>
          <w:tcPr>
            <w:tcW w:w="945" w:type="dxa"/>
            <w:tcBorders>
              <w:top w:val="nil"/>
              <w:left w:val="nil"/>
              <w:bottom w:val="nil"/>
              <w:right w:val="nil"/>
            </w:tcBorders>
            <w:vAlign w:val="center"/>
          </w:tcPr>
          <w:p w14:paraId="2CDA0F3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417" w:type="dxa"/>
            <w:tcBorders>
              <w:top w:val="nil"/>
              <w:left w:val="nil"/>
              <w:bottom w:val="nil"/>
            </w:tcBorders>
          </w:tcPr>
          <w:p w14:paraId="4487B4E2"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2533298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 (0.5)</w:t>
            </w:r>
          </w:p>
        </w:tc>
        <w:tc>
          <w:tcPr>
            <w:tcW w:w="1038" w:type="dxa"/>
            <w:tcBorders>
              <w:top w:val="nil"/>
              <w:left w:val="nil"/>
              <w:bottom w:val="nil"/>
            </w:tcBorders>
            <w:vAlign w:val="center"/>
          </w:tcPr>
          <w:p w14:paraId="36CC06D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w:t>
            </w:r>
          </w:p>
        </w:tc>
      </w:tr>
      <w:tr w:rsidR="00814F74" w:rsidRPr="00BF06FC" w14:paraId="378571CC" w14:textId="77777777" w:rsidTr="00DF5EF9">
        <w:tc>
          <w:tcPr>
            <w:tcW w:w="2689" w:type="dxa"/>
            <w:tcBorders>
              <w:top w:val="nil"/>
              <w:bottom w:val="nil"/>
            </w:tcBorders>
            <w:vAlign w:val="center"/>
          </w:tcPr>
          <w:p w14:paraId="2698C403"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Ischaemic heart disease</w:t>
            </w:r>
          </w:p>
        </w:tc>
        <w:tc>
          <w:tcPr>
            <w:tcW w:w="945" w:type="dxa"/>
            <w:gridSpan w:val="2"/>
            <w:tcBorders>
              <w:top w:val="nil"/>
              <w:bottom w:val="nil"/>
              <w:right w:val="nil"/>
            </w:tcBorders>
            <w:vAlign w:val="center"/>
          </w:tcPr>
          <w:p w14:paraId="4DA45B3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31 (6)</w:t>
            </w:r>
          </w:p>
        </w:tc>
        <w:tc>
          <w:tcPr>
            <w:tcW w:w="945" w:type="dxa"/>
            <w:gridSpan w:val="2"/>
            <w:tcBorders>
              <w:top w:val="nil"/>
              <w:left w:val="nil"/>
              <w:bottom w:val="nil"/>
              <w:right w:val="nil"/>
            </w:tcBorders>
            <w:vAlign w:val="center"/>
          </w:tcPr>
          <w:p w14:paraId="354D1D2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11 (2)</w:t>
            </w:r>
          </w:p>
        </w:tc>
        <w:tc>
          <w:tcPr>
            <w:tcW w:w="945" w:type="dxa"/>
            <w:tcBorders>
              <w:top w:val="nil"/>
              <w:left w:val="nil"/>
              <w:bottom w:val="nil"/>
              <w:right w:val="nil"/>
            </w:tcBorders>
            <w:vAlign w:val="center"/>
          </w:tcPr>
          <w:p w14:paraId="6A656EB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 (1)</w:t>
            </w:r>
          </w:p>
        </w:tc>
        <w:tc>
          <w:tcPr>
            <w:tcW w:w="1417" w:type="dxa"/>
            <w:tcBorders>
              <w:top w:val="nil"/>
              <w:left w:val="nil"/>
              <w:bottom w:val="nil"/>
            </w:tcBorders>
          </w:tcPr>
          <w:p w14:paraId="50561A42" w14:textId="77777777" w:rsidR="00814F74" w:rsidRPr="003F72E0" w:rsidRDefault="00814F74" w:rsidP="00E56763">
            <w:pPr>
              <w:keepNext/>
              <w:jc w:val="center"/>
              <w:rPr>
                <w:rFonts w:ascii="Arial Narrow" w:hAnsi="Arial Narrow"/>
                <w:sz w:val="20"/>
                <w:szCs w:val="20"/>
              </w:rPr>
            </w:pPr>
            <w:r w:rsidRPr="003F72E0">
              <w:rPr>
                <w:rFonts w:ascii="Arial Narrow" w:hAnsi="Arial Narrow"/>
                <w:b/>
                <w:sz w:val="20"/>
                <w:szCs w:val="20"/>
              </w:rPr>
              <w:t>4% (2%, 6%)</w:t>
            </w:r>
          </w:p>
        </w:tc>
        <w:tc>
          <w:tcPr>
            <w:tcW w:w="1038" w:type="dxa"/>
            <w:tcBorders>
              <w:top w:val="nil"/>
              <w:bottom w:val="nil"/>
              <w:right w:val="nil"/>
            </w:tcBorders>
            <w:vAlign w:val="center"/>
          </w:tcPr>
          <w:p w14:paraId="123A2867"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5C2CA36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3420DF07" w14:textId="77777777" w:rsidTr="00DF5EF9">
        <w:tc>
          <w:tcPr>
            <w:tcW w:w="2689" w:type="dxa"/>
            <w:tcBorders>
              <w:top w:val="nil"/>
              <w:bottom w:val="nil"/>
            </w:tcBorders>
            <w:vAlign w:val="center"/>
          </w:tcPr>
          <w:p w14:paraId="156B6E9C"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Exposure-adjusted, /100 SY</w:t>
            </w:r>
          </w:p>
        </w:tc>
        <w:tc>
          <w:tcPr>
            <w:tcW w:w="945" w:type="dxa"/>
            <w:gridSpan w:val="2"/>
            <w:tcBorders>
              <w:top w:val="nil"/>
              <w:bottom w:val="nil"/>
              <w:right w:val="nil"/>
            </w:tcBorders>
            <w:vAlign w:val="center"/>
          </w:tcPr>
          <w:p w14:paraId="557F25C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3.3</w:t>
            </w:r>
          </w:p>
        </w:tc>
        <w:tc>
          <w:tcPr>
            <w:tcW w:w="945" w:type="dxa"/>
            <w:gridSpan w:val="2"/>
            <w:tcBorders>
              <w:top w:val="nil"/>
              <w:left w:val="nil"/>
              <w:bottom w:val="nil"/>
              <w:right w:val="nil"/>
            </w:tcBorders>
            <w:vAlign w:val="center"/>
          </w:tcPr>
          <w:p w14:paraId="09D9D5C2"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1.6</w:t>
            </w:r>
          </w:p>
        </w:tc>
        <w:tc>
          <w:tcPr>
            <w:tcW w:w="945" w:type="dxa"/>
            <w:tcBorders>
              <w:top w:val="nil"/>
              <w:left w:val="nil"/>
              <w:bottom w:val="nil"/>
              <w:right w:val="nil"/>
            </w:tcBorders>
            <w:vAlign w:val="center"/>
          </w:tcPr>
          <w:p w14:paraId="04EA345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0.4</w:t>
            </w:r>
          </w:p>
        </w:tc>
        <w:tc>
          <w:tcPr>
            <w:tcW w:w="1417" w:type="dxa"/>
            <w:tcBorders>
              <w:top w:val="nil"/>
              <w:left w:val="nil"/>
              <w:bottom w:val="nil"/>
            </w:tcBorders>
          </w:tcPr>
          <w:p w14:paraId="27E7B92A"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7FB750E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36A6B2A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324C5F0A" w14:textId="77777777" w:rsidTr="00DF5EF9">
        <w:tc>
          <w:tcPr>
            <w:tcW w:w="2689" w:type="dxa"/>
            <w:tcBorders>
              <w:top w:val="nil"/>
              <w:bottom w:val="nil"/>
            </w:tcBorders>
            <w:vAlign w:val="center"/>
          </w:tcPr>
          <w:p w14:paraId="6C18DD04"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Model (grade 3+/SAE)</w:t>
            </w:r>
          </w:p>
        </w:tc>
        <w:tc>
          <w:tcPr>
            <w:tcW w:w="945" w:type="dxa"/>
            <w:gridSpan w:val="2"/>
            <w:tcBorders>
              <w:top w:val="nil"/>
              <w:bottom w:val="nil"/>
              <w:right w:val="nil"/>
            </w:tcBorders>
            <w:vAlign w:val="center"/>
          </w:tcPr>
          <w:p w14:paraId="10E3DB9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21 (4.0)</w:t>
            </w:r>
          </w:p>
        </w:tc>
        <w:tc>
          <w:tcPr>
            <w:tcW w:w="945" w:type="dxa"/>
            <w:gridSpan w:val="2"/>
            <w:tcBorders>
              <w:top w:val="nil"/>
              <w:left w:val="nil"/>
              <w:bottom w:val="nil"/>
              <w:right w:val="nil"/>
            </w:tcBorders>
            <w:vAlign w:val="center"/>
          </w:tcPr>
          <w:p w14:paraId="106CE4F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 (0.9)</w:t>
            </w:r>
          </w:p>
        </w:tc>
        <w:tc>
          <w:tcPr>
            <w:tcW w:w="945" w:type="dxa"/>
            <w:tcBorders>
              <w:top w:val="nil"/>
              <w:left w:val="nil"/>
              <w:bottom w:val="nil"/>
              <w:right w:val="nil"/>
            </w:tcBorders>
            <w:vAlign w:val="center"/>
          </w:tcPr>
          <w:p w14:paraId="3C9788E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417" w:type="dxa"/>
            <w:tcBorders>
              <w:top w:val="nil"/>
              <w:left w:val="nil"/>
              <w:bottom w:val="nil"/>
            </w:tcBorders>
          </w:tcPr>
          <w:p w14:paraId="1C6CDFB7"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17CF2D6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9 (4.5)</w:t>
            </w:r>
          </w:p>
        </w:tc>
        <w:tc>
          <w:tcPr>
            <w:tcW w:w="1038" w:type="dxa"/>
            <w:tcBorders>
              <w:top w:val="nil"/>
              <w:left w:val="nil"/>
              <w:bottom w:val="nil"/>
            </w:tcBorders>
            <w:vAlign w:val="center"/>
          </w:tcPr>
          <w:p w14:paraId="020C70B4"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 (1.0)</w:t>
            </w:r>
          </w:p>
        </w:tc>
      </w:tr>
      <w:tr w:rsidR="00814F74" w:rsidRPr="00BF06FC" w14:paraId="0602F39A" w14:textId="77777777" w:rsidTr="00DF5EF9">
        <w:tc>
          <w:tcPr>
            <w:tcW w:w="2689" w:type="dxa"/>
            <w:tcBorders>
              <w:top w:val="nil"/>
              <w:bottom w:val="nil"/>
            </w:tcBorders>
            <w:vAlign w:val="center"/>
          </w:tcPr>
          <w:p w14:paraId="36E6DE93"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Ischaemic cerebrovascular</w:t>
            </w:r>
          </w:p>
        </w:tc>
        <w:tc>
          <w:tcPr>
            <w:tcW w:w="945" w:type="dxa"/>
            <w:gridSpan w:val="2"/>
            <w:tcBorders>
              <w:top w:val="nil"/>
              <w:bottom w:val="nil"/>
              <w:right w:val="nil"/>
            </w:tcBorders>
            <w:vAlign w:val="center"/>
          </w:tcPr>
          <w:p w14:paraId="51F5730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13 (2)</w:t>
            </w:r>
          </w:p>
        </w:tc>
        <w:tc>
          <w:tcPr>
            <w:tcW w:w="945" w:type="dxa"/>
            <w:gridSpan w:val="2"/>
            <w:tcBorders>
              <w:top w:val="nil"/>
              <w:left w:val="nil"/>
              <w:bottom w:val="nil"/>
              <w:right w:val="nil"/>
            </w:tcBorders>
            <w:vAlign w:val="center"/>
          </w:tcPr>
          <w:p w14:paraId="504A0A1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8 (2)</w:t>
            </w:r>
          </w:p>
        </w:tc>
        <w:tc>
          <w:tcPr>
            <w:tcW w:w="945" w:type="dxa"/>
            <w:tcBorders>
              <w:top w:val="nil"/>
              <w:left w:val="nil"/>
              <w:bottom w:val="nil"/>
              <w:right w:val="nil"/>
            </w:tcBorders>
            <w:vAlign w:val="center"/>
          </w:tcPr>
          <w:p w14:paraId="4372D41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5 (2)</w:t>
            </w:r>
          </w:p>
        </w:tc>
        <w:tc>
          <w:tcPr>
            <w:tcW w:w="1417" w:type="dxa"/>
            <w:tcBorders>
              <w:top w:val="nil"/>
              <w:left w:val="nil"/>
              <w:bottom w:val="nil"/>
            </w:tcBorders>
            <w:vAlign w:val="center"/>
          </w:tcPr>
          <w:p w14:paraId="273EB91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 (-1%, 3%)</w:t>
            </w:r>
          </w:p>
        </w:tc>
        <w:tc>
          <w:tcPr>
            <w:tcW w:w="1038" w:type="dxa"/>
            <w:tcBorders>
              <w:top w:val="nil"/>
              <w:bottom w:val="nil"/>
              <w:right w:val="nil"/>
            </w:tcBorders>
            <w:vAlign w:val="center"/>
          </w:tcPr>
          <w:p w14:paraId="2C4E84B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5B4520A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6AA00FA5" w14:textId="77777777" w:rsidTr="00DF5EF9">
        <w:tc>
          <w:tcPr>
            <w:tcW w:w="2689" w:type="dxa"/>
            <w:tcBorders>
              <w:top w:val="nil"/>
              <w:bottom w:val="nil"/>
            </w:tcBorders>
            <w:vAlign w:val="center"/>
          </w:tcPr>
          <w:p w14:paraId="3A480641"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Exposure-adjusted, /100 SY</w:t>
            </w:r>
          </w:p>
        </w:tc>
        <w:tc>
          <w:tcPr>
            <w:tcW w:w="945" w:type="dxa"/>
            <w:gridSpan w:val="2"/>
            <w:tcBorders>
              <w:top w:val="nil"/>
              <w:bottom w:val="nil"/>
              <w:right w:val="nil"/>
            </w:tcBorders>
            <w:vAlign w:val="center"/>
          </w:tcPr>
          <w:p w14:paraId="7824C50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1.3</w:t>
            </w:r>
          </w:p>
        </w:tc>
        <w:tc>
          <w:tcPr>
            <w:tcW w:w="945" w:type="dxa"/>
            <w:gridSpan w:val="2"/>
            <w:tcBorders>
              <w:top w:val="nil"/>
              <w:left w:val="nil"/>
              <w:bottom w:val="nil"/>
              <w:right w:val="nil"/>
            </w:tcBorders>
            <w:vAlign w:val="center"/>
          </w:tcPr>
          <w:p w14:paraId="35A68597"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1.3</w:t>
            </w:r>
          </w:p>
        </w:tc>
        <w:tc>
          <w:tcPr>
            <w:tcW w:w="945" w:type="dxa"/>
            <w:tcBorders>
              <w:top w:val="nil"/>
              <w:left w:val="nil"/>
              <w:bottom w:val="nil"/>
              <w:right w:val="nil"/>
            </w:tcBorders>
            <w:vAlign w:val="center"/>
          </w:tcPr>
          <w:p w14:paraId="505FBD9B"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2.9</w:t>
            </w:r>
          </w:p>
        </w:tc>
        <w:tc>
          <w:tcPr>
            <w:tcW w:w="1417" w:type="dxa"/>
            <w:tcBorders>
              <w:top w:val="nil"/>
              <w:left w:val="nil"/>
              <w:bottom w:val="nil"/>
            </w:tcBorders>
          </w:tcPr>
          <w:p w14:paraId="03F9D5A7"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nil"/>
              <w:right w:val="nil"/>
            </w:tcBorders>
            <w:vAlign w:val="center"/>
          </w:tcPr>
          <w:p w14:paraId="22862230"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0EDA5FF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473B3A97" w14:textId="77777777" w:rsidTr="00DF5EF9">
        <w:tc>
          <w:tcPr>
            <w:tcW w:w="2689" w:type="dxa"/>
            <w:tcBorders>
              <w:top w:val="nil"/>
              <w:bottom w:val="double" w:sz="4" w:space="0" w:color="auto"/>
            </w:tcBorders>
            <w:vAlign w:val="center"/>
          </w:tcPr>
          <w:p w14:paraId="19851E63" w14:textId="77777777" w:rsidR="00814F74" w:rsidRPr="003F72E0" w:rsidRDefault="00814F74" w:rsidP="00E56763">
            <w:pPr>
              <w:pStyle w:val="ListParagraph"/>
              <w:keepNext/>
              <w:spacing w:after="0"/>
              <w:ind w:left="254"/>
              <w:jc w:val="left"/>
              <w:rPr>
                <w:rFonts w:ascii="Arial Narrow" w:hAnsi="Arial Narrow"/>
                <w:sz w:val="20"/>
                <w:szCs w:val="20"/>
              </w:rPr>
            </w:pPr>
            <w:r w:rsidRPr="003F72E0">
              <w:rPr>
                <w:rFonts w:ascii="Arial Narrow" w:hAnsi="Arial Narrow"/>
                <w:sz w:val="20"/>
                <w:szCs w:val="20"/>
              </w:rPr>
              <w:t>Model (grade 3+/SAE)</w:t>
            </w:r>
          </w:p>
        </w:tc>
        <w:tc>
          <w:tcPr>
            <w:tcW w:w="945" w:type="dxa"/>
            <w:gridSpan w:val="2"/>
            <w:tcBorders>
              <w:top w:val="nil"/>
              <w:bottom w:val="double" w:sz="4" w:space="0" w:color="auto"/>
              <w:right w:val="nil"/>
            </w:tcBorders>
            <w:vAlign w:val="center"/>
          </w:tcPr>
          <w:p w14:paraId="22EB6F98"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9 (1.7)</w:t>
            </w:r>
          </w:p>
        </w:tc>
        <w:tc>
          <w:tcPr>
            <w:tcW w:w="945" w:type="dxa"/>
            <w:gridSpan w:val="2"/>
            <w:tcBorders>
              <w:top w:val="nil"/>
              <w:left w:val="nil"/>
              <w:bottom w:val="double" w:sz="4" w:space="0" w:color="auto"/>
              <w:right w:val="nil"/>
            </w:tcBorders>
            <w:vAlign w:val="center"/>
          </w:tcPr>
          <w:p w14:paraId="3D24D377"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2 (0.4)</w:t>
            </w:r>
          </w:p>
        </w:tc>
        <w:tc>
          <w:tcPr>
            <w:tcW w:w="945" w:type="dxa"/>
            <w:tcBorders>
              <w:top w:val="nil"/>
              <w:left w:val="nil"/>
              <w:bottom w:val="double" w:sz="4" w:space="0" w:color="auto"/>
              <w:right w:val="nil"/>
            </w:tcBorders>
            <w:vAlign w:val="center"/>
          </w:tcPr>
          <w:p w14:paraId="48D14D6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417" w:type="dxa"/>
            <w:tcBorders>
              <w:top w:val="nil"/>
              <w:left w:val="nil"/>
              <w:bottom w:val="double" w:sz="4" w:space="0" w:color="auto"/>
            </w:tcBorders>
          </w:tcPr>
          <w:p w14:paraId="20925137" w14:textId="77777777" w:rsidR="00814F74" w:rsidRPr="003F72E0" w:rsidRDefault="003B7348"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bottom w:val="double" w:sz="4" w:space="0" w:color="auto"/>
              <w:right w:val="nil"/>
            </w:tcBorders>
            <w:vAlign w:val="center"/>
          </w:tcPr>
          <w:p w14:paraId="28426FB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 (1.5)</w:t>
            </w:r>
          </w:p>
        </w:tc>
        <w:tc>
          <w:tcPr>
            <w:tcW w:w="1038" w:type="dxa"/>
            <w:tcBorders>
              <w:top w:val="nil"/>
              <w:left w:val="nil"/>
              <w:bottom w:val="double" w:sz="4" w:space="0" w:color="auto"/>
            </w:tcBorders>
            <w:vAlign w:val="center"/>
          </w:tcPr>
          <w:p w14:paraId="17C3A26F"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0</w:t>
            </w:r>
          </w:p>
        </w:tc>
      </w:tr>
      <w:tr w:rsidR="00814F74" w:rsidRPr="00BF06FC" w14:paraId="501F0F3D" w14:textId="77777777" w:rsidTr="00DF5EF9">
        <w:tc>
          <w:tcPr>
            <w:tcW w:w="2689" w:type="dxa"/>
            <w:tcBorders>
              <w:top w:val="double" w:sz="4" w:space="0" w:color="auto"/>
              <w:bottom w:val="nil"/>
            </w:tcBorders>
            <w:vAlign w:val="center"/>
          </w:tcPr>
          <w:p w14:paraId="46438A86"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Other AEs in model (grade 3+/SAE)</w:t>
            </w:r>
          </w:p>
        </w:tc>
        <w:tc>
          <w:tcPr>
            <w:tcW w:w="945" w:type="dxa"/>
            <w:gridSpan w:val="2"/>
            <w:tcBorders>
              <w:top w:val="double" w:sz="4" w:space="0" w:color="auto"/>
              <w:bottom w:val="nil"/>
              <w:right w:val="nil"/>
            </w:tcBorders>
            <w:vAlign w:val="center"/>
          </w:tcPr>
          <w:p w14:paraId="2825FE17" w14:textId="77777777" w:rsidR="00814F74" w:rsidRPr="003F72E0" w:rsidRDefault="00814F74" w:rsidP="00E56763">
            <w:pPr>
              <w:keepNext/>
              <w:jc w:val="center"/>
              <w:rPr>
                <w:rFonts w:ascii="Arial Narrow" w:hAnsi="Arial Narrow"/>
                <w:sz w:val="20"/>
                <w:szCs w:val="20"/>
              </w:rPr>
            </w:pPr>
          </w:p>
        </w:tc>
        <w:tc>
          <w:tcPr>
            <w:tcW w:w="945" w:type="dxa"/>
            <w:gridSpan w:val="2"/>
            <w:tcBorders>
              <w:top w:val="double" w:sz="4" w:space="0" w:color="auto"/>
              <w:left w:val="nil"/>
              <w:bottom w:val="nil"/>
              <w:right w:val="nil"/>
            </w:tcBorders>
            <w:vAlign w:val="center"/>
          </w:tcPr>
          <w:p w14:paraId="54916FCD" w14:textId="77777777" w:rsidR="00814F74" w:rsidRPr="003F72E0" w:rsidRDefault="00814F74" w:rsidP="00E56763">
            <w:pPr>
              <w:keepNext/>
              <w:jc w:val="center"/>
              <w:rPr>
                <w:rFonts w:ascii="Arial Narrow" w:hAnsi="Arial Narrow"/>
                <w:sz w:val="20"/>
                <w:szCs w:val="20"/>
              </w:rPr>
            </w:pPr>
          </w:p>
        </w:tc>
        <w:tc>
          <w:tcPr>
            <w:tcW w:w="945" w:type="dxa"/>
            <w:tcBorders>
              <w:top w:val="double" w:sz="4" w:space="0" w:color="auto"/>
              <w:left w:val="nil"/>
              <w:bottom w:val="nil"/>
              <w:right w:val="nil"/>
            </w:tcBorders>
            <w:vAlign w:val="center"/>
          </w:tcPr>
          <w:p w14:paraId="6A7AF532" w14:textId="77777777" w:rsidR="00814F74" w:rsidRPr="003F72E0" w:rsidRDefault="00814F74" w:rsidP="00E56763">
            <w:pPr>
              <w:keepNext/>
              <w:jc w:val="center"/>
              <w:rPr>
                <w:rFonts w:ascii="Arial Narrow" w:hAnsi="Arial Narrow"/>
                <w:sz w:val="20"/>
                <w:szCs w:val="20"/>
              </w:rPr>
            </w:pPr>
          </w:p>
        </w:tc>
        <w:tc>
          <w:tcPr>
            <w:tcW w:w="1417" w:type="dxa"/>
            <w:tcBorders>
              <w:top w:val="double" w:sz="4" w:space="0" w:color="auto"/>
              <w:left w:val="nil"/>
              <w:bottom w:val="nil"/>
            </w:tcBorders>
          </w:tcPr>
          <w:p w14:paraId="0A1D6452" w14:textId="77777777" w:rsidR="00814F74" w:rsidRPr="003F72E0" w:rsidRDefault="00814F74" w:rsidP="00E56763">
            <w:pPr>
              <w:keepNext/>
              <w:jc w:val="center"/>
              <w:rPr>
                <w:rFonts w:ascii="Arial Narrow" w:hAnsi="Arial Narrow"/>
                <w:sz w:val="20"/>
                <w:szCs w:val="20"/>
              </w:rPr>
            </w:pPr>
          </w:p>
        </w:tc>
        <w:tc>
          <w:tcPr>
            <w:tcW w:w="1038" w:type="dxa"/>
            <w:tcBorders>
              <w:top w:val="double" w:sz="4" w:space="0" w:color="auto"/>
              <w:bottom w:val="nil"/>
              <w:right w:val="nil"/>
            </w:tcBorders>
            <w:vAlign w:val="center"/>
          </w:tcPr>
          <w:p w14:paraId="249E5982" w14:textId="77777777" w:rsidR="00814F74" w:rsidRPr="003F72E0" w:rsidRDefault="00814F74" w:rsidP="00E56763">
            <w:pPr>
              <w:keepNext/>
              <w:jc w:val="center"/>
              <w:rPr>
                <w:rFonts w:ascii="Arial Narrow" w:hAnsi="Arial Narrow"/>
                <w:sz w:val="20"/>
                <w:szCs w:val="20"/>
              </w:rPr>
            </w:pPr>
          </w:p>
        </w:tc>
        <w:tc>
          <w:tcPr>
            <w:tcW w:w="1038" w:type="dxa"/>
            <w:tcBorders>
              <w:top w:val="double" w:sz="4" w:space="0" w:color="auto"/>
              <w:left w:val="nil"/>
              <w:bottom w:val="nil"/>
            </w:tcBorders>
            <w:vAlign w:val="center"/>
          </w:tcPr>
          <w:p w14:paraId="69DCA126" w14:textId="77777777" w:rsidR="00814F74" w:rsidRPr="003F72E0" w:rsidRDefault="00814F74" w:rsidP="00E56763">
            <w:pPr>
              <w:keepNext/>
              <w:jc w:val="center"/>
              <w:rPr>
                <w:rFonts w:ascii="Arial Narrow" w:hAnsi="Arial Narrow"/>
                <w:sz w:val="20"/>
                <w:szCs w:val="20"/>
              </w:rPr>
            </w:pPr>
          </w:p>
        </w:tc>
      </w:tr>
      <w:tr w:rsidR="00814F74" w:rsidRPr="00BF06FC" w14:paraId="5D294A59" w14:textId="77777777" w:rsidTr="00DF5EF9">
        <w:tc>
          <w:tcPr>
            <w:tcW w:w="2689" w:type="dxa"/>
            <w:tcBorders>
              <w:top w:val="nil"/>
              <w:bottom w:val="nil"/>
            </w:tcBorders>
            <w:vAlign w:val="center"/>
          </w:tcPr>
          <w:p w14:paraId="5298683B"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Pneumonia</w:t>
            </w:r>
          </w:p>
        </w:tc>
        <w:tc>
          <w:tcPr>
            <w:tcW w:w="945" w:type="dxa"/>
            <w:gridSpan w:val="2"/>
            <w:tcBorders>
              <w:top w:val="nil"/>
              <w:bottom w:val="nil"/>
              <w:right w:val="nil"/>
            </w:tcBorders>
            <w:vAlign w:val="center"/>
          </w:tcPr>
          <w:p w14:paraId="3BE38DCE"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12 (2.3)</w:t>
            </w:r>
          </w:p>
        </w:tc>
        <w:tc>
          <w:tcPr>
            <w:tcW w:w="945" w:type="dxa"/>
            <w:gridSpan w:val="2"/>
            <w:tcBorders>
              <w:top w:val="nil"/>
              <w:left w:val="nil"/>
              <w:bottom w:val="nil"/>
              <w:right w:val="nil"/>
            </w:tcBorders>
            <w:vAlign w:val="center"/>
          </w:tcPr>
          <w:p w14:paraId="23C3E0AB"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4 (0.8)</w:t>
            </w:r>
          </w:p>
        </w:tc>
        <w:tc>
          <w:tcPr>
            <w:tcW w:w="945" w:type="dxa"/>
            <w:tcBorders>
              <w:top w:val="nil"/>
              <w:left w:val="nil"/>
              <w:bottom w:val="nil"/>
              <w:right w:val="nil"/>
            </w:tcBorders>
            <w:vAlign w:val="center"/>
          </w:tcPr>
          <w:p w14:paraId="2C8EC8E1" w14:textId="77777777" w:rsidR="00814F74" w:rsidRPr="003F72E0" w:rsidRDefault="00814F74" w:rsidP="00E56763">
            <w:pPr>
              <w:keepNext/>
              <w:jc w:val="center"/>
              <w:rPr>
                <w:rFonts w:ascii="Arial Narrow" w:hAnsi="Arial Narrow"/>
                <w:sz w:val="20"/>
                <w:szCs w:val="20"/>
              </w:rPr>
            </w:pPr>
          </w:p>
        </w:tc>
        <w:tc>
          <w:tcPr>
            <w:tcW w:w="1417" w:type="dxa"/>
            <w:tcBorders>
              <w:top w:val="nil"/>
              <w:left w:val="nil"/>
              <w:bottom w:val="nil"/>
            </w:tcBorders>
          </w:tcPr>
          <w:p w14:paraId="7CBD2186" w14:textId="77777777" w:rsidR="00814F74" w:rsidRPr="003F72E0" w:rsidRDefault="00814F74" w:rsidP="00E56763">
            <w:pPr>
              <w:keepNext/>
              <w:jc w:val="center"/>
              <w:rPr>
                <w:rFonts w:ascii="Arial Narrow" w:hAnsi="Arial Narrow"/>
                <w:sz w:val="20"/>
                <w:szCs w:val="20"/>
              </w:rPr>
            </w:pPr>
          </w:p>
        </w:tc>
        <w:tc>
          <w:tcPr>
            <w:tcW w:w="1038" w:type="dxa"/>
            <w:tcBorders>
              <w:top w:val="nil"/>
              <w:bottom w:val="nil"/>
              <w:right w:val="nil"/>
            </w:tcBorders>
            <w:vAlign w:val="center"/>
          </w:tcPr>
          <w:p w14:paraId="7EBBFDF3"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0D0A3F4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09CE5D2D" w14:textId="77777777" w:rsidTr="00DF5EF9">
        <w:tc>
          <w:tcPr>
            <w:tcW w:w="2689" w:type="dxa"/>
            <w:tcBorders>
              <w:top w:val="nil"/>
              <w:bottom w:val="nil"/>
            </w:tcBorders>
            <w:vAlign w:val="center"/>
          </w:tcPr>
          <w:p w14:paraId="141618D8"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Urinary tract infection</w:t>
            </w:r>
          </w:p>
        </w:tc>
        <w:tc>
          <w:tcPr>
            <w:tcW w:w="945" w:type="dxa"/>
            <w:gridSpan w:val="2"/>
            <w:tcBorders>
              <w:top w:val="nil"/>
              <w:bottom w:val="nil"/>
              <w:right w:val="nil"/>
            </w:tcBorders>
            <w:vAlign w:val="center"/>
          </w:tcPr>
          <w:p w14:paraId="2EC3C826"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10 (1.9)</w:t>
            </w:r>
          </w:p>
        </w:tc>
        <w:tc>
          <w:tcPr>
            <w:tcW w:w="945" w:type="dxa"/>
            <w:gridSpan w:val="2"/>
            <w:tcBorders>
              <w:top w:val="nil"/>
              <w:left w:val="nil"/>
              <w:bottom w:val="nil"/>
              <w:right w:val="nil"/>
            </w:tcBorders>
            <w:vAlign w:val="center"/>
          </w:tcPr>
          <w:p w14:paraId="27E21DB1"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 (0.6)</w:t>
            </w:r>
          </w:p>
        </w:tc>
        <w:tc>
          <w:tcPr>
            <w:tcW w:w="945" w:type="dxa"/>
            <w:tcBorders>
              <w:top w:val="nil"/>
              <w:left w:val="nil"/>
              <w:bottom w:val="nil"/>
              <w:right w:val="nil"/>
            </w:tcBorders>
            <w:vAlign w:val="center"/>
          </w:tcPr>
          <w:p w14:paraId="2899D882" w14:textId="77777777" w:rsidR="00814F74" w:rsidRPr="003F72E0" w:rsidRDefault="00814F74" w:rsidP="00E56763">
            <w:pPr>
              <w:keepNext/>
              <w:jc w:val="center"/>
              <w:rPr>
                <w:rFonts w:ascii="Arial Narrow" w:hAnsi="Arial Narrow"/>
                <w:sz w:val="20"/>
                <w:szCs w:val="20"/>
              </w:rPr>
            </w:pPr>
          </w:p>
        </w:tc>
        <w:tc>
          <w:tcPr>
            <w:tcW w:w="1417" w:type="dxa"/>
            <w:tcBorders>
              <w:top w:val="nil"/>
              <w:left w:val="nil"/>
              <w:bottom w:val="nil"/>
            </w:tcBorders>
          </w:tcPr>
          <w:p w14:paraId="3113B876" w14:textId="77777777" w:rsidR="00814F74" w:rsidRPr="003F72E0" w:rsidRDefault="00814F74" w:rsidP="00E56763">
            <w:pPr>
              <w:keepNext/>
              <w:jc w:val="center"/>
              <w:rPr>
                <w:rFonts w:ascii="Arial Narrow" w:hAnsi="Arial Narrow"/>
                <w:sz w:val="20"/>
                <w:szCs w:val="20"/>
              </w:rPr>
            </w:pPr>
          </w:p>
        </w:tc>
        <w:tc>
          <w:tcPr>
            <w:tcW w:w="1038" w:type="dxa"/>
            <w:tcBorders>
              <w:top w:val="nil"/>
              <w:bottom w:val="nil"/>
              <w:right w:val="nil"/>
            </w:tcBorders>
            <w:vAlign w:val="center"/>
          </w:tcPr>
          <w:p w14:paraId="5C985A6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bottom w:val="nil"/>
            </w:tcBorders>
            <w:vAlign w:val="center"/>
          </w:tcPr>
          <w:p w14:paraId="5BD15C4A"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r w:rsidR="00814F74" w:rsidRPr="00BF06FC" w14:paraId="6FD9DFC2" w14:textId="77777777" w:rsidTr="00DF5EF9">
        <w:tc>
          <w:tcPr>
            <w:tcW w:w="2689" w:type="dxa"/>
            <w:tcBorders>
              <w:top w:val="nil"/>
            </w:tcBorders>
            <w:vAlign w:val="center"/>
          </w:tcPr>
          <w:p w14:paraId="4CD9361A" w14:textId="77777777" w:rsidR="00814F74" w:rsidRPr="003F72E0" w:rsidRDefault="00814F74" w:rsidP="00E56763">
            <w:pPr>
              <w:keepNext/>
              <w:jc w:val="left"/>
              <w:rPr>
                <w:rFonts w:ascii="Arial Narrow" w:hAnsi="Arial Narrow"/>
                <w:sz w:val="20"/>
                <w:szCs w:val="20"/>
              </w:rPr>
            </w:pPr>
            <w:r w:rsidRPr="003F72E0">
              <w:rPr>
                <w:rFonts w:ascii="Arial Narrow" w:hAnsi="Arial Narrow"/>
                <w:sz w:val="20"/>
                <w:szCs w:val="20"/>
              </w:rPr>
              <w:t>Haematuria</w:t>
            </w:r>
          </w:p>
        </w:tc>
        <w:tc>
          <w:tcPr>
            <w:tcW w:w="850" w:type="dxa"/>
            <w:tcBorders>
              <w:top w:val="nil"/>
              <w:right w:val="nil"/>
            </w:tcBorders>
            <w:vAlign w:val="center"/>
          </w:tcPr>
          <w:p w14:paraId="43FD6A79"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10 (1.9)</w:t>
            </w:r>
          </w:p>
        </w:tc>
        <w:tc>
          <w:tcPr>
            <w:tcW w:w="992" w:type="dxa"/>
            <w:gridSpan w:val="2"/>
            <w:tcBorders>
              <w:top w:val="nil"/>
              <w:left w:val="nil"/>
              <w:right w:val="nil"/>
            </w:tcBorders>
            <w:vAlign w:val="center"/>
          </w:tcPr>
          <w:p w14:paraId="6BEA746D"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3 (0.6)</w:t>
            </w:r>
          </w:p>
        </w:tc>
        <w:tc>
          <w:tcPr>
            <w:tcW w:w="993" w:type="dxa"/>
            <w:gridSpan w:val="2"/>
            <w:tcBorders>
              <w:top w:val="nil"/>
              <w:left w:val="nil"/>
              <w:right w:val="nil"/>
            </w:tcBorders>
            <w:vAlign w:val="center"/>
          </w:tcPr>
          <w:p w14:paraId="1C817CF3" w14:textId="77777777" w:rsidR="00814F74" w:rsidRPr="003F72E0" w:rsidRDefault="00814F74" w:rsidP="00E56763">
            <w:pPr>
              <w:keepNext/>
              <w:jc w:val="center"/>
              <w:rPr>
                <w:rFonts w:ascii="Arial Narrow" w:hAnsi="Arial Narrow"/>
                <w:sz w:val="20"/>
                <w:szCs w:val="20"/>
              </w:rPr>
            </w:pPr>
          </w:p>
        </w:tc>
        <w:tc>
          <w:tcPr>
            <w:tcW w:w="1417" w:type="dxa"/>
            <w:tcBorders>
              <w:top w:val="nil"/>
              <w:left w:val="nil"/>
            </w:tcBorders>
          </w:tcPr>
          <w:p w14:paraId="2EA339CA" w14:textId="77777777" w:rsidR="00814F74" w:rsidRPr="003F72E0" w:rsidRDefault="00814F74" w:rsidP="00E56763">
            <w:pPr>
              <w:keepNext/>
              <w:jc w:val="center"/>
              <w:rPr>
                <w:rFonts w:ascii="Arial Narrow" w:hAnsi="Arial Narrow"/>
                <w:sz w:val="20"/>
                <w:szCs w:val="20"/>
              </w:rPr>
            </w:pPr>
          </w:p>
        </w:tc>
        <w:tc>
          <w:tcPr>
            <w:tcW w:w="1038" w:type="dxa"/>
            <w:tcBorders>
              <w:top w:val="nil"/>
              <w:right w:val="nil"/>
            </w:tcBorders>
            <w:vAlign w:val="center"/>
          </w:tcPr>
          <w:p w14:paraId="46ECC71C"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c>
          <w:tcPr>
            <w:tcW w:w="1038" w:type="dxa"/>
            <w:tcBorders>
              <w:top w:val="nil"/>
              <w:left w:val="nil"/>
            </w:tcBorders>
            <w:vAlign w:val="center"/>
          </w:tcPr>
          <w:p w14:paraId="049F5704" w14:textId="77777777" w:rsidR="00814F74" w:rsidRPr="003F72E0" w:rsidRDefault="00814F74" w:rsidP="00E56763">
            <w:pPr>
              <w:keepNext/>
              <w:jc w:val="center"/>
              <w:rPr>
                <w:rFonts w:ascii="Arial Narrow" w:hAnsi="Arial Narrow"/>
                <w:sz w:val="20"/>
                <w:szCs w:val="20"/>
              </w:rPr>
            </w:pPr>
            <w:r w:rsidRPr="003F72E0">
              <w:rPr>
                <w:rFonts w:ascii="Arial Narrow" w:hAnsi="Arial Narrow"/>
                <w:sz w:val="20"/>
                <w:szCs w:val="20"/>
              </w:rPr>
              <w:t>-</w:t>
            </w:r>
          </w:p>
        </w:tc>
      </w:tr>
    </w:tbl>
    <w:p w14:paraId="146A153B"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Abbreviations: ADT=androgen deprivation therapy; AE=adverse event; CI=confidence intervals; RD=risk difference; RR=relative risk; SAE=serious adverse events; SY=subject years (of exposure); TEAE=treatment-emergent adverse event</w:t>
      </w:r>
    </w:p>
    <w:p w14:paraId="44BD46BC" w14:textId="77777777" w:rsidR="00814F74" w:rsidRPr="00BF06FC" w:rsidRDefault="00814F74" w:rsidP="00814F74">
      <w:pPr>
        <w:tabs>
          <w:tab w:val="left" w:pos="142"/>
        </w:tabs>
        <w:rPr>
          <w:rFonts w:ascii="Arial Narrow" w:hAnsi="Arial Narrow"/>
          <w:sz w:val="18"/>
          <w:szCs w:val="18"/>
        </w:rPr>
      </w:pPr>
      <w:proofErr w:type="spellStart"/>
      <w:r w:rsidRPr="00BF06FC">
        <w:rPr>
          <w:rFonts w:ascii="Arial Narrow" w:hAnsi="Arial Narrow"/>
          <w:sz w:val="18"/>
          <w:szCs w:val="18"/>
        </w:rPr>
        <w:t>a</w:t>
      </w:r>
      <w:proofErr w:type="spellEnd"/>
      <w:r w:rsidRPr="00BF06FC">
        <w:rPr>
          <w:rFonts w:ascii="Arial Narrow" w:hAnsi="Arial Narrow"/>
          <w:sz w:val="18"/>
          <w:szCs w:val="18"/>
        </w:rPr>
        <w:tab/>
        <w:t>Excludes Grade 5 events.</w:t>
      </w:r>
    </w:p>
    <w:p w14:paraId="2C4F6D05"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b</w:t>
      </w:r>
      <w:r w:rsidRPr="00BF06FC">
        <w:rPr>
          <w:rFonts w:ascii="Arial Narrow" w:hAnsi="Arial Narrow"/>
          <w:sz w:val="18"/>
          <w:szCs w:val="18"/>
        </w:rPr>
        <w:tab/>
        <w:t>RR and RD were calculated for apalutamide + ADT vs placebo + ADT.</w:t>
      </w:r>
    </w:p>
    <w:p w14:paraId="7E1620AB"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Treatment-emergent adverse events are those that occurred between the date of first dose of study drug and date of last dose of study drug+30 days. For each category, patients are counted only once, even if they experienced multiple events in that category.</w:t>
      </w:r>
    </w:p>
    <w:p w14:paraId="31F047BE" w14:textId="77777777" w:rsidR="00814F74" w:rsidRPr="00BF06FC" w:rsidRDefault="00814F74" w:rsidP="00814F74">
      <w:pPr>
        <w:rPr>
          <w:rFonts w:ascii="Arial Narrow" w:hAnsi="Arial Narrow"/>
          <w:sz w:val="18"/>
          <w:szCs w:val="18"/>
        </w:rPr>
      </w:pPr>
      <w:r w:rsidRPr="00BF06FC">
        <w:rPr>
          <w:rFonts w:ascii="Arial Narrow" w:hAnsi="Arial Narrow"/>
          <w:b/>
          <w:sz w:val="18"/>
          <w:szCs w:val="18"/>
        </w:rPr>
        <w:t>Bold</w:t>
      </w:r>
      <w:r w:rsidRPr="00BF06FC">
        <w:rPr>
          <w:rFonts w:ascii="Arial Narrow" w:hAnsi="Arial Narrow"/>
          <w:sz w:val="18"/>
          <w:szCs w:val="18"/>
        </w:rPr>
        <w:t xml:space="preserve"> text indicates statistical significance at p&lt;0.05 level.</w:t>
      </w:r>
    </w:p>
    <w:p w14:paraId="69FD152B" w14:textId="77777777" w:rsidR="00814F74" w:rsidRPr="00BF06FC" w:rsidRDefault="00814F74" w:rsidP="00814F74">
      <w:pPr>
        <w:spacing w:after="120"/>
        <w:rPr>
          <w:rFonts w:ascii="Arial Narrow" w:hAnsi="Arial Narrow"/>
          <w:sz w:val="18"/>
          <w:szCs w:val="18"/>
        </w:rPr>
      </w:pPr>
      <w:r w:rsidRPr="00BF06FC">
        <w:rPr>
          <w:rFonts w:ascii="Arial Narrow" w:hAnsi="Arial Narrow"/>
          <w:sz w:val="18"/>
          <w:szCs w:val="18"/>
        </w:rPr>
        <w:t>Source: Tables 2.24 to 2.32, pp95-100, Table 2.39, p114 and Table 3.18, p169 of the submission.</w:t>
      </w:r>
    </w:p>
    <w:p w14:paraId="2D2207F6" w14:textId="77777777" w:rsidR="00814F74" w:rsidRPr="00BF06FC" w:rsidRDefault="00814F74" w:rsidP="00814F74">
      <w:pPr>
        <w:pStyle w:val="3-BodyText"/>
      </w:pPr>
      <w:r w:rsidRPr="00BF06FC">
        <w:rPr>
          <w:iCs/>
        </w:rPr>
        <w:t xml:space="preserve">Overall, the proportion of any AEs across the treatment arms were comparable and the safety outcomes reported in TITAN were consistent with the known safety profile for apalutamide. There were significantly more serious AEs (Grade 3-4), AEs leading to discontinuations and dose interruptions experienced in the apalutamide compared to placebo. Deaths due to AEs were similar between treatment arms. After adjusting for treatment exposure, the incidence of the most common TEAEs were higher in the placebo arm except for skin rash which was higher in the apalutamide arm and placebo-apalutamide crossover arm compared to placebo. The incidence of ischaemic </w:t>
      </w:r>
      <w:r w:rsidRPr="00BF06FC">
        <w:rPr>
          <w:iCs/>
        </w:rPr>
        <w:lastRenderedPageBreak/>
        <w:t>heart disease was also higher with apalutamide, mostly in patients with underlying cardiovascular disorders risk factors</w:t>
      </w:r>
      <w:r w:rsidRPr="00BF06FC">
        <w:t>.</w:t>
      </w:r>
    </w:p>
    <w:p w14:paraId="0D982D14" w14:textId="77777777" w:rsidR="00814F74" w:rsidRPr="00BF06FC" w:rsidRDefault="00814F74" w:rsidP="00814F74">
      <w:pPr>
        <w:pStyle w:val="4-SubsectionHeading"/>
      </w:pPr>
      <w:bookmarkStart w:id="28" w:name="_Toc22897643"/>
      <w:bookmarkStart w:id="29" w:name="_Toc22898855"/>
      <w:bookmarkStart w:id="30" w:name="_Toc82609550"/>
      <w:r w:rsidRPr="00BF06FC">
        <w:t>Benefits/harms</w:t>
      </w:r>
      <w:bookmarkEnd w:id="28"/>
      <w:bookmarkEnd w:id="29"/>
      <w:bookmarkEnd w:id="30"/>
    </w:p>
    <w:p w14:paraId="22062166" w14:textId="77777777" w:rsidR="00814F74" w:rsidRPr="00BF06FC" w:rsidRDefault="00E2330A" w:rsidP="00814F74">
      <w:pPr>
        <w:pStyle w:val="3-BodyText"/>
        <w:rPr>
          <w:rFonts w:ascii="Arial Narrow" w:hAnsi="Arial Narrow"/>
          <w:b/>
          <w:sz w:val="20"/>
          <w:szCs w:val="16"/>
        </w:rPr>
      </w:pPr>
      <w:r>
        <w:rPr>
          <w:snapToGrid/>
        </w:rPr>
        <w:t>Table 6</w:t>
      </w:r>
      <w:r w:rsidR="00814F74" w:rsidRPr="00BF06FC">
        <w:rPr>
          <w:snapToGrid/>
        </w:rPr>
        <w:t xml:space="preserve"> presents a </w:t>
      </w:r>
      <w:r w:rsidR="00814F74" w:rsidRPr="00BF06FC">
        <w:t xml:space="preserve">summary of the comparative benefits and harms for apalutamide versus placebo for </w:t>
      </w:r>
      <w:proofErr w:type="spellStart"/>
      <w:r w:rsidR="00814F74" w:rsidRPr="00BF06FC">
        <w:t>mHSPC</w:t>
      </w:r>
      <w:proofErr w:type="spellEnd"/>
      <w:r w:rsidR="00814F74" w:rsidRPr="00BF06FC">
        <w:t>.</w:t>
      </w:r>
    </w:p>
    <w:p w14:paraId="603C0452" w14:textId="77777777" w:rsidR="00814F74" w:rsidRPr="00BF06FC" w:rsidRDefault="00E2330A" w:rsidP="00814F74">
      <w:pPr>
        <w:rPr>
          <w:rFonts w:ascii="Arial Narrow" w:hAnsi="Arial Narrow"/>
          <w:b/>
          <w:sz w:val="20"/>
          <w:szCs w:val="20"/>
        </w:rPr>
      </w:pPr>
      <w:r>
        <w:rPr>
          <w:rFonts w:ascii="Arial Narrow" w:hAnsi="Arial Narrow"/>
          <w:b/>
          <w:sz w:val="20"/>
          <w:szCs w:val="20"/>
        </w:rPr>
        <w:t>Table 6</w:t>
      </w:r>
      <w:r w:rsidR="00814F74" w:rsidRPr="00BF06FC">
        <w:rPr>
          <w:rFonts w:ascii="Arial Narrow" w:hAnsi="Arial Narrow"/>
          <w:b/>
          <w:sz w:val="20"/>
          <w:szCs w:val="20"/>
        </w:rPr>
        <w:t>: Summary of comparative benefits and harms between apalutamide and placebo</w:t>
      </w:r>
      <w:r w:rsidR="002F0918" w:rsidRPr="00BF06FC">
        <w:rPr>
          <w:rFonts w:ascii="Arial Narrow" w:hAnsi="Arial Narrow"/>
          <w:b/>
          <w:sz w:val="20"/>
          <w:szCs w:val="20"/>
        </w:rPr>
        <w:t>, ITT population</w:t>
      </w:r>
    </w:p>
    <w:tbl>
      <w:tblPr>
        <w:tblW w:w="5000" w:type="pct"/>
        <w:tblLayout w:type="fixed"/>
        <w:tblCellMar>
          <w:left w:w="28" w:type="dxa"/>
          <w:right w:w="28" w:type="dxa"/>
        </w:tblCellMar>
        <w:tblLook w:val="04A0" w:firstRow="1" w:lastRow="0" w:firstColumn="1" w:lastColumn="0" w:noHBand="0" w:noVBand="1"/>
        <w:tblCaption w:val="Table 6: Summary of comparative benefits and harms between apalutamide and placebo, ITT population"/>
      </w:tblPr>
      <w:tblGrid>
        <w:gridCol w:w="9017"/>
      </w:tblGrid>
      <w:tr w:rsidR="00814F74" w:rsidRPr="00BF06FC" w14:paraId="083870EA" w14:textId="77777777" w:rsidTr="00DF5EF9">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797E9574" w14:textId="77777777" w:rsidR="00814F74" w:rsidRPr="00BF06FC" w:rsidRDefault="00814F74" w:rsidP="00DF5EF9">
            <w:pPr>
              <w:pStyle w:val="In-tableHeading"/>
              <w:keepNext w:val="0"/>
              <w:rPr>
                <w:lang w:val="en-AU"/>
              </w:rPr>
            </w:pPr>
            <w:r w:rsidRPr="00BF06FC">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Caption w:val="Table 6: Summary of comparative benefits and harms between apalutamide and placebo, ITT population"/>
      </w:tblPr>
      <w:tblGrid>
        <w:gridCol w:w="3114"/>
        <w:gridCol w:w="1416"/>
        <w:gridCol w:w="1277"/>
        <w:gridCol w:w="1625"/>
        <w:gridCol w:w="1585"/>
      </w:tblGrid>
      <w:tr w:rsidR="00814F74" w:rsidRPr="00BF06FC" w14:paraId="433CF8C0" w14:textId="77777777" w:rsidTr="00422AEB">
        <w:trPr>
          <w:trHeight w:val="20"/>
          <w:tblHeader/>
        </w:trPr>
        <w:tc>
          <w:tcPr>
            <w:tcW w:w="1727" w:type="pct"/>
            <w:tcBorders>
              <w:bottom w:val="single" w:sz="4" w:space="0" w:color="auto"/>
            </w:tcBorders>
            <w:shd w:val="clear" w:color="auto" w:fill="auto"/>
          </w:tcPr>
          <w:p w14:paraId="78507887" w14:textId="77777777" w:rsidR="00814F74" w:rsidRPr="00BF06FC" w:rsidRDefault="00814F74" w:rsidP="00DF5EF9">
            <w:pPr>
              <w:pStyle w:val="In-tableHeading"/>
              <w:keepNext w:val="0"/>
              <w:rPr>
                <w:lang w:val="en-AU"/>
              </w:rPr>
            </w:pPr>
            <w:r w:rsidRPr="00BF06FC">
              <w:rPr>
                <w:lang w:val="en-AU"/>
              </w:rPr>
              <w:t>Event</w:t>
            </w:r>
          </w:p>
        </w:tc>
        <w:tc>
          <w:tcPr>
            <w:tcW w:w="785" w:type="pct"/>
            <w:tcBorders>
              <w:bottom w:val="single" w:sz="4" w:space="0" w:color="auto"/>
            </w:tcBorders>
            <w:shd w:val="clear" w:color="auto" w:fill="auto"/>
          </w:tcPr>
          <w:p w14:paraId="422CC3BC" w14:textId="77777777" w:rsidR="00814F74" w:rsidRPr="00BF06FC" w:rsidRDefault="00814F74" w:rsidP="00DF5EF9">
            <w:pPr>
              <w:pStyle w:val="In-tableHeading"/>
              <w:keepNext w:val="0"/>
              <w:jc w:val="center"/>
              <w:rPr>
                <w:lang w:val="en-AU"/>
              </w:rPr>
            </w:pPr>
            <w:r w:rsidRPr="00BF06FC">
              <w:rPr>
                <w:lang w:val="en-AU"/>
              </w:rPr>
              <w:t>APA</w:t>
            </w:r>
          </w:p>
        </w:tc>
        <w:tc>
          <w:tcPr>
            <w:tcW w:w="708" w:type="pct"/>
            <w:tcBorders>
              <w:bottom w:val="single" w:sz="4" w:space="0" w:color="auto"/>
            </w:tcBorders>
            <w:shd w:val="clear" w:color="auto" w:fill="auto"/>
          </w:tcPr>
          <w:p w14:paraId="4A5DE454" w14:textId="77777777" w:rsidR="00814F74" w:rsidRPr="00BF06FC" w:rsidRDefault="00814F74" w:rsidP="00DF5EF9">
            <w:pPr>
              <w:pStyle w:val="In-tableHeading"/>
              <w:keepNext w:val="0"/>
              <w:jc w:val="center"/>
              <w:rPr>
                <w:lang w:val="en-AU"/>
              </w:rPr>
            </w:pPr>
            <w:r w:rsidRPr="00BF06FC">
              <w:rPr>
                <w:lang w:val="en-AU"/>
              </w:rPr>
              <w:t>PBO</w:t>
            </w:r>
          </w:p>
        </w:tc>
        <w:tc>
          <w:tcPr>
            <w:tcW w:w="901" w:type="pct"/>
            <w:tcBorders>
              <w:bottom w:val="single" w:sz="4" w:space="0" w:color="auto"/>
            </w:tcBorders>
            <w:shd w:val="clear" w:color="auto" w:fill="auto"/>
          </w:tcPr>
          <w:p w14:paraId="0F0D4CFA" w14:textId="77777777" w:rsidR="00814F74" w:rsidRPr="00BF06FC" w:rsidRDefault="00814F74" w:rsidP="00DF5EF9">
            <w:pPr>
              <w:pStyle w:val="In-tableHeading"/>
              <w:keepNext w:val="0"/>
              <w:jc w:val="center"/>
              <w:rPr>
                <w:rFonts w:asciiTheme="minorHAnsi" w:hAnsiTheme="minorHAnsi"/>
                <w:lang w:val="en-AU"/>
              </w:rPr>
            </w:pPr>
            <w:r w:rsidRPr="00BF06FC">
              <w:rPr>
                <w:lang w:val="en-AU"/>
              </w:rPr>
              <w:t>Absolute Difference</w:t>
            </w:r>
          </w:p>
        </w:tc>
        <w:tc>
          <w:tcPr>
            <w:tcW w:w="879" w:type="pct"/>
            <w:tcBorders>
              <w:bottom w:val="single" w:sz="4" w:space="0" w:color="auto"/>
            </w:tcBorders>
            <w:shd w:val="clear" w:color="auto" w:fill="auto"/>
          </w:tcPr>
          <w:p w14:paraId="0C4EB9DD" w14:textId="77777777" w:rsidR="00814F74" w:rsidRPr="00BF06FC" w:rsidRDefault="00814F74" w:rsidP="00DF5EF9">
            <w:pPr>
              <w:pStyle w:val="In-tableHeading"/>
              <w:keepNext w:val="0"/>
              <w:jc w:val="center"/>
              <w:rPr>
                <w:lang w:val="en-AU"/>
              </w:rPr>
            </w:pPr>
            <w:r w:rsidRPr="00BF06FC">
              <w:rPr>
                <w:lang w:val="en-AU"/>
              </w:rPr>
              <w:t>HR (95% CI)</w:t>
            </w:r>
          </w:p>
        </w:tc>
      </w:tr>
      <w:tr w:rsidR="00814F74" w:rsidRPr="00BF06FC" w14:paraId="7BCA796C" w14:textId="77777777" w:rsidTr="00DF5EF9">
        <w:trPr>
          <w:trHeight w:val="20"/>
        </w:trPr>
        <w:tc>
          <w:tcPr>
            <w:tcW w:w="5000" w:type="pct"/>
            <w:gridSpan w:val="5"/>
            <w:shd w:val="clear" w:color="auto" w:fill="auto"/>
          </w:tcPr>
          <w:p w14:paraId="151FB0B3" w14:textId="77777777" w:rsidR="00814F74" w:rsidRPr="00BF06FC" w:rsidRDefault="00814F74" w:rsidP="00DF5EF9">
            <w:pPr>
              <w:pStyle w:val="In-tableHeading"/>
              <w:keepNext w:val="0"/>
              <w:rPr>
                <w:lang w:val="en-AU"/>
              </w:rPr>
            </w:pPr>
            <w:r w:rsidRPr="00BF06FC">
              <w:rPr>
                <w:lang w:val="en-AU"/>
              </w:rPr>
              <w:t>Progression free survival</w:t>
            </w:r>
          </w:p>
        </w:tc>
      </w:tr>
      <w:tr w:rsidR="00A71B71" w:rsidRPr="00BF06FC" w14:paraId="66B0883C" w14:textId="77777777" w:rsidTr="006234C1">
        <w:trPr>
          <w:trHeight w:val="20"/>
        </w:trPr>
        <w:tc>
          <w:tcPr>
            <w:tcW w:w="1727" w:type="pct"/>
            <w:tcBorders>
              <w:bottom w:val="single" w:sz="4" w:space="0" w:color="auto"/>
              <w:right w:val="single" w:sz="4" w:space="0" w:color="auto"/>
            </w:tcBorders>
            <w:shd w:val="clear" w:color="auto" w:fill="auto"/>
          </w:tcPr>
          <w:p w14:paraId="21A11F7E" w14:textId="77777777" w:rsidR="00A71B71" w:rsidRPr="00BF06FC" w:rsidRDefault="00A71B71" w:rsidP="00DF5EF9">
            <w:pPr>
              <w:pStyle w:val="TableText0"/>
              <w:keepNext w:val="0"/>
              <w:widowControl w:val="0"/>
            </w:pPr>
            <w:r w:rsidRPr="00BF06FC">
              <w:t>Progressed, n (%)</w:t>
            </w:r>
          </w:p>
        </w:tc>
        <w:tc>
          <w:tcPr>
            <w:tcW w:w="785" w:type="pct"/>
            <w:tcBorders>
              <w:left w:val="single" w:sz="4" w:space="0" w:color="auto"/>
              <w:bottom w:val="single" w:sz="4" w:space="0" w:color="auto"/>
              <w:right w:val="single" w:sz="4" w:space="0" w:color="auto"/>
            </w:tcBorders>
            <w:shd w:val="clear" w:color="auto" w:fill="auto"/>
          </w:tcPr>
          <w:p w14:paraId="3D41F6F8" w14:textId="77777777" w:rsidR="00A71B71" w:rsidRPr="00BF06FC" w:rsidRDefault="00A71B71" w:rsidP="00DF5EF9">
            <w:pPr>
              <w:pStyle w:val="TableText0"/>
              <w:keepNext w:val="0"/>
              <w:widowControl w:val="0"/>
              <w:jc w:val="center"/>
            </w:pPr>
            <w:r w:rsidRPr="00BF06FC">
              <w:rPr>
                <w:szCs w:val="20"/>
              </w:rPr>
              <w:t>134/525 (25.5)</w:t>
            </w:r>
          </w:p>
        </w:tc>
        <w:tc>
          <w:tcPr>
            <w:tcW w:w="708" w:type="pct"/>
            <w:tcBorders>
              <w:left w:val="single" w:sz="4" w:space="0" w:color="auto"/>
              <w:bottom w:val="single" w:sz="4" w:space="0" w:color="auto"/>
              <w:right w:val="single" w:sz="4" w:space="0" w:color="auto"/>
            </w:tcBorders>
            <w:shd w:val="clear" w:color="auto" w:fill="auto"/>
          </w:tcPr>
          <w:p w14:paraId="26AC6BE6" w14:textId="77777777" w:rsidR="00A71B71" w:rsidRPr="00BF06FC" w:rsidRDefault="00A71B71" w:rsidP="00DF5EF9">
            <w:pPr>
              <w:pStyle w:val="TableText0"/>
              <w:keepNext w:val="0"/>
              <w:widowControl w:val="0"/>
              <w:jc w:val="center"/>
            </w:pPr>
            <w:r w:rsidRPr="00BF06FC">
              <w:rPr>
                <w:szCs w:val="20"/>
              </w:rPr>
              <w:t>231/527 (43.8)</w:t>
            </w:r>
          </w:p>
        </w:tc>
        <w:tc>
          <w:tcPr>
            <w:tcW w:w="901" w:type="pct"/>
            <w:tcBorders>
              <w:left w:val="single" w:sz="4" w:space="0" w:color="auto"/>
              <w:bottom w:val="single" w:sz="4" w:space="0" w:color="auto"/>
              <w:right w:val="single" w:sz="4" w:space="0" w:color="auto"/>
            </w:tcBorders>
            <w:shd w:val="clear" w:color="auto" w:fill="auto"/>
          </w:tcPr>
          <w:p w14:paraId="3FB42E4C" w14:textId="77777777" w:rsidR="00A71B71" w:rsidRPr="00BF06FC" w:rsidRDefault="00A71B71" w:rsidP="00DF5EF9">
            <w:pPr>
              <w:pStyle w:val="TableText0"/>
              <w:keepNext w:val="0"/>
              <w:widowControl w:val="0"/>
              <w:jc w:val="center"/>
            </w:pPr>
            <w:r w:rsidRPr="00BF06FC">
              <w:t>-</w:t>
            </w:r>
          </w:p>
        </w:tc>
        <w:tc>
          <w:tcPr>
            <w:tcW w:w="879" w:type="pct"/>
            <w:vMerge w:val="restart"/>
            <w:tcBorders>
              <w:left w:val="single" w:sz="4" w:space="0" w:color="auto"/>
            </w:tcBorders>
            <w:shd w:val="clear" w:color="auto" w:fill="auto"/>
            <w:vAlign w:val="center"/>
          </w:tcPr>
          <w:p w14:paraId="7E60E7FB" w14:textId="77777777" w:rsidR="00A71B71" w:rsidRPr="00BF06FC" w:rsidRDefault="00A71B71" w:rsidP="00A71B71">
            <w:pPr>
              <w:pStyle w:val="TableText0"/>
              <w:keepNext w:val="0"/>
              <w:widowControl w:val="0"/>
              <w:jc w:val="center"/>
            </w:pPr>
            <w:r w:rsidRPr="00BF06FC">
              <w:rPr>
                <w:b/>
                <w:szCs w:val="20"/>
              </w:rPr>
              <w:t>0.484 (0.391, 0.600)</w:t>
            </w:r>
          </w:p>
        </w:tc>
      </w:tr>
      <w:tr w:rsidR="00A71B71" w:rsidRPr="00BF06FC" w14:paraId="338C8C96" w14:textId="77777777" w:rsidTr="006234C1">
        <w:trPr>
          <w:trHeight w:val="20"/>
        </w:trPr>
        <w:tc>
          <w:tcPr>
            <w:tcW w:w="1727" w:type="pct"/>
            <w:tcBorders>
              <w:bottom w:val="single" w:sz="4" w:space="0" w:color="auto"/>
              <w:right w:val="single" w:sz="4" w:space="0" w:color="auto"/>
            </w:tcBorders>
            <w:shd w:val="clear" w:color="auto" w:fill="auto"/>
          </w:tcPr>
          <w:p w14:paraId="1D674FF9" w14:textId="77777777" w:rsidR="00A71B71" w:rsidRPr="00BF06FC" w:rsidRDefault="00A71B71" w:rsidP="00DF5EF9">
            <w:pPr>
              <w:pStyle w:val="TableText0"/>
              <w:keepNext w:val="0"/>
              <w:widowControl w:val="0"/>
            </w:pPr>
            <w:r w:rsidRPr="00BF06FC">
              <w:t>Median PFS, months (95% CI)</w:t>
            </w:r>
          </w:p>
        </w:tc>
        <w:tc>
          <w:tcPr>
            <w:tcW w:w="785" w:type="pct"/>
            <w:tcBorders>
              <w:left w:val="single" w:sz="4" w:space="0" w:color="auto"/>
              <w:bottom w:val="single" w:sz="4" w:space="0" w:color="auto"/>
              <w:right w:val="single" w:sz="4" w:space="0" w:color="auto"/>
            </w:tcBorders>
            <w:shd w:val="clear" w:color="auto" w:fill="auto"/>
          </w:tcPr>
          <w:p w14:paraId="1F73C5B2" w14:textId="77777777" w:rsidR="00A71B71" w:rsidRPr="00BF06FC" w:rsidRDefault="00A71B71" w:rsidP="00DF5EF9">
            <w:pPr>
              <w:pStyle w:val="TableText0"/>
              <w:keepNext w:val="0"/>
              <w:widowControl w:val="0"/>
              <w:jc w:val="center"/>
              <w:rPr>
                <w:rFonts w:cs="Times New Roman"/>
                <w:szCs w:val="20"/>
              </w:rPr>
            </w:pPr>
            <w:r w:rsidRPr="00BF06FC">
              <w:rPr>
                <w:szCs w:val="20"/>
              </w:rPr>
              <w:t>NE (NE, NE)</w:t>
            </w:r>
          </w:p>
        </w:tc>
        <w:tc>
          <w:tcPr>
            <w:tcW w:w="708" w:type="pct"/>
            <w:tcBorders>
              <w:left w:val="single" w:sz="4" w:space="0" w:color="auto"/>
              <w:bottom w:val="single" w:sz="4" w:space="0" w:color="auto"/>
              <w:right w:val="single" w:sz="4" w:space="0" w:color="auto"/>
            </w:tcBorders>
            <w:shd w:val="clear" w:color="auto" w:fill="auto"/>
            <w:vAlign w:val="center"/>
          </w:tcPr>
          <w:p w14:paraId="37740705" w14:textId="77777777" w:rsidR="00A71B71" w:rsidRPr="00BF06FC" w:rsidRDefault="00A71B71" w:rsidP="00DF5EF9">
            <w:pPr>
              <w:pStyle w:val="TableText0"/>
              <w:keepNext w:val="0"/>
              <w:widowControl w:val="0"/>
              <w:jc w:val="center"/>
              <w:rPr>
                <w:rFonts w:cs="Times New Roman"/>
                <w:szCs w:val="20"/>
              </w:rPr>
            </w:pPr>
            <w:r w:rsidRPr="00BF06FC">
              <w:rPr>
                <w:szCs w:val="20"/>
              </w:rPr>
              <w:t>22.1(18.5,32.9)</w:t>
            </w:r>
          </w:p>
        </w:tc>
        <w:tc>
          <w:tcPr>
            <w:tcW w:w="901" w:type="pct"/>
            <w:tcBorders>
              <w:left w:val="single" w:sz="4" w:space="0" w:color="auto"/>
              <w:bottom w:val="single" w:sz="4" w:space="0" w:color="auto"/>
              <w:right w:val="single" w:sz="4" w:space="0" w:color="auto"/>
            </w:tcBorders>
            <w:shd w:val="clear" w:color="auto" w:fill="auto"/>
          </w:tcPr>
          <w:p w14:paraId="793E1DFC" w14:textId="77777777" w:rsidR="00A71B71" w:rsidRPr="00BF06FC" w:rsidRDefault="00A71B71" w:rsidP="00DF5EF9">
            <w:pPr>
              <w:pStyle w:val="TableText0"/>
              <w:keepNext w:val="0"/>
              <w:widowControl w:val="0"/>
              <w:jc w:val="center"/>
            </w:pPr>
            <w:r w:rsidRPr="00BF06FC">
              <w:t>22.1</w:t>
            </w:r>
          </w:p>
        </w:tc>
        <w:tc>
          <w:tcPr>
            <w:tcW w:w="879" w:type="pct"/>
            <w:vMerge/>
            <w:tcBorders>
              <w:left w:val="single" w:sz="4" w:space="0" w:color="auto"/>
            </w:tcBorders>
            <w:shd w:val="clear" w:color="auto" w:fill="auto"/>
          </w:tcPr>
          <w:p w14:paraId="5F113E36" w14:textId="77777777" w:rsidR="00A71B71" w:rsidRPr="00BF06FC" w:rsidRDefault="00A71B71" w:rsidP="00DF5EF9">
            <w:pPr>
              <w:pStyle w:val="TableText0"/>
              <w:keepNext w:val="0"/>
              <w:widowControl w:val="0"/>
              <w:jc w:val="center"/>
              <w:rPr>
                <w:szCs w:val="20"/>
              </w:rPr>
            </w:pPr>
          </w:p>
        </w:tc>
      </w:tr>
      <w:tr w:rsidR="00A71B71" w:rsidRPr="00BF06FC" w14:paraId="363E6E3B" w14:textId="77777777" w:rsidTr="006234C1">
        <w:trPr>
          <w:trHeight w:val="20"/>
        </w:trPr>
        <w:tc>
          <w:tcPr>
            <w:tcW w:w="1727" w:type="pct"/>
            <w:tcBorders>
              <w:top w:val="single" w:sz="4" w:space="0" w:color="auto"/>
              <w:bottom w:val="single" w:sz="4" w:space="0" w:color="auto"/>
              <w:right w:val="single" w:sz="4" w:space="0" w:color="auto"/>
            </w:tcBorders>
            <w:shd w:val="clear" w:color="auto" w:fill="auto"/>
          </w:tcPr>
          <w:p w14:paraId="31FA30B5" w14:textId="77777777" w:rsidR="00A71B71" w:rsidRPr="00BF06FC" w:rsidRDefault="00A71B71" w:rsidP="00DF5EF9">
            <w:pPr>
              <w:pStyle w:val="TableText0"/>
              <w:keepNext w:val="0"/>
              <w:widowControl w:val="0"/>
            </w:pPr>
            <w:r w:rsidRPr="00BF06FC">
              <w:t>% not progressed at 12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662B5DE7" w14:textId="77777777" w:rsidR="00A71B71" w:rsidRPr="00BF06FC" w:rsidRDefault="00A71B71" w:rsidP="00DF5EF9">
            <w:pPr>
              <w:pStyle w:val="TableText0"/>
              <w:keepNext w:val="0"/>
              <w:widowControl w:val="0"/>
              <w:jc w:val="center"/>
            </w:pPr>
            <w:r w:rsidRPr="00BF06FC">
              <w:rPr>
                <w:szCs w:val="20"/>
              </w:rPr>
              <w:t>84.3 (80.7, 87.3)</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28BE5211" w14:textId="77777777" w:rsidR="00A71B71" w:rsidRPr="00BF06FC" w:rsidRDefault="00A71B71" w:rsidP="00DF5EF9">
            <w:pPr>
              <w:pStyle w:val="TableText0"/>
              <w:keepNext w:val="0"/>
              <w:widowControl w:val="0"/>
              <w:jc w:val="center"/>
              <w:rPr>
                <w:szCs w:val="20"/>
              </w:rPr>
            </w:pPr>
            <w:r w:rsidRPr="00BF06FC">
              <w:rPr>
                <w:szCs w:val="20"/>
              </w:rPr>
              <w:t>70.3 (66.0, 74.1)</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285F2647" w14:textId="77777777" w:rsidR="00A71B71" w:rsidRPr="00BF06FC" w:rsidRDefault="00A71B71" w:rsidP="00DF5EF9">
            <w:pPr>
              <w:pStyle w:val="TableText0"/>
              <w:keepNext w:val="0"/>
              <w:widowControl w:val="0"/>
              <w:jc w:val="center"/>
            </w:pPr>
            <w:r w:rsidRPr="00BF06FC">
              <w:t>14.0%</w:t>
            </w:r>
          </w:p>
        </w:tc>
        <w:tc>
          <w:tcPr>
            <w:tcW w:w="879" w:type="pct"/>
            <w:vMerge/>
            <w:tcBorders>
              <w:left w:val="single" w:sz="4" w:space="0" w:color="auto"/>
            </w:tcBorders>
            <w:shd w:val="clear" w:color="auto" w:fill="auto"/>
          </w:tcPr>
          <w:p w14:paraId="654C2BEF" w14:textId="77777777" w:rsidR="00A71B71" w:rsidRPr="00BF06FC" w:rsidRDefault="00A71B71" w:rsidP="00DF5EF9">
            <w:pPr>
              <w:pStyle w:val="TableText0"/>
              <w:keepNext w:val="0"/>
              <w:widowControl w:val="0"/>
              <w:jc w:val="center"/>
            </w:pPr>
          </w:p>
        </w:tc>
      </w:tr>
      <w:tr w:rsidR="00A71B71" w:rsidRPr="00BF06FC" w14:paraId="70A2A538" w14:textId="77777777" w:rsidTr="006234C1">
        <w:trPr>
          <w:trHeight w:val="20"/>
        </w:trPr>
        <w:tc>
          <w:tcPr>
            <w:tcW w:w="1727" w:type="pct"/>
            <w:tcBorders>
              <w:top w:val="single" w:sz="4" w:space="0" w:color="auto"/>
              <w:bottom w:val="single" w:sz="4" w:space="0" w:color="auto"/>
              <w:right w:val="single" w:sz="4" w:space="0" w:color="auto"/>
            </w:tcBorders>
            <w:shd w:val="clear" w:color="auto" w:fill="auto"/>
          </w:tcPr>
          <w:p w14:paraId="14179152" w14:textId="77777777" w:rsidR="00A71B71" w:rsidRPr="00BF06FC" w:rsidRDefault="00A71B71" w:rsidP="00DF5EF9">
            <w:pPr>
              <w:pStyle w:val="TableText0"/>
              <w:keepNext w:val="0"/>
              <w:widowControl w:val="0"/>
            </w:pPr>
            <w:r w:rsidRPr="00BF06FC">
              <w:t>% not progressed at 24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672EBFFE" w14:textId="77777777" w:rsidR="00A71B71" w:rsidRPr="00BF06FC" w:rsidRDefault="00A71B71" w:rsidP="00DF5EF9">
            <w:pPr>
              <w:pStyle w:val="TableText0"/>
              <w:keepNext w:val="0"/>
              <w:widowControl w:val="0"/>
              <w:jc w:val="center"/>
              <w:rPr>
                <w:szCs w:val="20"/>
              </w:rPr>
            </w:pPr>
            <w:r w:rsidRPr="00BF06FC">
              <w:rPr>
                <w:szCs w:val="20"/>
              </w:rPr>
              <w:t>68.2 (62.9, 72.9)</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07885EE0" w14:textId="77777777" w:rsidR="00A71B71" w:rsidRPr="00BF06FC" w:rsidRDefault="00A71B71" w:rsidP="00DF5EF9">
            <w:pPr>
              <w:pStyle w:val="TableText0"/>
              <w:keepNext w:val="0"/>
              <w:widowControl w:val="0"/>
              <w:jc w:val="center"/>
              <w:rPr>
                <w:szCs w:val="20"/>
              </w:rPr>
            </w:pPr>
            <w:r w:rsidRPr="00BF06FC">
              <w:rPr>
                <w:szCs w:val="20"/>
              </w:rPr>
              <w:t>47.5 (42.1, 52.8)</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5AC648F" w14:textId="77777777" w:rsidR="00A71B71" w:rsidRPr="00BF06FC" w:rsidRDefault="00A71B71" w:rsidP="00DF5EF9">
            <w:pPr>
              <w:pStyle w:val="TableText0"/>
              <w:keepNext w:val="0"/>
              <w:widowControl w:val="0"/>
              <w:jc w:val="center"/>
            </w:pPr>
            <w:r w:rsidRPr="00BF06FC">
              <w:t>20.7%</w:t>
            </w:r>
          </w:p>
        </w:tc>
        <w:tc>
          <w:tcPr>
            <w:tcW w:w="879" w:type="pct"/>
            <w:vMerge/>
            <w:tcBorders>
              <w:left w:val="single" w:sz="4" w:space="0" w:color="auto"/>
              <w:bottom w:val="nil"/>
            </w:tcBorders>
            <w:shd w:val="clear" w:color="auto" w:fill="auto"/>
          </w:tcPr>
          <w:p w14:paraId="119A89BC" w14:textId="77777777" w:rsidR="00A71B71" w:rsidRPr="00BF06FC" w:rsidRDefault="00A71B71" w:rsidP="00DF5EF9">
            <w:pPr>
              <w:pStyle w:val="TableText0"/>
              <w:keepNext w:val="0"/>
              <w:widowControl w:val="0"/>
              <w:jc w:val="center"/>
            </w:pPr>
          </w:p>
        </w:tc>
      </w:tr>
      <w:tr w:rsidR="00814F74" w:rsidRPr="00BF06FC" w14:paraId="3C8E95AE" w14:textId="77777777" w:rsidTr="00DF5EF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2AA950D4" w14:textId="77777777" w:rsidR="00814F74" w:rsidRPr="00BF06FC" w:rsidRDefault="00814F74" w:rsidP="00DF5EF9">
            <w:pPr>
              <w:pStyle w:val="In-tableHeading"/>
              <w:keepNext w:val="0"/>
              <w:rPr>
                <w:lang w:val="en-AU"/>
              </w:rPr>
            </w:pPr>
            <w:r w:rsidRPr="00BF06FC">
              <w:rPr>
                <w:lang w:val="en-AU"/>
              </w:rPr>
              <w:t>Overall survival</w:t>
            </w:r>
          </w:p>
        </w:tc>
      </w:tr>
      <w:tr w:rsidR="00A71B71" w:rsidRPr="00BF06FC" w14:paraId="545ED7BC" w14:textId="77777777" w:rsidTr="006234C1">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451104AF" w14:textId="77777777" w:rsidR="00A71B71" w:rsidRPr="00BF06FC" w:rsidRDefault="00A71B71" w:rsidP="00DF5EF9">
            <w:pPr>
              <w:pStyle w:val="TableText0"/>
              <w:keepNext w:val="0"/>
              <w:widowControl w:val="0"/>
            </w:pPr>
            <w:r w:rsidRPr="00BF06FC">
              <w:t xml:space="preserve">Deaths, n/N (%) </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8ED8A90" w14:textId="77777777" w:rsidR="00A71B71" w:rsidRPr="00BF06FC" w:rsidRDefault="00A71B71" w:rsidP="00DF5EF9">
            <w:pPr>
              <w:pStyle w:val="TableText0"/>
              <w:keepNext w:val="0"/>
              <w:widowControl w:val="0"/>
              <w:jc w:val="center"/>
            </w:pPr>
            <w:r w:rsidRPr="00BF06FC">
              <w:rPr>
                <w:szCs w:val="20"/>
              </w:rPr>
              <w:t>170 (32.4)</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0BE979C0" w14:textId="77777777" w:rsidR="00A71B71" w:rsidRPr="00BF06FC" w:rsidRDefault="00A71B71" w:rsidP="00DF5EF9">
            <w:pPr>
              <w:pStyle w:val="TableText0"/>
              <w:keepNext w:val="0"/>
              <w:widowControl w:val="0"/>
              <w:jc w:val="center"/>
            </w:pPr>
            <w:r w:rsidRPr="00BF06FC">
              <w:rPr>
                <w:szCs w:val="20"/>
              </w:rPr>
              <w:t>235 (44.6)</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6F08083" w14:textId="77777777" w:rsidR="00A71B71" w:rsidRPr="00BF06FC" w:rsidRDefault="00A71B71" w:rsidP="00DF5EF9">
            <w:pPr>
              <w:pStyle w:val="TableText0"/>
              <w:keepNext w:val="0"/>
              <w:widowControl w:val="0"/>
              <w:jc w:val="center"/>
            </w:pPr>
            <w:r w:rsidRPr="00BF06FC">
              <w:t>-</w:t>
            </w:r>
          </w:p>
        </w:tc>
        <w:tc>
          <w:tcPr>
            <w:tcW w:w="879" w:type="pct"/>
            <w:vMerge w:val="restart"/>
            <w:tcBorders>
              <w:top w:val="single" w:sz="4" w:space="0" w:color="auto"/>
              <w:left w:val="single" w:sz="4" w:space="0" w:color="auto"/>
              <w:right w:val="single" w:sz="4" w:space="0" w:color="auto"/>
            </w:tcBorders>
            <w:shd w:val="clear" w:color="auto" w:fill="auto"/>
            <w:vAlign w:val="center"/>
          </w:tcPr>
          <w:p w14:paraId="237ED930" w14:textId="77777777" w:rsidR="00A71B71" w:rsidRPr="00BF06FC" w:rsidRDefault="00A71B71" w:rsidP="00A71B71">
            <w:pPr>
              <w:pStyle w:val="TableText0"/>
              <w:keepNext w:val="0"/>
              <w:widowControl w:val="0"/>
              <w:jc w:val="center"/>
            </w:pPr>
            <w:r w:rsidRPr="00BF06FC">
              <w:rPr>
                <w:b/>
                <w:szCs w:val="20"/>
              </w:rPr>
              <w:t>0.651 (0.534, 0.793)</w:t>
            </w:r>
          </w:p>
        </w:tc>
      </w:tr>
      <w:tr w:rsidR="00A71B71" w:rsidRPr="00BF06FC" w14:paraId="48F60D92" w14:textId="77777777" w:rsidTr="006234C1">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55872435" w14:textId="77777777" w:rsidR="00A71B71" w:rsidRPr="00BF06FC" w:rsidRDefault="00A71B71" w:rsidP="00DF5EF9">
            <w:pPr>
              <w:pStyle w:val="TableText0"/>
              <w:keepNext w:val="0"/>
              <w:widowControl w:val="0"/>
            </w:pPr>
            <w:r w:rsidRPr="00BF06FC">
              <w:t>Median OS,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C84E816" w14:textId="77777777" w:rsidR="00A71B71" w:rsidRPr="00BF06FC" w:rsidRDefault="00A71B71" w:rsidP="00DF5EF9">
            <w:pPr>
              <w:pStyle w:val="TableText0"/>
              <w:keepNext w:val="0"/>
              <w:widowControl w:val="0"/>
              <w:jc w:val="center"/>
              <w:rPr>
                <w:rFonts w:cs="Times New Roman"/>
                <w:szCs w:val="20"/>
              </w:rPr>
            </w:pPr>
            <w:r w:rsidRPr="00BF06FC">
              <w:rPr>
                <w:szCs w:val="20"/>
              </w:rPr>
              <w:t>NE (NE, NE)</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51C85DDF" w14:textId="77777777" w:rsidR="00A71B71" w:rsidRPr="00BF06FC" w:rsidRDefault="00A71B71" w:rsidP="00DF5EF9">
            <w:pPr>
              <w:pStyle w:val="TableText0"/>
              <w:keepNext w:val="0"/>
              <w:widowControl w:val="0"/>
              <w:jc w:val="center"/>
              <w:rPr>
                <w:rFonts w:cs="Times New Roman"/>
                <w:szCs w:val="20"/>
              </w:rPr>
            </w:pPr>
            <w:r w:rsidRPr="00BF06FC">
              <w:rPr>
                <w:szCs w:val="20"/>
              </w:rPr>
              <w:t>52.2 (41.9, NE)</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0EC6119A" w14:textId="77777777" w:rsidR="00A71B71" w:rsidRPr="00BF06FC" w:rsidRDefault="00A71B71" w:rsidP="00DF5EF9">
            <w:pPr>
              <w:pStyle w:val="TableText0"/>
              <w:keepNext w:val="0"/>
              <w:widowControl w:val="0"/>
              <w:jc w:val="center"/>
            </w:pPr>
            <w:r w:rsidRPr="00BF06FC">
              <w:t>NE</w:t>
            </w:r>
          </w:p>
        </w:tc>
        <w:tc>
          <w:tcPr>
            <w:tcW w:w="879" w:type="pct"/>
            <w:vMerge/>
            <w:tcBorders>
              <w:left w:val="single" w:sz="4" w:space="0" w:color="auto"/>
              <w:right w:val="single" w:sz="4" w:space="0" w:color="auto"/>
            </w:tcBorders>
            <w:shd w:val="clear" w:color="auto" w:fill="auto"/>
          </w:tcPr>
          <w:p w14:paraId="5F9DEF66" w14:textId="77777777" w:rsidR="00A71B71" w:rsidRPr="00BF06FC" w:rsidRDefault="00A71B71" w:rsidP="00DF5EF9">
            <w:pPr>
              <w:pStyle w:val="TableText0"/>
              <w:keepNext w:val="0"/>
              <w:widowControl w:val="0"/>
              <w:jc w:val="center"/>
              <w:rPr>
                <w:szCs w:val="20"/>
              </w:rPr>
            </w:pPr>
          </w:p>
        </w:tc>
      </w:tr>
      <w:tr w:rsidR="00A71B71" w:rsidRPr="00BF06FC" w14:paraId="4D384C91" w14:textId="77777777" w:rsidTr="006234C1">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2737B00" w14:textId="77777777" w:rsidR="00A71B71" w:rsidRPr="00BF06FC" w:rsidRDefault="00A71B71" w:rsidP="00DF5EF9">
            <w:pPr>
              <w:pStyle w:val="TableText0"/>
              <w:keepNext w:val="0"/>
              <w:widowControl w:val="0"/>
            </w:pPr>
            <w:r w:rsidRPr="00BF06FC">
              <w:t xml:space="preserve">% Alive at 12 months (95% CI) </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43426420" w14:textId="77777777" w:rsidR="00A71B71" w:rsidRPr="00BF06FC" w:rsidRDefault="00A71B71" w:rsidP="00DF5EF9">
            <w:pPr>
              <w:pStyle w:val="TableText0"/>
              <w:keepNext w:val="0"/>
              <w:widowControl w:val="0"/>
              <w:jc w:val="center"/>
            </w:pPr>
            <w:r w:rsidRPr="00BF06FC">
              <w:rPr>
                <w:szCs w:val="20"/>
              </w:rPr>
              <w:t>94.6 (92.3,96.2)</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6507F125" w14:textId="77777777" w:rsidR="00A71B71" w:rsidRPr="00BF06FC" w:rsidRDefault="00A71B71" w:rsidP="00DF5EF9">
            <w:pPr>
              <w:pStyle w:val="TableText0"/>
              <w:keepNext w:val="0"/>
              <w:widowControl w:val="0"/>
              <w:jc w:val="center"/>
              <w:rPr>
                <w:szCs w:val="20"/>
              </w:rPr>
            </w:pPr>
            <w:r w:rsidRPr="00BF06FC">
              <w:rPr>
                <w:szCs w:val="20"/>
              </w:rPr>
              <w:t>90.8 (88.0, 93.0)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CBB0A41" w14:textId="77777777" w:rsidR="00A71B71" w:rsidRPr="00BF06FC" w:rsidRDefault="00A71B71" w:rsidP="00DF5EF9">
            <w:pPr>
              <w:pStyle w:val="TableText0"/>
              <w:keepNext w:val="0"/>
              <w:widowControl w:val="0"/>
              <w:jc w:val="center"/>
            </w:pPr>
            <w:r w:rsidRPr="00BF06FC">
              <w:t>3.8%</w:t>
            </w:r>
          </w:p>
        </w:tc>
        <w:tc>
          <w:tcPr>
            <w:tcW w:w="879" w:type="pct"/>
            <w:vMerge/>
            <w:tcBorders>
              <w:left w:val="single" w:sz="4" w:space="0" w:color="auto"/>
              <w:right w:val="single" w:sz="4" w:space="0" w:color="auto"/>
            </w:tcBorders>
            <w:shd w:val="clear" w:color="auto" w:fill="auto"/>
          </w:tcPr>
          <w:p w14:paraId="2E855C72" w14:textId="77777777" w:rsidR="00A71B71" w:rsidRPr="00BF06FC" w:rsidRDefault="00A71B71" w:rsidP="00DF5EF9">
            <w:pPr>
              <w:pStyle w:val="TableText0"/>
              <w:keepNext w:val="0"/>
              <w:widowControl w:val="0"/>
              <w:jc w:val="center"/>
            </w:pPr>
          </w:p>
        </w:tc>
      </w:tr>
      <w:tr w:rsidR="00A71B71" w:rsidRPr="00BF06FC" w14:paraId="795AA351" w14:textId="77777777" w:rsidTr="006234C1">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03DE37A3" w14:textId="77777777" w:rsidR="00A71B71" w:rsidRPr="00BF06FC" w:rsidRDefault="00A71B71" w:rsidP="00DF5EF9">
            <w:pPr>
              <w:pStyle w:val="TableText0"/>
              <w:keepNext w:val="0"/>
              <w:widowControl w:val="0"/>
            </w:pPr>
            <w:r w:rsidRPr="00BF06FC">
              <w:t>% Alive at 24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7F091D56" w14:textId="77777777" w:rsidR="00A71B71" w:rsidRPr="00BF06FC" w:rsidRDefault="00A71B71" w:rsidP="00DF5EF9">
            <w:pPr>
              <w:pStyle w:val="TableText0"/>
              <w:keepNext w:val="0"/>
              <w:widowControl w:val="0"/>
              <w:jc w:val="center"/>
              <w:rPr>
                <w:szCs w:val="20"/>
              </w:rPr>
            </w:pPr>
            <w:r w:rsidRPr="00BF06FC">
              <w:rPr>
                <w:szCs w:val="20"/>
              </w:rPr>
              <w:t>83.3 (79.8, 86.3)</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1BB76421" w14:textId="77777777" w:rsidR="00A71B71" w:rsidRPr="00BF06FC" w:rsidRDefault="00A71B71" w:rsidP="00DF5EF9">
            <w:pPr>
              <w:pStyle w:val="TableText0"/>
              <w:keepNext w:val="0"/>
              <w:widowControl w:val="0"/>
              <w:jc w:val="center"/>
              <w:rPr>
                <w:szCs w:val="20"/>
              </w:rPr>
            </w:pPr>
            <w:r w:rsidRPr="00BF06FC">
              <w:rPr>
                <w:szCs w:val="20"/>
              </w:rPr>
              <w:t>73.7 (69.7, 77.3)</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65891170" w14:textId="77777777" w:rsidR="00A71B71" w:rsidRPr="00BF06FC" w:rsidRDefault="00A71B71" w:rsidP="00DF5EF9">
            <w:pPr>
              <w:pStyle w:val="TableText0"/>
              <w:keepNext w:val="0"/>
              <w:widowControl w:val="0"/>
              <w:jc w:val="center"/>
            </w:pPr>
            <w:r w:rsidRPr="00BF06FC">
              <w:t>9.6%</w:t>
            </w:r>
          </w:p>
        </w:tc>
        <w:tc>
          <w:tcPr>
            <w:tcW w:w="879" w:type="pct"/>
            <w:vMerge/>
            <w:tcBorders>
              <w:left w:val="single" w:sz="4" w:space="0" w:color="auto"/>
              <w:right w:val="single" w:sz="4" w:space="0" w:color="auto"/>
            </w:tcBorders>
            <w:shd w:val="clear" w:color="auto" w:fill="auto"/>
          </w:tcPr>
          <w:p w14:paraId="566EF284" w14:textId="77777777" w:rsidR="00A71B71" w:rsidRPr="00BF06FC" w:rsidRDefault="00A71B71" w:rsidP="00DF5EF9">
            <w:pPr>
              <w:pStyle w:val="TableText0"/>
              <w:keepNext w:val="0"/>
              <w:widowControl w:val="0"/>
              <w:jc w:val="center"/>
            </w:pPr>
          </w:p>
        </w:tc>
      </w:tr>
      <w:tr w:rsidR="00A71B71" w:rsidRPr="00BF06FC" w14:paraId="4FB7235A" w14:textId="77777777" w:rsidTr="006234C1">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53853D0" w14:textId="77777777" w:rsidR="00A71B71" w:rsidRPr="00BF06FC" w:rsidRDefault="00A71B71" w:rsidP="00DF5EF9">
            <w:pPr>
              <w:pStyle w:val="TableText0"/>
              <w:keepNext w:val="0"/>
              <w:widowControl w:val="0"/>
            </w:pPr>
            <w:r w:rsidRPr="00BF06FC">
              <w:t>% Alive at 36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7CF40FED" w14:textId="77777777" w:rsidR="00A71B71" w:rsidRPr="00BF06FC" w:rsidRDefault="00A71B71" w:rsidP="00DF5EF9">
            <w:pPr>
              <w:pStyle w:val="TableText0"/>
              <w:keepNext w:val="0"/>
              <w:widowControl w:val="0"/>
              <w:jc w:val="center"/>
              <w:rPr>
                <w:szCs w:val="20"/>
              </w:rPr>
            </w:pPr>
            <w:r w:rsidRPr="00BF06FC">
              <w:rPr>
                <w:szCs w:val="20"/>
              </w:rPr>
              <w:t>71.9 (67.8, 75.6)</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3A13EE3C" w14:textId="77777777" w:rsidR="00A71B71" w:rsidRPr="00BF06FC" w:rsidRDefault="00A71B71" w:rsidP="00DF5EF9">
            <w:pPr>
              <w:pStyle w:val="TableText0"/>
              <w:keepNext w:val="0"/>
              <w:widowControl w:val="0"/>
              <w:jc w:val="center"/>
              <w:rPr>
                <w:szCs w:val="20"/>
              </w:rPr>
            </w:pPr>
            <w:r w:rsidRPr="00BF06FC">
              <w:rPr>
                <w:szCs w:val="20"/>
              </w:rPr>
              <w:t>61.0 (56.6, 65.0)</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29A74672" w14:textId="77777777" w:rsidR="00A71B71" w:rsidRPr="00BF06FC" w:rsidRDefault="00A71B71" w:rsidP="00DF5EF9">
            <w:pPr>
              <w:pStyle w:val="TableText0"/>
              <w:keepNext w:val="0"/>
              <w:widowControl w:val="0"/>
              <w:jc w:val="center"/>
            </w:pPr>
            <w:r w:rsidRPr="00BF06FC">
              <w:t>10.9%</w:t>
            </w:r>
          </w:p>
        </w:tc>
        <w:tc>
          <w:tcPr>
            <w:tcW w:w="879" w:type="pct"/>
            <w:vMerge/>
            <w:tcBorders>
              <w:left w:val="single" w:sz="4" w:space="0" w:color="auto"/>
              <w:right w:val="single" w:sz="4" w:space="0" w:color="auto"/>
            </w:tcBorders>
            <w:shd w:val="clear" w:color="auto" w:fill="auto"/>
          </w:tcPr>
          <w:p w14:paraId="1146444E" w14:textId="77777777" w:rsidR="00A71B71" w:rsidRPr="00BF06FC" w:rsidRDefault="00A71B71" w:rsidP="00DF5EF9">
            <w:pPr>
              <w:pStyle w:val="TableText0"/>
              <w:keepNext w:val="0"/>
              <w:widowControl w:val="0"/>
              <w:jc w:val="center"/>
            </w:pPr>
          </w:p>
        </w:tc>
      </w:tr>
      <w:tr w:rsidR="00A71B71" w:rsidRPr="00BF06FC" w14:paraId="6198F358" w14:textId="77777777" w:rsidTr="006234C1">
        <w:trPr>
          <w:trHeight w:val="20"/>
        </w:trPr>
        <w:tc>
          <w:tcPr>
            <w:tcW w:w="1727" w:type="pct"/>
            <w:tcBorders>
              <w:top w:val="single" w:sz="4" w:space="0" w:color="auto"/>
              <w:left w:val="single" w:sz="4" w:space="0" w:color="auto"/>
              <w:bottom w:val="double" w:sz="4" w:space="0" w:color="auto"/>
              <w:right w:val="single" w:sz="4" w:space="0" w:color="auto"/>
            </w:tcBorders>
            <w:shd w:val="clear" w:color="auto" w:fill="auto"/>
          </w:tcPr>
          <w:p w14:paraId="3FD40452" w14:textId="77777777" w:rsidR="00A71B71" w:rsidRPr="00BF06FC" w:rsidRDefault="00A71B71" w:rsidP="00DF5EF9">
            <w:pPr>
              <w:pStyle w:val="TableText0"/>
              <w:keepNext w:val="0"/>
              <w:widowControl w:val="0"/>
            </w:pPr>
            <w:r w:rsidRPr="00BF06FC">
              <w:t>% Alive at 48 months (95% CI)</w:t>
            </w:r>
          </w:p>
        </w:tc>
        <w:tc>
          <w:tcPr>
            <w:tcW w:w="785" w:type="pct"/>
            <w:tcBorders>
              <w:top w:val="single" w:sz="4" w:space="0" w:color="auto"/>
              <w:left w:val="single" w:sz="4" w:space="0" w:color="auto"/>
              <w:bottom w:val="double" w:sz="4" w:space="0" w:color="auto"/>
              <w:right w:val="single" w:sz="4" w:space="0" w:color="auto"/>
            </w:tcBorders>
            <w:shd w:val="clear" w:color="auto" w:fill="auto"/>
          </w:tcPr>
          <w:p w14:paraId="43B68259" w14:textId="77777777" w:rsidR="00A71B71" w:rsidRPr="00BF06FC" w:rsidRDefault="00A71B71" w:rsidP="00DF5EF9">
            <w:pPr>
              <w:pStyle w:val="TableText0"/>
              <w:keepNext w:val="0"/>
              <w:widowControl w:val="0"/>
              <w:jc w:val="center"/>
              <w:rPr>
                <w:szCs w:val="20"/>
              </w:rPr>
            </w:pPr>
            <w:r w:rsidRPr="00BF06FC">
              <w:rPr>
                <w:szCs w:val="20"/>
              </w:rPr>
              <w:t>65.1 (60.4, 69.3)</w:t>
            </w:r>
          </w:p>
        </w:tc>
        <w:tc>
          <w:tcPr>
            <w:tcW w:w="708" w:type="pct"/>
            <w:tcBorders>
              <w:top w:val="single" w:sz="4" w:space="0" w:color="auto"/>
              <w:left w:val="single" w:sz="4" w:space="0" w:color="auto"/>
              <w:bottom w:val="double" w:sz="4" w:space="0" w:color="auto"/>
              <w:right w:val="single" w:sz="4" w:space="0" w:color="auto"/>
            </w:tcBorders>
            <w:shd w:val="clear" w:color="auto" w:fill="auto"/>
          </w:tcPr>
          <w:p w14:paraId="4BB371E3" w14:textId="77777777" w:rsidR="00A71B71" w:rsidRPr="00BF06FC" w:rsidRDefault="00A71B71" w:rsidP="00DF5EF9">
            <w:pPr>
              <w:pStyle w:val="TableText0"/>
              <w:keepNext w:val="0"/>
              <w:widowControl w:val="0"/>
              <w:jc w:val="center"/>
              <w:rPr>
                <w:szCs w:val="20"/>
              </w:rPr>
            </w:pPr>
            <w:r w:rsidRPr="00BF06FC">
              <w:rPr>
                <w:szCs w:val="20"/>
              </w:rPr>
              <w:t>51.8 (46.9, 56.4)</w:t>
            </w:r>
          </w:p>
        </w:tc>
        <w:tc>
          <w:tcPr>
            <w:tcW w:w="901" w:type="pct"/>
            <w:tcBorders>
              <w:top w:val="single" w:sz="4" w:space="0" w:color="auto"/>
              <w:left w:val="single" w:sz="4" w:space="0" w:color="auto"/>
              <w:bottom w:val="double" w:sz="4" w:space="0" w:color="auto"/>
              <w:right w:val="single" w:sz="4" w:space="0" w:color="auto"/>
            </w:tcBorders>
            <w:shd w:val="clear" w:color="auto" w:fill="auto"/>
          </w:tcPr>
          <w:p w14:paraId="3E24FE56" w14:textId="77777777" w:rsidR="00A71B71" w:rsidRPr="00BF06FC" w:rsidRDefault="00A71B71" w:rsidP="00DF5EF9">
            <w:pPr>
              <w:pStyle w:val="TableText0"/>
              <w:keepNext w:val="0"/>
              <w:widowControl w:val="0"/>
              <w:jc w:val="center"/>
            </w:pPr>
            <w:r w:rsidRPr="00BF06FC">
              <w:t>13.3%</w:t>
            </w:r>
          </w:p>
        </w:tc>
        <w:tc>
          <w:tcPr>
            <w:tcW w:w="879" w:type="pct"/>
            <w:vMerge/>
            <w:tcBorders>
              <w:left w:val="single" w:sz="4" w:space="0" w:color="auto"/>
              <w:bottom w:val="double" w:sz="4" w:space="0" w:color="auto"/>
              <w:right w:val="single" w:sz="4" w:space="0" w:color="auto"/>
            </w:tcBorders>
            <w:shd w:val="clear" w:color="auto" w:fill="auto"/>
          </w:tcPr>
          <w:p w14:paraId="2C3E0029" w14:textId="77777777" w:rsidR="00A71B71" w:rsidRPr="00BF06FC" w:rsidRDefault="00A71B71" w:rsidP="00DF5EF9">
            <w:pPr>
              <w:pStyle w:val="TableText0"/>
              <w:keepNext w:val="0"/>
              <w:widowControl w:val="0"/>
              <w:jc w:val="center"/>
            </w:pPr>
          </w:p>
        </w:tc>
      </w:tr>
    </w:tbl>
    <w:tbl>
      <w:tblPr>
        <w:tblW w:w="5000" w:type="pct"/>
        <w:tblLayout w:type="fixed"/>
        <w:tblCellMar>
          <w:left w:w="28" w:type="dxa"/>
          <w:right w:w="28" w:type="dxa"/>
        </w:tblCellMar>
        <w:tblLook w:val="04A0" w:firstRow="1" w:lastRow="0" w:firstColumn="1" w:lastColumn="0" w:noHBand="0" w:noVBand="1"/>
        <w:tblCaption w:val="Table 6: Summary of comparative benefits and harms between apalutamide and placebo, ITT population"/>
      </w:tblPr>
      <w:tblGrid>
        <w:gridCol w:w="2125"/>
        <w:gridCol w:w="1136"/>
        <w:gridCol w:w="1134"/>
        <w:gridCol w:w="1275"/>
        <w:gridCol w:w="988"/>
        <w:gridCol w:w="997"/>
        <w:gridCol w:w="1362"/>
      </w:tblGrid>
      <w:tr w:rsidR="00814F74" w:rsidRPr="00BF06FC" w14:paraId="2B7A7B1B" w14:textId="77777777" w:rsidTr="00DF5EF9">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43BC57A0" w14:textId="77777777" w:rsidR="00814F74" w:rsidRPr="00BF06FC" w:rsidRDefault="00814F74" w:rsidP="00DF5EF9">
            <w:pPr>
              <w:pStyle w:val="In-tableHeading"/>
              <w:keepNext w:val="0"/>
              <w:rPr>
                <w:lang w:val="en-AU"/>
              </w:rPr>
            </w:pPr>
            <w:r w:rsidRPr="00BF06FC">
              <w:rPr>
                <w:lang w:val="en-AU"/>
              </w:rPr>
              <w:t xml:space="preserve">Harms </w:t>
            </w:r>
          </w:p>
        </w:tc>
      </w:tr>
      <w:tr w:rsidR="00814F74" w:rsidRPr="00BF06FC" w14:paraId="0885577A" w14:textId="77777777" w:rsidTr="00DF5EF9">
        <w:trPr>
          <w:trHeight w:val="70"/>
        </w:trPr>
        <w:tc>
          <w:tcPr>
            <w:tcW w:w="11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D17674" w14:textId="77777777" w:rsidR="00814F74" w:rsidRPr="00BF06FC" w:rsidRDefault="00814F74" w:rsidP="00DF5EF9">
            <w:pPr>
              <w:pStyle w:val="In-tableHeading"/>
              <w:keepNext w:val="0"/>
              <w:rPr>
                <w:lang w:val="en-AU"/>
              </w:rPr>
            </w:pPr>
            <w:r w:rsidRPr="00BF06FC">
              <w:rPr>
                <w:lang w:val="en-AU"/>
              </w:rPr>
              <w:t>TITAN</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14:paraId="42BA0A18" w14:textId="77777777" w:rsidR="00814F74" w:rsidRPr="00BF06FC" w:rsidRDefault="00814F74" w:rsidP="00DF5EF9">
            <w:pPr>
              <w:pStyle w:val="In-tableHeading"/>
              <w:keepNext w:val="0"/>
              <w:jc w:val="center"/>
              <w:rPr>
                <w:lang w:val="en-AU"/>
              </w:rPr>
            </w:pPr>
            <w:r w:rsidRPr="00BF06FC">
              <w:rPr>
                <w:lang w:val="en-AU"/>
              </w:rPr>
              <w:t>APA</w:t>
            </w:r>
          </w:p>
          <w:p w14:paraId="76221F45" w14:textId="77777777" w:rsidR="00814F74" w:rsidRPr="00BF06FC" w:rsidRDefault="00814F74" w:rsidP="00DF5EF9">
            <w:pPr>
              <w:pStyle w:val="In-tableHeading"/>
              <w:keepNext w:val="0"/>
              <w:jc w:val="center"/>
              <w:rPr>
                <w:lang w:val="en-AU"/>
              </w:rPr>
            </w:pPr>
            <w:r w:rsidRPr="00BF06FC">
              <w:rPr>
                <w:lang w:val="en-AU"/>
              </w:rPr>
              <w:t>N=524</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16169121" w14:textId="77777777" w:rsidR="00814F74" w:rsidRPr="00BF06FC" w:rsidRDefault="00814F74" w:rsidP="00DF5EF9">
            <w:pPr>
              <w:pStyle w:val="In-tableHeading"/>
              <w:keepNext w:val="0"/>
              <w:jc w:val="center"/>
              <w:rPr>
                <w:lang w:val="en-AU"/>
              </w:rPr>
            </w:pPr>
            <w:r w:rsidRPr="00BF06FC">
              <w:rPr>
                <w:lang w:val="en-AU"/>
              </w:rPr>
              <w:t>PBO</w:t>
            </w:r>
          </w:p>
          <w:p w14:paraId="7ACA6A96" w14:textId="77777777" w:rsidR="00814F74" w:rsidRPr="00BF06FC" w:rsidRDefault="00814F74" w:rsidP="00DF5EF9">
            <w:pPr>
              <w:pStyle w:val="In-tableHeading"/>
              <w:keepNext w:val="0"/>
              <w:jc w:val="center"/>
              <w:rPr>
                <w:lang w:val="en-AU"/>
              </w:rPr>
            </w:pPr>
            <w:r w:rsidRPr="00BF06FC">
              <w:rPr>
                <w:lang w:val="en-AU"/>
              </w:rPr>
              <w:t>N=527</w:t>
            </w:r>
          </w:p>
        </w:tc>
        <w:tc>
          <w:tcPr>
            <w:tcW w:w="707" w:type="pct"/>
            <w:vMerge w:val="restart"/>
            <w:tcBorders>
              <w:top w:val="single" w:sz="4" w:space="0" w:color="auto"/>
              <w:left w:val="single" w:sz="4" w:space="0" w:color="auto"/>
              <w:bottom w:val="single" w:sz="4" w:space="0" w:color="auto"/>
              <w:right w:val="single" w:sz="4" w:space="0" w:color="auto"/>
            </w:tcBorders>
            <w:vAlign w:val="center"/>
          </w:tcPr>
          <w:p w14:paraId="42680742" w14:textId="77777777" w:rsidR="00814F74" w:rsidRPr="00BF06FC" w:rsidRDefault="00814F74" w:rsidP="00DF5EF9">
            <w:pPr>
              <w:pStyle w:val="In-tableHeading"/>
              <w:keepNext w:val="0"/>
              <w:jc w:val="center"/>
              <w:rPr>
                <w:lang w:val="en-AU"/>
              </w:rPr>
            </w:pPr>
            <w:r w:rsidRPr="00BF06FC">
              <w:rPr>
                <w:lang w:val="en-AU"/>
              </w:rPr>
              <w:t>RR</w:t>
            </w:r>
            <w:r w:rsidR="008B7070" w:rsidRPr="00BF06FC">
              <w:rPr>
                <w:lang w:val="en-AU"/>
              </w:rPr>
              <w:t>*</w:t>
            </w:r>
          </w:p>
          <w:p w14:paraId="2BEB581A" w14:textId="77777777" w:rsidR="00814F74" w:rsidRPr="00BF06FC" w:rsidRDefault="00814F74" w:rsidP="008B7070">
            <w:pPr>
              <w:pStyle w:val="In-tableHeading"/>
              <w:keepNext w:val="0"/>
              <w:jc w:val="center"/>
              <w:rPr>
                <w:lang w:val="en-AU"/>
              </w:rPr>
            </w:pPr>
            <w:r w:rsidRPr="00BF06FC">
              <w:rPr>
                <w:lang w:val="en-AU"/>
              </w:rPr>
              <w:t>(95% CI)</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7E9FB136" w14:textId="77777777" w:rsidR="00814F74" w:rsidRPr="00BF06FC" w:rsidRDefault="00814F74" w:rsidP="00DF5EF9">
            <w:pPr>
              <w:pStyle w:val="In-tableHeading"/>
              <w:keepNext w:val="0"/>
              <w:jc w:val="center"/>
              <w:rPr>
                <w:lang w:val="en-AU"/>
              </w:rPr>
            </w:pPr>
            <w:r w:rsidRPr="00BF06FC">
              <w:rPr>
                <w:lang w:val="en-AU"/>
              </w:rPr>
              <w:t>Event rate/100 SY</w:t>
            </w:r>
            <w:r w:rsidRPr="00BF06FC">
              <w:rPr>
                <w:vertAlign w:val="superscript"/>
                <w:lang w:val="en-AU"/>
              </w:rPr>
              <w:t>#</w:t>
            </w:r>
          </w:p>
        </w:tc>
        <w:tc>
          <w:tcPr>
            <w:tcW w:w="755" w:type="pct"/>
            <w:vMerge w:val="restart"/>
            <w:tcBorders>
              <w:top w:val="single" w:sz="4" w:space="0" w:color="auto"/>
              <w:left w:val="single" w:sz="4" w:space="0" w:color="auto"/>
              <w:bottom w:val="single" w:sz="4" w:space="0" w:color="auto"/>
              <w:right w:val="single" w:sz="4" w:space="0" w:color="auto"/>
            </w:tcBorders>
            <w:vAlign w:val="center"/>
          </w:tcPr>
          <w:p w14:paraId="4F5E67AB" w14:textId="77777777" w:rsidR="00814F74" w:rsidRPr="00BF06FC" w:rsidRDefault="00814F74" w:rsidP="00DF5EF9">
            <w:pPr>
              <w:pStyle w:val="In-tableHeading"/>
              <w:keepNext w:val="0"/>
              <w:jc w:val="center"/>
              <w:rPr>
                <w:lang w:val="en-AU"/>
              </w:rPr>
            </w:pPr>
            <w:r w:rsidRPr="00BF06FC">
              <w:rPr>
                <w:lang w:val="en-AU"/>
              </w:rPr>
              <w:t>RD</w:t>
            </w:r>
          </w:p>
          <w:p w14:paraId="73BBD91E" w14:textId="77777777" w:rsidR="00814F74" w:rsidRPr="00BF06FC" w:rsidRDefault="00814F74" w:rsidP="00DF5EF9">
            <w:pPr>
              <w:pStyle w:val="In-tableHeading"/>
              <w:keepNext w:val="0"/>
              <w:jc w:val="center"/>
              <w:rPr>
                <w:lang w:val="en-AU"/>
              </w:rPr>
            </w:pPr>
            <w:r w:rsidRPr="00BF06FC">
              <w:rPr>
                <w:lang w:val="en-AU"/>
              </w:rPr>
              <w:t>(95% CI)</w:t>
            </w:r>
          </w:p>
        </w:tc>
      </w:tr>
      <w:tr w:rsidR="00814F74" w:rsidRPr="00BF06FC" w14:paraId="0505837F" w14:textId="77777777" w:rsidTr="00DF5EF9">
        <w:trPr>
          <w:trHeight w:val="390"/>
        </w:trPr>
        <w:tc>
          <w:tcPr>
            <w:tcW w:w="117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E79954B" w14:textId="77777777" w:rsidR="00814F74" w:rsidRPr="00BF06FC" w:rsidRDefault="00814F74" w:rsidP="00DF5EF9">
            <w:pPr>
              <w:pStyle w:val="In-tableHeading"/>
              <w:keepNext w:val="0"/>
              <w:rPr>
                <w:lang w:val="en-AU"/>
              </w:rPr>
            </w:pPr>
          </w:p>
        </w:tc>
        <w:tc>
          <w:tcPr>
            <w:tcW w:w="630" w:type="pct"/>
            <w:vMerge/>
            <w:tcBorders>
              <w:top w:val="single" w:sz="4" w:space="0" w:color="auto"/>
              <w:left w:val="single" w:sz="4" w:space="0" w:color="auto"/>
              <w:bottom w:val="single" w:sz="4" w:space="0" w:color="auto"/>
              <w:right w:val="single" w:sz="4" w:space="0" w:color="auto"/>
            </w:tcBorders>
            <w:vAlign w:val="center"/>
          </w:tcPr>
          <w:p w14:paraId="1961645F" w14:textId="77777777" w:rsidR="00814F74" w:rsidRPr="00BF06FC" w:rsidRDefault="00814F74" w:rsidP="00DF5EF9">
            <w:pPr>
              <w:pStyle w:val="In-tableHeading"/>
              <w:keepNext w:val="0"/>
              <w:rPr>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48544962" w14:textId="77777777" w:rsidR="00814F74" w:rsidRPr="00BF06FC" w:rsidRDefault="00814F74" w:rsidP="00DF5EF9">
            <w:pPr>
              <w:pStyle w:val="In-tableHeading"/>
              <w:keepNext w:val="0"/>
              <w:rPr>
                <w:lang w:val="en-AU"/>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64900945" w14:textId="77777777" w:rsidR="00814F74" w:rsidRPr="00BF06FC" w:rsidRDefault="00814F74" w:rsidP="00DF5EF9">
            <w:pPr>
              <w:pStyle w:val="In-tableHeading"/>
              <w:keepNext w:val="0"/>
              <w:rPr>
                <w:lang w:val="en-AU"/>
              </w:rPr>
            </w:pPr>
          </w:p>
        </w:tc>
        <w:tc>
          <w:tcPr>
            <w:tcW w:w="548" w:type="pct"/>
            <w:tcBorders>
              <w:top w:val="single" w:sz="4" w:space="0" w:color="auto"/>
              <w:left w:val="single" w:sz="4" w:space="0" w:color="auto"/>
              <w:bottom w:val="single" w:sz="4" w:space="0" w:color="auto"/>
              <w:right w:val="single" w:sz="4" w:space="0" w:color="auto"/>
            </w:tcBorders>
            <w:vAlign w:val="center"/>
          </w:tcPr>
          <w:p w14:paraId="04C07FA6" w14:textId="77777777" w:rsidR="00814F74" w:rsidRPr="00BF06FC" w:rsidRDefault="00814F74" w:rsidP="00DF5EF9">
            <w:pPr>
              <w:pStyle w:val="In-tableHeading"/>
              <w:keepNext w:val="0"/>
              <w:jc w:val="center"/>
              <w:rPr>
                <w:lang w:val="en-AU"/>
              </w:rPr>
            </w:pPr>
            <w:r w:rsidRPr="00BF06FC">
              <w:rPr>
                <w:lang w:val="en-AU"/>
              </w:rPr>
              <w:t>APA</w:t>
            </w:r>
          </w:p>
        </w:tc>
        <w:tc>
          <w:tcPr>
            <w:tcW w:w="553" w:type="pct"/>
            <w:tcBorders>
              <w:top w:val="single" w:sz="4" w:space="0" w:color="auto"/>
              <w:left w:val="single" w:sz="4" w:space="0" w:color="auto"/>
              <w:bottom w:val="single" w:sz="4" w:space="0" w:color="auto"/>
              <w:right w:val="single" w:sz="4" w:space="0" w:color="auto"/>
            </w:tcBorders>
            <w:vAlign w:val="center"/>
          </w:tcPr>
          <w:p w14:paraId="67EDC623" w14:textId="77777777" w:rsidR="00814F74" w:rsidRPr="00BF06FC" w:rsidRDefault="00814F74" w:rsidP="00DF5EF9">
            <w:pPr>
              <w:pStyle w:val="In-tableHeading"/>
              <w:keepNext w:val="0"/>
              <w:jc w:val="center"/>
              <w:rPr>
                <w:lang w:val="en-AU"/>
              </w:rPr>
            </w:pPr>
            <w:r w:rsidRPr="00BF06FC">
              <w:rPr>
                <w:lang w:val="en-AU"/>
              </w:rPr>
              <w:t>PBO</w:t>
            </w:r>
          </w:p>
        </w:tc>
        <w:tc>
          <w:tcPr>
            <w:tcW w:w="755" w:type="pct"/>
            <w:vMerge/>
            <w:tcBorders>
              <w:top w:val="single" w:sz="4" w:space="0" w:color="auto"/>
              <w:left w:val="single" w:sz="4" w:space="0" w:color="auto"/>
              <w:bottom w:val="single" w:sz="4" w:space="0" w:color="auto"/>
              <w:right w:val="single" w:sz="4" w:space="0" w:color="auto"/>
            </w:tcBorders>
            <w:vAlign w:val="center"/>
          </w:tcPr>
          <w:p w14:paraId="27D72DD1" w14:textId="77777777" w:rsidR="00814F74" w:rsidRPr="00BF06FC" w:rsidRDefault="00814F74" w:rsidP="00DF5EF9">
            <w:pPr>
              <w:pStyle w:val="In-tableHeading"/>
              <w:keepNext w:val="0"/>
              <w:rPr>
                <w:lang w:val="en-AU"/>
              </w:rPr>
            </w:pPr>
          </w:p>
        </w:tc>
      </w:tr>
      <w:tr w:rsidR="00814F74" w:rsidRPr="00BF06FC" w14:paraId="69BD769F" w14:textId="77777777" w:rsidTr="00DF5EF9">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924713" w14:textId="77777777" w:rsidR="00814F74" w:rsidRPr="00BF06FC" w:rsidRDefault="00814F74" w:rsidP="00DF5EF9">
            <w:pPr>
              <w:pStyle w:val="In-tableHeading"/>
              <w:keepNext w:val="0"/>
              <w:jc w:val="both"/>
              <w:rPr>
                <w:lang w:val="en-AU"/>
              </w:rPr>
            </w:pPr>
            <w:r w:rsidRPr="00BF06FC">
              <w:rPr>
                <w:lang w:val="en-AU"/>
              </w:rPr>
              <w:t>AEs of special interest</w:t>
            </w:r>
          </w:p>
        </w:tc>
      </w:tr>
      <w:tr w:rsidR="00814F74" w:rsidRPr="00BF06FC" w14:paraId="7EE3E21F" w14:textId="77777777" w:rsidTr="00DF5EF9">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247C9FFC" w14:textId="77777777" w:rsidR="00814F74" w:rsidRPr="00BF06FC" w:rsidRDefault="00814F74" w:rsidP="00DF5EF9">
            <w:pPr>
              <w:pStyle w:val="TableText0"/>
              <w:keepNext w:val="0"/>
            </w:pPr>
            <w:r w:rsidRPr="00BF06FC">
              <w:t>Skin rash</w:t>
            </w:r>
          </w:p>
        </w:tc>
        <w:tc>
          <w:tcPr>
            <w:tcW w:w="630" w:type="pct"/>
            <w:tcBorders>
              <w:top w:val="single" w:sz="4" w:space="0" w:color="auto"/>
              <w:left w:val="single" w:sz="4" w:space="0" w:color="auto"/>
              <w:bottom w:val="single" w:sz="4" w:space="0" w:color="auto"/>
              <w:right w:val="single" w:sz="4" w:space="0" w:color="auto"/>
            </w:tcBorders>
            <w:vAlign w:val="center"/>
          </w:tcPr>
          <w:p w14:paraId="5C124170" w14:textId="77777777" w:rsidR="00814F74" w:rsidRPr="00BF06FC" w:rsidRDefault="00814F74" w:rsidP="00DF5EF9">
            <w:pPr>
              <w:pStyle w:val="TableText0"/>
              <w:keepNext w:val="0"/>
              <w:jc w:val="center"/>
            </w:pPr>
            <w:r w:rsidRPr="00BF06FC">
              <w:rPr>
                <w:szCs w:val="20"/>
              </w:rPr>
              <w:t>153 (29.2)</w:t>
            </w:r>
          </w:p>
        </w:tc>
        <w:tc>
          <w:tcPr>
            <w:tcW w:w="629" w:type="pct"/>
            <w:tcBorders>
              <w:top w:val="single" w:sz="4" w:space="0" w:color="auto"/>
              <w:left w:val="single" w:sz="4" w:space="0" w:color="auto"/>
              <w:bottom w:val="single" w:sz="4" w:space="0" w:color="auto"/>
              <w:right w:val="single" w:sz="4" w:space="0" w:color="auto"/>
            </w:tcBorders>
            <w:vAlign w:val="center"/>
          </w:tcPr>
          <w:p w14:paraId="43655D0C" w14:textId="77777777" w:rsidR="00814F74" w:rsidRPr="00BF06FC" w:rsidRDefault="00814F74" w:rsidP="00DF5EF9">
            <w:pPr>
              <w:pStyle w:val="TableText0"/>
              <w:keepNext w:val="0"/>
              <w:jc w:val="center"/>
            </w:pPr>
            <w:r w:rsidRPr="00BF06FC">
              <w:rPr>
                <w:szCs w:val="20"/>
              </w:rPr>
              <w:t>49 (9.3)</w:t>
            </w:r>
          </w:p>
        </w:tc>
        <w:tc>
          <w:tcPr>
            <w:tcW w:w="707" w:type="pct"/>
            <w:tcBorders>
              <w:top w:val="single" w:sz="4" w:space="0" w:color="auto"/>
              <w:left w:val="single" w:sz="4" w:space="0" w:color="auto"/>
              <w:bottom w:val="single" w:sz="4" w:space="0" w:color="auto"/>
              <w:right w:val="single" w:sz="4" w:space="0" w:color="auto"/>
            </w:tcBorders>
            <w:vAlign w:val="center"/>
          </w:tcPr>
          <w:p w14:paraId="22AF7CC3" w14:textId="77777777" w:rsidR="00814F74" w:rsidRPr="00BF06FC" w:rsidRDefault="00814F74" w:rsidP="00DF5EF9">
            <w:pPr>
              <w:pStyle w:val="TableText0"/>
              <w:keepNext w:val="0"/>
              <w:jc w:val="center"/>
            </w:pPr>
            <w:r w:rsidRPr="00BF06FC">
              <w:rPr>
                <w:b/>
                <w:szCs w:val="20"/>
              </w:rPr>
              <w:t>3.14 (2.33, 4.23)</w:t>
            </w:r>
          </w:p>
        </w:tc>
        <w:tc>
          <w:tcPr>
            <w:tcW w:w="548" w:type="pct"/>
            <w:tcBorders>
              <w:top w:val="single" w:sz="4" w:space="0" w:color="auto"/>
              <w:left w:val="single" w:sz="4" w:space="0" w:color="auto"/>
              <w:bottom w:val="single" w:sz="4" w:space="0" w:color="auto"/>
              <w:right w:val="single" w:sz="4" w:space="0" w:color="auto"/>
            </w:tcBorders>
            <w:vAlign w:val="center"/>
          </w:tcPr>
          <w:p w14:paraId="415211CB" w14:textId="77777777" w:rsidR="00814F74" w:rsidRPr="00BF06FC" w:rsidRDefault="00814F74" w:rsidP="00DF5EF9">
            <w:pPr>
              <w:pStyle w:val="TableText0"/>
              <w:keepNext w:val="0"/>
              <w:jc w:val="center"/>
            </w:pPr>
            <w:r w:rsidRPr="00BF06FC">
              <w:t>24.4</w:t>
            </w:r>
          </w:p>
        </w:tc>
        <w:tc>
          <w:tcPr>
            <w:tcW w:w="553" w:type="pct"/>
            <w:tcBorders>
              <w:top w:val="single" w:sz="4" w:space="0" w:color="auto"/>
              <w:left w:val="single" w:sz="4" w:space="0" w:color="auto"/>
              <w:bottom w:val="single" w:sz="4" w:space="0" w:color="auto"/>
              <w:right w:val="single" w:sz="4" w:space="0" w:color="auto"/>
            </w:tcBorders>
            <w:vAlign w:val="center"/>
          </w:tcPr>
          <w:p w14:paraId="04816121" w14:textId="77777777" w:rsidR="00814F74" w:rsidRPr="00BF06FC" w:rsidRDefault="00814F74" w:rsidP="00DF5EF9">
            <w:pPr>
              <w:pStyle w:val="TableText0"/>
              <w:keepNext w:val="0"/>
              <w:jc w:val="center"/>
            </w:pPr>
            <w:r w:rsidRPr="00BF06FC">
              <w:t>8.3</w:t>
            </w:r>
          </w:p>
        </w:tc>
        <w:tc>
          <w:tcPr>
            <w:tcW w:w="755" w:type="pct"/>
            <w:tcBorders>
              <w:top w:val="single" w:sz="4" w:space="0" w:color="auto"/>
              <w:left w:val="single" w:sz="4" w:space="0" w:color="auto"/>
              <w:bottom w:val="single" w:sz="4" w:space="0" w:color="auto"/>
              <w:right w:val="single" w:sz="4" w:space="0" w:color="auto"/>
            </w:tcBorders>
          </w:tcPr>
          <w:p w14:paraId="7277F44B" w14:textId="77777777" w:rsidR="00814F74" w:rsidRPr="00BF06FC" w:rsidRDefault="00814F74" w:rsidP="00DF5EF9">
            <w:pPr>
              <w:pStyle w:val="TableText0"/>
              <w:keepNext w:val="0"/>
              <w:jc w:val="center"/>
            </w:pPr>
            <w:r w:rsidRPr="00BF06FC">
              <w:rPr>
                <w:b/>
                <w:szCs w:val="20"/>
              </w:rPr>
              <w:t>16.1% (NR, NR)</w:t>
            </w:r>
          </w:p>
        </w:tc>
      </w:tr>
      <w:tr w:rsidR="00814F74" w:rsidRPr="00BF06FC" w14:paraId="25E86A16" w14:textId="77777777" w:rsidTr="00DF5EF9">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0766A94A" w14:textId="77777777" w:rsidR="00814F74" w:rsidRPr="00BF06FC" w:rsidRDefault="00814F74" w:rsidP="00DF5EF9">
            <w:pPr>
              <w:pStyle w:val="TableText0"/>
              <w:keepNext w:val="0"/>
            </w:pPr>
            <w:r w:rsidRPr="00BF06FC">
              <w:t>Ischaemic heart disease</w:t>
            </w:r>
          </w:p>
        </w:tc>
        <w:tc>
          <w:tcPr>
            <w:tcW w:w="630" w:type="pct"/>
            <w:tcBorders>
              <w:top w:val="single" w:sz="4" w:space="0" w:color="auto"/>
              <w:left w:val="single" w:sz="4" w:space="0" w:color="auto"/>
              <w:bottom w:val="single" w:sz="4" w:space="0" w:color="auto"/>
              <w:right w:val="single" w:sz="4" w:space="0" w:color="auto"/>
            </w:tcBorders>
            <w:vAlign w:val="center"/>
          </w:tcPr>
          <w:p w14:paraId="08793043" w14:textId="77777777" w:rsidR="00814F74" w:rsidRPr="00BF06FC" w:rsidRDefault="00814F74" w:rsidP="00DF5EF9">
            <w:pPr>
              <w:pStyle w:val="TableText0"/>
              <w:keepNext w:val="0"/>
              <w:jc w:val="center"/>
            </w:pPr>
            <w:r w:rsidRPr="00BF06FC">
              <w:rPr>
                <w:szCs w:val="20"/>
              </w:rPr>
              <w:t>31 (5.9)</w:t>
            </w:r>
          </w:p>
        </w:tc>
        <w:tc>
          <w:tcPr>
            <w:tcW w:w="629" w:type="pct"/>
            <w:tcBorders>
              <w:top w:val="single" w:sz="4" w:space="0" w:color="auto"/>
              <w:left w:val="single" w:sz="4" w:space="0" w:color="auto"/>
              <w:bottom w:val="single" w:sz="4" w:space="0" w:color="auto"/>
              <w:right w:val="single" w:sz="4" w:space="0" w:color="auto"/>
            </w:tcBorders>
            <w:vAlign w:val="center"/>
          </w:tcPr>
          <w:p w14:paraId="2C3D2C8B" w14:textId="77777777" w:rsidR="00814F74" w:rsidRPr="00BF06FC" w:rsidRDefault="00814F74" w:rsidP="00DF5EF9">
            <w:pPr>
              <w:pStyle w:val="TableText0"/>
              <w:keepNext w:val="0"/>
              <w:jc w:val="center"/>
            </w:pPr>
            <w:r w:rsidRPr="00BF06FC">
              <w:rPr>
                <w:szCs w:val="20"/>
              </w:rPr>
              <w:t>11 (2.1)</w:t>
            </w:r>
          </w:p>
        </w:tc>
        <w:tc>
          <w:tcPr>
            <w:tcW w:w="707" w:type="pct"/>
            <w:tcBorders>
              <w:top w:val="single" w:sz="4" w:space="0" w:color="auto"/>
              <w:left w:val="single" w:sz="4" w:space="0" w:color="auto"/>
              <w:bottom w:val="single" w:sz="4" w:space="0" w:color="auto"/>
              <w:right w:val="single" w:sz="4" w:space="0" w:color="auto"/>
            </w:tcBorders>
            <w:vAlign w:val="center"/>
          </w:tcPr>
          <w:p w14:paraId="41E29ECC" w14:textId="77777777" w:rsidR="00814F74" w:rsidRPr="00BF06FC" w:rsidRDefault="00814F74" w:rsidP="00DF5EF9">
            <w:pPr>
              <w:pStyle w:val="TableText0"/>
              <w:keepNext w:val="0"/>
              <w:jc w:val="center"/>
            </w:pPr>
            <w:r w:rsidRPr="00BF06FC">
              <w:rPr>
                <w:b/>
                <w:szCs w:val="20"/>
              </w:rPr>
              <w:t>2.83 (1.44, 5.58)</w:t>
            </w:r>
          </w:p>
        </w:tc>
        <w:tc>
          <w:tcPr>
            <w:tcW w:w="548" w:type="pct"/>
            <w:tcBorders>
              <w:top w:val="single" w:sz="4" w:space="0" w:color="auto"/>
              <w:left w:val="single" w:sz="4" w:space="0" w:color="auto"/>
              <w:bottom w:val="single" w:sz="4" w:space="0" w:color="auto"/>
              <w:right w:val="single" w:sz="4" w:space="0" w:color="auto"/>
            </w:tcBorders>
            <w:vAlign w:val="center"/>
          </w:tcPr>
          <w:p w14:paraId="2DF2CAD5" w14:textId="77777777" w:rsidR="00814F74" w:rsidRPr="00BF06FC" w:rsidRDefault="00814F74" w:rsidP="00DF5EF9">
            <w:pPr>
              <w:pStyle w:val="TableText0"/>
              <w:keepNext w:val="0"/>
              <w:jc w:val="center"/>
            </w:pPr>
            <w:r w:rsidRPr="00BF06FC">
              <w:t>3.3</w:t>
            </w:r>
          </w:p>
        </w:tc>
        <w:tc>
          <w:tcPr>
            <w:tcW w:w="553" w:type="pct"/>
            <w:tcBorders>
              <w:top w:val="single" w:sz="4" w:space="0" w:color="auto"/>
              <w:left w:val="single" w:sz="4" w:space="0" w:color="auto"/>
              <w:bottom w:val="single" w:sz="4" w:space="0" w:color="auto"/>
              <w:right w:val="single" w:sz="4" w:space="0" w:color="auto"/>
            </w:tcBorders>
            <w:vAlign w:val="center"/>
          </w:tcPr>
          <w:p w14:paraId="565C153C" w14:textId="77777777" w:rsidR="00814F74" w:rsidRPr="00BF06FC" w:rsidRDefault="00814F74" w:rsidP="00DF5EF9">
            <w:pPr>
              <w:pStyle w:val="TableText0"/>
              <w:keepNext w:val="0"/>
              <w:jc w:val="center"/>
            </w:pPr>
            <w:r w:rsidRPr="00BF06FC">
              <w:t>1.6</w:t>
            </w:r>
          </w:p>
        </w:tc>
        <w:tc>
          <w:tcPr>
            <w:tcW w:w="755" w:type="pct"/>
            <w:tcBorders>
              <w:top w:val="single" w:sz="4" w:space="0" w:color="auto"/>
              <w:left w:val="single" w:sz="4" w:space="0" w:color="auto"/>
              <w:bottom w:val="single" w:sz="4" w:space="0" w:color="auto"/>
              <w:right w:val="single" w:sz="4" w:space="0" w:color="auto"/>
            </w:tcBorders>
            <w:vAlign w:val="center"/>
          </w:tcPr>
          <w:p w14:paraId="25A7800E" w14:textId="77777777" w:rsidR="00814F74" w:rsidRPr="00BF06FC" w:rsidRDefault="00814F74" w:rsidP="00DF5EF9">
            <w:pPr>
              <w:pStyle w:val="TableText0"/>
              <w:keepNext w:val="0"/>
              <w:jc w:val="center"/>
            </w:pPr>
            <w:r w:rsidRPr="00BF06FC">
              <w:rPr>
                <w:b/>
                <w:szCs w:val="20"/>
              </w:rPr>
              <w:t>1.7% (NR, NR)</w:t>
            </w:r>
          </w:p>
        </w:tc>
      </w:tr>
    </w:tbl>
    <w:p w14:paraId="603A8F07"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Abbreviations: APA=apalutamide; HR=hazard ratio; PBO=placebo; RD=risk difference; RR=risk ratio; SY=subject years</w:t>
      </w:r>
    </w:p>
    <w:p w14:paraId="418DF2DC"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w:t>
      </w:r>
      <w:r w:rsidRPr="00BF06FC">
        <w:rPr>
          <w:rFonts w:ascii="Arial Narrow" w:hAnsi="Arial Narrow"/>
          <w:sz w:val="18"/>
          <w:szCs w:val="18"/>
        </w:rPr>
        <w:tab/>
        <w:t>Median follow-up of the final data analysis was 43.8 months (final data cut was in September 2020).</w:t>
      </w:r>
    </w:p>
    <w:p w14:paraId="7DAAAA4D" w14:textId="77777777" w:rsidR="00814F74" w:rsidRPr="00BF06FC" w:rsidRDefault="00814F74" w:rsidP="00814F74">
      <w:pPr>
        <w:tabs>
          <w:tab w:val="left" w:pos="142"/>
        </w:tabs>
        <w:rPr>
          <w:rFonts w:ascii="Arial Narrow" w:hAnsi="Arial Narrow"/>
          <w:sz w:val="18"/>
          <w:szCs w:val="18"/>
        </w:rPr>
      </w:pPr>
      <w:r w:rsidRPr="00BF06FC">
        <w:rPr>
          <w:rFonts w:ascii="Arial Narrow" w:hAnsi="Arial Narrow"/>
          <w:sz w:val="18"/>
          <w:szCs w:val="18"/>
        </w:rPr>
        <w:t>#</w:t>
      </w:r>
      <w:r w:rsidRPr="00BF06FC">
        <w:rPr>
          <w:rFonts w:ascii="Arial Narrow" w:hAnsi="Arial Narrow"/>
          <w:sz w:val="18"/>
          <w:szCs w:val="18"/>
        </w:rPr>
        <w:tab/>
        <w:t>adjusted for exposure, median of 39 months for apalutamide and 20 months for placebo</w:t>
      </w:r>
    </w:p>
    <w:p w14:paraId="175437A6" w14:textId="77777777" w:rsidR="00814F74" w:rsidRPr="00BF06FC" w:rsidRDefault="00814F74" w:rsidP="00814F74">
      <w:pPr>
        <w:spacing w:after="120"/>
        <w:rPr>
          <w:rFonts w:ascii="Arial Narrow" w:hAnsi="Arial Narrow"/>
          <w:sz w:val="18"/>
          <w:szCs w:val="18"/>
        </w:rPr>
      </w:pPr>
      <w:r w:rsidRPr="00BF06FC">
        <w:rPr>
          <w:rFonts w:ascii="Arial Narrow" w:hAnsi="Arial Narrow"/>
          <w:sz w:val="18"/>
          <w:szCs w:val="18"/>
        </w:rPr>
        <w:t>Source: Tables 2.24 to 2.32, pp95-100, Table 2.39, p114 and Table 3.18, p169 of the submission</w:t>
      </w:r>
    </w:p>
    <w:p w14:paraId="14E78F88" w14:textId="77777777" w:rsidR="00814F74" w:rsidRPr="00BF06FC" w:rsidRDefault="00814F74" w:rsidP="00814F74">
      <w:pPr>
        <w:pStyle w:val="3-BodyText"/>
      </w:pPr>
      <w:proofErr w:type="gramStart"/>
      <w:r w:rsidRPr="00BF06FC">
        <w:t>On the basis of</w:t>
      </w:r>
      <w:proofErr w:type="gramEnd"/>
      <w:r w:rsidRPr="00BF06FC">
        <w:t xml:space="preserve"> direct evidence from TITAN presented by the submission, for every 100 patients treated with apalutamide in comparison with placebo:</w:t>
      </w:r>
    </w:p>
    <w:p w14:paraId="127A1F0A" w14:textId="77777777" w:rsidR="00814F74" w:rsidRPr="00BF06FC" w:rsidRDefault="00814F74" w:rsidP="003F72E0">
      <w:pPr>
        <w:pStyle w:val="ListParagraph"/>
        <w:ind w:left="1077" w:hanging="357"/>
      </w:pPr>
      <w:r w:rsidRPr="00BF06FC">
        <w:rPr>
          <w:rFonts w:ascii="Calibri" w:eastAsia="Calibri" w:hAnsi="Calibri"/>
          <w:snapToGrid/>
          <w:lang w:eastAsia="en-US"/>
        </w:rPr>
        <w:t>Approximately</w:t>
      </w:r>
      <w:r w:rsidRPr="00BF06FC">
        <w:t xml:space="preserve"> 21 additional patients will remain progression-free after 24 months.</w:t>
      </w:r>
    </w:p>
    <w:p w14:paraId="720572CF" w14:textId="77777777" w:rsidR="00814F74" w:rsidRPr="00BF06FC" w:rsidRDefault="00814F74" w:rsidP="003F72E0">
      <w:pPr>
        <w:pStyle w:val="ListParagraph"/>
        <w:ind w:left="1077" w:hanging="357"/>
      </w:pPr>
      <w:r w:rsidRPr="00BF06FC">
        <w:t>Approximately 10 additional patients will remain alive after 24 months and 13 additional patients will remain alive after 48 months.</w:t>
      </w:r>
    </w:p>
    <w:p w14:paraId="56126788" w14:textId="77777777" w:rsidR="00814F74" w:rsidRPr="00BF06FC" w:rsidRDefault="00814F74" w:rsidP="003F72E0">
      <w:pPr>
        <w:pStyle w:val="ListParagraph"/>
        <w:ind w:left="1077" w:hanging="357"/>
      </w:pPr>
      <w:r w:rsidRPr="00BF06FC">
        <w:t>Approximately 16 additional patients will experience skin rash, over a 12-month period.</w:t>
      </w:r>
    </w:p>
    <w:p w14:paraId="1B1AC1D2" w14:textId="77777777" w:rsidR="00814F74" w:rsidRPr="00BF06FC" w:rsidRDefault="00814F74" w:rsidP="003F72E0">
      <w:pPr>
        <w:pStyle w:val="ListParagraph"/>
        <w:ind w:left="1077" w:hanging="357"/>
      </w:pPr>
      <w:r w:rsidRPr="00BF06FC">
        <w:t>Approximately 2 additional patients will experience ischaemic heart disease, over a 12-month period.</w:t>
      </w:r>
    </w:p>
    <w:p w14:paraId="6C8A60F7" w14:textId="77777777" w:rsidR="00814F74" w:rsidRPr="00BF06FC" w:rsidRDefault="00814F74" w:rsidP="00814F74">
      <w:pPr>
        <w:pStyle w:val="4-SubsectionHeading"/>
      </w:pPr>
      <w:bookmarkStart w:id="31" w:name="_Toc22897644"/>
      <w:bookmarkStart w:id="32" w:name="_Toc22898856"/>
      <w:bookmarkStart w:id="33" w:name="_Toc82609551"/>
      <w:r w:rsidRPr="00BF06FC">
        <w:lastRenderedPageBreak/>
        <w:t>Clinical claim</w:t>
      </w:r>
      <w:bookmarkEnd w:id="31"/>
      <w:bookmarkEnd w:id="32"/>
      <w:bookmarkEnd w:id="33"/>
    </w:p>
    <w:p w14:paraId="13B6CF1B" w14:textId="77777777" w:rsidR="00B54722" w:rsidRDefault="00814F74" w:rsidP="008B7070">
      <w:pPr>
        <w:pStyle w:val="3-BodyText"/>
      </w:pPr>
      <w:r w:rsidRPr="00FE58E8">
        <w:t xml:space="preserve">The submission described apalutamide in addition to ADT as superior in terms of effectiveness and inferior (but acceptable) in terms of safety compared with ADT alone. </w:t>
      </w:r>
    </w:p>
    <w:p w14:paraId="6733FD86" w14:textId="77777777" w:rsidR="00037CAB" w:rsidRPr="00FE58E8" w:rsidRDefault="00814F74" w:rsidP="008B7070">
      <w:pPr>
        <w:pStyle w:val="3-BodyText"/>
      </w:pPr>
      <w:r w:rsidRPr="00FE58E8">
        <w:t xml:space="preserve">The </w:t>
      </w:r>
      <w:r w:rsidR="00037CAB" w:rsidRPr="00FE58E8">
        <w:t xml:space="preserve">ESC considered that the </w:t>
      </w:r>
      <w:r w:rsidRPr="00FE58E8">
        <w:t>evidence presented in the submission adequately supported this claim</w:t>
      </w:r>
      <w:r w:rsidR="00037CAB" w:rsidRPr="00FE58E8">
        <w:t xml:space="preserve"> for patients with LV disease</w:t>
      </w:r>
      <w:r w:rsidRPr="00FE58E8">
        <w:t>.</w:t>
      </w:r>
      <w:r w:rsidR="00B54722">
        <w:t xml:space="preserve"> </w:t>
      </w:r>
      <w:r w:rsidR="00B54722" w:rsidRPr="00941CF0">
        <w:rPr>
          <w:iCs/>
        </w:rPr>
        <w:t>The</w:t>
      </w:r>
      <w:r w:rsidR="00B54722" w:rsidRPr="00941CF0">
        <w:t xml:space="preserve"> PBAC considered that the claim of superior comparative effectiveness was reasonable for patients with LV disease.  </w:t>
      </w:r>
      <w:r w:rsidR="00B54722">
        <w:t>However, the PBAC considered</w:t>
      </w:r>
      <w:r w:rsidR="00B54722" w:rsidRPr="00212612">
        <w:t xml:space="preserve"> </w:t>
      </w:r>
      <w:r w:rsidR="00B54722">
        <w:t xml:space="preserve">that the </w:t>
      </w:r>
      <w:r w:rsidR="00B54722" w:rsidRPr="00212612">
        <w:t xml:space="preserve">benefit </w:t>
      </w:r>
      <w:r w:rsidR="00B54722">
        <w:t xml:space="preserve">demonstrated in TITAN </w:t>
      </w:r>
      <w:r w:rsidR="00B54722" w:rsidRPr="00212612">
        <w:t>overestimate</w:t>
      </w:r>
      <w:r w:rsidR="00B54722">
        <w:t xml:space="preserve">d the likely benefit that would be seen in the LV group in clinical practice due to differences between the trial population and likely PBS population </w:t>
      </w:r>
      <w:r w:rsidR="00B54722" w:rsidRPr="00212612">
        <w:t>(many aged &gt; 75 years and poor ECOG PS</w:t>
      </w:r>
      <w:r w:rsidR="00B54722">
        <w:t xml:space="preserve"> in clinical practice</w:t>
      </w:r>
      <w:r w:rsidR="00B54722" w:rsidRPr="00212612">
        <w:t>)</w:t>
      </w:r>
      <w:r w:rsidR="00B54722">
        <w:t>.</w:t>
      </w:r>
    </w:p>
    <w:p w14:paraId="5091D8CB" w14:textId="77777777" w:rsidR="00037CAB" w:rsidRPr="00FE58E8" w:rsidRDefault="00037CAB" w:rsidP="008B7070">
      <w:pPr>
        <w:pStyle w:val="3-BodyText"/>
      </w:pPr>
      <w:r w:rsidRPr="00FE58E8">
        <w:t>Although t</w:t>
      </w:r>
      <w:r w:rsidR="00814F74" w:rsidRPr="00FE58E8">
        <w:t xml:space="preserve">here was a statistically significant improvement in </w:t>
      </w:r>
      <w:proofErr w:type="spellStart"/>
      <w:r w:rsidR="00814F74" w:rsidRPr="00FE58E8">
        <w:t>rPFS</w:t>
      </w:r>
      <w:proofErr w:type="spellEnd"/>
      <w:r w:rsidR="00814F74" w:rsidRPr="00FE58E8">
        <w:t xml:space="preserve"> and OS (as well as </w:t>
      </w:r>
      <w:proofErr w:type="gramStart"/>
      <w:r w:rsidR="00814F74" w:rsidRPr="00FE58E8">
        <w:t>a number of</w:t>
      </w:r>
      <w:proofErr w:type="gramEnd"/>
      <w:r w:rsidR="00814F74" w:rsidRPr="00FE58E8">
        <w:t xml:space="preserve"> other outcomes) favouring apalutamide </w:t>
      </w:r>
      <w:r w:rsidR="008B7070" w:rsidRPr="00FE58E8">
        <w:t xml:space="preserve">in all patients </w:t>
      </w:r>
      <w:r w:rsidR="00814F74" w:rsidRPr="00FE58E8">
        <w:t>irrespective of disease volume, and most AEs did not require permanent discontinuation of treatment</w:t>
      </w:r>
      <w:r w:rsidRPr="00FE58E8">
        <w:t>, the ESC considered that the clinical claim in terms of efficacy could not be supported for patients with HV disease who are unsuitable for chemotherapy</w:t>
      </w:r>
      <w:r w:rsidR="00B54722">
        <w:t xml:space="preserve">. The ESC noted that </w:t>
      </w:r>
      <w:r w:rsidR="00814F74" w:rsidRPr="00FE58E8">
        <w:t xml:space="preserve">the TITAN trial did not provide any direct evidence for </w:t>
      </w:r>
      <w:r w:rsidR="00655FC3" w:rsidRPr="00FE58E8">
        <w:t xml:space="preserve">these </w:t>
      </w:r>
      <w:r w:rsidR="00814F74" w:rsidRPr="00FE58E8">
        <w:t xml:space="preserve">patients, given the trial excluded patients with ECOG status </w:t>
      </w:r>
      <w:r w:rsidR="00814F74" w:rsidRPr="00FE58E8">
        <w:rPr>
          <w:rFonts w:cstheme="minorHAnsi"/>
        </w:rPr>
        <w:t>≥</w:t>
      </w:r>
      <w:r w:rsidR="00655FC3" w:rsidRPr="00FE58E8">
        <w:rPr>
          <w:rFonts w:cstheme="minorHAnsi"/>
        </w:rPr>
        <w:t xml:space="preserve"> </w:t>
      </w:r>
      <w:r w:rsidR="00814F74" w:rsidRPr="00FE58E8">
        <w:t xml:space="preserve">2 and </w:t>
      </w:r>
      <w:proofErr w:type="gramStart"/>
      <w:r w:rsidR="00814F74" w:rsidRPr="00FE58E8">
        <w:t>a number of</w:t>
      </w:r>
      <w:proofErr w:type="gramEnd"/>
      <w:r w:rsidR="00814F74" w:rsidRPr="00FE58E8">
        <w:t xml:space="preserve"> comorbidities</w:t>
      </w:r>
      <w:r w:rsidR="00424EEA" w:rsidRPr="00FE58E8">
        <w:t xml:space="preserve">. </w:t>
      </w:r>
    </w:p>
    <w:p w14:paraId="0636B8CB" w14:textId="77777777" w:rsidR="00FE58E8" w:rsidRPr="00941CF0" w:rsidRDefault="00AA62D3" w:rsidP="00893FFB">
      <w:pPr>
        <w:pStyle w:val="3-BodyText"/>
      </w:pPr>
      <w:bookmarkStart w:id="34" w:name="_Hlk76376200"/>
      <w:r>
        <w:t>F</w:t>
      </w:r>
      <w:r w:rsidR="00336158" w:rsidRPr="00941CF0">
        <w:t>or patients with HV disease, t</w:t>
      </w:r>
      <w:r w:rsidR="00336158" w:rsidRPr="00F0084D">
        <w:rPr>
          <w:iCs/>
        </w:rPr>
        <w:t>he</w:t>
      </w:r>
      <w:r w:rsidR="00336158" w:rsidRPr="00941CF0">
        <w:t xml:space="preserve"> PBAC considered that the claim of superior comparative effectiveness was not adequately supported by the data, </w:t>
      </w:r>
      <w:r w:rsidR="00F0084D">
        <w:t>noting that a</w:t>
      </w:r>
      <w:r w:rsidR="00DD7FA2">
        <w:t>n informative comparison</w:t>
      </w:r>
      <w:r w:rsidR="00F0084D" w:rsidRPr="00F0084D">
        <w:rPr>
          <w:lang w:val="en-GB"/>
        </w:rPr>
        <w:t xml:space="preserve"> of apalutamide + ADT to ADT in patients unfit for docetaxel (</w:t>
      </w:r>
      <w:proofErr w:type="gramStart"/>
      <w:r w:rsidR="00F0084D" w:rsidRPr="00F0084D">
        <w:rPr>
          <w:lang w:val="en-GB"/>
        </w:rPr>
        <w:t>e.g.</w:t>
      </w:r>
      <w:proofErr w:type="gramEnd"/>
      <w:r w:rsidR="00F0084D" w:rsidRPr="00F0084D">
        <w:rPr>
          <w:lang w:val="en-GB"/>
        </w:rPr>
        <w:t xml:space="preserve"> due to ECOG PS ≥ 2 and comorbidities) was not presented in the submission.  </w:t>
      </w:r>
      <w:r w:rsidR="00941CF0" w:rsidRPr="00941CF0">
        <w:t xml:space="preserve">The PBAC considered that while apalutamide was likely to result in some benefit compared to placebo in patients with HV disease who are </w:t>
      </w:r>
      <w:r w:rsidR="00F0084D">
        <w:t>unfit</w:t>
      </w:r>
      <w:r w:rsidR="00941CF0" w:rsidRPr="00941CF0">
        <w:t xml:space="preserve"> for chemotherapy, the degree of benefit was likely reduced compared to that presented in the submission for the HV subgroup due to their competing comorbidities.</w:t>
      </w:r>
    </w:p>
    <w:p w14:paraId="7C5BFD70" w14:textId="77777777" w:rsidR="00941CF0" w:rsidRPr="00A649B3" w:rsidRDefault="00941CF0" w:rsidP="00893FFB">
      <w:pPr>
        <w:widowControl w:val="0"/>
        <w:numPr>
          <w:ilvl w:val="1"/>
          <w:numId w:val="1"/>
        </w:numPr>
        <w:spacing w:after="120"/>
        <w:rPr>
          <w:rFonts w:asciiTheme="minorHAnsi" w:hAnsiTheme="minorHAnsi"/>
          <w:snapToGrid w:val="0"/>
          <w:szCs w:val="20"/>
        </w:rPr>
      </w:pPr>
      <w:r w:rsidRPr="00941CF0">
        <w:rPr>
          <w:rFonts w:asciiTheme="minorHAnsi" w:hAnsiTheme="minorHAnsi"/>
          <w:snapToGrid w:val="0"/>
          <w:szCs w:val="20"/>
        </w:rPr>
        <w:t>The PBAC considered that the claim of inferior</w:t>
      </w:r>
      <w:r>
        <w:rPr>
          <w:rFonts w:asciiTheme="minorHAnsi" w:hAnsiTheme="minorHAnsi"/>
          <w:snapToGrid w:val="0"/>
          <w:szCs w:val="20"/>
        </w:rPr>
        <w:t xml:space="preserve"> </w:t>
      </w:r>
      <w:r w:rsidRPr="00941CF0">
        <w:rPr>
          <w:rFonts w:asciiTheme="minorHAnsi" w:hAnsiTheme="minorHAnsi"/>
          <w:snapToGrid w:val="0"/>
          <w:szCs w:val="20"/>
        </w:rPr>
        <w:t xml:space="preserve">comparative safety was reasonable on the basis that </w:t>
      </w:r>
      <w:bookmarkEnd w:id="34"/>
      <w:r w:rsidRPr="00941CF0">
        <w:rPr>
          <w:rFonts w:asciiTheme="minorHAnsi" w:hAnsiTheme="minorHAnsi"/>
          <w:snapToGrid w:val="0"/>
          <w:szCs w:val="20"/>
        </w:rPr>
        <w:t>ap</w:t>
      </w:r>
      <w:r w:rsidRPr="00941CF0">
        <w:t>alutamide + ADT is associated with additional AEs compared with ADT monotherapy.</w:t>
      </w:r>
    </w:p>
    <w:p w14:paraId="7016ACA4" w14:textId="77777777" w:rsidR="00A649B3" w:rsidRPr="00934C5B" w:rsidRDefault="00A649B3" w:rsidP="00934C5B">
      <w:pPr>
        <w:pStyle w:val="3-BodyText"/>
        <w:rPr>
          <w:lang w:val="en-GB"/>
        </w:rPr>
      </w:pPr>
      <w:r>
        <w:rPr>
          <w:szCs w:val="20"/>
        </w:rPr>
        <w:t xml:space="preserve">The PBAC noted that </w:t>
      </w:r>
      <w:r>
        <w:t>t</w:t>
      </w:r>
      <w:r w:rsidRPr="00941CF0">
        <w:t>he submission did not provide a comparison of apalutamide to docetaxel.</w:t>
      </w:r>
      <w:r w:rsidR="00AA62D3">
        <w:t xml:space="preserve">  The PBAC noted that a</w:t>
      </w:r>
      <w:r w:rsidR="00AA62D3" w:rsidRPr="00AA62D3">
        <w:t xml:space="preserve"> network meta-analysis </w:t>
      </w:r>
      <w:r w:rsidR="00AA62D3">
        <w:t>(</w:t>
      </w:r>
      <w:proofErr w:type="spellStart"/>
      <w:r w:rsidR="00AA62D3">
        <w:t>Marchioni</w:t>
      </w:r>
      <w:proofErr w:type="spellEnd"/>
      <w:r w:rsidR="00AA62D3">
        <w:t xml:space="preserve"> 2020</w:t>
      </w:r>
      <w:r w:rsidR="00AA62D3">
        <w:rPr>
          <w:rStyle w:val="FootnoteReference"/>
        </w:rPr>
        <w:footnoteReference w:id="14"/>
      </w:r>
      <w:r w:rsidR="00AA62D3">
        <w:t xml:space="preserve">) </w:t>
      </w:r>
      <w:r w:rsidR="00AA62D3" w:rsidRPr="00AA62D3">
        <w:t xml:space="preserve">suggests </w:t>
      </w:r>
      <w:r w:rsidR="00AA62D3">
        <w:t xml:space="preserve">apalutamide and docetaxel have a </w:t>
      </w:r>
      <w:r w:rsidR="00AA62D3" w:rsidRPr="00AA62D3">
        <w:t xml:space="preserve">similar effect on overall survival but </w:t>
      </w:r>
      <w:r w:rsidR="00EC6253">
        <w:t>apalutamide is associated with fewer</w:t>
      </w:r>
      <w:r w:rsidR="00AA62D3" w:rsidRPr="00AA62D3">
        <w:t xml:space="preserve"> adverse events </w:t>
      </w:r>
      <w:r w:rsidR="00AA62D3">
        <w:t xml:space="preserve">(see paragraph 4.2).  </w:t>
      </w:r>
    </w:p>
    <w:p w14:paraId="30EA12A1" w14:textId="77777777" w:rsidR="00814F74" w:rsidRPr="00BF06FC" w:rsidRDefault="00814F74" w:rsidP="00814F74">
      <w:pPr>
        <w:pStyle w:val="4-SubsectionHeading"/>
      </w:pPr>
      <w:bookmarkStart w:id="35" w:name="_Toc22897645"/>
      <w:bookmarkStart w:id="36" w:name="_Toc22898857"/>
      <w:bookmarkStart w:id="37" w:name="_Toc82609552"/>
      <w:r w:rsidRPr="00BF06FC">
        <w:lastRenderedPageBreak/>
        <w:t>Economic analysis</w:t>
      </w:r>
      <w:bookmarkEnd w:id="35"/>
      <w:bookmarkEnd w:id="36"/>
      <w:bookmarkEnd w:id="37"/>
    </w:p>
    <w:p w14:paraId="1ED9787E" w14:textId="77777777" w:rsidR="00814F74" w:rsidRPr="003F72E0" w:rsidRDefault="00814F74" w:rsidP="00814F74">
      <w:pPr>
        <w:pStyle w:val="3-BodyText"/>
      </w:pPr>
      <w:r w:rsidRPr="003F72E0">
        <w:rPr>
          <w:rFonts w:cs="Times New Roman"/>
          <w:lang w:eastAsia="en-GB"/>
        </w:rPr>
        <w:t>The</w:t>
      </w:r>
      <w:r w:rsidRPr="003F72E0">
        <w:t xml:space="preserve"> submission presented a stepped economic evaluation (cost-utility analysis) based on the TITAN trial, using a standard partitioned survival model to estimate costs and outcomes for apalutamide versus placebo in </w:t>
      </w:r>
      <w:proofErr w:type="spellStart"/>
      <w:r w:rsidRPr="003F72E0">
        <w:t>mHSPC</w:t>
      </w:r>
      <w:proofErr w:type="spellEnd"/>
      <w:r w:rsidRPr="003F72E0">
        <w:t>. Appropriately, the model used trial results unadjusted for placebo crossover.</w:t>
      </w:r>
    </w:p>
    <w:p w14:paraId="17F030A0" w14:textId="77777777" w:rsidR="00814F74" w:rsidRPr="00BF06FC" w:rsidRDefault="00E2330A" w:rsidP="00814F74">
      <w:pPr>
        <w:pStyle w:val="ListParagraph"/>
        <w:numPr>
          <w:ilvl w:val="1"/>
          <w:numId w:val="1"/>
        </w:numPr>
        <w:spacing w:after="160"/>
      </w:pPr>
      <w:r>
        <w:t>Table 7</w:t>
      </w:r>
      <w:r w:rsidR="00814F74" w:rsidRPr="00BF06FC">
        <w:t xml:space="preserve"> summarises the key components of the economic evaluation</w:t>
      </w:r>
      <w:r w:rsidR="00814F74" w:rsidRPr="00BF06FC">
        <w:rPr>
          <w:rFonts w:cs="Calibri"/>
        </w:rPr>
        <w:t>.</w:t>
      </w:r>
    </w:p>
    <w:p w14:paraId="74861C19" w14:textId="77777777" w:rsidR="00814F74" w:rsidRPr="00BF06FC" w:rsidRDefault="00E2330A" w:rsidP="00814F74">
      <w:pPr>
        <w:pStyle w:val="3-BodyText"/>
        <w:keepNext/>
        <w:numPr>
          <w:ilvl w:val="0"/>
          <w:numId w:val="0"/>
        </w:numPr>
        <w:spacing w:after="0"/>
        <w:ind w:left="720" w:hanging="720"/>
        <w:rPr>
          <w:rStyle w:val="CommentReference"/>
          <w:rFonts w:asciiTheme="minorHAnsi" w:hAnsiTheme="minorHAnsi"/>
          <w:b w:val="0"/>
          <w:i/>
          <w:sz w:val="24"/>
        </w:rPr>
      </w:pPr>
      <w:r>
        <w:rPr>
          <w:rStyle w:val="CommentReference"/>
        </w:rPr>
        <w:t>Table 7</w:t>
      </w:r>
      <w:r w:rsidR="00814F74" w:rsidRPr="00BF06FC">
        <w:rPr>
          <w:rStyle w:val="CommentReference"/>
        </w:rPr>
        <w:t xml:space="preserve">: Summary of model structure, key </w:t>
      </w:r>
      <w:proofErr w:type="gramStart"/>
      <w:r w:rsidR="00814F74" w:rsidRPr="00BF06FC">
        <w:rPr>
          <w:rStyle w:val="CommentReference"/>
        </w:rPr>
        <w:t>inputs</w:t>
      </w:r>
      <w:proofErr w:type="gramEnd"/>
      <w:r w:rsidR="00814F74" w:rsidRPr="00BF06FC">
        <w:rPr>
          <w:rStyle w:val="CommentReference"/>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7462"/>
      </w:tblGrid>
      <w:tr w:rsidR="00814F74" w:rsidRPr="003F72E0" w14:paraId="3FE99B4B" w14:textId="77777777" w:rsidTr="00DF5EF9">
        <w:trPr>
          <w:tblHeader/>
        </w:trPr>
        <w:tc>
          <w:tcPr>
            <w:tcW w:w="862" w:type="pct"/>
            <w:shd w:val="clear" w:color="auto" w:fill="auto"/>
            <w:vAlign w:val="center"/>
          </w:tcPr>
          <w:p w14:paraId="57F0F134" w14:textId="77777777" w:rsidR="00814F74" w:rsidRPr="003F72E0" w:rsidRDefault="00814F74" w:rsidP="00DF5EF9">
            <w:pPr>
              <w:pStyle w:val="In-tableHeading"/>
              <w:keepNext w:val="0"/>
              <w:rPr>
                <w:lang w:val="en-AU"/>
              </w:rPr>
            </w:pPr>
            <w:r w:rsidRPr="003F72E0">
              <w:rPr>
                <w:lang w:val="en-AU"/>
              </w:rPr>
              <w:t>Component</w:t>
            </w:r>
          </w:p>
        </w:tc>
        <w:tc>
          <w:tcPr>
            <w:tcW w:w="4138" w:type="pct"/>
            <w:shd w:val="clear" w:color="auto" w:fill="auto"/>
            <w:vAlign w:val="center"/>
          </w:tcPr>
          <w:p w14:paraId="51623720" w14:textId="77777777" w:rsidR="00814F74" w:rsidRPr="003F72E0" w:rsidRDefault="00814F74" w:rsidP="00DF5EF9">
            <w:pPr>
              <w:pStyle w:val="In-tableHeading"/>
              <w:keepNext w:val="0"/>
              <w:rPr>
                <w:lang w:val="en-AU"/>
              </w:rPr>
            </w:pPr>
            <w:r w:rsidRPr="003F72E0">
              <w:rPr>
                <w:lang w:val="en-AU"/>
              </w:rPr>
              <w:t>Summary</w:t>
            </w:r>
          </w:p>
        </w:tc>
      </w:tr>
      <w:tr w:rsidR="00814F74" w:rsidRPr="003F72E0" w14:paraId="0D9DB7F0" w14:textId="77777777" w:rsidTr="00DF5EF9">
        <w:tc>
          <w:tcPr>
            <w:tcW w:w="862" w:type="pct"/>
            <w:shd w:val="clear" w:color="auto" w:fill="auto"/>
            <w:vAlign w:val="center"/>
          </w:tcPr>
          <w:p w14:paraId="7FF76FD2" w14:textId="77777777" w:rsidR="00814F74" w:rsidRPr="003F72E0" w:rsidRDefault="00814F74" w:rsidP="00DF5EF9">
            <w:pPr>
              <w:pStyle w:val="TableText0"/>
              <w:keepNext w:val="0"/>
            </w:pPr>
            <w:r w:rsidRPr="003F72E0">
              <w:t>Treatments</w:t>
            </w:r>
          </w:p>
        </w:tc>
        <w:tc>
          <w:tcPr>
            <w:tcW w:w="4138" w:type="pct"/>
            <w:shd w:val="clear" w:color="auto" w:fill="auto"/>
            <w:vAlign w:val="center"/>
          </w:tcPr>
          <w:p w14:paraId="5289DADA" w14:textId="77777777" w:rsidR="00814F74" w:rsidRPr="003F72E0" w:rsidRDefault="00814F74" w:rsidP="00DF5EF9">
            <w:pPr>
              <w:pStyle w:val="TableText0"/>
              <w:keepNext w:val="0"/>
            </w:pPr>
            <w:proofErr w:type="spellStart"/>
            <w:r w:rsidRPr="003F72E0">
              <w:t>Apalutamide+ADT</w:t>
            </w:r>
            <w:proofErr w:type="spellEnd"/>
            <w:r w:rsidRPr="003F72E0">
              <w:t xml:space="preserve"> versus ADT alone</w:t>
            </w:r>
          </w:p>
        </w:tc>
      </w:tr>
      <w:tr w:rsidR="00814F74" w:rsidRPr="003F72E0" w14:paraId="30E38A2F" w14:textId="77777777" w:rsidTr="00DF5EF9">
        <w:tc>
          <w:tcPr>
            <w:tcW w:w="862" w:type="pct"/>
            <w:shd w:val="clear" w:color="auto" w:fill="auto"/>
            <w:vAlign w:val="center"/>
          </w:tcPr>
          <w:p w14:paraId="76A62463" w14:textId="77777777" w:rsidR="00814F74" w:rsidRPr="003F72E0" w:rsidRDefault="00814F74" w:rsidP="00DF5EF9">
            <w:pPr>
              <w:pStyle w:val="TableText0"/>
              <w:keepNext w:val="0"/>
            </w:pPr>
            <w:r w:rsidRPr="003F72E0">
              <w:t>Population</w:t>
            </w:r>
          </w:p>
        </w:tc>
        <w:tc>
          <w:tcPr>
            <w:tcW w:w="4138" w:type="pct"/>
            <w:shd w:val="clear" w:color="auto" w:fill="auto"/>
          </w:tcPr>
          <w:p w14:paraId="5ECEDEA0" w14:textId="77777777" w:rsidR="00814F74" w:rsidRPr="003F72E0" w:rsidRDefault="00814F74" w:rsidP="00DF5EF9">
            <w:pPr>
              <w:pStyle w:val="TableText0"/>
              <w:keepNext w:val="0"/>
            </w:pPr>
            <w:r w:rsidRPr="003F72E0">
              <w:t>A separate economic evaluation was presented for two populations:</w:t>
            </w:r>
          </w:p>
          <w:p w14:paraId="413F9949" w14:textId="77777777" w:rsidR="00814F74" w:rsidRPr="003F72E0" w:rsidRDefault="00814F74" w:rsidP="00EA10EB">
            <w:pPr>
              <w:pStyle w:val="TableText0"/>
              <w:keepNext w:val="0"/>
              <w:numPr>
                <w:ilvl w:val="0"/>
                <w:numId w:val="7"/>
              </w:numPr>
              <w:ind w:left="262" w:hanging="174"/>
            </w:pPr>
            <w:r w:rsidRPr="003F72E0">
              <w:t xml:space="preserve">‘LV model’ - patients with LV </w:t>
            </w:r>
            <w:proofErr w:type="spellStart"/>
            <w:r w:rsidRPr="003F72E0">
              <w:t>mHSPC</w:t>
            </w:r>
            <w:proofErr w:type="spellEnd"/>
            <w:r w:rsidRPr="003F72E0">
              <w:t>, based on data for the LV subgroup in TITAN.</w:t>
            </w:r>
          </w:p>
          <w:p w14:paraId="3FE85458" w14:textId="77777777" w:rsidR="00814F74" w:rsidRPr="003F72E0" w:rsidRDefault="00814F74" w:rsidP="00EA10EB">
            <w:pPr>
              <w:pStyle w:val="TableText0"/>
              <w:keepNext w:val="0"/>
              <w:numPr>
                <w:ilvl w:val="0"/>
                <w:numId w:val="7"/>
              </w:numPr>
              <w:ind w:left="262" w:hanging="174"/>
            </w:pPr>
            <w:r w:rsidRPr="003F72E0">
              <w:rPr>
                <w:bCs w:val="0"/>
                <w:snapToGrid w:val="0"/>
              </w:rPr>
              <w:t xml:space="preserve">‘ITT/HV model’ - patients with HV </w:t>
            </w:r>
            <w:proofErr w:type="spellStart"/>
            <w:r w:rsidRPr="003F72E0">
              <w:rPr>
                <w:bCs w:val="0"/>
                <w:snapToGrid w:val="0"/>
              </w:rPr>
              <w:t>mHSPC</w:t>
            </w:r>
            <w:proofErr w:type="spellEnd"/>
            <w:r w:rsidRPr="003F72E0">
              <w:rPr>
                <w:bCs w:val="0"/>
                <w:snapToGrid w:val="0"/>
              </w:rPr>
              <w:t xml:space="preserve"> who are unsuitable for docetaxel, based on the ITT population in TITAN.</w:t>
            </w:r>
          </w:p>
          <w:p w14:paraId="4EF8911B" w14:textId="77777777" w:rsidR="00814F74" w:rsidRPr="003F72E0" w:rsidRDefault="00814F74" w:rsidP="00DF5EF9">
            <w:pPr>
              <w:pStyle w:val="TableText0"/>
              <w:keepNext w:val="0"/>
            </w:pPr>
            <w:r w:rsidRPr="003F72E0">
              <w:t>The assumption that the ITT population is a reasonable proxy for the HV subgroup on the PBS was poorly justified. See comments below.</w:t>
            </w:r>
          </w:p>
        </w:tc>
      </w:tr>
      <w:tr w:rsidR="00814F74" w:rsidRPr="003F72E0" w14:paraId="7D486900" w14:textId="77777777" w:rsidTr="00DF5EF9">
        <w:tc>
          <w:tcPr>
            <w:tcW w:w="862" w:type="pct"/>
            <w:shd w:val="clear" w:color="auto" w:fill="auto"/>
            <w:vAlign w:val="center"/>
          </w:tcPr>
          <w:p w14:paraId="2438EA98" w14:textId="77777777" w:rsidR="00814F74" w:rsidRPr="003F72E0" w:rsidRDefault="00814F74" w:rsidP="00DF5EF9">
            <w:pPr>
              <w:pStyle w:val="TableText0"/>
              <w:keepNext w:val="0"/>
            </w:pPr>
            <w:r w:rsidRPr="003F72E0">
              <w:t>Time horizon</w:t>
            </w:r>
          </w:p>
        </w:tc>
        <w:tc>
          <w:tcPr>
            <w:tcW w:w="4138" w:type="pct"/>
            <w:shd w:val="clear" w:color="auto" w:fill="auto"/>
          </w:tcPr>
          <w:p w14:paraId="368C8191" w14:textId="77777777" w:rsidR="00814F74" w:rsidRPr="003F72E0" w:rsidRDefault="00814F74" w:rsidP="00EA10EB">
            <w:pPr>
              <w:pStyle w:val="TableText0"/>
              <w:keepNext w:val="0"/>
              <w:numPr>
                <w:ilvl w:val="0"/>
                <w:numId w:val="7"/>
              </w:numPr>
              <w:ind w:left="262" w:hanging="174"/>
            </w:pPr>
            <w:r w:rsidRPr="003F72E0">
              <w:t>LV model: 20 years.</w:t>
            </w:r>
          </w:p>
          <w:p w14:paraId="475361EE" w14:textId="77777777" w:rsidR="00814F74" w:rsidRPr="003F72E0" w:rsidRDefault="00814F74" w:rsidP="00EA10EB">
            <w:pPr>
              <w:pStyle w:val="TableText0"/>
              <w:keepNext w:val="0"/>
              <w:numPr>
                <w:ilvl w:val="0"/>
                <w:numId w:val="7"/>
              </w:numPr>
              <w:ind w:left="262" w:hanging="174"/>
            </w:pPr>
            <w:r w:rsidRPr="003F72E0">
              <w:t>ITT/HV model: 15 years.</w:t>
            </w:r>
          </w:p>
          <w:p w14:paraId="64E0C186" w14:textId="77777777" w:rsidR="00814F74" w:rsidRPr="003F72E0" w:rsidRDefault="00814F74" w:rsidP="00DF5EF9">
            <w:pPr>
              <w:pStyle w:val="TableText0"/>
              <w:keepNext w:val="0"/>
            </w:pPr>
            <w:r w:rsidRPr="003F72E0">
              <w:t>Compared to median follow-up of 44 months in TITAN (final analysis).</w:t>
            </w:r>
          </w:p>
          <w:p w14:paraId="1D6D1842" w14:textId="77777777" w:rsidR="00814F74" w:rsidRPr="003F72E0" w:rsidRDefault="00814F74" w:rsidP="00DF5EF9">
            <w:pPr>
              <w:pStyle w:val="TableText0"/>
              <w:keepNext w:val="0"/>
            </w:pPr>
            <w:r w:rsidRPr="003F72E0">
              <w:t>The assumed time horizons were poorly justified, based on results of the parametric functions selected to extrapolate OS (</w:t>
            </w:r>
            <w:proofErr w:type="gramStart"/>
            <w:r w:rsidRPr="003F72E0">
              <w:t>i.e.</w:t>
            </w:r>
            <w:proofErr w:type="gramEnd"/>
            <w:r w:rsidRPr="003F72E0">
              <w:t xml:space="preserve"> less than 5% of patients alive at the nominated time horizons) rather than clinical argument. A shorter time horizon is likely more appropriate for an older population (median age of 74 years in the Victorian Prostate Cancer Registry) with metastatic prostate cancer.</w:t>
            </w:r>
          </w:p>
        </w:tc>
      </w:tr>
      <w:tr w:rsidR="00814F74" w:rsidRPr="003F72E0" w14:paraId="17EF1DE2" w14:textId="77777777" w:rsidTr="00DF5EF9">
        <w:tc>
          <w:tcPr>
            <w:tcW w:w="862" w:type="pct"/>
            <w:shd w:val="clear" w:color="auto" w:fill="auto"/>
            <w:vAlign w:val="center"/>
          </w:tcPr>
          <w:p w14:paraId="5DF11AB6" w14:textId="77777777" w:rsidR="00814F74" w:rsidRPr="003F72E0" w:rsidRDefault="00814F74" w:rsidP="00DF5EF9">
            <w:pPr>
              <w:pStyle w:val="TableText0"/>
              <w:keepNext w:val="0"/>
            </w:pPr>
            <w:r w:rsidRPr="003F72E0">
              <w:t>Outcomes</w:t>
            </w:r>
          </w:p>
        </w:tc>
        <w:tc>
          <w:tcPr>
            <w:tcW w:w="4138" w:type="pct"/>
            <w:shd w:val="clear" w:color="auto" w:fill="auto"/>
            <w:vAlign w:val="center"/>
          </w:tcPr>
          <w:p w14:paraId="059A9FBF" w14:textId="77777777" w:rsidR="00814F74" w:rsidRPr="003F72E0" w:rsidRDefault="00814F74" w:rsidP="00DF5EF9">
            <w:pPr>
              <w:pStyle w:val="TableText0"/>
              <w:keepNext w:val="0"/>
            </w:pPr>
            <w:r w:rsidRPr="003F72E0">
              <w:t>Quality-adjusted life years, life years.</w:t>
            </w:r>
          </w:p>
        </w:tc>
      </w:tr>
      <w:tr w:rsidR="00814F74" w:rsidRPr="003F72E0" w14:paraId="58F9D69D" w14:textId="77777777" w:rsidTr="00DF5EF9">
        <w:tc>
          <w:tcPr>
            <w:tcW w:w="862" w:type="pct"/>
            <w:shd w:val="clear" w:color="auto" w:fill="auto"/>
            <w:vAlign w:val="center"/>
          </w:tcPr>
          <w:p w14:paraId="4B5A231E" w14:textId="77777777" w:rsidR="00814F74" w:rsidRPr="003F72E0" w:rsidRDefault="00814F74" w:rsidP="00DF5EF9">
            <w:pPr>
              <w:pStyle w:val="TableText0"/>
              <w:keepNext w:val="0"/>
            </w:pPr>
            <w:r w:rsidRPr="003F72E0">
              <w:t>Methods used to generate results</w:t>
            </w:r>
          </w:p>
        </w:tc>
        <w:tc>
          <w:tcPr>
            <w:tcW w:w="4138" w:type="pct"/>
            <w:shd w:val="clear" w:color="auto" w:fill="auto"/>
            <w:vAlign w:val="center"/>
          </w:tcPr>
          <w:p w14:paraId="5C0222B1" w14:textId="77777777" w:rsidR="00814F74" w:rsidRPr="003F72E0" w:rsidRDefault="00814F74" w:rsidP="00DF5EF9">
            <w:pPr>
              <w:pStyle w:val="TableText0"/>
              <w:keepNext w:val="0"/>
            </w:pPr>
            <w:r w:rsidRPr="003F72E0">
              <w:t>Partitioned survival model. The model relies on KM data to inform transitions over 3 health states.</w:t>
            </w:r>
          </w:p>
        </w:tc>
      </w:tr>
      <w:tr w:rsidR="00814F74" w:rsidRPr="003F72E0" w14:paraId="78223D23" w14:textId="77777777" w:rsidTr="00DF5EF9">
        <w:tc>
          <w:tcPr>
            <w:tcW w:w="862" w:type="pct"/>
            <w:shd w:val="clear" w:color="auto" w:fill="auto"/>
            <w:vAlign w:val="center"/>
          </w:tcPr>
          <w:p w14:paraId="03AB179C" w14:textId="77777777" w:rsidR="00814F74" w:rsidRPr="003F72E0" w:rsidRDefault="00814F74" w:rsidP="00DF5EF9">
            <w:pPr>
              <w:pStyle w:val="TableText0"/>
              <w:keepNext w:val="0"/>
            </w:pPr>
            <w:r w:rsidRPr="003F72E0">
              <w:t>Health states</w:t>
            </w:r>
          </w:p>
        </w:tc>
        <w:tc>
          <w:tcPr>
            <w:tcW w:w="4138" w:type="pct"/>
            <w:shd w:val="clear" w:color="auto" w:fill="auto"/>
            <w:vAlign w:val="center"/>
          </w:tcPr>
          <w:p w14:paraId="55B57597" w14:textId="77777777" w:rsidR="00814F74" w:rsidRPr="003F72E0" w:rsidRDefault="00814F74" w:rsidP="00DF5EF9">
            <w:pPr>
              <w:pStyle w:val="TableText0"/>
              <w:keepNext w:val="0"/>
            </w:pPr>
            <w:r w:rsidRPr="003F72E0">
              <w:t>3 health states:</w:t>
            </w:r>
          </w:p>
          <w:p w14:paraId="2D6D0B5B" w14:textId="77777777" w:rsidR="00814F74" w:rsidRPr="003F72E0" w:rsidRDefault="00814F74" w:rsidP="00EA10EB">
            <w:pPr>
              <w:pStyle w:val="TableText0"/>
              <w:keepNext w:val="0"/>
              <w:numPr>
                <w:ilvl w:val="0"/>
                <w:numId w:val="6"/>
              </w:numPr>
            </w:pPr>
            <w:r w:rsidRPr="003F72E0">
              <w:t>Progression free survival (</w:t>
            </w:r>
            <w:proofErr w:type="spellStart"/>
            <w:r w:rsidRPr="003F72E0">
              <w:t>mHSPC</w:t>
            </w:r>
            <w:proofErr w:type="spellEnd"/>
            <w:r w:rsidRPr="003F72E0">
              <w:t>)</w:t>
            </w:r>
          </w:p>
          <w:p w14:paraId="4B59724E" w14:textId="77777777" w:rsidR="00814F74" w:rsidRPr="003F72E0" w:rsidRDefault="00814F74" w:rsidP="00EA10EB">
            <w:pPr>
              <w:pStyle w:val="TableText0"/>
              <w:keepNext w:val="0"/>
              <w:numPr>
                <w:ilvl w:val="0"/>
                <w:numId w:val="6"/>
              </w:numPr>
            </w:pPr>
            <w:r w:rsidRPr="003F72E0">
              <w:t>Progressed disease (</w:t>
            </w:r>
            <w:proofErr w:type="spellStart"/>
            <w:r w:rsidRPr="003F72E0">
              <w:t>mCRPC</w:t>
            </w:r>
            <w:proofErr w:type="spellEnd"/>
            <w:r w:rsidRPr="003F72E0">
              <w:t>)</w:t>
            </w:r>
          </w:p>
          <w:p w14:paraId="418308C8" w14:textId="77777777" w:rsidR="00814F74" w:rsidRPr="003F72E0" w:rsidRDefault="00814F74" w:rsidP="00EA10EB">
            <w:pPr>
              <w:pStyle w:val="TableText0"/>
              <w:keepNext w:val="0"/>
              <w:numPr>
                <w:ilvl w:val="0"/>
                <w:numId w:val="6"/>
              </w:numPr>
            </w:pPr>
            <w:r w:rsidRPr="003F72E0">
              <w:t>Death.</w:t>
            </w:r>
          </w:p>
          <w:p w14:paraId="5AF4B074" w14:textId="77777777" w:rsidR="00814F74" w:rsidRPr="003F72E0" w:rsidRDefault="00814F74" w:rsidP="00DF5EF9">
            <w:pPr>
              <w:pStyle w:val="TableText0"/>
              <w:keepNext w:val="0"/>
            </w:pPr>
            <w:r w:rsidRPr="003F72E0">
              <w:t>Reasonable; although ‘progressed disease’ in practice (</w:t>
            </w:r>
            <w:proofErr w:type="spellStart"/>
            <w:r w:rsidRPr="003F72E0">
              <w:t>mCRPC</w:t>
            </w:r>
            <w:proofErr w:type="spellEnd"/>
            <w:r w:rsidRPr="003F72E0">
              <w:t>) is a heterogeneous state consisting of multiple lines of treatment and disease progressions.</w:t>
            </w:r>
          </w:p>
        </w:tc>
      </w:tr>
      <w:tr w:rsidR="00814F74" w:rsidRPr="003F72E0" w14:paraId="585BCDCE" w14:textId="77777777" w:rsidTr="00DF5EF9">
        <w:tc>
          <w:tcPr>
            <w:tcW w:w="862" w:type="pct"/>
            <w:shd w:val="clear" w:color="auto" w:fill="auto"/>
            <w:vAlign w:val="center"/>
          </w:tcPr>
          <w:p w14:paraId="5490503D" w14:textId="77777777" w:rsidR="00814F74" w:rsidRPr="003F72E0" w:rsidRDefault="00814F74" w:rsidP="00DF5EF9">
            <w:pPr>
              <w:pStyle w:val="TableText0"/>
              <w:keepNext w:val="0"/>
            </w:pPr>
            <w:r w:rsidRPr="003F72E0">
              <w:t>Cycle length</w:t>
            </w:r>
          </w:p>
        </w:tc>
        <w:tc>
          <w:tcPr>
            <w:tcW w:w="4138" w:type="pct"/>
            <w:shd w:val="clear" w:color="auto" w:fill="auto"/>
            <w:vAlign w:val="center"/>
          </w:tcPr>
          <w:p w14:paraId="3F631CFC" w14:textId="77777777" w:rsidR="00814F74" w:rsidRPr="003F72E0" w:rsidRDefault="00814F74" w:rsidP="00DF5EF9">
            <w:pPr>
              <w:pStyle w:val="TableText0"/>
              <w:keepNext w:val="0"/>
            </w:pPr>
            <w:r w:rsidRPr="003F72E0">
              <w:t>Monthly, with half cycle correction.</w:t>
            </w:r>
          </w:p>
        </w:tc>
      </w:tr>
      <w:tr w:rsidR="00814F74" w:rsidRPr="003F72E0" w14:paraId="42A16C07" w14:textId="77777777" w:rsidTr="00DF5EF9">
        <w:tc>
          <w:tcPr>
            <w:tcW w:w="862" w:type="pct"/>
            <w:shd w:val="clear" w:color="auto" w:fill="auto"/>
            <w:vAlign w:val="center"/>
          </w:tcPr>
          <w:p w14:paraId="54F34501" w14:textId="77777777" w:rsidR="00814F74" w:rsidRPr="003F72E0" w:rsidRDefault="00814F74" w:rsidP="00352440">
            <w:pPr>
              <w:pStyle w:val="TableText0"/>
              <w:keepNext w:val="0"/>
            </w:pPr>
            <w:r w:rsidRPr="003F72E0">
              <w:t xml:space="preserve">Allocation to health states </w:t>
            </w:r>
          </w:p>
        </w:tc>
        <w:tc>
          <w:tcPr>
            <w:tcW w:w="4138" w:type="pct"/>
            <w:shd w:val="clear" w:color="auto" w:fill="auto"/>
            <w:vAlign w:val="center"/>
          </w:tcPr>
          <w:p w14:paraId="13AB2A28" w14:textId="77777777" w:rsidR="00814F74" w:rsidRPr="003F72E0" w:rsidRDefault="00352440" w:rsidP="00DF5EF9">
            <w:pPr>
              <w:pStyle w:val="TableText0"/>
              <w:keepNext w:val="0"/>
            </w:pPr>
            <w:r>
              <w:t>Allocation to</w:t>
            </w:r>
            <w:r w:rsidR="00814F74" w:rsidRPr="003F72E0">
              <w:t xml:space="preserve"> health states derived from KM data in TITAN of OS and </w:t>
            </w:r>
            <w:proofErr w:type="spellStart"/>
            <w:r w:rsidR="00814F74" w:rsidRPr="003F72E0">
              <w:t>rPFS</w:t>
            </w:r>
            <w:proofErr w:type="spellEnd"/>
            <w:r w:rsidR="00814F74" w:rsidRPr="003F72E0">
              <w:t>. Time on primary treatment derived from post-hoc TTD data. Parametric extrapolation of time to event outcomes was used when &lt; 20% of patients remain in the risk set of the KM data. The model did not adjust OS for treatment switching in the base case.</w:t>
            </w:r>
          </w:p>
          <w:p w14:paraId="287CFE80" w14:textId="77777777" w:rsidR="00814F74" w:rsidRPr="003F72E0" w:rsidRDefault="00814F74" w:rsidP="00EA10EB">
            <w:pPr>
              <w:pStyle w:val="TableText0"/>
              <w:keepNext w:val="0"/>
              <w:numPr>
                <w:ilvl w:val="0"/>
                <w:numId w:val="7"/>
              </w:numPr>
              <w:ind w:left="262" w:hanging="174"/>
            </w:pPr>
            <w:r w:rsidRPr="003F72E0">
              <w:t>LV model: Data for LV subgroup.</w:t>
            </w:r>
          </w:p>
          <w:p w14:paraId="5E3C304B" w14:textId="77777777" w:rsidR="00814F74" w:rsidRPr="003F72E0" w:rsidRDefault="00814F74" w:rsidP="00EA10EB">
            <w:pPr>
              <w:pStyle w:val="TableText0"/>
              <w:keepNext w:val="0"/>
              <w:numPr>
                <w:ilvl w:val="0"/>
                <w:numId w:val="7"/>
              </w:numPr>
              <w:ind w:left="262" w:hanging="174"/>
            </w:pPr>
            <w:r w:rsidRPr="003F72E0">
              <w:t>ITT/HV model: Data for ITT population.</w:t>
            </w:r>
          </w:p>
          <w:p w14:paraId="46158523" w14:textId="77777777" w:rsidR="00814F74" w:rsidRPr="003F72E0" w:rsidRDefault="00814F74" w:rsidP="00DF5EF9">
            <w:pPr>
              <w:pStyle w:val="TableText0"/>
              <w:keepNext w:val="0"/>
              <w:ind w:left="88"/>
            </w:pPr>
            <w:r w:rsidRPr="003F72E0">
              <w:t>The overall approach was generally reasonable, and not adjusting for treatment switching was appropriate. The trial data from the final analysis is still relatively immature (</w:t>
            </w:r>
            <w:proofErr w:type="gramStart"/>
            <w:r w:rsidRPr="003F72E0">
              <w:t>i.e.</w:t>
            </w:r>
            <w:proofErr w:type="gramEnd"/>
            <w:r w:rsidRPr="003F72E0">
              <w:t xml:space="preserve"> less than half of the events were observed), particularly for the LV subgroup, corresponding to considerable uncertainty around the assumed comparative long-term efficacy implied by the parametric extrapolations.</w:t>
            </w:r>
            <w:r w:rsidR="00E832A4">
              <w:t xml:space="preserve"> </w:t>
            </w:r>
            <w:r w:rsidR="00E832A4" w:rsidRPr="00FE58E8">
              <w:t>The ESC considered that the use of ITT data for the HV model was inappropriate.</w:t>
            </w:r>
          </w:p>
        </w:tc>
      </w:tr>
      <w:tr w:rsidR="00814F74" w:rsidRPr="003F72E0" w14:paraId="52C5F284" w14:textId="77777777" w:rsidTr="00DF5EF9">
        <w:trPr>
          <w:trHeight w:val="806"/>
        </w:trPr>
        <w:tc>
          <w:tcPr>
            <w:tcW w:w="862" w:type="pct"/>
            <w:shd w:val="clear" w:color="auto" w:fill="auto"/>
            <w:vAlign w:val="center"/>
          </w:tcPr>
          <w:p w14:paraId="45BA19FD" w14:textId="77777777" w:rsidR="00814F74" w:rsidRPr="003F72E0" w:rsidRDefault="00814F74" w:rsidP="00DF5EF9">
            <w:pPr>
              <w:pStyle w:val="TableText0"/>
              <w:keepNext w:val="0"/>
            </w:pPr>
            <w:r w:rsidRPr="003F72E0">
              <w:t>Extrapolation method</w:t>
            </w:r>
          </w:p>
        </w:tc>
        <w:tc>
          <w:tcPr>
            <w:tcW w:w="4138" w:type="pct"/>
            <w:shd w:val="clear" w:color="auto" w:fill="auto"/>
            <w:vAlign w:val="center"/>
          </w:tcPr>
          <w:p w14:paraId="0F83E9C3" w14:textId="77777777" w:rsidR="00814F74" w:rsidRPr="003F72E0" w:rsidRDefault="00814F74" w:rsidP="00DF5EF9">
            <w:pPr>
              <w:rPr>
                <w:rFonts w:ascii="Arial Narrow" w:hAnsi="Arial Narrow" w:cs="Times New Roman"/>
                <w:sz w:val="20"/>
                <w:szCs w:val="20"/>
                <w:lang w:eastAsia="en-GB"/>
              </w:rPr>
            </w:pPr>
            <w:r w:rsidRPr="003F72E0">
              <w:rPr>
                <w:rFonts w:ascii="Arial Narrow" w:hAnsi="Arial Narrow" w:cs="Times New Roman"/>
                <w:sz w:val="20"/>
                <w:szCs w:val="20"/>
                <w:lang w:eastAsia="en-GB"/>
              </w:rPr>
              <w:t>The submission fitted parametric proportional hazards and accelerated failure time models with only one covariate for treatment group to the PFS and OS KM data. For TTD data, the submission fit separate functions to the apalutamide and PBO arms (</w:t>
            </w:r>
            <w:proofErr w:type="gramStart"/>
            <w:r w:rsidRPr="003F72E0">
              <w:rPr>
                <w:rFonts w:ascii="Arial Narrow" w:hAnsi="Arial Narrow" w:cs="Times New Roman"/>
                <w:sz w:val="20"/>
                <w:szCs w:val="20"/>
                <w:lang w:eastAsia="en-GB"/>
              </w:rPr>
              <w:t>i.e.</w:t>
            </w:r>
            <w:proofErr w:type="gramEnd"/>
            <w:r w:rsidRPr="003F72E0">
              <w:rPr>
                <w:rFonts w:ascii="Arial Narrow" w:hAnsi="Arial Narrow" w:cs="Times New Roman"/>
                <w:sz w:val="20"/>
                <w:szCs w:val="20"/>
                <w:lang w:eastAsia="en-GB"/>
              </w:rPr>
              <w:t xml:space="preserve"> assumed no relationship).</w:t>
            </w:r>
          </w:p>
          <w:p w14:paraId="52AB9210" w14:textId="77777777" w:rsidR="00814F74" w:rsidRPr="003F72E0" w:rsidRDefault="00814F74" w:rsidP="00DF5EF9">
            <w:pPr>
              <w:pStyle w:val="Tabletext"/>
              <w:tabs>
                <w:tab w:val="left" w:pos="1985"/>
              </w:tabs>
            </w:pPr>
            <w:r w:rsidRPr="003F72E0">
              <w:t>PFS: Use of trial-based KM curves:  Up to 22-26 months*. Extrapolation: Weibull thereafter.</w:t>
            </w:r>
          </w:p>
          <w:p w14:paraId="1B0F60CF" w14:textId="77777777" w:rsidR="00814F74" w:rsidRPr="003F72E0" w:rsidRDefault="00814F74" w:rsidP="00DF5EF9">
            <w:pPr>
              <w:pStyle w:val="Tabletext"/>
              <w:tabs>
                <w:tab w:val="left" w:pos="1985"/>
              </w:tabs>
            </w:pPr>
            <w:r w:rsidRPr="003F72E0">
              <w:t>OS: Use of trial-based KM curves: Up to 45-48 months*. Extrapolation: Weibull thereafter.</w:t>
            </w:r>
          </w:p>
          <w:p w14:paraId="38019561" w14:textId="77777777" w:rsidR="00814F74" w:rsidRPr="003F72E0" w:rsidRDefault="00814F74" w:rsidP="00DF5EF9">
            <w:pPr>
              <w:pStyle w:val="Tabletext"/>
              <w:tabs>
                <w:tab w:val="left" w:pos="1985"/>
              </w:tabs>
            </w:pPr>
            <w:r w:rsidRPr="003F72E0">
              <w:lastRenderedPageBreak/>
              <w:t xml:space="preserve">TTD: Use of trial-based KM curves: Up to 27-33 months*. Extrapolation: Weibull (ITT/HV model), </w:t>
            </w:r>
            <w:proofErr w:type="spellStart"/>
            <w:r w:rsidRPr="003F72E0">
              <w:t>Gompertz</w:t>
            </w:r>
            <w:proofErr w:type="spellEnd"/>
            <w:r w:rsidRPr="003F72E0">
              <w:t xml:space="preserve"> (LV model) thereafter. </w:t>
            </w:r>
          </w:p>
          <w:p w14:paraId="2FCC7C36" w14:textId="77777777" w:rsidR="00814F74" w:rsidRPr="003F72E0" w:rsidRDefault="00814F74" w:rsidP="00DF5EF9">
            <w:pPr>
              <w:pStyle w:val="Tabletext"/>
              <w:tabs>
                <w:tab w:val="left" w:pos="1985"/>
              </w:tabs>
              <w:rPr>
                <w:szCs w:val="20"/>
                <w:lang w:eastAsia="en-GB"/>
              </w:rPr>
            </w:pPr>
            <w:r w:rsidRPr="003F72E0">
              <w:t>Based on evidence from the docetaxel trials (STAMPEDE, GETUG-AUF15, CHAARTED), the assumed proportional hazards assumption may not be valid over the longer-term. See comment below.</w:t>
            </w:r>
          </w:p>
        </w:tc>
      </w:tr>
      <w:tr w:rsidR="00814F74" w:rsidRPr="003F72E0" w14:paraId="3398160E" w14:textId="77777777" w:rsidTr="00DF5EF9">
        <w:tc>
          <w:tcPr>
            <w:tcW w:w="862" w:type="pct"/>
            <w:shd w:val="clear" w:color="auto" w:fill="auto"/>
            <w:vAlign w:val="center"/>
          </w:tcPr>
          <w:p w14:paraId="0EF59610" w14:textId="77777777" w:rsidR="00814F74" w:rsidRPr="003F72E0" w:rsidRDefault="00814F74" w:rsidP="00DF5EF9">
            <w:pPr>
              <w:pStyle w:val="TableText0"/>
              <w:keepNext w:val="0"/>
            </w:pPr>
            <w:r w:rsidRPr="003F72E0">
              <w:lastRenderedPageBreak/>
              <w:t>Health related quality of life</w:t>
            </w:r>
          </w:p>
        </w:tc>
        <w:tc>
          <w:tcPr>
            <w:tcW w:w="4138" w:type="pct"/>
            <w:shd w:val="clear" w:color="auto" w:fill="auto"/>
            <w:vAlign w:val="center"/>
          </w:tcPr>
          <w:p w14:paraId="7E8A8AB2" w14:textId="77777777" w:rsidR="00814F74" w:rsidRPr="003F72E0" w:rsidRDefault="00814F74" w:rsidP="00DF5EF9">
            <w:pPr>
              <w:pStyle w:val="TableText0"/>
              <w:keepNext w:val="0"/>
            </w:pPr>
            <w:r w:rsidRPr="003F72E0">
              <w:t>ITT/HV model: Progression-free = 0.789; Progressed = 0.676</w:t>
            </w:r>
          </w:p>
          <w:p w14:paraId="23F7D949" w14:textId="77777777" w:rsidR="00814F74" w:rsidRPr="003F72E0" w:rsidRDefault="00814F74" w:rsidP="00DF5EF9">
            <w:pPr>
              <w:pStyle w:val="TableText0"/>
              <w:keepNext w:val="0"/>
            </w:pPr>
            <w:r w:rsidRPr="003F72E0">
              <w:t>LV model: Progression-free = 0.817; Progressed = 0.707</w:t>
            </w:r>
          </w:p>
          <w:p w14:paraId="76577A7E" w14:textId="77777777" w:rsidR="00814F74" w:rsidRPr="003F72E0" w:rsidRDefault="00814F74" w:rsidP="00DF5EF9">
            <w:pPr>
              <w:pStyle w:val="TableText0"/>
              <w:keepNext w:val="0"/>
            </w:pPr>
            <w:r w:rsidRPr="003F72E0">
              <w:t>Health state utilities derived from post-hoc analysis of EQ-5D-5L data in TITAN.</w:t>
            </w:r>
          </w:p>
          <w:p w14:paraId="15031DBA" w14:textId="77777777" w:rsidR="00814F74" w:rsidRPr="003F72E0" w:rsidRDefault="00814F74" w:rsidP="00DF5EF9">
            <w:pPr>
              <w:pStyle w:val="TableText0"/>
              <w:keepNext w:val="0"/>
            </w:pPr>
            <w:r w:rsidRPr="003F72E0">
              <w:t>The utilities assumed are generally reasonable, and the incremental difference between health states (0.11) was consistent with utilities assumed in other models.</w:t>
            </w:r>
          </w:p>
        </w:tc>
      </w:tr>
      <w:tr w:rsidR="00814F74" w:rsidRPr="003F72E0" w14:paraId="080B9AD9" w14:textId="77777777" w:rsidTr="00DF5EF9">
        <w:tc>
          <w:tcPr>
            <w:tcW w:w="862" w:type="pct"/>
            <w:shd w:val="clear" w:color="auto" w:fill="auto"/>
            <w:vAlign w:val="center"/>
          </w:tcPr>
          <w:p w14:paraId="6C92D460" w14:textId="77777777" w:rsidR="00814F74" w:rsidRPr="003F72E0" w:rsidRDefault="00814F74" w:rsidP="00DF5EF9">
            <w:pPr>
              <w:pStyle w:val="TableText0"/>
              <w:keepNext w:val="0"/>
            </w:pPr>
            <w:r w:rsidRPr="003F72E0">
              <w:t>Costs</w:t>
            </w:r>
          </w:p>
        </w:tc>
        <w:tc>
          <w:tcPr>
            <w:tcW w:w="4138" w:type="pct"/>
            <w:shd w:val="clear" w:color="auto" w:fill="auto"/>
            <w:vAlign w:val="center"/>
          </w:tcPr>
          <w:p w14:paraId="57EA570B" w14:textId="77777777" w:rsidR="00814F74" w:rsidRPr="003F72E0" w:rsidRDefault="00814F74" w:rsidP="00DF5EF9">
            <w:pPr>
              <w:pStyle w:val="TableText0"/>
              <w:keepNext w:val="0"/>
            </w:pPr>
            <w:r w:rsidRPr="003F72E0">
              <w:t xml:space="preserve">The model included costs for apalutamide, background ADT, management of AEs (one-off costs), monitoring disease progression (PSA tests, specialists, imaging), subsequent treatment post progression (docetaxel, </w:t>
            </w:r>
            <w:proofErr w:type="spellStart"/>
            <w:r w:rsidRPr="003F72E0">
              <w:t>cabazitaxel</w:t>
            </w:r>
            <w:proofErr w:type="spellEnd"/>
            <w:r w:rsidRPr="003F72E0">
              <w:t xml:space="preserve">, abiraterone/enzalutamide, antiandrogens, bone-sparing agents, prednisolone) and end of life costs. The model assumed patients treated with apalutamide for </w:t>
            </w:r>
            <w:proofErr w:type="spellStart"/>
            <w:r w:rsidRPr="003F72E0">
              <w:t>mHSPC</w:t>
            </w:r>
            <w:proofErr w:type="spellEnd"/>
            <w:r w:rsidRPr="003F72E0">
              <w:t xml:space="preserve"> did not receive abiraterone/enzalutamide for </w:t>
            </w:r>
            <w:proofErr w:type="spellStart"/>
            <w:r w:rsidRPr="003F72E0">
              <w:t>mCRPC</w:t>
            </w:r>
            <w:proofErr w:type="spellEnd"/>
            <w:r w:rsidRPr="003F72E0">
              <w:t>.</w:t>
            </w:r>
          </w:p>
          <w:p w14:paraId="541A17B0" w14:textId="77777777" w:rsidR="00814F74" w:rsidRPr="003F72E0" w:rsidRDefault="00814F74" w:rsidP="00DF5EF9">
            <w:pPr>
              <w:pStyle w:val="TableText0"/>
              <w:keepNext w:val="0"/>
            </w:pPr>
            <w:r w:rsidRPr="003F72E0">
              <w:rPr>
                <w:rFonts w:cs="Times New Roman"/>
                <w:szCs w:val="20"/>
                <w:lang w:eastAsia="en-GB"/>
              </w:rPr>
              <w:t>The overall approach to modelling costs was generally reasonable. T</w:t>
            </w:r>
            <w:r w:rsidRPr="003F72E0">
              <w:rPr>
                <w:rFonts w:cs="Times New Roman"/>
                <w:lang w:eastAsia="en-GB"/>
              </w:rPr>
              <w:t xml:space="preserve">he cost of apalutamide for </w:t>
            </w:r>
            <w:proofErr w:type="spellStart"/>
            <w:r w:rsidRPr="003F72E0">
              <w:rPr>
                <w:rFonts w:cs="Times New Roman"/>
                <w:lang w:eastAsia="en-GB"/>
              </w:rPr>
              <w:t>mHSPC</w:t>
            </w:r>
            <w:proofErr w:type="spellEnd"/>
            <w:r w:rsidRPr="003F72E0">
              <w:rPr>
                <w:rFonts w:cs="Times New Roman"/>
                <w:lang w:eastAsia="en-GB"/>
              </w:rPr>
              <w:t xml:space="preserve"> and cost-offsets associated with no subsequent treatment with NHAs for </w:t>
            </w:r>
            <w:proofErr w:type="spellStart"/>
            <w:r w:rsidRPr="003F72E0">
              <w:rPr>
                <w:rFonts w:cs="Times New Roman"/>
                <w:lang w:eastAsia="en-GB"/>
              </w:rPr>
              <w:t>mCRPC</w:t>
            </w:r>
            <w:proofErr w:type="spellEnd"/>
            <w:r w:rsidRPr="003F72E0">
              <w:rPr>
                <w:rFonts w:cs="Times New Roman"/>
                <w:lang w:eastAsia="en-GB"/>
              </w:rPr>
              <w:t xml:space="preserve"> were the key drivers of the incremental costs of treatment. There was a modest increase in the costs for monitoring and background ADT due to the improved overall survival with apalutamide, but this was more than offset by delayed/reduced use of other therapies for </w:t>
            </w:r>
            <w:proofErr w:type="spellStart"/>
            <w:r w:rsidRPr="003F72E0">
              <w:rPr>
                <w:rFonts w:cs="Times New Roman"/>
                <w:lang w:eastAsia="en-GB"/>
              </w:rPr>
              <w:t>mCRPC</w:t>
            </w:r>
            <w:proofErr w:type="spellEnd"/>
            <w:r w:rsidRPr="003F72E0">
              <w:rPr>
                <w:rFonts w:cs="Times New Roman"/>
                <w:lang w:eastAsia="en-GB"/>
              </w:rPr>
              <w:t xml:space="preserve"> and end of life costs.</w:t>
            </w:r>
          </w:p>
        </w:tc>
      </w:tr>
    </w:tbl>
    <w:p w14:paraId="40403D7D" w14:textId="77777777" w:rsidR="00814F74" w:rsidRPr="00BF06FC" w:rsidRDefault="00814F74" w:rsidP="00814F74">
      <w:pPr>
        <w:pStyle w:val="TableFooter"/>
      </w:pPr>
      <w:r w:rsidRPr="00BF06FC">
        <w:t xml:space="preserve">Abbreviations: ADT = androgen deprivation therapy; APA = apalutamide; EQ5D-5L = </w:t>
      </w:r>
      <w:proofErr w:type="spellStart"/>
      <w:r w:rsidRPr="00BF06FC">
        <w:t>EuroQoL</w:t>
      </w:r>
      <w:proofErr w:type="spellEnd"/>
      <w:r w:rsidRPr="00BF06FC">
        <w:t xml:space="preserve"> 5 Dimension 5-Level; HV = high volume IPD = individual patient data; KM = Kaplan-Meier; </w:t>
      </w:r>
      <w:proofErr w:type="spellStart"/>
      <w:r w:rsidRPr="00BF06FC">
        <w:t>mCRPC</w:t>
      </w:r>
      <w:proofErr w:type="spellEnd"/>
      <w:r w:rsidRPr="00BF06FC">
        <w:t xml:space="preserve"> = metastatic castration resistant prostate cancer; </w:t>
      </w:r>
      <w:proofErr w:type="spellStart"/>
      <w:r w:rsidRPr="00BF06FC">
        <w:t>mHSPC</w:t>
      </w:r>
      <w:proofErr w:type="spellEnd"/>
      <w:r w:rsidRPr="00BF06FC">
        <w:t xml:space="preserve"> = metastatic hormone sensitive prostate cancer; NHA = novel hormonal agent; PBO = placebo; PD = progressed disease; PFS = progression free survival; PSA = prostate specific antigen; </w:t>
      </w:r>
      <w:proofErr w:type="spellStart"/>
      <w:r w:rsidRPr="00BF06FC">
        <w:t>rPFS</w:t>
      </w:r>
      <w:proofErr w:type="spellEnd"/>
      <w:r w:rsidRPr="00BF06FC">
        <w:t xml:space="preserve"> = radiographic progression free survival; TTD = time to treatment discontinuation.</w:t>
      </w:r>
    </w:p>
    <w:p w14:paraId="7B83C943"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*20% remaining in the risk set of the KM data.</w:t>
      </w:r>
    </w:p>
    <w:p w14:paraId="09CCFBEA" w14:textId="77777777" w:rsidR="00814F74" w:rsidRPr="003F72E0" w:rsidRDefault="00814F74" w:rsidP="00814F74">
      <w:pPr>
        <w:pStyle w:val="TableFigureFooter"/>
        <w:rPr>
          <w:iCs/>
        </w:rPr>
      </w:pPr>
      <w:r w:rsidRPr="003F72E0">
        <w:rPr>
          <w:iCs/>
        </w:rPr>
        <w:t>Source: constructed during the evaluation.</w:t>
      </w:r>
    </w:p>
    <w:p w14:paraId="17E8FB21" w14:textId="77777777" w:rsidR="00814F74" w:rsidRPr="00BF06FC" w:rsidRDefault="00814F74" w:rsidP="00814F74">
      <w:pPr>
        <w:pStyle w:val="3-BodyText"/>
        <w:numPr>
          <w:ilvl w:val="0"/>
          <w:numId w:val="0"/>
        </w:numPr>
        <w:rPr>
          <w:b/>
        </w:rPr>
      </w:pPr>
      <w:r w:rsidRPr="00BF06FC">
        <w:rPr>
          <w:b/>
        </w:rPr>
        <w:t>Population</w:t>
      </w:r>
    </w:p>
    <w:p w14:paraId="5FF6E087" w14:textId="77777777" w:rsidR="00814F74" w:rsidRPr="003F72E0" w:rsidRDefault="00814F74" w:rsidP="00814F74">
      <w:pPr>
        <w:pStyle w:val="3-BodyText"/>
        <w:rPr>
          <w:iCs/>
        </w:rPr>
      </w:pPr>
      <w:r w:rsidRPr="003F72E0">
        <w:rPr>
          <w:iCs/>
        </w:rPr>
        <w:t>The submission modelled two populations using the same model structure but different parameters: (</w:t>
      </w:r>
      <w:proofErr w:type="spellStart"/>
      <w:r w:rsidRPr="003F72E0">
        <w:rPr>
          <w:iCs/>
        </w:rPr>
        <w:t>i</w:t>
      </w:r>
      <w:proofErr w:type="spellEnd"/>
      <w:r w:rsidRPr="003F72E0">
        <w:rPr>
          <w:iCs/>
        </w:rPr>
        <w:t xml:space="preserve">) ‘LV model’ for patients with LV </w:t>
      </w:r>
      <w:proofErr w:type="spellStart"/>
      <w:r w:rsidRPr="003F72E0">
        <w:rPr>
          <w:iCs/>
        </w:rPr>
        <w:t>mHSPC</w:t>
      </w:r>
      <w:proofErr w:type="spellEnd"/>
      <w:r w:rsidRPr="003F72E0">
        <w:rPr>
          <w:iCs/>
        </w:rPr>
        <w:t xml:space="preserve">, based on data for the LV subgroup in TITAN; (ii) ‘ITT/HV model’ for patients with HV </w:t>
      </w:r>
      <w:proofErr w:type="spellStart"/>
      <w:r w:rsidRPr="003F72E0">
        <w:rPr>
          <w:iCs/>
        </w:rPr>
        <w:t>mHSPC</w:t>
      </w:r>
      <w:proofErr w:type="spellEnd"/>
      <w:r w:rsidRPr="003F72E0">
        <w:rPr>
          <w:iCs/>
        </w:rPr>
        <w:t xml:space="preserve"> unsuitable for docetaxel, based on the ITT population in TITAN. The submission argued that </w:t>
      </w:r>
      <w:r w:rsidR="00394854" w:rsidRPr="003F72E0">
        <w:rPr>
          <w:iCs/>
        </w:rPr>
        <w:t xml:space="preserve">as </w:t>
      </w:r>
      <w:r w:rsidRPr="003F72E0">
        <w:rPr>
          <w:iCs/>
        </w:rPr>
        <w:t xml:space="preserve">the treatment effect for the ITT population and HV subgroup were consistent, that the ITT population is a reasonable proxy for the HV subgroup. The submission did not provide a clear rationale for why the ITT population would be a better proxy than the HV subgroup in TITAN for the requested HV population on the PBS. </w:t>
      </w:r>
      <w:r w:rsidRPr="00AB2817">
        <w:t>Th</w:t>
      </w:r>
      <w:r w:rsidR="00FA3B6D" w:rsidRPr="00AB2817">
        <w:t>e ESC considered that this</w:t>
      </w:r>
      <w:r w:rsidR="00FA3B6D" w:rsidRPr="00FA3B6D">
        <w:rPr>
          <w:i/>
        </w:rPr>
        <w:t xml:space="preserve"> </w:t>
      </w:r>
      <w:r w:rsidRPr="003F72E0">
        <w:rPr>
          <w:iCs/>
        </w:rPr>
        <w:t>assumption was not adequately justified and likely favour</w:t>
      </w:r>
      <w:r w:rsidR="00FA3B6D">
        <w:rPr>
          <w:iCs/>
        </w:rPr>
        <w:t>ed</w:t>
      </w:r>
      <w:r w:rsidRPr="003F72E0">
        <w:rPr>
          <w:iCs/>
        </w:rPr>
        <w:t xml:space="preserve"> apalutamide:</w:t>
      </w:r>
    </w:p>
    <w:p w14:paraId="1D107615" w14:textId="77777777" w:rsidR="00814F74" w:rsidRPr="003F72E0" w:rsidRDefault="00814F74" w:rsidP="00EA10EB">
      <w:pPr>
        <w:pStyle w:val="3-BodyText"/>
        <w:numPr>
          <w:ilvl w:val="0"/>
          <w:numId w:val="14"/>
        </w:numPr>
        <w:rPr>
          <w:iCs/>
        </w:rPr>
      </w:pPr>
      <w:r w:rsidRPr="003F72E0">
        <w:rPr>
          <w:iCs/>
        </w:rPr>
        <w:t>The ITT population was not representative of the requested HV population in terms of baseline characteristics, given only 63% had HV disease and only 10% of those patients met the PBS eligibility criteria.</w:t>
      </w:r>
    </w:p>
    <w:p w14:paraId="1B8ED1B5" w14:textId="77777777" w:rsidR="00814F74" w:rsidRPr="003F72E0" w:rsidRDefault="00814F74" w:rsidP="00EA10EB">
      <w:pPr>
        <w:pStyle w:val="3-BodyText"/>
        <w:numPr>
          <w:ilvl w:val="0"/>
          <w:numId w:val="14"/>
        </w:numPr>
        <w:rPr>
          <w:iCs/>
        </w:rPr>
      </w:pPr>
      <w:r w:rsidRPr="003F72E0">
        <w:rPr>
          <w:iCs/>
        </w:rPr>
        <w:t>Volume of disease is a prognostic factor, which affects survival. In the placebo arm of TITAN, median survival was 38.7 months in the HV subgroup versus 52.2 months in the ITT population.</w:t>
      </w:r>
    </w:p>
    <w:p w14:paraId="510FCA92" w14:textId="77777777" w:rsidR="00814F74" w:rsidRDefault="00814F74" w:rsidP="00EA10EB">
      <w:pPr>
        <w:pStyle w:val="3-BodyText"/>
        <w:numPr>
          <w:ilvl w:val="0"/>
          <w:numId w:val="9"/>
        </w:numPr>
        <w:ind w:left="1077" w:hanging="357"/>
        <w:rPr>
          <w:iCs/>
        </w:rPr>
      </w:pPr>
      <w:r w:rsidRPr="003F72E0">
        <w:rPr>
          <w:iCs/>
        </w:rPr>
        <w:t>The treatment effect was numerically larger in the ITT population compared to the HV subgroup (for OS, HR = 0.65 versus 0.70, respectively; for PFS, HR = 0.48 versus 0.52, respectively).</w:t>
      </w:r>
    </w:p>
    <w:p w14:paraId="65DB1742" w14:textId="77777777" w:rsidR="00814F74" w:rsidRPr="00BF06FC" w:rsidRDefault="00814F74" w:rsidP="00814F74">
      <w:pPr>
        <w:pStyle w:val="3-BodyText"/>
        <w:numPr>
          <w:ilvl w:val="0"/>
          <w:numId w:val="0"/>
        </w:numPr>
        <w:ind w:left="720" w:hanging="720"/>
        <w:rPr>
          <w:b/>
          <w:iCs/>
          <w:lang w:eastAsia="en-GB"/>
        </w:rPr>
      </w:pPr>
      <w:r w:rsidRPr="00BF06FC">
        <w:rPr>
          <w:b/>
          <w:iCs/>
          <w:lang w:eastAsia="en-GB"/>
        </w:rPr>
        <w:lastRenderedPageBreak/>
        <w:t>Extrapolations</w:t>
      </w:r>
    </w:p>
    <w:p w14:paraId="21181F1D" w14:textId="77777777" w:rsidR="00814F74" w:rsidRPr="00522B70" w:rsidRDefault="00814F74" w:rsidP="00814F74">
      <w:pPr>
        <w:pStyle w:val="3-BodyText"/>
        <w:rPr>
          <w:b/>
          <w:bCs/>
          <w:iCs/>
        </w:rPr>
      </w:pPr>
      <w:r w:rsidRPr="003F72E0">
        <w:rPr>
          <w:iCs/>
        </w:rPr>
        <w:t xml:space="preserve">The model estimated the proportion of patients within each of the health states (including on treatment) from </w:t>
      </w:r>
      <w:proofErr w:type="spellStart"/>
      <w:r w:rsidRPr="003F72E0">
        <w:rPr>
          <w:iCs/>
        </w:rPr>
        <w:t>rPFS</w:t>
      </w:r>
      <w:proofErr w:type="spellEnd"/>
      <w:r w:rsidRPr="003F72E0">
        <w:rPr>
          <w:iCs/>
        </w:rPr>
        <w:t xml:space="preserve">, OS and TTD curves in TITAN, using the standard partitioned survival approach. Although the model used trial data until 20% of patients remained at risk, the parametric functions ultimately informed </w:t>
      </w:r>
      <w:r w:rsidR="00522B70">
        <w:rPr>
          <w:iCs/>
        </w:rPr>
        <w:t>most</w:t>
      </w:r>
      <w:r w:rsidRPr="003F72E0">
        <w:rPr>
          <w:iCs/>
        </w:rPr>
        <w:t xml:space="preserve"> of the model transitions, particularly in the LV model. For example</w:t>
      </w:r>
      <w:r w:rsidR="00522B70">
        <w:rPr>
          <w:iCs/>
        </w:rPr>
        <w:t>,</w:t>
      </w:r>
      <w:r w:rsidRPr="003F72E0">
        <w:rPr>
          <w:iCs/>
        </w:rPr>
        <w:t xml:space="preserve"> in the LV model, the trial data for </w:t>
      </w:r>
      <w:proofErr w:type="spellStart"/>
      <w:r w:rsidRPr="003F72E0">
        <w:rPr>
          <w:iCs/>
        </w:rPr>
        <w:t>rPFS</w:t>
      </w:r>
      <w:proofErr w:type="spellEnd"/>
      <w:r w:rsidRPr="003F72E0">
        <w:rPr>
          <w:iCs/>
        </w:rPr>
        <w:t xml:space="preserve"> captured approximately 14% and 32% of progression-related events for apalutamide and placebo respectively, and approximately 20% and 33% of deaths for apalutamide and placebo respectively. Consequently, there is greater uncertainty around the long-term extrapolations evidenced by the wide variation between the different parametric functions</w:t>
      </w:r>
      <w:r w:rsidR="008831FC">
        <w:rPr>
          <w:iCs/>
        </w:rPr>
        <w:t xml:space="preserve"> (see Figure 3)</w:t>
      </w:r>
      <w:r w:rsidRPr="003F72E0">
        <w:rPr>
          <w:iCs/>
        </w:rPr>
        <w:t>.</w:t>
      </w:r>
    </w:p>
    <w:p w14:paraId="356E50BC" w14:textId="77777777" w:rsidR="00814F74" w:rsidRPr="00FE58E8" w:rsidRDefault="00814F74" w:rsidP="00425351">
      <w:pPr>
        <w:pStyle w:val="3-BodyText"/>
      </w:pPr>
      <w:r w:rsidRPr="003F72E0">
        <w:rPr>
          <w:iCs/>
        </w:rPr>
        <w:t xml:space="preserve">In fitting the parametric functions to the trial data, the submission assumed that the proportional hazards assumption would hold over the modelled time horizon. This implies that moving an NHA forward in the treatment pathway (from </w:t>
      </w:r>
      <w:proofErr w:type="spellStart"/>
      <w:r w:rsidRPr="003F72E0">
        <w:rPr>
          <w:iCs/>
        </w:rPr>
        <w:t>mCRPC</w:t>
      </w:r>
      <w:proofErr w:type="spellEnd"/>
      <w:r w:rsidRPr="003F72E0">
        <w:rPr>
          <w:iCs/>
        </w:rPr>
        <w:t xml:space="preserve"> to </w:t>
      </w:r>
      <w:proofErr w:type="spellStart"/>
      <w:r w:rsidRPr="003F72E0">
        <w:rPr>
          <w:iCs/>
        </w:rPr>
        <w:t>mHSPC</w:t>
      </w:r>
      <w:proofErr w:type="spellEnd"/>
      <w:r w:rsidRPr="003F72E0">
        <w:rPr>
          <w:iCs/>
        </w:rPr>
        <w:t xml:space="preserve">) results in a large survival benefit maintained over the entire time horizon irrespective of the parametric function chosen. </w:t>
      </w:r>
      <w:r w:rsidR="00AC6CF1">
        <w:rPr>
          <w:iCs/>
        </w:rPr>
        <w:t xml:space="preserve">The evaluators stated that </w:t>
      </w:r>
      <w:r w:rsidRPr="003F72E0">
        <w:rPr>
          <w:iCs/>
        </w:rPr>
        <w:t xml:space="preserve">this assumption may not be reasonable </w:t>
      </w:r>
      <w:r w:rsidR="00AC6CF1">
        <w:rPr>
          <w:iCs/>
        </w:rPr>
        <w:t xml:space="preserve">as </w:t>
      </w:r>
      <w:r w:rsidRPr="003F72E0">
        <w:rPr>
          <w:iCs/>
        </w:rPr>
        <w:t xml:space="preserve">moving docetaxel forward in the treatment pathway (from </w:t>
      </w:r>
      <w:proofErr w:type="spellStart"/>
      <w:r w:rsidRPr="003F72E0">
        <w:rPr>
          <w:iCs/>
        </w:rPr>
        <w:t>mCRPC</w:t>
      </w:r>
      <w:proofErr w:type="spellEnd"/>
      <w:r w:rsidRPr="003F72E0">
        <w:rPr>
          <w:iCs/>
        </w:rPr>
        <w:t xml:space="preserve"> to </w:t>
      </w:r>
      <w:proofErr w:type="spellStart"/>
      <w:r w:rsidRPr="003F72E0">
        <w:rPr>
          <w:iCs/>
        </w:rPr>
        <w:t>mHSPC</w:t>
      </w:r>
      <w:proofErr w:type="spellEnd"/>
      <w:r w:rsidRPr="003F72E0">
        <w:rPr>
          <w:iCs/>
        </w:rPr>
        <w:t xml:space="preserve">) </w:t>
      </w:r>
      <w:r w:rsidR="00AC6CF1">
        <w:rPr>
          <w:iCs/>
        </w:rPr>
        <w:t>in the STAMPERE, GETUG</w:t>
      </w:r>
      <w:r w:rsidR="003C2AFE">
        <w:rPr>
          <w:iCs/>
        </w:rPr>
        <w:t>-</w:t>
      </w:r>
      <w:r w:rsidR="00AC6CF1">
        <w:rPr>
          <w:iCs/>
        </w:rPr>
        <w:t xml:space="preserve">AUF15 and CHAARTED trials did not result in improved survival indefinitely. </w:t>
      </w:r>
      <w:r w:rsidR="00AC6CF1">
        <w:t xml:space="preserve"> </w:t>
      </w:r>
      <w:r w:rsidR="00AC6CF1" w:rsidRPr="00FE58E8">
        <w:t xml:space="preserve">The PSCR argued that the </w:t>
      </w:r>
      <w:proofErr w:type="gramStart"/>
      <w:r w:rsidR="00AC6CF1" w:rsidRPr="00FE58E8">
        <w:t>long term</w:t>
      </w:r>
      <w:proofErr w:type="gramEnd"/>
      <w:r w:rsidR="00AC6CF1" w:rsidRPr="00FE58E8">
        <w:t xml:space="preserve"> survival curves for apalutamide would not follow the observed survival in the docetaxel trials because (</w:t>
      </w:r>
      <w:proofErr w:type="spellStart"/>
      <w:r w:rsidR="00AC6CF1" w:rsidRPr="00FE58E8">
        <w:t>i</w:t>
      </w:r>
      <w:proofErr w:type="spellEnd"/>
      <w:r w:rsidR="00AC6CF1" w:rsidRPr="00FE58E8">
        <w:t xml:space="preserve">) docetaxel is a finite course (6 cycles) whereas apalutamide is given until disease progression; (ii) </w:t>
      </w:r>
      <w:r w:rsidR="003C2AFE" w:rsidRPr="00FE58E8">
        <w:t xml:space="preserve">the apparent convergence was driven by </w:t>
      </w:r>
      <w:r w:rsidR="00AC6CF1" w:rsidRPr="00FE58E8">
        <w:t>LV patients, in whom docetaxel does not prolong survival; and (iii) the convergence was an artefact of small sample sizes</w:t>
      </w:r>
      <w:r w:rsidR="003C2AFE" w:rsidRPr="00FE58E8">
        <w:t>. In addition, the PSCR stated that there was no evidence to suggest that the proportional hazards assumption would not hold based on the OS evidence from the TITAN trial. The ESC noted that the clinical consensus was that early, versus later, treatment with docetaxel or an NHA does provide a meaningful and ongoing survival benefit.</w:t>
      </w:r>
    </w:p>
    <w:p w14:paraId="641C14C9" w14:textId="77777777" w:rsidR="00814F74" w:rsidRPr="00BF06FC" w:rsidRDefault="00814F74" w:rsidP="00814F74">
      <w:pPr>
        <w:pStyle w:val="3-BodyText"/>
        <w:numPr>
          <w:ilvl w:val="0"/>
          <w:numId w:val="0"/>
        </w:numPr>
        <w:rPr>
          <w:b/>
          <w:lang w:eastAsia="en-GB"/>
        </w:rPr>
      </w:pPr>
      <w:r w:rsidRPr="00BF06FC">
        <w:rPr>
          <w:b/>
          <w:lang w:eastAsia="en-GB"/>
        </w:rPr>
        <w:t>Time horizon</w:t>
      </w:r>
    </w:p>
    <w:p w14:paraId="245650B7" w14:textId="77777777" w:rsidR="00814F74" w:rsidRPr="00522B70" w:rsidRDefault="00814F74" w:rsidP="009754D5">
      <w:pPr>
        <w:pStyle w:val="3-BodyText"/>
      </w:pPr>
      <w:r w:rsidRPr="003F72E0">
        <w:rPr>
          <w:rFonts w:cs="Times New Roman"/>
          <w:lang w:eastAsia="en-GB"/>
        </w:rPr>
        <w:t>The submission assumed time horizons of 15 years in the ITT/HV model and 20 years in the LV model, corresponding to the time points with less than 5% of patients remaining alive in the preferred Weibull extrapolation of OS</w:t>
      </w:r>
      <w:r w:rsidR="00522B70">
        <w:rPr>
          <w:rFonts w:cs="Times New Roman"/>
          <w:lang w:eastAsia="en-GB"/>
        </w:rPr>
        <w:t xml:space="preserve"> (see Figure </w:t>
      </w:r>
      <w:r w:rsidR="004F6EA0">
        <w:rPr>
          <w:rFonts w:cs="Times New Roman"/>
          <w:lang w:eastAsia="en-GB"/>
        </w:rPr>
        <w:t>2</w:t>
      </w:r>
      <w:r w:rsidR="00522B70">
        <w:rPr>
          <w:rFonts w:cs="Times New Roman"/>
          <w:lang w:eastAsia="en-GB"/>
        </w:rPr>
        <w:t>)</w:t>
      </w:r>
      <w:r w:rsidRPr="003F72E0">
        <w:rPr>
          <w:rFonts w:cs="Times New Roman"/>
          <w:lang w:eastAsia="en-GB"/>
        </w:rPr>
        <w:t xml:space="preserve">. </w:t>
      </w:r>
      <w:r w:rsidR="009754D5" w:rsidRPr="003F72E0">
        <w:rPr>
          <w:rFonts w:cs="Times New Roman"/>
          <w:lang w:eastAsia="en-GB"/>
        </w:rPr>
        <w:t xml:space="preserve">The submission argued that the Weibull function provided the most clinically plausible extrapolations and estimates at 5 years were externally valid compared to observed survival in the docetaxel trials (STAMPEDE, GETUG-AUF15 and CHAARTED). The same argument would also apply to other extrapolations such as the </w:t>
      </w:r>
      <w:proofErr w:type="spellStart"/>
      <w:r w:rsidR="009754D5" w:rsidRPr="003F72E0">
        <w:rPr>
          <w:rFonts w:cs="Times New Roman"/>
          <w:lang w:eastAsia="en-GB"/>
        </w:rPr>
        <w:t>Gompertz</w:t>
      </w:r>
      <w:proofErr w:type="spellEnd"/>
      <w:r w:rsidR="009754D5" w:rsidRPr="003F72E0">
        <w:rPr>
          <w:rFonts w:cs="Times New Roman"/>
          <w:lang w:eastAsia="en-GB"/>
        </w:rPr>
        <w:t xml:space="preserve"> function, which provided similar survival estimates at 5 years. </w:t>
      </w:r>
      <w:r w:rsidR="009754D5" w:rsidRPr="003F72E0">
        <w:t xml:space="preserve">Overall, it was unclear whether any of the simple parametric functions would adequately capture the expected survival of </w:t>
      </w:r>
      <w:proofErr w:type="spellStart"/>
      <w:r w:rsidR="009754D5" w:rsidRPr="003F72E0">
        <w:t>mHSPC</w:t>
      </w:r>
      <w:proofErr w:type="spellEnd"/>
      <w:r w:rsidR="009754D5" w:rsidRPr="003F72E0">
        <w:t xml:space="preserve"> given the many subsequent lines of treatment.</w:t>
      </w:r>
      <w:r w:rsidR="00F25901" w:rsidRPr="003F72E0">
        <w:rPr>
          <w:rFonts w:cs="Times New Roman"/>
          <w:lang w:eastAsia="en-GB"/>
        </w:rPr>
        <w:t xml:space="preserve"> </w:t>
      </w:r>
    </w:p>
    <w:p w14:paraId="1E635353" w14:textId="77777777" w:rsidR="00254457" w:rsidRPr="00254457" w:rsidRDefault="00254457" w:rsidP="00254457">
      <w:pPr>
        <w:pStyle w:val="TableHeadingRow"/>
        <w:rPr>
          <w:rFonts w:ascii="Arial Narrow" w:hAnsi="Arial Narrow"/>
        </w:rPr>
      </w:pPr>
      <w:r w:rsidRPr="00254457">
        <w:rPr>
          <w:rFonts w:ascii="Arial Narrow" w:hAnsi="Arial Narrow"/>
        </w:rPr>
        <w:lastRenderedPageBreak/>
        <w:t xml:space="preserve">Figure </w:t>
      </w:r>
      <w:r w:rsidR="004F6EA0">
        <w:rPr>
          <w:rFonts w:ascii="Arial Narrow" w:hAnsi="Arial Narrow"/>
        </w:rPr>
        <w:t>2</w:t>
      </w:r>
      <w:r w:rsidRPr="00254457">
        <w:rPr>
          <w:rFonts w:ascii="Arial Narrow" w:hAnsi="Arial Narrow"/>
        </w:rPr>
        <w:t xml:space="preserve">: Parametric extrapolations of OS data in TITAN (Top: APA-treated patients; Bottom: PBO-treated patients) </w:t>
      </w:r>
    </w:p>
    <w:tbl>
      <w:tblPr>
        <w:tblW w:w="5000" w:type="pct"/>
        <w:tblLook w:val="04A0" w:firstRow="1" w:lastRow="0" w:firstColumn="1" w:lastColumn="0" w:noHBand="0" w:noVBand="1"/>
      </w:tblPr>
      <w:tblGrid>
        <w:gridCol w:w="4543"/>
        <w:gridCol w:w="4484"/>
      </w:tblGrid>
      <w:tr w:rsidR="00254457" w14:paraId="03377318" w14:textId="77777777" w:rsidTr="00254457">
        <w:tc>
          <w:tcPr>
            <w:tcW w:w="2500" w:type="pct"/>
            <w:vAlign w:val="center"/>
            <w:hideMark/>
          </w:tcPr>
          <w:p w14:paraId="63805EA2" w14:textId="77777777" w:rsidR="00254457" w:rsidRDefault="00254457">
            <w:pPr>
              <w:jc w:val="left"/>
              <w:rPr>
                <w:rFonts w:ascii="Arial Narrow" w:hAnsi="Arial Narrow" w:cs="Times New Roman"/>
                <w:b/>
                <w:bCs/>
                <w:sz w:val="20"/>
                <w:szCs w:val="20"/>
                <w:lang w:eastAsia="en-GB"/>
              </w:rPr>
            </w:pPr>
            <w:r>
              <w:rPr>
                <w:rFonts w:ascii="Arial Narrow" w:hAnsi="Arial Narrow" w:cs="Times New Roman"/>
                <w:b/>
                <w:bCs/>
                <w:sz w:val="20"/>
                <w:szCs w:val="20"/>
                <w:lang w:eastAsia="en-GB"/>
              </w:rPr>
              <w:t>[A] LV model (20 years)</w:t>
            </w:r>
          </w:p>
        </w:tc>
        <w:tc>
          <w:tcPr>
            <w:tcW w:w="2500" w:type="pct"/>
            <w:hideMark/>
          </w:tcPr>
          <w:p w14:paraId="4EBB51A1" w14:textId="77777777" w:rsidR="00254457" w:rsidRDefault="00254457">
            <w:pPr>
              <w:rPr>
                <w:rFonts w:ascii="Arial Narrow" w:hAnsi="Arial Narrow"/>
                <w:b/>
                <w:bCs/>
                <w:sz w:val="20"/>
                <w:szCs w:val="20"/>
                <w:lang w:eastAsia="zh-CN"/>
              </w:rPr>
            </w:pPr>
            <w:r>
              <w:rPr>
                <w:rFonts w:ascii="Arial Narrow" w:hAnsi="Arial Narrow"/>
                <w:b/>
                <w:bCs/>
                <w:sz w:val="20"/>
                <w:szCs w:val="20"/>
                <w:lang w:eastAsia="zh-CN"/>
              </w:rPr>
              <w:t>[B] ITT/HV model (15 years)</w:t>
            </w:r>
          </w:p>
        </w:tc>
      </w:tr>
      <w:tr w:rsidR="00254457" w14:paraId="4F052712" w14:textId="77777777" w:rsidTr="00254457">
        <w:tc>
          <w:tcPr>
            <w:tcW w:w="2500" w:type="pct"/>
            <w:vAlign w:val="center"/>
            <w:hideMark/>
          </w:tcPr>
          <w:p w14:paraId="01471EE3" w14:textId="77777777" w:rsidR="00254457" w:rsidRDefault="00254457">
            <w:pPr>
              <w:jc w:val="left"/>
              <w:rPr>
                <w:rFonts w:cs="Times New Roman"/>
                <w:lang w:eastAsia="en-GB"/>
              </w:rPr>
            </w:pPr>
            <w:r>
              <w:rPr>
                <w:noProof/>
              </w:rPr>
              <w:drawing>
                <wp:inline distT="0" distB="0" distL="0" distR="0" wp14:anchorId="351812F9" wp14:editId="779C9FEA">
                  <wp:extent cx="2819400" cy="2076450"/>
                  <wp:effectExtent l="0" t="0" r="0" b="0"/>
                  <wp:docPr id="8" name="Picture 8" title="Figure 2: Parametric extrapolations of OS data in TITAN (Top: APA-treated patients; Bottom: PBO-treated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400" cy="2076450"/>
                          </a:xfrm>
                          <a:prstGeom prst="rect">
                            <a:avLst/>
                          </a:prstGeom>
                          <a:noFill/>
                          <a:ln>
                            <a:noFill/>
                          </a:ln>
                        </pic:spPr>
                      </pic:pic>
                    </a:graphicData>
                  </a:graphic>
                </wp:inline>
              </w:drawing>
            </w:r>
          </w:p>
        </w:tc>
        <w:tc>
          <w:tcPr>
            <w:tcW w:w="2500" w:type="pct"/>
            <w:hideMark/>
          </w:tcPr>
          <w:p w14:paraId="2078A2AA" w14:textId="77777777" w:rsidR="00254457" w:rsidRDefault="00254457">
            <w:pPr>
              <w:rPr>
                <w:lang w:eastAsia="zh-CN"/>
              </w:rPr>
            </w:pPr>
            <w:r>
              <w:rPr>
                <w:noProof/>
              </w:rPr>
              <w:drawing>
                <wp:inline distT="0" distB="0" distL="0" distR="0" wp14:anchorId="4EAFBC75" wp14:editId="46DDB66F">
                  <wp:extent cx="2790825" cy="2095500"/>
                  <wp:effectExtent l="0" t="0" r="9525" b="0"/>
                  <wp:docPr id="7" name="Picture 7" title="Figure 2: Parametric extrapolations of OS data in TITAN (Top: APA-treated patients; Bottom: PBO-treated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0825" cy="2095500"/>
                          </a:xfrm>
                          <a:prstGeom prst="rect">
                            <a:avLst/>
                          </a:prstGeom>
                          <a:noFill/>
                          <a:ln>
                            <a:noFill/>
                          </a:ln>
                        </pic:spPr>
                      </pic:pic>
                    </a:graphicData>
                  </a:graphic>
                </wp:inline>
              </w:drawing>
            </w:r>
          </w:p>
        </w:tc>
      </w:tr>
      <w:tr w:rsidR="00254457" w14:paraId="72F67EED" w14:textId="77777777" w:rsidTr="00254457">
        <w:tc>
          <w:tcPr>
            <w:tcW w:w="2500" w:type="pct"/>
            <w:vAlign w:val="center"/>
            <w:hideMark/>
          </w:tcPr>
          <w:p w14:paraId="13B8CA00" w14:textId="77777777" w:rsidR="00254457" w:rsidRDefault="00254457">
            <w:pPr>
              <w:jc w:val="left"/>
              <w:rPr>
                <w:rFonts w:cs="Times New Roman"/>
                <w:lang w:eastAsia="en-GB"/>
              </w:rPr>
            </w:pPr>
            <w:r>
              <w:rPr>
                <w:noProof/>
              </w:rPr>
              <w:drawing>
                <wp:inline distT="0" distB="0" distL="0" distR="0" wp14:anchorId="42ACA9AC" wp14:editId="74F61428">
                  <wp:extent cx="2838450" cy="1962150"/>
                  <wp:effectExtent l="0" t="0" r="0" b="0"/>
                  <wp:docPr id="6" name="Picture 6" title="Figure 2: Parametric extrapolations of OS data in TITAN (Top: APA-treated patients; Bottom: PBO-treated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1962150"/>
                          </a:xfrm>
                          <a:prstGeom prst="rect">
                            <a:avLst/>
                          </a:prstGeom>
                          <a:noFill/>
                          <a:ln>
                            <a:noFill/>
                          </a:ln>
                        </pic:spPr>
                      </pic:pic>
                    </a:graphicData>
                  </a:graphic>
                </wp:inline>
              </w:drawing>
            </w:r>
          </w:p>
        </w:tc>
        <w:tc>
          <w:tcPr>
            <w:tcW w:w="2500" w:type="pct"/>
            <w:hideMark/>
          </w:tcPr>
          <w:p w14:paraId="332A25BC" w14:textId="77777777" w:rsidR="00254457" w:rsidRDefault="00254457">
            <w:pPr>
              <w:rPr>
                <w:lang w:eastAsia="zh-CN"/>
              </w:rPr>
            </w:pPr>
            <w:r>
              <w:rPr>
                <w:noProof/>
              </w:rPr>
              <w:drawing>
                <wp:inline distT="0" distB="0" distL="0" distR="0" wp14:anchorId="1F703938" wp14:editId="2F4FE865">
                  <wp:extent cx="2771775" cy="1962150"/>
                  <wp:effectExtent l="0" t="0" r="9525" b="0"/>
                  <wp:docPr id="5" name="Picture 5" title="Figure 2: Parametric extrapolations of OS data in TITAN (Top: APA-treated patients; Bottom: PBO-treated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1775" cy="1962150"/>
                          </a:xfrm>
                          <a:prstGeom prst="rect">
                            <a:avLst/>
                          </a:prstGeom>
                          <a:noFill/>
                          <a:ln>
                            <a:noFill/>
                          </a:ln>
                        </pic:spPr>
                      </pic:pic>
                    </a:graphicData>
                  </a:graphic>
                </wp:inline>
              </w:drawing>
            </w:r>
          </w:p>
        </w:tc>
      </w:tr>
    </w:tbl>
    <w:p w14:paraId="75703DEF" w14:textId="77777777" w:rsidR="00254457" w:rsidRDefault="00254457" w:rsidP="00254457">
      <w:pPr>
        <w:pStyle w:val="TableFooter"/>
        <w:rPr>
          <w:lang w:eastAsia="en-GB"/>
        </w:rPr>
      </w:pPr>
      <w:r>
        <w:rPr>
          <w:lang w:eastAsia="en-GB"/>
        </w:rPr>
        <w:t>Abbreviations: APA = apalutamide; KM = Kaplan Meier; OS = overall survival; PBO = placebo.</w:t>
      </w:r>
    </w:p>
    <w:p w14:paraId="6E04F321" w14:textId="77777777" w:rsidR="00254457" w:rsidRDefault="00254457" w:rsidP="00254457">
      <w:pPr>
        <w:pStyle w:val="TableFooter"/>
        <w:rPr>
          <w:lang w:eastAsia="en-GB"/>
        </w:rPr>
      </w:pPr>
      <w:r>
        <w:rPr>
          <w:lang w:eastAsia="en-GB"/>
        </w:rPr>
        <w:t>Source: Figures 3-12c and 3-13d, p164-165 of the submission</w:t>
      </w:r>
    </w:p>
    <w:p w14:paraId="4EF03C30" w14:textId="77777777" w:rsidR="004F6EA0" w:rsidRDefault="004F6EA0" w:rsidP="004F6EA0">
      <w:pPr>
        <w:rPr>
          <w:lang w:eastAsia="en-GB"/>
        </w:rPr>
      </w:pPr>
    </w:p>
    <w:p w14:paraId="7141D95F" w14:textId="77777777" w:rsidR="00814F74" w:rsidRPr="00FE58E8" w:rsidRDefault="008831FC" w:rsidP="00814F74">
      <w:pPr>
        <w:pStyle w:val="3-BodyText"/>
        <w:rPr>
          <w:rFonts w:cs="Times New Roman"/>
          <w:lang w:eastAsia="en-GB"/>
        </w:rPr>
      </w:pPr>
      <w:r w:rsidRPr="00FE58E8">
        <w:rPr>
          <w:rFonts w:cs="Times New Roman"/>
          <w:lang w:eastAsia="en-GB"/>
        </w:rPr>
        <w:t>Given the uncertainty around the longer-term predictions (see paragraph 6.2</w:t>
      </w:r>
      <w:r w:rsidR="00C50FFD">
        <w:rPr>
          <w:rFonts w:cs="Times New Roman"/>
          <w:lang w:eastAsia="en-GB"/>
        </w:rPr>
        <w:t>8</w:t>
      </w:r>
      <w:r w:rsidRPr="00FE58E8">
        <w:rPr>
          <w:rFonts w:cs="Times New Roman"/>
          <w:lang w:eastAsia="en-GB"/>
        </w:rPr>
        <w:t xml:space="preserve">), a shorter time horizon may be </w:t>
      </w:r>
      <w:r w:rsidR="004875A2" w:rsidRPr="00FE58E8">
        <w:rPr>
          <w:rFonts w:cs="Times New Roman"/>
          <w:lang w:eastAsia="en-GB"/>
        </w:rPr>
        <w:t>appropriate</w:t>
      </w:r>
      <w:r w:rsidRPr="00FE58E8">
        <w:rPr>
          <w:rFonts w:cs="Times New Roman"/>
          <w:lang w:eastAsia="en-GB"/>
        </w:rPr>
        <w:t xml:space="preserve"> for the modelling a population of older patients (median age in Australia reported as 74 years by the submission) with advanced cancer. </w:t>
      </w:r>
      <w:r w:rsidR="00814F74" w:rsidRPr="00FE58E8">
        <w:rPr>
          <w:rFonts w:cs="Times New Roman"/>
          <w:lang w:eastAsia="en-GB"/>
        </w:rPr>
        <w:t xml:space="preserve">The PBAC recently considered that a 10-year time horizon was appropriate for patients with m0CRPC (Table 2, apalutamide </w:t>
      </w:r>
      <w:r w:rsidR="00792F02">
        <w:rPr>
          <w:rFonts w:cs="Times New Roman"/>
          <w:lang w:eastAsia="en-GB"/>
        </w:rPr>
        <w:t>Public Summary Document (</w:t>
      </w:r>
      <w:r w:rsidR="00814F74" w:rsidRPr="00FE58E8">
        <w:rPr>
          <w:rFonts w:cs="Times New Roman"/>
          <w:lang w:eastAsia="en-GB"/>
        </w:rPr>
        <w:t>PSD</w:t>
      </w:r>
      <w:r w:rsidR="00792F02">
        <w:rPr>
          <w:rFonts w:cs="Times New Roman"/>
          <w:lang w:eastAsia="en-GB"/>
        </w:rPr>
        <w:t>)</w:t>
      </w:r>
      <w:r w:rsidR="00814F74" w:rsidRPr="00FE58E8">
        <w:rPr>
          <w:rFonts w:cs="Times New Roman"/>
          <w:lang w:eastAsia="en-GB"/>
        </w:rPr>
        <w:t xml:space="preserve">, November 2020; paragraph 7.12, </w:t>
      </w:r>
      <w:proofErr w:type="spellStart"/>
      <w:r w:rsidR="00814F74" w:rsidRPr="00FE58E8">
        <w:rPr>
          <w:rFonts w:cs="Times New Roman"/>
          <w:lang w:eastAsia="en-GB"/>
        </w:rPr>
        <w:t>darolutamide</w:t>
      </w:r>
      <w:proofErr w:type="spellEnd"/>
      <w:r w:rsidR="00814F74" w:rsidRPr="00FE58E8">
        <w:rPr>
          <w:rFonts w:cs="Times New Roman"/>
          <w:lang w:eastAsia="en-GB"/>
        </w:rPr>
        <w:t xml:space="preserve">, PSD, July 2020). Given the similar time to progression to </w:t>
      </w:r>
      <w:proofErr w:type="spellStart"/>
      <w:r w:rsidR="00814F74" w:rsidRPr="00FE58E8">
        <w:rPr>
          <w:rFonts w:cs="Times New Roman"/>
          <w:lang w:eastAsia="en-GB"/>
        </w:rPr>
        <w:t>mCPRC</w:t>
      </w:r>
      <w:proofErr w:type="spellEnd"/>
      <w:r w:rsidR="00814F74" w:rsidRPr="00FE58E8">
        <w:rPr>
          <w:rFonts w:cs="Times New Roman"/>
          <w:lang w:eastAsia="en-GB"/>
        </w:rPr>
        <w:t xml:space="preserve"> on apalutamide for </w:t>
      </w:r>
      <w:proofErr w:type="spellStart"/>
      <w:r w:rsidR="00814F74" w:rsidRPr="00FE58E8">
        <w:rPr>
          <w:rFonts w:cs="Times New Roman"/>
          <w:lang w:eastAsia="en-GB"/>
        </w:rPr>
        <w:t>mHSPC</w:t>
      </w:r>
      <w:proofErr w:type="spellEnd"/>
      <w:r w:rsidR="00814F74" w:rsidRPr="00FE58E8">
        <w:rPr>
          <w:rFonts w:cs="Times New Roman"/>
          <w:lang w:eastAsia="en-GB"/>
        </w:rPr>
        <w:t xml:space="preserve"> (median progression free survival of 3.2 years</w:t>
      </w:r>
      <w:r w:rsidR="00814F74" w:rsidRPr="00FE58E8">
        <w:rPr>
          <w:rFonts w:cs="Times New Roman"/>
          <w:vertAlign w:val="superscript"/>
          <w:lang w:eastAsia="en-GB"/>
        </w:rPr>
        <w:footnoteReference w:id="15"/>
      </w:r>
      <w:r w:rsidR="00814F74" w:rsidRPr="00FE58E8">
        <w:rPr>
          <w:rFonts w:cs="Times New Roman"/>
          <w:lang w:eastAsia="en-GB"/>
        </w:rPr>
        <w:t>) and m0CRPC (median metastasis-free survival of 3.4 years</w:t>
      </w:r>
      <w:r w:rsidR="00814F74" w:rsidRPr="00FE58E8">
        <w:rPr>
          <w:rFonts w:cs="Times New Roman"/>
          <w:vertAlign w:val="superscript"/>
          <w:lang w:eastAsia="en-GB"/>
        </w:rPr>
        <w:footnoteReference w:id="16"/>
      </w:r>
      <w:r w:rsidR="00814F74" w:rsidRPr="00FE58E8">
        <w:rPr>
          <w:rFonts w:cs="Times New Roman"/>
          <w:lang w:eastAsia="en-GB"/>
        </w:rPr>
        <w:t xml:space="preserve">), and similar expected survival thereafter, </w:t>
      </w:r>
      <w:r w:rsidR="00250232" w:rsidRPr="00FE58E8">
        <w:rPr>
          <w:rFonts w:cs="Times New Roman"/>
          <w:lang w:eastAsia="en-GB"/>
        </w:rPr>
        <w:t xml:space="preserve">the ESC considered that </w:t>
      </w:r>
      <w:r w:rsidR="00E832A4" w:rsidRPr="00FE58E8">
        <w:rPr>
          <w:rFonts w:cs="Times New Roman"/>
          <w:lang w:eastAsia="en-GB"/>
        </w:rPr>
        <w:t xml:space="preserve">shorter time horizons of </w:t>
      </w:r>
      <w:r w:rsidR="00814F74" w:rsidRPr="00FE58E8">
        <w:rPr>
          <w:rFonts w:cs="Times New Roman"/>
          <w:lang w:eastAsia="en-GB"/>
        </w:rPr>
        <w:t>10-year</w:t>
      </w:r>
      <w:r w:rsidR="00E832A4" w:rsidRPr="00FE58E8">
        <w:rPr>
          <w:rFonts w:cs="Times New Roman"/>
          <w:lang w:eastAsia="en-GB"/>
        </w:rPr>
        <w:t xml:space="preserve">s for the LV model and 5 years for the ITT/HV model would be preferred as the populations were elderly men (median age = 74 years) with </w:t>
      </w:r>
      <w:r w:rsidR="00E832A4" w:rsidRPr="00FE58E8">
        <w:rPr>
          <w:rFonts w:cs="Times New Roman"/>
          <w:lang w:eastAsia="en-GB"/>
        </w:rPr>
        <w:lastRenderedPageBreak/>
        <w:t>metastatic cancer and competing causes of mortality, particularly those in the ITT/HV model who had</w:t>
      </w:r>
      <w:r w:rsidR="00814F74" w:rsidRPr="00FE58E8">
        <w:rPr>
          <w:rFonts w:cs="Times New Roman"/>
          <w:lang w:eastAsia="en-GB"/>
        </w:rPr>
        <w:t xml:space="preserve"> </w:t>
      </w:r>
      <w:r w:rsidR="00250232" w:rsidRPr="00FE58E8">
        <w:rPr>
          <w:rFonts w:cs="Times New Roman"/>
          <w:lang w:eastAsia="en-GB"/>
        </w:rPr>
        <w:t>severe comorbidities which made them unsuitable for chemotherapy</w:t>
      </w:r>
      <w:r w:rsidR="00814F74" w:rsidRPr="00FE58E8">
        <w:rPr>
          <w:rFonts w:cs="Times New Roman"/>
          <w:lang w:eastAsia="en-GB"/>
        </w:rPr>
        <w:t>.</w:t>
      </w:r>
      <w:r w:rsidR="00250232" w:rsidRPr="00FE58E8">
        <w:rPr>
          <w:rFonts w:cs="Times New Roman"/>
          <w:lang w:eastAsia="en-GB"/>
        </w:rPr>
        <w:t xml:space="preserve"> The ESC also considered the Weibull extrapolations were highly optimistic. The ESC advised that the </w:t>
      </w:r>
      <w:proofErr w:type="spellStart"/>
      <w:r w:rsidR="00250232" w:rsidRPr="00FE58E8">
        <w:rPr>
          <w:rFonts w:cs="Times New Roman"/>
          <w:lang w:eastAsia="en-GB"/>
        </w:rPr>
        <w:t>Gompertz</w:t>
      </w:r>
      <w:proofErr w:type="spellEnd"/>
      <w:r w:rsidR="00250232" w:rsidRPr="00FE58E8">
        <w:rPr>
          <w:rFonts w:cs="Times New Roman"/>
          <w:lang w:eastAsia="en-GB"/>
        </w:rPr>
        <w:t xml:space="preserve"> model resulted in more clinically plausible outcomes.</w:t>
      </w:r>
    </w:p>
    <w:p w14:paraId="063D0CD9" w14:textId="77777777" w:rsidR="00814F74" w:rsidRPr="00BF06FC" w:rsidRDefault="00814F74" w:rsidP="00814F74">
      <w:pPr>
        <w:pStyle w:val="3-BodyText"/>
        <w:numPr>
          <w:ilvl w:val="0"/>
          <w:numId w:val="0"/>
        </w:numPr>
        <w:rPr>
          <w:b/>
          <w:lang w:eastAsia="en-GB"/>
        </w:rPr>
      </w:pPr>
      <w:r w:rsidRPr="00BF06FC">
        <w:rPr>
          <w:b/>
          <w:lang w:eastAsia="en-GB"/>
        </w:rPr>
        <w:t>Subsequent therapy</w:t>
      </w:r>
    </w:p>
    <w:p w14:paraId="6F2293B5" w14:textId="77777777" w:rsidR="00814F74" w:rsidRPr="00FE58E8" w:rsidRDefault="00814F74" w:rsidP="00814F74">
      <w:pPr>
        <w:pStyle w:val="3-BodyText"/>
      </w:pPr>
      <w:r w:rsidRPr="00FE58E8">
        <w:t xml:space="preserve">The model appropriately assumed patients treated with apalutamide for </w:t>
      </w:r>
      <w:proofErr w:type="spellStart"/>
      <w:r w:rsidRPr="00FE58E8">
        <w:t>mHSPC</w:t>
      </w:r>
      <w:proofErr w:type="spellEnd"/>
      <w:r w:rsidRPr="00FE58E8">
        <w:t xml:space="preserve"> would not receive another NHA (abiraterone or enzalutamide) for </w:t>
      </w:r>
      <w:proofErr w:type="spellStart"/>
      <w:r w:rsidRPr="00FE58E8">
        <w:t>mCRPC</w:t>
      </w:r>
      <w:proofErr w:type="spellEnd"/>
      <w:r w:rsidRPr="00FE58E8">
        <w:t xml:space="preserve">, in line with the requested PBS restriction. For patients treated with placebo for </w:t>
      </w:r>
      <w:proofErr w:type="spellStart"/>
      <w:r w:rsidRPr="00FE58E8">
        <w:t>mHSPC</w:t>
      </w:r>
      <w:proofErr w:type="spellEnd"/>
      <w:r w:rsidRPr="00FE58E8">
        <w:t xml:space="preserve">, the model assumed </w:t>
      </w:r>
      <w:r w:rsidR="00357284" w:rsidRPr="00FE58E8">
        <w:t xml:space="preserve">that 100% of patients would receive </w:t>
      </w:r>
      <w:r w:rsidRPr="00FE58E8">
        <w:t xml:space="preserve">an average duration of 15 months of NHA </w:t>
      </w:r>
      <w:r w:rsidR="006B0B89" w:rsidRPr="00FE58E8">
        <w:t xml:space="preserve">treatment </w:t>
      </w:r>
      <w:r w:rsidRPr="00FE58E8">
        <w:t xml:space="preserve">for </w:t>
      </w:r>
      <w:proofErr w:type="spellStart"/>
      <w:r w:rsidRPr="00FE58E8">
        <w:t>mCRPC</w:t>
      </w:r>
      <w:proofErr w:type="spellEnd"/>
      <w:r w:rsidRPr="00FE58E8">
        <w:t xml:space="preserve">. The submission stated that the average of 15 months was </w:t>
      </w:r>
      <w:r w:rsidR="006B0B89" w:rsidRPr="00FE58E8">
        <w:t xml:space="preserve">derived </w:t>
      </w:r>
      <w:r w:rsidRPr="00FE58E8">
        <w:t>from a</w:t>
      </w:r>
      <w:r w:rsidR="002E3DB6" w:rsidRPr="00FE58E8">
        <w:t xml:space="preserve"> PBS 10% sample</w:t>
      </w:r>
      <w:r w:rsidRPr="00FE58E8">
        <w:t xml:space="preserve"> analysis of 20,720 patients initiated on abiraterone or enzalutamide between January 2010 and February 2021, but provided no further detail of the analysis</w:t>
      </w:r>
      <w:r w:rsidR="006B0B89" w:rsidRPr="00FE58E8">
        <w:t xml:space="preserve">, </w:t>
      </w:r>
      <w:proofErr w:type="gramStart"/>
      <w:r w:rsidR="006B0B89" w:rsidRPr="00FE58E8">
        <w:t>e.g.</w:t>
      </w:r>
      <w:proofErr w:type="gramEnd"/>
      <w:r w:rsidRPr="00FE58E8">
        <w:t xml:space="preserve"> whether the 15 months took into account breaks in treatment, or compliance. It </w:t>
      </w:r>
      <w:r w:rsidR="006B0B89" w:rsidRPr="00FE58E8">
        <w:t>wa</w:t>
      </w:r>
      <w:r w:rsidRPr="00FE58E8">
        <w:t xml:space="preserve">s noted that 15 months (~15 packs) </w:t>
      </w:r>
      <w:r w:rsidR="006B0B89" w:rsidRPr="00FE58E8">
        <w:t xml:space="preserve">of </w:t>
      </w:r>
      <w:r w:rsidRPr="00FE58E8">
        <w:t>NHA</w:t>
      </w:r>
      <w:r w:rsidR="006B0B89" w:rsidRPr="00FE58E8">
        <w:t xml:space="preserve"> treatment</w:t>
      </w:r>
      <w:r w:rsidRPr="00FE58E8">
        <w:t xml:space="preserve"> for </w:t>
      </w:r>
      <w:proofErr w:type="spellStart"/>
      <w:r w:rsidRPr="00FE58E8">
        <w:t>mCRPC</w:t>
      </w:r>
      <w:proofErr w:type="spellEnd"/>
      <w:r w:rsidRPr="00FE58E8">
        <w:t xml:space="preserve"> </w:t>
      </w:r>
      <w:r w:rsidR="006B0B89" w:rsidRPr="00FE58E8">
        <w:t>wa</w:t>
      </w:r>
      <w:r w:rsidRPr="00FE58E8">
        <w:t>s considerably longer than the 0.76 years (or 9.1 months) estimated by DUSC in June 2016</w:t>
      </w:r>
      <w:r w:rsidRPr="00FE58E8">
        <w:rPr>
          <w:rStyle w:val="FootnoteReference"/>
        </w:rPr>
        <w:footnoteReference w:id="17"/>
      </w:r>
      <w:r w:rsidRPr="00FE58E8">
        <w:t xml:space="preserve"> or the mean 8.9 packs of abiraterone estimated by </w:t>
      </w:r>
      <w:proofErr w:type="spellStart"/>
      <w:r w:rsidRPr="00FE58E8">
        <w:t>Ghijben</w:t>
      </w:r>
      <w:proofErr w:type="spellEnd"/>
      <w:r w:rsidRPr="00FE58E8">
        <w:t xml:space="preserve"> et al 2021 (using 2013 to 2015 data)</w:t>
      </w:r>
      <w:r w:rsidRPr="00FE58E8">
        <w:rPr>
          <w:rStyle w:val="FootnoteReference"/>
        </w:rPr>
        <w:footnoteReference w:id="18"/>
      </w:r>
      <w:r w:rsidRPr="00FE58E8">
        <w:t>.</w:t>
      </w:r>
      <w:r w:rsidR="005C25B2" w:rsidRPr="00FE58E8">
        <w:t xml:space="preserve"> </w:t>
      </w:r>
      <w:r w:rsidR="00FA3B6D" w:rsidRPr="00FE58E8">
        <w:t xml:space="preserve">The PSCR stated that both the 2016 DUSC review and the analysis by </w:t>
      </w:r>
      <w:proofErr w:type="spellStart"/>
      <w:r w:rsidR="00FA3B6D" w:rsidRPr="00FE58E8">
        <w:t>Ghijben</w:t>
      </w:r>
      <w:proofErr w:type="spellEnd"/>
      <w:r w:rsidR="00FA3B6D" w:rsidRPr="00FE58E8">
        <w:t xml:space="preserve"> 2021 substantially underestimated the current utilisation of abiraterone and enzalutamide in the </w:t>
      </w:r>
      <w:proofErr w:type="spellStart"/>
      <w:r w:rsidR="00FA3B6D" w:rsidRPr="00FE58E8">
        <w:t>mCRPC</w:t>
      </w:r>
      <w:proofErr w:type="spellEnd"/>
      <w:r w:rsidR="00FA3B6D" w:rsidRPr="00FE58E8">
        <w:t xml:space="preserve"> setting. The PSCR argued that using 1-2 years of utilisation data meant that most patients would still be on treatment at the data cut-offs of these analyses and stated that the average utilisation of abiraterone and enzalutamide had increased over time. The PSCR further noted that the PBAC recommendation to remove the requirement for prior docetaxel in the </w:t>
      </w:r>
      <w:proofErr w:type="spellStart"/>
      <w:r w:rsidR="00FA3B6D" w:rsidRPr="00FE58E8">
        <w:t>mCRPC</w:t>
      </w:r>
      <w:proofErr w:type="spellEnd"/>
      <w:r w:rsidR="00FA3B6D" w:rsidRPr="00FE58E8">
        <w:t xml:space="preserve"> setting in March 2021 would further increase their duration of therapy</w:t>
      </w:r>
      <w:r w:rsidR="000C0C3B" w:rsidRPr="00FE58E8">
        <w:t xml:space="preserve"> </w:t>
      </w:r>
      <w:r w:rsidR="000C0C3B" w:rsidRPr="00FE58E8">
        <w:rPr>
          <w:bCs/>
        </w:rPr>
        <w:t xml:space="preserve">in </w:t>
      </w:r>
      <w:proofErr w:type="spellStart"/>
      <w:r w:rsidR="000C0C3B" w:rsidRPr="00FE58E8">
        <w:rPr>
          <w:bCs/>
        </w:rPr>
        <w:t>mCRPC</w:t>
      </w:r>
      <w:proofErr w:type="spellEnd"/>
      <w:r w:rsidR="00FA3B6D" w:rsidRPr="00FE58E8">
        <w:t xml:space="preserve">. </w:t>
      </w:r>
      <w:r w:rsidR="005C25B2" w:rsidRPr="00FE58E8">
        <w:t>The ESC noted that the use of the 10% PBS sample was inadequately described</w:t>
      </w:r>
      <w:r w:rsidR="006234C1" w:rsidRPr="00FE58E8">
        <w:t>. The ESC also noted that in the apalutamide model for m0CRPC</w:t>
      </w:r>
      <w:r w:rsidR="00796B47" w:rsidRPr="00FE58E8">
        <w:t xml:space="preserve"> (November 2018 submission)</w:t>
      </w:r>
      <w:r w:rsidR="006234C1" w:rsidRPr="00FE58E8">
        <w:t xml:space="preserve">, a 10% PBS sample found that patients received 12.4 months of abiraterone or enzalutamide therapy in the </w:t>
      </w:r>
      <w:proofErr w:type="spellStart"/>
      <w:r w:rsidR="006234C1" w:rsidRPr="00FE58E8">
        <w:t>mCRPC</w:t>
      </w:r>
      <w:proofErr w:type="spellEnd"/>
      <w:r w:rsidR="006234C1" w:rsidRPr="00FE58E8">
        <w:t xml:space="preserve"> setting. The ESC noted </w:t>
      </w:r>
      <w:r w:rsidR="00794D9A" w:rsidRPr="00FE58E8">
        <w:t>the effects of altering this value</w:t>
      </w:r>
      <w:r w:rsidR="00357284" w:rsidRPr="00FE58E8">
        <w:t xml:space="preserve"> and the proportion of patients receiving an NHA in the </w:t>
      </w:r>
      <w:proofErr w:type="spellStart"/>
      <w:r w:rsidR="00357284" w:rsidRPr="00FE58E8">
        <w:t>mCRPC</w:t>
      </w:r>
      <w:proofErr w:type="spellEnd"/>
      <w:r w:rsidR="00357284" w:rsidRPr="00FE58E8">
        <w:t xml:space="preserve"> setting</w:t>
      </w:r>
      <w:r w:rsidR="00794D9A" w:rsidRPr="00FE58E8">
        <w:t xml:space="preserve"> in the sensitivity analyses.</w:t>
      </w:r>
    </w:p>
    <w:p w14:paraId="1C896D68" w14:textId="77777777" w:rsidR="00814F74" w:rsidRPr="00FE58E8" w:rsidRDefault="00814F74" w:rsidP="00814F74">
      <w:pPr>
        <w:pStyle w:val="3-BodyText"/>
      </w:pPr>
      <w:r w:rsidRPr="00FE58E8">
        <w:t xml:space="preserve">Figure </w:t>
      </w:r>
      <w:r w:rsidR="004F6EA0" w:rsidRPr="00FE58E8">
        <w:t>3</w:t>
      </w:r>
      <w:r w:rsidRPr="00FE58E8">
        <w:t xml:space="preserve"> presents the proportion of patients in each health state over the modelled time horizons. </w:t>
      </w:r>
      <w:r w:rsidR="005D1F57" w:rsidRPr="00FE58E8">
        <w:t>The model predicts a relatively large increase in average survival associated with moving NHA treatment forward in the treatment pathway of 18.1 months (undiscounted) in the ITT/HV model and 33.8 months (undiscounted) in the LV model, which may not be realistic.</w:t>
      </w:r>
    </w:p>
    <w:p w14:paraId="5F3702ED" w14:textId="77777777" w:rsidR="00814F74" w:rsidRPr="00BF06FC" w:rsidRDefault="00814F74" w:rsidP="006E5742">
      <w:pPr>
        <w:keepNext/>
        <w:rPr>
          <w:rFonts w:ascii="Arial Narrow" w:hAnsi="Arial Narrow" w:cs="Times New Roman"/>
          <w:b/>
          <w:sz w:val="20"/>
          <w:szCs w:val="20"/>
          <w:lang w:eastAsia="en-US"/>
        </w:rPr>
      </w:pPr>
      <w:r w:rsidRPr="00BF06FC">
        <w:rPr>
          <w:rFonts w:ascii="Arial Narrow" w:hAnsi="Arial Narrow" w:cs="Times New Roman"/>
          <w:b/>
          <w:sz w:val="20"/>
          <w:szCs w:val="20"/>
          <w:lang w:eastAsia="en-US"/>
        </w:rPr>
        <w:lastRenderedPageBreak/>
        <w:t xml:space="preserve">Figure </w:t>
      </w:r>
      <w:r w:rsidR="004F6EA0">
        <w:rPr>
          <w:rFonts w:ascii="Arial Narrow" w:hAnsi="Arial Narrow" w:cs="Times New Roman"/>
          <w:b/>
          <w:sz w:val="20"/>
          <w:szCs w:val="20"/>
          <w:lang w:eastAsia="en-US"/>
        </w:rPr>
        <w:t>3</w:t>
      </w:r>
      <w:r w:rsidRPr="00BF06FC">
        <w:rPr>
          <w:rFonts w:ascii="Arial Narrow" w:hAnsi="Arial Narrow" w:cs="Times New Roman"/>
          <w:b/>
          <w:sz w:val="20"/>
          <w:szCs w:val="20"/>
          <w:lang w:eastAsia="en-US"/>
        </w:rPr>
        <w:t>: Markov traces – all health states base case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Caption w:val="Figure 3: Markov traces – all health states base case model"/>
      </w:tblPr>
      <w:tblGrid>
        <w:gridCol w:w="4369"/>
        <w:gridCol w:w="4658"/>
      </w:tblGrid>
      <w:tr w:rsidR="00814F74" w:rsidRPr="00BF06FC" w14:paraId="4561CF4C" w14:textId="77777777" w:rsidTr="00422AEB">
        <w:trPr>
          <w:tblHeader/>
        </w:trPr>
        <w:tc>
          <w:tcPr>
            <w:tcW w:w="4513" w:type="dxa"/>
          </w:tcPr>
          <w:p w14:paraId="5C781743" w14:textId="77777777" w:rsidR="00814F74" w:rsidRPr="00BF06FC" w:rsidRDefault="00814F74" w:rsidP="00DF5EF9">
            <w:pPr>
              <w:pStyle w:val="3-BodyText"/>
              <w:keepNext/>
              <w:numPr>
                <w:ilvl w:val="0"/>
                <w:numId w:val="0"/>
              </w:numPr>
              <w:spacing w:after="0"/>
              <w:rPr>
                <w:rFonts w:ascii="Arial Narrow" w:hAnsi="Arial Narrow"/>
                <w:sz w:val="20"/>
                <w:szCs w:val="20"/>
              </w:rPr>
            </w:pPr>
            <w:r w:rsidRPr="00BF06FC">
              <w:rPr>
                <w:rFonts w:ascii="Arial Narrow" w:hAnsi="Arial Narrow" w:cs="Times New Roman"/>
                <w:b/>
                <w:sz w:val="20"/>
                <w:szCs w:val="20"/>
                <w:lang w:eastAsia="en-US"/>
              </w:rPr>
              <w:t>[A] ITT/HV model</w:t>
            </w:r>
          </w:p>
        </w:tc>
        <w:tc>
          <w:tcPr>
            <w:tcW w:w="4514" w:type="dxa"/>
          </w:tcPr>
          <w:p w14:paraId="06214507" w14:textId="77777777" w:rsidR="00814F74" w:rsidRPr="00BF06FC" w:rsidRDefault="00814F74" w:rsidP="00DF5EF9">
            <w:pPr>
              <w:pStyle w:val="3-BodyText"/>
              <w:keepNext/>
              <w:numPr>
                <w:ilvl w:val="0"/>
                <w:numId w:val="0"/>
              </w:numPr>
              <w:spacing w:after="0"/>
              <w:rPr>
                <w:rFonts w:ascii="Arial Narrow" w:hAnsi="Arial Narrow"/>
                <w:sz w:val="20"/>
                <w:szCs w:val="20"/>
              </w:rPr>
            </w:pPr>
            <w:r w:rsidRPr="00BF06FC">
              <w:rPr>
                <w:rFonts w:ascii="Arial Narrow" w:hAnsi="Arial Narrow" w:cs="Times New Roman"/>
                <w:b/>
                <w:sz w:val="20"/>
                <w:szCs w:val="20"/>
                <w:lang w:eastAsia="en-US"/>
              </w:rPr>
              <w:t>[B] LV model</w:t>
            </w:r>
          </w:p>
        </w:tc>
      </w:tr>
      <w:tr w:rsidR="00814F74" w:rsidRPr="00BF06FC" w14:paraId="53A60409" w14:textId="77777777" w:rsidTr="00DF5EF9">
        <w:tc>
          <w:tcPr>
            <w:tcW w:w="4513" w:type="dxa"/>
          </w:tcPr>
          <w:p w14:paraId="545A6176" w14:textId="77777777" w:rsidR="00814F74" w:rsidRPr="00BF06FC" w:rsidRDefault="00814F74" w:rsidP="00DF5EF9">
            <w:pPr>
              <w:pStyle w:val="3-BodyText"/>
              <w:numPr>
                <w:ilvl w:val="0"/>
                <w:numId w:val="0"/>
              </w:numPr>
              <w:spacing w:after="0"/>
              <w:rPr>
                <w:rFonts w:ascii="Arial Narrow" w:hAnsi="Arial Narrow"/>
                <w:sz w:val="20"/>
                <w:szCs w:val="20"/>
              </w:rPr>
            </w:pPr>
            <w:r w:rsidRPr="00BF06FC">
              <w:rPr>
                <w:rFonts w:ascii="Arial Narrow" w:hAnsi="Arial Narrow"/>
                <w:noProof/>
                <w:sz w:val="20"/>
                <w:szCs w:val="20"/>
              </w:rPr>
              <w:drawing>
                <wp:inline distT="0" distB="0" distL="0" distR="0" wp14:anchorId="2793365F" wp14:editId="55999F85">
                  <wp:extent cx="2838450" cy="2692108"/>
                  <wp:effectExtent l="0" t="0" r="0" b="0"/>
                  <wp:docPr id="54" name="Picture 54" title="Figure 3: Markov traces – all health states base ca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5089" cy="2698405"/>
                          </a:xfrm>
                          <a:prstGeom prst="rect">
                            <a:avLst/>
                          </a:prstGeom>
                          <a:noFill/>
                        </pic:spPr>
                      </pic:pic>
                    </a:graphicData>
                  </a:graphic>
                </wp:inline>
              </w:drawing>
            </w:r>
          </w:p>
        </w:tc>
        <w:tc>
          <w:tcPr>
            <w:tcW w:w="4514" w:type="dxa"/>
          </w:tcPr>
          <w:p w14:paraId="2A59D751" w14:textId="77777777" w:rsidR="00814F74" w:rsidRPr="00BF06FC" w:rsidRDefault="006E5742" w:rsidP="00DF5EF9">
            <w:pPr>
              <w:pStyle w:val="3-BodyText"/>
              <w:numPr>
                <w:ilvl w:val="0"/>
                <w:numId w:val="0"/>
              </w:numPr>
              <w:spacing w:after="0"/>
              <w:rPr>
                <w:rFonts w:ascii="Arial Narrow" w:hAnsi="Arial Narrow"/>
                <w:sz w:val="20"/>
                <w:szCs w:val="20"/>
              </w:rPr>
            </w:pPr>
            <w:r w:rsidRPr="00BF06FC">
              <w:rPr>
                <w:rFonts w:ascii="Arial Narrow" w:hAnsi="Arial Narrow"/>
                <w:noProof/>
                <w:sz w:val="20"/>
                <w:szCs w:val="20"/>
              </w:rPr>
              <w:drawing>
                <wp:inline distT="0" distB="0" distL="0" distR="0" wp14:anchorId="01899653" wp14:editId="16589BF0">
                  <wp:extent cx="3020615" cy="2691765"/>
                  <wp:effectExtent l="0" t="0" r="8890" b="0"/>
                  <wp:docPr id="58" name="Picture 58" title="Figure 3: Markov traces – all health states base ca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3710" cy="2703435"/>
                          </a:xfrm>
                          <a:prstGeom prst="rect">
                            <a:avLst/>
                          </a:prstGeom>
                          <a:noFill/>
                        </pic:spPr>
                      </pic:pic>
                    </a:graphicData>
                  </a:graphic>
                </wp:inline>
              </w:drawing>
            </w:r>
          </w:p>
        </w:tc>
      </w:tr>
    </w:tbl>
    <w:p w14:paraId="22F59D4C" w14:textId="77777777" w:rsidR="00814F74" w:rsidRPr="003F72E0" w:rsidRDefault="00814F74" w:rsidP="00814F74">
      <w:pPr>
        <w:pStyle w:val="3-BodyText"/>
        <w:numPr>
          <w:ilvl w:val="0"/>
          <w:numId w:val="0"/>
        </w:numPr>
        <w:spacing w:after="0"/>
        <w:ind w:left="720" w:hanging="720"/>
        <w:rPr>
          <w:rFonts w:ascii="Arial Narrow" w:hAnsi="Arial Narrow" w:cs="Times New Roman"/>
          <w:iCs/>
          <w:sz w:val="18"/>
          <w:lang w:eastAsia="en-US"/>
        </w:rPr>
      </w:pPr>
      <w:r w:rsidRPr="003F72E0">
        <w:rPr>
          <w:rFonts w:ascii="Arial Narrow" w:hAnsi="Arial Narrow" w:cs="Times New Roman"/>
          <w:iCs/>
          <w:sz w:val="18"/>
          <w:lang w:eastAsia="en-US"/>
        </w:rPr>
        <w:t>APA = apalutamide; PBO =placebo.</w:t>
      </w:r>
    </w:p>
    <w:p w14:paraId="43A01FC9" w14:textId="77777777" w:rsidR="00814F74" w:rsidRPr="003F72E0" w:rsidRDefault="00814F74" w:rsidP="00814F74">
      <w:pPr>
        <w:pStyle w:val="3-BodyText"/>
        <w:numPr>
          <w:ilvl w:val="0"/>
          <w:numId w:val="0"/>
        </w:numPr>
        <w:ind w:left="720" w:hanging="720"/>
        <w:rPr>
          <w:rFonts w:ascii="Arial Narrow" w:hAnsi="Arial Narrow" w:cs="Times New Roman"/>
          <w:iCs/>
          <w:sz w:val="18"/>
          <w:lang w:eastAsia="en-US"/>
        </w:rPr>
      </w:pPr>
      <w:r w:rsidRPr="003F72E0">
        <w:rPr>
          <w:rFonts w:ascii="Arial Narrow" w:hAnsi="Arial Narrow" w:cs="Times New Roman"/>
          <w:iCs/>
          <w:sz w:val="18"/>
          <w:lang w:eastAsia="en-US"/>
        </w:rPr>
        <w:t>Source: pp181-182 of the submission; constructed during the evaluation based on the models provided.</w:t>
      </w:r>
    </w:p>
    <w:p w14:paraId="70F03E2E" w14:textId="77777777" w:rsidR="00814F74" w:rsidRPr="003F72E0" w:rsidRDefault="00814F74" w:rsidP="00814F74">
      <w:pPr>
        <w:pStyle w:val="3-BodyText"/>
      </w:pPr>
      <w:r w:rsidRPr="003F72E0">
        <w:t xml:space="preserve">The key drivers in the model included </w:t>
      </w:r>
      <w:proofErr w:type="spellStart"/>
      <w:r w:rsidRPr="003F72E0">
        <w:t>i</w:t>
      </w:r>
      <w:proofErr w:type="spellEnd"/>
      <w:r w:rsidRPr="003F72E0">
        <w:t xml:space="preserve">) the duration of treatment with apalutamide (treatment cost), ii) the duration of treatment with </w:t>
      </w:r>
      <w:r w:rsidR="006B0B89" w:rsidRPr="003F72E0">
        <w:t xml:space="preserve">a </w:t>
      </w:r>
      <w:r w:rsidRPr="003F72E0">
        <w:t xml:space="preserve">NHA for </w:t>
      </w:r>
      <w:proofErr w:type="spellStart"/>
      <w:r w:rsidRPr="003F72E0">
        <w:t>mCRPC</w:t>
      </w:r>
      <w:proofErr w:type="spellEnd"/>
      <w:r w:rsidRPr="003F72E0">
        <w:t xml:space="preserve"> in the placebo arm (the main cost offset), and iii) the estimated gain in </w:t>
      </w:r>
      <w:proofErr w:type="spellStart"/>
      <w:r w:rsidRPr="003F72E0">
        <w:t>rPFS</w:t>
      </w:r>
      <w:proofErr w:type="spellEnd"/>
      <w:r w:rsidRPr="003F72E0">
        <w:t xml:space="preserve"> and OS (the estimated treatment effects). Hence, the model was sensitive to inputs associated with these key parameters (such as duration of treatments and extrapolation f</w:t>
      </w:r>
      <w:r w:rsidR="00E2330A">
        <w:t>unctions), summarised in Table 8</w:t>
      </w:r>
      <w:r w:rsidRPr="003F72E0">
        <w:t>.</w:t>
      </w:r>
    </w:p>
    <w:p w14:paraId="4B8E5496" w14:textId="77777777" w:rsidR="00814F74" w:rsidRPr="003F72E0" w:rsidRDefault="00E2330A" w:rsidP="00814F74">
      <w:pPr>
        <w:pStyle w:val="TableFigureHeading"/>
        <w:rPr>
          <w:rStyle w:val="CommentReference"/>
          <w:b/>
          <w:bCs w:val="0"/>
        </w:rPr>
      </w:pPr>
      <w:r>
        <w:rPr>
          <w:rStyle w:val="CommentReference"/>
          <w:b/>
          <w:bCs w:val="0"/>
        </w:rPr>
        <w:t>Table 8</w:t>
      </w:r>
      <w:r w:rsidR="00814F74" w:rsidRPr="003F72E0">
        <w:rPr>
          <w:rStyle w:val="CommentReference"/>
          <w:b/>
          <w:bCs w:val="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395"/>
        <w:gridCol w:w="1746"/>
        <w:gridCol w:w="1747"/>
      </w:tblGrid>
      <w:tr w:rsidR="00814F74" w:rsidRPr="003F72E0" w14:paraId="2AEF59FB" w14:textId="77777777" w:rsidTr="00DF5EF9">
        <w:trPr>
          <w:tblHeader/>
        </w:trPr>
        <w:tc>
          <w:tcPr>
            <w:tcW w:w="626" w:type="pct"/>
            <w:vMerge w:val="restart"/>
            <w:shd w:val="clear" w:color="auto" w:fill="auto"/>
            <w:vAlign w:val="center"/>
          </w:tcPr>
          <w:p w14:paraId="2E4FCB4C" w14:textId="77777777" w:rsidR="00814F74" w:rsidRPr="003F72E0" w:rsidRDefault="00814F74" w:rsidP="00C833D9">
            <w:pPr>
              <w:pStyle w:val="In-tableHeading"/>
              <w:jc w:val="center"/>
              <w:rPr>
                <w:lang w:val="en-AU"/>
              </w:rPr>
            </w:pPr>
            <w:r w:rsidRPr="003F72E0">
              <w:rPr>
                <w:lang w:val="en-AU"/>
              </w:rPr>
              <w:t>Description</w:t>
            </w:r>
          </w:p>
        </w:tc>
        <w:tc>
          <w:tcPr>
            <w:tcW w:w="2437" w:type="pct"/>
            <w:vMerge w:val="restart"/>
            <w:shd w:val="clear" w:color="auto" w:fill="auto"/>
            <w:vAlign w:val="center"/>
          </w:tcPr>
          <w:p w14:paraId="4636DD0E" w14:textId="77777777" w:rsidR="00814F74" w:rsidRPr="003F72E0" w:rsidRDefault="00814F74" w:rsidP="00C833D9">
            <w:pPr>
              <w:pStyle w:val="In-tableHeading"/>
              <w:jc w:val="center"/>
              <w:rPr>
                <w:lang w:val="en-AU"/>
              </w:rPr>
            </w:pPr>
            <w:r w:rsidRPr="003F72E0">
              <w:rPr>
                <w:lang w:val="en-AU"/>
              </w:rPr>
              <w:t>Method/Value</w:t>
            </w:r>
          </w:p>
        </w:tc>
        <w:tc>
          <w:tcPr>
            <w:tcW w:w="1937" w:type="pct"/>
            <w:gridSpan w:val="2"/>
            <w:shd w:val="clear" w:color="auto" w:fill="auto"/>
            <w:vAlign w:val="center"/>
          </w:tcPr>
          <w:p w14:paraId="41CB2FA3" w14:textId="77777777" w:rsidR="00814F74" w:rsidRPr="003F72E0" w:rsidRDefault="00814F74" w:rsidP="00C833D9">
            <w:pPr>
              <w:pStyle w:val="In-tableHeading"/>
              <w:jc w:val="center"/>
              <w:rPr>
                <w:lang w:val="en-AU"/>
              </w:rPr>
            </w:pPr>
            <w:r w:rsidRPr="003F72E0">
              <w:rPr>
                <w:lang w:val="en-AU"/>
              </w:rPr>
              <w:t>Impact</w:t>
            </w:r>
          </w:p>
        </w:tc>
      </w:tr>
      <w:tr w:rsidR="00814F74" w:rsidRPr="003F72E0" w14:paraId="364D35A2" w14:textId="77777777" w:rsidTr="00DF5EF9">
        <w:trPr>
          <w:tblHeader/>
        </w:trPr>
        <w:tc>
          <w:tcPr>
            <w:tcW w:w="626" w:type="pct"/>
            <w:vMerge/>
            <w:shd w:val="clear" w:color="auto" w:fill="auto"/>
            <w:vAlign w:val="center"/>
          </w:tcPr>
          <w:p w14:paraId="3B5BBCE3" w14:textId="77777777" w:rsidR="00814F74" w:rsidRPr="003F72E0" w:rsidRDefault="00814F74" w:rsidP="00C833D9">
            <w:pPr>
              <w:pStyle w:val="In-tableHeading"/>
              <w:jc w:val="center"/>
              <w:rPr>
                <w:lang w:val="en-AU"/>
              </w:rPr>
            </w:pPr>
          </w:p>
        </w:tc>
        <w:tc>
          <w:tcPr>
            <w:tcW w:w="2437" w:type="pct"/>
            <w:vMerge/>
            <w:shd w:val="clear" w:color="auto" w:fill="auto"/>
            <w:vAlign w:val="center"/>
          </w:tcPr>
          <w:p w14:paraId="496A2DFA" w14:textId="77777777" w:rsidR="00814F74" w:rsidRPr="003F72E0" w:rsidRDefault="00814F74" w:rsidP="00C833D9">
            <w:pPr>
              <w:pStyle w:val="In-tableHeading"/>
              <w:jc w:val="center"/>
              <w:rPr>
                <w:lang w:val="en-AU"/>
              </w:rPr>
            </w:pPr>
          </w:p>
        </w:tc>
        <w:tc>
          <w:tcPr>
            <w:tcW w:w="968" w:type="pct"/>
            <w:shd w:val="clear" w:color="auto" w:fill="auto"/>
            <w:vAlign w:val="center"/>
          </w:tcPr>
          <w:p w14:paraId="09729DAD" w14:textId="77777777" w:rsidR="00814F74" w:rsidRPr="003F72E0" w:rsidRDefault="00814F74" w:rsidP="00C833D9">
            <w:pPr>
              <w:pStyle w:val="In-tableHeading"/>
              <w:jc w:val="center"/>
              <w:rPr>
                <w:lang w:val="en-AU"/>
              </w:rPr>
            </w:pPr>
            <w:r w:rsidRPr="003F72E0">
              <w:rPr>
                <w:lang w:val="en-AU"/>
              </w:rPr>
              <w:t>ITT/HV model,</w:t>
            </w:r>
          </w:p>
          <w:p w14:paraId="0D179EC3" w14:textId="77777777" w:rsidR="00814F74" w:rsidRPr="003F72E0" w:rsidRDefault="00814F74" w:rsidP="00C833D9">
            <w:pPr>
              <w:pStyle w:val="In-tableHeading"/>
              <w:jc w:val="center"/>
              <w:rPr>
                <w:lang w:val="en-AU"/>
              </w:rPr>
            </w:pPr>
            <w:r w:rsidRPr="003F72E0">
              <w:rPr>
                <w:rFonts w:cs="Arial"/>
                <w:szCs w:val="20"/>
                <w:lang w:val="en-AU"/>
              </w:rPr>
              <w:t xml:space="preserve">BC: </w:t>
            </w:r>
            <w:r w:rsidR="002037C2">
              <w:rPr>
                <w:rFonts w:cs="Arial"/>
                <w:noProof/>
                <w:color w:val="000000"/>
                <w:szCs w:val="20"/>
                <w:highlight w:val="black"/>
                <w:lang w:val="en-AU"/>
              </w:rPr>
              <w:t>'''''''''''''''</w:t>
            </w:r>
            <w:r w:rsidR="00F7099C">
              <w:rPr>
                <w:vertAlign w:val="superscript"/>
              </w:rPr>
              <w:t>1</w:t>
            </w:r>
            <w:r w:rsidRPr="003F72E0">
              <w:rPr>
                <w:rFonts w:cs="Arial"/>
                <w:szCs w:val="20"/>
                <w:lang w:val="en-AU"/>
              </w:rPr>
              <w:t>/QALY</w:t>
            </w:r>
          </w:p>
        </w:tc>
        <w:tc>
          <w:tcPr>
            <w:tcW w:w="969" w:type="pct"/>
          </w:tcPr>
          <w:p w14:paraId="5E32590F" w14:textId="77777777" w:rsidR="00814F74" w:rsidRPr="003F72E0" w:rsidRDefault="00814F74" w:rsidP="00C833D9">
            <w:pPr>
              <w:pStyle w:val="In-tableHeading"/>
              <w:jc w:val="center"/>
              <w:rPr>
                <w:lang w:val="en-AU"/>
              </w:rPr>
            </w:pPr>
            <w:r w:rsidRPr="003F72E0">
              <w:rPr>
                <w:lang w:val="en-AU"/>
              </w:rPr>
              <w:t>LV model,</w:t>
            </w:r>
          </w:p>
          <w:p w14:paraId="4C8F7375" w14:textId="77777777" w:rsidR="00814F74" w:rsidRPr="003F72E0" w:rsidRDefault="00814F74" w:rsidP="00C833D9">
            <w:pPr>
              <w:pStyle w:val="In-tableHeading"/>
              <w:jc w:val="center"/>
              <w:rPr>
                <w:lang w:val="en-AU"/>
              </w:rPr>
            </w:pPr>
            <w:r w:rsidRPr="003F72E0">
              <w:rPr>
                <w:rFonts w:cs="Arial"/>
                <w:szCs w:val="20"/>
                <w:lang w:val="en-AU"/>
              </w:rPr>
              <w:t xml:space="preserve">BC: </w:t>
            </w:r>
            <w:r w:rsidR="002037C2">
              <w:rPr>
                <w:rFonts w:cs="Arial"/>
                <w:noProof/>
                <w:color w:val="000000"/>
                <w:szCs w:val="20"/>
                <w:highlight w:val="black"/>
                <w:lang w:val="en-AU"/>
              </w:rPr>
              <w:t>'''''''''''''''''</w:t>
            </w:r>
            <w:r w:rsidR="00F7099C">
              <w:rPr>
                <w:vertAlign w:val="superscript"/>
              </w:rPr>
              <w:t>1</w:t>
            </w:r>
            <w:r w:rsidRPr="003F72E0">
              <w:rPr>
                <w:rFonts w:cs="Arial"/>
                <w:szCs w:val="20"/>
                <w:lang w:val="en-AU"/>
              </w:rPr>
              <w:t>/QALY</w:t>
            </w:r>
          </w:p>
        </w:tc>
      </w:tr>
      <w:tr w:rsidR="00814F74" w:rsidRPr="003F72E0" w14:paraId="207AB835" w14:textId="77777777" w:rsidTr="00DF5EF9">
        <w:tc>
          <w:tcPr>
            <w:tcW w:w="626" w:type="pct"/>
            <w:shd w:val="clear" w:color="auto" w:fill="auto"/>
            <w:vAlign w:val="center"/>
          </w:tcPr>
          <w:p w14:paraId="4B0F516E" w14:textId="77777777" w:rsidR="00814F74" w:rsidRPr="003F72E0" w:rsidRDefault="00814F74" w:rsidP="00C833D9">
            <w:pPr>
              <w:pStyle w:val="TableText0"/>
            </w:pPr>
            <w:r w:rsidRPr="003F72E0">
              <w:t>Treatment duration on APA</w:t>
            </w:r>
          </w:p>
        </w:tc>
        <w:tc>
          <w:tcPr>
            <w:tcW w:w="2437" w:type="pct"/>
            <w:shd w:val="clear" w:color="auto" w:fill="auto"/>
            <w:vAlign w:val="center"/>
          </w:tcPr>
          <w:p w14:paraId="25B3D10A" w14:textId="77777777" w:rsidR="00814F74" w:rsidRPr="003F72E0" w:rsidRDefault="00814F74" w:rsidP="00C833D9">
            <w:pPr>
              <w:pStyle w:val="TableText0"/>
            </w:pPr>
            <w:r w:rsidRPr="003F72E0">
              <w:rPr>
                <w:rFonts w:cs="Times New Roman"/>
                <w:lang w:eastAsia="en-GB"/>
              </w:rPr>
              <w:t>Patients discontinue treatment prior to or at disease progression / death, based on TTD curve. However, trial investigators frequently monitor patients for stopping criteria under trial conditions, and hence use of treatment may be longer in practice.</w:t>
            </w:r>
          </w:p>
        </w:tc>
        <w:tc>
          <w:tcPr>
            <w:tcW w:w="968" w:type="pct"/>
            <w:shd w:val="clear" w:color="auto" w:fill="auto"/>
            <w:vAlign w:val="center"/>
          </w:tcPr>
          <w:p w14:paraId="7E672B92" w14:textId="77777777" w:rsidR="00814F74" w:rsidRPr="003F72E0" w:rsidRDefault="00814F74" w:rsidP="00C833D9">
            <w:pPr>
              <w:pStyle w:val="TableText0"/>
            </w:pPr>
            <w:r w:rsidRPr="003F72E0">
              <w:t xml:space="preserve">Moderate, </w:t>
            </w:r>
            <w:r w:rsidR="008C0602" w:rsidRPr="003F72E0">
              <w:t>favours</w:t>
            </w:r>
            <w:r w:rsidRPr="003F72E0">
              <w:t xml:space="preserve"> APA. The ICER increases by 18.0% assuming treatment until disease progression.</w:t>
            </w:r>
          </w:p>
        </w:tc>
        <w:tc>
          <w:tcPr>
            <w:tcW w:w="969" w:type="pct"/>
          </w:tcPr>
          <w:p w14:paraId="56FF700E" w14:textId="77777777" w:rsidR="00814F74" w:rsidRPr="003F72E0" w:rsidRDefault="00814F74" w:rsidP="00C833D9">
            <w:pPr>
              <w:pStyle w:val="TableText0"/>
            </w:pPr>
            <w:r w:rsidRPr="003F72E0">
              <w:t xml:space="preserve">High, </w:t>
            </w:r>
            <w:r w:rsidR="008C0602" w:rsidRPr="003F72E0">
              <w:t>favours</w:t>
            </w:r>
            <w:r w:rsidRPr="003F72E0">
              <w:t xml:space="preserve"> APA. The ICER increases by 34.3% assuming treatment until disease progression.</w:t>
            </w:r>
          </w:p>
        </w:tc>
      </w:tr>
      <w:tr w:rsidR="00814F74" w:rsidRPr="003F72E0" w14:paraId="3A130FD8" w14:textId="77777777" w:rsidTr="00DF5EF9">
        <w:tc>
          <w:tcPr>
            <w:tcW w:w="626" w:type="pct"/>
            <w:shd w:val="clear" w:color="auto" w:fill="auto"/>
            <w:vAlign w:val="center"/>
          </w:tcPr>
          <w:p w14:paraId="1EF98B0B" w14:textId="77777777" w:rsidR="00814F74" w:rsidRPr="003F72E0" w:rsidRDefault="00814F74" w:rsidP="00DF5EF9">
            <w:pPr>
              <w:pStyle w:val="TableText0"/>
              <w:keepNext w:val="0"/>
            </w:pPr>
            <w:r w:rsidRPr="003F72E0">
              <w:t xml:space="preserve">Treatment duration on NHAs for </w:t>
            </w:r>
            <w:proofErr w:type="spellStart"/>
            <w:r w:rsidRPr="003F72E0">
              <w:t>mCRPC</w:t>
            </w:r>
            <w:proofErr w:type="spellEnd"/>
            <w:r w:rsidRPr="003F72E0">
              <w:t xml:space="preserve"> </w:t>
            </w:r>
          </w:p>
        </w:tc>
        <w:tc>
          <w:tcPr>
            <w:tcW w:w="2437" w:type="pct"/>
            <w:shd w:val="clear" w:color="auto" w:fill="auto"/>
            <w:vAlign w:val="center"/>
          </w:tcPr>
          <w:p w14:paraId="6657EAE7" w14:textId="77777777" w:rsidR="00814F74" w:rsidRPr="003F72E0" w:rsidRDefault="00814F74" w:rsidP="00DF5EF9">
            <w:pPr>
              <w:pStyle w:val="TableText0"/>
              <w:keepNext w:val="0"/>
            </w:pPr>
            <w:r w:rsidRPr="003F72E0">
              <w:t xml:space="preserve">Patients in the placebo arm </w:t>
            </w:r>
            <w:r w:rsidR="006B0B89" w:rsidRPr="003F72E0">
              <w:t xml:space="preserve">received </w:t>
            </w:r>
            <w:r w:rsidRPr="003F72E0">
              <w:t xml:space="preserve">an average of 15 months (~15 packs) of NHAs in the </w:t>
            </w:r>
            <w:proofErr w:type="spellStart"/>
            <w:r w:rsidRPr="003F72E0">
              <w:t>mCRPC</w:t>
            </w:r>
            <w:proofErr w:type="spellEnd"/>
            <w:r w:rsidRPr="003F72E0">
              <w:t xml:space="preserve"> health state. This estimate was uncertain and considerably longer than other estimates of 9 months or 8.9 packs in the literature.</w:t>
            </w:r>
          </w:p>
        </w:tc>
        <w:tc>
          <w:tcPr>
            <w:tcW w:w="968" w:type="pct"/>
            <w:shd w:val="clear" w:color="auto" w:fill="auto"/>
            <w:vAlign w:val="center"/>
          </w:tcPr>
          <w:p w14:paraId="55DB8BD0" w14:textId="77777777" w:rsidR="00814F74" w:rsidRPr="003F72E0" w:rsidRDefault="00814F74" w:rsidP="00DF5EF9">
            <w:pPr>
              <w:pStyle w:val="TableText0"/>
              <w:keepNext w:val="0"/>
            </w:pPr>
            <w:r w:rsidRPr="003F72E0">
              <w:t xml:space="preserve">Moderate, </w:t>
            </w:r>
            <w:r w:rsidR="008C0602" w:rsidRPr="003F72E0">
              <w:t>favours</w:t>
            </w:r>
            <w:r w:rsidRPr="003F72E0">
              <w:t xml:space="preserve"> APA. The ICER increases by 19.7% assuming an average duration on NHAs of 9 months.</w:t>
            </w:r>
          </w:p>
        </w:tc>
        <w:tc>
          <w:tcPr>
            <w:tcW w:w="969" w:type="pct"/>
          </w:tcPr>
          <w:p w14:paraId="628F99FB" w14:textId="77777777" w:rsidR="00814F74" w:rsidRPr="003F72E0" w:rsidRDefault="00814F74" w:rsidP="00DF5EF9">
            <w:pPr>
              <w:pStyle w:val="TableText0"/>
              <w:keepNext w:val="0"/>
            </w:pPr>
            <w:r w:rsidRPr="003F72E0">
              <w:t xml:space="preserve">Moderate, </w:t>
            </w:r>
            <w:r w:rsidR="008C0602" w:rsidRPr="003F72E0">
              <w:t>favours</w:t>
            </w:r>
            <w:r w:rsidRPr="003F72E0">
              <w:t xml:space="preserve"> APA. The ICER increases by 12.2% assuming an average duration on NHAs of 9 months.</w:t>
            </w:r>
          </w:p>
        </w:tc>
      </w:tr>
      <w:tr w:rsidR="00814F74" w:rsidRPr="00FE58E8" w14:paraId="3C45D2CA" w14:textId="77777777" w:rsidTr="00DF5EF9">
        <w:tc>
          <w:tcPr>
            <w:tcW w:w="626" w:type="pct"/>
            <w:shd w:val="clear" w:color="auto" w:fill="auto"/>
            <w:vAlign w:val="center"/>
          </w:tcPr>
          <w:p w14:paraId="0853AD42" w14:textId="77777777" w:rsidR="00814F74" w:rsidRPr="00FE58E8" w:rsidRDefault="00814F74" w:rsidP="00DF5EF9">
            <w:pPr>
              <w:pStyle w:val="TableText0"/>
              <w:keepNext w:val="0"/>
            </w:pPr>
            <w:r w:rsidRPr="00FE58E8">
              <w:t>Extrapolation functions</w:t>
            </w:r>
          </w:p>
        </w:tc>
        <w:tc>
          <w:tcPr>
            <w:tcW w:w="2437" w:type="pct"/>
            <w:shd w:val="clear" w:color="auto" w:fill="auto"/>
            <w:vAlign w:val="center"/>
          </w:tcPr>
          <w:p w14:paraId="0D2A8403" w14:textId="77777777" w:rsidR="00814F74" w:rsidRPr="00FE58E8" w:rsidRDefault="00814F74" w:rsidP="00047B91">
            <w:pPr>
              <w:pStyle w:val="TableText0"/>
              <w:keepNext w:val="0"/>
            </w:pPr>
            <w:r w:rsidRPr="00FE58E8">
              <w:t>The submission assumed the proportional hazards assumptions holds over the entire modelled time horizon irrespective of the function used. This assumption may not hold in practice</w:t>
            </w:r>
            <w:r w:rsidR="00047B91" w:rsidRPr="00FE58E8">
              <w:t xml:space="preserve"> for the entire time horizon</w:t>
            </w:r>
            <w:r w:rsidRPr="00FE58E8">
              <w:t>.</w:t>
            </w:r>
            <w:r w:rsidR="00047B91" w:rsidRPr="00FE58E8">
              <w:t xml:space="preserve"> The ESC noted the wide variation in survival estimates depending on the parametric function selected (see Figure </w:t>
            </w:r>
            <w:r w:rsidR="004F6EA0" w:rsidRPr="00FE58E8">
              <w:t>2</w:t>
            </w:r>
            <w:r w:rsidR="00047B91" w:rsidRPr="00FE58E8">
              <w:t xml:space="preserve">) and the relatively </w:t>
            </w:r>
            <w:proofErr w:type="gramStart"/>
            <w:r w:rsidR="00047B91" w:rsidRPr="00FE58E8">
              <w:t>large modelled</w:t>
            </w:r>
            <w:proofErr w:type="gramEnd"/>
            <w:r w:rsidR="00047B91" w:rsidRPr="00FE58E8">
              <w:t xml:space="preserve"> increases in OS.</w:t>
            </w:r>
          </w:p>
        </w:tc>
        <w:tc>
          <w:tcPr>
            <w:tcW w:w="968" w:type="pct"/>
            <w:shd w:val="clear" w:color="auto" w:fill="auto"/>
            <w:vAlign w:val="center"/>
          </w:tcPr>
          <w:p w14:paraId="3317220F" w14:textId="77777777" w:rsidR="00814F74" w:rsidRPr="00FE58E8" w:rsidRDefault="00814F74" w:rsidP="00DF5EF9">
            <w:pPr>
              <w:pStyle w:val="TableText0"/>
              <w:keepNext w:val="0"/>
            </w:pPr>
            <w:r w:rsidRPr="00FE58E8">
              <w:t xml:space="preserve">Moderate, </w:t>
            </w:r>
            <w:r w:rsidR="008C0602" w:rsidRPr="00FE58E8">
              <w:t>favours</w:t>
            </w:r>
            <w:r w:rsidRPr="00FE58E8">
              <w:t xml:space="preserve"> APA. The ICER increases by 20.1% assuming gradual convergence in OS after 5 years.</w:t>
            </w:r>
          </w:p>
        </w:tc>
        <w:tc>
          <w:tcPr>
            <w:tcW w:w="969" w:type="pct"/>
          </w:tcPr>
          <w:p w14:paraId="1982716B" w14:textId="77777777" w:rsidR="00814F74" w:rsidRPr="00FE58E8" w:rsidRDefault="00814F74" w:rsidP="00DF5EF9">
            <w:pPr>
              <w:pStyle w:val="TableText0"/>
              <w:keepNext w:val="0"/>
            </w:pPr>
            <w:r w:rsidRPr="00FE58E8">
              <w:t xml:space="preserve">High, </w:t>
            </w:r>
            <w:r w:rsidR="008C0602" w:rsidRPr="00FE58E8">
              <w:t>favours</w:t>
            </w:r>
            <w:r w:rsidRPr="00FE58E8">
              <w:t xml:space="preserve"> APA. The ICER increases by 33.1% assuming gradual convergence in OS after 5 years.</w:t>
            </w:r>
          </w:p>
        </w:tc>
      </w:tr>
    </w:tbl>
    <w:p w14:paraId="5DB45CB5" w14:textId="77777777" w:rsidR="00814F74" w:rsidRPr="003F72E0" w:rsidRDefault="00814F74" w:rsidP="00814F74">
      <w:pPr>
        <w:pStyle w:val="TableFigureFooter"/>
      </w:pPr>
      <w:r w:rsidRPr="003F72E0">
        <w:lastRenderedPageBreak/>
        <w:t>Abbreviations: APA = apalutamide; PBO = placebo; OS = overall survival; PFS = progression free survival.</w:t>
      </w:r>
    </w:p>
    <w:p w14:paraId="6B5576F9" w14:textId="77777777" w:rsidR="00814F74" w:rsidRDefault="00814F74" w:rsidP="00814F74">
      <w:pPr>
        <w:pStyle w:val="TableFigureFooter"/>
      </w:pPr>
      <w:r w:rsidRPr="003F72E0">
        <w:t xml:space="preserve">Source: constructed during the evaluation based on Apalutamide </w:t>
      </w:r>
      <w:proofErr w:type="spellStart"/>
      <w:r w:rsidRPr="003F72E0">
        <w:t>mHSPC</w:t>
      </w:r>
      <w:proofErr w:type="spellEnd"/>
      <w:r w:rsidRPr="003F72E0">
        <w:t xml:space="preserve"> ITT Economic Model EXCEL file, </w:t>
      </w:r>
      <w:bookmarkStart w:id="38" w:name="_Hlk80715057"/>
      <w:r w:rsidRPr="003F72E0">
        <w:t xml:space="preserve">Apalutamide Low Volume </w:t>
      </w:r>
      <w:proofErr w:type="spellStart"/>
      <w:r w:rsidRPr="003F72E0">
        <w:t>mHSPC</w:t>
      </w:r>
      <w:proofErr w:type="spellEnd"/>
      <w:r w:rsidRPr="003F72E0">
        <w:t xml:space="preserve"> Economic Model EXCEL file.</w:t>
      </w:r>
      <w:bookmarkEnd w:id="38"/>
    </w:p>
    <w:p w14:paraId="48C22BE3" w14:textId="77777777" w:rsidR="00F7099C" w:rsidRPr="0035209B" w:rsidRDefault="00F7099C" w:rsidP="00814F74">
      <w:pPr>
        <w:pStyle w:val="TableFigureFooter"/>
        <w:rPr>
          <w:i/>
        </w:rPr>
      </w:pPr>
      <w:r w:rsidRPr="0035209B">
        <w:rPr>
          <w:i/>
        </w:rPr>
        <w:t>The redacted values correspond to the following ranges:</w:t>
      </w:r>
    </w:p>
    <w:p w14:paraId="5C1A8000" w14:textId="77777777" w:rsidR="00F7099C" w:rsidRPr="0035209B" w:rsidRDefault="00F7099C" w:rsidP="00814F74">
      <w:pPr>
        <w:pStyle w:val="TableFigureFooter"/>
        <w:rPr>
          <w:i/>
        </w:rPr>
      </w:pPr>
      <w:r w:rsidRPr="0035209B">
        <w:rPr>
          <w:i/>
          <w:vertAlign w:val="superscript"/>
        </w:rPr>
        <w:t>1</w:t>
      </w:r>
      <w:r w:rsidRPr="0035209B">
        <w:rPr>
          <w:i/>
        </w:rPr>
        <w:t xml:space="preserve"> $35,000 to &lt; $45,000</w:t>
      </w:r>
    </w:p>
    <w:p w14:paraId="7FAD6659" w14:textId="77777777" w:rsidR="006176D3" w:rsidRPr="00BF06FC" w:rsidRDefault="006176D3" w:rsidP="006176D3">
      <w:pPr>
        <w:pStyle w:val="3-BodyText"/>
        <w:numPr>
          <w:ilvl w:val="0"/>
          <w:numId w:val="0"/>
        </w:numPr>
        <w:rPr>
          <w:b/>
          <w:lang w:eastAsia="en-GB"/>
        </w:rPr>
      </w:pPr>
      <w:r w:rsidRPr="00BF06FC">
        <w:rPr>
          <w:b/>
          <w:lang w:eastAsia="en-GB"/>
        </w:rPr>
        <w:t>Results</w:t>
      </w:r>
    </w:p>
    <w:p w14:paraId="3A3C692E" w14:textId="77777777" w:rsidR="00814F74" w:rsidRPr="00BF06FC" w:rsidRDefault="00E2330A" w:rsidP="00814F74">
      <w:pPr>
        <w:numPr>
          <w:ilvl w:val="1"/>
          <w:numId w:val="1"/>
        </w:numPr>
        <w:spacing w:after="160"/>
        <w:rPr>
          <w:rFonts w:cs="Times New Roman"/>
          <w:lang w:eastAsia="en-US"/>
        </w:rPr>
      </w:pPr>
      <w:r>
        <w:rPr>
          <w:rFonts w:cs="Times New Roman"/>
          <w:lang w:eastAsia="en-US"/>
        </w:rPr>
        <w:t>Table 9</w:t>
      </w:r>
      <w:r w:rsidR="00814F74" w:rsidRPr="00BF06FC">
        <w:rPr>
          <w:rFonts w:cs="Times New Roman"/>
          <w:lang w:eastAsia="en-US"/>
        </w:rPr>
        <w:t xml:space="preserve"> presents the results of the stepped economic evaluation.</w:t>
      </w:r>
      <w:r w:rsidR="004D7C2F" w:rsidRPr="00BF06FC">
        <w:rPr>
          <w:rFonts w:cs="Times New Roman"/>
          <w:lang w:eastAsia="en-US"/>
        </w:rPr>
        <w:t xml:space="preserve"> </w:t>
      </w:r>
      <w:r w:rsidR="00814F74" w:rsidRPr="00BF06FC">
        <w:rPr>
          <w:rFonts w:cs="Times New Roman"/>
          <w:iCs/>
          <w:lang w:eastAsia="en-US"/>
        </w:rPr>
        <w:t>Results for Step 1 include all modelled costs and outcomes over the first 44 months, whereas Step 2 includes all modelled costs and outcomes over the lifetime (15 years in the ITT/HV model and 20 years in the LV model).</w:t>
      </w:r>
    </w:p>
    <w:p w14:paraId="3A9BE580" w14:textId="77777777" w:rsidR="00814F74" w:rsidRPr="00BF06FC" w:rsidRDefault="00E2330A" w:rsidP="00814F74">
      <w:pPr>
        <w:pStyle w:val="TableFigureHeading"/>
        <w:rPr>
          <w:rStyle w:val="CommentReference"/>
          <w:b/>
          <w:bCs w:val="0"/>
        </w:rPr>
      </w:pPr>
      <w:r>
        <w:rPr>
          <w:rStyle w:val="CommentReference"/>
          <w:b/>
          <w:bCs w:val="0"/>
        </w:rPr>
        <w:t>Table 9</w:t>
      </w:r>
      <w:r w:rsidR="00814F74" w:rsidRPr="00BF06FC">
        <w:rPr>
          <w:rStyle w:val="CommentReference"/>
          <w:b/>
          <w:bCs w:val="0"/>
        </w:rPr>
        <w:t>: Results of the stepped economic evaluation</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6"/>
        <w:gridCol w:w="848"/>
        <w:gridCol w:w="851"/>
        <w:gridCol w:w="849"/>
        <w:gridCol w:w="851"/>
        <w:gridCol w:w="849"/>
        <w:gridCol w:w="969"/>
      </w:tblGrid>
      <w:tr w:rsidR="00814F74" w:rsidRPr="00BF06FC" w14:paraId="4E9CAF68" w14:textId="77777777" w:rsidTr="008831FC">
        <w:trPr>
          <w:tblHeader/>
        </w:trPr>
        <w:tc>
          <w:tcPr>
            <w:tcW w:w="2070" w:type="pct"/>
            <w:vMerge w:val="restart"/>
            <w:vAlign w:val="center"/>
          </w:tcPr>
          <w:p w14:paraId="09C02689" w14:textId="77777777" w:rsidR="00814F74" w:rsidRPr="00BF06FC" w:rsidRDefault="00814F74" w:rsidP="00DF5EF9">
            <w:pPr>
              <w:pStyle w:val="In-tableHeading"/>
              <w:rPr>
                <w:lang w:val="en-AU"/>
              </w:rPr>
            </w:pPr>
            <w:r w:rsidRPr="00BF06FC">
              <w:rPr>
                <w:lang w:val="en-AU"/>
              </w:rPr>
              <w:t>Step and component</w:t>
            </w:r>
          </w:p>
        </w:tc>
        <w:tc>
          <w:tcPr>
            <w:tcW w:w="1431" w:type="pct"/>
            <w:gridSpan w:val="3"/>
            <w:vAlign w:val="center"/>
          </w:tcPr>
          <w:p w14:paraId="2B9310BD" w14:textId="77777777" w:rsidR="00814F74" w:rsidRPr="00BF06FC" w:rsidRDefault="00814F74" w:rsidP="00DF5EF9">
            <w:pPr>
              <w:pStyle w:val="In-tableHeading"/>
              <w:jc w:val="center"/>
              <w:rPr>
                <w:lang w:val="en-AU"/>
              </w:rPr>
            </w:pPr>
            <w:r w:rsidRPr="00BF06FC">
              <w:rPr>
                <w:lang w:val="en-AU"/>
              </w:rPr>
              <w:t>ITT/HV model</w:t>
            </w:r>
          </w:p>
        </w:tc>
        <w:tc>
          <w:tcPr>
            <w:tcW w:w="1499" w:type="pct"/>
            <w:gridSpan w:val="3"/>
          </w:tcPr>
          <w:p w14:paraId="43F5FAA0" w14:textId="77777777" w:rsidR="00814F74" w:rsidRPr="00BF06FC" w:rsidRDefault="00814F74" w:rsidP="00DF5EF9">
            <w:pPr>
              <w:pStyle w:val="In-tableHeading"/>
              <w:jc w:val="center"/>
              <w:rPr>
                <w:lang w:val="en-AU"/>
              </w:rPr>
            </w:pPr>
            <w:r w:rsidRPr="00BF06FC">
              <w:rPr>
                <w:lang w:val="en-AU"/>
              </w:rPr>
              <w:t>LV model</w:t>
            </w:r>
          </w:p>
        </w:tc>
      </w:tr>
      <w:tr w:rsidR="00814F74" w:rsidRPr="00BF06FC" w14:paraId="5ADC5416" w14:textId="77777777" w:rsidTr="008831FC">
        <w:trPr>
          <w:tblHeader/>
        </w:trPr>
        <w:tc>
          <w:tcPr>
            <w:tcW w:w="2070" w:type="pct"/>
            <w:vMerge/>
            <w:vAlign w:val="center"/>
          </w:tcPr>
          <w:p w14:paraId="6C01F61B" w14:textId="77777777" w:rsidR="00814F74" w:rsidRPr="00BF06FC" w:rsidRDefault="00814F74" w:rsidP="00DF5EF9">
            <w:pPr>
              <w:pStyle w:val="In-tableHeading"/>
              <w:rPr>
                <w:lang w:val="en-AU"/>
              </w:rPr>
            </w:pPr>
          </w:p>
        </w:tc>
        <w:tc>
          <w:tcPr>
            <w:tcW w:w="476" w:type="pct"/>
            <w:vAlign w:val="center"/>
          </w:tcPr>
          <w:p w14:paraId="224B5508" w14:textId="77777777" w:rsidR="00814F74" w:rsidRPr="00BF06FC" w:rsidRDefault="00814F74" w:rsidP="00DF5EF9">
            <w:pPr>
              <w:pStyle w:val="In-tableHeading"/>
              <w:jc w:val="center"/>
              <w:rPr>
                <w:lang w:val="en-AU"/>
              </w:rPr>
            </w:pPr>
            <w:r w:rsidRPr="00BF06FC">
              <w:rPr>
                <w:lang w:val="en-AU"/>
              </w:rPr>
              <w:t>APA</w:t>
            </w:r>
          </w:p>
        </w:tc>
        <w:tc>
          <w:tcPr>
            <w:tcW w:w="478" w:type="pct"/>
            <w:vAlign w:val="center"/>
          </w:tcPr>
          <w:p w14:paraId="3F09EB0C" w14:textId="77777777" w:rsidR="00814F74" w:rsidRPr="00BF06FC" w:rsidRDefault="00814F74" w:rsidP="00DF5EF9">
            <w:pPr>
              <w:pStyle w:val="In-tableHeading"/>
              <w:jc w:val="center"/>
              <w:rPr>
                <w:lang w:val="en-AU"/>
              </w:rPr>
            </w:pPr>
            <w:r w:rsidRPr="00BF06FC">
              <w:rPr>
                <w:lang w:val="en-AU"/>
              </w:rPr>
              <w:t>PBO</w:t>
            </w:r>
          </w:p>
        </w:tc>
        <w:tc>
          <w:tcPr>
            <w:tcW w:w="477" w:type="pct"/>
            <w:vAlign w:val="center"/>
          </w:tcPr>
          <w:p w14:paraId="7A8B0EB6" w14:textId="77777777" w:rsidR="00814F74" w:rsidRPr="00BF06FC" w:rsidRDefault="00814F74" w:rsidP="00DF5EF9">
            <w:pPr>
              <w:pStyle w:val="In-tableHeading"/>
              <w:jc w:val="center"/>
              <w:rPr>
                <w:lang w:val="en-AU"/>
              </w:rPr>
            </w:pPr>
            <w:r w:rsidRPr="00BF06FC">
              <w:rPr>
                <w:lang w:val="en-AU"/>
              </w:rPr>
              <w:t>Increment</w:t>
            </w:r>
          </w:p>
        </w:tc>
        <w:tc>
          <w:tcPr>
            <w:tcW w:w="478" w:type="pct"/>
            <w:vAlign w:val="center"/>
          </w:tcPr>
          <w:p w14:paraId="43C056C6" w14:textId="77777777" w:rsidR="00814F74" w:rsidRPr="00BF06FC" w:rsidRDefault="00814F74" w:rsidP="00DF5EF9">
            <w:pPr>
              <w:pStyle w:val="In-tableHeading"/>
              <w:jc w:val="center"/>
              <w:rPr>
                <w:lang w:val="en-AU"/>
              </w:rPr>
            </w:pPr>
            <w:r w:rsidRPr="00BF06FC">
              <w:rPr>
                <w:lang w:val="en-AU"/>
              </w:rPr>
              <w:t>APA</w:t>
            </w:r>
          </w:p>
        </w:tc>
        <w:tc>
          <w:tcPr>
            <w:tcW w:w="477" w:type="pct"/>
            <w:vAlign w:val="center"/>
          </w:tcPr>
          <w:p w14:paraId="44CDD11B" w14:textId="77777777" w:rsidR="00814F74" w:rsidRPr="00BF06FC" w:rsidRDefault="00814F74" w:rsidP="00DF5EF9">
            <w:pPr>
              <w:pStyle w:val="In-tableHeading"/>
              <w:jc w:val="center"/>
              <w:rPr>
                <w:lang w:val="en-AU"/>
              </w:rPr>
            </w:pPr>
            <w:r w:rsidRPr="00BF06FC">
              <w:rPr>
                <w:lang w:val="en-AU"/>
              </w:rPr>
              <w:t>PBO</w:t>
            </w:r>
          </w:p>
        </w:tc>
        <w:tc>
          <w:tcPr>
            <w:tcW w:w="544" w:type="pct"/>
            <w:vAlign w:val="center"/>
          </w:tcPr>
          <w:p w14:paraId="26DBD738" w14:textId="77777777" w:rsidR="00814F74" w:rsidRPr="00BF06FC" w:rsidRDefault="00814F74" w:rsidP="00DF5EF9">
            <w:pPr>
              <w:pStyle w:val="In-tableHeading"/>
              <w:jc w:val="center"/>
              <w:rPr>
                <w:lang w:val="en-AU"/>
              </w:rPr>
            </w:pPr>
            <w:r w:rsidRPr="00BF06FC">
              <w:rPr>
                <w:lang w:val="en-AU"/>
              </w:rPr>
              <w:t>Increment</w:t>
            </w:r>
          </w:p>
        </w:tc>
      </w:tr>
      <w:tr w:rsidR="008831FC" w:rsidRPr="00BF06FC" w14:paraId="050B2537" w14:textId="77777777" w:rsidTr="008831FC">
        <w:tc>
          <w:tcPr>
            <w:tcW w:w="5000" w:type="pct"/>
            <w:gridSpan w:val="7"/>
            <w:vAlign w:val="center"/>
          </w:tcPr>
          <w:p w14:paraId="5192BA8A" w14:textId="77777777" w:rsidR="008831FC" w:rsidRPr="00BF06FC" w:rsidRDefault="008831FC" w:rsidP="008831FC">
            <w:pPr>
              <w:pStyle w:val="TableText0"/>
            </w:pPr>
            <w:r w:rsidRPr="00BF06FC">
              <w:rPr>
                <w:b/>
                <w:bCs w:val="0"/>
              </w:rPr>
              <w:t>Step 1: Time horizon, trial based (discounted):</w:t>
            </w:r>
            <w:r>
              <w:rPr>
                <w:b/>
                <w:bCs w:val="0"/>
              </w:rPr>
              <w:t xml:space="preserve"> </w:t>
            </w:r>
            <w:r w:rsidRPr="00BF06FC">
              <w:rPr>
                <w:b/>
                <w:bCs w:val="0"/>
              </w:rPr>
              <w:t xml:space="preserve">44 months (ITT/HV and LV) </w:t>
            </w:r>
          </w:p>
        </w:tc>
      </w:tr>
      <w:tr w:rsidR="00814F74" w:rsidRPr="00BF06FC" w14:paraId="6CF2B791" w14:textId="77777777" w:rsidTr="008831FC">
        <w:tc>
          <w:tcPr>
            <w:tcW w:w="2070" w:type="pct"/>
            <w:vAlign w:val="center"/>
          </w:tcPr>
          <w:p w14:paraId="179F63BC" w14:textId="77777777" w:rsidR="00814F74" w:rsidRPr="00BF06FC" w:rsidRDefault="00814F74" w:rsidP="00DF5EF9">
            <w:pPr>
              <w:pStyle w:val="TableText0"/>
              <w:rPr>
                <w:rFonts w:ascii="Times" w:hAnsi="Times"/>
              </w:rPr>
            </w:pPr>
            <w:r w:rsidRPr="00BF06FC">
              <w:t>Costs</w:t>
            </w:r>
            <w:r w:rsidR="00F7099C">
              <w:t xml:space="preserve"> ($)</w:t>
            </w:r>
          </w:p>
        </w:tc>
        <w:tc>
          <w:tcPr>
            <w:tcW w:w="476" w:type="pct"/>
            <w:vAlign w:val="center"/>
          </w:tcPr>
          <w:p w14:paraId="58C1D1FA" w14:textId="77777777" w:rsidR="00814F74" w:rsidRPr="002037C2" w:rsidRDefault="002037C2" w:rsidP="00DF5EF9">
            <w:pPr>
              <w:pStyle w:val="TableText0"/>
              <w:jc w:val="center"/>
              <w:rPr>
                <w:rFonts w:ascii="Times" w:hAnsi="Times"/>
                <w:highlight w:val="black"/>
              </w:rPr>
            </w:pPr>
            <w:r>
              <w:rPr>
                <w:noProof/>
                <w:color w:val="000000"/>
                <w:highlight w:val="black"/>
              </w:rPr>
              <w:t>''''''''''''''''''</w:t>
            </w:r>
          </w:p>
        </w:tc>
        <w:tc>
          <w:tcPr>
            <w:tcW w:w="478" w:type="pct"/>
            <w:vAlign w:val="center"/>
          </w:tcPr>
          <w:p w14:paraId="1EA143E1" w14:textId="77777777" w:rsidR="00814F74" w:rsidRPr="00BF06FC" w:rsidRDefault="00814F74" w:rsidP="00DF5EF9">
            <w:pPr>
              <w:pStyle w:val="TableText0"/>
              <w:jc w:val="center"/>
              <w:rPr>
                <w:rFonts w:ascii="Times" w:hAnsi="Times"/>
              </w:rPr>
            </w:pPr>
            <w:r w:rsidRPr="00BF06FC">
              <w:t>$41,688</w:t>
            </w:r>
          </w:p>
        </w:tc>
        <w:tc>
          <w:tcPr>
            <w:tcW w:w="477" w:type="pct"/>
            <w:vAlign w:val="center"/>
          </w:tcPr>
          <w:p w14:paraId="2BB5E355" w14:textId="77777777" w:rsidR="00814F74" w:rsidRPr="002037C2" w:rsidRDefault="002037C2" w:rsidP="00DF5EF9">
            <w:pPr>
              <w:pStyle w:val="TableText0"/>
              <w:jc w:val="center"/>
              <w:rPr>
                <w:rFonts w:ascii="Times" w:hAnsi="Times"/>
                <w:highlight w:val="black"/>
              </w:rPr>
            </w:pPr>
            <w:r>
              <w:rPr>
                <w:noProof/>
                <w:color w:val="000000"/>
                <w:highlight w:val="black"/>
              </w:rPr>
              <w:t>'''''''''''''''''''</w:t>
            </w:r>
          </w:p>
        </w:tc>
        <w:tc>
          <w:tcPr>
            <w:tcW w:w="478" w:type="pct"/>
            <w:vAlign w:val="center"/>
          </w:tcPr>
          <w:p w14:paraId="7BDF107D" w14:textId="77777777" w:rsidR="00814F74" w:rsidRPr="002037C2" w:rsidRDefault="002037C2" w:rsidP="00DF5EF9">
            <w:pPr>
              <w:pStyle w:val="TableText0"/>
              <w:jc w:val="center"/>
              <w:rPr>
                <w:highlight w:val="black"/>
              </w:rPr>
            </w:pPr>
            <w:r>
              <w:rPr>
                <w:noProof/>
                <w:color w:val="000000"/>
                <w:highlight w:val="black"/>
              </w:rPr>
              <w:t>'''''''''''''''''''</w:t>
            </w:r>
          </w:p>
        </w:tc>
        <w:tc>
          <w:tcPr>
            <w:tcW w:w="477" w:type="pct"/>
            <w:vAlign w:val="center"/>
          </w:tcPr>
          <w:p w14:paraId="378878BB" w14:textId="77777777" w:rsidR="00814F74" w:rsidRPr="00BF06FC" w:rsidRDefault="00814F74" w:rsidP="00DF5EF9">
            <w:pPr>
              <w:pStyle w:val="TableText0"/>
              <w:jc w:val="center"/>
            </w:pPr>
            <w:r w:rsidRPr="00BF06FC">
              <w:t>$35,267</w:t>
            </w:r>
          </w:p>
        </w:tc>
        <w:tc>
          <w:tcPr>
            <w:tcW w:w="544" w:type="pct"/>
            <w:vAlign w:val="center"/>
          </w:tcPr>
          <w:p w14:paraId="098C7860" w14:textId="77777777" w:rsidR="00814F74" w:rsidRPr="002037C2" w:rsidRDefault="002037C2" w:rsidP="00DF5EF9">
            <w:pPr>
              <w:pStyle w:val="TableText0"/>
              <w:jc w:val="center"/>
              <w:rPr>
                <w:highlight w:val="black"/>
              </w:rPr>
            </w:pPr>
            <w:r>
              <w:rPr>
                <w:noProof/>
                <w:color w:val="000000"/>
                <w:highlight w:val="black"/>
              </w:rPr>
              <w:t>'''''''''''''''''''</w:t>
            </w:r>
          </w:p>
        </w:tc>
      </w:tr>
      <w:tr w:rsidR="00814F74" w:rsidRPr="00BF06FC" w14:paraId="68C78450" w14:textId="77777777" w:rsidTr="008831FC">
        <w:tc>
          <w:tcPr>
            <w:tcW w:w="2070" w:type="pct"/>
            <w:vAlign w:val="center"/>
          </w:tcPr>
          <w:p w14:paraId="36791476" w14:textId="77777777" w:rsidR="00814F74" w:rsidRPr="00BF06FC" w:rsidRDefault="00814F74" w:rsidP="00DF5EF9">
            <w:pPr>
              <w:pStyle w:val="TableText0"/>
            </w:pPr>
            <w:r w:rsidRPr="00BF06FC">
              <w:t>L</w:t>
            </w:r>
            <w:r w:rsidR="00F7099C" w:rsidRPr="00BF06FC">
              <w:t>y</w:t>
            </w:r>
            <w:r w:rsidRPr="00BF06FC">
              <w:t>s</w:t>
            </w:r>
          </w:p>
        </w:tc>
        <w:tc>
          <w:tcPr>
            <w:tcW w:w="476" w:type="pct"/>
            <w:vAlign w:val="center"/>
          </w:tcPr>
          <w:p w14:paraId="5E12C42A" w14:textId="77777777" w:rsidR="00814F74" w:rsidRPr="00BF06FC" w:rsidRDefault="00814F74" w:rsidP="00DF5EF9">
            <w:pPr>
              <w:pStyle w:val="TableText0"/>
              <w:jc w:val="center"/>
            </w:pPr>
            <w:r w:rsidRPr="00BF06FC">
              <w:t>2.97</w:t>
            </w:r>
          </w:p>
        </w:tc>
        <w:tc>
          <w:tcPr>
            <w:tcW w:w="478" w:type="pct"/>
            <w:vAlign w:val="center"/>
          </w:tcPr>
          <w:p w14:paraId="10FC5C2C" w14:textId="77777777" w:rsidR="00814F74" w:rsidRPr="00BF06FC" w:rsidRDefault="00814F74" w:rsidP="00DF5EF9">
            <w:pPr>
              <w:pStyle w:val="TableText0"/>
              <w:jc w:val="center"/>
            </w:pPr>
            <w:r w:rsidRPr="00BF06FC">
              <w:t>2.75</w:t>
            </w:r>
          </w:p>
        </w:tc>
        <w:tc>
          <w:tcPr>
            <w:tcW w:w="477" w:type="pct"/>
            <w:vAlign w:val="center"/>
          </w:tcPr>
          <w:p w14:paraId="3C68C074" w14:textId="77777777" w:rsidR="00814F74" w:rsidRPr="00BF06FC" w:rsidRDefault="00814F74" w:rsidP="00DF5EF9">
            <w:pPr>
              <w:pStyle w:val="TableText0"/>
              <w:jc w:val="center"/>
            </w:pPr>
            <w:r w:rsidRPr="00BF06FC">
              <w:t>0.22</w:t>
            </w:r>
          </w:p>
        </w:tc>
        <w:tc>
          <w:tcPr>
            <w:tcW w:w="478" w:type="pct"/>
            <w:vAlign w:val="center"/>
          </w:tcPr>
          <w:p w14:paraId="19ABEC06" w14:textId="77777777" w:rsidR="00814F74" w:rsidRPr="00BF06FC" w:rsidRDefault="00814F74" w:rsidP="00DF5EF9">
            <w:pPr>
              <w:pStyle w:val="TableText0"/>
              <w:jc w:val="center"/>
            </w:pPr>
            <w:r w:rsidRPr="00BF06FC">
              <w:t>3.25</w:t>
            </w:r>
          </w:p>
        </w:tc>
        <w:tc>
          <w:tcPr>
            <w:tcW w:w="477" w:type="pct"/>
            <w:vAlign w:val="center"/>
          </w:tcPr>
          <w:p w14:paraId="738A5966" w14:textId="77777777" w:rsidR="00814F74" w:rsidRPr="00BF06FC" w:rsidRDefault="00814F74" w:rsidP="00DF5EF9">
            <w:pPr>
              <w:pStyle w:val="TableText0"/>
              <w:jc w:val="center"/>
            </w:pPr>
            <w:r w:rsidRPr="00BF06FC">
              <w:t>3.08</w:t>
            </w:r>
          </w:p>
        </w:tc>
        <w:tc>
          <w:tcPr>
            <w:tcW w:w="544" w:type="pct"/>
            <w:vAlign w:val="center"/>
          </w:tcPr>
          <w:p w14:paraId="1D94993D" w14:textId="77777777" w:rsidR="00814F74" w:rsidRPr="00BF06FC" w:rsidRDefault="00814F74" w:rsidP="00DF5EF9">
            <w:pPr>
              <w:pStyle w:val="TableText0"/>
              <w:jc w:val="center"/>
            </w:pPr>
            <w:r w:rsidRPr="00BF06FC">
              <w:t>0.17</w:t>
            </w:r>
          </w:p>
        </w:tc>
      </w:tr>
      <w:tr w:rsidR="00814F74" w:rsidRPr="00BF06FC" w14:paraId="2EC29741" w14:textId="77777777" w:rsidTr="008831FC">
        <w:tc>
          <w:tcPr>
            <w:tcW w:w="2070" w:type="pct"/>
            <w:vAlign w:val="center"/>
          </w:tcPr>
          <w:p w14:paraId="492BD205" w14:textId="77777777" w:rsidR="00814F74" w:rsidRPr="00BF06FC" w:rsidRDefault="00814F74" w:rsidP="00DF5EF9">
            <w:pPr>
              <w:pStyle w:val="TableText0"/>
              <w:rPr>
                <w:rFonts w:ascii="Times" w:hAnsi="Times"/>
              </w:rPr>
            </w:pPr>
            <w:r w:rsidRPr="00BF06FC">
              <w:t>QALYs</w:t>
            </w:r>
          </w:p>
        </w:tc>
        <w:tc>
          <w:tcPr>
            <w:tcW w:w="476" w:type="pct"/>
            <w:vAlign w:val="center"/>
          </w:tcPr>
          <w:p w14:paraId="3124E54E" w14:textId="77777777" w:rsidR="00814F74" w:rsidRPr="00BF06FC" w:rsidRDefault="00814F74" w:rsidP="00DF5EF9">
            <w:pPr>
              <w:pStyle w:val="TableText0"/>
              <w:jc w:val="center"/>
              <w:rPr>
                <w:rFonts w:ascii="Times" w:hAnsi="Times"/>
              </w:rPr>
            </w:pPr>
            <w:r w:rsidRPr="00BF06FC">
              <w:t>2.29</w:t>
            </w:r>
          </w:p>
        </w:tc>
        <w:tc>
          <w:tcPr>
            <w:tcW w:w="478" w:type="pct"/>
            <w:vAlign w:val="center"/>
          </w:tcPr>
          <w:p w14:paraId="6F7DB2DB" w14:textId="77777777" w:rsidR="00814F74" w:rsidRPr="00BF06FC" w:rsidRDefault="00814F74" w:rsidP="00DF5EF9">
            <w:pPr>
              <w:pStyle w:val="TableText0"/>
              <w:jc w:val="center"/>
              <w:rPr>
                <w:rFonts w:ascii="Times" w:hAnsi="Times"/>
              </w:rPr>
            </w:pPr>
            <w:r w:rsidRPr="00BF06FC">
              <w:t>2.07</w:t>
            </w:r>
          </w:p>
        </w:tc>
        <w:tc>
          <w:tcPr>
            <w:tcW w:w="477" w:type="pct"/>
            <w:vAlign w:val="center"/>
          </w:tcPr>
          <w:p w14:paraId="44436D60" w14:textId="77777777" w:rsidR="00814F74" w:rsidRPr="00BF06FC" w:rsidRDefault="00814F74" w:rsidP="00DF5EF9">
            <w:pPr>
              <w:pStyle w:val="TableText0"/>
              <w:jc w:val="center"/>
            </w:pPr>
            <w:r w:rsidRPr="00BF06FC">
              <w:t>0.22</w:t>
            </w:r>
          </w:p>
        </w:tc>
        <w:tc>
          <w:tcPr>
            <w:tcW w:w="478" w:type="pct"/>
            <w:vAlign w:val="center"/>
          </w:tcPr>
          <w:p w14:paraId="69C7D26A" w14:textId="77777777" w:rsidR="00814F74" w:rsidRPr="00BF06FC" w:rsidRDefault="00814F74" w:rsidP="00DF5EF9">
            <w:pPr>
              <w:pStyle w:val="TableText0"/>
              <w:jc w:val="center"/>
            </w:pPr>
            <w:r w:rsidRPr="00BF06FC">
              <w:t>2.63</w:t>
            </w:r>
          </w:p>
        </w:tc>
        <w:tc>
          <w:tcPr>
            <w:tcW w:w="477" w:type="pct"/>
            <w:vAlign w:val="center"/>
          </w:tcPr>
          <w:p w14:paraId="31E024D8" w14:textId="77777777" w:rsidR="00814F74" w:rsidRPr="00BF06FC" w:rsidRDefault="00814F74" w:rsidP="00DF5EF9">
            <w:pPr>
              <w:pStyle w:val="TableText0"/>
              <w:jc w:val="center"/>
            </w:pPr>
            <w:r w:rsidRPr="00BF06FC">
              <w:t>2.44</w:t>
            </w:r>
          </w:p>
        </w:tc>
        <w:tc>
          <w:tcPr>
            <w:tcW w:w="544" w:type="pct"/>
            <w:vAlign w:val="center"/>
          </w:tcPr>
          <w:p w14:paraId="7EF2415D" w14:textId="77777777" w:rsidR="00814F74" w:rsidRPr="00BF06FC" w:rsidRDefault="00814F74" w:rsidP="00DF5EF9">
            <w:pPr>
              <w:pStyle w:val="TableText0"/>
              <w:jc w:val="center"/>
            </w:pPr>
            <w:r w:rsidRPr="00BF06FC">
              <w:t>0.19</w:t>
            </w:r>
          </w:p>
        </w:tc>
      </w:tr>
      <w:tr w:rsidR="008831FC" w:rsidRPr="00F7099C" w14:paraId="333EE931" w14:textId="77777777" w:rsidTr="008831FC">
        <w:tc>
          <w:tcPr>
            <w:tcW w:w="3024" w:type="pct"/>
            <w:gridSpan w:val="3"/>
            <w:vAlign w:val="center"/>
          </w:tcPr>
          <w:p w14:paraId="7A3165DC" w14:textId="77777777" w:rsidR="008831FC" w:rsidRPr="00BF06FC" w:rsidRDefault="008831FC" w:rsidP="008831FC">
            <w:pPr>
              <w:pStyle w:val="TableText0"/>
              <w:rPr>
                <w:rFonts w:ascii="Times" w:hAnsi="Times"/>
              </w:rPr>
            </w:pPr>
            <w:r w:rsidRPr="00BF06FC">
              <w:rPr>
                <w:b/>
                <w:bCs w:val="0"/>
              </w:rPr>
              <w:t>Incremental cost/extra QALY gained</w:t>
            </w:r>
          </w:p>
        </w:tc>
        <w:tc>
          <w:tcPr>
            <w:tcW w:w="477" w:type="pct"/>
            <w:vAlign w:val="center"/>
          </w:tcPr>
          <w:p w14:paraId="541DB38A" w14:textId="77777777" w:rsidR="008831FC" w:rsidRPr="00BF06FC" w:rsidRDefault="002037C2" w:rsidP="00DF5EF9">
            <w:pPr>
              <w:pStyle w:val="TableText0"/>
              <w:jc w:val="center"/>
              <w:rPr>
                <w:rFonts w:ascii="Times" w:hAnsi="Times"/>
                <w:b/>
                <w:bCs w:val="0"/>
              </w:rPr>
            </w:pPr>
            <w:r>
              <w:rPr>
                <w:b/>
                <w:bCs w:val="0"/>
                <w:noProof/>
                <w:color w:val="000000"/>
                <w:highlight w:val="black"/>
              </w:rPr>
              <w:t>'''''''''''''''''</w:t>
            </w:r>
            <w:r w:rsidR="00F7099C">
              <w:rPr>
                <w:vertAlign w:val="superscript"/>
              </w:rPr>
              <w:t>1</w:t>
            </w:r>
          </w:p>
        </w:tc>
        <w:tc>
          <w:tcPr>
            <w:tcW w:w="955" w:type="pct"/>
            <w:gridSpan w:val="2"/>
            <w:vAlign w:val="center"/>
          </w:tcPr>
          <w:p w14:paraId="127D9079" w14:textId="77777777" w:rsidR="008831FC" w:rsidRPr="00BF06FC" w:rsidRDefault="008831FC" w:rsidP="00DF5EF9">
            <w:pPr>
              <w:pStyle w:val="TableText0"/>
              <w:jc w:val="center"/>
            </w:pPr>
          </w:p>
        </w:tc>
        <w:tc>
          <w:tcPr>
            <w:tcW w:w="544" w:type="pct"/>
            <w:vAlign w:val="center"/>
          </w:tcPr>
          <w:p w14:paraId="761C358A" w14:textId="77777777" w:rsidR="008831FC" w:rsidRPr="002037C2" w:rsidRDefault="002037C2" w:rsidP="00DF5EF9">
            <w:pPr>
              <w:pStyle w:val="TableText0"/>
              <w:jc w:val="center"/>
              <w:rPr>
                <w:b/>
                <w:bCs w:val="0"/>
              </w:rPr>
            </w:pPr>
            <w:r>
              <w:rPr>
                <w:b/>
                <w:bCs w:val="0"/>
                <w:noProof/>
                <w:color w:val="000000"/>
                <w:highlight w:val="black"/>
              </w:rPr>
              <w:t>'''''''''''''''''''</w:t>
            </w:r>
            <w:r w:rsidR="00F7099C">
              <w:rPr>
                <w:vertAlign w:val="superscript"/>
              </w:rPr>
              <w:t>2</w:t>
            </w:r>
          </w:p>
        </w:tc>
      </w:tr>
      <w:tr w:rsidR="008831FC" w:rsidRPr="00BF06FC" w14:paraId="758FEA3B" w14:textId="77777777" w:rsidTr="008831FC">
        <w:tc>
          <w:tcPr>
            <w:tcW w:w="5000" w:type="pct"/>
            <w:gridSpan w:val="7"/>
            <w:vAlign w:val="center"/>
          </w:tcPr>
          <w:p w14:paraId="0F84D299" w14:textId="77777777" w:rsidR="008831FC" w:rsidRPr="00BF06FC" w:rsidRDefault="008831FC" w:rsidP="008831FC">
            <w:pPr>
              <w:pStyle w:val="In-tableHeading"/>
              <w:rPr>
                <w:lang w:val="en-AU"/>
              </w:rPr>
            </w:pPr>
            <w:r w:rsidRPr="00BF06FC">
              <w:rPr>
                <w:lang w:val="en-AU"/>
              </w:rPr>
              <w:t>Step 2: Time horizon, lifetime (discounted): 15-years (ITT/HV), 20 years (LV) years</w:t>
            </w:r>
          </w:p>
        </w:tc>
      </w:tr>
      <w:tr w:rsidR="00814F74" w:rsidRPr="00BF06FC" w14:paraId="4430213C" w14:textId="77777777" w:rsidTr="008831FC">
        <w:tc>
          <w:tcPr>
            <w:tcW w:w="2070" w:type="pct"/>
            <w:vAlign w:val="center"/>
          </w:tcPr>
          <w:p w14:paraId="2D19D18C" w14:textId="77777777" w:rsidR="00814F74" w:rsidRPr="00BF06FC" w:rsidRDefault="00814F74" w:rsidP="00DF5EF9">
            <w:pPr>
              <w:pStyle w:val="TableText0"/>
              <w:rPr>
                <w:rFonts w:ascii="Times" w:hAnsi="Times"/>
              </w:rPr>
            </w:pPr>
            <w:r w:rsidRPr="00BF06FC">
              <w:t>Costs</w:t>
            </w:r>
            <w:r w:rsidR="00F7099C">
              <w:t xml:space="preserve"> ($)</w:t>
            </w:r>
          </w:p>
        </w:tc>
        <w:tc>
          <w:tcPr>
            <w:tcW w:w="476" w:type="pct"/>
            <w:vAlign w:val="center"/>
          </w:tcPr>
          <w:p w14:paraId="5288A1EE" w14:textId="77777777" w:rsidR="00814F74" w:rsidRPr="002037C2" w:rsidRDefault="002037C2" w:rsidP="00DF5EF9">
            <w:pPr>
              <w:pStyle w:val="TableText0"/>
              <w:jc w:val="center"/>
              <w:rPr>
                <w:rFonts w:ascii="Times" w:hAnsi="Times"/>
                <w:highlight w:val="black"/>
              </w:rPr>
            </w:pPr>
            <w:r>
              <w:rPr>
                <w:noProof/>
                <w:color w:val="000000"/>
                <w:highlight w:val="black"/>
              </w:rPr>
              <w:t>''''''''''''''''''''''</w:t>
            </w:r>
          </w:p>
        </w:tc>
        <w:tc>
          <w:tcPr>
            <w:tcW w:w="478" w:type="pct"/>
            <w:vAlign w:val="center"/>
          </w:tcPr>
          <w:p w14:paraId="5EB8F888" w14:textId="77777777" w:rsidR="00814F74" w:rsidRPr="00BF06FC" w:rsidRDefault="00814F74" w:rsidP="00DF5EF9">
            <w:pPr>
              <w:pStyle w:val="TableText0"/>
              <w:jc w:val="center"/>
              <w:rPr>
                <w:rFonts w:ascii="Times" w:hAnsi="Times"/>
              </w:rPr>
            </w:pPr>
            <w:r w:rsidRPr="00BF06FC">
              <w:t>$74,919</w:t>
            </w:r>
          </w:p>
        </w:tc>
        <w:tc>
          <w:tcPr>
            <w:tcW w:w="477" w:type="pct"/>
            <w:vAlign w:val="center"/>
          </w:tcPr>
          <w:p w14:paraId="792367C6" w14:textId="77777777" w:rsidR="00814F74" w:rsidRPr="002037C2" w:rsidRDefault="002037C2" w:rsidP="00DF5EF9">
            <w:pPr>
              <w:pStyle w:val="TableText0"/>
              <w:jc w:val="center"/>
              <w:rPr>
                <w:rFonts w:ascii="Times" w:hAnsi="Times"/>
                <w:highlight w:val="black"/>
              </w:rPr>
            </w:pPr>
            <w:r>
              <w:rPr>
                <w:noProof/>
                <w:color w:val="000000"/>
                <w:highlight w:val="black"/>
              </w:rPr>
              <w:t>''''''''''''''''''</w:t>
            </w:r>
          </w:p>
        </w:tc>
        <w:tc>
          <w:tcPr>
            <w:tcW w:w="478" w:type="pct"/>
            <w:vAlign w:val="center"/>
          </w:tcPr>
          <w:p w14:paraId="5E51061F" w14:textId="77777777" w:rsidR="00814F74" w:rsidRPr="002037C2" w:rsidRDefault="002037C2" w:rsidP="00DF5EF9">
            <w:pPr>
              <w:pStyle w:val="TableText0"/>
              <w:jc w:val="center"/>
              <w:rPr>
                <w:highlight w:val="black"/>
              </w:rPr>
            </w:pPr>
            <w:r>
              <w:rPr>
                <w:noProof/>
                <w:color w:val="000000"/>
                <w:highlight w:val="black"/>
              </w:rPr>
              <w:t>'''''''''''''''''''''''</w:t>
            </w:r>
          </w:p>
        </w:tc>
        <w:tc>
          <w:tcPr>
            <w:tcW w:w="477" w:type="pct"/>
            <w:vAlign w:val="center"/>
          </w:tcPr>
          <w:p w14:paraId="6564C261" w14:textId="77777777" w:rsidR="00814F74" w:rsidRPr="00BF06FC" w:rsidRDefault="00814F74" w:rsidP="00DF5EF9">
            <w:pPr>
              <w:pStyle w:val="TableText0"/>
              <w:jc w:val="center"/>
            </w:pPr>
            <w:r w:rsidRPr="00BF06FC">
              <w:t>$80,335</w:t>
            </w:r>
          </w:p>
        </w:tc>
        <w:tc>
          <w:tcPr>
            <w:tcW w:w="544" w:type="pct"/>
            <w:vAlign w:val="center"/>
          </w:tcPr>
          <w:p w14:paraId="6581EB63" w14:textId="77777777" w:rsidR="00814F74" w:rsidRPr="002037C2" w:rsidRDefault="002037C2" w:rsidP="00DF5EF9">
            <w:pPr>
              <w:pStyle w:val="TableText0"/>
              <w:jc w:val="center"/>
              <w:rPr>
                <w:highlight w:val="black"/>
              </w:rPr>
            </w:pPr>
            <w:r>
              <w:rPr>
                <w:noProof/>
                <w:color w:val="000000"/>
                <w:highlight w:val="black"/>
              </w:rPr>
              <w:t>''''''''''''''''''</w:t>
            </w:r>
          </w:p>
        </w:tc>
      </w:tr>
      <w:tr w:rsidR="00814F74" w:rsidRPr="00BF06FC" w14:paraId="5DA4B665" w14:textId="77777777" w:rsidTr="008831FC">
        <w:tc>
          <w:tcPr>
            <w:tcW w:w="2070" w:type="pct"/>
            <w:vAlign w:val="center"/>
          </w:tcPr>
          <w:p w14:paraId="0577E6B3" w14:textId="77777777" w:rsidR="00814F74" w:rsidRPr="00BF06FC" w:rsidRDefault="00814F74" w:rsidP="00DF5EF9">
            <w:pPr>
              <w:pStyle w:val="TableText0"/>
            </w:pPr>
            <w:r w:rsidRPr="00BF06FC">
              <w:t>LYs</w:t>
            </w:r>
          </w:p>
        </w:tc>
        <w:tc>
          <w:tcPr>
            <w:tcW w:w="476" w:type="pct"/>
            <w:vAlign w:val="center"/>
          </w:tcPr>
          <w:p w14:paraId="63DA03B8" w14:textId="77777777" w:rsidR="00814F74" w:rsidRPr="00BF06FC" w:rsidRDefault="00814F74" w:rsidP="00DF5EF9">
            <w:pPr>
              <w:pStyle w:val="TableText0"/>
              <w:jc w:val="center"/>
            </w:pPr>
            <w:r w:rsidRPr="00BF06FC">
              <w:t>5.06</w:t>
            </w:r>
          </w:p>
        </w:tc>
        <w:tc>
          <w:tcPr>
            <w:tcW w:w="478" w:type="pct"/>
            <w:vAlign w:val="center"/>
          </w:tcPr>
          <w:p w14:paraId="3DCD8781" w14:textId="77777777" w:rsidR="00814F74" w:rsidRPr="00BF06FC" w:rsidRDefault="00814F74" w:rsidP="00DF5EF9">
            <w:pPr>
              <w:pStyle w:val="TableText0"/>
              <w:jc w:val="center"/>
            </w:pPr>
            <w:r w:rsidRPr="00BF06FC">
              <w:t>3.95</w:t>
            </w:r>
          </w:p>
        </w:tc>
        <w:tc>
          <w:tcPr>
            <w:tcW w:w="477" w:type="pct"/>
            <w:vAlign w:val="center"/>
          </w:tcPr>
          <w:p w14:paraId="10D43BA7" w14:textId="77777777" w:rsidR="00814F74" w:rsidRPr="00BF06FC" w:rsidRDefault="00814F74" w:rsidP="00DF5EF9">
            <w:pPr>
              <w:pStyle w:val="TableText0"/>
              <w:jc w:val="center"/>
            </w:pPr>
            <w:r w:rsidRPr="00BF06FC">
              <w:t>1.10</w:t>
            </w:r>
          </w:p>
        </w:tc>
        <w:tc>
          <w:tcPr>
            <w:tcW w:w="478" w:type="pct"/>
            <w:vAlign w:val="center"/>
          </w:tcPr>
          <w:p w14:paraId="39013CB3" w14:textId="77777777" w:rsidR="00814F74" w:rsidRPr="00BF06FC" w:rsidRDefault="00814F74" w:rsidP="00DF5EF9">
            <w:pPr>
              <w:pStyle w:val="TableText0"/>
              <w:jc w:val="center"/>
            </w:pPr>
            <w:r w:rsidRPr="00BF06FC">
              <w:t>6.90</w:t>
            </w:r>
          </w:p>
        </w:tc>
        <w:tc>
          <w:tcPr>
            <w:tcW w:w="477" w:type="pct"/>
            <w:vAlign w:val="center"/>
          </w:tcPr>
          <w:p w14:paraId="7F82805B" w14:textId="77777777" w:rsidR="00814F74" w:rsidRPr="00BF06FC" w:rsidRDefault="00814F74" w:rsidP="00DF5EF9">
            <w:pPr>
              <w:pStyle w:val="TableText0"/>
              <w:jc w:val="center"/>
            </w:pPr>
            <w:r w:rsidRPr="00BF06FC">
              <w:t>5.08</w:t>
            </w:r>
          </w:p>
        </w:tc>
        <w:tc>
          <w:tcPr>
            <w:tcW w:w="544" w:type="pct"/>
            <w:vAlign w:val="center"/>
          </w:tcPr>
          <w:p w14:paraId="4C832163" w14:textId="77777777" w:rsidR="00814F74" w:rsidRPr="00BF06FC" w:rsidRDefault="00814F74" w:rsidP="00DF5EF9">
            <w:pPr>
              <w:pStyle w:val="TableText0"/>
              <w:jc w:val="center"/>
            </w:pPr>
            <w:r w:rsidRPr="00BF06FC">
              <w:t>1.83</w:t>
            </w:r>
          </w:p>
        </w:tc>
      </w:tr>
      <w:tr w:rsidR="00814F74" w:rsidRPr="00BF06FC" w14:paraId="5509DBC1" w14:textId="77777777" w:rsidTr="008831FC">
        <w:tc>
          <w:tcPr>
            <w:tcW w:w="2070" w:type="pct"/>
            <w:vAlign w:val="center"/>
          </w:tcPr>
          <w:p w14:paraId="12F61BF5" w14:textId="77777777" w:rsidR="00814F74" w:rsidRPr="00BF06FC" w:rsidRDefault="00814F74" w:rsidP="00DF5EF9">
            <w:pPr>
              <w:pStyle w:val="TableText0"/>
              <w:rPr>
                <w:rFonts w:ascii="Times" w:hAnsi="Times"/>
              </w:rPr>
            </w:pPr>
            <w:r w:rsidRPr="00BF06FC">
              <w:t>QALYs</w:t>
            </w:r>
          </w:p>
        </w:tc>
        <w:tc>
          <w:tcPr>
            <w:tcW w:w="476" w:type="pct"/>
            <w:vAlign w:val="center"/>
          </w:tcPr>
          <w:p w14:paraId="069B42A0" w14:textId="77777777" w:rsidR="00814F74" w:rsidRPr="00BF06FC" w:rsidRDefault="00814F74" w:rsidP="00DF5EF9">
            <w:pPr>
              <w:pStyle w:val="TableText0"/>
              <w:jc w:val="center"/>
              <w:rPr>
                <w:rFonts w:ascii="Times" w:hAnsi="Times"/>
              </w:rPr>
            </w:pPr>
            <w:r w:rsidRPr="00BF06FC">
              <w:t>3.81</w:t>
            </w:r>
          </w:p>
        </w:tc>
        <w:tc>
          <w:tcPr>
            <w:tcW w:w="478" w:type="pct"/>
            <w:vAlign w:val="center"/>
          </w:tcPr>
          <w:p w14:paraId="0D57A595" w14:textId="77777777" w:rsidR="00814F74" w:rsidRPr="00BF06FC" w:rsidRDefault="00814F74" w:rsidP="00DF5EF9">
            <w:pPr>
              <w:pStyle w:val="TableText0"/>
              <w:jc w:val="center"/>
              <w:rPr>
                <w:rFonts w:ascii="Times" w:hAnsi="Times"/>
              </w:rPr>
            </w:pPr>
            <w:r w:rsidRPr="00BF06FC">
              <w:t>2.91</w:t>
            </w:r>
          </w:p>
        </w:tc>
        <w:tc>
          <w:tcPr>
            <w:tcW w:w="477" w:type="pct"/>
            <w:vAlign w:val="center"/>
          </w:tcPr>
          <w:p w14:paraId="7677F41B" w14:textId="77777777" w:rsidR="00814F74" w:rsidRPr="00BF06FC" w:rsidRDefault="00814F74" w:rsidP="00DF5EF9">
            <w:pPr>
              <w:pStyle w:val="TableText0"/>
              <w:jc w:val="center"/>
            </w:pPr>
            <w:r w:rsidRPr="00BF06FC">
              <w:t>0.90</w:t>
            </w:r>
          </w:p>
        </w:tc>
        <w:tc>
          <w:tcPr>
            <w:tcW w:w="478" w:type="pct"/>
            <w:vAlign w:val="center"/>
          </w:tcPr>
          <w:p w14:paraId="72DCABBD" w14:textId="77777777" w:rsidR="00814F74" w:rsidRPr="00BF06FC" w:rsidRDefault="00814F74" w:rsidP="00DF5EF9">
            <w:pPr>
              <w:pStyle w:val="TableText0"/>
              <w:jc w:val="center"/>
            </w:pPr>
            <w:r w:rsidRPr="00BF06FC">
              <w:t>5.45</w:t>
            </w:r>
          </w:p>
        </w:tc>
        <w:tc>
          <w:tcPr>
            <w:tcW w:w="477" w:type="pct"/>
            <w:vAlign w:val="center"/>
          </w:tcPr>
          <w:p w14:paraId="16B55C49" w14:textId="77777777" w:rsidR="00814F74" w:rsidRPr="00BF06FC" w:rsidRDefault="00814F74" w:rsidP="00DF5EF9">
            <w:pPr>
              <w:pStyle w:val="TableText0"/>
              <w:jc w:val="center"/>
            </w:pPr>
            <w:r w:rsidRPr="00BF06FC">
              <w:t>3.90</w:t>
            </w:r>
          </w:p>
        </w:tc>
        <w:tc>
          <w:tcPr>
            <w:tcW w:w="544" w:type="pct"/>
            <w:vAlign w:val="center"/>
          </w:tcPr>
          <w:p w14:paraId="46A22247" w14:textId="77777777" w:rsidR="00814F74" w:rsidRPr="00BF06FC" w:rsidRDefault="00814F74" w:rsidP="00DF5EF9">
            <w:pPr>
              <w:pStyle w:val="TableText0"/>
              <w:jc w:val="center"/>
            </w:pPr>
            <w:r w:rsidRPr="00BF06FC">
              <w:t>1.55</w:t>
            </w:r>
          </w:p>
        </w:tc>
      </w:tr>
      <w:tr w:rsidR="008831FC" w:rsidRPr="00BF06FC" w14:paraId="11E7EDD7" w14:textId="77777777" w:rsidTr="008831FC">
        <w:tc>
          <w:tcPr>
            <w:tcW w:w="3024" w:type="pct"/>
            <w:gridSpan w:val="3"/>
            <w:vAlign w:val="center"/>
          </w:tcPr>
          <w:p w14:paraId="76404C68" w14:textId="77777777" w:rsidR="008831FC" w:rsidRPr="00BF06FC" w:rsidRDefault="008831FC" w:rsidP="008831FC">
            <w:pPr>
              <w:pStyle w:val="TableText0"/>
              <w:rPr>
                <w:rFonts w:ascii="Times" w:hAnsi="Times"/>
                <w:b/>
              </w:rPr>
            </w:pPr>
            <w:r w:rsidRPr="00BF06FC">
              <w:rPr>
                <w:b/>
              </w:rPr>
              <w:t>Incremental cost/extra QALY gained</w:t>
            </w:r>
          </w:p>
        </w:tc>
        <w:tc>
          <w:tcPr>
            <w:tcW w:w="477" w:type="pct"/>
            <w:vAlign w:val="center"/>
          </w:tcPr>
          <w:p w14:paraId="1BC0350F" w14:textId="77777777" w:rsidR="008831FC" w:rsidRPr="00BF06FC" w:rsidRDefault="002037C2" w:rsidP="00DF5EF9">
            <w:pPr>
              <w:pStyle w:val="TableText0"/>
              <w:jc w:val="center"/>
              <w:rPr>
                <w:rFonts w:ascii="Times" w:hAnsi="Times"/>
                <w:b/>
              </w:rPr>
            </w:pPr>
            <w:r>
              <w:rPr>
                <w:b/>
                <w:noProof/>
                <w:color w:val="000000"/>
                <w:highlight w:val="black"/>
              </w:rPr>
              <w:t>''''''''''''''</w:t>
            </w:r>
            <w:r w:rsidR="00F7099C">
              <w:rPr>
                <w:vertAlign w:val="superscript"/>
              </w:rPr>
              <w:t>3</w:t>
            </w:r>
          </w:p>
        </w:tc>
        <w:tc>
          <w:tcPr>
            <w:tcW w:w="955" w:type="pct"/>
            <w:gridSpan w:val="2"/>
            <w:vAlign w:val="center"/>
          </w:tcPr>
          <w:p w14:paraId="37C03CEB" w14:textId="77777777" w:rsidR="008831FC" w:rsidRPr="00BF06FC" w:rsidRDefault="008831FC" w:rsidP="00DF5EF9">
            <w:pPr>
              <w:pStyle w:val="TableText0"/>
              <w:jc w:val="center"/>
              <w:rPr>
                <w:b/>
              </w:rPr>
            </w:pPr>
          </w:p>
        </w:tc>
        <w:tc>
          <w:tcPr>
            <w:tcW w:w="544" w:type="pct"/>
            <w:vAlign w:val="center"/>
          </w:tcPr>
          <w:p w14:paraId="64EDCD40" w14:textId="77777777" w:rsidR="008831FC" w:rsidRPr="00BF06FC" w:rsidRDefault="002037C2" w:rsidP="00DF5EF9">
            <w:pPr>
              <w:pStyle w:val="TableText0"/>
              <w:jc w:val="center"/>
              <w:rPr>
                <w:b/>
              </w:rPr>
            </w:pPr>
            <w:r>
              <w:rPr>
                <w:b/>
                <w:noProof/>
                <w:color w:val="000000"/>
                <w:highlight w:val="black"/>
              </w:rPr>
              <w:t>''''''''''''''''</w:t>
            </w:r>
            <w:r w:rsidR="00F7099C">
              <w:rPr>
                <w:vertAlign w:val="superscript"/>
              </w:rPr>
              <w:t>3</w:t>
            </w:r>
          </w:p>
        </w:tc>
      </w:tr>
    </w:tbl>
    <w:p w14:paraId="099BFF91" w14:textId="77777777" w:rsidR="00814F74" w:rsidRDefault="00814F74" w:rsidP="00814F74">
      <w:pPr>
        <w:pStyle w:val="TableFigureFooter"/>
      </w:pPr>
      <w:r w:rsidRPr="00BF06FC">
        <w:t>Source: Tables 3.34 and 3.35, p183 of the submission.</w:t>
      </w:r>
    </w:p>
    <w:p w14:paraId="40A80277" w14:textId="77777777" w:rsidR="00F7099C" w:rsidRPr="00F7099C" w:rsidRDefault="00F7099C" w:rsidP="00814F74">
      <w:pPr>
        <w:pStyle w:val="TableFigureFooter"/>
        <w:rPr>
          <w:i/>
        </w:rPr>
      </w:pPr>
      <w:r w:rsidRPr="00F7099C">
        <w:rPr>
          <w:i/>
        </w:rPr>
        <w:t>The redacted values correspond to the following ranges:</w:t>
      </w:r>
    </w:p>
    <w:p w14:paraId="08737031" w14:textId="77777777" w:rsidR="00F7099C" w:rsidRPr="00F7099C" w:rsidRDefault="00F7099C" w:rsidP="00814F74">
      <w:pPr>
        <w:pStyle w:val="TableFigureFooter"/>
        <w:rPr>
          <w:i/>
        </w:rPr>
      </w:pPr>
      <w:r w:rsidRPr="00F7099C">
        <w:rPr>
          <w:i/>
          <w:vertAlign w:val="superscript"/>
        </w:rPr>
        <w:t>1</w:t>
      </w:r>
      <w:r w:rsidRPr="00F7099C">
        <w:rPr>
          <w:i/>
        </w:rPr>
        <w:t xml:space="preserve"> $115,000 to &lt; $135,000</w:t>
      </w:r>
    </w:p>
    <w:p w14:paraId="4FA3BCED" w14:textId="77777777" w:rsidR="00F7099C" w:rsidRPr="00F7099C" w:rsidRDefault="00F7099C" w:rsidP="00814F74">
      <w:pPr>
        <w:pStyle w:val="TableFigureFooter"/>
        <w:rPr>
          <w:i/>
        </w:rPr>
      </w:pPr>
      <w:r w:rsidRPr="00F7099C">
        <w:rPr>
          <w:i/>
          <w:vertAlign w:val="superscript"/>
        </w:rPr>
        <w:t>2</w:t>
      </w:r>
      <w:r w:rsidRPr="00F7099C">
        <w:rPr>
          <w:i/>
        </w:rPr>
        <w:t xml:space="preserve"> $155,000 to &lt; $255,000</w:t>
      </w:r>
    </w:p>
    <w:p w14:paraId="5793A19E" w14:textId="77777777" w:rsidR="00F7099C" w:rsidRPr="00F7099C" w:rsidRDefault="00F7099C" w:rsidP="00814F74">
      <w:pPr>
        <w:pStyle w:val="TableFigureFooter"/>
        <w:rPr>
          <w:i/>
          <w:sz w:val="20"/>
        </w:rPr>
      </w:pPr>
      <w:r w:rsidRPr="00F7099C">
        <w:rPr>
          <w:i/>
          <w:vertAlign w:val="superscript"/>
        </w:rPr>
        <w:t>3</w:t>
      </w:r>
      <w:r w:rsidRPr="00F7099C">
        <w:rPr>
          <w:i/>
        </w:rPr>
        <w:t xml:space="preserve"> $35,000 to &lt; $45,000</w:t>
      </w:r>
    </w:p>
    <w:p w14:paraId="55AC1C37" w14:textId="77777777" w:rsidR="005D1F57" w:rsidRPr="003F72E0" w:rsidRDefault="00814F74" w:rsidP="005D1F57">
      <w:pPr>
        <w:pStyle w:val="3-BodyText"/>
        <w:rPr>
          <w:iCs/>
        </w:rPr>
      </w:pPr>
      <w:r w:rsidRPr="003F72E0">
        <w:rPr>
          <w:iCs/>
        </w:rPr>
        <w:t xml:space="preserve">The results demonstrate that </w:t>
      </w:r>
      <w:proofErr w:type="gramStart"/>
      <w:r w:rsidRPr="003F72E0">
        <w:rPr>
          <w:iCs/>
        </w:rPr>
        <w:t>the majority of</w:t>
      </w:r>
      <w:proofErr w:type="gramEnd"/>
      <w:r w:rsidRPr="003F72E0">
        <w:rPr>
          <w:iCs/>
        </w:rPr>
        <w:t xml:space="preserve"> the incremental costs in the model occur during the first 44 months and the majority of the incremental benefits accrue after 44 months.</w:t>
      </w:r>
    </w:p>
    <w:p w14:paraId="46C34073" w14:textId="77777777" w:rsidR="002012EC" w:rsidRPr="003F72E0" w:rsidRDefault="00814F74" w:rsidP="002012EC">
      <w:pPr>
        <w:pStyle w:val="3-BodyText"/>
        <w:rPr>
          <w:iCs/>
        </w:rPr>
      </w:pPr>
      <w:r w:rsidRPr="003F72E0">
        <w:rPr>
          <w:rFonts w:cs="Times New Roman"/>
          <w:iCs/>
          <w:lang w:eastAsia="en-GB"/>
        </w:rPr>
        <w:t>Disaggregated results showed that the incremental costs are driven largely by the cost of apalutamide (</w:t>
      </w:r>
      <w:r w:rsidR="00DC0E78">
        <w:rPr>
          <w:rFonts w:cs="Times New Roman"/>
          <w:iCs/>
          <w:lang w:eastAsia="en-GB"/>
        </w:rPr>
        <w:t>$</w:t>
      </w:r>
      <w:r w:rsidR="002037C2">
        <w:rPr>
          <w:rFonts w:cs="Times New Roman"/>
          <w:iCs/>
          <w:noProof/>
          <w:color w:val="000000"/>
          <w:highlight w:val="black"/>
          <w:lang w:eastAsia="en-GB"/>
        </w:rPr>
        <w:t>''''''''''''''</w:t>
      </w:r>
      <w:r w:rsidRPr="003F72E0">
        <w:rPr>
          <w:rFonts w:cs="Times New Roman"/>
          <w:iCs/>
          <w:lang w:eastAsia="en-GB"/>
        </w:rPr>
        <w:t xml:space="preserve"> in ITT/HV model, </w:t>
      </w:r>
      <w:r w:rsidR="00DC0E78">
        <w:rPr>
          <w:rFonts w:cs="Times New Roman"/>
          <w:iCs/>
          <w:lang w:eastAsia="en-GB"/>
        </w:rPr>
        <w:t>$</w:t>
      </w:r>
      <w:r w:rsidR="002037C2">
        <w:rPr>
          <w:rFonts w:cs="Times New Roman"/>
          <w:iCs/>
          <w:noProof/>
          <w:color w:val="000000"/>
          <w:highlight w:val="black"/>
          <w:lang w:eastAsia="en-GB"/>
        </w:rPr>
        <w:t>'''''''''''''</w:t>
      </w:r>
      <w:r w:rsidRPr="003F72E0">
        <w:rPr>
          <w:rFonts w:cs="Times New Roman"/>
          <w:iCs/>
          <w:lang w:eastAsia="en-GB"/>
        </w:rPr>
        <w:t xml:space="preserve"> in LV model) and cost-offsets associated with subsequent treatment (-</w:t>
      </w:r>
      <w:r w:rsidR="00DA4385">
        <w:rPr>
          <w:rFonts w:cs="Times New Roman"/>
          <w:iCs/>
          <w:lang w:eastAsia="en-GB"/>
        </w:rPr>
        <w:t>$</w:t>
      </w:r>
      <w:r w:rsidR="002037C2">
        <w:rPr>
          <w:rFonts w:cs="Times New Roman"/>
          <w:iCs/>
          <w:noProof/>
          <w:color w:val="000000"/>
          <w:highlight w:val="black"/>
          <w:lang w:eastAsia="en-GB"/>
        </w:rPr>
        <w:t>''''''''''''</w:t>
      </w:r>
      <w:r w:rsidRPr="003F72E0">
        <w:rPr>
          <w:rFonts w:cs="Times New Roman"/>
          <w:iCs/>
          <w:lang w:eastAsia="en-GB"/>
        </w:rPr>
        <w:t xml:space="preserve"> in ITT/HV model, -</w:t>
      </w:r>
      <w:r w:rsidR="00DA4385">
        <w:rPr>
          <w:rFonts w:cs="Times New Roman"/>
          <w:iCs/>
          <w:lang w:eastAsia="en-GB"/>
        </w:rPr>
        <w:t>$</w:t>
      </w:r>
      <w:r w:rsidR="002037C2">
        <w:rPr>
          <w:rFonts w:cs="Times New Roman"/>
          <w:iCs/>
          <w:noProof/>
          <w:color w:val="000000"/>
          <w:highlight w:val="black"/>
          <w:lang w:eastAsia="en-GB"/>
        </w:rPr>
        <w:t>''''''''''''</w:t>
      </w:r>
      <w:r w:rsidRPr="003F72E0">
        <w:rPr>
          <w:rFonts w:cs="Times New Roman"/>
          <w:iCs/>
          <w:lang w:eastAsia="en-GB"/>
        </w:rPr>
        <w:t xml:space="preserve"> in LV model)</w:t>
      </w:r>
      <w:r w:rsidR="005D1F57" w:rsidRPr="003F72E0">
        <w:rPr>
          <w:rFonts w:cs="Times New Roman"/>
          <w:iCs/>
          <w:lang w:eastAsia="en-GB"/>
        </w:rPr>
        <w:t xml:space="preserve">. </w:t>
      </w:r>
      <w:r w:rsidRPr="003F72E0">
        <w:rPr>
          <w:rFonts w:cs="Times New Roman"/>
          <w:iCs/>
          <w:lang w:eastAsia="en-GB"/>
        </w:rPr>
        <w:t xml:space="preserve">There was a modest increase in the costs for monitoring and background ADT due to the improved overall survival, but this was more than offset by delayed/reduced use of other therapies for </w:t>
      </w:r>
      <w:proofErr w:type="spellStart"/>
      <w:r w:rsidRPr="003F72E0">
        <w:rPr>
          <w:rFonts w:cs="Times New Roman"/>
          <w:iCs/>
          <w:lang w:eastAsia="en-GB"/>
        </w:rPr>
        <w:t>mCRPC</w:t>
      </w:r>
      <w:proofErr w:type="spellEnd"/>
      <w:r w:rsidRPr="003F72E0">
        <w:rPr>
          <w:rFonts w:cs="Times New Roman"/>
          <w:iCs/>
          <w:lang w:eastAsia="en-GB"/>
        </w:rPr>
        <w:t xml:space="preserve"> and end of life costs. The results also showed that the incremental benefits are due to the survival gain spent with progression-free disease. The model predicts moving NHA treatment forward leads to 19.7 months (undiscounted) additional survival with progression-free disease </w:t>
      </w:r>
      <w:r w:rsidR="005D1F57" w:rsidRPr="003F72E0">
        <w:rPr>
          <w:rFonts w:cs="Times New Roman"/>
          <w:iCs/>
          <w:lang w:eastAsia="en-GB"/>
        </w:rPr>
        <w:t>and 18.1 months (</w:t>
      </w:r>
      <w:r w:rsidR="008C0602" w:rsidRPr="003F72E0">
        <w:rPr>
          <w:rFonts w:cs="Times New Roman"/>
          <w:iCs/>
          <w:lang w:eastAsia="en-GB"/>
        </w:rPr>
        <w:t>undiscounted</w:t>
      </w:r>
      <w:r w:rsidR="005D1F57" w:rsidRPr="003F72E0">
        <w:rPr>
          <w:rFonts w:cs="Times New Roman"/>
          <w:iCs/>
          <w:lang w:eastAsia="en-GB"/>
        </w:rPr>
        <w:t xml:space="preserve">) overall </w:t>
      </w:r>
      <w:r w:rsidRPr="003F72E0">
        <w:rPr>
          <w:rFonts w:cs="Times New Roman"/>
          <w:iCs/>
          <w:lang w:eastAsia="en-GB"/>
        </w:rPr>
        <w:t>in the ITT/HV model, and 37.3 months (undiscounted) additional survival with progression-free disease</w:t>
      </w:r>
      <w:r w:rsidR="00940356" w:rsidRPr="003F72E0">
        <w:rPr>
          <w:rFonts w:cs="Times New Roman"/>
          <w:iCs/>
          <w:lang w:eastAsia="en-GB"/>
        </w:rPr>
        <w:t xml:space="preserve"> and 33.8 months (undiscounted) overall</w:t>
      </w:r>
      <w:r w:rsidRPr="003F72E0">
        <w:rPr>
          <w:rFonts w:cs="Times New Roman"/>
          <w:iCs/>
          <w:lang w:eastAsia="en-GB"/>
        </w:rPr>
        <w:t xml:space="preserve"> in the LV model.</w:t>
      </w:r>
    </w:p>
    <w:p w14:paraId="4B8C46C8" w14:textId="77777777" w:rsidR="00B373F2" w:rsidRPr="00BF06FC" w:rsidRDefault="00E2330A" w:rsidP="002012EC">
      <w:pPr>
        <w:pStyle w:val="3-BodyText"/>
        <w:rPr>
          <w:i/>
        </w:rPr>
      </w:pPr>
      <w:r>
        <w:t>Table 10</w:t>
      </w:r>
      <w:r w:rsidR="00814F74" w:rsidRPr="00BF06FC">
        <w:t xml:space="preserve"> presents key univariate and multivariate sensitivity analyses</w:t>
      </w:r>
      <w:r w:rsidR="004D7C2F" w:rsidRPr="00BF06FC">
        <w:t>.</w:t>
      </w:r>
    </w:p>
    <w:p w14:paraId="5F8439AD" w14:textId="77777777" w:rsidR="00814F74" w:rsidRPr="00BF06FC" w:rsidRDefault="00E2330A" w:rsidP="003F72E0">
      <w:pPr>
        <w:pStyle w:val="TableFigureHeading"/>
        <w:rPr>
          <w:b w:val="0"/>
          <w:bCs w:val="0"/>
          <w:szCs w:val="16"/>
        </w:rPr>
      </w:pPr>
      <w:r>
        <w:rPr>
          <w:rStyle w:val="CommentReference"/>
          <w:b/>
          <w:bCs w:val="0"/>
        </w:rPr>
        <w:lastRenderedPageBreak/>
        <w:t>Table 10</w:t>
      </w:r>
      <w:r w:rsidR="00B373F2" w:rsidRPr="00BF06FC">
        <w:rPr>
          <w:rStyle w:val="CommentReference"/>
          <w:b/>
          <w:bCs w:val="0"/>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89"/>
        <w:gridCol w:w="919"/>
        <w:gridCol w:w="920"/>
        <w:gridCol w:w="920"/>
        <w:gridCol w:w="920"/>
        <w:gridCol w:w="920"/>
        <w:gridCol w:w="929"/>
      </w:tblGrid>
      <w:tr w:rsidR="005C5D52" w:rsidRPr="003F72E0" w14:paraId="2D79408C" w14:textId="77777777" w:rsidTr="00A0257A">
        <w:trPr>
          <w:tblHeader/>
        </w:trPr>
        <w:tc>
          <w:tcPr>
            <w:tcW w:w="1935" w:type="pct"/>
            <w:vMerge w:val="restart"/>
            <w:vAlign w:val="center"/>
          </w:tcPr>
          <w:p w14:paraId="6EA58593" w14:textId="77777777" w:rsidR="005C5D52" w:rsidRPr="003F72E0" w:rsidRDefault="005C5D52" w:rsidP="003F72E0">
            <w:pPr>
              <w:pStyle w:val="In-tableHeading"/>
              <w:rPr>
                <w:lang w:val="en-AU"/>
              </w:rPr>
            </w:pPr>
            <w:r w:rsidRPr="003F72E0">
              <w:rPr>
                <w:lang w:val="en-AU"/>
              </w:rPr>
              <w:t>Analyses</w:t>
            </w:r>
          </w:p>
        </w:tc>
        <w:tc>
          <w:tcPr>
            <w:tcW w:w="1530" w:type="pct"/>
            <w:gridSpan w:val="3"/>
          </w:tcPr>
          <w:p w14:paraId="5F024F89" w14:textId="77777777" w:rsidR="005C5D52" w:rsidRPr="003F72E0" w:rsidRDefault="005C5D52" w:rsidP="003F72E0">
            <w:pPr>
              <w:pStyle w:val="In-tableHeading"/>
              <w:jc w:val="center"/>
              <w:rPr>
                <w:lang w:val="en-AU"/>
              </w:rPr>
            </w:pPr>
            <w:r w:rsidRPr="003F72E0">
              <w:rPr>
                <w:lang w:val="en-AU"/>
              </w:rPr>
              <w:t>ITT/HV model</w:t>
            </w:r>
          </w:p>
        </w:tc>
        <w:tc>
          <w:tcPr>
            <w:tcW w:w="1535" w:type="pct"/>
            <w:gridSpan w:val="3"/>
          </w:tcPr>
          <w:p w14:paraId="76B233C7" w14:textId="77777777" w:rsidR="005C5D52" w:rsidRPr="003F72E0" w:rsidRDefault="005C5D52" w:rsidP="003F72E0">
            <w:pPr>
              <w:pStyle w:val="In-tableHeading"/>
              <w:jc w:val="center"/>
              <w:rPr>
                <w:lang w:val="en-AU"/>
              </w:rPr>
            </w:pPr>
            <w:r w:rsidRPr="003F72E0">
              <w:rPr>
                <w:lang w:val="en-AU"/>
              </w:rPr>
              <w:t>LV model</w:t>
            </w:r>
          </w:p>
        </w:tc>
      </w:tr>
      <w:tr w:rsidR="005C5D52" w:rsidRPr="003F72E0" w14:paraId="4D73F1EB" w14:textId="77777777" w:rsidTr="00A0257A">
        <w:trPr>
          <w:tblHeader/>
        </w:trPr>
        <w:tc>
          <w:tcPr>
            <w:tcW w:w="1935" w:type="pct"/>
            <w:vMerge/>
          </w:tcPr>
          <w:p w14:paraId="1FADFA07" w14:textId="77777777" w:rsidR="005C5D52" w:rsidRPr="003F72E0" w:rsidRDefault="005C5D52" w:rsidP="003F72E0">
            <w:pPr>
              <w:pStyle w:val="In-tableHeading"/>
              <w:rPr>
                <w:lang w:val="en-AU"/>
              </w:rPr>
            </w:pPr>
          </w:p>
        </w:tc>
        <w:tc>
          <w:tcPr>
            <w:tcW w:w="1020" w:type="pct"/>
            <w:gridSpan w:val="2"/>
          </w:tcPr>
          <w:p w14:paraId="705D96BD" w14:textId="77777777" w:rsidR="005C5D52" w:rsidRPr="003F72E0" w:rsidRDefault="005C5D52" w:rsidP="003F72E0">
            <w:pPr>
              <w:pStyle w:val="In-tableHeading"/>
              <w:jc w:val="center"/>
              <w:rPr>
                <w:lang w:val="en-AU"/>
              </w:rPr>
            </w:pPr>
            <w:r w:rsidRPr="003F72E0">
              <w:rPr>
                <w:lang w:val="en-AU"/>
              </w:rPr>
              <w:t>Incremental</w:t>
            </w:r>
          </w:p>
        </w:tc>
        <w:tc>
          <w:tcPr>
            <w:tcW w:w="510" w:type="pct"/>
            <w:vMerge w:val="restart"/>
            <w:vAlign w:val="center"/>
          </w:tcPr>
          <w:p w14:paraId="516CB357" w14:textId="77777777" w:rsidR="005C5D52" w:rsidRPr="003F72E0" w:rsidRDefault="005C5D52" w:rsidP="003F72E0">
            <w:pPr>
              <w:pStyle w:val="In-tableHeading"/>
              <w:jc w:val="center"/>
              <w:rPr>
                <w:lang w:val="en-AU"/>
              </w:rPr>
            </w:pPr>
            <w:r w:rsidRPr="003F72E0">
              <w:rPr>
                <w:lang w:val="en-AU"/>
              </w:rPr>
              <w:t>ICER</w:t>
            </w:r>
          </w:p>
        </w:tc>
        <w:tc>
          <w:tcPr>
            <w:tcW w:w="1020" w:type="pct"/>
            <w:gridSpan w:val="2"/>
          </w:tcPr>
          <w:p w14:paraId="5228F2FC" w14:textId="77777777" w:rsidR="005C5D52" w:rsidRPr="003F72E0" w:rsidRDefault="005C5D52" w:rsidP="003F72E0">
            <w:pPr>
              <w:pStyle w:val="In-tableHeading"/>
              <w:jc w:val="center"/>
              <w:rPr>
                <w:lang w:val="en-AU"/>
              </w:rPr>
            </w:pPr>
            <w:r w:rsidRPr="003F72E0">
              <w:rPr>
                <w:lang w:val="en-AU"/>
              </w:rPr>
              <w:t>Incremental</w:t>
            </w:r>
          </w:p>
        </w:tc>
        <w:tc>
          <w:tcPr>
            <w:tcW w:w="515" w:type="pct"/>
            <w:vMerge w:val="restart"/>
            <w:vAlign w:val="center"/>
          </w:tcPr>
          <w:p w14:paraId="07FE9A59" w14:textId="77777777" w:rsidR="005C5D52" w:rsidRPr="003F72E0" w:rsidRDefault="005C5D52" w:rsidP="003F72E0">
            <w:pPr>
              <w:pStyle w:val="In-tableHeading"/>
              <w:jc w:val="center"/>
              <w:rPr>
                <w:lang w:val="en-AU"/>
              </w:rPr>
            </w:pPr>
            <w:r w:rsidRPr="003F72E0">
              <w:rPr>
                <w:lang w:val="en-AU"/>
              </w:rPr>
              <w:t>ICER</w:t>
            </w:r>
          </w:p>
        </w:tc>
      </w:tr>
      <w:tr w:rsidR="005C5D52" w:rsidRPr="003F72E0" w14:paraId="135A8BA3" w14:textId="77777777" w:rsidTr="00A0257A">
        <w:trPr>
          <w:tblHeader/>
        </w:trPr>
        <w:tc>
          <w:tcPr>
            <w:tcW w:w="1935" w:type="pct"/>
            <w:vMerge/>
          </w:tcPr>
          <w:p w14:paraId="741496F0" w14:textId="77777777" w:rsidR="005C5D52" w:rsidRPr="003F72E0" w:rsidRDefault="005C5D52" w:rsidP="003F72E0">
            <w:pPr>
              <w:pStyle w:val="In-tableHeading"/>
              <w:rPr>
                <w:lang w:val="en-AU"/>
              </w:rPr>
            </w:pPr>
          </w:p>
        </w:tc>
        <w:tc>
          <w:tcPr>
            <w:tcW w:w="510" w:type="pct"/>
          </w:tcPr>
          <w:p w14:paraId="54EF7BD5" w14:textId="77777777" w:rsidR="005C5D52" w:rsidRPr="003F72E0" w:rsidRDefault="005C5D52" w:rsidP="003F72E0">
            <w:pPr>
              <w:pStyle w:val="In-tableHeading"/>
              <w:jc w:val="center"/>
              <w:rPr>
                <w:lang w:val="en-AU"/>
              </w:rPr>
            </w:pPr>
            <w:r w:rsidRPr="003F72E0">
              <w:rPr>
                <w:lang w:val="en-AU"/>
              </w:rPr>
              <w:t>Cost</w:t>
            </w:r>
            <w:r w:rsidR="00BD3E78">
              <w:rPr>
                <w:lang w:val="en-AU"/>
              </w:rPr>
              <w:t xml:space="preserve"> ($)</w:t>
            </w:r>
          </w:p>
        </w:tc>
        <w:tc>
          <w:tcPr>
            <w:tcW w:w="510" w:type="pct"/>
          </w:tcPr>
          <w:p w14:paraId="026E83F5" w14:textId="77777777" w:rsidR="005C5D52" w:rsidRPr="003F72E0" w:rsidRDefault="005C5D52" w:rsidP="003F72E0">
            <w:pPr>
              <w:pStyle w:val="In-tableHeading"/>
              <w:jc w:val="center"/>
              <w:rPr>
                <w:lang w:val="en-AU"/>
              </w:rPr>
            </w:pPr>
            <w:r w:rsidRPr="003F72E0">
              <w:rPr>
                <w:lang w:val="en-AU"/>
              </w:rPr>
              <w:t>QALY</w:t>
            </w:r>
          </w:p>
        </w:tc>
        <w:tc>
          <w:tcPr>
            <w:tcW w:w="510" w:type="pct"/>
            <w:vMerge/>
          </w:tcPr>
          <w:p w14:paraId="64C8FEDB" w14:textId="77777777" w:rsidR="005C5D52" w:rsidRPr="003F72E0" w:rsidRDefault="005C5D52" w:rsidP="003F72E0">
            <w:pPr>
              <w:pStyle w:val="In-tableHeading"/>
              <w:jc w:val="center"/>
              <w:rPr>
                <w:lang w:val="en-AU"/>
              </w:rPr>
            </w:pPr>
          </w:p>
        </w:tc>
        <w:tc>
          <w:tcPr>
            <w:tcW w:w="510" w:type="pct"/>
          </w:tcPr>
          <w:p w14:paraId="0DE601E3" w14:textId="77777777" w:rsidR="005C5D52" w:rsidRPr="003F72E0" w:rsidRDefault="005C5D52" w:rsidP="003F72E0">
            <w:pPr>
              <w:pStyle w:val="In-tableHeading"/>
              <w:jc w:val="center"/>
              <w:rPr>
                <w:lang w:val="en-AU"/>
              </w:rPr>
            </w:pPr>
            <w:r w:rsidRPr="003F72E0">
              <w:rPr>
                <w:lang w:val="en-AU"/>
              </w:rPr>
              <w:t>Cost</w:t>
            </w:r>
            <w:r w:rsidR="00BD3E78">
              <w:rPr>
                <w:lang w:val="en-AU"/>
              </w:rPr>
              <w:t xml:space="preserve"> ($)</w:t>
            </w:r>
          </w:p>
        </w:tc>
        <w:tc>
          <w:tcPr>
            <w:tcW w:w="510" w:type="pct"/>
          </w:tcPr>
          <w:p w14:paraId="4BE32247" w14:textId="77777777" w:rsidR="005C5D52" w:rsidRPr="003F72E0" w:rsidRDefault="005C5D52" w:rsidP="003F72E0">
            <w:pPr>
              <w:pStyle w:val="In-tableHeading"/>
              <w:jc w:val="center"/>
              <w:rPr>
                <w:lang w:val="en-AU"/>
              </w:rPr>
            </w:pPr>
            <w:r w:rsidRPr="003F72E0">
              <w:rPr>
                <w:lang w:val="en-AU"/>
              </w:rPr>
              <w:t>QALY</w:t>
            </w:r>
          </w:p>
        </w:tc>
        <w:tc>
          <w:tcPr>
            <w:tcW w:w="515" w:type="pct"/>
            <w:vMerge/>
          </w:tcPr>
          <w:p w14:paraId="63A6DC33" w14:textId="77777777" w:rsidR="005C5D52" w:rsidRPr="003F72E0" w:rsidRDefault="005C5D52" w:rsidP="003F72E0">
            <w:pPr>
              <w:pStyle w:val="In-tableHeading"/>
              <w:jc w:val="center"/>
              <w:rPr>
                <w:lang w:val="en-AU"/>
              </w:rPr>
            </w:pPr>
          </w:p>
        </w:tc>
      </w:tr>
      <w:tr w:rsidR="005C5D52" w:rsidRPr="003F72E0" w14:paraId="017387C8" w14:textId="77777777" w:rsidTr="00A0257A">
        <w:tc>
          <w:tcPr>
            <w:tcW w:w="1935" w:type="pct"/>
            <w:tcBorders>
              <w:bottom w:val="single" w:sz="4" w:space="0" w:color="auto"/>
            </w:tcBorders>
          </w:tcPr>
          <w:p w14:paraId="13ABB067" w14:textId="77777777" w:rsidR="005C5D52" w:rsidRPr="003F72E0" w:rsidRDefault="005C5D52" w:rsidP="003F72E0">
            <w:pPr>
              <w:pStyle w:val="TableText0"/>
              <w:rPr>
                <w:b/>
              </w:rPr>
            </w:pPr>
            <w:r w:rsidRPr="003F72E0">
              <w:rPr>
                <w:b/>
              </w:rPr>
              <w:t>Base case</w:t>
            </w:r>
          </w:p>
        </w:tc>
        <w:tc>
          <w:tcPr>
            <w:tcW w:w="510" w:type="pct"/>
            <w:tcBorders>
              <w:bottom w:val="single" w:sz="4" w:space="0" w:color="auto"/>
            </w:tcBorders>
          </w:tcPr>
          <w:p w14:paraId="3C9B1E22" w14:textId="77777777" w:rsidR="005C5D52" w:rsidRPr="002037C2" w:rsidRDefault="002037C2" w:rsidP="003F72E0">
            <w:pPr>
              <w:pStyle w:val="TableText0"/>
              <w:jc w:val="center"/>
              <w:rPr>
                <w:b/>
                <w:highlight w:val="black"/>
              </w:rPr>
            </w:pPr>
            <w:r>
              <w:rPr>
                <w:b/>
                <w:noProof/>
                <w:color w:val="000000"/>
                <w:highlight w:val="black"/>
              </w:rPr>
              <w:t>'''''''''''''''</w:t>
            </w:r>
          </w:p>
        </w:tc>
        <w:tc>
          <w:tcPr>
            <w:tcW w:w="510" w:type="pct"/>
            <w:tcBorders>
              <w:bottom w:val="single" w:sz="4" w:space="0" w:color="auto"/>
            </w:tcBorders>
          </w:tcPr>
          <w:p w14:paraId="25DFD977" w14:textId="77777777" w:rsidR="005C5D52" w:rsidRPr="003F72E0" w:rsidRDefault="005C5D52" w:rsidP="003F72E0">
            <w:pPr>
              <w:pStyle w:val="TableText0"/>
              <w:jc w:val="center"/>
              <w:rPr>
                <w:b/>
              </w:rPr>
            </w:pPr>
            <w:r w:rsidRPr="003F72E0">
              <w:rPr>
                <w:b/>
              </w:rPr>
              <w:t>0.90</w:t>
            </w:r>
          </w:p>
        </w:tc>
        <w:tc>
          <w:tcPr>
            <w:tcW w:w="510" w:type="pct"/>
            <w:tcBorders>
              <w:bottom w:val="single" w:sz="4" w:space="0" w:color="auto"/>
            </w:tcBorders>
          </w:tcPr>
          <w:p w14:paraId="17A67F47" w14:textId="77777777" w:rsidR="005C5D52" w:rsidRPr="002037C2" w:rsidRDefault="002037C2" w:rsidP="003F72E0">
            <w:pPr>
              <w:pStyle w:val="TableText0"/>
              <w:jc w:val="center"/>
              <w:rPr>
                <w:b/>
              </w:rPr>
            </w:pPr>
            <w:r>
              <w:rPr>
                <w:b/>
                <w:noProof/>
                <w:color w:val="000000"/>
                <w:highlight w:val="black"/>
              </w:rPr>
              <w:t>''''''''''''''''</w:t>
            </w:r>
            <w:r w:rsidR="00355DAA">
              <w:rPr>
                <w:vertAlign w:val="superscript"/>
              </w:rPr>
              <w:t>1</w:t>
            </w:r>
          </w:p>
        </w:tc>
        <w:tc>
          <w:tcPr>
            <w:tcW w:w="510" w:type="pct"/>
            <w:tcBorders>
              <w:bottom w:val="single" w:sz="4" w:space="0" w:color="auto"/>
            </w:tcBorders>
          </w:tcPr>
          <w:p w14:paraId="696D807C" w14:textId="77777777" w:rsidR="005C5D52" w:rsidRPr="002037C2" w:rsidRDefault="002037C2" w:rsidP="003F72E0">
            <w:pPr>
              <w:pStyle w:val="TableText0"/>
              <w:jc w:val="center"/>
              <w:rPr>
                <w:b/>
                <w:highlight w:val="black"/>
              </w:rPr>
            </w:pPr>
            <w:r>
              <w:rPr>
                <w:b/>
                <w:noProof/>
                <w:color w:val="000000"/>
                <w:highlight w:val="black"/>
              </w:rPr>
              <w:t>''''''''''''''</w:t>
            </w:r>
          </w:p>
        </w:tc>
        <w:tc>
          <w:tcPr>
            <w:tcW w:w="510" w:type="pct"/>
            <w:tcBorders>
              <w:bottom w:val="single" w:sz="4" w:space="0" w:color="auto"/>
            </w:tcBorders>
          </w:tcPr>
          <w:p w14:paraId="28E71002" w14:textId="77777777" w:rsidR="005C5D52" w:rsidRPr="003F72E0" w:rsidRDefault="005C5D52" w:rsidP="003F72E0">
            <w:pPr>
              <w:pStyle w:val="TableText0"/>
              <w:jc w:val="center"/>
              <w:rPr>
                <w:b/>
              </w:rPr>
            </w:pPr>
            <w:r w:rsidRPr="003F72E0">
              <w:rPr>
                <w:b/>
              </w:rPr>
              <w:t>1.55</w:t>
            </w:r>
          </w:p>
        </w:tc>
        <w:tc>
          <w:tcPr>
            <w:tcW w:w="515" w:type="pct"/>
            <w:tcBorders>
              <w:bottom w:val="single" w:sz="4" w:space="0" w:color="auto"/>
            </w:tcBorders>
          </w:tcPr>
          <w:p w14:paraId="435DD2FA" w14:textId="77777777" w:rsidR="005C5D52" w:rsidRPr="002037C2" w:rsidRDefault="002037C2" w:rsidP="003F72E0">
            <w:pPr>
              <w:pStyle w:val="TableText0"/>
              <w:jc w:val="center"/>
              <w:rPr>
                <w:b/>
              </w:rPr>
            </w:pPr>
            <w:r>
              <w:rPr>
                <w:b/>
                <w:noProof/>
                <w:color w:val="000000"/>
                <w:highlight w:val="black"/>
              </w:rPr>
              <w:t>'''''''''''''''''</w:t>
            </w:r>
            <w:r w:rsidR="00595759">
              <w:rPr>
                <w:vertAlign w:val="superscript"/>
              </w:rPr>
              <w:t>1</w:t>
            </w:r>
          </w:p>
        </w:tc>
      </w:tr>
      <w:tr w:rsidR="005C5D52" w:rsidRPr="003F72E0" w14:paraId="6E4B3FB6" w14:textId="77777777" w:rsidTr="00A0257A">
        <w:tc>
          <w:tcPr>
            <w:tcW w:w="1935" w:type="pct"/>
            <w:tcBorders>
              <w:bottom w:val="nil"/>
            </w:tcBorders>
          </w:tcPr>
          <w:p w14:paraId="482CB7A8" w14:textId="77777777" w:rsidR="005C5D52" w:rsidRPr="003F72E0" w:rsidRDefault="005C5D52" w:rsidP="003F72E0">
            <w:pPr>
              <w:pStyle w:val="TableText0"/>
            </w:pPr>
            <w:r w:rsidRPr="003F72E0">
              <w:t>Discount rate (BC: 5%))</w:t>
            </w:r>
          </w:p>
        </w:tc>
        <w:tc>
          <w:tcPr>
            <w:tcW w:w="510" w:type="pct"/>
            <w:tcBorders>
              <w:bottom w:val="nil"/>
            </w:tcBorders>
          </w:tcPr>
          <w:p w14:paraId="768E841E" w14:textId="77777777" w:rsidR="005C5D52" w:rsidRPr="002037C2" w:rsidRDefault="005C5D52" w:rsidP="003F72E0">
            <w:pPr>
              <w:pStyle w:val="TableText0"/>
              <w:jc w:val="center"/>
            </w:pPr>
          </w:p>
        </w:tc>
        <w:tc>
          <w:tcPr>
            <w:tcW w:w="510" w:type="pct"/>
            <w:tcBorders>
              <w:bottom w:val="nil"/>
            </w:tcBorders>
          </w:tcPr>
          <w:p w14:paraId="546F6144" w14:textId="77777777" w:rsidR="005C5D52" w:rsidRPr="003F72E0" w:rsidRDefault="005C5D52" w:rsidP="003F72E0">
            <w:pPr>
              <w:pStyle w:val="TableText0"/>
              <w:jc w:val="center"/>
            </w:pPr>
          </w:p>
        </w:tc>
        <w:tc>
          <w:tcPr>
            <w:tcW w:w="510" w:type="pct"/>
            <w:tcBorders>
              <w:bottom w:val="nil"/>
            </w:tcBorders>
          </w:tcPr>
          <w:p w14:paraId="4FF35CF9" w14:textId="77777777" w:rsidR="005C5D52" w:rsidRPr="002037C2" w:rsidRDefault="005C5D52" w:rsidP="003F72E0">
            <w:pPr>
              <w:pStyle w:val="TableText0"/>
              <w:jc w:val="center"/>
            </w:pPr>
          </w:p>
        </w:tc>
        <w:tc>
          <w:tcPr>
            <w:tcW w:w="510" w:type="pct"/>
            <w:tcBorders>
              <w:bottom w:val="nil"/>
            </w:tcBorders>
          </w:tcPr>
          <w:p w14:paraId="46428C2E" w14:textId="77777777" w:rsidR="005C5D52" w:rsidRPr="002037C2" w:rsidRDefault="005C5D52" w:rsidP="003F72E0">
            <w:pPr>
              <w:pStyle w:val="TableText0"/>
              <w:jc w:val="center"/>
            </w:pPr>
          </w:p>
        </w:tc>
        <w:tc>
          <w:tcPr>
            <w:tcW w:w="510" w:type="pct"/>
            <w:tcBorders>
              <w:bottom w:val="nil"/>
            </w:tcBorders>
          </w:tcPr>
          <w:p w14:paraId="0208A4BF" w14:textId="77777777" w:rsidR="005C5D52" w:rsidRPr="003F72E0" w:rsidRDefault="005C5D52" w:rsidP="003F72E0">
            <w:pPr>
              <w:pStyle w:val="TableText0"/>
              <w:jc w:val="center"/>
            </w:pPr>
          </w:p>
        </w:tc>
        <w:tc>
          <w:tcPr>
            <w:tcW w:w="515" w:type="pct"/>
            <w:tcBorders>
              <w:bottom w:val="nil"/>
            </w:tcBorders>
          </w:tcPr>
          <w:p w14:paraId="20A4D34F" w14:textId="77777777" w:rsidR="005C5D52" w:rsidRPr="002037C2" w:rsidRDefault="005C5D52" w:rsidP="003F72E0">
            <w:pPr>
              <w:pStyle w:val="TableText0"/>
              <w:jc w:val="center"/>
            </w:pPr>
          </w:p>
        </w:tc>
      </w:tr>
      <w:tr w:rsidR="005C5D52" w:rsidRPr="003F72E0" w14:paraId="3DBEEE0D" w14:textId="77777777" w:rsidTr="00A0257A">
        <w:tc>
          <w:tcPr>
            <w:tcW w:w="1935" w:type="pct"/>
            <w:tcBorders>
              <w:top w:val="nil"/>
              <w:bottom w:val="nil"/>
            </w:tcBorders>
          </w:tcPr>
          <w:p w14:paraId="57D81AEF" w14:textId="77777777" w:rsidR="005C5D52" w:rsidRPr="003F72E0" w:rsidRDefault="005C5D52" w:rsidP="003F72E0">
            <w:pPr>
              <w:pStyle w:val="TableText0"/>
              <w:ind w:left="112"/>
            </w:pPr>
            <w:r w:rsidRPr="003F72E0">
              <w:t>0%</w:t>
            </w:r>
          </w:p>
        </w:tc>
        <w:tc>
          <w:tcPr>
            <w:tcW w:w="510" w:type="pct"/>
            <w:tcBorders>
              <w:top w:val="nil"/>
              <w:bottom w:val="nil"/>
            </w:tcBorders>
          </w:tcPr>
          <w:p w14:paraId="188E195E" w14:textId="77777777" w:rsidR="005C5D52" w:rsidRPr="002037C2" w:rsidRDefault="002037C2" w:rsidP="003F72E0">
            <w:pPr>
              <w:pStyle w:val="TableText0"/>
              <w:jc w:val="center"/>
              <w:rPr>
                <w:highlight w:val="black"/>
              </w:rPr>
            </w:pPr>
            <w:r>
              <w:rPr>
                <w:noProof/>
                <w:color w:val="000000"/>
                <w:highlight w:val="black"/>
              </w:rPr>
              <w:t>''''''''''''''''''</w:t>
            </w:r>
          </w:p>
        </w:tc>
        <w:tc>
          <w:tcPr>
            <w:tcW w:w="510" w:type="pct"/>
            <w:tcBorders>
              <w:top w:val="nil"/>
              <w:bottom w:val="nil"/>
            </w:tcBorders>
          </w:tcPr>
          <w:p w14:paraId="1E6FFD1F" w14:textId="77777777" w:rsidR="005C5D52" w:rsidRPr="003F72E0" w:rsidRDefault="005C5D52" w:rsidP="003F72E0">
            <w:pPr>
              <w:pStyle w:val="TableText0"/>
              <w:jc w:val="center"/>
            </w:pPr>
            <w:r w:rsidRPr="003F72E0">
              <w:t>1.21</w:t>
            </w:r>
          </w:p>
        </w:tc>
        <w:tc>
          <w:tcPr>
            <w:tcW w:w="510" w:type="pct"/>
            <w:tcBorders>
              <w:top w:val="nil"/>
              <w:bottom w:val="nil"/>
            </w:tcBorders>
          </w:tcPr>
          <w:p w14:paraId="494E5D29" w14:textId="77777777" w:rsidR="005C5D52" w:rsidRPr="002037C2" w:rsidRDefault="002037C2" w:rsidP="003F72E0">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5E58D1FF" w14:textId="77777777" w:rsidR="005C5D52" w:rsidRPr="002037C2" w:rsidRDefault="002037C2" w:rsidP="003F72E0">
            <w:pPr>
              <w:pStyle w:val="TableText0"/>
              <w:jc w:val="center"/>
              <w:rPr>
                <w:highlight w:val="black"/>
              </w:rPr>
            </w:pPr>
            <w:r>
              <w:rPr>
                <w:noProof/>
                <w:color w:val="000000"/>
                <w:highlight w:val="black"/>
              </w:rPr>
              <w:t>'''''''''''''''''</w:t>
            </w:r>
          </w:p>
        </w:tc>
        <w:tc>
          <w:tcPr>
            <w:tcW w:w="510" w:type="pct"/>
            <w:tcBorders>
              <w:top w:val="nil"/>
              <w:bottom w:val="nil"/>
            </w:tcBorders>
          </w:tcPr>
          <w:p w14:paraId="107D1741" w14:textId="77777777" w:rsidR="005C5D52" w:rsidRPr="003F72E0" w:rsidRDefault="005C5D52" w:rsidP="003F72E0">
            <w:pPr>
              <w:pStyle w:val="TableText0"/>
              <w:jc w:val="center"/>
            </w:pPr>
            <w:r w:rsidRPr="003F72E0">
              <w:t>2.33</w:t>
            </w:r>
          </w:p>
        </w:tc>
        <w:tc>
          <w:tcPr>
            <w:tcW w:w="515" w:type="pct"/>
            <w:tcBorders>
              <w:top w:val="nil"/>
              <w:bottom w:val="nil"/>
            </w:tcBorders>
          </w:tcPr>
          <w:p w14:paraId="29F1D681" w14:textId="77777777" w:rsidR="005C5D52" w:rsidRPr="002037C2" w:rsidRDefault="002037C2" w:rsidP="003F72E0">
            <w:pPr>
              <w:pStyle w:val="TableText0"/>
              <w:jc w:val="center"/>
            </w:pPr>
            <w:r>
              <w:rPr>
                <w:noProof/>
                <w:color w:val="000000"/>
                <w:highlight w:val="black"/>
              </w:rPr>
              <w:t>'''''''''''''''''''''</w:t>
            </w:r>
            <w:r w:rsidR="005C6CBA">
              <w:rPr>
                <w:vertAlign w:val="superscript"/>
              </w:rPr>
              <w:t>5</w:t>
            </w:r>
          </w:p>
        </w:tc>
      </w:tr>
      <w:tr w:rsidR="005C5D52" w:rsidRPr="003F72E0" w14:paraId="2B3DFA31" w14:textId="77777777" w:rsidTr="00A0257A">
        <w:tc>
          <w:tcPr>
            <w:tcW w:w="1935" w:type="pct"/>
            <w:tcBorders>
              <w:top w:val="nil"/>
              <w:bottom w:val="nil"/>
            </w:tcBorders>
          </w:tcPr>
          <w:p w14:paraId="60BF44BC" w14:textId="77777777" w:rsidR="005C5D52" w:rsidRPr="003F72E0" w:rsidRDefault="005C5D52" w:rsidP="003F72E0">
            <w:pPr>
              <w:pStyle w:val="TableText0"/>
              <w:ind w:left="112"/>
            </w:pPr>
            <w:r w:rsidRPr="003F72E0">
              <w:t>3.5%</w:t>
            </w:r>
          </w:p>
        </w:tc>
        <w:tc>
          <w:tcPr>
            <w:tcW w:w="510" w:type="pct"/>
            <w:tcBorders>
              <w:top w:val="nil"/>
              <w:bottom w:val="nil"/>
            </w:tcBorders>
          </w:tcPr>
          <w:p w14:paraId="24BCBC3C" w14:textId="77777777" w:rsidR="005C5D52" w:rsidRPr="002037C2" w:rsidRDefault="002037C2" w:rsidP="003F72E0">
            <w:pPr>
              <w:pStyle w:val="TableText0"/>
              <w:jc w:val="center"/>
              <w:rPr>
                <w:highlight w:val="black"/>
              </w:rPr>
            </w:pPr>
            <w:r>
              <w:rPr>
                <w:noProof/>
                <w:color w:val="000000"/>
                <w:highlight w:val="black"/>
              </w:rPr>
              <w:t>'''''''''''''''''''''</w:t>
            </w:r>
          </w:p>
        </w:tc>
        <w:tc>
          <w:tcPr>
            <w:tcW w:w="510" w:type="pct"/>
            <w:tcBorders>
              <w:top w:val="nil"/>
              <w:bottom w:val="nil"/>
            </w:tcBorders>
          </w:tcPr>
          <w:p w14:paraId="778E1EC3" w14:textId="77777777" w:rsidR="005C5D52" w:rsidRPr="003F72E0" w:rsidRDefault="005C5D52" w:rsidP="003F72E0">
            <w:pPr>
              <w:pStyle w:val="TableText0"/>
              <w:jc w:val="center"/>
            </w:pPr>
            <w:r w:rsidRPr="003F72E0">
              <w:t>0.98</w:t>
            </w:r>
          </w:p>
        </w:tc>
        <w:tc>
          <w:tcPr>
            <w:tcW w:w="510" w:type="pct"/>
            <w:tcBorders>
              <w:top w:val="nil"/>
              <w:bottom w:val="nil"/>
            </w:tcBorders>
          </w:tcPr>
          <w:p w14:paraId="223F1E4C" w14:textId="77777777" w:rsidR="005C5D52" w:rsidRPr="002037C2" w:rsidRDefault="002037C2" w:rsidP="003F72E0">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6A79FC09" w14:textId="77777777" w:rsidR="005C5D52" w:rsidRPr="002037C2" w:rsidRDefault="002037C2" w:rsidP="003F72E0">
            <w:pPr>
              <w:pStyle w:val="TableText0"/>
              <w:jc w:val="center"/>
              <w:rPr>
                <w:highlight w:val="black"/>
              </w:rPr>
            </w:pPr>
            <w:r>
              <w:rPr>
                <w:noProof/>
                <w:color w:val="000000"/>
                <w:highlight w:val="black"/>
              </w:rPr>
              <w:t>''''''''''''''''''</w:t>
            </w:r>
          </w:p>
        </w:tc>
        <w:tc>
          <w:tcPr>
            <w:tcW w:w="510" w:type="pct"/>
            <w:tcBorders>
              <w:top w:val="nil"/>
              <w:bottom w:val="nil"/>
            </w:tcBorders>
          </w:tcPr>
          <w:p w14:paraId="64C6C879" w14:textId="77777777" w:rsidR="005C5D52" w:rsidRPr="003F72E0" w:rsidRDefault="005C5D52" w:rsidP="003F72E0">
            <w:pPr>
              <w:pStyle w:val="TableText0"/>
              <w:jc w:val="center"/>
            </w:pPr>
            <w:r w:rsidRPr="003F72E0">
              <w:t>1.74</w:t>
            </w:r>
          </w:p>
        </w:tc>
        <w:tc>
          <w:tcPr>
            <w:tcW w:w="515" w:type="pct"/>
            <w:tcBorders>
              <w:top w:val="nil"/>
              <w:bottom w:val="nil"/>
            </w:tcBorders>
          </w:tcPr>
          <w:p w14:paraId="3905B6AE" w14:textId="77777777" w:rsidR="005C5D52" w:rsidRPr="002037C2" w:rsidRDefault="002037C2" w:rsidP="003F72E0">
            <w:pPr>
              <w:pStyle w:val="TableText0"/>
              <w:jc w:val="center"/>
            </w:pPr>
            <w:r>
              <w:rPr>
                <w:noProof/>
                <w:color w:val="000000"/>
                <w:highlight w:val="black"/>
              </w:rPr>
              <w:t>''''''''''''''''''''</w:t>
            </w:r>
            <w:r w:rsidR="005C6CBA">
              <w:rPr>
                <w:vertAlign w:val="superscript"/>
              </w:rPr>
              <w:t>5</w:t>
            </w:r>
          </w:p>
        </w:tc>
      </w:tr>
      <w:tr w:rsidR="00814F74" w:rsidRPr="003F72E0" w14:paraId="00DA5780" w14:textId="77777777" w:rsidTr="00A0257A">
        <w:tc>
          <w:tcPr>
            <w:tcW w:w="1935" w:type="pct"/>
            <w:tcBorders>
              <w:bottom w:val="nil"/>
            </w:tcBorders>
          </w:tcPr>
          <w:p w14:paraId="03B4007F" w14:textId="77777777" w:rsidR="00814F74" w:rsidRPr="003F72E0" w:rsidRDefault="00814F74" w:rsidP="003F72E0">
            <w:pPr>
              <w:pStyle w:val="TableText0"/>
            </w:pPr>
            <w:r w:rsidRPr="003F72E0">
              <w:t>Time horizon (BC: 15yr in ITT/HV, 20yr in LV)</w:t>
            </w:r>
          </w:p>
        </w:tc>
        <w:tc>
          <w:tcPr>
            <w:tcW w:w="510" w:type="pct"/>
            <w:tcBorders>
              <w:bottom w:val="nil"/>
            </w:tcBorders>
          </w:tcPr>
          <w:p w14:paraId="2B83C1AF" w14:textId="77777777" w:rsidR="00814F74" w:rsidRPr="002037C2" w:rsidRDefault="00814F74" w:rsidP="003F72E0">
            <w:pPr>
              <w:pStyle w:val="TableText0"/>
              <w:jc w:val="center"/>
            </w:pPr>
          </w:p>
        </w:tc>
        <w:tc>
          <w:tcPr>
            <w:tcW w:w="510" w:type="pct"/>
            <w:tcBorders>
              <w:bottom w:val="nil"/>
            </w:tcBorders>
          </w:tcPr>
          <w:p w14:paraId="78AA1D3A" w14:textId="77777777" w:rsidR="00814F74" w:rsidRPr="003F72E0" w:rsidRDefault="00814F74" w:rsidP="003F72E0">
            <w:pPr>
              <w:pStyle w:val="TableText0"/>
              <w:jc w:val="center"/>
            </w:pPr>
          </w:p>
        </w:tc>
        <w:tc>
          <w:tcPr>
            <w:tcW w:w="510" w:type="pct"/>
            <w:tcBorders>
              <w:bottom w:val="nil"/>
            </w:tcBorders>
          </w:tcPr>
          <w:p w14:paraId="3130454A" w14:textId="77777777" w:rsidR="00814F74" w:rsidRPr="002037C2" w:rsidRDefault="00814F74" w:rsidP="003F72E0">
            <w:pPr>
              <w:pStyle w:val="TableText0"/>
              <w:jc w:val="center"/>
            </w:pPr>
          </w:p>
        </w:tc>
        <w:tc>
          <w:tcPr>
            <w:tcW w:w="510" w:type="pct"/>
            <w:tcBorders>
              <w:bottom w:val="nil"/>
            </w:tcBorders>
          </w:tcPr>
          <w:p w14:paraId="23DEEE3E" w14:textId="77777777" w:rsidR="00814F74" w:rsidRPr="002037C2" w:rsidRDefault="00814F74" w:rsidP="003F72E0">
            <w:pPr>
              <w:pStyle w:val="TableText0"/>
              <w:jc w:val="center"/>
            </w:pPr>
          </w:p>
        </w:tc>
        <w:tc>
          <w:tcPr>
            <w:tcW w:w="510" w:type="pct"/>
            <w:tcBorders>
              <w:bottom w:val="nil"/>
            </w:tcBorders>
          </w:tcPr>
          <w:p w14:paraId="3A668981" w14:textId="77777777" w:rsidR="00814F74" w:rsidRPr="003F72E0" w:rsidRDefault="00814F74" w:rsidP="003F72E0">
            <w:pPr>
              <w:pStyle w:val="TableText0"/>
              <w:jc w:val="center"/>
            </w:pPr>
          </w:p>
        </w:tc>
        <w:tc>
          <w:tcPr>
            <w:tcW w:w="515" w:type="pct"/>
            <w:tcBorders>
              <w:bottom w:val="nil"/>
            </w:tcBorders>
          </w:tcPr>
          <w:p w14:paraId="0AB5F08F" w14:textId="77777777" w:rsidR="00814F74" w:rsidRPr="002037C2" w:rsidRDefault="00814F74" w:rsidP="003F72E0">
            <w:pPr>
              <w:pStyle w:val="TableText0"/>
              <w:jc w:val="center"/>
            </w:pPr>
          </w:p>
        </w:tc>
      </w:tr>
      <w:tr w:rsidR="00814F74" w:rsidRPr="003F72E0" w14:paraId="35B55306" w14:textId="77777777" w:rsidTr="00A0257A">
        <w:tc>
          <w:tcPr>
            <w:tcW w:w="1935" w:type="pct"/>
            <w:tcBorders>
              <w:top w:val="nil"/>
              <w:bottom w:val="nil"/>
            </w:tcBorders>
          </w:tcPr>
          <w:p w14:paraId="535B69CB" w14:textId="77777777" w:rsidR="00814F74" w:rsidRPr="003F72E0" w:rsidRDefault="00814F74" w:rsidP="003F72E0">
            <w:pPr>
              <w:pStyle w:val="TableText0"/>
              <w:ind w:left="112"/>
            </w:pPr>
            <w:r w:rsidRPr="003F72E0">
              <w:t>5 years</w:t>
            </w:r>
          </w:p>
        </w:tc>
        <w:tc>
          <w:tcPr>
            <w:tcW w:w="510" w:type="pct"/>
            <w:tcBorders>
              <w:top w:val="nil"/>
              <w:bottom w:val="nil"/>
            </w:tcBorders>
          </w:tcPr>
          <w:p w14:paraId="74F67599" w14:textId="77777777" w:rsidR="00814F74" w:rsidRPr="002037C2" w:rsidRDefault="002037C2" w:rsidP="003F72E0">
            <w:pPr>
              <w:pStyle w:val="TableText0"/>
              <w:jc w:val="center"/>
            </w:pPr>
            <w:r>
              <w:rPr>
                <w:noProof/>
                <w:color w:val="000000"/>
                <w:highlight w:val="black"/>
              </w:rPr>
              <w:t>''''</w:t>
            </w:r>
            <w:r>
              <w:rPr>
                <w:i/>
                <w:iCs/>
                <w:noProof/>
                <w:color w:val="000000"/>
                <w:highlight w:val="black"/>
              </w:rPr>
              <w:t>'''''''''''''''</w:t>
            </w:r>
          </w:p>
        </w:tc>
        <w:tc>
          <w:tcPr>
            <w:tcW w:w="510" w:type="pct"/>
            <w:tcBorders>
              <w:top w:val="nil"/>
              <w:bottom w:val="nil"/>
            </w:tcBorders>
          </w:tcPr>
          <w:p w14:paraId="2E0A669E" w14:textId="77777777" w:rsidR="00814F74" w:rsidRPr="003F72E0" w:rsidRDefault="00814F74" w:rsidP="003F72E0">
            <w:pPr>
              <w:pStyle w:val="TableText0"/>
              <w:jc w:val="center"/>
            </w:pPr>
            <w:r w:rsidRPr="003F72E0">
              <w:t>0.37</w:t>
            </w:r>
          </w:p>
        </w:tc>
        <w:tc>
          <w:tcPr>
            <w:tcW w:w="510" w:type="pct"/>
            <w:tcBorders>
              <w:top w:val="nil"/>
              <w:bottom w:val="nil"/>
            </w:tcBorders>
          </w:tcPr>
          <w:p w14:paraId="600F94F0" w14:textId="77777777" w:rsidR="00814F74" w:rsidRPr="002037C2" w:rsidRDefault="002037C2" w:rsidP="003F72E0">
            <w:pPr>
              <w:pStyle w:val="TableText0"/>
              <w:jc w:val="center"/>
            </w:pPr>
            <w:r>
              <w:rPr>
                <w:noProof/>
                <w:color w:val="000000"/>
                <w:highlight w:val="black"/>
              </w:rPr>
              <w:t>'''</w:t>
            </w:r>
            <w:r>
              <w:rPr>
                <w:i/>
                <w:iCs/>
                <w:noProof/>
                <w:color w:val="000000"/>
                <w:highlight w:val="black"/>
              </w:rPr>
              <w:t>''''''''''''''''</w:t>
            </w:r>
            <w:r w:rsidR="00355DAA">
              <w:rPr>
                <w:vertAlign w:val="superscript"/>
              </w:rPr>
              <w:t>2</w:t>
            </w:r>
          </w:p>
        </w:tc>
        <w:tc>
          <w:tcPr>
            <w:tcW w:w="510" w:type="pct"/>
            <w:tcBorders>
              <w:top w:val="nil"/>
              <w:bottom w:val="nil"/>
            </w:tcBorders>
          </w:tcPr>
          <w:p w14:paraId="50D19759" w14:textId="77777777" w:rsidR="00814F74" w:rsidRPr="002037C2" w:rsidRDefault="002037C2" w:rsidP="003F72E0">
            <w:pPr>
              <w:pStyle w:val="TableText0"/>
              <w:jc w:val="center"/>
            </w:pPr>
            <w:r>
              <w:rPr>
                <w:noProof/>
                <w:color w:val="000000"/>
                <w:highlight w:val="black"/>
              </w:rPr>
              <w:t>''''</w:t>
            </w:r>
            <w:r>
              <w:rPr>
                <w:i/>
                <w:iCs/>
                <w:noProof/>
                <w:color w:val="000000"/>
                <w:highlight w:val="black"/>
              </w:rPr>
              <w:t>''''''''''''''''''</w:t>
            </w:r>
          </w:p>
        </w:tc>
        <w:tc>
          <w:tcPr>
            <w:tcW w:w="510" w:type="pct"/>
            <w:tcBorders>
              <w:top w:val="nil"/>
              <w:bottom w:val="nil"/>
            </w:tcBorders>
          </w:tcPr>
          <w:p w14:paraId="13A81B35" w14:textId="77777777" w:rsidR="00814F74" w:rsidRPr="003F72E0" w:rsidRDefault="00814F74" w:rsidP="003F72E0">
            <w:pPr>
              <w:pStyle w:val="TableText0"/>
              <w:jc w:val="center"/>
            </w:pPr>
            <w:r w:rsidRPr="003F72E0">
              <w:t>0.37</w:t>
            </w:r>
          </w:p>
        </w:tc>
        <w:tc>
          <w:tcPr>
            <w:tcW w:w="515" w:type="pct"/>
            <w:tcBorders>
              <w:top w:val="nil"/>
              <w:bottom w:val="nil"/>
            </w:tcBorders>
          </w:tcPr>
          <w:p w14:paraId="33288CFB" w14:textId="77777777" w:rsidR="00814F74" w:rsidRPr="002037C2" w:rsidRDefault="002037C2" w:rsidP="003F72E0">
            <w:pPr>
              <w:pStyle w:val="TableText0"/>
              <w:jc w:val="center"/>
            </w:pPr>
            <w:r>
              <w:rPr>
                <w:noProof/>
                <w:color w:val="000000"/>
                <w:highlight w:val="black"/>
              </w:rPr>
              <w:t>'''</w:t>
            </w:r>
            <w:r>
              <w:rPr>
                <w:i/>
                <w:iCs/>
                <w:noProof/>
                <w:color w:val="000000"/>
                <w:highlight w:val="black"/>
              </w:rPr>
              <w:t>''''''''''''''''</w:t>
            </w:r>
            <w:r w:rsidR="005C6CBA">
              <w:rPr>
                <w:vertAlign w:val="superscript"/>
              </w:rPr>
              <w:t>3</w:t>
            </w:r>
          </w:p>
        </w:tc>
      </w:tr>
      <w:tr w:rsidR="00814F74" w:rsidRPr="003F72E0" w14:paraId="4A370B33" w14:textId="77777777" w:rsidTr="00A0257A">
        <w:trPr>
          <w:trHeight w:val="80"/>
        </w:trPr>
        <w:tc>
          <w:tcPr>
            <w:tcW w:w="1935" w:type="pct"/>
            <w:tcBorders>
              <w:top w:val="nil"/>
              <w:bottom w:val="nil"/>
            </w:tcBorders>
          </w:tcPr>
          <w:p w14:paraId="083EDEDB" w14:textId="77777777" w:rsidR="00814F74" w:rsidRPr="003F72E0" w:rsidRDefault="00814F74" w:rsidP="003F72E0">
            <w:pPr>
              <w:pStyle w:val="TableText0"/>
              <w:ind w:left="112"/>
            </w:pPr>
            <w:r w:rsidRPr="003F72E0">
              <w:t>10 years</w:t>
            </w:r>
          </w:p>
        </w:tc>
        <w:tc>
          <w:tcPr>
            <w:tcW w:w="510" w:type="pct"/>
            <w:tcBorders>
              <w:top w:val="nil"/>
              <w:bottom w:val="nil"/>
            </w:tcBorders>
          </w:tcPr>
          <w:p w14:paraId="6EF82A95" w14:textId="77777777" w:rsidR="00814F74" w:rsidRPr="002037C2" w:rsidRDefault="002037C2" w:rsidP="003F72E0">
            <w:pPr>
              <w:pStyle w:val="TableText0"/>
              <w:jc w:val="center"/>
              <w:rPr>
                <w:highlight w:val="black"/>
              </w:rPr>
            </w:pPr>
            <w:r>
              <w:rPr>
                <w:noProof/>
                <w:color w:val="000000"/>
                <w:highlight w:val="black"/>
              </w:rPr>
              <w:t>''''''''''''''''''''</w:t>
            </w:r>
          </w:p>
        </w:tc>
        <w:tc>
          <w:tcPr>
            <w:tcW w:w="510" w:type="pct"/>
            <w:tcBorders>
              <w:top w:val="nil"/>
              <w:bottom w:val="nil"/>
            </w:tcBorders>
          </w:tcPr>
          <w:p w14:paraId="41868AB8" w14:textId="77777777" w:rsidR="00814F74" w:rsidRPr="003F72E0" w:rsidRDefault="00814F74" w:rsidP="003F72E0">
            <w:pPr>
              <w:pStyle w:val="TableText0"/>
              <w:jc w:val="center"/>
            </w:pPr>
            <w:r w:rsidRPr="003F72E0">
              <w:t>0.77</w:t>
            </w:r>
          </w:p>
        </w:tc>
        <w:tc>
          <w:tcPr>
            <w:tcW w:w="510" w:type="pct"/>
            <w:tcBorders>
              <w:top w:val="nil"/>
              <w:bottom w:val="nil"/>
            </w:tcBorders>
          </w:tcPr>
          <w:p w14:paraId="61848098" w14:textId="77777777" w:rsidR="00814F74" w:rsidRPr="002037C2" w:rsidRDefault="002037C2" w:rsidP="003F72E0">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3346398F" w14:textId="77777777" w:rsidR="00814F74" w:rsidRPr="002037C2" w:rsidRDefault="002037C2" w:rsidP="003F72E0">
            <w:pPr>
              <w:pStyle w:val="TableText0"/>
              <w:jc w:val="center"/>
              <w:rPr>
                <w:highlight w:val="black"/>
              </w:rPr>
            </w:pPr>
            <w:r>
              <w:rPr>
                <w:noProof/>
                <w:color w:val="000000"/>
                <w:highlight w:val="black"/>
              </w:rPr>
              <w:t>'''''''''''''''''''''</w:t>
            </w:r>
          </w:p>
        </w:tc>
        <w:tc>
          <w:tcPr>
            <w:tcW w:w="510" w:type="pct"/>
            <w:tcBorders>
              <w:top w:val="nil"/>
              <w:bottom w:val="nil"/>
            </w:tcBorders>
          </w:tcPr>
          <w:p w14:paraId="281B03D5" w14:textId="77777777" w:rsidR="00814F74" w:rsidRPr="003F72E0" w:rsidRDefault="00814F74" w:rsidP="003F72E0">
            <w:pPr>
              <w:pStyle w:val="TableText0"/>
              <w:jc w:val="center"/>
            </w:pPr>
            <w:r w:rsidRPr="003F72E0">
              <w:t>1.05</w:t>
            </w:r>
          </w:p>
        </w:tc>
        <w:tc>
          <w:tcPr>
            <w:tcW w:w="515" w:type="pct"/>
            <w:tcBorders>
              <w:top w:val="nil"/>
              <w:bottom w:val="nil"/>
            </w:tcBorders>
          </w:tcPr>
          <w:p w14:paraId="2F6ED6E6" w14:textId="77777777" w:rsidR="00814F74" w:rsidRPr="002037C2" w:rsidRDefault="002037C2" w:rsidP="003F72E0">
            <w:pPr>
              <w:pStyle w:val="TableText0"/>
              <w:jc w:val="center"/>
            </w:pPr>
            <w:r>
              <w:rPr>
                <w:noProof/>
                <w:color w:val="000000"/>
                <w:highlight w:val="black"/>
              </w:rPr>
              <w:t>''''''''''''''''''</w:t>
            </w:r>
            <w:r w:rsidR="005C6CBA">
              <w:rPr>
                <w:vertAlign w:val="superscript"/>
              </w:rPr>
              <w:t>1</w:t>
            </w:r>
          </w:p>
        </w:tc>
      </w:tr>
      <w:tr w:rsidR="00814F74" w:rsidRPr="003F72E0" w14:paraId="6C3ADC1E" w14:textId="77777777" w:rsidTr="00A0257A">
        <w:tc>
          <w:tcPr>
            <w:tcW w:w="1935" w:type="pct"/>
            <w:tcBorders>
              <w:top w:val="single" w:sz="4" w:space="0" w:color="auto"/>
              <w:bottom w:val="nil"/>
            </w:tcBorders>
          </w:tcPr>
          <w:p w14:paraId="3CB56E9B" w14:textId="77777777" w:rsidR="00814F74" w:rsidRPr="003F72E0" w:rsidRDefault="00814F74" w:rsidP="00235413">
            <w:pPr>
              <w:pStyle w:val="TableText0"/>
            </w:pPr>
            <w:r w:rsidRPr="003F72E0">
              <w:t>Treatment switching for OS (BC: none)</w:t>
            </w:r>
          </w:p>
        </w:tc>
        <w:tc>
          <w:tcPr>
            <w:tcW w:w="510" w:type="pct"/>
            <w:tcBorders>
              <w:top w:val="single" w:sz="4" w:space="0" w:color="auto"/>
              <w:bottom w:val="nil"/>
            </w:tcBorders>
          </w:tcPr>
          <w:p w14:paraId="17610A4D" w14:textId="77777777" w:rsidR="00814F74" w:rsidRPr="002037C2" w:rsidRDefault="00814F74" w:rsidP="00235413">
            <w:pPr>
              <w:pStyle w:val="TableText0"/>
              <w:jc w:val="center"/>
            </w:pPr>
          </w:p>
        </w:tc>
        <w:tc>
          <w:tcPr>
            <w:tcW w:w="510" w:type="pct"/>
            <w:tcBorders>
              <w:top w:val="single" w:sz="4" w:space="0" w:color="auto"/>
              <w:bottom w:val="nil"/>
            </w:tcBorders>
          </w:tcPr>
          <w:p w14:paraId="00D4E539" w14:textId="77777777" w:rsidR="00814F74" w:rsidRPr="003F72E0" w:rsidRDefault="00814F74" w:rsidP="00235413">
            <w:pPr>
              <w:pStyle w:val="TableText0"/>
              <w:jc w:val="center"/>
            </w:pPr>
          </w:p>
        </w:tc>
        <w:tc>
          <w:tcPr>
            <w:tcW w:w="510" w:type="pct"/>
            <w:tcBorders>
              <w:top w:val="single" w:sz="4" w:space="0" w:color="auto"/>
              <w:bottom w:val="nil"/>
            </w:tcBorders>
          </w:tcPr>
          <w:p w14:paraId="026A667F" w14:textId="77777777" w:rsidR="00814F74" w:rsidRPr="002037C2" w:rsidRDefault="00814F74" w:rsidP="00235413">
            <w:pPr>
              <w:pStyle w:val="TableText0"/>
              <w:jc w:val="center"/>
            </w:pPr>
          </w:p>
        </w:tc>
        <w:tc>
          <w:tcPr>
            <w:tcW w:w="510" w:type="pct"/>
            <w:tcBorders>
              <w:top w:val="single" w:sz="4" w:space="0" w:color="auto"/>
              <w:bottom w:val="nil"/>
            </w:tcBorders>
          </w:tcPr>
          <w:p w14:paraId="46EABEC0" w14:textId="77777777" w:rsidR="00814F74" w:rsidRPr="002037C2" w:rsidRDefault="00814F74" w:rsidP="00235413">
            <w:pPr>
              <w:pStyle w:val="TableText0"/>
              <w:jc w:val="center"/>
            </w:pPr>
          </w:p>
        </w:tc>
        <w:tc>
          <w:tcPr>
            <w:tcW w:w="510" w:type="pct"/>
            <w:tcBorders>
              <w:top w:val="single" w:sz="4" w:space="0" w:color="auto"/>
              <w:bottom w:val="nil"/>
            </w:tcBorders>
          </w:tcPr>
          <w:p w14:paraId="36A49BF6" w14:textId="77777777" w:rsidR="00814F74" w:rsidRPr="003F72E0" w:rsidRDefault="00814F74" w:rsidP="00235413">
            <w:pPr>
              <w:pStyle w:val="TableText0"/>
              <w:jc w:val="center"/>
            </w:pPr>
          </w:p>
        </w:tc>
        <w:tc>
          <w:tcPr>
            <w:tcW w:w="515" w:type="pct"/>
            <w:tcBorders>
              <w:top w:val="single" w:sz="4" w:space="0" w:color="auto"/>
              <w:bottom w:val="nil"/>
            </w:tcBorders>
          </w:tcPr>
          <w:p w14:paraId="63FFED2E" w14:textId="77777777" w:rsidR="00814F74" w:rsidRPr="002037C2" w:rsidRDefault="00814F74" w:rsidP="00235413">
            <w:pPr>
              <w:pStyle w:val="TableText0"/>
              <w:jc w:val="center"/>
            </w:pPr>
          </w:p>
        </w:tc>
      </w:tr>
      <w:tr w:rsidR="00814F74" w:rsidRPr="003F72E0" w14:paraId="74741E1F" w14:textId="77777777" w:rsidTr="00A0257A">
        <w:tc>
          <w:tcPr>
            <w:tcW w:w="1935" w:type="pct"/>
            <w:tcBorders>
              <w:top w:val="nil"/>
              <w:bottom w:val="nil"/>
            </w:tcBorders>
          </w:tcPr>
          <w:p w14:paraId="291B6602" w14:textId="77777777" w:rsidR="00814F74" w:rsidRPr="003F72E0" w:rsidRDefault="00814F74" w:rsidP="00235413">
            <w:pPr>
              <w:pStyle w:val="TableText0"/>
              <w:ind w:left="112"/>
            </w:pPr>
            <w:r w:rsidRPr="003F72E0">
              <w:t>IPCW (HR=0.530 ITT/HV, 0.395 LV)</w:t>
            </w:r>
          </w:p>
        </w:tc>
        <w:tc>
          <w:tcPr>
            <w:tcW w:w="510" w:type="pct"/>
            <w:tcBorders>
              <w:top w:val="nil"/>
              <w:bottom w:val="nil"/>
            </w:tcBorders>
          </w:tcPr>
          <w:p w14:paraId="1B251EFD"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7A229597" w14:textId="77777777" w:rsidR="00814F74" w:rsidRPr="003F72E0" w:rsidRDefault="00814F74" w:rsidP="00235413">
            <w:pPr>
              <w:pStyle w:val="TableText0"/>
              <w:jc w:val="center"/>
            </w:pPr>
            <w:r w:rsidRPr="003F72E0">
              <w:t>1.18</w:t>
            </w:r>
          </w:p>
        </w:tc>
        <w:tc>
          <w:tcPr>
            <w:tcW w:w="510" w:type="pct"/>
            <w:tcBorders>
              <w:top w:val="nil"/>
              <w:bottom w:val="nil"/>
            </w:tcBorders>
          </w:tcPr>
          <w:p w14:paraId="1BD1BF37" w14:textId="77777777" w:rsidR="00814F74" w:rsidRPr="002037C2" w:rsidRDefault="002037C2" w:rsidP="00235413">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58A1501C"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3F8B25AD" w14:textId="77777777" w:rsidR="00814F74" w:rsidRPr="003F72E0" w:rsidRDefault="00814F74" w:rsidP="00235413">
            <w:pPr>
              <w:pStyle w:val="TableText0"/>
              <w:jc w:val="center"/>
            </w:pPr>
            <w:r w:rsidRPr="003F72E0">
              <w:t>2.04</w:t>
            </w:r>
          </w:p>
        </w:tc>
        <w:tc>
          <w:tcPr>
            <w:tcW w:w="515" w:type="pct"/>
            <w:tcBorders>
              <w:top w:val="nil"/>
              <w:bottom w:val="nil"/>
            </w:tcBorders>
          </w:tcPr>
          <w:p w14:paraId="58314014" w14:textId="77777777" w:rsidR="00814F74" w:rsidRPr="002037C2" w:rsidRDefault="002037C2" w:rsidP="00235413">
            <w:pPr>
              <w:pStyle w:val="TableText0"/>
              <w:jc w:val="center"/>
            </w:pPr>
            <w:r>
              <w:rPr>
                <w:noProof/>
                <w:color w:val="000000"/>
                <w:highlight w:val="black"/>
              </w:rPr>
              <w:t>'''''''''''''''''</w:t>
            </w:r>
            <w:r w:rsidR="005C6CBA">
              <w:rPr>
                <w:vertAlign w:val="superscript"/>
              </w:rPr>
              <w:t>5</w:t>
            </w:r>
          </w:p>
        </w:tc>
      </w:tr>
      <w:tr w:rsidR="00814F74" w:rsidRPr="003F72E0" w14:paraId="7B053B03" w14:textId="77777777" w:rsidTr="00A0257A">
        <w:tc>
          <w:tcPr>
            <w:tcW w:w="1935" w:type="pct"/>
            <w:tcBorders>
              <w:top w:val="nil"/>
              <w:bottom w:val="nil"/>
            </w:tcBorders>
          </w:tcPr>
          <w:p w14:paraId="25B489D1" w14:textId="77777777" w:rsidR="00814F74" w:rsidRPr="003F72E0" w:rsidRDefault="00814F74" w:rsidP="00235413">
            <w:pPr>
              <w:pStyle w:val="TableText0"/>
              <w:ind w:left="112"/>
            </w:pPr>
            <w:r w:rsidRPr="003F72E0">
              <w:t>RPSFTM1* (HR=0.611 ITT/HV, 0.436 LV)</w:t>
            </w:r>
          </w:p>
        </w:tc>
        <w:tc>
          <w:tcPr>
            <w:tcW w:w="510" w:type="pct"/>
            <w:tcBorders>
              <w:top w:val="nil"/>
              <w:bottom w:val="nil"/>
            </w:tcBorders>
          </w:tcPr>
          <w:p w14:paraId="1A17E8D3"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224BAE96" w14:textId="77777777" w:rsidR="00814F74" w:rsidRPr="003F72E0" w:rsidRDefault="00814F74" w:rsidP="00235413">
            <w:pPr>
              <w:pStyle w:val="TableText0"/>
              <w:jc w:val="center"/>
            </w:pPr>
            <w:r w:rsidRPr="003F72E0">
              <w:t>0.97</w:t>
            </w:r>
          </w:p>
        </w:tc>
        <w:tc>
          <w:tcPr>
            <w:tcW w:w="510" w:type="pct"/>
            <w:tcBorders>
              <w:top w:val="nil"/>
              <w:bottom w:val="nil"/>
            </w:tcBorders>
          </w:tcPr>
          <w:p w14:paraId="4C75725B" w14:textId="77777777" w:rsidR="00814F74" w:rsidRPr="002037C2" w:rsidRDefault="002037C2" w:rsidP="00235413">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50B0D9EF"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2BA58D9A" w14:textId="77777777" w:rsidR="00814F74" w:rsidRPr="003F72E0" w:rsidRDefault="00814F74" w:rsidP="00235413">
            <w:pPr>
              <w:pStyle w:val="TableText0"/>
              <w:jc w:val="center"/>
            </w:pPr>
            <w:r w:rsidRPr="003F72E0">
              <w:t>1.87</w:t>
            </w:r>
          </w:p>
        </w:tc>
        <w:tc>
          <w:tcPr>
            <w:tcW w:w="515" w:type="pct"/>
            <w:tcBorders>
              <w:top w:val="nil"/>
              <w:bottom w:val="nil"/>
            </w:tcBorders>
          </w:tcPr>
          <w:p w14:paraId="09361661" w14:textId="77777777" w:rsidR="00814F74" w:rsidRPr="002037C2" w:rsidRDefault="002037C2" w:rsidP="00235413">
            <w:pPr>
              <w:pStyle w:val="TableText0"/>
              <w:jc w:val="center"/>
            </w:pPr>
            <w:r>
              <w:rPr>
                <w:noProof/>
                <w:color w:val="000000"/>
                <w:highlight w:val="black"/>
              </w:rPr>
              <w:t>''''''''''''''''''</w:t>
            </w:r>
            <w:r w:rsidR="005C6CBA">
              <w:rPr>
                <w:vertAlign w:val="superscript"/>
              </w:rPr>
              <w:t>5</w:t>
            </w:r>
          </w:p>
        </w:tc>
      </w:tr>
      <w:tr w:rsidR="00814F74" w:rsidRPr="003F72E0" w14:paraId="201B3104" w14:textId="77777777" w:rsidTr="00A0257A">
        <w:tc>
          <w:tcPr>
            <w:tcW w:w="1935" w:type="pct"/>
            <w:tcBorders>
              <w:top w:val="nil"/>
              <w:bottom w:val="nil"/>
            </w:tcBorders>
          </w:tcPr>
          <w:p w14:paraId="12B5CFA3" w14:textId="77777777" w:rsidR="00814F74" w:rsidRPr="003F72E0" w:rsidRDefault="00814F74" w:rsidP="00235413">
            <w:pPr>
              <w:pStyle w:val="TableText0"/>
              <w:ind w:left="112"/>
            </w:pPr>
            <w:r w:rsidRPr="003F72E0">
              <w:t>RPSFTM2^ (HR=0.604 ITT/HV, 0.478 LV)</w:t>
            </w:r>
          </w:p>
        </w:tc>
        <w:tc>
          <w:tcPr>
            <w:tcW w:w="510" w:type="pct"/>
            <w:tcBorders>
              <w:top w:val="nil"/>
              <w:bottom w:val="nil"/>
            </w:tcBorders>
          </w:tcPr>
          <w:p w14:paraId="63EB6945"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593259BA" w14:textId="77777777" w:rsidR="00814F74" w:rsidRPr="003F72E0" w:rsidRDefault="00814F74" w:rsidP="00235413">
            <w:pPr>
              <w:pStyle w:val="TableText0"/>
              <w:jc w:val="center"/>
            </w:pPr>
            <w:r w:rsidRPr="003F72E0">
              <w:t>0.99</w:t>
            </w:r>
          </w:p>
        </w:tc>
        <w:tc>
          <w:tcPr>
            <w:tcW w:w="510" w:type="pct"/>
            <w:tcBorders>
              <w:top w:val="nil"/>
              <w:bottom w:val="nil"/>
            </w:tcBorders>
          </w:tcPr>
          <w:p w14:paraId="7BA9105B" w14:textId="77777777" w:rsidR="00814F74" w:rsidRPr="002037C2" w:rsidRDefault="002037C2" w:rsidP="00235413">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1FE56075"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3DB22379" w14:textId="77777777" w:rsidR="00814F74" w:rsidRPr="003F72E0" w:rsidRDefault="00814F74" w:rsidP="00235413">
            <w:pPr>
              <w:pStyle w:val="TableText0"/>
              <w:jc w:val="center"/>
            </w:pPr>
            <w:r w:rsidRPr="003F72E0">
              <w:t>1.72</w:t>
            </w:r>
          </w:p>
        </w:tc>
        <w:tc>
          <w:tcPr>
            <w:tcW w:w="515" w:type="pct"/>
            <w:tcBorders>
              <w:top w:val="nil"/>
              <w:bottom w:val="nil"/>
            </w:tcBorders>
          </w:tcPr>
          <w:p w14:paraId="7607B0EB" w14:textId="77777777" w:rsidR="00814F74" w:rsidRPr="002037C2" w:rsidRDefault="002037C2" w:rsidP="00235413">
            <w:pPr>
              <w:pStyle w:val="TableText0"/>
              <w:jc w:val="center"/>
            </w:pPr>
            <w:r>
              <w:rPr>
                <w:noProof/>
                <w:color w:val="000000"/>
                <w:highlight w:val="black"/>
              </w:rPr>
              <w:t>'''''''''''''''''''''</w:t>
            </w:r>
            <w:r w:rsidR="005C6CBA">
              <w:rPr>
                <w:vertAlign w:val="superscript"/>
              </w:rPr>
              <w:t>1</w:t>
            </w:r>
          </w:p>
        </w:tc>
      </w:tr>
      <w:tr w:rsidR="00814F74" w:rsidRPr="003F72E0" w14:paraId="60667765" w14:textId="77777777" w:rsidTr="00A0257A">
        <w:tc>
          <w:tcPr>
            <w:tcW w:w="1935" w:type="pct"/>
            <w:tcBorders>
              <w:top w:val="single" w:sz="4" w:space="0" w:color="auto"/>
              <w:bottom w:val="nil"/>
            </w:tcBorders>
          </w:tcPr>
          <w:p w14:paraId="4E3433DA" w14:textId="77777777" w:rsidR="00814F74" w:rsidRPr="003F72E0" w:rsidRDefault="00814F74" w:rsidP="00235413">
            <w:pPr>
              <w:pStyle w:val="TableText0"/>
            </w:pPr>
            <w:r w:rsidRPr="003F72E0">
              <w:t>NHA post apalutamide (BC: none)</w:t>
            </w:r>
          </w:p>
        </w:tc>
        <w:tc>
          <w:tcPr>
            <w:tcW w:w="510" w:type="pct"/>
            <w:tcBorders>
              <w:top w:val="single" w:sz="4" w:space="0" w:color="auto"/>
              <w:bottom w:val="nil"/>
            </w:tcBorders>
          </w:tcPr>
          <w:p w14:paraId="43B62463" w14:textId="77777777" w:rsidR="00814F74" w:rsidRPr="002037C2" w:rsidRDefault="00814F74" w:rsidP="00235413">
            <w:pPr>
              <w:pStyle w:val="TableText0"/>
              <w:jc w:val="center"/>
            </w:pPr>
          </w:p>
        </w:tc>
        <w:tc>
          <w:tcPr>
            <w:tcW w:w="510" w:type="pct"/>
            <w:tcBorders>
              <w:top w:val="single" w:sz="4" w:space="0" w:color="auto"/>
              <w:bottom w:val="nil"/>
            </w:tcBorders>
          </w:tcPr>
          <w:p w14:paraId="3D9EBCE9" w14:textId="77777777" w:rsidR="00814F74" w:rsidRPr="003F72E0" w:rsidRDefault="00814F74" w:rsidP="00235413">
            <w:pPr>
              <w:pStyle w:val="TableText0"/>
              <w:jc w:val="center"/>
            </w:pPr>
          </w:p>
        </w:tc>
        <w:tc>
          <w:tcPr>
            <w:tcW w:w="510" w:type="pct"/>
            <w:tcBorders>
              <w:top w:val="single" w:sz="4" w:space="0" w:color="auto"/>
              <w:bottom w:val="nil"/>
            </w:tcBorders>
          </w:tcPr>
          <w:p w14:paraId="0DC21369" w14:textId="77777777" w:rsidR="00814F74" w:rsidRPr="002037C2" w:rsidRDefault="00814F74" w:rsidP="00235413">
            <w:pPr>
              <w:pStyle w:val="TableText0"/>
              <w:jc w:val="center"/>
            </w:pPr>
          </w:p>
        </w:tc>
        <w:tc>
          <w:tcPr>
            <w:tcW w:w="510" w:type="pct"/>
            <w:tcBorders>
              <w:top w:val="single" w:sz="4" w:space="0" w:color="auto"/>
              <w:bottom w:val="nil"/>
            </w:tcBorders>
          </w:tcPr>
          <w:p w14:paraId="696F51AC" w14:textId="77777777" w:rsidR="00814F74" w:rsidRPr="002037C2" w:rsidRDefault="00814F74" w:rsidP="00235413">
            <w:pPr>
              <w:pStyle w:val="TableText0"/>
              <w:jc w:val="center"/>
            </w:pPr>
          </w:p>
        </w:tc>
        <w:tc>
          <w:tcPr>
            <w:tcW w:w="510" w:type="pct"/>
            <w:tcBorders>
              <w:top w:val="single" w:sz="4" w:space="0" w:color="auto"/>
              <w:bottom w:val="nil"/>
            </w:tcBorders>
          </w:tcPr>
          <w:p w14:paraId="6E9D2BF7" w14:textId="77777777" w:rsidR="00814F74" w:rsidRPr="003F72E0" w:rsidRDefault="00814F74" w:rsidP="00235413">
            <w:pPr>
              <w:pStyle w:val="TableText0"/>
              <w:jc w:val="center"/>
            </w:pPr>
          </w:p>
        </w:tc>
        <w:tc>
          <w:tcPr>
            <w:tcW w:w="515" w:type="pct"/>
            <w:tcBorders>
              <w:top w:val="single" w:sz="4" w:space="0" w:color="auto"/>
              <w:bottom w:val="nil"/>
            </w:tcBorders>
          </w:tcPr>
          <w:p w14:paraId="1EACA5EF" w14:textId="77777777" w:rsidR="00814F74" w:rsidRPr="002037C2" w:rsidRDefault="00814F74" w:rsidP="00235413">
            <w:pPr>
              <w:pStyle w:val="TableText0"/>
              <w:jc w:val="center"/>
            </w:pPr>
          </w:p>
        </w:tc>
      </w:tr>
      <w:tr w:rsidR="00814F74" w:rsidRPr="003F72E0" w14:paraId="4661A430" w14:textId="77777777" w:rsidTr="00A0257A">
        <w:tc>
          <w:tcPr>
            <w:tcW w:w="1935" w:type="pct"/>
            <w:tcBorders>
              <w:top w:val="nil"/>
              <w:bottom w:val="nil"/>
            </w:tcBorders>
          </w:tcPr>
          <w:p w14:paraId="55FF5906" w14:textId="77777777" w:rsidR="00814F74" w:rsidRPr="003F72E0" w:rsidRDefault="00814F74" w:rsidP="00235413">
            <w:pPr>
              <w:pStyle w:val="TableText0"/>
              <w:ind w:left="112"/>
            </w:pPr>
            <w:r w:rsidRPr="003F72E0">
              <w:t>TITAN (80.</w:t>
            </w:r>
            <w:r w:rsidR="00DF5EF9" w:rsidRPr="003F72E0">
              <w:t>7</w:t>
            </w:r>
            <w:r w:rsidRPr="003F72E0">
              <w:t>% ITT/HV, 70.3% LV)</w:t>
            </w:r>
          </w:p>
        </w:tc>
        <w:tc>
          <w:tcPr>
            <w:tcW w:w="510" w:type="pct"/>
            <w:tcBorders>
              <w:top w:val="nil"/>
              <w:bottom w:val="nil"/>
            </w:tcBorders>
          </w:tcPr>
          <w:p w14:paraId="40071445"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6AA173C7" w14:textId="77777777" w:rsidR="00814F74" w:rsidRPr="003F72E0" w:rsidRDefault="00814F74" w:rsidP="00235413">
            <w:pPr>
              <w:pStyle w:val="TableText0"/>
              <w:jc w:val="center"/>
            </w:pPr>
            <w:r w:rsidRPr="003F72E0">
              <w:t>0.90</w:t>
            </w:r>
          </w:p>
        </w:tc>
        <w:tc>
          <w:tcPr>
            <w:tcW w:w="510" w:type="pct"/>
            <w:tcBorders>
              <w:top w:val="nil"/>
              <w:bottom w:val="nil"/>
            </w:tcBorders>
          </w:tcPr>
          <w:p w14:paraId="4EE39BE4" w14:textId="77777777" w:rsidR="00814F74" w:rsidRPr="002037C2" w:rsidRDefault="002037C2" w:rsidP="00235413">
            <w:pPr>
              <w:pStyle w:val="TableText0"/>
              <w:jc w:val="center"/>
            </w:pPr>
            <w:r>
              <w:rPr>
                <w:noProof/>
                <w:color w:val="000000"/>
                <w:highlight w:val="black"/>
              </w:rPr>
              <w:t>'''''''''''''''''''''</w:t>
            </w:r>
            <w:r w:rsidR="00355DAA">
              <w:rPr>
                <w:vertAlign w:val="superscript"/>
              </w:rPr>
              <w:t>2</w:t>
            </w:r>
          </w:p>
        </w:tc>
        <w:tc>
          <w:tcPr>
            <w:tcW w:w="510" w:type="pct"/>
            <w:tcBorders>
              <w:top w:val="nil"/>
              <w:bottom w:val="nil"/>
            </w:tcBorders>
          </w:tcPr>
          <w:p w14:paraId="0CE06AAC"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18691118" w14:textId="77777777" w:rsidR="00814F74" w:rsidRPr="003F72E0" w:rsidRDefault="00814F74" w:rsidP="00235413">
            <w:pPr>
              <w:pStyle w:val="TableText0"/>
              <w:jc w:val="center"/>
            </w:pPr>
            <w:r w:rsidRPr="003F72E0">
              <w:t>1.55</w:t>
            </w:r>
          </w:p>
        </w:tc>
        <w:tc>
          <w:tcPr>
            <w:tcW w:w="515" w:type="pct"/>
            <w:tcBorders>
              <w:top w:val="nil"/>
              <w:bottom w:val="nil"/>
            </w:tcBorders>
          </w:tcPr>
          <w:p w14:paraId="11C17993" w14:textId="77777777" w:rsidR="00814F74" w:rsidRPr="002037C2" w:rsidRDefault="002037C2" w:rsidP="00235413">
            <w:pPr>
              <w:pStyle w:val="TableText0"/>
              <w:jc w:val="center"/>
            </w:pPr>
            <w:r>
              <w:rPr>
                <w:noProof/>
                <w:color w:val="000000"/>
                <w:highlight w:val="black"/>
              </w:rPr>
              <w:t>'''''''''''''''''''</w:t>
            </w:r>
            <w:r w:rsidR="005C6CBA">
              <w:rPr>
                <w:vertAlign w:val="superscript"/>
              </w:rPr>
              <w:t>1</w:t>
            </w:r>
          </w:p>
        </w:tc>
      </w:tr>
      <w:tr w:rsidR="00814F74" w:rsidRPr="003F72E0" w14:paraId="297D3078" w14:textId="77777777" w:rsidTr="00A0257A">
        <w:tc>
          <w:tcPr>
            <w:tcW w:w="1935" w:type="pct"/>
            <w:tcBorders>
              <w:top w:val="nil"/>
              <w:bottom w:val="nil"/>
            </w:tcBorders>
          </w:tcPr>
          <w:p w14:paraId="2AE4B096" w14:textId="77777777" w:rsidR="00814F74" w:rsidRPr="003F72E0" w:rsidRDefault="00814F74" w:rsidP="00235413">
            <w:pPr>
              <w:pStyle w:val="TableText0"/>
              <w:ind w:left="112"/>
            </w:pPr>
            <w:r w:rsidRPr="003F72E0">
              <w:t>Assumption, 100%</w:t>
            </w:r>
          </w:p>
        </w:tc>
        <w:tc>
          <w:tcPr>
            <w:tcW w:w="510" w:type="pct"/>
            <w:tcBorders>
              <w:top w:val="nil"/>
              <w:bottom w:val="nil"/>
            </w:tcBorders>
          </w:tcPr>
          <w:p w14:paraId="22573A98"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076F935E" w14:textId="77777777" w:rsidR="00814F74" w:rsidRPr="003F72E0" w:rsidRDefault="00814F74" w:rsidP="00235413">
            <w:pPr>
              <w:pStyle w:val="TableText0"/>
              <w:jc w:val="center"/>
            </w:pPr>
            <w:r w:rsidRPr="003F72E0">
              <w:t>0.90</w:t>
            </w:r>
          </w:p>
        </w:tc>
        <w:tc>
          <w:tcPr>
            <w:tcW w:w="510" w:type="pct"/>
            <w:tcBorders>
              <w:top w:val="nil"/>
              <w:bottom w:val="nil"/>
            </w:tcBorders>
          </w:tcPr>
          <w:p w14:paraId="5E752ED3" w14:textId="77777777" w:rsidR="00814F74" w:rsidRPr="002037C2" w:rsidRDefault="002037C2" w:rsidP="00235413">
            <w:pPr>
              <w:pStyle w:val="TableText0"/>
              <w:jc w:val="center"/>
            </w:pPr>
            <w:r>
              <w:rPr>
                <w:noProof/>
                <w:color w:val="000000"/>
                <w:highlight w:val="black"/>
              </w:rPr>
              <w:t>'''''''''''''''''''''</w:t>
            </w:r>
            <w:r w:rsidR="00355DAA">
              <w:rPr>
                <w:vertAlign w:val="superscript"/>
              </w:rPr>
              <w:t>3</w:t>
            </w:r>
          </w:p>
        </w:tc>
        <w:tc>
          <w:tcPr>
            <w:tcW w:w="510" w:type="pct"/>
            <w:tcBorders>
              <w:top w:val="nil"/>
              <w:bottom w:val="nil"/>
            </w:tcBorders>
          </w:tcPr>
          <w:p w14:paraId="50923EE6"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1583ED20" w14:textId="77777777" w:rsidR="00814F74" w:rsidRPr="003F72E0" w:rsidRDefault="00814F74" w:rsidP="00235413">
            <w:pPr>
              <w:pStyle w:val="TableText0"/>
              <w:jc w:val="center"/>
            </w:pPr>
            <w:r w:rsidRPr="003F72E0">
              <w:t>1.55</w:t>
            </w:r>
          </w:p>
        </w:tc>
        <w:tc>
          <w:tcPr>
            <w:tcW w:w="515" w:type="pct"/>
            <w:tcBorders>
              <w:top w:val="nil"/>
              <w:bottom w:val="nil"/>
            </w:tcBorders>
          </w:tcPr>
          <w:p w14:paraId="012CA9DD" w14:textId="77777777" w:rsidR="00814F74" w:rsidRPr="002037C2" w:rsidRDefault="002037C2" w:rsidP="00235413">
            <w:pPr>
              <w:pStyle w:val="TableText0"/>
              <w:jc w:val="center"/>
            </w:pPr>
            <w:r>
              <w:rPr>
                <w:noProof/>
                <w:color w:val="000000"/>
                <w:highlight w:val="black"/>
              </w:rPr>
              <w:t>''''''''''''''''''</w:t>
            </w:r>
            <w:r w:rsidR="005C6CBA">
              <w:rPr>
                <w:vertAlign w:val="superscript"/>
              </w:rPr>
              <w:t>1</w:t>
            </w:r>
          </w:p>
        </w:tc>
      </w:tr>
      <w:tr w:rsidR="00814F74" w:rsidRPr="003F72E0" w14:paraId="4572AF35" w14:textId="77777777" w:rsidTr="00A0257A">
        <w:tc>
          <w:tcPr>
            <w:tcW w:w="1935" w:type="pct"/>
            <w:tcBorders>
              <w:top w:val="single" w:sz="4" w:space="0" w:color="auto"/>
              <w:bottom w:val="nil"/>
            </w:tcBorders>
          </w:tcPr>
          <w:p w14:paraId="42B93360" w14:textId="77777777" w:rsidR="00814F74" w:rsidRPr="003F72E0" w:rsidRDefault="00814F74" w:rsidP="00235413">
            <w:pPr>
              <w:pStyle w:val="TableText0"/>
            </w:pPr>
            <w:r w:rsidRPr="003F72E0">
              <w:t xml:space="preserve">Time on chemo (BC: 10.7% DOC, 5.1% CAB) </w:t>
            </w:r>
          </w:p>
        </w:tc>
        <w:tc>
          <w:tcPr>
            <w:tcW w:w="510" w:type="pct"/>
            <w:tcBorders>
              <w:top w:val="single" w:sz="4" w:space="0" w:color="auto"/>
              <w:bottom w:val="nil"/>
            </w:tcBorders>
          </w:tcPr>
          <w:p w14:paraId="55F4CFAA" w14:textId="77777777" w:rsidR="00814F74" w:rsidRPr="002037C2" w:rsidRDefault="00814F74" w:rsidP="00235413">
            <w:pPr>
              <w:pStyle w:val="TableText0"/>
              <w:jc w:val="center"/>
            </w:pPr>
          </w:p>
        </w:tc>
        <w:tc>
          <w:tcPr>
            <w:tcW w:w="510" w:type="pct"/>
            <w:tcBorders>
              <w:top w:val="single" w:sz="4" w:space="0" w:color="auto"/>
              <w:bottom w:val="nil"/>
            </w:tcBorders>
          </w:tcPr>
          <w:p w14:paraId="2BCF9090" w14:textId="77777777" w:rsidR="00814F74" w:rsidRPr="003F72E0" w:rsidRDefault="00814F74" w:rsidP="00235413">
            <w:pPr>
              <w:pStyle w:val="TableText0"/>
              <w:jc w:val="center"/>
            </w:pPr>
          </w:p>
        </w:tc>
        <w:tc>
          <w:tcPr>
            <w:tcW w:w="510" w:type="pct"/>
            <w:tcBorders>
              <w:top w:val="single" w:sz="4" w:space="0" w:color="auto"/>
              <w:bottom w:val="nil"/>
            </w:tcBorders>
          </w:tcPr>
          <w:p w14:paraId="54E9BC0D" w14:textId="77777777" w:rsidR="00814F74" w:rsidRPr="002037C2" w:rsidRDefault="00814F74" w:rsidP="00235413">
            <w:pPr>
              <w:pStyle w:val="TableText0"/>
              <w:jc w:val="center"/>
            </w:pPr>
          </w:p>
        </w:tc>
        <w:tc>
          <w:tcPr>
            <w:tcW w:w="510" w:type="pct"/>
            <w:tcBorders>
              <w:top w:val="single" w:sz="4" w:space="0" w:color="auto"/>
              <w:bottom w:val="nil"/>
            </w:tcBorders>
          </w:tcPr>
          <w:p w14:paraId="25E03376" w14:textId="77777777" w:rsidR="00814F74" w:rsidRPr="002037C2" w:rsidRDefault="00814F74" w:rsidP="00235413">
            <w:pPr>
              <w:pStyle w:val="TableText0"/>
              <w:jc w:val="center"/>
            </w:pPr>
          </w:p>
        </w:tc>
        <w:tc>
          <w:tcPr>
            <w:tcW w:w="510" w:type="pct"/>
            <w:tcBorders>
              <w:top w:val="single" w:sz="4" w:space="0" w:color="auto"/>
              <w:bottom w:val="nil"/>
            </w:tcBorders>
          </w:tcPr>
          <w:p w14:paraId="25230F8F" w14:textId="77777777" w:rsidR="00814F74" w:rsidRPr="003F72E0" w:rsidRDefault="00814F74" w:rsidP="00235413">
            <w:pPr>
              <w:pStyle w:val="TableText0"/>
              <w:jc w:val="center"/>
            </w:pPr>
          </w:p>
        </w:tc>
        <w:tc>
          <w:tcPr>
            <w:tcW w:w="515" w:type="pct"/>
            <w:tcBorders>
              <w:top w:val="single" w:sz="4" w:space="0" w:color="auto"/>
              <w:bottom w:val="nil"/>
            </w:tcBorders>
          </w:tcPr>
          <w:p w14:paraId="4D18A4AF" w14:textId="77777777" w:rsidR="00814F74" w:rsidRPr="002037C2" w:rsidRDefault="00814F74" w:rsidP="00235413">
            <w:pPr>
              <w:pStyle w:val="TableText0"/>
              <w:jc w:val="center"/>
            </w:pPr>
          </w:p>
        </w:tc>
      </w:tr>
      <w:tr w:rsidR="00814F74" w:rsidRPr="003F72E0" w14:paraId="4801B8EF" w14:textId="77777777" w:rsidTr="00A0257A">
        <w:tc>
          <w:tcPr>
            <w:tcW w:w="1935" w:type="pct"/>
            <w:tcBorders>
              <w:top w:val="nil"/>
              <w:bottom w:val="nil"/>
            </w:tcBorders>
          </w:tcPr>
          <w:p w14:paraId="5BB851BA" w14:textId="77777777" w:rsidR="00814F74" w:rsidRPr="003F72E0" w:rsidRDefault="00814F74" w:rsidP="00235413">
            <w:pPr>
              <w:pStyle w:val="TableText0"/>
              <w:ind w:left="112"/>
            </w:pPr>
            <w:r w:rsidRPr="003F72E0">
              <w:t>50% increase post APA</w:t>
            </w:r>
          </w:p>
        </w:tc>
        <w:tc>
          <w:tcPr>
            <w:tcW w:w="510" w:type="pct"/>
            <w:tcBorders>
              <w:top w:val="nil"/>
              <w:bottom w:val="nil"/>
            </w:tcBorders>
          </w:tcPr>
          <w:p w14:paraId="492445BB"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0F93E5C3" w14:textId="77777777" w:rsidR="00814F74" w:rsidRPr="003F72E0" w:rsidRDefault="00814F74" w:rsidP="00235413">
            <w:pPr>
              <w:pStyle w:val="TableText0"/>
              <w:jc w:val="center"/>
            </w:pPr>
            <w:r w:rsidRPr="003F72E0">
              <w:t>0.90</w:t>
            </w:r>
          </w:p>
        </w:tc>
        <w:tc>
          <w:tcPr>
            <w:tcW w:w="510" w:type="pct"/>
            <w:tcBorders>
              <w:top w:val="nil"/>
              <w:bottom w:val="nil"/>
            </w:tcBorders>
          </w:tcPr>
          <w:p w14:paraId="37E2209D" w14:textId="77777777" w:rsidR="00814F74" w:rsidRPr="002037C2" w:rsidRDefault="002037C2" w:rsidP="00235413">
            <w:pPr>
              <w:pStyle w:val="TableText0"/>
              <w:jc w:val="center"/>
            </w:pPr>
            <w:r>
              <w:rPr>
                <w:noProof/>
                <w:color w:val="000000"/>
                <w:highlight w:val="black"/>
              </w:rPr>
              <w:t>'''''''''''''''''''''</w:t>
            </w:r>
            <w:r w:rsidR="00355DAA">
              <w:rPr>
                <w:vertAlign w:val="superscript"/>
              </w:rPr>
              <w:t>1</w:t>
            </w:r>
          </w:p>
        </w:tc>
        <w:tc>
          <w:tcPr>
            <w:tcW w:w="510" w:type="pct"/>
            <w:tcBorders>
              <w:top w:val="nil"/>
              <w:bottom w:val="nil"/>
            </w:tcBorders>
          </w:tcPr>
          <w:p w14:paraId="7909F867"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nil"/>
            </w:tcBorders>
          </w:tcPr>
          <w:p w14:paraId="0E8B91AA" w14:textId="77777777" w:rsidR="00814F74" w:rsidRPr="003F72E0" w:rsidRDefault="00814F74" w:rsidP="00235413">
            <w:pPr>
              <w:pStyle w:val="TableText0"/>
              <w:jc w:val="center"/>
            </w:pPr>
            <w:r w:rsidRPr="003F72E0">
              <w:t>1.55</w:t>
            </w:r>
          </w:p>
        </w:tc>
        <w:tc>
          <w:tcPr>
            <w:tcW w:w="515" w:type="pct"/>
            <w:tcBorders>
              <w:top w:val="nil"/>
              <w:bottom w:val="nil"/>
            </w:tcBorders>
          </w:tcPr>
          <w:p w14:paraId="1B5FDF2E" w14:textId="77777777" w:rsidR="00814F74" w:rsidRPr="002037C2" w:rsidRDefault="002037C2" w:rsidP="00235413">
            <w:pPr>
              <w:pStyle w:val="TableText0"/>
              <w:jc w:val="center"/>
            </w:pPr>
            <w:r>
              <w:rPr>
                <w:noProof/>
                <w:color w:val="000000"/>
                <w:highlight w:val="black"/>
              </w:rPr>
              <w:t>''''''''''''''''''</w:t>
            </w:r>
            <w:r w:rsidR="005C6CBA">
              <w:rPr>
                <w:vertAlign w:val="superscript"/>
              </w:rPr>
              <w:t>1</w:t>
            </w:r>
          </w:p>
        </w:tc>
      </w:tr>
      <w:tr w:rsidR="00814F74" w:rsidRPr="003F72E0" w14:paraId="1DBE3B5A" w14:textId="77777777" w:rsidTr="00A0257A">
        <w:tc>
          <w:tcPr>
            <w:tcW w:w="1935" w:type="pct"/>
            <w:tcBorders>
              <w:top w:val="nil"/>
              <w:bottom w:val="single" w:sz="4" w:space="0" w:color="auto"/>
            </w:tcBorders>
          </w:tcPr>
          <w:p w14:paraId="05207EC5" w14:textId="77777777" w:rsidR="00814F74" w:rsidRPr="003F72E0" w:rsidRDefault="00814F74" w:rsidP="00235413">
            <w:pPr>
              <w:pStyle w:val="TableText0"/>
              <w:ind w:left="112"/>
            </w:pPr>
            <w:r w:rsidRPr="003F72E0">
              <w:t>100% increase post APA</w:t>
            </w:r>
          </w:p>
        </w:tc>
        <w:tc>
          <w:tcPr>
            <w:tcW w:w="510" w:type="pct"/>
            <w:tcBorders>
              <w:top w:val="nil"/>
              <w:bottom w:val="single" w:sz="4" w:space="0" w:color="auto"/>
            </w:tcBorders>
          </w:tcPr>
          <w:p w14:paraId="4AAC0C27"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single" w:sz="4" w:space="0" w:color="auto"/>
            </w:tcBorders>
          </w:tcPr>
          <w:p w14:paraId="455B2409" w14:textId="77777777" w:rsidR="00814F74" w:rsidRPr="003F72E0" w:rsidRDefault="00814F74" w:rsidP="00235413">
            <w:pPr>
              <w:pStyle w:val="TableText0"/>
              <w:jc w:val="center"/>
            </w:pPr>
            <w:r w:rsidRPr="003F72E0">
              <w:t>0.90</w:t>
            </w:r>
          </w:p>
        </w:tc>
        <w:tc>
          <w:tcPr>
            <w:tcW w:w="510" w:type="pct"/>
            <w:tcBorders>
              <w:top w:val="nil"/>
              <w:bottom w:val="single" w:sz="4" w:space="0" w:color="auto"/>
            </w:tcBorders>
          </w:tcPr>
          <w:p w14:paraId="54824E60" w14:textId="77777777" w:rsidR="00814F74" w:rsidRPr="002037C2" w:rsidRDefault="002037C2" w:rsidP="00235413">
            <w:pPr>
              <w:pStyle w:val="TableText0"/>
              <w:jc w:val="center"/>
            </w:pPr>
            <w:r>
              <w:rPr>
                <w:noProof/>
                <w:color w:val="000000"/>
                <w:highlight w:val="black"/>
              </w:rPr>
              <w:t>'''''''''''''''''''</w:t>
            </w:r>
            <w:r w:rsidR="00355DAA">
              <w:rPr>
                <w:vertAlign w:val="superscript"/>
              </w:rPr>
              <w:t>1</w:t>
            </w:r>
          </w:p>
        </w:tc>
        <w:tc>
          <w:tcPr>
            <w:tcW w:w="510" w:type="pct"/>
            <w:tcBorders>
              <w:top w:val="nil"/>
              <w:bottom w:val="single" w:sz="4" w:space="0" w:color="auto"/>
            </w:tcBorders>
          </w:tcPr>
          <w:p w14:paraId="2605A24D" w14:textId="77777777" w:rsidR="00814F74" w:rsidRPr="002037C2" w:rsidRDefault="002037C2" w:rsidP="00235413">
            <w:pPr>
              <w:pStyle w:val="TableText0"/>
              <w:jc w:val="center"/>
              <w:rPr>
                <w:highlight w:val="black"/>
              </w:rPr>
            </w:pPr>
            <w:r>
              <w:rPr>
                <w:noProof/>
                <w:color w:val="000000"/>
                <w:highlight w:val="black"/>
              </w:rPr>
              <w:t>'''''''''''''''''</w:t>
            </w:r>
          </w:p>
        </w:tc>
        <w:tc>
          <w:tcPr>
            <w:tcW w:w="510" w:type="pct"/>
            <w:tcBorders>
              <w:top w:val="nil"/>
              <w:bottom w:val="single" w:sz="4" w:space="0" w:color="auto"/>
            </w:tcBorders>
          </w:tcPr>
          <w:p w14:paraId="41302D41" w14:textId="77777777" w:rsidR="00814F74" w:rsidRPr="003F72E0" w:rsidRDefault="00814F74" w:rsidP="00235413">
            <w:pPr>
              <w:pStyle w:val="TableText0"/>
              <w:jc w:val="center"/>
            </w:pPr>
            <w:r w:rsidRPr="003F72E0">
              <w:t>1.55</w:t>
            </w:r>
          </w:p>
        </w:tc>
        <w:tc>
          <w:tcPr>
            <w:tcW w:w="515" w:type="pct"/>
            <w:tcBorders>
              <w:top w:val="nil"/>
              <w:bottom w:val="single" w:sz="4" w:space="0" w:color="auto"/>
            </w:tcBorders>
          </w:tcPr>
          <w:p w14:paraId="7044E2D0" w14:textId="77777777" w:rsidR="00814F74" w:rsidRPr="002037C2" w:rsidRDefault="002037C2" w:rsidP="00235413">
            <w:pPr>
              <w:pStyle w:val="TableText0"/>
              <w:jc w:val="center"/>
            </w:pPr>
            <w:r>
              <w:rPr>
                <w:noProof/>
                <w:color w:val="000000"/>
                <w:highlight w:val="black"/>
              </w:rPr>
              <w:t>''''''''''''''''''</w:t>
            </w:r>
            <w:r w:rsidR="005C6CBA">
              <w:rPr>
                <w:vertAlign w:val="superscript"/>
              </w:rPr>
              <w:t>1</w:t>
            </w:r>
          </w:p>
        </w:tc>
      </w:tr>
      <w:tr w:rsidR="00814F74" w:rsidRPr="003F72E0" w14:paraId="70454A41" w14:textId="77777777" w:rsidTr="00A0257A">
        <w:tc>
          <w:tcPr>
            <w:tcW w:w="1935" w:type="pct"/>
            <w:tcBorders>
              <w:bottom w:val="nil"/>
            </w:tcBorders>
          </w:tcPr>
          <w:p w14:paraId="25F7B3DA" w14:textId="77777777" w:rsidR="00814F74" w:rsidRPr="003F72E0" w:rsidRDefault="00814F74" w:rsidP="00DF5EF9">
            <w:pPr>
              <w:pStyle w:val="TableText0"/>
              <w:keepNext w:val="0"/>
            </w:pPr>
            <w:r w:rsidRPr="003F72E0">
              <w:t>Extrapolation for PFS (BC: Weibull)</w:t>
            </w:r>
          </w:p>
        </w:tc>
        <w:tc>
          <w:tcPr>
            <w:tcW w:w="510" w:type="pct"/>
            <w:tcBorders>
              <w:bottom w:val="nil"/>
            </w:tcBorders>
          </w:tcPr>
          <w:p w14:paraId="2ABB88F7" w14:textId="77777777" w:rsidR="00814F74" w:rsidRPr="002037C2" w:rsidRDefault="00814F74" w:rsidP="00DF5EF9">
            <w:pPr>
              <w:pStyle w:val="TableText0"/>
              <w:keepNext w:val="0"/>
              <w:jc w:val="center"/>
            </w:pPr>
          </w:p>
        </w:tc>
        <w:tc>
          <w:tcPr>
            <w:tcW w:w="510" w:type="pct"/>
            <w:tcBorders>
              <w:bottom w:val="nil"/>
            </w:tcBorders>
          </w:tcPr>
          <w:p w14:paraId="77822C3E" w14:textId="77777777" w:rsidR="00814F74" w:rsidRPr="003F72E0" w:rsidRDefault="00814F74" w:rsidP="00DF5EF9">
            <w:pPr>
              <w:pStyle w:val="TableText0"/>
              <w:keepNext w:val="0"/>
              <w:jc w:val="center"/>
            </w:pPr>
          </w:p>
        </w:tc>
        <w:tc>
          <w:tcPr>
            <w:tcW w:w="510" w:type="pct"/>
            <w:tcBorders>
              <w:bottom w:val="nil"/>
            </w:tcBorders>
          </w:tcPr>
          <w:p w14:paraId="57E82F6C" w14:textId="77777777" w:rsidR="00814F74" w:rsidRPr="002037C2" w:rsidRDefault="00814F74" w:rsidP="00DF5EF9">
            <w:pPr>
              <w:pStyle w:val="TableText0"/>
              <w:keepNext w:val="0"/>
              <w:jc w:val="center"/>
            </w:pPr>
          </w:p>
        </w:tc>
        <w:tc>
          <w:tcPr>
            <w:tcW w:w="510" w:type="pct"/>
            <w:tcBorders>
              <w:bottom w:val="nil"/>
            </w:tcBorders>
          </w:tcPr>
          <w:p w14:paraId="01702777" w14:textId="77777777" w:rsidR="00814F74" w:rsidRPr="003F72E0" w:rsidRDefault="00814F74" w:rsidP="00DF5EF9">
            <w:pPr>
              <w:pStyle w:val="TableText0"/>
              <w:keepNext w:val="0"/>
              <w:jc w:val="center"/>
            </w:pPr>
          </w:p>
        </w:tc>
        <w:tc>
          <w:tcPr>
            <w:tcW w:w="510" w:type="pct"/>
            <w:tcBorders>
              <w:bottom w:val="nil"/>
            </w:tcBorders>
          </w:tcPr>
          <w:p w14:paraId="46A6C2EB" w14:textId="77777777" w:rsidR="00814F74" w:rsidRPr="003F72E0" w:rsidRDefault="00814F74" w:rsidP="00DF5EF9">
            <w:pPr>
              <w:pStyle w:val="TableText0"/>
              <w:keepNext w:val="0"/>
              <w:jc w:val="center"/>
            </w:pPr>
          </w:p>
        </w:tc>
        <w:tc>
          <w:tcPr>
            <w:tcW w:w="515" w:type="pct"/>
            <w:tcBorders>
              <w:bottom w:val="nil"/>
            </w:tcBorders>
          </w:tcPr>
          <w:p w14:paraId="06907E2D" w14:textId="77777777" w:rsidR="00814F74" w:rsidRPr="002037C2" w:rsidRDefault="00814F74" w:rsidP="00DF5EF9">
            <w:pPr>
              <w:pStyle w:val="TableText0"/>
              <w:keepNext w:val="0"/>
              <w:jc w:val="center"/>
            </w:pPr>
          </w:p>
        </w:tc>
      </w:tr>
      <w:tr w:rsidR="00814F74" w:rsidRPr="003F72E0" w14:paraId="4F4CBA64" w14:textId="77777777" w:rsidTr="00A0257A">
        <w:tc>
          <w:tcPr>
            <w:tcW w:w="1935" w:type="pct"/>
            <w:tcBorders>
              <w:top w:val="nil"/>
              <w:bottom w:val="nil"/>
            </w:tcBorders>
          </w:tcPr>
          <w:p w14:paraId="2D3E8B83" w14:textId="77777777" w:rsidR="00814F74" w:rsidRPr="003F72E0" w:rsidRDefault="00814F74" w:rsidP="00DF5EF9">
            <w:pPr>
              <w:pStyle w:val="TableText0"/>
              <w:keepNext w:val="0"/>
              <w:ind w:left="112"/>
            </w:pPr>
            <w:proofErr w:type="spellStart"/>
            <w:r w:rsidRPr="003F72E0">
              <w:t>Gompertz</w:t>
            </w:r>
            <w:proofErr w:type="spellEnd"/>
          </w:p>
        </w:tc>
        <w:tc>
          <w:tcPr>
            <w:tcW w:w="510" w:type="pct"/>
            <w:tcBorders>
              <w:top w:val="nil"/>
              <w:bottom w:val="nil"/>
            </w:tcBorders>
          </w:tcPr>
          <w:p w14:paraId="537AE9A5"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2D623C9A" w14:textId="77777777" w:rsidR="00814F74" w:rsidRPr="003F72E0" w:rsidRDefault="00814F74" w:rsidP="00DF5EF9">
            <w:pPr>
              <w:pStyle w:val="TableText0"/>
              <w:keepNext w:val="0"/>
              <w:jc w:val="center"/>
            </w:pPr>
            <w:r w:rsidRPr="003F72E0">
              <w:t>0.85</w:t>
            </w:r>
          </w:p>
        </w:tc>
        <w:tc>
          <w:tcPr>
            <w:tcW w:w="510" w:type="pct"/>
            <w:tcBorders>
              <w:top w:val="nil"/>
              <w:bottom w:val="nil"/>
            </w:tcBorders>
          </w:tcPr>
          <w:p w14:paraId="2CBBBBBC" w14:textId="77777777" w:rsidR="00814F74" w:rsidRPr="002037C2" w:rsidRDefault="002037C2" w:rsidP="00DF5EF9">
            <w:pPr>
              <w:pStyle w:val="TableText0"/>
              <w:keepNext w:val="0"/>
              <w:jc w:val="center"/>
            </w:pPr>
            <w:r>
              <w:rPr>
                <w:noProof/>
                <w:color w:val="000000"/>
                <w:highlight w:val="black"/>
              </w:rPr>
              <w:t>'''''''''''''''''''''</w:t>
            </w:r>
            <w:r w:rsidR="00355DAA">
              <w:rPr>
                <w:vertAlign w:val="superscript"/>
              </w:rPr>
              <w:t>1</w:t>
            </w:r>
          </w:p>
        </w:tc>
        <w:tc>
          <w:tcPr>
            <w:tcW w:w="510" w:type="pct"/>
            <w:tcBorders>
              <w:top w:val="nil"/>
              <w:bottom w:val="nil"/>
            </w:tcBorders>
          </w:tcPr>
          <w:p w14:paraId="391DE254"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4A8091D9" w14:textId="77777777" w:rsidR="00814F74" w:rsidRPr="003F72E0" w:rsidRDefault="00814F74" w:rsidP="00DF5EF9">
            <w:pPr>
              <w:pStyle w:val="TableText0"/>
              <w:keepNext w:val="0"/>
              <w:jc w:val="center"/>
            </w:pPr>
            <w:r w:rsidRPr="003F72E0">
              <w:t>1.41</w:t>
            </w:r>
          </w:p>
        </w:tc>
        <w:tc>
          <w:tcPr>
            <w:tcW w:w="515" w:type="pct"/>
            <w:tcBorders>
              <w:top w:val="nil"/>
              <w:bottom w:val="nil"/>
            </w:tcBorders>
          </w:tcPr>
          <w:p w14:paraId="416809CC" w14:textId="77777777" w:rsidR="00814F74" w:rsidRPr="002037C2" w:rsidRDefault="002037C2" w:rsidP="00DF5EF9">
            <w:pPr>
              <w:pStyle w:val="TableText0"/>
              <w:keepNext w:val="0"/>
              <w:jc w:val="center"/>
            </w:pPr>
            <w:r>
              <w:rPr>
                <w:noProof/>
                <w:color w:val="000000"/>
                <w:highlight w:val="black"/>
              </w:rPr>
              <w:t>'''''''''''''''''''</w:t>
            </w:r>
            <w:r w:rsidR="005C6CBA">
              <w:rPr>
                <w:vertAlign w:val="superscript"/>
              </w:rPr>
              <w:t>5</w:t>
            </w:r>
          </w:p>
        </w:tc>
      </w:tr>
      <w:tr w:rsidR="00814F74" w:rsidRPr="003F72E0" w14:paraId="71C72FC6" w14:textId="77777777" w:rsidTr="00A0257A">
        <w:tc>
          <w:tcPr>
            <w:tcW w:w="1935" w:type="pct"/>
            <w:tcBorders>
              <w:top w:val="nil"/>
              <w:bottom w:val="single" w:sz="4" w:space="0" w:color="auto"/>
            </w:tcBorders>
          </w:tcPr>
          <w:p w14:paraId="4D975BA7" w14:textId="77777777" w:rsidR="00814F74" w:rsidRPr="003F72E0" w:rsidRDefault="00814F74" w:rsidP="00DF5EF9">
            <w:pPr>
              <w:pStyle w:val="TableText0"/>
              <w:keepNext w:val="0"/>
              <w:ind w:left="112"/>
            </w:pPr>
            <w:r w:rsidRPr="003F72E0">
              <w:t xml:space="preserve">Δ PBO PFS = Δ APA PFS after 23 </w:t>
            </w:r>
            <w:proofErr w:type="spellStart"/>
            <w:r w:rsidRPr="003F72E0">
              <w:t>months</w:t>
            </w:r>
            <w:r w:rsidRPr="003F72E0">
              <w:rPr>
                <w:vertAlign w:val="superscript"/>
              </w:rPr>
              <w:t>a</w:t>
            </w:r>
            <w:proofErr w:type="spellEnd"/>
          </w:p>
        </w:tc>
        <w:tc>
          <w:tcPr>
            <w:tcW w:w="510" w:type="pct"/>
            <w:tcBorders>
              <w:top w:val="nil"/>
              <w:bottom w:val="single" w:sz="4" w:space="0" w:color="auto"/>
            </w:tcBorders>
          </w:tcPr>
          <w:p w14:paraId="42A400E4"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single" w:sz="4" w:space="0" w:color="auto"/>
            </w:tcBorders>
          </w:tcPr>
          <w:p w14:paraId="28C301E6" w14:textId="77777777" w:rsidR="00814F74" w:rsidRPr="003F72E0" w:rsidRDefault="00814F74" w:rsidP="00DF5EF9">
            <w:pPr>
              <w:pStyle w:val="TableText0"/>
              <w:keepNext w:val="0"/>
              <w:jc w:val="center"/>
            </w:pPr>
            <w:r w:rsidRPr="003F72E0">
              <w:t>0.83</w:t>
            </w:r>
          </w:p>
        </w:tc>
        <w:tc>
          <w:tcPr>
            <w:tcW w:w="510" w:type="pct"/>
            <w:tcBorders>
              <w:top w:val="nil"/>
              <w:bottom w:val="single" w:sz="4" w:space="0" w:color="auto"/>
            </w:tcBorders>
          </w:tcPr>
          <w:p w14:paraId="5C2C8A94" w14:textId="77777777" w:rsidR="00814F74" w:rsidRPr="002037C2" w:rsidRDefault="002037C2" w:rsidP="00DF5EF9">
            <w:pPr>
              <w:pStyle w:val="TableText0"/>
              <w:keepNext w:val="0"/>
              <w:jc w:val="center"/>
            </w:pPr>
            <w:r>
              <w:rPr>
                <w:noProof/>
                <w:color w:val="000000"/>
                <w:highlight w:val="black"/>
              </w:rPr>
              <w:t>''''''''''''''''''</w:t>
            </w:r>
            <w:r w:rsidR="00355DAA">
              <w:rPr>
                <w:vertAlign w:val="superscript"/>
              </w:rPr>
              <w:t>2</w:t>
            </w:r>
          </w:p>
        </w:tc>
        <w:tc>
          <w:tcPr>
            <w:tcW w:w="510" w:type="pct"/>
            <w:tcBorders>
              <w:top w:val="nil"/>
              <w:bottom w:val="single" w:sz="4" w:space="0" w:color="auto"/>
            </w:tcBorders>
          </w:tcPr>
          <w:p w14:paraId="33CD282F"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single" w:sz="4" w:space="0" w:color="auto"/>
            </w:tcBorders>
          </w:tcPr>
          <w:p w14:paraId="608B5370" w14:textId="77777777" w:rsidR="00814F74" w:rsidRPr="003F72E0" w:rsidRDefault="00814F74" w:rsidP="00DF5EF9">
            <w:pPr>
              <w:pStyle w:val="TableText0"/>
              <w:keepNext w:val="0"/>
              <w:jc w:val="center"/>
            </w:pPr>
            <w:r w:rsidRPr="003F72E0">
              <w:t>1.40</w:t>
            </w:r>
          </w:p>
        </w:tc>
        <w:tc>
          <w:tcPr>
            <w:tcW w:w="515" w:type="pct"/>
            <w:tcBorders>
              <w:top w:val="nil"/>
              <w:bottom w:val="single" w:sz="4" w:space="0" w:color="auto"/>
            </w:tcBorders>
          </w:tcPr>
          <w:p w14:paraId="5C0CCAA6" w14:textId="77777777" w:rsidR="00814F74" w:rsidRPr="002037C2" w:rsidRDefault="002037C2" w:rsidP="00DF5EF9">
            <w:pPr>
              <w:pStyle w:val="TableText0"/>
              <w:keepNext w:val="0"/>
              <w:jc w:val="center"/>
            </w:pPr>
            <w:r>
              <w:rPr>
                <w:noProof/>
                <w:color w:val="000000"/>
                <w:highlight w:val="black"/>
              </w:rPr>
              <w:t>'''''''''''''''''''</w:t>
            </w:r>
            <w:r w:rsidR="005C6CBA">
              <w:rPr>
                <w:vertAlign w:val="superscript"/>
              </w:rPr>
              <w:t>2</w:t>
            </w:r>
          </w:p>
        </w:tc>
      </w:tr>
      <w:tr w:rsidR="00814F74" w:rsidRPr="003F72E0" w14:paraId="19F2A07B" w14:textId="77777777" w:rsidTr="00A0257A">
        <w:tc>
          <w:tcPr>
            <w:tcW w:w="1935" w:type="pct"/>
            <w:tcBorders>
              <w:top w:val="single" w:sz="4" w:space="0" w:color="auto"/>
              <w:bottom w:val="nil"/>
            </w:tcBorders>
          </w:tcPr>
          <w:p w14:paraId="0180A73C" w14:textId="77777777" w:rsidR="00814F74" w:rsidRPr="003F72E0" w:rsidRDefault="00814F74" w:rsidP="00DF5EF9">
            <w:pPr>
              <w:pStyle w:val="TableText0"/>
              <w:keepNext w:val="0"/>
            </w:pPr>
            <w:r w:rsidRPr="003F72E0">
              <w:t>Extrapolation for OS (BC: Weibull)</w:t>
            </w:r>
          </w:p>
        </w:tc>
        <w:tc>
          <w:tcPr>
            <w:tcW w:w="510" w:type="pct"/>
            <w:tcBorders>
              <w:top w:val="single" w:sz="4" w:space="0" w:color="auto"/>
              <w:bottom w:val="nil"/>
            </w:tcBorders>
          </w:tcPr>
          <w:p w14:paraId="3F9C5647" w14:textId="77777777" w:rsidR="00814F74" w:rsidRPr="002037C2" w:rsidRDefault="00814F74" w:rsidP="00DF5EF9">
            <w:pPr>
              <w:pStyle w:val="TableText0"/>
              <w:keepNext w:val="0"/>
              <w:jc w:val="center"/>
            </w:pPr>
          </w:p>
        </w:tc>
        <w:tc>
          <w:tcPr>
            <w:tcW w:w="510" w:type="pct"/>
            <w:tcBorders>
              <w:top w:val="single" w:sz="4" w:space="0" w:color="auto"/>
              <w:bottom w:val="nil"/>
            </w:tcBorders>
          </w:tcPr>
          <w:p w14:paraId="6BA6C572" w14:textId="77777777" w:rsidR="00814F74" w:rsidRPr="003F72E0" w:rsidRDefault="00814F74" w:rsidP="00DF5EF9">
            <w:pPr>
              <w:pStyle w:val="TableText0"/>
              <w:keepNext w:val="0"/>
              <w:jc w:val="center"/>
            </w:pPr>
          </w:p>
        </w:tc>
        <w:tc>
          <w:tcPr>
            <w:tcW w:w="510" w:type="pct"/>
            <w:tcBorders>
              <w:top w:val="single" w:sz="4" w:space="0" w:color="auto"/>
              <w:bottom w:val="nil"/>
            </w:tcBorders>
          </w:tcPr>
          <w:p w14:paraId="77F1A20B" w14:textId="77777777" w:rsidR="00814F74" w:rsidRPr="003F72E0" w:rsidRDefault="00814F74" w:rsidP="00DF5EF9">
            <w:pPr>
              <w:pStyle w:val="TableText0"/>
              <w:keepNext w:val="0"/>
              <w:jc w:val="center"/>
            </w:pPr>
          </w:p>
        </w:tc>
        <w:tc>
          <w:tcPr>
            <w:tcW w:w="510" w:type="pct"/>
            <w:tcBorders>
              <w:top w:val="single" w:sz="4" w:space="0" w:color="auto"/>
              <w:bottom w:val="nil"/>
            </w:tcBorders>
          </w:tcPr>
          <w:p w14:paraId="0BE2751D" w14:textId="77777777" w:rsidR="00814F74" w:rsidRPr="002037C2" w:rsidRDefault="00814F74" w:rsidP="00DF5EF9">
            <w:pPr>
              <w:pStyle w:val="TableText0"/>
              <w:keepNext w:val="0"/>
              <w:jc w:val="center"/>
            </w:pPr>
          </w:p>
        </w:tc>
        <w:tc>
          <w:tcPr>
            <w:tcW w:w="510" w:type="pct"/>
            <w:tcBorders>
              <w:top w:val="single" w:sz="4" w:space="0" w:color="auto"/>
              <w:bottom w:val="nil"/>
            </w:tcBorders>
          </w:tcPr>
          <w:p w14:paraId="09B3896B" w14:textId="77777777" w:rsidR="00814F74" w:rsidRPr="003F72E0" w:rsidRDefault="00814F74" w:rsidP="00DF5EF9">
            <w:pPr>
              <w:pStyle w:val="TableText0"/>
              <w:keepNext w:val="0"/>
              <w:jc w:val="center"/>
            </w:pPr>
          </w:p>
        </w:tc>
        <w:tc>
          <w:tcPr>
            <w:tcW w:w="515" w:type="pct"/>
            <w:tcBorders>
              <w:top w:val="single" w:sz="4" w:space="0" w:color="auto"/>
              <w:bottom w:val="nil"/>
            </w:tcBorders>
          </w:tcPr>
          <w:p w14:paraId="47AB83F8" w14:textId="77777777" w:rsidR="00814F74" w:rsidRPr="002037C2" w:rsidRDefault="00814F74" w:rsidP="00DF5EF9">
            <w:pPr>
              <w:pStyle w:val="TableText0"/>
              <w:keepNext w:val="0"/>
              <w:jc w:val="center"/>
            </w:pPr>
          </w:p>
        </w:tc>
      </w:tr>
      <w:tr w:rsidR="00814F74" w:rsidRPr="003F72E0" w14:paraId="54B2EE42" w14:textId="77777777" w:rsidTr="00A0257A">
        <w:tc>
          <w:tcPr>
            <w:tcW w:w="1935" w:type="pct"/>
            <w:tcBorders>
              <w:top w:val="nil"/>
              <w:bottom w:val="nil"/>
            </w:tcBorders>
          </w:tcPr>
          <w:p w14:paraId="0C034AEE" w14:textId="77777777" w:rsidR="00814F74" w:rsidRDefault="00814F74" w:rsidP="00DF5EF9">
            <w:pPr>
              <w:pStyle w:val="TableText0"/>
              <w:keepNext w:val="0"/>
              <w:ind w:left="112"/>
            </w:pPr>
            <w:proofErr w:type="spellStart"/>
            <w:r w:rsidRPr="003F72E0">
              <w:t>Gompertz</w:t>
            </w:r>
            <w:proofErr w:type="spellEnd"/>
            <w:r w:rsidRPr="003F72E0">
              <w:t xml:space="preserve"> extrapolation</w:t>
            </w:r>
          </w:p>
          <w:p w14:paraId="755E416F" w14:textId="77777777" w:rsidR="007E7F1A" w:rsidRPr="003F72E0" w:rsidRDefault="007E7F1A" w:rsidP="00DF5EF9">
            <w:pPr>
              <w:pStyle w:val="TableText0"/>
              <w:keepNext w:val="0"/>
              <w:ind w:left="112"/>
            </w:pPr>
            <w:r>
              <w:t>Convergence:</w:t>
            </w:r>
          </w:p>
        </w:tc>
        <w:tc>
          <w:tcPr>
            <w:tcW w:w="510" w:type="pct"/>
            <w:tcBorders>
              <w:top w:val="nil"/>
              <w:bottom w:val="nil"/>
            </w:tcBorders>
          </w:tcPr>
          <w:p w14:paraId="3C012946"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13993647" w14:textId="77777777" w:rsidR="00814F74" w:rsidRPr="003F72E0" w:rsidRDefault="00814F74" w:rsidP="00DF5EF9">
            <w:pPr>
              <w:pStyle w:val="TableText0"/>
              <w:keepNext w:val="0"/>
              <w:jc w:val="center"/>
            </w:pPr>
            <w:r w:rsidRPr="003F72E0">
              <w:t>0.72</w:t>
            </w:r>
          </w:p>
        </w:tc>
        <w:tc>
          <w:tcPr>
            <w:tcW w:w="510" w:type="pct"/>
            <w:tcBorders>
              <w:top w:val="nil"/>
              <w:bottom w:val="nil"/>
            </w:tcBorders>
          </w:tcPr>
          <w:p w14:paraId="77C3FF15" w14:textId="77777777" w:rsidR="00814F74" w:rsidRPr="002037C2" w:rsidRDefault="002037C2" w:rsidP="00DF5EF9">
            <w:pPr>
              <w:pStyle w:val="TableText0"/>
              <w:keepNext w:val="0"/>
              <w:jc w:val="center"/>
            </w:pPr>
            <w:r>
              <w:rPr>
                <w:noProof/>
                <w:color w:val="000000"/>
                <w:highlight w:val="black"/>
              </w:rPr>
              <w:t>''''''''''''''''''</w:t>
            </w:r>
            <w:r w:rsidR="00355DAA">
              <w:rPr>
                <w:vertAlign w:val="superscript"/>
              </w:rPr>
              <w:t>2</w:t>
            </w:r>
          </w:p>
        </w:tc>
        <w:tc>
          <w:tcPr>
            <w:tcW w:w="510" w:type="pct"/>
            <w:tcBorders>
              <w:top w:val="nil"/>
              <w:bottom w:val="nil"/>
            </w:tcBorders>
          </w:tcPr>
          <w:p w14:paraId="351DB8CC"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504740CD" w14:textId="77777777" w:rsidR="00814F74" w:rsidRPr="003F72E0" w:rsidRDefault="00814F74" w:rsidP="00DF5EF9">
            <w:pPr>
              <w:pStyle w:val="TableText0"/>
              <w:keepNext w:val="0"/>
              <w:jc w:val="center"/>
            </w:pPr>
            <w:r w:rsidRPr="003F72E0">
              <w:t>0.94</w:t>
            </w:r>
          </w:p>
        </w:tc>
        <w:tc>
          <w:tcPr>
            <w:tcW w:w="515" w:type="pct"/>
            <w:tcBorders>
              <w:top w:val="nil"/>
              <w:bottom w:val="nil"/>
            </w:tcBorders>
          </w:tcPr>
          <w:p w14:paraId="588DD861" w14:textId="77777777" w:rsidR="00814F74" w:rsidRPr="002037C2" w:rsidRDefault="002037C2" w:rsidP="00DF5EF9">
            <w:pPr>
              <w:pStyle w:val="TableText0"/>
              <w:keepNext w:val="0"/>
              <w:jc w:val="center"/>
            </w:pPr>
            <w:r>
              <w:rPr>
                <w:noProof/>
                <w:color w:val="000000"/>
                <w:highlight w:val="black"/>
              </w:rPr>
              <w:t>''''''''''''''''''''</w:t>
            </w:r>
            <w:r w:rsidR="005C6CBA">
              <w:rPr>
                <w:vertAlign w:val="superscript"/>
              </w:rPr>
              <w:t>2</w:t>
            </w:r>
          </w:p>
        </w:tc>
      </w:tr>
      <w:tr w:rsidR="00814F74" w:rsidRPr="003F72E0" w14:paraId="105D3C3D" w14:textId="77777777" w:rsidTr="00A0257A">
        <w:tc>
          <w:tcPr>
            <w:tcW w:w="1935" w:type="pct"/>
            <w:tcBorders>
              <w:top w:val="nil"/>
              <w:bottom w:val="nil"/>
            </w:tcBorders>
          </w:tcPr>
          <w:p w14:paraId="6F6B3ED4" w14:textId="77777777" w:rsidR="00814F74" w:rsidRPr="003F72E0" w:rsidRDefault="00814F74" w:rsidP="00DF5EF9">
            <w:pPr>
              <w:pStyle w:val="TableText0"/>
              <w:keepNext w:val="0"/>
              <w:ind w:left="112"/>
            </w:pPr>
            <w:r w:rsidRPr="003F72E0">
              <w:t xml:space="preserve">Δ PBO OS = Δ APA OS after 44 </w:t>
            </w:r>
            <w:proofErr w:type="spellStart"/>
            <w:r w:rsidRPr="003F72E0">
              <w:t>months</w:t>
            </w:r>
            <w:r w:rsidRPr="003F72E0">
              <w:rPr>
                <w:vertAlign w:val="superscript"/>
              </w:rPr>
              <w:t>b</w:t>
            </w:r>
            <w:proofErr w:type="spellEnd"/>
          </w:p>
        </w:tc>
        <w:tc>
          <w:tcPr>
            <w:tcW w:w="510" w:type="pct"/>
            <w:tcBorders>
              <w:top w:val="nil"/>
              <w:bottom w:val="nil"/>
            </w:tcBorders>
          </w:tcPr>
          <w:p w14:paraId="00563797"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069F56FA" w14:textId="77777777" w:rsidR="00814F74" w:rsidRPr="003F72E0" w:rsidRDefault="00814F74" w:rsidP="00DF5EF9">
            <w:pPr>
              <w:pStyle w:val="TableText0"/>
              <w:keepNext w:val="0"/>
              <w:jc w:val="center"/>
            </w:pPr>
            <w:r w:rsidRPr="003F72E0">
              <w:t>0.60</w:t>
            </w:r>
          </w:p>
        </w:tc>
        <w:tc>
          <w:tcPr>
            <w:tcW w:w="510" w:type="pct"/>
            <w:tcBorders>
              <w:top w:val="nil"/>
              <w:bottom w:val="nil"/>
            </w:tcBorders>
          </w:tcPr>
          <w:p w14:paraId="29D8745D" w14:textId="77777777" w:rsidR="00814F74" w:rsidRPr="002037C2" w:rsidRDefault="002037C2" w:rsidP="00DF5EF9">
            <w:pPr>
              <w:pStyle w:val="TableText0"/>
              <w:keepNext w:val="0"/>
              <w:jc w:val="center"/>
            </w:pPr>
            <w:r>
              <w:rPr>
                <w:noProof/>
                <w:color w:val="000000"/>
                <w:highlight w:val="black"/>
              </w:rPr>
              <w:t>'''''''''''''''''</w:t>
            </w:r>
            <w:r w:rsidR="00355DAA">
              <w:rPr>
                <w:vertAlign w:val="superscript"/>
              </w:rPr>
              <w:t>3</w:t>
            </w:r>
          </w:p>
        </w:tc>
        <w:tc>
          <w:tcPr>
            <w:tcW w:w="510" w:type="pct"/>
            <w:tcBorders>
              <w:top w:val="nil"/>
              <w:bottom w:val="nil"/>
            </w:tcBorders>
          </w:tcPr>
          <w:p w14:paraId="6FF4D6D4"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1EE28222" w14:textId="77777777" w:rsidR="00814F74" w:rsidRPr="003F72E0" w:rsidRDefault="00814F74" w:rsidP="00DF5EF9">
            <w:pPr>
              <w:pStyle w:val="TableText0"/>
              <w:keepNext w:val="0"/>
              <w:jc w:val="center"/>
            </w:pPr>
            <w:r w:rsidRPr="003F72E0">
              <w:t>0.86</w:t>
            </w:r>
          </w:p>
        </w:tc>
        <w:tc>
          <w:tcPr>
            <w:tcW w:w="515" w:type="pct"/>
            <w:tcBorders>
              <w:top w:val="nil"/>
              <w:bottom w:val="nil"/>
            </w:tcBorders>
          </w:tcPr>
          <w:p w14:paraId="72A71F00" w14:textId="77777777" w:rsidR="00814F74" w:rsidRPr="002037C2" w:rsidRDefault="002037C2" w:rsidP="00DF5EF9">
            <w:pPr>
              <w:pStyle w:val="TableText0"/>
              <w:keepNext w:val="0"/>
              <w:jc w:val="center"/>
            </w:pPr>
            <w:r>
              <w:rPr>
                <w:noProof/>
                <w:color w:val="000000"/>
                <w:highlight w:val="black"/>
              </w:rPr>
              <w:t>''''''''''''''''''</w:t>
            </w:r>
            <w:r w:rsidR="005C6CBA">
              <w:rPr>
                <w:vertAlign w:val="superscript"/>
              </w:rPr>
              <w:t>3</w:t>
            </w:r>
          </w:p>
        </w:tc>
      </w:tr>
      <w:tr w:rsidR="00814F74" w:rsidRPr="003F72E0" w14:paraId="04AC9682" w14:textId="77777777" w:rsidTr="00A0257A">
        <w:tc>
          <w:tcPr>
            <w:tcW w:w="1935" w:type="pct"/>
            <w:tcBorders>
              <w:top w:val="nil"/>
              <w:bottom w:val="single" w:sz="4" w:space="0" w:color="auto"/>
            </w:tcBorders>
          </w:tcPr>
          <w:p w14:paraId="63DC9FBD" w14:textId="77777777" w:rsidR="00814F74" w:rsidRPr="003F72E0" w:rsidRDefault="00814F74" w:rsidP="00DF5EF9">
            <w:pPr>
              <w:pStyle w:val="TableText0"/>
              <w:keepNext w:val="0"/>
              <w:ind w:left="112"/>
            </w:pPr>
            <w:r w:rsidRPr="003F72E0">
              <w:t xml:space="preserve">Δ PBO OS = Δ APA OS after 5 </w:t>
            </w:r>
            <w:proofErr w:type="spellStart"/>
            <w:r w:rsidRPr="003F72E0">
              <w:t>years</w:t>
            </w:r>
            <w:r w:rsidRPr="003F72E0">
              <w:rPr>
                <w:vertAlign w:val="superscript"/>
              </w:rPr>
              <w:t>c</w:t>
            </w:r>
            <w:proofErr w:type="spellEnd"/>
          </w:p>
        </w:tc>
        <w:tc>
          <w:tcPr>
            <w:tcW w:w="510" w:type="pct"/>
            <w:tcBorders>
              <w:top w:val="nil"/>
              <w:bottom w:val="single" w:sz="4" w:space="0" w:color="auto"/>
            </w:tcBorders>
          </w:tcPr>
          <w:p w14:paraId="21E8FC9D"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single" w:sz="4" w:space="0" w:color="auto"/>
            </w:tcBorders>
          </w:tcPr>
          <w:p w14:paraId="022FDC8B" w14:textId="77777777" w:rsidR="00814F74" w:rsidRPr="003F72E0" w:rsidRDefault="00814F74" w:rsidP="00DF5EF9">
            <w:pPr>
              <w:pStyle w:val="TableText0"/>
              <w:keepNext w:val="0"/>
              <w:jc w:val="center"/>
            </w:pPr>
            <w:r w:rsidRPr="003F72E0">
              <w:t>0.72</w:t>
            </w:r>
          </w:p>
        </w:tc>
        <w:tc>
          <w:tcPr>
            <w:tcW w:w="510" w:type="pct"/>
            <w:tcBorders>
              <w:top w:val="nil"/>
              <w:bottom w:val="single" w:sz="4" w:space="0" w:color="auto"/>
            </w:tcBorders>
          </w:tcPr>
          <w:p w14:paraId="012C7B3E" w14:textId="77777777" w:rsidR="00814F74" w:rsidRPr="002037C2" w:rsidRDefault="002037C2" w:rsidP="00DF5EF9">
            <w:pPr>
              <w:pStyle w:val="TableText0"/>
              <w:keepNext w:val="0"/>
              <w:jc w:val="center"/>
            </w:pPr>
            <w:r>
              <w:rPr>
                <w:noProof/>
                <w:color w:val="000000"/>
                <w:highlight w:val="black"/>
              </w:rPr>
              <w:t>''''''''''''''''''''</w:t>
            </w:r>
            <w:r w:rsidR="00355DAA">
              <w:rPr>
                <w:vertAlign w:val="superscript"/>
              </w:rPr>
              <w:t>2</w:t>
            </w:r>
          </w:p>
        </w:tc>
        <w:tc>
          <w:tcPr>
            <w:tcW w:w="510" w:type="pct"/>
            <w:tcBorders>
              <w:top w:val="nil"/>
              <w:bottom w:val="single" w:sz="4" w:space="0" w:color="auto"/>
            </w:tcBorders>
          </w:tcPr>
          <w:p w14:paraId="2280BC97"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single" w:sz="4" w:space="0" w:color="auto"/>
            </w:tcBorders>
          </w:tcPr>
          <w:p w14:paraId="3FCFA6C5" w14:textId="77777777" w:rsidR="00814F74" w:rsidRPr="003F72E0" w:rsidRDefault="00814F74" w:rsidP="00DF5EF9">
            <w:pPr>
              <w:pStyle w:val="TableText0"/>
              <w:keepNext w:val="0"/>
              <w:jc w:val="center"/>
            </w:pPr>
            <w:r w:rsidRPr="003F72E0">
              <w:t>1.04</w:t>
            </w:r>
          </w:p>
        </w:tc>
        <w:tc>
          <w:tcPr>
            <w:tcW w:w="515" w:type="pct"/>
            <w:tcBorders>
              <w:top w:val="nil"/>
              <w:bottom w:val="single" w:sz="4" w:space="0" w:color="auto"/>
            </w:tcBorders>
          </w:tcPr>
          <w:p w14:paraId="1C3DA9EC" w14:textId="77777777" w:rsidR="00814F74" w:rsidRPr="002037C2" w:rsidRDefault="002037C2" w:rsidP="00DF5EF9">
            <w:pPr>
              <w:pStyle w:val="TableText0"/>
              <w:keepNext w:val="0"/>
              <w:jc w:val="center"/>
            </w:pPr>
            <w:r>
              <w:rPr>
                <w:noProof/>
                <w:color w:val="000000"/>
                <w:highlight w:val="black"/>
              </w:rPr>
              <w:t>'''''''''''''''''''''</w:t>
            </w:r>
            <w:r w:rsidR="005C6CBA">
              <w:rPr>
                <w:vertAlign w:val="superscript"/>
              </w:rPr>
              <w:t>3</w:t>
            </w:r>
          </w:p>
        </w:tc>
      </w:tr>
      <w:tr w:rsidR="00814F74" w:rsidRPr="003F72E0" w14:paraId="77B1F923" w14:textId="77777777" w:rsidTr="00A0257A">
        <w:tc>
          <w:tcPr>
            <w:tcW w:w="1935" w:type="pct"/>
            <w:tcBorders>
              <w:bottom w:val="nil"/>
            </w:tcBorders>
          </w:tcPr>
          <w:p w14:paraId="6C16AF8C" w14:textId="77777777" w:rsidR="00814F74" w:rsidRPr="003F72E0" w:rsidRDefault="00814F74" w:rsidP="00DF5EF9">
            <w:pPr>
              <w:pStyle w:val="TableText0"/>
              <w:keepNext w:val="0"/>
            </w:pPr>
            <w:r w:rsidRPr="003F72E0">
              <w:t>Extrapolation for TTD for APA (BC: Weibull)</w:t>
            </w:r>
          </w:p>
        </w:tc>
        <w:tc>
          <w:tcPr>
            <w:tcW w:w="510" w:type="pct"/>
            <w:tcBorders>
              <w:bottom w:val="nil"/>
            </w:tcBorders>
          </w:tcPr>
          <w:p w14:paraId="3D598226" w14:textId="77777777" w:rsidR="00814F74" w:rsidRPr="002037C2" w:rsidRDefault="00814F74" w:rsidP="00DF5EF9">
            <w:pPr>
              <w:pStyle w:val="TableText0"/>
              <w:keepNext w:val="0"/>
              <w:jc w:val="center"/>
            </w:pPr>
          </w:p>
        </w:tc>
        <w:tc>
          <w:tcPr>
            <w:tcW w:w="510" w:type="pct"/>
            <w:tcBorders>
              <w:bottom w:val="nil"/>
            </w:tcBorders>
          </w:tcPr>
          <w:p w14:paraId="2DE2C20C" w14:textId="77777777" w:rsidR="00814F74" w:rsidRPr="003F72E0" w:rsidRDefault="00814F74" w:rsidP="00DF5EF9">
            <w:pPr>
              <w:pStyle w:val="TableText0"/>
              <w:keepNext w:val="0"/>
              <w:jc w:val="center"/>
            </w:pPr>
          </w:p>
        </w:tc>
        <w:tc>
          <w:tcPr>
            <w:tcW w:w="510" w:type="pct"/>
            <w:tcBorders>
              <w:bottom w:val="nil"/>
            </w:tcBorders>
          </w:tcPr>
          <w:p w14:paraId="6F3B22D1" w14:textId="77777777" w:rsidR="00814F74" w:rsidRPr="002037C2" w:rsidRDefault="00814F74" w:rsidP="00DF5EF9">
            <w:pPr>
              <w:pStyle w:val="TableText0"/>
              <w:keepNext w:val="0"/>
              <w:jc w:val="center"/>
            </w:pPr>
          </w:p>
        </w:tc>
        <w:tc>
          <w:tcPr>
            <w:tcW w:w="510" w:type="pct"/>
            <w:tcBorders>
              <w:bottom w:val="nil"/>
            </w:tcBorders>
          </w:tcPr>
          <w:p w14:paraId="4AB3B1AC" w14:textId="77777777" w:rsidR="00814F74" w:rsidRPr="002037C2" w:rsidRDefault="00814F74" w:rsidP="00DF5EF9">
            <w:pPr>
              <w:pStyle w:val="TableText0"/>
              <w:keepNext w:val="0"/>
              <w:jc w:val="center"/>
            </w:pPr>
          </w:p>
        </w:tc>
        <w:tc>
          <w:tcPr>
            <w:tcW w:w="510" w:type="pct"/>
            <w:tcBorders>
              <w:bottom w:val="nil"/>
            </w:tcBorders>
          </w:tcPr>
          <w:p w14:paraId="6AB3F62A" w14:textId="77777777" w:rsidR="00814F74" w:rsidRPr="003F72E0" w:rsidRDefault="00814F74" w:rsidP="00DF5EF9">
            <w:pPr>
              <w:pStyle w:val="TableText0"/>
              <w:keepNext w:val="0"/>
              <w:jc w:val="center"/>
            </w:pPr>
          </w:p>
        </w:tc>
        <w:tc>
          <w:tcPr>
            <w:tcW w:w="515" w:type="pct"/>
            <w:tcBorders>
              <w:bottom w:val="nil"/>
            </w:tcBorders>
          </w:tcPr>
          <w:p w14:paraId="14F78B91" w14:textId="77777777" w:rsidR="00814F74" w:rsidRPr="002037C2" w:rsidRDefault="00814F74" w:rsidP="00DF5EF9">
            <w:pPr>
              <w:pStyle w:val="TableText0"/>
              <w:keepNext w:val="0"/>
              <w:jc w:val="center"/>
            </w:pPr>
          </w:p>
        </w:tc>
      </w:tr>
      <w:tr w:rsidR="00814F74" w:rsidRPr="003F72E0" w14:paraId="23B43846" w14:textId="77777777" w:rsidTr="00A0257A">
        <w:tc>
          <w:tcPr>
            <w:tcW w:w="1935" w:type="pct"/>
            <w:tcBorders>
              <w:top w:val="nil"/>
              <w:bottom w:val="single" w:sz="4" w:space="0" w:color="auto"/>
            </w:tcBorders>
          </w:tcPr>
          <w:p w14:paraId="01AFAE27" w14:textId="77777777" w:rsidR="00814F74" w:rsidRPr="003F72E0" w:rsidRDefault="00814F74" w:rsidP="00DF5EF9">
            <w:pPr>
              <w:pStyle w:val="TableText0"/>
              <w:keepNext w:val="0"/>
              <w:ind w:left="112"/>
            </w:pPr>
            <w:r w:rsidRPr="003F72E0">
              <w:t>TTD=PFS</w:t>
            </w:r>
          </w:p>
        </w:tc>
        <w:tc>
          <w:tcPr>
            <w:tcW w:w="510" w:type="pct"/>
            <w:tcBorders>
              <w:top w:val="nil"/>
            </w:tcBorders>
          </w:tcPr>
          <w:p w14:paraId="4BB8BA27"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tcBorders>
          </w:tcPr>
          <w:p w14:paraId="08CA358D" w14:textId="77777777" w:rsidR="00814F74" w:rsidRPr="003F72E0" w:rsidRDefault="00814F74" w:rsidP="00DF5EF9">
            <w:pPr>
              <w:pStyle w:val="TableText0"/>
              <w:keepNext w:val="0"/>
              <w:jc w:val="center"/>
            </w:pPr>
            <w:r w:rsidRPr="003F72E0">
              <w:t>0.90</w:t>
            </w:r>
          </w:p>
        </w:tc>
        <w:tc>
          <w:tcPr>
            <w:tcW w:w="510" w:type="pct"/>
            <w:tcBorders>
              <w:top w:val="nil"/>
            </w:tcBorders>
          </w:tcPr>
          <w:p w14:paraId="5075225C" w14:textId="77777777" w:rsidR="00814F74" w:rsidRPr="002037C2" w:rsidRDefault="002037C2" w:rsidP="00DF5EF9">
            <w:pPr>
              <w:pStyle w:val="TableText0"/>
              <w:keepNext w:val="0"/>
              <w:jc w:val="center"/>
            </w:pPr>
            <w:r>
              <w:rPr>
                <w:noProof/>
                <w:color w:val="000000"/>
                <w:highlight w:val="black"/>
              </w:rPr>
              <w:t>'''''''''''''''''''''</w:t>
            </w:r>
            <w:r w:rsidR="00355DAA">
              <w:rPr>
                <w:vertAlign w:val="superscript"/>
              </w:rPr>
              <w:t>2</w:t>
            </w:r>
          </w:p>
        </w:tc>
        <w:tc>
          <w:tcPr>
            <w:tcW w:w="510" w:type="pct"/>
            <w:tcBorders>
              <w:top w:val="nil"/>
            </w:tcBorders>
          </w:tcPr>
          <w:p w14:paraId="38B40FD8"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tcBorders>
          </w:tcPr>
          <w:p w14:paraId="6ED0A4F0" w14:textId="77777777" w:rsidR="00814F74" w:rsidRPr="003F72E0" w:rsidRDefault="00814F74" w:rsidP="00DF5EF9">
            <w:pPr>
              <w:pStyle w:val="TableText0"/>
              <w:keepNext w:val="0"/>
              <w:jc w:val="center"/>
            </w:pPr>
            <w:r w:rsidRPr="003F72E0">
              <w:t>1.55</w:t>
            </w:r>
          </w:p>
        </w:tc>
        <w:tc>
          <w:tcPr>
            <w:tcW w:w="515" w:type="pct"/>
            <w:tcBorders>
              <w:top w:val="nil"/>
            </w:tcBorders>
          </w:tcPr>
          <w:p w14:paraId="5554725D" w14:textId="77777777" w:rsidR="00814F74" w:rsidRPr="002037C2" w:rsidRDefault="002037C2" w:rsidP="00DF5EF9">
            <w:pPr>
              <w:pStyle w:val="TableText0"/>
              <w:keepNext w:val="0"/>
              <w:jc w:val="center"/>
            </w:pPr>
            <w:r>
              <w:rPr>
                <w:noProof/>
                <w:color w:val="000000"/>
                <w:highlight w:val="black"/>
              </w:rPr>
              <w:t>'''''''''''''''''''</w:t>
            </w:r>
            <w:r w:rsidR="005C6CBA">
              <w:rPr>
                <w:vertAlign w:val="superscript"/>
              </w:rPr>
              <w:t>3</w:t>
            </w:r>
          </w:p>
        </w:tc>
      </w:tr>
      <w:tr w:rsidR="00814F74" w:rsidRPr="003F72E0" w14:paraId="270DEF05" w14:textId="77777777" w:rsidTr="00A0257A">
        <w:tc>
          <w:tcPr>
            <w:tcW w:w="1935" w:type="pct"/>
            <w:tcBorders>
              <w:bottom w:val="nil"/>
            </w:tcBorders>
          </w:tcPr>
          <w:p w14:paraId="53DF8AC7" w14:textId="77777777" w:rsidR="00814F74" w:rsidRPr="003F72E0" w:rsidRDefault="00814F74" w:rsidP="00DF5EF9">
            <w:pPr>
              <w:pStyle w:val="TableText0"/>
              <w:keepNext w:val="0"/>
            </w:pPr>
            <w:r w:rsidRPr="003F72E0">
              <w:t xml:space="preserve">Mean time on NHAs, </w:t>
            </w:r>
            <w:proofErr w:type="spellStart"/>
            <w:r w:rsidRPr="003F72E0">
              <w:t>mCRPC</w:t>
            </w:r>
            <w:proofErr w:type="spellEnd"/>
            <w:r w:rsidRPr="003F72E0">
              <w:t xml:space="preserve"> (BC:15 months)</w:t>
            </w:r>
          </w:p>
        </w:tc>
        <w:tc>
          <w:tcPr>
            <w:tcW w:w="510" w:type="pct"/>
            <w:tcBorders>
              <w:bottom w:val="nil"/>
            </w:tcBorders>
          </w:tcPr>
          <w:p w14:paraId="41DBDAB8" w14:textId="77777777" w:rsidR="00814F74" w:rsidRPr="002037C2" w:rsidRDefault="00814F74" w:rsidP="00DF5EF9">
            <w:pPr>
              <w:pStyle w:val="TableText0"/>
              <w:keepNext w:val="0"/>
              <w:jc w:val="center"/>
            </w:pPr>
          </w:p>
        </w:tc>
        <w:tc>
          <w:tcPr>
            <w:tcW w:w="510" w:type="pct"/>
            <w:tcBorders>
              <w:bottom w:val="nil"/>
            </w:tcBorders>
          </w:tcPr>
          <w:p w14:paraId="2A62AA4C" w14:textId="77777777" w:rsidR="00814F74" w:rsidRPr="003F72E0" w:rsidRDefault="00814F74" w:rsidP="00DF5EF9">
            <w:pPr>
              <w:pStyle w:val="TableText0"/>
              <w:keepNext w:val="0"/>
              <w:jc w:val="center"/>
            </w:pPr>
          </w:p>
        </w:tc>
        <w:tc>
          <w:tcPr>
            <w:tcW w:w="510" w:type="pct"/>
            <w:tcBorders>
              <w:bottom w:val="nil"/>
            </w:tcBorders>
          </w:tcPr>
          <w:p w14:paraId="262BFD34" w14:textId="77777777" w:rsidR="00814F74" w:rsidRPr="002037C2" w:rsidRDefault="00814F74" w:rsidP="00DF5EF9">
            <w:pPr>
              <w:pStyle w:val="TableText0"/>
              <w:keepNext w:val="0"/>
              <w:jc w:val="center"/>
            </w:pPr>
          </w:p>
        </w:tc>
        <w:tc>
          <w:tcPr>
            <w:tcW w:w="510" w:type="pct"/>
            <w:tcBorders>
              <w:bottom w:val="nil"/>
            </w:tcBorders>
          </w:tcPr>
          <w:p w14:paraId="009D7455" w14:textId="77777777" w:rsidR="00814F74" w:rsidRPr="002037C2" w:rsidRDefault="00814F74" w:rsidP="00DF5EF9">
            <w:pPr>
              <w:pStyle w:val="TableText0"/>
              <w:keepNext w:val="0"/>
              <w:jc w:val="center"/>
            </w:pPr>
          </w:p>
        </w:tc>
        <w:tc>
          <w:tcPr>
            <w:tcW w:w="510" w:type="pct"/>
            <w:tcBorders>
              <w:bottom w:val="nil"/>
            </w:tcBorders>
          </w:tcPr>
          <w:p w14:paraId="33849C73" w14:textId="77777777" w:rsidR="00814F74" w:rsidRPr="003F72E0" w:rsidRDefault="00814F74" w:rsidP="00DF5EF9">
            <w:pPr>
              <w:pStyle w:val="TableText0"/>
              <w:keepNext w:val="0"/>
              <w:jc w:val="center"/>
            </w:pPr>
          </w:p>
        </w:tc>
        <w:tc>
          <w:tcPr>
            <w:tcW w:w="515" w:type="pct"/>
            <w:tcBorders>
              <w:bottom w:val="nil"/>
            </w:tcBorders>
          </w:tcPr>
          <w:p w14:paraId="0172AAC5" w14:textId="77777777" w:rsidR="00814F74" w:rsidRPr="002037C2" w:rsidRDefault="00814F74" w:rsidP="00DF5EF9">
            <w:pPr>
              <w:pStyle w:val="TableText0"/>
              <w:keepNext w:val="0"/>
              <w:jc w:val="center"/>
            </w:pPr>
          </w:p>
        </w:tc>
      </w:tr>
      <w:tr w:rsidR="00814F74" w:rsidRPr="003F72E0" w14:paraId="6C2D137F" w14:textId="77777777" w:rsidTr="00A0257A">
        <w:tc>
          <w:tcPr>
            <w:tcW w:w="1935" w:type="pct"/>
            <w:tcBorders>
              <w:top w:val="nil"/>
              <w:bottom w:val="nil"/>
            </w:tcBorders>
          </w:tcPr>
          <w:p w14:paraId="5C974B6D" w14:textId="77777777" w:rsidR="00814F74" w:rsidRPr="003F72E0" w:rsidRDefault="00814F74" w:rsidP="00DF5EF9">
            <w:pPr>
              <w:pStyle w:val="TableText0"/>
              <w:keepNext w:val="0"/>
              <w:ind w:left="112"/>
            </w:pPr>
            <w:r w:rsidRPr="003F72E0">
              <w:t>9 months</w:t>
            </w:r>
          </w:p>
        </w:tc>
        <w:tc>
          <w:tcPr>
            <w:tcW w:w="510" w:type="pct"/>
            <w:tcBorders>
              <w:top w:val="nil"/>
              <w:bottom w:val="nil"/>
            </w:tcBorders>
          </w:tcPr>
          <w:p w14:paraId="33356F90"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bottom w:val="nil"/>
            </w:tcBorders>
          </w:tcPr>
          <w:p w14:paraId="2405AE6C" w14:textId="77777777" w:rsidR="00814F74" w:rsidRPr="003F72E0" w:rsidRDefault="00814F74" w:rsidP="00DF5EF9">
            <w:pPr>
              <w:pStyle w:val="TableText0"/>
              <w:keepNext w:val="0"/>
              <w:jc w:val="center"/>
            </w:pPr>
            <w:r w:rsidRPr="003F72E0">
              <w:t>0.90</w:t>
            </w:r>
          </w:p>
        </w:tc>
        <w:tc>
          <w:tcPr>
            <w:tcW w:w="510" w:type="pct"/>
            <w:tcBorders>
              <w:top w:val="nil"/>
              <w:bottom w:val="nil"/>
              <w:right w:val="single" w:sz="4" w:space="0" w:color="auto"/>
            </w:tcBorders>
          </w:tcPr>
          <w:p w14:paraId="0901272D" w14:textId="77777777" w:rsidR="00814F74" w:rsidRPr="002037C2" w:rsidRDefault="002037C2" w:rsidP="00DF5EF9">
            <w:pPr>
              <w:pStyle w:val="TableText0"/>
              <w:keepNext w:val="0"/>
              <w:jc w:val="center"/>
            </w:pPr>
            <w:r>
              <w:rPr>
                <w:noProof/>
                <w:color w:val="000000"/>
                <w:highlight w:val="black"/>
              </w:rPr>
              <w:t>''''''''''''''''''</w:t>
            </w:r>
            <w:r w:rsidR="00355DAA">
              <w:rPr>
                <w:vertAlign w:val="superscript"/>
              </w:rPr>
              <w:t>2</w:t>
            </w:r>
          </w:p>
        </w:tc>
        <w:tc>
          <w:tcPr>
            <w:tcW w:w="510" w:type="pct"/>
            <w:tcBorders>
              <w:top w:val="nil"/>
              <w:left w:val="single" w:sz="4" w:space="0" w:color="auto"/>
              <w:bottom w:val="nil"/>
              <w:right w:val="single" w:sz="4" w:space="0" w:color="auto"/>
            </w:tcBorders>
          </w:tcPr>
          <w:p w14:paraId="0C4896D5"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left w:val="single" w:sz="4" w:space="0" w:color="auto"/>
              <w:bottom w:val="nil"/>
              <w:right w:val="single" w:sz="4" w:space="0" w:color="auto"/>
            </w:tcBorders>
          </w:tcPr>
          <w:p w14:paraId="57CF26AB" w14:textId="77777777" w:rsidR="00814F74" w:rsidRPr="003F72E0" w:rsidRDefault="00814F74" w:rsidP="00DF5EF9">
            <w:pPr>
              <w:pStyle w:val="TableText0"/>
              <w:keepNext w:val="0"/>
              <w:jc w:val="center"/>
            </w:pPr>
            <w:r w:rsidRPr="003F72E0">
              <w:t>1.55</w:t>
            </w:r>
          </w:p>
        </w:tc>
        <w:tc>
          <w:tcPr>
            <w:tcW w:w="515" w:type="pct"/>
            <w:tcBorders>
              <w:top w:val="nil"/>
              <w:left w:val="single" w:sz="4" w:space="0" w:color="auto"/>
              <w:bottom w:val="nil"/>
              <w:right w:val="single" w:sz="4" w:space="0" w:color="auto"/>
            </w:tcBorders>
          </w:tcPr>
          <w:p w14:paraId="410B5E4A" w14:textId="77777777" w:rsidR="00814F74" w:rsidRPr="002037C2" w:rsidRDefault="002037C2" w:rsidP="00DF5EF9">
            <w:pPr>
              <w:pStyle w:val="TableText0"/>
              <w:keepNext w:val="0"/>
              <w:jc w:val="center"/>
            </w:pPr>
            <w:r>
              <w:rPr>
                <w:noProof/>
                <w:color w:val="000000"/>
                <w:highlight w:val="black"/>
              </w:rPr>
              <w:t>''''''''''''''''''</w:t>
            </w:r>
            <w:r w:rsidR="005C6CBA">
              <w:rPr>
                <w:vertAlign w:val="superscript"/>
              </w:rPr>
              <w:t>1</w:t>
            </w:r>
          </w:p>
        </w:tc>
      </w:tr>
      <w:tr w:rsidR="00814F74" w:rsidRPr="003F72E0" w14:paraId="325D4DC5" w14:textId="77777777" w:rsidTr="00A0257A">
        <w:tc>
          <w:tcPr>
            <w:tcW w:w="1935" w:type="pct"/>
            <w:tcBorders>
              <w:top w:val="nil"/>
            </w:tcBorders>
          </w:tcPr>
          <w:p w14:paraId="1851EE71" w14:textId="77777777" w:rsidR="00814F74" w:rsidRPr="003F72E0" w:rsidRDefault="00814F74" w:rsidP="00DF5EF9">
            <w:pPr>
              <w:pStyle w:val="TableText0"/>
              <w:keepNext w:val="0"/>
              <w:ind w:left="112"/>
            </w:pPr>
            <w:r w:rsidRPr="003F72E0">
              <w:t>12 months</w:t>
            </w:r>
          </w:p>
        </w:tc>
        <w:tc>
          <w:tcPr>
            <w:tcW w:w="510" w:type="pct"/>
            <w:tcBorders>
              <w:top w:val="nil"/>
            </w:tcBorders>
          </w:tcPr>
          <w:p w14:paraId="1A352FE8"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tcBorders>
          </w:tcPr>
          <w:p w14:paraId="057B9C5E" w14:textId="77777777" w:rsidR="00814F74" w:rsidRPr="003F72E0" w:rsidRDefault="00814F74" w:rsidP="00DF5EF9">
            <w:pPr>
              <w:pStyle w:val="TableText0"/>
              <w:keepNext w:val="0"/>
              <w:jc w:val="center"/>
            </w:pPr>
            <w:r w:rsidRPr="003F72E0">
              <w:t>0.90</w:t>
            </w:r>
          </w:p>
        </w:tc>
        <w:tc>
          <w:tcPr>
            <w:tcW w:w="510" w:type="pct"/>
            <w:tcBorders>
              <w:top w:val="nil"/>
            </w:tcBorders>
          </w:tcPr>
          <w:p w14:paraId="722A87C1" w14:textId="77777777" w:rsidR="00814F74" w:rsidRPr="002037C2" w:rsidRDefault="002037C2" w:rsidP="00DF5EF9">
            <w:pPr>
              <w:pStyle w:val="TableText0"/>
              <w:keepNext w:val="0"/>
              <w:jc w:val="center"/>
            </w:pPr>
            <w:r>
              <w:rPr>
                <w:noProof/>
                <w:color w:val="000000"/>
                <w:highlight w:val="black"/>
              </w:rPr>
              <w:t>'''''''''''''''''''''</w:t>
            </w:r>
            <w:r w:rsidR="00355DAA">
              <w:rPr>
                <w:vertAlign w:val="superscript"/>
              </w:rPr>
              <w:t>1</w:t>
            </w:r>
          </w:p>
        </w:tc>
        <w:tc>
          <w:tcPr>
            <w:tcW w:w="510" w:type="pct"/>
            <w:tcBorders>
              <w:top w:val="nil"/>
            </w:tcBorders>
          </w:tcPr>
          <w:p w14:paraId="64A6ED80"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tcBorders>
              <w:top w:val="nil"/>
            </w:tcBorders>
          </w:tcPr>
          <w:p w14:paraId="72F22109" w14:textId="77777777" w:rsidR="00814F74" w:rsidRPr="003F72E0" w:rsidRDefault="00814F74" w:rsidP="00DF5EF9">
            <w:pPr>
              <w:pStyle w:val="TableText0"/>
              <w:keepNext w:val="0"/>
              <w:jc w:val="center"/>
            </w:pPr>
            <w:r w:rsidRPr="003F72E0">
              <w:t>1.55</w:t>
            </w:r>
          </w:p>
        </w:tc>
        <w:tc>
          <w:tcPr>
            <w:tcW w:w="515" w:type="pct"/>
            <w:tcBorders>
              <w:top w:val="nil"/>
            </w:tcBorders>
          </w:tcPr>
          <w:p w14:paraId="4DEA58CB" w14:textId="77777777" w:rsidR="00814F74" w:rsidRPr="002037C2" w:rsidRDefault="002037C2" w:rsidP="00DF5EF9">
            <w:pPr>
              <w:pStyle w:val="TableText0"/>
              <w:keepNext w:val="0"/>
              <w:jc w:val="center"/>
            </w:pPr>
            <w:r>
              <w:rPr>
                <w:noProof/>
                <w:color w:val="000000"/>
                <w:highlight w:val="black"/>
              </w:rPr>
              <w:t>''''''''''''''''''''</w:t>
            </w:r>
            <w:r w:rsidR="005C6CBA">
              <w:rPr>
                <w:vertAlign w:val="superscript"/>
              </w:rPr>
              <w:t>1</w:t>
            </w:r>
          </w:p>
        </w:tc>
      </w:tr>
      <w:tr w:rsidR="006234C1" w:rsidRPr="001B688F" w14:paraId="682FD3F6" w14:textId="77777777" w:rsidTr="00A0257A">
        <w:tc>
          <w:tcPr>
            <w:tcW w:w="1935" w:type="pct"/>
            <w:tcBorders>
              <w:top w:val="single" w:sz="4" w:space="0" w:color="auto"/>
              <w:left w:val="single" w:sz="4" w:space="0" w:color="auto"/>
              <w:bottom w:val="nil"/>
              <w:right w:val="single" w:sz="4" w:space="0" w:color="auto"/>
            </w:tcBorders>
            <w:hideMark/>
          </w:tcPr>
          <w:p w14:paraId="407D593B" w14:textId="77777777" w:rsidR="006234C1" w:rsidRPr="001B688F" w:rsidRDefault="006234C1">
            <w:pPr>
              <w:pStyle w:val="TableText0"/>
              <w:keepNext w:val="0"/>
            </w:pPr>
            <w:r w:rsidRPr="001B688F">
              <w:t xml:space="preserve">% patients on NHAs for </w:t>
            </w:r>
            <w:proofErr w:type="spellStart"/>
            <w:r w:rsidRPr="001B688F">
              <w:t>mCRPC</w:t>
            </w:r>
            <w:proofErr w:type="spellEnd"/>
            <w:r w:rsidRPr="001B688F">
              <w:t xml:space="preserve"> (BC: 100%)</w:t>
            </w:r>
          </w:p>
        </w:tc>
        <w:tc>
          <w:tcPr>
            <w:tcW w:w="510" w:type="pct"/>
            <w:tcBorders>
              <w:top w:val="single" w:sz="4" w:space="0" w:color="auto"/>
              <w:left w:val="single" w:sz="4" w:space="0" w:color="auto"/>
              <w:bottom w:val="nil"/>
              <w:right w:val="single" w:sz="4" w:space="0" w:color="auto"/>
            </w:tcBorders>
            <w:vAlign w:val="center"/>
          </w:tcPr>
          <w:p w14:paraId="23D4FE08" w14:textId="77777777" w:rsidR="006234C1" w:rsidRPr="002037C2" w:rsidRDefault="006234C1">
            <w:pPr>
              <w:pStyle w:val="TableText0"/>
              <w:keepNext w:val="0"/>
              <w:jc w:val="center"/>
            </w:pPr>
          </w:p>
        </w:tc>
        <w:tc>
          <w:tcPr>
            <w:tcW w:w="510" w:type="pct"/>
            <w:tcBorders>
              <w:top w:val="single" w:sz="4" w:space="0" w:color="auto"/>
              <w:left w:val="single" w:sz="4" w:space="0" w:color="auto"/>
              <w:bottom w:val="nil"/>
              <w:right w:val="single" w:sz="4" w:space="0" w:color="auto"/>
            </w:tcBorders>
            <w:vAlign w:val="center"/>
          </w:tcPr>
          <w:p w14:paraId="3D224B54" w14:textId="77777777" w:rsidR="006234C1" w:rsidRPr="001B688F" w:rsidRDefault="006234C1">
            <w:pPr>
              <w:pStyle w:val="TableText0"/>
              <w:keepNext w:val="0"/>
              <w:jc w:val="center"/>
            </w:pPr>
          </w:p>
        </w:tc>
        <w:tc>
          <w:tcPr>
            <w:tcW w:w="510" w:type="pct"/>
            <w:tcBorders>
              <w:top w:val="single" w:sz="4" w:space="0" w:color="auto"/>
              <w:left w:val="single" w:sz="4" w:space="0" w:color="auto"/>
              <w:bottom w:val="nil"/>
              <w:right w:val="single" w:sz="4" w:space="0" w:color="auto"/>
            </w:tcBorders>
            <w:vAlign w:val="center"/>
          </w:tcPr>
          <w:p w14:paraId="67B0A7DC" w14:textId="77777777" w:rsidR="006234C1" w:rsidRPr="002037C2" w:rsidRDefault="006234C1">
            <w:pPr>
              <w:pStyle w:val="TableText0"/>
              <w:keepNext w:val="0"/>
              <w:jc w:val="center"/>
            </w:pPr>
          </w:p>
        </w:tc>
        <w:tc>
          <w:tcPr>
            <w:tcW w:w="510" w:type="pct"/>
            <w:tcBorders>
              <w:top w:val="single" w:sz="4" w:space="0" w:color="auto"/>
              <w:left w:val="single" w:sz="4" w:space="0" w:color="auto"/>
              <w:bottom w:val="nil"/>
              <w:right w:val="single" w:sz="4" w:space="0" w:color="auto"/>
            </w:tcBorders>
            <w:vAlign w:val="center"/>
          </w:tcPr>
          <w:p w14:paraId="7F2494A9" w14:textId="77777777" w:rsidR="006234C1" w:rsidRPr="002037C2" w:rsidRDefault="006234C1">
            <w:pPr>
              <w:pStyle w:val="TableText0"/>
              <w:keepNext w:val="0"/>
              <w:jc w:val="center"/>
            </w:pPr>
          </w:p>
        </w:tc>
        <w:tc>
          <w:tcPr>
            <w:tcW w:w="510" w:type="pct"/>
            <w:tcBorders>
              <w:top w:val="single" w:sz="4" w:space="0" w:color="auto"/>
              <w:left w:val="single" w:sz="4" w:space="0" w:color="auto"/>
              <w:bottom w:val="nil"/>
              <w:right w:val="single" w:sz="4" w:space="0" w:color="auto"/>
            </w:tcBorders>
            <w:vAlign w:val="center"/>
          </w:tcPr>
          <w:p w14:paraId="39680D42" w14:textId="77777777" w:rsidR="006234C1" w:rsidRPr="001B688F" w:rsidRDefault="006234C1">
            <w:pPr>
              <w:pStyle w:val="TableText0"/>
              <w:keepNext w:val="0"/>
              <w:jc w:val="center"/>
            </w:pPr>
          </w:p>
        </w:tc>
        <w:tc>
          <w:tcPr>
            <w:tcW w:w="515" w:type="pct"/>
            <w:tcBorders>
              <w:top w:val="single" w:sz="4" w:space="0" w:color="auto"/>
              <w:left w:val="single" w:sz="4" w:space="0" w:color="auto"/>
              <w:bottom w:val="nil"/>
              <w:right w:val="single" w:sz="4" w:space="0" w:color="auto"/>
            </w:tcBorders>
            <w:vAlign w:val="center"/>
          </w:tcPr>
          <w:p w14:paraId="67D16C2C" w14:textId="77777777" w:rsidR="006234C1" w:rsidRPr="002037C2" w:rsidRDefault="006234C1">
            <w:pPr>
              <w:pStyle w:val="TableText0"/>
              <w:keepNext w:val="0"/>
              <w:jc w:val="center"/>
            </w:pPr>
          </w:p>
        </w:tc>
      </w:tr>
      <w:tr w:rsidR="006234C1" w:rsidRPr="00FE58E8" w14:paraId="09077A94" w14:textId="77777777" w:rsidTr="00A0257A">
        <w:tc>
          <w:tcPr>
            <w:tcW w:w="1935" w:type="pct"/>
            <w:tcBorders>
              <w:top w:val="nil"/>
              <w:left w:val="single" w:sz="4" w:space="0" w:color="auto"/>
              <w:bottom w:val="nil"/>
              <w:right w:val="single" w:sz="4" w:space="0" w:color="auto"/>
            </w:tcBorders>
            <w:hideMark/>
          </w:tcPr>
          <w:p w14:paraId="0DE36780" w14:textId="77777777" w:rsidR="006234C1" w:rsidRPr="00FE58E8" w:rsidRDefault="006234C1">
            <w:pPr>
              <w:pStyle w:val="TableText0"/>
              <w:keepNext w:val="0"/>
              <w:ind w:left="112"/>
              <w:rPr>
                <w:vertAlign w:val="superscript"/>
              </w:rPr>
            </w:pPr>
            <w:r w:rsidRPr="00FE58E8">
              <w:t>75%</w:t>
            </w:r>
            <w:r w:rsidRPr="00FE58E8">
              <w:rPr>
                <w:vertAlign w:val="superscript"/>
              </w:rPr>
              <w:t>d</w:t>
            </w:r>
          </w:p>
        </w:tc>
        <w:tc>
          <w:tcPr>
            <w:tcW w:w="510" w:type="pct"/>
            <w:tcBorders>
              <w:top w:val="nil"/>
              <w:left w:val="single" w:sz="4" w:space="0" w:color="auto"/>
              <w:bottom w:val="nil"/>
              <w:right w:val="single" w:sz="4" w:space="0" w:color="auto"/>
            </w:tcBorders>
            <w:vAlign w:val="center"/>
            <w:hideMark/>
          </w:tcPr>
          <w:p w14:paraId="680658E3"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nil"/>
              <w:left w:val="single" w:sz="4" w:space="0" w:color="auto"/>
              <w:bottom w:val="nil"/>
              <w:right w:val="single" w:sz="4" w:space="0" w:color="auto"/>
            </w:tcBorders>
            <w:vAlign w:val="center"/>
            <w:hideMark/>
          </w:tcPr>
          <w:p w14:paraId="568CEFEE" w14:textId="77777777" w:rsidR="006234C1" w:rsidRPr="00FE58E8" w:rsidRDefault="006234C1">
            <w:pPr>
              <w:pStyle w:val="TableText0"/>
              <w:keepNext w:val="0"/>
              <w:jc w:val="center"/>
            </w:pPr>
            <w:r w:rsidRPr="00FE58E8">
              <w:t>0.90</w:t>
            </w:r>
          </w:p>
        </w:tc>
        <w:tc>
          <w:tcPr>
            <w:tcW w:w="510" w:type="pct"/>
            <w:tcBorders>
              <w:top w:val="nil"/>
              <w:left w:val="single" w:sz="4" w:space="0" w:color="auto"/>
              <w:bottom w:val="nil"/>
              <w:right w:val="single" w:sz="4" w:space="0" w:color="auto"/>
            </w:tcBorders>
            <w:vAlign w:val="center"/>
            <w:hideMark/>
          </w:tcPr>
          <w:p w14:paraId="77DD53C6" w14:textId="77777777" w:rsidR="006234C1" w:rsidRPr="002037C2" w:rsidRDefault="002037C2">
            <w:pPr>
              <w:pStyle w:val="TableText0"/>
              <w:keepNext w:val="0"/>
              <w:jc w:val="center"/>
            </w:pPr>
            <w:r>
              <w:rPr>
                <w:noProof/>
                <w:color w:val="000000"/>
                <w:highlight w:val="black"/>
              </w:rPr>
              <w:t>''''''''''''''''''''</w:t>
            </w:r>
            <w:r w:rsidR="00355DAA">
              <w:rPr>
                <w:vertAlign w:val="superscript"/>
              </w:rPr>
              <w:t>2</w:t>
            </w:r>
          </w:p>
        </w:tc>
        <w:tc>
          <w:tcPr>
            <w:tcW w:w="510" w:type="pct"/>
            <w:tcBorders>
              <w:top w:val="nil"/>
              <w:left w:val="single" w:sz="4" w:space="0" w:color="auto"/>
              <w:bottom w:val="nil"/>
              <w:right w:val="single" w:sz="4" w:space="0" w:color="auto"/>
            </w:tcBorders>
            <w:vAlign w:val="center"/>
            <w:hideMark/>
          </w:tcPr>
          <w:p w14:paraId="00E3DCBA"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nil"/>
              <w:left w:val="single" w:sz="4" w:space="0" w:color="auto"/>
              <w:bottom w:val="nil"/>
              <w:right w:val="single" w:sz="4" w:space="0" w:color="auto"/>
            </w:tcBorders>
            <w:vAlign w:val="center"/>
            <w:hideMark/>
          </w:tcPr>
          <w:p w14:paraId="4097808B" w14:textId="77777777" w:rsidR="006234C1" w:rsidRPr="00FE58E8" w:rsidRDefault="006234C1">
            <w:pPr>
              <w:pStyle w:val="TableText0"/>
              <w:keepNext w:val="0"/>
              <w:jc w:val="center"/>
            </w:pPr>
            <w:r w:rsidRPr="00FE58E8">
              <w:t>1.55</w:t>
            </w:r>
          </w:p>
        </w:tc>
        <w:tc>
          <w:tcPr>
            <w:tcW w:w="515" w:type="pct"/>
            <w:tcBorders>
              <w:top w:val="nil"/>
              <w:left w:val="single" w:sz="4" w:space="0" w:color="auto"/>
              <w:bottom w:val="nil"/>
              <w:right w:val="single" w:sz="4" w:space="0" w:color="auto"/>
            </w:tcBorders>
            <w:vAlign w:val="center"/>
            <w:hideMark/>
          </w:tcPr>
          <w:p w14:paraId="0F2B3E73" w14:textId="77777777" w:rsidR="006234C1" w:rsidRPr="002037C2" w:rsidRDefault="002037C2">
            <w:pPr>
              <w:pStyle w:val="TableText0"/>
              <w:keepNext w:val="0"/>
              <w:jc w:val="center"/>
            </w:pPr>
            <w:r>
              <w:rPr>
                <w:noProof/>
                <w:color w:val="000000"/>
                <w:highlight w:val="black"/>
              </w:rPr>
              <w:t>'''''''''''''''''''''</w:t>
            </w:r>
            <w:r w:rsidR="005C6CBA">
              <w:rPr>
                <w:vertAlign w:val="superscript"/>
              </w:rPr>
              <w:t>1</w:t>
            </w:r>
          </w:p>
        </w:tc>
      </w:tr>
      <w:tr w:rsidR="006234C1" w:rsidRPr="00FE58E8" w14:paraId="51A5762C" w14:textId="77777777" w:rsidTr="00A0257A">
        <w:tc>
          <w:tcPr>
            <w:tcW w:w="1935" w:type="pct"/>
            <w:tcBorders>
              <w:top w:val="nil"/>
              <w:left w:val="single" w:sz="4" w:space="0" w:color="auto"/>
              <w:bottom w:val="single" w:sz="4" w:space="0" w:color="auto"/>
              <w:right w:val="single" w:sz="4" w:space="0" w:color="auto"/>
            </w:tcBorders>
            <w:hideMark/>
          </w:tcPr>
          <w:p w14:paraId="7EF62719" w14:textId="77777777" w:rsidR="006234C1" w:rsidRPr="00FE58E8" w:rsidRDefault="006234C1">
            <w:pPr>
              <w:pStyle w:val="TableText0"/>
              <w:keepNext w:val="0"/>
              <w:ind w:left="112"/>
            </w:pPr>
            <w:r w:rsidRPr="00FE58E8">
              <w:t>45%</w:t>
            </w:r>
            <w:r w:rsidRPr="00FE58E8">
              <w:rPr>
                <w:vertAlign w:val="superscript"/>
              </w:rPr>
              <w:t>d</w:t>
            </w:r>
          </w:p>
        </w:tc>
        <w:tc>
          <w:tcPr>
            <w:tcW w:w="510" w:type="pct"/>
            <w:tcBorders>
              <w:top w:val="nil"/>
              <w:left w:val="single" w:sz="4" w:space="0" w:color="auto"/>
              <w:bottom w:val="single" w:sz="4" w:space="0" w:color="auto"/>
              <w:right w:val="single" w:sz="4" w:space="0" w:color="auto"/>
            </w:tcBorders>
            <w:vAlign w:val="center"/>
            <w:hideMark/>
          </w:tcPr>
          <w:p w14:paraId="4446F825"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nil"/>
              <w:left w:val="single" w:sz="4" w:space="0" w:color="auto"/>
              <w:bottom w:val="single" w:sz="4" w:space="0" w:color="auto"/>
              <w:right w:val="single" w:sz="4" w:space="0" w:color="auto"/>
            </w:tcBorders>
            <w:vAlign w:val="center"/>
            <w:hideMark/>
          </w:tcPr>
          <w:p w14:paraId="71AA8C43" w14:textId="77777777" w:rsidR="006234C1" w:rsidRPr="00FE58E8" w:rsidRDefault="006234C1">
            <w:pPr>
              <w:pStyle w:val="TableText0"/>
              <w:keepNext w:val="0"/>
              <w:jc w:val="center"/>
            </w:pPr>
            <w:r w:rsidRPr="00FE58E8">
              <w:t>0.90</w:t>
            </w:r>
          </w:p>
        </w:tc>
        <w:tc>
          <w:tcPr>
            <w:tcW w:w="510" w:type="pct"/>
            <w:tcBorders>
              <w:top w:val="nil"/>
              <w:left w:val="single" w:sz="4" w:space="0" w:color="auto"/>
              <w:bottom w:val="single" w:sz="4" w:space="0" w:color="auto"/>
              <w:right w:val="single" w:sz="4" w:space="0" w:color="auto"/>
            </w:tcBorders>
            <w:vAlign w:val="center"/>
            <w:hideMark/>
          </w:tcPr>
          <w:p w14:paraId="36D3EAF7" w14:textId="77777777" w:rsidR="006234C1" w:rsidRPr="002037C2" w:rsidRDefault="002037C2">
            <w:pPr>
              <w:pStyle w:val="TableText0"/>
              <w:keepNext w:val="0"/>
              <w:jc w:val="center"/>
            </w:pPr>
            <w:r>
              <w:rPr>
                <w:noProof/>
                <w:color w:val="000000"/>
                <w:highlight w:val="black"/>
              </w:rPr>
              <w:t>'''''''''''''''''</w:t>
            </w:r>
            <w:r w:rsidR="00355DAA">
              <w:rPr>
                <w:vertAlign w:val="superscript"/>
              </w:rPr>
              <w:t>2</w:t>
            </w:r>
          </w:p>
        </w:tc>
        <w:tc>
          <w:tcPr>
            <w:tcW w:w="510" w:type="pct"/>
            <w:tcBorders>
              <w:top w:val="nil"/>
              <w:left w:val="single" w:sz="4" w:space="0" w:color="auto"/>
              <w:bottom w:val="single" w:sz="4" w:space="0" w:color="auto"/>
              <w:right w:val="single" w:sz="4" w:space="0" w:color="auto"/>
            </w:tcBorders>
            <w:vAlign w:val="center"/>
            <w:hideMark/>
          </w:tcPr>
          <w:p w14:paraId="7AE9CCAF"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nil"/>
              <w:left w:val="single" w:sz="4" w:space="0" w:color="auto"/>
              <w:bottom w:val="single" w:sz="4" w:space="0" w:color="auto"/>
              <w:right w:val="single" w:sz="4" w:space="0" w:color="auto"/>
            </w:tcBorders>
            <w:vAlign w:val="center"/>
            <w:hideMark/>
          </w:tcPr>
          <w:p w14:paraId="765E564C" w14:textId="77777777" w:rsidR="006234C1" w:rsidRPr="00FE58E8" w:rsidRDefault="006234C1">
            <w:pPr>
              <w:pStyle w:val="TableText0"/>
              <w:keepNext w:val="0"/>
              <w:jc w:val="center"/>
            </w:pPr>
            <w:r w:rsidRPr="00FE58E8">
              <w:t>1.55</w:t>
            </w:r>
          </w:p>
        </w:tc>
        <w:tc>
          <w:tcPr>
            <w:tcW w:w="515" w:type="pct"/>
            <w:tcBorders>
              <w:top w:val="nil"/>
              <w:left w:val="single" w:sz="4" w:space="0" w:color="auto"/>
              <w:bottom w:val="single" w:sz="4" w:space="0" w:color="auto"/>
              <w:right w:val="single" w:sz="4" w:space="0" w:color="auto"/>
            </w:tcBorders>
            <w:vAlign w:val="center"/>
            <w:hideMark/>
          </w:tcPr>
          <w:p w14:paraId="1C21A436" w14:textId="77777777" w:rsidR="006234C1" w:rsidRPr="002037C2" w:rsidRDefault="002037C2">
            <w:pPr>
              <w:pStyle w:val="TableText0"/>
              <w:keepNext w:val="0"/>
              <w:jc w:val="center"/>
            </w:pPr>
            <w:r>
              <w:rPr>
                <w:noProof/>
                <w:color w:val="000000"/>
                <w:highlight w:val="black"/>
              </w:rPr>
              <w:t>''''''''''''''''''''</w:t>
            </w:r>
            <w:r w:rsidR="005C6CBA">
              <w:rPr>
                <w:vertAlign w:val="superscript"/>
              </w:rPr>
              <w:t>1</w:t>
            </w:r>
          </w:p>
        </w:tc>
      </w:tr>
      <w:tr w:rsidR="006234C1" w:rsidRPr="00FE58E8" w14:paraId="1F80550B" w14:textId="77777777" w:rsidTr="006234C1">
        <w:tc>
          <w:tcPr>
            <w:tcW w:w="5000" w:type="pct"/>
            <w:gridSpan w:val="7"/>
            <w:tcBorders>
              <w:top w:val="single" w:sz="4" w:space="0" w:color="auto"/>
              <w:left w:val="single" w:sz="4" w:space="0" w:color="auto"/>
              <w:bottom w:val="nil"/>
              <w:right w:val="single" w:sz="4" w:space="0" w:color="auto"/>
            </w:tcBorders>
          </w:tcPr>
          <w:p w14:paraId="53B3458F" w14:textId="77777777" w:rsidR="006234C1" w:rsidRPr="00FE58E8" w:rsidRDefault="006234C1" w:rsidP="006234C1">
            <w:pPr>
              <w:pStyle w:val="TableText0"/>
              <w:keepNext w:val="0"/>
              <w:rPr>
                <w:b/>
                <w:bCs w:val="0"/>
              </w:rPr>
            </w:pPr>
            <w:r w:rsidRPr="00FE58E8">
              <w:rPr>
                <w:b/>
                <w:bCs w:val="0"/>
              </w:rPr>
              <w:t>Multi-variate analyses</w:t>
            </w:r>
          </w:p>
        </w:tc>
      </w:tr>
      <w:tr w:rsidR="00814F74" w:rsidRPr="00FE58E8" w14:paraId="368E355A" w14:textId="77777777" w:rsidTr="00A0257A">
        <w:tc>
          <w:tcPr>
            <w:tcW w:w="1935" w:type="pct"/>
          </w:tcPr>
          <w:p w14:paraId="194B5586" w14:textId="77777777" w:rsidR="00814F74" w:rsidRPr="00FE58E8" w:rsidRDefault="00814F74" w:rsidP="00DF5EF9">
            <w:pPr>
              <w:pStyle w:val="TableText0"/>
              <w:keepNext w:val="0"/>
            </w:pPr>
            <w:r w:rsidRPr="00FE58E8">
              <w:t xml:space="preserve">Δ PBO PFS = Δ APA PFS after 23 </w:t>
            </w:r>
            <w:proofErr w:type="spellStart"/>
            <w:r w:rsidRPr="00FE58E8">
              <w:t>months</w:t>
            </w:r>
            <w:r w:rsidRPr="00FE58E8">
              <w:rPr>
                <w:vertAlign w:val="superscript"/>
              </w:rPr>
              <w:t>a</w:t>
            </w:r>
            <w:proofErr w:type="spellEnd"/>
            <w:r w:rsidRPr="00FE58E8">
              <w:t xml:space="preserve"> + </w:t>
            </w:r>
          </w:p>
          <w:p w14:paraId="7A1CB6F0" w14:textId="77777777" w:rsidR="00814F74" w:rsidRPr="00FE58E8" w:rsidRDefault="00814F74" w:rsidP="00DF5EF9">
            <w:pPr>
              <w:pStyle w:val="TableText0"/>
              <w:keepNext w:val="0"/>
            </w:pPr>
            <w:r w:rsidRPr="00FE58E8">
              <w:t xml:space="preserve">Δ PBO OS = Δ APA OS after 44 </w:t>
            </w:r>
            <w:proofErr w:type="spellStart"/>
            <w:r w:rsidRPr="00FE58E8">
              <w:t>months</w:t>
            </w:r>
            <w:r w:rsidRPr="00FE58E8">
              <w:rPr>
                <w:vertAlign w:val="superscript"/>
              </w:rPr>
              <w:t>b</w:t>
            </w:r>
            <w:proofErr w:type="spellEnd"/>
          </w:p>
        </w:tc>
        <w:tc>
          <w:tcPr>
            <w:tcW w:w="510" w:type="pct"/>
            <w:vAlign w:val="center"/>
          </w:tcPr>
          <w:p w14:paraId="3AA31D68"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1EAC0150" w14:textId="77777777" w:rsidR="00814F74" w:rsidRPr="00FE58E8" w:rsidRDefault="00814F74" w:rsidP="00DF5EF9">
            <w:pPr>
              <w:pStyle w:val="TableText0"/>
              <w:keepNext w:val="0"/>
              <w:jc w:val="center"/>
              <w:rPr>
                <w:szCs w:val="20"/>
              </w:rPr>
            </w:pPr>
            <w:r w:rsidRPr="00FE58E8">
              <w:rPr>
                <w:szCs w:val="20"/>
              </w:rPr>
              <w:t>0.54</w:t>
            </w:r>
          </w:p>
        </w:tc>
        <w:tc>
          <w:tcPr>
            <w:tcW w:w="510" w:type="pct"/>
            <w:vAlign w:val="center"/>
          </w:tcPr>
          <w:p w14:paraId="47BB2E6E" w14:textId="77777777" w:rsidR="00814F74" w:rsidRPr="002037C2" w:rsidRDefault="002037C2" w:rsidP="00DF5EF9">
            <w:pPr>
              <w:pStyle w:val="TableText0"/>
              <w:keepNext w:val="0"/>
              <w:jc w:val="center"/>
              <w:rPr>
                <w:szCs w:val="20"/>
              </w:rPr>
            </w:pPr>
            <w:r>
              <w:rPr>
                <w:noProof/>
                <w:color w:val="000000"/>
                <w:szCs w:val="20"/>
                <w:highlight w:val="black"/>
              </w:rPr>
              <w:t>'''''''''''''''''''''</w:t>
            </w:r>
            <w:r w:rsidR="00355DAA">
              <w:rPr>
                <w:vertAlign w:val="superscript"/>
              </w:rPr>
              <w:t>3</w:t>
            </w:r>
          </w:p>
        </w:tc>
        <w:tc>
          <w:tcPr>
            <w:tcW w:w="510" w:type="pct"/>
            <w:vAlign w:val="center"/>
          </w:tcPr>
          <w:p w14:paraId="72F12007" w14:textId="77777777" w:rsidR="00814F74" w:rsidRPr="002037C2" w:rsidRDefault="002037C2" w:rsidP="00DF5EF9">
            <w:pPr>
              <w:pStyle w:val="TableText0"/>
              <w:keepNext w:val="0"/>
              <w:jc w:val="center"/>
              <w:rPr>
                <w:szCs w:val="20"/>
                <w:highlight w:val="black"/>
              </w:rPr>
            </w:pPr>
            <w:r>
              <w:rPr>
                <w:noProof/>
                <w:color w:val="000000"/>
                <w:szCs w:val="20"/>
                <w:highlight w:val="black"/>
              </w:rPr>
              <w:t>'''''''''''''''''</w:t>
            </w:r>
          </w:p>
        </w:tc>
        <w:tc>
          <w:tcPr>
            <w:tcW w:w="510" w:type="pct"/>
            <w:vAlign w:val="center"/>
          </w:tcPr>
          <w:p w14:paraId="2766A63A" w14:textId="77777777" w:rsidR="00814F74" w:rsidRPr="00FE58E8" w:rsidRDefault="00814F74" w:rsidP="00DF5EF9">
            <w:pPr>
              <w:pStyle w:val="TableText0"/>
              <w:keepNext w:val="0"/>
              <w:jc w:val="center"/>
              <w:rPr>
                <w:szCs w:val="20"/>
              </w:rPr>
            </w:pPr>
            <w:r w:rsidRPr="00FE58E8">
              <w:rPr>
                <w:szCs w:val="20"/>
              </w:rPr>
              <w:t>0.71</w:t>
            </w:r>
          </w:p>
        </w:tc>
        <w:tc>
          <w:tcPr>
            <w:tcW w:w="515" w:type="pct"/>
            <w:vAlign w:val="center"/>
          </w:tcPr>
          <w:p w14:paraId="2803D850" w14:textId="77777777" w:rsidR="00814F74" w:rsidRPr="002037C2" w:rsidRDefault="002037C2" w:rsidP="00DF5EF9">
            <w:pPr>
              <w:pStyle w:val="TableText0"/>
              <w:keepNext w:val="0"/>
              <w:jc w:val="center"/>
              <w:rPr>
                <w:szCs w:val="20"/>
              </w:rPr>
            </w:pPr>
            <w:r>
              <w:rPr>
                <w:noProof/>
                <w:color w:val="000000"/>
                <w:szCs w:val="20"/>
                <w:highlight w:val="black"/>
              </w:rPr>
              <w:t>''''''''''''''''''</w:t>
            </w:r>
            <w:r w:rsidR="005C6CBA">
              <w:rPr>
                <w:vertAlign w:val="superscript"/>
              </w:rPr>
              <w:t>4</w:t>
            </w:r>
          </w:p>
        </w:tc>
      </w:tr>
      <w:tr w:rsidR="00814F74" w:rsidRPr="00FE58E8" w14:paraId="0CD9A55B" w14:textId="77777777" w:rsidTr="00A0257A">
        <w:tc>
          <w:tcPr>
            <w:tcW w:w="1935" w:type="pct"/>
          </w:tcPr>
          <w:p w14:paraId="08A191B2" w14:textId="77777777" w:rsidR="00814F74" w:rsidRPr="00FE58E8" w:rsidRDefault="00814F74" w:rsidP="00DF5EF9">
            <w:pPr>
              <w:pStyle w:val="TableText0"/>
              <w:keepNext w:val="0"/>
            </w:pPr>
            <w:r w:rsidRPr="00FE58E8">
              <w:t xml:space="preserve">Δ PBO PFS = Δ APA PFS after 23 </w:t>
            </w:r>
            <w:proofErr w:type="spellStart"/>
            <w:r w:rsidRPr="00FE58E8">
              <w:t>months</w:t>
            </w:r>
            <w:r w:rsidRPr="00FE58E8">
              <w:rPr>
                <w:vertAlign w:val="superscript"/>
              </w:rPr>
              <w:t>a</w:t>
            </w:r>
            <w:proofErr w:type="spellEnd"/>
            <w:r w:rsidRPr="00FE58E8">
              <w:t xml:space="preserve"> + </w:t>
            </w:r>
          </w:p>
          <w:p w14:paraId="395EFE88" w14:textId="77777777" w:rsidR="00814F74" w:rsidRPr="00FE58E8" w:rsidRDefault="00814F74" w:rsidP="00DF5EF9">
            <w:pPr>
              <w:pStyle w:val="TableText0"/>
              <w:keepNext w:val="0"/>
            </w:pPr>
            <w:r w:rsidRPr="00FE58E8">
              <w:t xml:space="preserve">Δ PBO OS = Δ APA OS after 5 </w:t>
            </w:r>
            <w:proofErr w:type="spellStart"/>
            <w:r w:rsidRPr="00FE58E8">
              <w:t>years</w:t>
            </w:r>
            <w:r w:rsidRPr="00FE58E8">
              <w:rPr>
                <w:vertAlign w:val="superscript"/>
              </w:rPr>
              <w:t>c</w:t>
            </w:r>
            <w:proofErr w:type="spellEnd"/>
          </w:p>
        </w:tc>
        <w:tc>
          <w:tcPr>
            <w:tcW w:w="510" w:type="pct"/>
            <w:vAlign w:val="center"/>
          </w:tcPr>
          <w:p w14:paraId="0C5768F9"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1062C977" w14:textId="77777777" w:rsidR="00814F74" w:rsidRPr="00FE58E8" w:rsidRDefault="00814F74" w:rsidP="00DF5EF9">
            <w:pPr>
              <w:pStyle w:val="TableText0"/>
              <w:keepNext w:val="0"/>
              <w:jc w:val="center"/>
            </w:pPr>
            <w:r w:rsidRPr="00FE58E8">
              <w:t>0.65</w:t>
            </w:r>
          </w:p>
        </w:tc>
        <w:tc>
          <w:tcPr>
            <w:tcW w:w="510" w:type="pct"/>
            <w:vAlign w:val="center"/>
          </w:tcPr>
          <w:p w14:paraId="38D785C4" w14:textId="77777777" w:rsidR="00814F74" w:rsidRPr="002037C2" w:rsidRDefault="002037C2" w:rsidP="00DF5EF9">
            <w:pPr>
              <w:pStyle w:val="TableText0"/>
              <w:keepNext w:val="0"/>
              <w:jc w:val="center"/>
            </w:pPr>
            <w:r>
              <w:rPr>
                <w:noProof/>
                <w:color w:val="000000"/>
                <w:highlight w:val="black"/>
              </w:rPr>
              <w:t>'''''''''''''''''</w:t>
            </w:r>
            <w:r w:rsidR="00355DAA">
              <w:rPr>
                <w:vertAlign w:val="superscript"/>
              </w:rPr>
              <w:t>3</w:t>
            </w:r>
          </w:p>
        </w:tc>
        <w:tc>
          <w:tcPr>
            <w:tcW w:w="510" w:type="pct"/>
            <w:vAlign w:val="center"/>
          </w:tcPr>
          <w:p w14:paraId="3F337822"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34949894" w14:textId="77777777" w:rsidR="00814F74" w:rsidRPr="00FE58E8" w:rsidRDefault="00814F74" w:rsidP="00DF5EF9">
            <w:pPr>
              <w:pStyle w:val="TableText0"/>
              <w:keepNext w:val="0"/>
              <w:jc w:val="center"/>
            </w:pPr>
            <w:r w:rsidRPr="00FE58E8">
              <w:t>0.89</w:t>
            </w:r>
          </w:p>
        </w:tc>
        <w:tc>
          <w:tcPr>
            <w:tcW w:w="515" w:type="pct"/>
            <w:vAlign w:val="center"/>
          </w:tcPr>
          <w:p w14:paraId="43AE32A4" w14:textId="77777777" w:rsidR="00814F74" w:rsidRPr="002037C2" w:rsidRDefault="002037C2" w:rsidP="00DF5EF9">
            <w:pPr>
              <w:pStyle w:val="TableText0"/>
              <w:keepNext w:val="0"/>
              <w:jc w:val="center"/>
            </w:pPr>
            <w:r>
              <w:rPr>
                <w:noProof/>
                <w:color w:val="000000"/>
                <w:highlight w:val="black"/>
              </w:rPr>
              <w:t>''''''''''''''''''</w:t>
            </w:r>
            <w:r w:rsidR="005C6CBA">
              <w:rPr>
                <w:vertAlign w:val="superscript"/>
              </w:rPr>
              <w:t>3</w:t>
            </w:r>
          </w:p>
        </w:tc>
      </w:tr>
      <w:tr w:rsidR="00814F74" w:rsidRPr="00FE58E8" w14:paraId="18D05C6D" w14:textId="77777777" w:rsidTr="00A0257A">
        <w:tc>
          <w:tcPr>
            <w:tcW w:w="1935" w:type="pct"/>
          </w:tcPr>
          <w:p w14:paraId="14A95D7E" w14:textId="77777777" w:rsidR="00814F74" w:rsidRPr="00FE58E8" w:rsidRDefault="00814F74" w:rsidP="00DF5EF9">
            <w:pPr>
              <w:pStyle w:val="TableText0"/>
              <w:keepNext w:val="0"/>
            </w:pPr>
            <w:r w:rsidRPr="00FE58E8">
              <w:t xml:space="preserve">Δ PBO OS = Δ APA OS after 44 </w:t>
            </w:r>
            <w:proofErr w:type="spellStart"/>
            <w:r w:rsidRPr="00FE58E8">
              <w:t>months</w:t>
            </w:r>
            <w:r w:rsidRPr="00FE58E8">
              <w:rPr>
                <w:vertAlign w:val="superscript"/>
              </w:rPr>
              <w:t>b</w:t>
            </w:r>
            <w:proofErr w:type="spellEnd"/>
            <w:r w:rsidRPr="00FE58E8">
              <w:t xml:space="preserve"> +</w:t>
            </w:r>
          </w:p>
          <w:p w14:paraId="40745E8D" w14:textId="77777777" w:rsidR="00814F74" w:rsidRPr="00FE58E8" w:rsidRDefault="00814F74" w:rsidP="00DF5EF9">
            <w:pPr>
              <w:pStyle w:val="TableText0"/>
              <w:keepNext w:val="0"/>
            </w:pPr>
            <w:r w:rsidRPr="00FE58E8">
              <w:t xml:space="preserve">Mean time on NHAs, </w:t>
            </w:r>
            <w:proofErr w:type="spellStart"/>
            <w:r w:rsidRPr="00FE58E8">
              <w:t>mCRPC</w:t>
            </w:r>
            <w:proofErr w:type="spellEnd"/>
            <w:r w:rsidRPr="00FE58E8">
              <w:t xml:space="preserve"> = 9 months</w:t>
            </w:r>
          </w:p>
        </w:tc>
        <w:tc>
          <w:tcPr>
            <w:tcW w:w="510" w:type="pct"/>
            <w:vAlign w:val="center"/>
          </w:tcPr>
          <w:p w14:paraId="4B5C0E67"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25A174B0" w14:textId="77777777" w:rsidR="00814F74" w:rsidRPr="00FE58E8" w:rsidRDefault="00814F74" w:rsidP="00DF5EF9">
            <w:pPr>
              <w:pStyle w:val="TableText0"/>
              <w:keepNext w:val="0"/>
              <w:jc w:val="center"/>
            </w:pPr>
            <w:r w:rsidRPr="00FE58E8">
              <w:t>0.60</w:t>
            </w:r>
          </w:p>
        </w:tc>
        <w:tc>
          <w:tcPr>
            <w:tcW w:w="510" w:type="pct"/>
            <w:vAlign w:val="center"/>
          </w:tcPr>
          <w:p w14:paraId="3E0653A9" w14:textId="77777777" w:rsidR="00814F74" w:rsidRPr="002037C2" w:rsidRDefault="002037C2" w:rsidP="00DF5EF9">
            <w:pPr>
              <w:pStyle w:val="TableText0"/>
              <w:keepNext w:val="0"/>
              <w:jc w:val="center"/>
            </w:pPr>
            <w:r>
              <w:rPr>
                <w:noProof/>
                <w:color w:val="000000"/>
                <w:highlight w:val="black"/>
              </w:rPr>
              <w:t>'''''''''''''''''''''</w:t>
            </w:r>
            <w:r w:rsidR="00355DAA">
              <w:rPr>
                <w:vertAlign w:val="superscript"/>
              </w:rPr>
              <w:t>3</w:t>
            </w:r>
          </w:p>
        </w:tc>
        <w:tc>
          <w:tcPr>
            <w:tcW w:w="510" w:type="pct"/>
            <w:vAlign w:val="center"/>
          </w:tcPr>
          <w:p w14:paraId="13C45E6D"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6F6741E1" w14:textId="77777777" w:rsidR="00814F74" w:rsidRPr="00FE58E8" w:rsidRDefault="00814F74" w:rsidP="00DF5EF9">
            <w:pPr>
              <w:pStyle w:val="TableText0"/>
              <w:keepNext w:val="0"/>
              <w:jc w:val="center"/>
            </w:pPr>
            <w:r w:rsidRPr="00FE58E8">
              <w:t>0.86</w:t>
            </w:r>
          </w:p>
        </w:tc>
        <w:tc>
          <w:tcPr>
            <w:tcW w:w="515" w:type="pct"/>
            <w:vAlign w:val="center"/>
          </w:tcPr>
          <w:p w14:paraId="67573D1C" w14:textId="77777777" w:rsidR="00814F74" w:rsidRPr="002037C2" w:rsidRDefault="002037C2" w:rsidP="00DF5EF9">
            <w:pPr>
              <w:pStyle w:val="TableText0"/>
              <w:keepNext w:val="0"/>
              <w:jc w:val="center"/>
            </w:pPr>
            <w:r>
              <w:rPr>
                <w:noProof/>
                <w:color w:val="000000"/>
                <w:highlight w:val="black"/>
              </w:rPr>
              <w:t>''''''''''''''''''''</w:t>
            </w:r>
            <w:r w:rsidR="005C6CBA">
              <w:rPr>
                <w:vertAlign w:val="superscript"/>
              </w:rPr>
              <w:t>3</w:t>
            </w:r>
          </w:p>
        </w:tc>
      </w:tr>
      <w:tr w:rsidR="00814F74" w:rsidRPr="00FE58E8" w14:paraId="56A3C34C" w14:textId="77777777" w:rsidTr="00A0257A">
        <w:tc>
          <w:tcPr>
            <w:tcW w:w="1935" w:type="pct"/>
          </w:tcPr>
          <w:p w14:paraId="0C7681BD" w14:textId="77777777" w:rsidR="00814F74" w:rsidRPr="00FE58E8" w:rsidRDefault="00814F74" w:rsidP="00DF5EF9">
            <w:pPr>
              <w:pStyle w:val="TableText0"/>
              <w:keepNext w:val="0"/>
            </w:pPr>
            <w:r w:rsidRPr="00FE58E8">
              <w:t xml:space="preserve">Δ PBO OS = Δ APA OS after 44 </w:t>
            </w:r>
            <w:proofErr w:type="spellStart"/>
            <w:r w:rsidRPr="00FE58E8">
              <w:t>months</w:t>
            </w:r>
            <w:r w:rsidRPr="00FE58E8">
              <w:rPr>
                <w:vertAlign w:val="superscript"/>
              </w:rPr>
              <w:t>b</w:t>
            </w:r>
            <w:proofErr w:type="spellEnd"/>
            <w:r w:rsidRPr="00FE58E8">
              <w:t xml:space="preserve"> +</w:t>
            </w:r>
          </w:p>
          <w:p w14:paraId="395BF5B8" w14:textId="77777777" w:rsidR="00814F74" w:rsidRPr="00FE58E8" w:rsidRDefault="00814F74" w:rsidP="00DF5EF9">
            <w:pPr>
              <w:pStyle w:val="TableText0"/>
              <w:keepNext w:val="0"/>
            </w:pPr>
            <w:r w:rsidRPr="00FE58E8">
              <w:t xml:space="preserve">Mean time on NHAs, </w:t>
            </w:r>
            <w:proofErr w:type="spellStart"/>
            <w:r w:rsidRPr="00FE58E8">
              <w:t>mCRPC</w:t>
            </w:r>
            <w:proofErr w:type="spellEnd"/>
            <w:r w:rsidRPr="00FE58E8">
              <w:t xml:space="preserve"> = 9 months +</w:t>
            </w:r>
          </w:p>
          <w:p w14:paraId="17EE6751" w14:textId="77777777" w:rsidR="00814F74" w:rsidRPr="00FE58E8" w:rsidRDefault="00814F74" w:rsidP="00DF5EF9">
            <w:pPr>
              <w:pStyle w:val="TableText0"/>
              <w:keepNext w:val="0"/>
            </w:pPr>
            <w:r w:rsidRPr="00FE58E8">
              <w:t>APA TTD = APA PFS</w:t>
            </w:r>
          </w:p>
        </w:tc>
        <w:tc>
          <w:tcPr>
            <w:tcW w:w="510" w:type="pct"/>
            <w:vAlign w:val="center"/>
          </w:tcPr>
          <w:p w14:paraId="2FFE4F3D"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4A32B592" w14:textId="77777777" w:rsidR="00814F74" w:rsidRPr="00FE58E8" w:rsidRDefault="00814F74" w:rsidP="00DF5EF9">
            <w:pPr>
              <w:pStyle w:val="TableText0"/>
              <w:keepNext w:val="0"/>
              <w:jc w:val="center"/>
            </w:pPr>
            <w:r w:rsidRPr="00FE58E8">
              <w:t>0.60</w:t>
            </w:r>
          </w:p>
        </w:tc>
        <w:tc>
          <w:tcPr>
            <w:tcW w:w="510" w:type="pct"/>
            <w:vAlign w:val="center"/>
          </w:tcPr>
          <w:p w14:paraId="166C76C9" w14:textId="77777777" w:rsidR="00814F74" w:rsidRPr="002037C2" w:rsidRDefault="002037C2" w:rsidP="00DF5EF9">
            <w:pPr>
              <w:pStyle w:val="TableText0"/>
              <w:keepNext w:val="0"/>
              <w:jc w:val="center"/>
            </w:pPr>
            <w:r>
              <w:rPr>
                <w:noProof/>
                <w:color w:val="000000"/>
                <w:highlight w:val="black"/>
              </w:rPr>
              <w:t>''''''''''''''''''</w:t>
            </w:r>
            <w:r w:rsidR="00355DAA">
              <w:rPr>
                <w:vertAlign w:val="superscript"/>
              </w:rPr>
              <w:t>4</w:t>
            </w:r>
          </w:p>
        </w:tc>
        <w:tc>
          <w:tcPr>
            <w:tcW w:w="510" w:type="pct"/>
            <w:vAlign w:val="center"/>
          </w:tcPr>
          <w:p w14:paraId="5A15C134" w14:textId="77777777" w:rsidR="00814F74"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0FA1CCF9" w14:textId="77777777" w:rsidR="00814F74" w:rsidRPr="00FE58E8" w:rsidRDefault="00814F74" w:rsidP="00DF5EF9">
            <w:pPr>
              <w:pStyle w:val="TableText0"/>
              <w:keepNext w:val="0"/>
              <w:jc w:val="center"/>
            </w:pPr>
            <w:r w:rsidRPr="00FE58E8">
              <w:t>0.86</w:t>
            </w:r>
          </w:p>
        </w:tc>
        <w:tc>
          <w:tcPr>
            <w:tcW w:w="515" w:type="pct"/>
            <w:vAlign w:val="center"/>
          </w:tcPr>
          <w:p w14:paraId="4D412135" w14:textId="77777777" w:rsidR="00814F74" w:rsidRPr="002037C2" w:rsidRDefault="002037C2" w:rsidP="00DF5EF9">
            <w:pPr>
              <w:pStyle w:val="TableText0"/>
              <w:keepNext w:val="0"/>
              <w:jc w:val="center"/>
            </w:pPr>
            <w:r>
              <w:rPr>
                <w:noProof/>
                <w:color w:val="000000"/>
                <w:highlight w:val="black"/>
              </w:rPr>
              <w:t>''''''''''''''''''</w:t>
            </w:r>
            <w:r w:rsidR="005C6CBA">
              <w:rPr>
                <w:vertAlign w:val="superscript"/>
              </w:rPr>
              <w:t>4</w:t>
            </w:r>
          </w:p>
        </w:tc>
      </w:tr>
      <w:tr w:rsidR="00BD2507" w:rsidRPr="00FE58E8" w14:paraId="46FA29F8" w14:textId="77777777" w:rsidTr="00A0257A">
        <w:tc>
          <w:tcPr>
            <w:tcW w:w="1935" w:type="pct"/>
          </w:tcPr>
          <w:p w14:paraId="63881AAA" w14:textId="77777777" w:rsidR="00BD2507" w:rsidRPr="00FE58E8" w:rsidRDefault="00BD2507" w:rsidP="00DF5EF9">
            <w:pPr>
              <w:pStyle w:val="TableText0"/>
              <w:keepNext w:val="0"/>
            </w:pPr>
            <w:r w:rsidRPr="00FE58E8">
              <w:t xml:space="preserve">Time horizon = 10 years + </w:t>
            </w:r>
          </w:p>
          <w:p w14:paraId="7773E6B6" w14:textId="77777777" w:rsidR="00BD2507" w:rsidRPr="00FE58E8" w:rsidRDefault="00BD2507" w:rsidP="00DF5EF9">
            <w:pPr>
              <w:pStyle w:val="TableText0"/>
              <w:keepNext w:val="0"/>
            </w:pPr>
            <w:r w:rsidRPr="00FE58E8">
              <w:t xml:space="preserve">Extrapolation for OS = </w:t>
            </w:r>
            <w:proofErr w:type="spellStart"/>
            <w:r w:rsidRPr="00FE58E8">
              <w:t>Gompertz</w:t>
            </w:r>
            <w:proofErr w:type="spellEnd"/>
          </w:p>
        </w:tc>
        <w:tc>
          <w:tcPr>
            <w:tcW w:w="510" w:type="pct"/>
            <w:vAlign w:val="center"/>
          </w:tcPr>
          <w:p w14:paraId="3466D718" w14:textId="77777777" w:rsidR="00BD2507"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68567AAC" w14:textId="77777777" w:rsidR="00BD2507" w:rsidRPr="00FE58E8" w:rsidRDefault="00BD2507" w:rsidP="00DF5EF9">
            <w:pPr>
              <w:pStyle w:val="TableText0"/>
              <w:keepNext w:val="0"/>
              <w:jc w:val="center"/>
            </w:pPr>
            <w:r w:rsidRPr="00FE58E8">
              <w:t>0.70</w:t>
            </w:r>
          </w:p>
        </w:tc>
        <w:tc>
          <w:tcPr>
            <w:tcW w:w="510" w:type="pct"/>
            <w:vAlign w:val="center"/>
          </w:tcPr>
          <w:p w14:paraId="58AD1936" w14:textId="77777777" w:rsidR="00BD2507" w:rsidRPr="002037C2" w:rsidRDefault="002037C2" w:rsidP="00DF5EF9">
            <w:pPr>
              <w:pStyle w:val="TableText0"/>
              <w:keepNext w:val="0"/>
              <w:jc w:val="center"/>
            </w:pPr>
            <w:r>
              <w:rPr>
                <w:noProof/>
                <w:color w:val="000000"/>
                <w:highlight w:val="black"/>
              </w:rPr>
              <w:t>'''''''''''''''''</w:t>
            </w:r>
            <w:r w:rsidR="00355DAA">
              <w:rPr>
                <w:vertAlign w:val="superscript"/>
              </w:rPr>
              <w:t>2</w:t>
            </w:r>
          </w:p>
        </w:tc>
        <w:tc>
          <w:tcPr>
            <w:tcW w:w="510" w:type="pct"/>
            <w:vAlign w:val="center"/>
          </w:tcPr>
          <w:p w14:paraId="03AD08B5" w14:textId="77777777" w:rsidR="00BD2507" w:rsidRPr="002037C2" w:rsidRDefault="002037C2" w:rsidP="00DF5EF9">
            <w:pPr>
              <w:pStyle w:val="TableText0"/>
              <w:keepNext w:val="0"/>
              <w:jc w:val="center"/>
              <w:rPr>
                <w:highlight w:val="black"/>
              </w:rPr>
            </w:pPr>
            <w:r>
              <w:rPr>
                <w:noProof/>
                <w:color w:val="000000"/>
                <w:highlight w:val="black"/>
              </w:rPr>
              <w:t>''''''''''''''''''</w:t>
            </w:r>
          </w:p>
        </w:tc>
        <w:tc>
          <w:tcPr>
            <w:tcW w:w="510" w:type="pct"/>
            <w:vAlign w:val="center"/>
          </w:tcPr>
          <w:p w14:paraId="2033C44C" w14:textId="77777777" w:rsidR="00BD2507" w:rsidRPr="00FE58E8" w:rsidRDefault="00BD2507" w:rsidP="00DF5EF9">
            <w:pPr>
              <w:pStyle w:val="TableText0"/>
              <w:keepNext w:val="0"/>
              <w:jc w:val="center"/>
            </w:pPr>
            <w:r w:rsidRPr="00FE58E8">
              <w:t>0.93</w:t>
            </w:r>
          </w:p>
        </w:tc>
        <w:tc>
          <w:tcPr>
            <w:tcW w:w="515" w:type="pct"/>
            <w:vAlign w:val="center"/>
          </w:tcPr>
          <w:p w14:paraId="7CFE6874" w14:textId="77777777" w:rsidR="00BD2507" w:rsidRPr="002037C2" w:rsidRDefault="002037C2" w:rsidP="00DF5EF9">
            <w:pPr>
              <w:pStyle w:val="TableText0"/>
              <w:keepNext w:val="0"/>
              <w:jc w:val="center"/>
            </w:pPr>
            <w:r>
              <w:rPr>
                <w:noProof/>
                <w:color w:val="000000"/>
                <w:highlight w:val="black"/>
              </w:rPr>
              <w:t>''''''''''''''''''''</w:t>
            </w:r>
            <w:r w:rsidR="005C6CBA">
              <w:rPr>
                <w:vertAlign w:val="superscript"/>
              </w:rPr>
              <w:t>2</w:t>
            </w:r>
          </w:p>
        </w:tc>
      </w:tr>
      <w:tr w:rsidR="006234C1" w:rsidRPr="00FE58E8" w14:paraId="7F670CD9" w14:textId="77777777" w:rsidTr="00A0257A">
        <w:tc>
          <w:tcPr>
            <w:tcW w:w="1935" w:type="pct"/>
            <w:tcBorders>
              <w:top w:val="single" w:sz="4" w:space="0" w:color="auto"/>
              <w:left w:val="single" w:sz="4" w:space="0" w:color="auto"/>
              <w:bottom w:val="single" w:sz="4" w:space="0" w:color="auto"/>
              <w:right w:val="single" w:sz="4" w:space="0" w:color="auto"/>
            </w:tcBorders>
            <w:hideMark/>
          </w:tcPr>
          <w:p w14:paraId="0628E471" w14:textId="77777777" w:rsidR="006234C1" w:rsidRPr="00FE58E8" w:rsidRDefault="006234C1">
            <w:pPr>
              <w:pStyle w:val="TableText0"/>
              <w:keepNext w:val="0"/>
            </w:pPr>
            <w:r w:rsidRPr="00FE58E8">
              <w:t xml:space="preserve">Time horizon = 10 years + </w:t>
            </w:r>
          </w:p>
          <w:p w14:paraId="69D07241" w14:textId="77777777" w:rsidR="006234C1" w:rsidRPr="00FE58E8" w:rsidRDefault="006234C1">
            <w:pPr>
              <w:pStyle w:val="TableText0"/>
              <w:keepNext w:val="0"/>
            </w:pPr>
            <w:r w:rsidRPr="00FE58E8">
              <w:t xml:space="preserve">Extrapolation for OS = </w:t>
            </w:r>
            <w:proofErr w:type="spellStart"/>
            <w:r w:rsidRPr="00FE58E8">
              <w:t>Gompertz</w:t>
            </w:r>
            <w:proofErr w:type="spellEnd"/>
            <w:r w:rsidRPr="00FE58E8">
              <w:t xml:space="preserve"> + </w:t>
            </w:r>
          </w:p>
          <w:p w14:paraId="7CBC1215" w14:textId="77777777" w:rsidR="006234C1" w:rsidRPr="00FE58E8" w:rsidRDefault="006234C1">
            <w:pPr>
              <w:pStyle w:val="TableText0"/>
              <w:keepNext w:val="0"/>
            </w:pPr>
            <w:r w:rsidRPr="00FE58E8">
              <w:t xml:space="preserve">mean time on NHAs, </w:t>
            </w:r>
            <w:proofErr w:type="spellStart"/>
            <w:r w:rsidRPr="00FE58E8">
              <w:t>mCRPC</w:t>
            </w:r>
            <w:proofErr w:type="spellEnd"/>
            <w:r w:rsidRPr="00FE58E8">
              <w:t xml:space="preserve"> = 9 months</w:t>
            </w:r>
          </w:p>
        </w:tc>
        <w:tc>
          <w:tcPr>
            <w:tcW w:w="510" w:type="pct"/>
            <w:tcBorders>
              <w:top w:val="single" w:sz="4" w:space="0" w:color="auto"/>
              <w:left w:val="single" w:sz="4" w:space="0" w:color="auto"/>
              <w:bottom w:val="single" w:sz="4" w:space="0" w:color="auto"/>
              <w:right w:val="single" w:sz="4" w:space="0" w:color="auto"/>
            </w:tcBorders>
            <w:vAlign w:val="center"/>
            <w:hideMark/>
          </w:tcPr>
          <w:p w14:paraId="560EB41A"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single" w:sz="4" w:space="0" w:color="auto"/>
              <w:left w:val="single" w:sz="4" w:space="0" w:color="auto"/>
              <w:bottom w:val="single" w:sz="4" w:space="0" w:color="auto"/>
              <w:right w:val="single" w:sz="4" w:space="0" w:color="auto"/>
            </w:tcBorders>
            <w:vAlign w:val="center"/>
            <w:hideMark/>
          </w:tcPr>
          <w:p w14:paraId="0D2028AF" w14:textId="77777777" w:rsidR="006234C1" w:rsidRPr="00FE58E8" w:rsidRDefault="006234C1">
            <w:pPr>
              <w:pStyle w:val="TableText0"/>
              <w:keepNext w:val="0"/>
              <w:jc w:val="center"/>
            </w:pPr>
            <w:r w:rsidRPr="00FE58E8">
              <w:t>0.70</w:t>
            </w:r>
          </w:p>
        </w:tc>
        <w:tc>
          <w:tcPr>
            <w:tcW w:w="510" w:type="pct"/>
            <w:tcBorders>
              <w:top w:val="single" w:sz="4" w:space="0" w:color="auto"/>
              <w:left w:val="single" w:sz="4" w:space="0" w:color="auto"/>
              <w:bottom w:val="single" w:sz="4" w:space="0" w:color="auto"/>
              <w:right w:val="single" w:sz="4" w:space="0" w:color="auto"/>
            </w:tcBorders>
            <w:vAlign w:val="center"/>
            <w:hideMark/>
          </w:tcPr>
          <w:p w14:paraId="25C56FE2" w14:textId="77777777" w:rsidR="006234C1" w:rsidRPr="002037C2" w:rsidRDefault="002037C2">
            <w:pPr>
              <w:pStyle w:val="TableText0"/>
              <w:keepNext w:val="0"/>
              <w:jc w:val="center"/>
            </w:pPr>
            <w:r>
              <w:rPr>
                <w:noProof/>
                <w:color w:val="000000"/>
                <w:highlight w:val="black"/>
              </w:rPr>
              <w:t>'''''''''''''''''''</w:t>
            </w:r>
            <w:r w:rsidR="00355DAA">
              <w:rPr>
                <w:vertAlign w:val="superscript"/>
              </w:rPr>
              <w:t>3</w:t>
            </w:r>
          </w:p>
        </w:tc>
        <w:tc>
          <w:tcPr>
            <w:tcW w:w="510" w:type="pct"/>
            <w:tcBorders>
              <w:top w:val="single" w:sz="4" w:space="0" w:color="auto"/>
              <w:left w:val="single" w:sz="4" w:space="0" w:color="auto"/>
              <w:bottom w:val="single" w:sz="4" w:space="0" w:color="auto"/>
              <w:right w:val="single" w:sz="4" w:space="0" w:color="auto"/>
            </w:tcBorders>
            <w:vAlign w:val="center"/>
            <w:hideMark/>
          </w:tcPr>
          <w:p w14:paraId="2261EE52"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single" w:sz="4" w:space="0" w:color="auto"/>
              <w:left w:val="single" w:sz="4" w:space="0" w:color="auto"/>
              <w:bottom w:val="single" w:sz="4" w:space="0" w:color="auto"/>
              <w:right w:val="single" w:sz="4" w:space="0" w:color="auto"/>
            </w:tcBorders>
            <w:vAlign w:val="center"/>
            <w:hideMark/>
          </w:tcPr>
          <w:p w14:paraId="220082A1" w14:textId="77777777" w:rsidR="006234C1" w:rsidRPr="00FE58E8" w:rsidRDefault="006234C1">
            <w:pPr>
              <w:pStyle w:val="TableText0"/>
              <w:keepNext w:val="0"/>
              <w:jc w:val="center"/>
            </w:pPr>
            <w:r w:rsidRPr="00FE58E8">
              <w:t>0.93</w:t>
            </w:r>
          </w:p>
        </w:tc>
        <w:tc>
          <w:tcPr>
            <w:tcW w:w="515" w:type="pct"/>
            <w:tcBorders>
              <w:top w:val="single" w:sz="4" w:space="0" w:color="auto"/>
              <w:left w:val="single" w:sz="4" w:space="0" w:color="auto"/>
              <w:bottom w:val="single" w:sz="4" w:space="0" w:color="auto"/>
              <w:right w:val="single" w:sz="4" w:space="0" w:color="auto"/>
            </w:tcBorders>
            <w:vAlign w:val="center"/>
            <w:hideMark/>
          </w:tcPr>
          <w:p w14:paraId="08A00EDE" w14:textId="77777777" w:rsidR="006234C1" w:rsidRPr="002037C2" w:rsidRDefault="002037C2">
            <w:pPr>
              <w:pStyle w:val="TableText0"/>
              <w:keepNext w:val="0"/>
              <w:jc w:val="center"/>
            </w:pPr>
            <w:r>
              <w:rPr>
                <w:noProof/>
                <w:color w:val="000000"/>
                <w:highlight w:val="black"/>
              </w:rPr>
              <w:t>''''''''''''''''''''</w:t>
            </w:r>
            <w:r w:rsidR="005C6CBA">
              <w:rPr>
                <w:vertAlign w:val="superscript"/>
              </w:rPr>
              <w:t>3</w:t>
            </w:r>
          </w:p>
        </w:tc>
      </w:tr>
      <w:tr w:rsidR="006234C1" w:rsidRPr="00FE58E8" w14:paraId="415CC13D" w14:textId="77777777" w:rsidTr="00A0257A">
        <w:tc>
          <w:tcPr>
            <w:tcW w:w="1935" w:type="pct"/>
            <w:tcBorders>
              <w:top w:val="single" w:sz="4" w:space="0" w:color="auto"/>
              <w:left w:val="single" w:sz="4" w:space="0" w:color="auto"/>
              <w:bottom w:val="single" w:sz="4" w:space="0" w:color="auto"/>
              <w:right w:val="single" w:sz="4" w:space="0" w:color="auto"/>
            </w:tcBorders>
            <w:hideMark/>
          </w:tcPr>
          <w:p w14:paraId="2F64D57F" w14:textId="77777777" w:rsidR="006234C1" w:rsidRPr="00FE58E8" w:rsidRDefault="006234C1">
            <w:pPr>
              <w:pStyle w:val="TableText0"/>
              <w:keepNext w:val="0"/>
            </w:pPr>
            <w:r w:rsidRPr="00FE58E8">
              <w:t xml:space="preserve">Time horizon = 10 years + </w:t>
            </w:r>
          </w:p>
          <w:p w14:paraId="4A5F3BEF" w14:textId="77777777" w:rsidR="006234C1" w:rsidRPr="00FE58E8" w:rsidRDefault="006234C1">
            <w:pPr>
              <w:pStyle w:val="TableText0"/>
              <w:keepNext w:val="0"/>
            </w:pPr>
            <w:r w:rsidRPr="00FE58E8">
              <w:lastRenderedPageBreak/>
              <w:t xml:space="preserve">Extrapolation for OS = </w:t>
            </w:r>
            <w:proofErr w:type="spellStart"/>
            <w:r w:rsidRPr="00FE58E8">
              <w:t>Gompertz</w:t>
            </w:r>
            <w:proofErr w:type="spellEnd"/>
            <w:r w:rsidRPr="00FE58E8">
              <w:t xml:space="preserve"> + </w:t>
            </w:r>
          </w:p>
          <w:p w14:paraId="428B0EA6" w14:textId="77777777" w:rsidR="006234C1" w:rsidRPr="00FE58E8" w:rsidRDefault="006234C1">
            <w:pPr>
              <w:pStyle w:val="TableText0"/>
              <w:keepNext w:val="0"/>
            </w:pPr>
            <w:r w:rsidRPr="00FE58E8">
              <w:t xml:space="preserve">mean time on NHAs, </w:t>
            </w:r>
            <w:proofErr w:type="spellStart"/>
            <w:r w:rsidRPr="00FE58E8">
              <w:t>mCRPC</w:t>
            </w:r>
            <w:proofErr w:type="spellEnd"/>
            <w:r w:rsidRPr="00FE58E8">
              <w:t xml:space="preserve"> = 9 months</w:t>
            </w:r>
          </w:p>
          <w:p w14:paraId="6BBDD370" w14:textId="77777777" w:rsidR="006234C1" w:rsidRPr="00FE58E8" w:rsidRDefault="006234C1">
            <w:pPr>
              <w:pStyle w:val="TableText0"/>
              <w:keepNext w:val="0"/>
            </w:pPr>
            <w:r w:rsidRPr="00FE58E8">
              <w:t xml:space="preserve">% patients on NHAs, </w:t>
            </w:r>
            <w:proofErr w:type="spellStart"/>
            <w:r w:rsidRPr="00FE58E8">
              <w:t>mCRPC</w:t>
            </w:r>
            <w:proofErr w:type="spellEnd"/>
            <w:r w:rsidRPr="00FE58E8">
              <w:t xml:space="preserve"> = 45%</w:t>
            </w:r>
          </w:p>
        </w:tc>
        <w:tc>
          <w:tcPr>
            <w:tcW w:w="510" w:type="pct"/>
            <w:tcBorders>
              <w:top w:val="single" w:sz="4" w:space="0" w:color="auto"/>
              <w:left w:val="single" w:sz="4" w:space="0" w:color="auto"/>
              <w:bottom w:val="single" w:sz="4" w:space="0" w:color="auto"/>
              <w:right w:val="single" w:sz="4" w:space="0" w:color="auto"/>
            </w:tcBorders>
            <w:vAlign w:val="center"/>
            <w:hideMark/>
          </w:tcPr>
          <w:p w14:paraId="6C65676C" w14:textId="77777777" w:rsidR="006234C1" w:rsidRPr="002037C2" w:rsidRDefault="002037C2">
            <w:pPr>
              <w:pStyle w:val="TableText0"/>
              <w:keepNext w:val="0"/>
              <w:jc w:val="center"/>
              <w:rPr>
                <w:highlight w:val="black"/>
              </w:rPr>
            </w:pPr>
            <w:r>
              <w:rPr>
                <w:noProof/>
                <w:color w:val="000000"/>
                <w:highlight w:val="black"/>
              </w:rPr>
              <w:lastRenderedPageBreak/>
              <w:t>'''''''''''''''''''''</w:t>
            </w:r>
          </w:p>
        </w:tc>
        <w:tc>
          <w:tcPr>
            <w:tcW w:w="510" w:type="pct"/>
            <w:tcBorders>
              <w:top w:val="single" w:sz="4" w:space="0" w:color="auto"/>
              <w:left w:val="single" w:sz="4" w:space="0" w:color="auto"/>
              <w:bottom w:val="single" w:sz="4" w:space="0" w:color="auto"/>
              <w:right w:val="single" w:sz="4" w:space="0" w:color="auto"/>
            </w:tcBorders>
            <w:vAlign w:val="center"/>
            <w:hideMark/>
          </w:tcPr>
          <w:p w14:paraId="093D7E44" w14:textId="77777777" w:rsidR="006234C1" w:rsidRPr="00FE58E8" w:rsidRDefault="006234C1">
            <w:pPr>
              <w:pStyle w:val="TableText0"/>
              <w:keepNext w:val="0"/>
              <w:jc w:val="center"/>
            </w:pPr>
            <w:r w:rsidRPr="00FE58E8">
              <w:t>0.70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721BD10" w14:textId="77777777" w:rsidR="006234C1" w:rsidRPr="002037C2" w:rsidRDefault="002037C2">
            <w:pPr>
              <w:pStyle w:val="TableText0"/>
              <w:keepNext w:val="0"/>
              <w:jc w:val="center"/>
            </w:pPr>
            <w:r>
              <w:rPr>
                <w:noProof/>
                <w:color w:val="000000"/>
                <w:highlight w:val="black"/>
              </w:rPr>
              <w:t>''''''''''''''''''''</w:t>
            </w:r>
            <w:r w:rsidR="00355DAA">
              <w:rPr>
                <w:vertAlign w:val="superscript"/>
              </w:rPr>
              <w:t>3</w:t>
            </w:r>
          </w:p>
        </w:tc>
        <w:tc>
          <w:tcPr>
            <w:tcW w:w="510" w:type="pct"/>
            <w:tcBorders>
              <w:top w:val="single" w:sz="4" w:space="0" w:color="auto"/>
              <w:left w:val="single" w:sz="4" w:space="0" w:color="auto"/>
              <w:bottom w:val="single" w:sz="4" w:space="0" w:color="auto"/>
              <w:right w:val="single" w:sz="4" w:space="0" w:color="auto"/>
            </w:tcBorders>
            <w:vAlign w:val="center"/>
            <w:hideMark/>
          </w:tcPr>
          <w:p w14:paraId="045ED7CC" w14:textId="77777777" w:rsidR="006234C1" w:rsidRPr="002037C2" w:rsidRDefault="002037C2">
            <w:pPr>
              <w:pStyle w:val="TableText0"/>
              <w:keepNext w:val="0"/>
              <w:jc w:val="center"/>
              <w:rPr>
                <w:highlight w:val="black"/>
              </w:rPr>
            </w:pPr>
            <w:r>
              <w:rPr>
                <w:noProof/>
                <w:color w:val="000000"/>
                <w:highlight w:val="black"/>
              </w:rPr>
              <w:t>''''''''''''''''''''</w:t>
            </w:r>
          </w:p>
        </w:tc>
        <w:tc>
          <w:tcPr>
            <w:tcW w:w="510" w:type="pct"/>
            <w:tcBorders>
              <w:top w:val="single" w:sz="4" w:space="0" w:color="auto"/>
              <w:left w:val="single" w:sz="4" w:space="0" w:color="auto"/>
              <w:bottom w:val="single" w:sz="4" w:space="0" w:color="auto"/>
              <w:right w:val="single" w:sz="4" w:space="0" w:color="auto"/>
            </w:tcBorders>
            <w:vAlign w:val="center"/>
            <w:hideMark/>
          </w:tcPr>
          <w:p w14:paraId="45895D70" w14:textId="77777777" w:rsidR="006234C1" w:rsidRPr="00FE58E8" w:rsidRDefault="006234C1">
            <w:pPr>
              <w:pStyle w:val="TableText0"/>
              <w:keepNext w:val="0"/>
              <w:jc w:val="center"/>
            </w:pPr>
            <w:r w:rsidRPr="00FE58E8">
              <w:t>0.93</w:t>
            </w:r>
          </w:p>
        </w:tc>
        <w:tc>
          <w:tcPr>
            <w:tcW w:w="515" w:type="pct"/>
            <w:tcBorders>
              <w:top w:val="single" w:sz="4" w:space="0" w:color="auto"/>
              <w:left w:val="single" w:sz="4" w:space="0" w:color="auto"/>
              <w:bottom w:val="single" w:sz="4" w:space="0" w:color="auto"/>
              <w:right w:val="single" w:sz="4" w:space="0" w:color="auto"/>
            </w:tcBorders>
            <w:vAlign w:val="center"/>
            <w:hideMark/>
          </w:tcPr>
          <w:p w14:paraId="41D27199" w14:textId="77777777" w:rsidR="006234C1" w:rsidRPr="00FE58E8" w:rsidRDefault="002037C2">
            <w:pPr>
              <w:pStyle w:val="TableText0"/>
              <w:keepNext w:val="0"/>
              <w:jc w:val="center"/>
            </w:pPr>
            <w:r>
              <w:rPr>
                <w:noProof/>
                <w:color w:val="000000"/>
                <w:highlight w:val="black"/>
              </w:rPr>
              <w:t>''''''''''''''''''</w:t>
            </w:r>
            <w:r w:rsidR="005C6CBA">
              <w:rPr>
                <w:vertAlign w:val="superscript"/>
              </w:rPr>
              <w:t>3</w:t>
            </w:r>
          </w:p>
        </w:tc>
      </w:tr>
      <w:tr w:rsidR="00357284" w:rsidRPr="00FE58E8" w14:paraId="02B52DAA" w14:textId="77777777" w:rsidTr="00357284">
        <w:tc>
          <w:tcPr>
            <w:tcW w:w="5000" w:type="pct"/>
            <w:gridSpan w:val="7"/>
            <w:tcBorders>
              <w:top w:val="single" w:sz="4" w:space="0" w:color="auto"/>
              <w:left w:val="single" w:sz="4" w:space="0" w:color="auto"/>
              <w:bottom w:val="single" w:sz="4" w:space="0" w:color="auto"/>
              <w:right w:val="single" w:sz="4" w:space="0" w:color="auto"/>
            </w:tcBorders>
          </w:tcPr>
          <w:p w14:paraId="1E6E2604" w14:textId="77777777" w:rsidR="00357284" w:rsidRPr="00FE58E8" w:rsidRDefault="00357284" w:rsidP="00357284">
            <w:pPr>
              <w:pStyle w:val="TableText0"/>
              <w:keepNext w:val="0"/>
              <w:rPr>
                <w:b/>
                <w:bCs w:val="0"/>
              </w:rPr>
            </w:pPr>
            <w:r w:rsidRPr="00FE58E8">
              <w:rPr>
                <w:b/>
                <w:bCs w:val="0"/>
              </w:rPr>
              <w:t>ESC proposed revised base case models</w:t>
            </w:r>
          </w:p>
        </w:tc>
      </w:tr>
      <w:tr w:rsidR="00357284" w:rsidRPr="00FE58E8" w14:paraId="4CBC8B62" w14:textId="77777777" w:rsidTr="00A0257A">
        <w:tc>
          <w:tcPr>
            <w:tcW w:w="1935" w:type="pct"/>
            <w:tcBorders>
              <w:top w:val="single" w:sz="4" w:space="0" w:color="auto"/>
              <w:left w:val="single" w:sz="4" w:space="0" w:color="auto"/>
              <w:bottom w:val="single" w:sz="4" w:space="0" w:color="auto"/>
              <w:right w:val="single" w:sz="4" w:space="0" w:color="auto"/>
            </w:tcBorders>
          </w:tcPr>
          <w:p w14:paraId="7BA58DCC" w14:textId="77777777" w:rsidR="00357284" w:rsidRPr="00FE58E8" w:rsidRDefault="00357284">
            <w:pPr>
              <w:pStyle w:val="TableText0"/>
              <w:keepNext w:val="0"/>
            </w:pPr>
            <w:r w:rsidRPr="00FE58E8">
              <w:t>Time horizon = 5 years +</w:t>
            </w:r>
          </w:p>
          <w:p w14:paraId="193DD069" w14:textId="77777777" w:rsidR="00357284" w:rsidRPr="00FE58E8" w:rsidRDefault="00357284">
            <w:pPr>
              <w:pStyle w:val="TableText0"/>
              <w:keepNext w:val="0"/>
            </w:pPr>
            <w:r w:rsidRPr="00FE58E8">
              <w:t xml:space="preserve">Extrapolation for OS = </w:t>
            </w:r>
            <w:proofErr w:type="spellStart"/>
            <w:r w:rsidRPr="00FE58E8">
              <w:t>Gompertz</w:t>
            </w:r>
            <w:proofErr w:type="spellEnd"/>
            <w:r w:rsidRPr="00FE58E8">
              <w:t xml:space="preserve"> +</w:t>
            </w:r>
          </w:p>
          <w:p w14:paraId="73711BF1" w14:textId="77777777" w:rsidR="00357284" w:rsidRPr="00FE58E8" w:rsidRDefault="00357284">
            <w:pPr>
              <w:pStyle w:val="TableText0"/>
              <w:keepNext w:val="0"/>
            </w:pPr>
            <w:r w:rsidRPr="00FE58E8">
              <w:rPr>
                <w:szCs w:val="20"/>
              </w:rPr>
              <w:t>ΔPBO OS = ΔAPA OS after 44 months</w:t>
            </w:r>
          </w:p>
        </w:tc>
        <w:tc>
          <w:tcPr>
            <w:tcW w:w="510" w:type="pct"/>
            <w:tcBorders>
              <w:top w:val="single" w:sz="4" w:space="0" w:color="auto"/>
              <w:left w:val="single" w:sz="4" w:space="0" w:color="auto"/>
              <w:bottom w:val="single" w:sz="4" w:space="0" w:color="auto"/>
              <w:right w:val="single" w:sz="4" w:space="0" w:color="auto"/>
            </w:tcBorders>
            <w:vAlign w:val="center"/>
          </w:tcPr>
          <w:p w14:paraId="5549D78C" w14:textId="77777777" w:rsidR="00357284" w:rsidRPr="002037C2" w:rsidRDefault="002037C2">
            <w:pPr>
              <w:pStyle w:val="TableText0"/>
              <w:keepNext w:val="0"/>
              <w:jc w:val="center"/>
              <w:rPr>
                <w:highlight w:val="black"/>
              </w:rPr>
            </w:pPr>
            <w:r>
              <w:rPr>
                <w:noProof/>
                <w:color w:val="000000"/>
                <w:highlight w:val="black"/>
              </w:rPr>
              <w:t>''''''''''''''''''''</w:t>
            </w:r>
          </w:p>
        </w:tc>
        <w:tc>
          <w:tcPr>
            <w:tcW w:w="510" w:type="pct"/>
            <w:tcBorders>
              <w:top w:val="single" w:sz="4" w:space="0" w:color="auto"/>
              <w:left w:val="single" w:sz="4" w:space="0" w:color="auto"/>
              <w:bottom w:val="single" w:sz="4" w:space="0" w:color="auto"/>
              <w:right w:val="single" w:sz="4" w:space="0" w:color="auto"/>
            </w:tcBorders>
            <w:vAlign w:val="center"/>
          </w:tcPr>
          <w:p w14:paraId="0CDEFE63" w14:textId="77777777" w:rsidR="00357284" w:rsidRPr="00FE58E8" w:rsidRDefault="00357284">
            <w:pPr>
              <w:pStyle w:val="TableText0"/>
              <w:keepNext w:val="0"/>
              <w:jc w:val="center"/>
            </w:pPr>
            <w:r w:rsidRPr="00FE58E8">
              <w:t>0.34</w:t>
            </w:r>
          </w:p>
        </w:tc>
        <w:tc>
          <w:tcPr>
            <w:tcW w:w="510" w:type="pct"/>
            <w:tcBorders>
              <w:top w:val="single" w:sz="4" w:space="0" w:color="auto"/>
              <w:left w:val="single" w:sz="4" w:space="0" w:color="auto"/>
              <w:bottom w:val="single" w:sz="4" w:space="0" w:color="auto"/>
              <w:right w:val="single" w:sz="4" w:space="0" w:color="auto"/>
            </w:tcBorders>
            <w:vAlign w:val="center"/>
          </w:tcPr>
          <w:p w14:paraId="61D1DE59" w14:textId="77777777" w:rsidR="00357284" w:rsidRPr="00FE58E8" w:rsidRDefault="002037C2">
            <w:pPr>
              <w:pStyle w:val="TableText0"/>
              <w:keepNext w:val="0"/>
              <w:jc w:val="center"/>
            </w:pPr>
            <w:r>
              <w:rPr>
                <w:noProof/>
                <w:color w:val="000000"/>
                <w:highlight w:val="black"/>
              </w:rPr>
              <w:t>''''''''''''''''''</w:t>
            </w:r>
            <w:r w:rsidR="00355DAA">
              <w:rPr>
                <w:vertAlign w:val="superscript"/>
              </w:rPr>
              <w:t>3</w:t>
            </w:r>
          </w:p>
        </w:tc>
        <w:tc>
          <w:tcPr>
            <w:tcW w:w="510" w:type="pct"/>
            <w:tcBorders>
              <w:top w:val="single" w:sz="4" w:space="0" w:color="auto"/>
              <w:left w:val="single" w:sz="4" w:space="0" w:color="auto"/>
              <w:bottom w:val="single" w:sz="4" w:space="0" w:color="auto"/>
              <w:right w:val="single" w:sz="4" w:space="0" w:color="auto"/>
            </w:tcBorders>
            <w:vAlign w:val="center"/>
          </w:tcPr>
          <w:p w14:paraId="4B4BF9FD" w14:textId="77777777" w:rsidR="00357284" w:rsidRPr="00FE58E8" w:rsidRDefault="00357284">
            <w:pPr>
              <w:pStyle w:val="TableText0"/>
              <w:keepNext w:val="0"/>
              <w:jc w:val="center"/>
            </w:pPr>
            <w:r w:rsidRPr="00FE58E8">
              <w:t>-</w:t>
            </w:r>
          </w:p>
        </w:tc>
        <w:tc>
          <w:tcPr>
            <w:tcW w:w="510" w:type="pct"/>
            <w:tcBorders>
              <w:top w:val="single" w:sz="4" w:space="0" w:color="auto"/>
              <w:left w:val="single" w:sz="4" w:space="0" w:color="auto"/>
              <w:bottom w:val="single" w:sz="4" w:space="0" w:color="auto"/>
              <w:right w:val="single" w:sz="4" w:space="0" w:color="auto"/>
            </w:tcBorders>
            <w:vAlign w:val="center"/>
          </w:tcPr>
          <w:p w14:paraId="3CC229D7" w14:textId="77777777" w:rsidR="00357284" w:rsidRPr="00FE58E8" w:rsidRDefault="00357284">
            <w:pPr>
              <w:pStyle w:val="TableText0"/>
              <w:keepNext w:val="0"/>
              <w:jc w:val="center"/>
            </w:pPr>
            <w:r w:rsidRPr="00FE58E8">
              <w:t>-</w:t>
            </w:r>
          </w:p>
        </w:tc>
        <w:tc>
          <w:tcPr>
            <w:tcW w:w="515" w:type="pct"/>
            <w:tcBorders>
              <w:top w:val="single" w:sz="4" w:space="0" w:color="auto"/>
              <w:left w:val="single" w:sz="4" w:space="0" w:color="auto"/>
              <w:bottom w:val="single" w:sz="4" w:space="0" w:color="auto"/>
              <w:right w:val="single" w:sz="4" w:space="0" w:color="auto"/>
            </w:tcBorders>
            <w:vAlign w:val="center"/>
          </w:tcPr>
          <w:p w14:paraId="7FCBE927" w14:textId="77777777" w:rsidR="00357284" w:rsidRPr="00FE58E8" w:rsidRDefault="00357284">
            <w:pPr>
              <w:pStyle w:val="TableText0"/>
              <w:keepNext w:val="0"/>
              <w:jc w:val="center"/>
            </w:pPr>
            <w:r w:rsidRPr="00FE58E8">
              <w:t>-</w:t>
            </w:r>
          </w:p>
        </w:tc>
      </w:tr>
      <w:tr w:rsidR="00357284" w:rsidRPr="00FE58E8" w14:paraId="1AB4DAC0" w14:textId="77777777" w:rsidTr="00A0257A">
        <w:tc>
          <w:tcPr>
            <w:tcW w:w="1935" w:type="pct"/>
            <w:tcBorders>
              <w:top w:val="single" w:sz="4" w:space="0" w:color="auto"/>
              <w:left w:val="single" w:sz="4" w:space="0" w:color="auto"/>
              <w:bottom w:val="single" w:sz="4" w:space="0" w:color="auto"/>
              <w:right w:val="single" w:sz="4" w:space="0" w:color="auto"/>
            </w:tcBorders>
          </w:tcPr>
          <w:p w14:paraId="783BFF25" w14:textId="77777777" w:rsidR="00357284" w:rsidRPr="00FE58E8" w:rsidRDefault="00357284">
            <w:pPr>
              <w:pStyle w:val="TableText0"/>
              <w:keepNext w:val="0"/>
            </w:pPr>
            <w:r w:rsidRPr="00FE58E8">
              <w:t xml:space="preserve">Time horizon = 10 years + </w:t>
            </w:r>
          </w:p>
          <w:p w14:paraId="30B838C3" w14:textId="77777777" w:rsidR="00357284" w:rsidRPr="00FE58E8" w:rsidRDefault="00357284">
            <w:pPr>
              <w:pStyle w:val="TableText0"/>
              <w:keepNext w:val="0"/>
            </w:pPr>
            <w:r w:rsidRPr="00FE58E8">
              <w:t xml:space="preserve">Extrapolation for OS = </w:t>
            </w:r>
            <w:proofErr w:type="spellStart"/>
            <w:r w:rsidRPr="00FE58E8">
              <w:t>Gompertz</w:t>
            </w:r>
            <w:proofErr w:type="spellEnd"/>
            <w:r w:rsidRPr="00FE58E8">
              <w:t xml:space="preserve"> +</w:t>
            </w:r>
          </w:p>
          <w:p w14:paraId="2666504E" w14:textId="77777777" w:rsidR="00357284" w:rsidRPr="00FE58E8" w:rsidRDefault="00357284">
            <w:pPr>
              <w:pStyle w:val="TableText0"/>
              <w:keepNext w:val="0"/>
            </w:pPr>
            <w:r w:rsidRPr="00FE58E8">
              <w:rPr>
                <w:szCs w:val="20"/>
              </w:rPr>
              <w:t>ΔPBO OS = ΔAPA OS after 5 years</w:t>
            </w:r>
          </w:p>
        </w:tc>
        <w:tc>
          <w:tcPr>
            <w:tcW w:w="510" w:type="pct"/>
            <w:tcBorders>
              <w:top w:val="single" w:sz="4" w:space="0" w:color="auto"/>
              <w:left w:val="single" w:sz="4" w:space="0" w:color="auto"/>
              <w:bottom w:val="single" w:sz="4" w:space="0" w:color="auto"/>
              <w:right w:val="single" w:sz="4" w:space="0" w:color="auto"/>
            </w:tcBorders>
            <w:vAlign w:val="center"/>
          </w:tcPr>
          <w:p w14:paraId="3E239468" w14:textId="77777777" w:rsidR="00357284" w:rsidRPr="00FE58E8" w:rsidRDefault="00357284">
            <w:pPr>
              <w:pStyle w:val="TableText0"/>
              <w:keepNext w:val="0"/>
              <w:jc w:val="center"/>
            </w:pPr>
            <w:r w:rsidRPr="00FE58E8">
              <w:t>-</w:t>
            </w:r>
          </w:p>
        </w:tc>
        <w:tc>
          <w:tcPr>
            <w:tcW w:w="510" w:type="pct"/>
            <w:tcBorders>
              <w:top w:val="single" w:sz="4" w:space="0" w:color="auto"/>
              <w:left w:val="single" w:sz="4" w:space="0" w:color="auto"/>
              <w:bottom w:val="single" w:sz="4" w:space="0" w:color="auto"/>
              <w:right w:val="single" w:sz="4" w:space="0" w:color="auto"/>
            </w:tcBorders>
            <w:vAlign w:val="center"/>
          </w:tcPr>
          <w:p w14:paraId="76012BFA" w14:textId="77777777" w:rsidR="00357284" w:rsidRPr="00FE58E8" w:rsidRDefault="00357284">
            <w:pPr>
              <w:pStyle w:val="TableText0"/>
              <w:keepNext w:val="0"/>
              <w:jc w:val="center"/>
            </w:pPr>
            <w:r w:rsidRPr="00FE58E8">
              <w:t>-</w:t>
            </w:r>
          </w:p>
        </w:tc>
        <w:tc>
          <w:tcPr>
            <w:tcW w:w="510" w:type="pct"/>
            <w:tcBorders>
              <w:top w:val="single" w:sz="4" w:space="0" w:color="auto"/>
              <w:left w:val="single" w:sz="4" w:space="0" w:color="auto"/>
              <w:bottom w:val="single" w:sz="4" w:space="0" w:color="auto"/>
              <w:right w:val="single" w:sz="4" w:space="0" w:color="auto"/>
            </w:tcBorders>
            <w:vAlign w:val="center"/>
          </w:tcPr>
          <w:p w14:paraId="2600F9A0" w14:textId="77777777" w:rsidR="00357284" w:rsidRPr="00FE58E8" w:rsidRDefault="00357284">
            <w:pPr>
              <w:pStyle w:val="TableText0"/>
              <w:keepNext w:val="0"/>
              <w:jc w:val="center"/>
            </w:pPr>
            <w:r w:rsidRPr="00FE58E8">
              <w:t>-</w:t>
            </w:r>
          </w:p>
        </w:tc>
        <w:tc>
          <w:tcPr>
            <w:tcW w:w="510" w:type="pct"/>
            <w:tcBorders>
              <w:top w:val="single" w:sz="4" w:space="0" w:color="auto"/>
              <w:left w:val="single" w:sz="4" w:space="0" w:color="auto"/>
              <w:bottom w:val="single" w:sz="4" w:space="0" w:color="auto"/>
              <w:right w:val="single" w:sz="4" w:space="0" w:color="auto"/>
            </w:tcBorders>
            <w:vAlign w:val="center"/>
          </w:tcPr>
          <w:p w14:paraId="0E7546DF" w14:textId="77777777" w:rsidR="00357284" w:rsidRPr="002037C2" w:rsidRDefault="002037C2">
            <w:pPr>
              <w:pStyle w:val="TableText0"/>
              <w:keepNext w:val="0"/>
              <w:jc w:val="center"/>
              <w:rPr>
                <w:highlight w:val="black"/>
              </w:rPr>
            </w:pPr>
            <w:r>
              <w:rPr>
                <w:noProof/>
                <w:color w:val="000000"/>
                <w:highlight w:val="black"/>
              </w:rPr>
              <w:t>''''''''''''''''''</w:t>
            </w:r>
          </w:p>
        </w:tc>
        <w:tc>
          <w:tcPr>
            <w:tcW w:w="510" w:type="pct"/>
            <w:tcBorders>
              <w:top w:val="single" w:sz="4" w:space="0" w:color="auto"/>
              <w:left w:val="single" w:sz="4" w:space="0" w:color="auto"/>
              <w:bottom w:val="single" w:sz="4" w:space="0" w:color="auto"/>
              <w:right w:val="single" w:sz="4" w:space="0" w:color="auto"/>
            </w:tcBorders>
            <w:vAlign w:val="center"/>
          </w:tcPr>
          <w:p w14:paraId="442C8106" w14:textId="77777777" w:rsidR="00357284" w:rsidRPr="00FE58E8" w:rsidRDefault="00357284">
            <w:pPr>
              <w:pStyle w:val="TableText0"/>
              <w:keepNext w:val="0"/>
              <w:jc w:val="center"/>
            </w:pPr>
            <w:r w:rsidRPr="00FE58E8">
              <w:t>0.73</w:t>
            </w:r>
          </w:p>
        </w:tc>
        <w:tc>
          <w:tcPr>
            <w:tcW w:w="515" w:type="pct"/>
            <w:tcBorders>
              <w:top w:val="single" w:sz="4" w:space="0" w:color="auto"/>
              <w:left w:val="single" w:sz="4" w:space="0" w:color="auto"/>
              <w:bottom w:val="single" w:sz="4" w:space="0" w:color="auto"/>
              <w:right w:val="single" w:sz="4" w:space="0" w:color="auto"/>
            </w:tcBorders>
            <w:vAlign w:val="center"/>
          </w:tcPr>
          <w:p w14:paraId="7A5E9CDE" w14:textId="77777777" w:rsidR="00357284" w:rsidRPr="00FE58E8" w:rsidRDefault="002037C2">
            <w:pPr>
              <w:pStyle w:val="TableText0"/>
              <w:keepNext w:val="0"/>
              <w:jc w:val="center"/>
            </w:pPr>
            <w:r>
              <w:rPr>
                <w:noProof/>
                <w:color w:val="000000"/>
                <w:highlight w:val="black"/>
              </w:rPr>
              <w:t>'''''''''''''''''''''</w:t>
            </w:r>
            <w:r w:rsidR="005C6CBA">
              <w:rPr>
                <w:vertAlign w:val="superscript"/>
              </w:rPr>
              <w:t>3</w:t>
            </w:r>
          </w:p>
        </w:tc>
      </w:tr>
    </w:tbl>
    <w:p w14:paraId="2738B305" w14:textId="77777777" w:rsidR="00814F74" w:rsidRPr="003F72E0" w:rsidRDefault="00814F74" w:rsidP="00814F74">
      <w:pPr>
        <w:tabs>
          <w:tab w:val="left" w:pos="142"/>
        </w:tabs>
        <w:rPr>
          <w:rFonts w:ascii="Arial Narrow" w:hAnsi="Arial Narrow"/>
          <w:sz w:val="18"/>
          <w:szCs w:val="18"/>
        </w:rPr>
      </w:pPr>
      <w:r w:rsidRPr="003F72E0">
        <w:rPr>
          <w:rFonts w:ascii="Arial Narrow" w:hAnsi="Arial Narrow"/>
          <w:sz w:val="18"/>
          <w:szCs w:val="18"/>
        </w:rPr>
        <w:t xml:space="preserve">Abbreviations: APA = apalutamide; BC = base case; CAB = </w:t>
      </w:r>
      <w:proofErr w:type="spellStart"/>
      <w:r w:rsidRPr="003F72E0">
        <w:rPr>
          <w:rFonts w:ascii="Arial Narrow" w:hAnsi="Arial Narrow"/>
          <w:sz w:val="18"/>
          <w:szCs w:val="18"/>
        </w:rPr>
        <w:t>cabazitaxel</w:t>
      </w:r>
      <w:proofErr w:type="spellEnd"/>
      <w:r w:rsidRPr="003F72E0">
        <w:rPr>
          <w:rFonts w:ascii="Arial Narrow" w:hAnsi="Arial Narrow"/>
          <w:sz w:val="18"/>
          <w:szCs w:val="18"/>
        </w:rPr>
        <w:t>; DOC = docetaxel; HR = hazard ratio; IPCW = inverse probability of censoring weights; NHA = novel hormonal agent; OS = overall survival; PFS = progression free survival; RPSFTM = Rank Preserving Structure Failure Time Models; TTD = time to treatment discontinuation.</w:t>
      </w:r>
    </w:p>
    <w:p w14:paraId="4538944B" w14:textId="77777777" w:rsidR="00814F74" w:rsidRPr="003F72E0" w:rsidRDefault="00814F74" w:rsidP="00814F74">
      <w:pPr>
        <w:tabs>
          <w:tab w:val="left" w:pos="142"/>
        </w:tabs>
        <w:ind w:left="142" w:hanging="142"/>
        <w:rPr>
          <w:rFonts w:ascii="Arial Narrow" w:hAnsi="Arial Narrow" w:cs="Times New Roman"/>
          <w:sz w:val="18"/>
          <w:szCs w:val="18"/>
          <w:lang w:eastAsia="en-US"/>
        </w:rPr>
      </w:pPr>
      <w:r w:rsidRPr="003F72E0">
        <w:rPr>
          <w:rFonts w:ascii="Arial Narrow" w:hAnsi="Arial Narrow" w:cs="Times New Roman"/>
          <w:sz w:val="18"/>
          <w:szCs w:val="18"/>
          <w:vertAlign w:val="superscript"/>
          <w:lang w:eastAsia="en-US"/>
        </w:rPr>
        <w:t>a</w:t>
      </w:r>
      <w:r w:rsidRPr="003F72E0">
        <w:rPr>
          <w:rFonts w:ascii="Arial Narrow" w:hAnsi="Arial Narrow" w:cs="Times New Roman"/>
          <w:sz w:val="18"/>
          <w:szCs w:val="18"/>
          <w:lang w:eastAsia="en-US"/>
        </w:rPr>
        <w:tab/>
        <w:t>PFS for PBO arm was extrapolated using the function fitted to the APA arm after 23 months (end of follow-up for PFS trial data), applying monthly per cycle transition probabilities for APA PFS to PBO PFS after this timepoint.</w:t>
      </w:r>
    </w:p>
    <w:p w14:paraId="269DD40B" w14:textId="77777777" w:rsidR="00814F74" w:rsidRPr="003F72E0" w:rsidRDefault="00814F74" w:rsidP="00814F74">
      <w:pPr>
        <w:tabs>
          <w:tab w:val="left" w:pos="142"/>
        </w:tabs>
        <w:ind w:left="142" w:hanging="142"/>
        <w:rPr>
          <w:rFonts w:ascii="Arial Narrow" w:hAnsi="Arial Narrow" w:cs="Times New Roman"/>
          <w:sz w:val="18"/>
          <w:szCs w:val="18"/>
          <w:lang w:eastAsia="en-US"/>
        </w:rPr>
      </w:pPr>
      <w:r w:rsidRPr="003F72E0">
        <w:rPr>
          <w:rFonts w:ascii="Arial Narrow" w:hAnsi="Arial Narrow" w:cs="Times New Roman"/>
          <w:sz w:val="18"/>
          <w:szCs w:val="18"/>
          <w:vertAlign w:val="superscript"/>
          <w:lang w:eastAsia="en-US"/>
        </w:rPr>
        <w:t>b</w:t>
      </w:r>
      <w:r w:rsidRPr="003F72E0">
        <w:rPr>
          <w:rFonts w:ascii="Arial Narrow" w:hAnsi="Arial Narrow" w:cs="Times New Roman"/>
          <w:sz w:val="18"/>
          <w:szCs w:val="18"/>
          <w:lang w:eastAsia="en-US"/>
        </w:rPr>
        <w:tab/>
        <w:t>OS for PBO arm was extrapolated using the function fitted to the APA arm after 44 months (end of follow-up for OS trial data), applying monthly per cycle transition probabilities for APA OS to PBO OS after this timepoint.</w:t>
      </w:r>
    </w:p>
    <w:p w14:paraId="0FDC78D3" w14:textId="77777777" w:rsidR="00814F74" w:rsidRDefault="00814F74" w:rsidP="00814F74">
      <w:pPr>
        <w:tabs>
          <w:tab w:val="left" w:pos="142"/>
        </w:tabs>
        <w:ind w:left="142" w:hanging="142"/>
        <w:rPr>
          <w:rFonts w:ascii="Arial Narrow" w:hAnsi="Arial Narrow" w:cs="Times New Roman"/>
          <w:sz w:val="18"/>
          <w:szCs w:val="18"/>
          <w:lang w:eastAsia="en-US"/>
        </w:rPr>
      </w:pPr>
      <w:r w:rsidRPr="003F72E0">
        <w:rPr>
          <w:rFonts w:ascii="Arial Narrow" w:hAnsi="Arial Narrow" w:cs="Times New Roman"/>
          <w:sz w:val="18"/>
          <w:szCs w:val="18"/>
          <w:vertAlign w:val="superscript"/>
          <w:lang w:eastAsia="en-US"/>
        </w:rPr>
        <w:t>c</w:t>
      </w:r>
      <w:r w:rsidRPr="003F72E0">
        <w:rPr>
          <w:rFonts w:ascii="Arial Narrow" w:hAnsi="Arial Narrow" w:cs="Times New Roman"/>
          <w:sz w:val="18"/>
          <w:szCs w:val="18"/>
          <w:lang w:eastAsia="en-US"/>
        </w:rPr>
        <w:tab/>
        <w:t>OS for PBO arm was extrapolated using the function fitted to the APA arm after 5 years, applying monthly per cycle transition probabilities for APA OS to PBO OS after this timepoint.</w:t>
      </w:r>
    </w:p>
    <w:p w14:paraId="1813ED6D" w14:textId="77777777" w:rsidR="006234C1" w:rsidRDefault="006234C1" w:rsidP="006234C1">
      <w:pPr>
        <w:tabs>
          <w:tab w:val="left" w:pos="142"/>
        </w:tabs>
        <w:ind w:left="142" w:hanging="142"/>
        <w:rPr>
          <w:rFonts w:ascii="Arial Narrow" w:hAnsi="Arial Narrow" w:cs="Times New Roman"/>
          <w:sz w:val="18"/>
          <w:szCs w:val="18"/>
          <w:lang w:eastAsia="en-US"/>
        </w:rPr>
      </w:pPr>
      <w:r w:rsidRPr="006234C1">
        <w:rPr>
          <w:rFonts w:ascii="Arial Narrow" w:hAnsi="Arial Narrow" w:cs="Times New Roman"/>
          <w:sz w:val="18"/>
          <w:szCs w:val="18"/>
          <w:vertAlign w:val="superscript"/>
          <w:lang w:eastAsia="en-US"/>
        </w:rPr>
        <w:t>d</w:t>
      </w:r>
      <w:r>
        <w:rPr>
          <w:rFonts w:ascii="Arial Narrow" w:hAnsi="Arial Narrow" w:cs="Times New Roman"/>
          <w:sz w:val="18"/>
          <w:szCs w:val="18"/>
          <w:lang w:eastAsia="en-US"/>
        </w:rPr>
        <w:t xml:space="preserve"> </w:t>
      </w:r>
      <w:proofErr w:type="gramStart"/>
      <w:r>
        <w:rPr>
          <w:rFonts w:ascii="Arial Narrow" w:hAnsi="Arial Narrow" w:cs="Times New Roman"/>
          <w:sz w:val="18"/>
          <w:szCs w:val="18"/>
          <w:lang w:eastAsia="en-US"/>
        </w:rPr>
        <w:t>The</w:t>
      </w:r>
      <w:proofErr w:type="gramEnd"/>
      <w:r>
        <w:rPr>
          <w:rFonts w:ascii="Arial Narrow" w:hAnsi="Arial Narrow" w:cs="Times New Roman"/>
          <w:sz w:val="18"/>
          <w:szCs w:val="18"/>
          <w:lang w:eastAsia="en-US"/>
        </w:rPr>
        <w:t xml:space="preserve"> exact proportion of patients who received subsequent NHAs is unclear. At the final analysis, of the 527 patients randomised to placebo, 208 (39.5%) had crossed over to apalutamide before disease progression, 99 (18.8%) received subsequent abiraterone after study treatment discontinuation and 57 (10.8%) received subsequent enzalutamide after study treatment discontinuation.</w:t>
      </w:r>
    </w:p>
    <w:p w14:paraId="4F883FF8" w14:textId="77777777" w:rsidR="00814F74" w:rsidRDefault="00814F74" w:rsidP="00814F74">
      <w:pPr>
        <w:pStyle w:val="TableFigureFooter"/>
      </w:pPr>
      <w:r w:rsidRPr="003F72E0">
        <w:t xml:space="preserve">Source: Table 3.44, p188 of the submission; Apalutamide </w:t>
      </w:r>
      <w:proofErr w:type="spellStart"/>
      <w:r w:rsidRPr="003F72E0">
        <w:t>mHSPC</w:t>
      </w:r>
      <w:proofErr w:type="spellEnd"/>
      <w:r w:rsidRPr="003F72E0">
        <w:t xml:space="preserve"> ITT Economic Model EXCEL file; Apalutamide Low Volume </w:t>
      </w:r>
      <w:proofErr w:type="spellStart"/>
      <w:r w:rsidRPr="003F72E0">
        <w:t>mHSPC</w:t>
      </w:r>
      <w:proofErr w:type="spellEnd"/>
      <w:r w:rsidRPr="003F72E0">
        <w:t xml:space="preserve"> Economic Model EXCEL file.</w:t>
      </w:r>
    </w:p>
    <w:p w14:paraId="390AF0F9" w14:textId="77777777" w:rsidR="00355DAA" w:rsidRPr="00550467" w:rsidRDefault="00355DAA" w:rsidP="00814F74">
      <w:pPr>
        <w:pStyle w:val="TableFigureFooter"/>
        <w:rPr>
          <w:i/>
        </w:rPr>
      </w:pPr>
      <w:r w:rsidRPr="00550467">
        <w:rPr>
          <w:i/>
        </w:rPr>
        <w:t>The redacted values correspond to the following ranges:</w:t>
      </w:r>
    </w:p>
    <w:p w14:paraId="73CB5F2A" w14:textId="77777777" w:rsidR="00355DAA" w:rsidRPr="00550467" w:rsidRDefault="00355DAA" w:rsidP="00814F74">
      <w:pPr>
        <w:pStyle w:val="TableFigureFooter"/>
        <w:rPr>
          <w:i/>
        </w:rPr>
      </w:pPr>
      <w:r w:rsidRPr="00550467">
        <w:rPr>
          <w:i/>
          <w:vertAlign w:val="superscript"/>
        </w:rPr>
        <w:t>1</w:t>
      </w:r>
      <w:r w:rsidRPr="00550467">
        <w:rPr>
          <w:i/>
        </w:rPr>
        <w:t xml:space="preserve"> $35,000 to &lt; $45,000</w:t>
      </w:r>
    </w:p>
    <w:p w14:paraId="5C0EBEE0" w14:textId="77777777" w:rsidR="00355DAA" w:rsidRPr="00550467" w:rsidRDefault="00355DAA" w:rsidP="00814F74">
      <w:pPr>
        <w:pStyle w:val="TableFigureFooter"/>
        <w:rPr>
          <w:i/>
        </w:rPr>
      </w:pPr>
      <w:r w:rsidRPr="00550467">
        <w:rPr>
          <w:i/>
          <w:vertAlign w:val="superscript"/>
        </w:rPr>
        <w:t>2</w:t>
      </w:r>
      <w:r w:rsidRPr="00550467">
        <w:rPr>
          <w:i/>
        </w:rPr>
        <w:t xml:space="preserve"> $45,000 to &lt; $55,000</w:t>
      </w:r>
    </w:p>
    <w:p w14:paraId="3CBD7184" w14:textId="77777777" w:rsidR="00355DAA" w:rsidRPr="00550467" w:rsidRDefault="00355DAA" w:rsidP="00814F74">
      <w:pPr>
        <w:pStyle w:val="TableFigureFooter"/>
        <w:rPr>
          <w:i/>
        </w:rPr>
      </w:pPr>
      <w:r w:rsidRPr="00550467">
        <w:rPr>
          <w:i/>
          <w:vertAlign w:val="superscript"/>
        </w:rPr>
        <w:t>3</w:t>
      </w:r>
      <w:r w:rsidRPr="00550467">
        <w:rPr>
          <w:i/>
        </w:rPr>
        <w:t xml:space="preserve"> $55,000 to &lt; $75,000</w:t>
      </w:r>
    </w:p>
    <w:p w14:paraId="4AB89C22" w14:textId="77777777" w:rsidR="00355DAA" w:rsidRPr="00550467" w:rsidRDefault="00355DAA" w:rsidP="00814F74">
      <w:pPr>
        <w:pStyle w:val="TableFigureFooter"/>
        <w:rPr>
          <w:i/>
        </w:rPr>
      </w:pPr>
      <w:r w:rsidRPr="00550467">
        <w:rPr>
          <w:i/>
          <w:vertAlign w:val="superscript"/>
        </w:rPr>
        <w:t>4</w:t>
      </w:r>
      <w:r w:rsidRPr="00550467">
        <w:rPr>
          <w:i/>
        </w:rPr>
        <w:t xml:space="preserve"> $75,000 to &lt; $95,000</w:t>
      </w:r>
    </w:p>
    <w:p w14:paraId="274AB39F" w14:textId="77777777" w:rsidR="005C6CBA" w:rsidRPr="00550467" w:rsidRDefault="005C6CBA" w:rsidP="00814F74">
      <w:pPr>
        <w:pStyle w:val="TableFigureFooter"/>
        <w:rPr>
          <w:i/>
        </w:rPr>
      </w:pPr>
      <w:r w:rsidRPr="00550467">
        <w:rPr>
          <w:i/>
          <w:vertAlign w:val="superscript"/>
        </w:rPr>
        <w:t>5</w:t>
      </w:r>
      <w:r w:rsidRPr="00550467">
        <w:rPr>
          <w:i/>
        </w:rPr>
        <w:t xml:space="preserve"> $25,000 to &lt; $35,000</w:t>
      </w:r>
    </w:p>
    <w:p w14:paraId="77D9AA7B" w14:textId="77777777" w:rsidR="00814F74" w:rsidRPr="00BF06FC" w:rsidRDefault="00814F74" w:rsidP="00814F74">
      <w:pPr>
        <w:pStyle w:val="TableFigureFooter"/>
        <w:rPr>
          <w:rFonts w:eastAsia="Calibri"/>
          <w:i/>
          <w:szCs w:val="20"/>
        </w:rPr>
      </w:pPr>
    </w:p>
    <w:p w14:paraId="746E3B13" w14:textId="77777777" w:rsidR="00814F74" w:rsidRPr="00FE58E8" w:rsidRDefault="00DA4385" w:rsidP="00814F74">
      <w:pPr>
        <w:pStyle w:val="3-BodyText"/>
        <w:rPr>
          <w:iCs/>
        </w:rPr>
      </w:pPr>
      <w:r>
        <w:rPr>
          <w:iCs/>
        </w:rPr>
        <w:t xml:space="preserve">Noting the immaturity of the data which informed the modelled extrapolations and </w:t>
      </w:r>
      <w:r w:rsidR="007E7F1A">
        <w:rPr>
          <w:iCs/>
        </w:rPr>
        <w:t>most</w:t>
      </w:r>
      <w:r>
        <w:rPr>
          <w:iCs/>
        </w:rPr>
        <w:t xml:space="preserve"> of the model transitions </w:t>
      </w:r>
      <w:r w:rsidR="007E7F1A">
        <w:rPr>
          <w:iCs/>
        </w:rPr>
        <w:t>sensitivity analyses</w:t>
      </w:r>
      <w:r w:rsidR="00814F74" w:rsidRPr="003F72E0">
        <w:rPr>
          <w:iCs/>
        </w:rPr>
        <w:t xml:space="preserve"> w</w:t>
      </w:r>
      <w:r w:rsidR="00235413" w:rsidRPr="003F72E0">
        <w:rPr>
          <w:iCs/>
        </w:rPr>
        <w:t>ere</w:t>
      </w:r>
      <w:r w:rsidR="00814F74" w:rsidRPr="003F72E0">
        <w:rPr>
          <w:iCs/>
        </w:rPr>
        <w:t xml:space="preserve"> conducted during the evaluation assuming gradual convergence between the apalutamide and placebo survivor functions. In these sensitivities</w:t>
      </w:r>
      <w:bookmarkStart w:id="39" w:name="_Hlk81931800"/>
      <w:r w:rsidR="00814F74" w:rsidRPr="003F72E0">
        <w:rPr>
          <w:iCs/>
        </w:rPr>
        <w:t xml:space="preserve">, the parametric function for the apalutamide arm was used to inform transitions in the placebo arm after </w:t>
      </w:r>
      <w:bookmarkEnd w:id="39"/>
      <w:r w:rsidR="007E7F1A">
        <w:rPr>
          <w:iCs/>
        </w:rPr>
        <w:t xml:space="preserve">the end of follow up </w:t>
      </w:r>
      <w:r w:rsidR="00357284">
        <w:rPr>
          <w:iCs/>
        </w:rPr>
        <w:t xml:space="preserve">(44 months) </w:t>
      </w:r>
      <w:r w:rsidR="007E7F1A">
        <w:rPr>
          <w:iCs/>
        </w:rPr>
        <w:t>and after 5 years and resulted in ICERs of $</w:t>
      </w:r>
      <w:r w:rsidR="00550467">
        <w:rPr>
          <w:iCs/>
        </w:rPr>
        <w:t>55,000 to &lt; $75,000</w:t>
      </w:r>
      <w:r w:rsidR="007E7F1A">
        <w:rPr>
          <w:iCs/>
        </w:rPr>
        <w:t>/QALY and $</w:t>
      </w:r>
      <w:r w:rsidR="00550467">
        <w:rPr>
          <w:iCs/>
        </w:rPr>
        <w:t>45,000 to &lt; $55,000</w:t>
      </w:r>
      <w:r w:rsidR="007E7F1A">
        <w:rPr>
          <w:iCs/>
        </w:rPr>
        <w:t>/QALY for the LV model and $</w:t>
      </w:r>
      <w:r w:rsidR="00550467">
        <w:rPr>
          <w:iCs/>
        </w:rPr>
        <w:t>55,000 to &lt; $75,000</w:t>
      </w:r>
      <w:r w:rsidR="007E7F1A">
        <w:rPr>
          <w:iCs/>
        </w:rPr>
        <w:t>/QALY and $</w:t>
      </w:r>
      <w:r w:rsidR="00550467">
        <w:rPr>
          <w:iCs/>
        </w:rPr>
        <w:t>45,000 to &lt; $55,000</w:t>
      </w:r>
      <w:r w:rsidR="007E7F1A">
        <w:rPr>
          <w:iCs/>
        </w:rPr>
        <w:t>/QALY for the ITT/HV model respectively</w:t>
      </w:r>
      <w:r w:rsidR="00814F74" w:rsidRPr="003F72E0">
        <w:rPr>
          <w:iCs/>
        </w:rPr>
        <w:t xml:space="preserve">. Figure </w:t>
      </w:r>
      <w:r w:rsidR="004F6EA0">
        <w:rPr>
          <w:iCs/>
        </w:rPr>
        <w:t>4</w:t>
      </w:r>
      <w:r w:rsidR="00814F74" w:rsidRPr="003F72E0">
        <w:rPr>
          <w:iCs/>
        </w:rPr>
        <w:t xml:space="preserve"> illustrates the impact of these different scenarios on the OS curves compared to those assumed in the base case.</w:t>
      </w:r>
      <w:r w:rsidR="0030142C">
        <w:rPr>
          <w:iCs/>
        </w:rPr>
        <w:t xml:space="preserve"> </w:t>
      </w:r>
      <w:r w:rsidR="0030142C" w:rsidRPr="00FE58E8">
        <w:rPr>
          <w:iCs/>
        </w:rPr>
        <w:t xml:space="preserve">The ESC considered that the treatment and placebo arms of the models should </w:t>
      </w:r>
      <w:r w:rsidR="00A0257A" w:rsidRPr="00FE58E8">
        <w:rPr>
          <w:iCs/>
        </w:rPr>
        <w:t xml:space="preserve">begin to </w:t>
      </w:r>
      <w:r w:rsidR="0030142C" w:rsidRPr="00FE58E8">
        <w:rPr>
          <w:iCs/>
        </w:rPr>
        <w:t xml:space="preserve">converge after </w:t>
      </w:r>
      <w:r w:rsidR="00A0257A" w:rsidRPr="00FE58E8">
        <w:rPr>
          <w:iCs/>
        </w:rPr>
        <w:t>44 months for the ITT/HV model and 5 years for the LV model.</w:t>
      </w:r>
    </w:p>
    <w:p w14:paraId="43DD34A0" w14:textId="77777777" w:rsidR="00550468" w:rsidRDefault="00550468" w:rsidP="00814F74">
      <w:pPr>
        <w:pStyle w:val="TableFigureHeading"/>
        <w:rPr>
          <w:rStyle w:val="CommentReference"/>
          <w:b/>
        </w:rPr>
      </w:pPr>
    </w:p>
    <w:p w14:paraId="1838A72F" w14:textId="77777777" w:rsidR="00550468" w:rsidRDefault="00550468" w:rsidP="00814F74">
      <w:pPr>
        <w:pStyle w:val="TableFigureHeading"/>
        <w:rPr>
          <w:rStyle w:val="CommentReference"/>
          <w:b/>
        </w:rPr>
      </w:pPr>
    </w:p>
    <w:p w14:paraId="50726D5F" w14:textId="77777777" w:rsidR="00550468" w:rsidRDefault="00550468" w:rsidP="00814F74">
      <w:pPr>
        <w:pStyle w:val="TableFigureHeading"/>
        <w:rPr>
          <w:rStyle w:val="CommentReference"/>
          <w:b/>
        </w:rPr>
      </w:pPr>
    </w:p>
    <w:p w14:paraId="50DAB14C" w14:textId="77777777" w:rsidR="00550468" w:rsidRDefault="00550468" w:rsidP="00814F74">
      <w:pPr>
        <w:pStyle w:val="TableFigureHeading"/>
        <w:rPr>
          <w:rStyle w:val="CommentReference"/>
          <w:b/>
        </w:rPr>
      </w:pPr>
    </w:p>
    <w:p w14:paraId="70D09E01" w14:textId="77777777" w:rsidR="00814F74" w:rsidRPr="00BF06FC" w:rsidRDefault="00814F74" w:rsidP="00814F74">
      <w:pPr>
        <w:pStyle w:val="TableFigureHeading"/>
        <w:rPr>
          <w:rStyle w:val="CommentReference"/>
          <w:b/>
        </w:rPr>
      </w:pPr>
      <w:r w:rsidRPr="00BF06FC">
        <w:rPr>
          <w:rStyle w:val="CommentReference"/>
          <w:b/>
        </w:rPr>
        <w:t xml:space="preserve">Figure </w:t>
      </w:r>
      <w:r w:rsidR="004F6EA0">
        <w:rPr>
          <w:rStyle w:val="CommentReference"/>
          <w:b/>
        </w:rPr>
        <w:t>4</w:t>
      </w:r>
      <w:r w:rsidRPr="00BF06FC">
        <w:rPr>
          <w:rStyle w:val="CommentReference"/>
          <w:b/>
        </w:rPr>
        <w:t>: Base and alternative extrapolations of OS for the placebo arm of the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Caption w:val="Figure 4: Base and alternative extrapolations of OS for the placebo arm of the model"/>
      </w:tblPr>
      <w:tblGrid>
        <w:gridCol w:w="4491"/>
        <w:gridCol w:w="4526"/>
      </w:tblGrid>
      <w:tr w:rsidR="00814F74" w:rsidRPr="00BF06FC" w14:paraId="226B98C9" w14:textId="77777777" w:rsidTr="00422AEB">
        <w:trPr>
          <w:tblHeader/>
        </w:trPr>
        <w:tc>
          <w:tcPr>
            <w:tcW w:w="4491" w:type="dxa"/>
          </w:tcPr>
          <w:p w14:paraId="0E4A6DB3" w14:textId="77777777" w:rsidR="00814F74" w:rsidRDefault="00814F74" w:rsidP="00DF5EF9">
            <w:pPr>
              <w:pStyle w:val="TableFigureFooter"/>
              <w:spacing w:after="0"/>
              <w:rPr>
                <w:rFonts w:cs="Times New Roman"/>
                <w:b/>
                <w:sz w:val="20"/>
                <w:szCs w:val="20"/>
                <w:lang w:eastAsia="en-US"/>
              </w:rPr>
            </w:pPr>
            <w:r w:rsidRPr="00BF06FC">
              <w:rPr>
                <w:rFonts w:cs="Times New Roman"/>
                <w:b/>
                <w:sz w:val="20"/>
                <w:szCs w:val="20"/>
                <w:lang w:eastAsia="en-US"/>
              </w:rPr>
              <w:t>[A] ITT/HV model</w:t>
            </w:r>
          </w:p>
          <w:p w14:paraId="585F1DB4" w14:textId="77777777" w:rsidR="00550468" w:rsidRPr="00BF06FC" w:rsidRDefault="00550468" w:rsidP="00DF5EF9">
            <w:pPr>
              <w:pStyle w:val="TableFigureFooter"/>
              <w:spacing w:after="0"/>
              <w:rPr>
                <w:rFonts w:eastAsia="Calibri"/>
                <w:i/>
                <w:szCs w:val="20"/>
              </w:rPr>
            </w:pPr>
          </w:p>
        </w:tc>
        <w:tc>
          <w:tcPr>
            <w:tcW w:w="4526" w:type="dxa"/>
          </w:tcPr>
          <w:p w14:paraId="54036CA3" w14:textId="77777777" w:rsidR="00814F74" w:rsidRPr="00BF06FC" w:rsidRDefault="00814F74" w:rsidP="00DF5EF9">
            <w:pPr>
              <w:pStyle w:val="TableFigureFooter"/>
              <w:spacing w:after="0"/>
              <w:rPr>
                <w:rFonts w:eastAsia="Calibri"/>
                <w:i/>
                <w:szCs w:val="20"/>
              </w:rPr>
            </w:pPr>
            <w:r w:rsidRPr="00BF06FC">
              <w:rPr>
                <w:rFonts w:cs="Times New Roman"/>
                <w:b/>
                <w:sz w:val="20"/>
                <w:szCs w:val="20"/>
                <w:lang w:eastAsia="en-US"/>
              </w:rPr>
              <w:t>[B] LV model</w:t>
            </w:r>
          </w:p>
        </w:tc>
      </w:tr>
      <w:tr w:rsidR="00814F74" w:rsidRPr="00BF06FC" w14:paraId="69A695AC" w14:textId="77777777" w:rsidTr="00DF5EF9">
        <w:tc>
          <w:tcPr>
            <w:tcW w:w="4491" w:type="dxa"/>
          </w:tcPr>
          <w:p w14:paraId="14D11C42" w14:textId="77777777" w:rsidR="00814F74" w:rsidRPr="00BF06FC" w:rsidRDefault="00814F74" w:rsidP="00DF5EF9">
            <w:pPr>
              <w:pStyle w:val="TableFigureFooter"/>
              <w:spacing w:after="0"/>
              <w:rPr>
                <w:rFonts w:eastAsia="Calibri"/>
                <w:i/>
                <w:szCs w:val="20"/>
              </w:rPr>
            </w:pPr>
            <w:r w:rsidRPr="00BF06FC">
              <w:rPr>
                <w:rFonts w:eastAsia="Calibri"/>
                <w:i/>
                <w:noProof/>
                <w:szCs w:val="20"/>
              </w:rPr>
              <w:drawing>
                <wp:inline distT="0" distB="0" distL="0" distR="0" wp14:anchorId="6062F8FD" wp14:editId="4FF6ED18">
                  <wp:extent cx="2783711" cy="3009900"/>
                  <wp:effectExtent l="0" t="0" r="0" b="0"/>
                  <wp:docPr id="56" name="Picture 56" title="[A] ITT/HV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4430" cy="3021490"/>
                          </a:xfrm>
                          <a:prstGeom prst="rect">
                            <a:avLst/>
                          </a:prstGeom>
                          <a:noFill/>
                        </pic:spPr>
                      </pic:pic>
                    </a:graphicData>
                  </a:graphic>
                </wp:inline>
              </w:drawing>
            </w:r>
          </w:p>
        </w:tc>
        <w:tc>
          <w:tcPr>
            <w:tcW w:w="4526" w:type="dxa"/>
          </w:tcPr>
          <w:p w14:paraId="3535BD29" w14:textId="77777777" w:rsidR="00814F74" w:rsidRPr="00BF06FC" w:rsidRDefault="00814F74" w:rsidP="00DF5EF9">
            <w:pPr>
              <w:pStyle w:val="TableFigureFooter"/>
              <w:spacing w:after="0"/>
              <w:rPr>
                <w:rFonts w:eastAsia="Calibri"/>
                <w:i/>
                <w:szCs w:val="20"/>
              </w:rPr>
            </w:pPr>
            <w:r w:rsidRPr="00BF06FC">
              <w:rPr>
                <w:rFonts w:eastAsia="Calibri"/>
                <w:i/>
                <w:noProof/>
                <w:szCs w:val="20"/>
              </w:rPr>
              <w:drawing>
                <wp:inline distT="0" distB="0" distL="0" distR="0" wp14:anchorId="4EF29885" wp14:editId="4BD2083F">
                  <wp:extent cx="2834471" cy="3009900"/>
                  <wp:effectExtent l="0" t="0" r="4445" b="0"/>
                  <wp:docPr id="57" name="Picture 57" title="[B] LV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0005" cy="3015776"/>
                          </a:xfrm>
                          <a:prstGeom prst="rect">
                            <a:avLst/>
                          </a:prstGeom>
                          <a:noFill/>
                        </pic:spPr>
                      </pic:pic>
                    </a:graphicData>
                  </a:graphic>
                </wp:inline>
              </w:drawing>
            </w:r>
          </w:p>
        </w:tc>
      </w:tr>
    </w:tbl>
    <w:p w14:paraId="36C8E823" w14:textId="77777777" w:rsidR="00814F74" w:rsidRPr="00BF06FC" w:rsidRDefault="00814F74" w:rsidP="00814F74">
      <w:pPr>
        <w:pStyle w:val="TableFigureFooter"/>
        <w:rPr>
          <w:sz w:val="20"/>
        </w:rPr>
      </w:pPr>
      <w:r w:rsidRPr="00BF06FC">
        <w:t>Source: Constructed during the evaluation</w:t>
      </w:r>
    </w:p>
    <w:p w14:paraId="547E5BD5" w14:textId="77777777" w:rsidR="0030142C" w:rsidRPr="00FE58E8" w:rsidRDefault="007E7F1A" w:rsidP="007E7F1A">
      <w:pPr>
        <w:pStyle w:val="3-BodyText"/>
        <w:rPr>
          <w:iCs/>
        </w:rPr>
      </w:pPr>
      <w:r w:rsidRPr="00FE58E8">
        <w:rPr>
          <w:iCs/>
        </w:rPr>
        <w:t xml:space="preserve">Overall, the ESC considered that </w:t>
      </w:r>
      <w:proofErr w:type="gramStart"/>
      <w:r w:rsidR="0030142C" w:rsidRPr="00FE58E8">
        <w:rPr>
          <w:iCs/>
        </w:rPr>
        <w:t>a number of</w:t>
      </w:r>
      <w:proofErr w:type="gramEnd"/>
      <w:r w:rsidR="0030142C" w:rsidRPr="00FE58E8">
        <w:rPr>
          <w:iCs/>
        </w:rPr>
        <w:t xml:space="preserve"> the model inputs/parameters were highly uncertain and proposed revised base case models which:</w:t>
      </w:r>
    </w:p>
    <w:p w14:paraId="0E95E169" w14:textId="77777777" w:rsidR="0030142C" w:rsidRPr="00FE58E8" w:rsidRDefault="0030142C" w:rsidP="0030142C">
      <w:pPr>
        <w:pStyle w:val="ListParagraph"/>
        <w:numPr>
          <w:ilvl w:val="0"/>
          <w:numId w:val="21"/>
        </w:numPr>
        <w:ind w:left="1077" w:hanging="357"/>
        <w:rPr>
          <w:iCs/>
        </w:rPr>
      </w:pPr>
      <w:r w:rsidRPr="00FE58E8">
        <w:rPr>
          <w:iCs/>
        </w:rPr>
        <w:t xml:space="preserve">ITT/HV model – </w:t>
      </w:r>
      <w:proofErr w:type="gramStart"/>
      <w:r w:rsidRPr="00FE58E8">
        <w:rPr>
          <w:iCs/>
        </w:rPr>
        <w:t>5 year</w:t>
      </w:r>
      <w:proofErr w:type="gramEnd"/>
      <w:r w:rsidRPr="00FE58E8">
        <w:rPr>
          <w:iCs/>
        </w:rPr>
        <w:t xml:space="preserve"> time horizon, </w:t>
      </w:r>
      <w:proofErr w:type="spellStart"/>
      <w:r w:rsidRPr="00FE58E8">
        <w:rPr>
          <w:iCs/>
        </w:rPr>
        <w:t>Gompertz</w:t>
      </w:r>
      <w:proofErr w:type="spellEnd"/>
      <w:r w:rsidRPr="00FE58E8">
        <w:rPr>
          <w:iCs/>
        </w:rPr>
        <w:t xml:space="preserve"> extrapolation of OS, and convergence applied from 44 months. These changes resulted in an ICER of $</w:t>
      </w:r>
      <w:r w:rsidR="00550467">
        <w:rPr>
          <w:iCs/>
        </w:rPr>
        <w:t>55,000 to &lt; $75,000</w:t>
      </w:r>
      <w:r w:rsidRPr="00FE58E8">
        <w:rPr>
          <w:iCs/>
        </w:rPr>
        <w:t>/QALY, compared to $</w:t>
      </w:r>
      <w:r w:rsidR="00550467">
        <w:rPr>
          <w:iCs/>
        </w:rPr>
        <w:t>35,000 to &lt; $45,000</w:t>
      </w:r>
      <w:r w:rsidRPr="00FE58E8">
        <w:rPr>
          <w:iCs/>
        </w:rPr>
        <w:t xml:space="preserve">/QALY in the </w:t>
      </w:r>
      <w:proofErr w:type="gramStart"/>
      <w:r w:rsidRPr="00FE58E8">
        <w:rPr>
          <w:iCs/>
        </w:rPr>
        <w:t>submission;</w:t>
      </w:r>
      <w:proofErr w:type="gramEnd"/>
    </w:p>
    <w:p w14:paraId="26F52342" w14:textId="77777777" w:rsidR="0030142C" w:rsidRDefault="0030142C" w:rsidP="0030142C">
      <w:pPr>
        <w:pStyle w:val="ListParagraph"/>
        <w:numPr>
          <w:ilvl w:val="0"/>
          <w:numId w:val="21"/>
        </w:numPr>
        <w:ind w:left="1077" w:hanging="357"/>
        <w:rPr>
          <w:iCs/>
        </w:rPr>
      </w:pPr>
      <w:r w:rsidRPr="00FE58E8">
        <w:rPr>
          <w:iCs/>
        </w:rPr>
        <w:t xml:space="preserve">LV model – </w:t>
      </w:r>
      <w:proofErr w:type="gramStart"/>
      <w:r w:rsidRPr="00FE58E8">
        <w:rPr>
          <w:iCs/>
        </w:rPr>
        <w:t>10 year</w:t>
      </w:r>
      <w:proofErr w:type="gramEnd"/>
      <w:r w:rsidRPr="00FE58E8">
        <w:rPr>
          <w:iCs/>
        </w:rPr>
        <w:t xml:space="preserve"> time horizon, </w:t>
      </w:r>
      <w:proofErr w:type="spellStart"/>
      <w:r w:rsidRPr="00FE58E8">
        <w:rPr>
          <w:iCs/>
        </w:rPr>
        <w:t>Gompertz</w:t>
      </w:r>
      <w:proofErr w:type="spellEnd"/>
      <w:r w:rsidRPr="00FE58E8">
        <w:rPr>
          <w:iCs/>
        </w:rPr>
        <w:t xml:space="preserve"> extrapolation of OS, and convergence applied from 5 years. These changes resulted in an ICER of $</w:t>
      </w:r>
      <w:r w:rsidR="00550467">
        <w:rPr>
          <w:iCs/>
        </w:rPr>
        <w:t>55,000 to &lt; $75,000</w:t>
      </w:r>
      <w:r w:rsidRPr="00FE58E8">
        <w:rPr>
          <w:iCs/>
        </w:rPr>
        <w:t>/QALY, compared to $</w:t>
      </w:r>
      <w:r w:rsidR="00550467">
        <w:rPr>
          <w:iCs/>
        </w:rPr>
        <w:t>35,000 to &lt; $45,000/QALY</w:t>
      </w:r>
      <w:r w:rsidRPr="00FE58E8">
        <w:rPr>
          <w:iCs/>
        </w:rPr>
        <w:t xml:space="preserve"> in the submission.</w:t>
      </w:r>
    </w:p>
    <w:p w14:paraId="2556519A" w14:textId="77777777" w:rsidR="009C069B" w:rsidRPr="001C0791" w:rsidRDefault="00AE62F3" w:rsidP="00B771C9">
      <w:pPr>
        <w:pStyle w:val="3-BodyText"/>
        <w:rPr>
          <w:iCs/>
        </w:rPr>
      </w:pPr>
      <w:r w:rsidRPr="001C0791">
        <w:rPr>
          <w:iCs/>
        </w:rPr>
        <w:t xml:space="preserve">The </w:t>
      </w:r>
      <w:r w:rsidR="00B64795" w:rsidRPr="001C0791">
        <w:rPr>
          <w:iCs/>
        </w:rPr>
        <w:t>pre-PBAC response</w:t>
      </w:r>
      <w:r w:rsidR="009C069B" w:rsidRPr="001C0791">
        <w:rPr>
          <w:iCs/>
        </w:rPr>
        <w:t xml:space="preserve"> </w:t>
      </w:r>
      <w:r w:rsidR="00B64795" w:rsidRPr="001C0791">
        <w:rPr>
          <w:iCs/>
        </w:rPr>
        <w:t>defended the presented economic models, reiterating that the</w:t>
      </w:r>
      <w:r w:rsidR="00190800" w:rsidRPr="001C0791">
        <w:rPr>
          <w:iCs/>
        </w:rPr>
        <w:t xml:space="preserve"> submission model</w:t>
      </w:r>
      <w:r w:rsidR="00B64795" w:rsidRPr="001C0791">
        <w:rPr>
          <w:iCs/>
        </w:rPr>
        <w:t xml:space="preserve"> </w:t>
      </w:r>
      <w:r w:rsidR="00190800" w:rsidRPr="001C0791">
        <w:rPr>
          <w:iCs/>
        </w:rPr>
        <w:t>did</w:t>
      </w:r>
      <w:r w:rsidR="00B64795" w:rsidRPr="001C0791">
        <w:rPr>
          <w:iCs/>
        </w:rPr>
        <w:t xml:space="preserve"> not adjust for treatment switching, which biases against apalutamide. </w:t>
      </w:r>
      <w:r w:rsidR="00453C86" w:rsidRPr="001C0791">
        <w:rPr>
          <w:iCs/>
        </w:rPr>
        <w:t xml:space="preserve">The pre-PBAC response argued against the alterations to extrapolation function and convergence of curves. </w:t>
      </w:r>
      <w:r w:rsidR="00B64795" w:rsidRPr="001C0791">
        <w:rPr>
          <w:iCs/>
        </w:rPr>
        <w:t xml:space="preserve"> However, recognising the concern that the long-term survival of apalutamide </w:t>
      </w:r>
      <w:r w:rsidR="008815D7">
        <w:rPr>
          <w:iCs/>
        </w:rPr>
        <w:t>wa</w:t>
      </w:r>
      <w:r w:rsidR="00B64795" w:rsidRPr="001C0791">
        <w:rPr>
          <w:iCs/>
        </w:rPr>
        <w:t xml:space="preserve">s uncertain, the </w:t>
      </w:r>
      <w:r w:rsidR="009C069B" w:rsidRPr="001C0791">
        <w:rPr>
          <w:iCs/>
        </w:rPr>
        <w:t xml:space="preserve">pre-PBAC response provided new models with reduced time horizons (from 15 to 10 years for the ITT/HV model and from 20 to 15 years for the LV model).  </w:t>
      </w:r>
      <w:r w:rsidR="001C0791">
        <w:t>Th</w:t>
      </w:r>
      <w:r w:rsidR="008815D7">
        <w:t xml:space="preserve">is resulted in </w:t>
      </w:r>
      <w:r w:rsidR="001C0791">
        <w:t xml:space="preserve">a </w:t>
      </w:r>
      <w:r w:rsidR="001C0791" w:rsidRPr="001C0791">
        <w:rPr>
          <w:iCs/>
        </w:rPr>
        <w:t>revised ICER in LV patients of $</w:t>
      </w:r>
      <w:r w:rsidR="00550467">
        <w:rPr>
          <w:iCs/>
        </w:rPr>
        <w:t>35,000 to &lt; $45,000</w:t>
      </w:r>
      <w:r w:rsidR="001C0791" w:rsidRPr="001C0791">
        <w:rPr>
          <w:iCs/>
        </w:rPr>
        <w:t>/QALY</w:t>
      </w:r>
      <w:r w:rsidR="008815D7">
        <w:rPr>
          <w:iCs/>
        </w:rPr>
        <w:t xml:space="preserve"> and in</w:t>
      </w:r>
      <w:r w:rsidR="001C0791" w:rsidRPr="001C0791">
        <w:rPr>
          <w:iCs/>
        </w:rPr>
        <w:t xml:space="preserve"> HV patients </w:t>
      </w:r>
      <w:r w:rsidR="008815D7">
        <w:rPr>
          <w:iCs/>
        </w:rPr>
        <w:t>of</w:t>
      </w:r>
      <w:r w:rsidR="001C0791" w:rsidRPr="001C0791">
        <w:rPr>
          <w:iCs/>
        </w:rPr>
        <w:t xml:space="preserve"> $</w:t>
      </w:r>
      <w:r w:rsidR="00550467">
        <w:rPr>
          <w:iCs/>
        </w:rPr>
        <w:t>35,000 to &lt; $45,000</w:t>
      </w:r>
      <w:r w:rsidR="001C0791" w:rsidRPr="001C0791">
        <w:rPr>
          <w:iCs/>
        </w:rPr>
        <w:t xml:space="preserve">/QALY (using the ITT model).  </w:t>
      </w:r>
      <w:r w:rsidR="00453C86" w:rsidRPr="001C0791">
        <w:rPr>
          <w:iCs/>
        </w:rPr>
        <w:t xml:space="preserve">The </w:t>
      </w:r>
      <w:r w:rsidR="009C069B" w:rsidRPr="001C0791">
        <w:rPr>
          <w:iCs/>
        </w:rPr>
        <w:t>PBAC noted the</w:t>
      </w:r>
      <w:r w:rsidR="008815D7">
        <w:rPr>
          <w:iCs/>
        </w:rPr>
        <w:t xml:space="preserve"> time horizons proposed in the pre-PBAC response </w:t>
      </w:r>
      <w:r w:rsidR="008815D7">
        <w:rPr>
          <w:iCs/>
        </w:rPr>
        <w:lastRenderedPageBreak/>
        <w:t xml:space="preserve">were not justified and </w:t>
      </w:r>
      <w:r w:rsidR="009C069B" w:rsidRPr="001C0791">
        <w:rPr>
          <w:iCs/>
        </w:rPr>
        <w:t xml:space="preserve">did not reflect the </w:t>
      </w:r>
      <w:r w:rsidR="00453C86" w:rsidRPr="001C0791">
        <w:rPr>
          <w:iCs/>
        </w:rPr>
        <w:t>time horizons</w:t>
      </w:r>
      <w:r w:rsidR="009C069B" w:rsidRPr="001C0791">
        <w:rPr>
          <w:iCs/>
        </w:rPr>
        <w:t xml:space="preserve"> proposed by the ESC (see paragraph 6.40)</w:t>
      </w:r>
      <w:r w:rsidR="008815D7">
        <w:rPr>
          <w:iCs/>
        </w:rPr>
        <w:t>. In addition</w:t>
      </w:r>
      <w:r w:rsidR="00453C86" w:rsidRPr="001C0791">
        <w:rPr>
          <w:iCs/>
        </w:rPr>
        <w:t xml:space="preserve">, </w:t>
      </w:r>
      <w:r w:rsidR="008815D7">
        <w:rPr>
          <w:iCs/>
        </w:rPr>
        <w:t xml:space="preserve">the PBAC noted </w:t>
      </w:r>
      <w:r w:rsidR="00453C86" w:rsidRPr="001C0791">
        <w:rPr>
          <w:iCs/>
        </w:rPr>
        <w:t>that other advice (</w:t>
      </w:r>
      <w:proofErr w:type="spellStart"/>
      <w:r w:rsidR="00453C86" w:rsidRPr="001C0791">
        <w:rPr>
          <w:iCs/>
        </w:rPr>
        <w:t>Gompertz</w:t>
      </w:r>
      <w:proofErr w:type="spellEnd"/>
      <w:r w:rsidR="00453C86" w:rsidRPr="001C0791">
        <w:rPr>
          <w:iCs/>
        </w:rPr>
        <w:t xml:space="preserve"> extrapolation and convergence of curves) from the ESC had not been incorporated</w:t>
      </w:r>
      <w:r w:rsidR="008815D7">
        <w:rPr>
          <w:iCs/>
        </w:rPr>
        <w:t xml:space="preserve"> into the models</w:t>
      </w:r>
      <w:r w:rsidR="009C069B" w:rsidRPr="001C0791">
        <w:rPr>
          <w:iCs/>
        </w:rPr>
        <w:t>.</w:t>
      </w:r>
      <w:r w:rsidR="00453C86" w:rsidRPr="001C0791">
        <w:rPr>
          <w:iCs/>
        </w:rPr>
        <w:t xml:space="preserve">  </w:t>
      </w:r>
    </w:p>
    <w:p w14:paraId="7B854461" w14:textId="77777777" w:rsidR="00831DEE" w:rsidRPr="00AF1F06" w:rsidRDefault="003944DD" w:rsidP="00AF1F06">
      <w:pPr>
        <w:pStyle w:val="3-BodyText"/>
        <w:rPr>
          <w:iCs/>
        </w:rPr>
      </w:pPr>
      <w:r>
        <w:t xml:space="preserve">The </w:t>
      </w:r>
      <w:r w:rsidR="009C069B">
        <w:t xml:space="preserve">pre-PBAC response also presented an </w:t>
      </w:r>
      <w:r w:rsidR="00B64795" w:rsidRPr="009C069B">
        <w:t>analysis for the HV population using</w:t>
      </w:r>
      <w:r w:rsidR="00453C86">
        <w:t xml:space="preserve"> selected parameters </w:t>
      </w:r>
      <w:r w:rsidR="008815D7">
        <w:t>(</w:t>
      </w:r>
      <w:proofErr w:type="spellStart"/>
      <w:r w:rsidR="008815D7">
        <w:t>rPFS</w:t>
      </w:r>
      <w:proofErr w:type="spellEnd"/>
      <w:r w:rsidR="008815D7">
        <w:t xml:space="preserve">, TTD and OS) </w:t>
      </w:r>
      <w:r w:rsidR="00453C86">
        <w:t xml:space="preserve">from the </w:t>
      </w:r>
      <w:r w:rsidR="00B64795" w:rsidRPr="009C069B">
        <w:t xml:space="preserve">HV </w:t>
      </w:r>
      <w:r w:rsidR="00453C86">
        <w:t>group within the existing ITT/HV model</w:t>
      </w:r>
      <w:r w:rsidR="00B64795" w:rsidRPr="009C069B">
        <w:t xml:space="preserve">. </w:t>
      </w:r>
      <w:r w:rsidR="00453C86" w:rsidRPr="004C6806">
        <w:rPr>
          <w:bCs/>
        </w:rPr>
        <w:t>The model used the Weibull function for extrapolation, consistent with the original ITT/HV model.</w:t>
      </w:r>
      <w:r w:rsidR="00453C86" w:rsidRPr="00453C86">
        <w:t xml:space="preserve"> </w:t>
      </w:r>
      <w:r w:rsidR="00453C86" w:rsidRPr="004C6806">
        <w:rPr>
          <w:bCs/>
        </w:rPr>
        <w:t>Over a 15-year time horizon the ICER was $</w:t>
      </w:r>
      <w:r w:rsidR="00550467">
        <w:rPr>
          <w:bCs/>
        </w:rPr>
        <w:t>35,000 to &lt; $45,000</w:t>
      </w:r>
      <w:r w:rsidR="00453C86" w:rsidRPr="004C6806">
        <w:rPr>
          <w:bCs/>
        </w:rPr>
        <w:t>/QALY</w:t>
      </w:r>
      <w:r w:rsidR="008815D7">
        <w:rPr>
          <w:bCs/>
        </w:rPr>
        <w:t>,</w:t>
      </w:r>
      <w:r w:rsidR="00AB2817" w:rsidRPr="004C6806">
        <w:rPr>
          <w:bCs/>
        </w:rPr>
        <w:t xml:space="preserve"> which was</w:t>
      </w:r>
      <w:r w:rsidR="00453C86" w:rsidRPr="004C6806">
        <w:rPr>
          <w:bCs/>
        </w:rPr>
        <w:t xml:space="preserve"> slightly lower than the base case ITT/HV model ($</w:t>
      </w:r>
      <w:r w:rsidR="00550467">
        <w:rPr>
          <w:bCs/>
        </w:rPr>
        <w:t>35,000 to &lt; $45,000</w:t>
      </w:r>
      <w:r w:rsidR="00453C86" w:rsidRPr="004C6806">
        <w:rPr>
          <w:bCs/>
        </w:rPr>
        <w:t>/QALY)</w:t>
      </w:r>
      <w:r w:rsidR="008815D7">
        <w:rPr>
          <w:bCs/>
        </w:rPr>
        <w:t>;</w:t>
      </w:r>
      <w:r w:rsidR="00680A78" w:rsidRPr="004C6806">
        <w:rPr>
          <w:bCs/>
        </w:rPr>
        <w:t xml:space="preserve"> </w:t>
      </w:r>
      <w:r w:rsidR="00AB2817" w:rsidRPr="004C6806">
        <w:rPr>
          <w:bCs/>
        </w:rPr>
        <w:t>over</w:t>
      </w:r>
      <w:r w:rsidR="00680A78" w:rsidRPr="004C6806">
        <w:rPr>
          <w:bCs/>
        </w:rPr>
        <w:t xml:space="preserve"> </w:t>
      </w:r>
      <w:r w:rsidR="00AB2817" w:rsidRPr="004C6806">
        <w:rPr>
          <w:bCs/>
        </w:rPr>
        <w:t xml:space="preserve">a 10-year time horizon the ICER was </w:t>
      </w:r>
      <w:r w:rsidR="00680A78" w:rsidRPr="004C6806">
        <w:rPr>
          <w:iCs/>
        </w:rPr>
        <w:t>$</w:t>
      </w:r>
      <w:r w:rsidR="00550467">
        <w:rPr>
          <w:iCs/>
        </w:rPr>
        <w:t>35,000 to &lt; $45,000</w:t>
      </w:r>
      <w:r w:rsidR="00680A78" w:rsidRPr="004C6806">
        <w:rPr>
          <w:iCs/>
        </w:rPr>
        <w:t>/QALY.</w:t>
      </w:r>
      <w:r w:rsidR="001C0791" w:rsidRPr="004C6806">
        <w:rPr>
          <w:iCs/>
        </w:rPr>
        <w:t xml:space="preserve">  </w:t>
      </w:r>
      <w:r w:rsidR="008815D7">
        <w:rPr>
          <w:iCs/>
        </w:rPr>
        <w:t>Although not evaluated in detail, t</w:t>
      </w:r>
      <w:r w:rsidR="001C0791" w:rsidRPr="004C6806">
        <w:rPr>
          <w:iCs/>
        </w:rPr>
        <w:t xml:space="preserve">he revised model </w:t>
      </w:r>
      <w:r w:rsidR="004C6806">
        <w:rPr>
          <w:iCs/>
        </w:rPr>
        <w:t>appeared to apply new data for selected variables only, and therefore</w:t>
      </w:r>
      <w:r w:rsidR="008815D7">
        <w:rPr>
          <w:iCs/>
        </w:rPr>
        <w:t>,</w:t>
      </w:r>
      <w:r w:rsidR="004C6806">
        <w:rPr>
          <w:iCs/>
        </w:rPr>
        <w:t xml:space="preserve"> </w:t>
      </w:r>
      <w:r w:rsidR="008815D7">
        <w:rPr>
          <w:iCs/>
        </w:rPr>
        <w:t xml:space="preserve">it </w:t>
      </w:r>
      <w:r w:rsidR="004C6806">
        <w:rPr>
          <w:iCs/>
        </w:rPr>
        <w:t>may not be appropriate</w:t>
      </w:r>
      <w:r w:rsidR="001C0791" w:rsidRPr="004C6806">
        <w:rPr>
          <w:iCs/>
        </w:rPr>
        <w:t>.</w:t>
      </w:r>
      <w:bookmarkStart w:id="40" w:name="_Toc22897646"/>
      <w:bookmarkStart w:id="41" w:name="_Toc22898858"/>
      <w:bookmarkStart w:id="42" w:name="_Toc82609553"/>
      <w:r w:rsidR="004C6806" w:rsidRPr="004C6806">
        <w:rPr>
          <w:iCs/>
        </w:rPr>
        <w:t xml:space="preserve">  </w:t>
      </w:r>
    </w:p>
    <w:p w14:paraId="429D295C" w14:textId="77777777" w:rsidR="007E7F1A" w:rsidRPr="00BF06FC" w:rsidRDefault="007E7F1A" w:rsidP="007E7F1A">
      <w:pPr>
        <w:pStyle w:val="4-SubsectionHeading"/>
      </w:pPr>
      <w:r w:rsidRPr="00BF06FC">
        <w:t>Drug cost/patient/course</w:t>
      </w:r>
      <w:bookmarkEnd w:id="40"/>
      <w:bookmarkEnd w:id="41"/>
      <w:r w:rsidRPr="00BF06FC">
        <w:t>: $</w:t>
      </w:r>
      <w:r w:rsidR="002037C2">
        <w:rPr>
          <w:noProof/>
          <w:color w:val="000000"/>
          <w:highlight w:val="black"/>
        </w:rPr>
        <w:t>''''''''''''''''</w:t>
      </w:r>
      <w:r w:rsidRPr="00675DB4">
        <w:t xml:space="preserve"> </w:t>
      </w:r>
      <w:r w:rsidRPr="00BF06FC">
        <w:t>(ITT/HV model); $</w:t>
      </w:r>
      <w:r w:rsidR="002037C2">
        <w:rPr>
          <w:noProof/>
          <w:color w:val="000000"/>
          <w:highlight w:val="black"/>
        </w:rPr>
        <w:t>''''''''''''''''''</w:t>
      </w:r>
      <w:r w:rsidRPr="00BF06FC">
        <w:t xml:space="preserve"> (LV model)</w:t>
      </w:r>
      <w:bookmarkEnd w:id="42"/>
    </w:p>
    <w:p w14:paraId="22488C76" w14:textId="77777777" w:rsidR="007E7F1A" w:rsidRPr="00BF06FC" w:rsidRDefault="00E2330A" w:rsidP="007E7F1A">
      <w:pPr>
        <w:pStyle w:val="TableHeadingRow"/>
        <w:rPr>
          <w:rStyle w:val="CommentReference"/>
          <w:b/>
          <w:bCs/>
        </w:rPr>
      </w:pPr>
      <w:r>
        <w:rPr>
          <w:rStyle w:val="CommentReference"/>
          <w:b/>
          <w:bCs/>
        </w:rPr>
        <w:t>Table 11</w:t>
      </w:r>
      <w:r w:rsidR="007E7F1A" w:rsidRPr="00BF06FC">
        <w:rPr>
          <w:rStyle w:val="CommentReference"/>
          <w:b/>
          <w:bCs/>
        </w:rPr>
        <w:t>: Drug cost per patient for apalutamide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2002"/>
        <w:gridCol w:w="1430"/>
        <w:gridCol w:w="1430"/>
        <w:gridCol w:w="2157"/>
      </w:tblGrid>
      <w:tr w:rsidR="007E7F1A" w:rsidRPr="00BF06FC" w14:paraId="0EF7CF71" w14:textId="77777777" w:rsidTr="00D60C2D">
        <w:trPr>
          <w:cantSplit/>
          <w:tblHeader/>
          <w:jc w:val="center"/>
        </w:trPr>
        <w:tc>
          <w:tcPr>
            <w:tcW w:w="1108" w:type="pct"/>
            <w:shd w:val="clear" w:color="auto" w:fill="auto"/>
            <w:vAlign w:val="center"/>
          </w:tcPr>
          <w:p w14:paraId="54413CC5" w14:textId="77777777" w:rsidR="007E7F1A" w:rsidRPr="00BF06FC" w:rsidRDefault="007E7F1A" w:rsidP="006234C1">
            <w:pPr>
              <w:pStyle w:val="In-tableHeading"/>
              <w:jc w:val="center"/>
              <w:rPr>
                <w:lang w:val="en-AU"/>
              </w:rPr>
            </w:pPr>
          </w:p>
        </w:tc>
        <w:tc>
          <w:tcPr>
            <w:tcW w:w="1110" w:type="pct"/>
            <w:shd w:val="clear" w:color="auto" w:fill="auto"/>
            <w:vAlign w:val="center"/>
          </w:tcPr>
          <w:p w14:paraId="65C52A5B" w14:textId="77777777" w:rsidR="007E7F1A" w:rsidRPr="00BF06FC" w:rsidRDefault="007E7F1A" w:rsidP="006234C1">
            <w:pPr>
              <w:pStyle w:val="In-tableHeading"/>
              <w:jc w:val="center"/>
              <w:rPr>
                <w:lang w:val="en-AU"/>
              </w:rPr>
            </w:pPr>
            <w:r w:rsidRPr="00BF06FC">
              <w:rPr>
                <w:lang w:val="en-AU"/>
              </w:rPr>
              <w:t>Trial dose and duration</w:t>
            </w:r>
          </w:p>
        </w:tc>
        <w:tc>
          <w:tcPr>
            <w:tcW w:w="793" w:type="pct"/>
            <w:shd w:val="clear" w:color="auto" w:fill="auto"/>
            <w:vAlign w:val="center"/>
          </w:tcPr>
          <w:p w14:paraId="57F6C843" w14:textId="77777777" w:rsidR="007E7F1A" w:rsidRPr="00BF06FC" w:rsidRDefault="007E7F1A" w:rsidP="006234C1">
            <w:pPr>
              <w:pStyle w:val="In-tableHeading"/>
              <w:jc w:val="center"/>
              <w:rPr>
                <w:lang w:val="en-AU"/>
              </w:rPr>
            </w:pPr>
            <w:r w:rsidRPr="00BF06FC">
              <w:rPr>
                <w:lang w:val="en-AU"/>
              </w:rPr>
              <w:t>ITT/HV model</w:t>
            </w:r>
          </w:p>
        </w:tc>
        <w:tc>
          <w:tcPr>
            <w:tcW w:w="793" w:type="pct"/>
          </w:tcPr>
          <w:p w14:paraId="316D9F10" w14:textId="77777777" w:rsidR="007E7F1A" w:rsidRPr="00BF06FC" w:rsidRDefault="007E7F1A" w:rsidP="006234C1">
            <w:pPr>
              <w:pStyle w:val="In-tableHeading"/>
              <w:jc w:val="center"/>
              <w:rPr>
                <w:lang w:val="en-AU"/>
              </w:rPr>
            </w:pPr>
            <w:r w:rsidRPr="00BF06FC">
              <w:rPr>
                <w:lang w:val="en-AU"/>
              </w:rPr>
              <w:t>LV model</w:t>
            </w:r>
          </w:p>
        </w:tc>
        <w:tc>
          <w:tcPr>
            <w:tcW w:w="1196" w:type="pct"/>
            <w:shd w:val="clear" w:color="auto" w:fill="auto"/>
            <w:vAlign w:val="center"/>
          </w:tcPr>
          <w:p w14:paraId="557BF1CB" w14:textId="77777777" w:rsidR="007E7F1A" w:rsidRPr="00BF06FC" w:rsidRDefault="007E7F1A" w:rsidP="006234C1">
            <w:pPr>
              <w:pStyle w:val="In-tableHeading"/>
              <w:jc w:val="center"/>
              <w:rPr>
                <w:lang w:val="en-AU"/>
              </w:rPr>
            </w:pPr>
            <w:r w:rsidRPr="00BF06FC">
              <w:rPr>
                <w:lang w:val="en-AU"/>
              </w:rPr>
              <w:t>Financial estimates</w:t>
            </w:r>
          </w:p>
        </w:tc>
      </w:tr>
      <w:tr w:rsidR="007E7F1A" w:rsidRPr="00BF06FC" w14:paraId="3D5EBE9F" w14:textId="77777777" w:rsidTr="00D60C2D">
        <w:trPr>
          <w:cantSplit/>
          <w:jc w:val="center"/>
        </w:trPr>
        <w:tc>
          <w:tcPr>
            <w:tcW w:w="1108" w:type="pct"/>
            <w:shd w:val="clear" w:color="auto" w:fill="auto"/>
            <w:vAlign w:val="center"/>
          </w:tcPr>
          <w:p w14:paraId="53DDDB98" w14:textId="77777777" w:rsidR="007E7F1A" w:rsidRPr="00BF06FC" w:rsidRDefault="007E7F1A" w:rsidP="006234C1">
            <w:pPr>
              <w:pStyle w:val="TableText0"/>
            </w:pPr>
            <w:r w:rsidRPr="00BF06FC">
              <w:t>Mean dose</w:t>
            </w:r>
          </w:p>
        </w:tc>
        <w:tc>
          <w:tcPr>
            <w:tcW w:w="1110" w:type="pct"/>
            <w:shd w:val="clear" w:color="auto" w:fill="auto"/>
            <w:vAlign w:val="center"/>
          </w:tcPr>
          <w:p w14:paraId="013E433E" w14:textId="77777777" w:rsidR="007E7F1A" w:rsidRPr="00BF06FC" w:rsidRDefault="007E7F1A" w:rsidP="006234C1">
            <w:pPr>
              <w:pStyle w:val="TableText0"/>
              <w:jc w:val="center"/>
              <w:rPr>
                <w:vertAlign w:val="superscript"/>
              </w:rPr>
            </w:pPr>
            <w:r w:rsidRPr="00BF06FC">
              <w:t>240 mg/</w:t>
            </w:r>
            <w:proofErr w:type="spellStart"/>
            <w:r w:rsidRPr="00BF06FC">
              <w:t>day</w:t>
            </w:r>
            <w:r w:rsidRPr="00BF06FC">
              <w:rPr>
                <w:vertAlign w:val="superscript"/>
              </w:rPr>
              <w:t>a</w:t>
            </w:r>
            <w:proofErr w:type="spellEnd"/>
          </w:p>
        </w:tc>
        <w:tc>
          <w:tcPr>
            <w:tcW w:w="793" w:type="pct"/>
            <w:shd w:val="clear" w:color="auto" w:fill="auto"/>
            <w:vAlign w:val="center"/>
          </w:tcPr>
          <w:p w14:paraId="4CA66003" w14:textId="77777777" w:rsidR="007E7F1A" w:rsidRPr="00BF06FC" w:rsidRDefault="007E7F1A" w:rsidP="006234C1">
            <w:pPr>
              <w:pStyle w:val="TableText0"/>
              <w:jc w:val="center"/>
              <w:rPr>
                <w:vertAlign w:val="superscript"/>
              </w:rPr>
            </w:pPr>
            <w:r w:rsidRPr="00BF06FC">
              <w:t>240 mg/</w:t>
            </w:r>
            <w:proofErr w:type="spellStart"/>
            <w:r w:rsidRPr="00BF06FC">
              <w:t>day</w:t>
            </w:r>
            <w:r w:rsidRPr="00BF06FC">
              <w:rPr>
                <w:vertAlign w:val="superscript"/>
              </w:rPr>
              <w:t>a</w:t>
            </w:r>
            <w:proofErr w:type="spellEnd"/>
          </w:p>
        </w:tc>
        <w:tc>
          <w:tcPr>
            <w:tcW w:w="793" w:type="pct"/>
          </w:tcPr>
          <w:p w14:paraId="25BE3FAA" w14:textId="77777777" w:rsidR="007E7F1A" w:rsidRPr="00BF06FC" w:rsidRDefault="007E7F1A" w:rsidP="006234C1">
            <w:pPr>
              <w:pStyle w:val="TableText0"/>
              <w:jc w:val="center"/>
            </w:pPr>
            <w:r w:rsidRPr="00BF06FC">
              <w:t>240 mg/</w:t>
            </w:r>
            <w:proofErr w:type="spellStart"/>
            <w:r w:rsidRPr="00BF06FC">
              <w:t>day</w:t>
            </w:r>
            <w:r w:rsidRPr="00BF06FC">
              <w:rPr>
                <w:vertAlign w:val="superscript"/>
              </w:rPr>
              <w:t>a</w:t>
            </w:r>
            <w:proofErr w:type="spellEnd"/>
          </w:p>
        </w:tc>
        <w:tc>
          <w:tcPr>
            <w:tcW w:w="1196" w:type="pct"/>
            <w:shd w:val="clear" w:color="auto" w:fill="auto"/>
            <w:vAlign w:val="center"/>
          </w:tcPr>
          <w:p w14:paraId="0E9D2345" w14:textId="77777777" w:rsidR="007E7F1A" w:rsidRPr="00BF06FC" w:rsidRDefault="007E7F1A" w:rsidP="006234C1">
            <w:pPr>
              <w:pStyle w:val="TableText0"/>
              <w:jc w:val="center"/>
            </w:pPr>
            <w:r w:rsidRPr="00BF06FC">
              <w:t>240 mg/day</w:t>
            </w:r>
          </w:p>
        </w:tc>
      </w:tr>
      <w:tr w:rsidR="007E7F1A" w:rsidRPr="00BF06FC" w14:paraId="3EFB3934" w14:textId="77777777" w:rsidTr="00D60C2D">
        <w:trPr>
          <w:cantSplit/>
          <w:jc w:val="center"/>
        </w:trPr>
        <w:tc>
          <w:tcPr>
            <w:tcW w:w="1108" w:type="pct"/>
            <w:shd w:val="clear" w:color="auto" w:fill="auto"/>
            <w:vAlign w:val="center"/>
          </w:tcPr>
          <w:p w14:paraId="76C3A835" w14:textId="77777777" w:rsidR="007E7F1A" w:rsidRPr="00BF06FC" w:rsidRDefault="007E7F1A" w:rsidP="006234C1">
            <w:pPr>
              <w:pStyle w:val="TableText0"/>
            </w:pPr>
            <w:r w:rsidRPr="00BF06FC">
              <w:t>Mean duration per course</w:t>
            </w:r>
          </w:p>
        </w:tc>
        <w:tc>
          <w:tcPr>
            <w:tcW w:w="1110" w:type="pct"/>
            <w:shd w:val="clear" w:color="auto" w:fill="auto"/>
            <w:vAlign w:val="center"/>
          </w:tcPr>
          <w:p w14:paraId="4B190046" w14:textId="77777777" w:rsidR="007E7F1A" w:rsidRPr="00BF06FC" w:rsidRDefault="007E7F1A" w:rsidP="006234C1">
            <w:pPr>
              <w:pStyle w:val="TableText0"/>
              <w:jc w:val="center"/>
            </w:pPr>
            <w:r w:rsidRPr="00BF06FC">
              <w:t>39.3 months</w:t>
            </w:r>
          </w:p>
        </w:tc>
        <w:tc>
          <w:tcPr>
            <w:tcW w:w="793" w:type="pct"/>
            <w:shd w:val="clear" w:color="auto" w:fill="auto"/>
            <w:vAlign w:val="center"/>
          </w:tcPr>
          <w:p w14:paraId="192C638F" w14:textId="77777777" w:rsidR="007E7F1A" w:rsidRPr="00BF06FC" w:rsidRDefault="007E7F1A" w:rsidP="006234C1">
            <w:pPr>
              <w:pStyle w:val="TableText0"/>
              <w:jc w:val="center"/>
            </w:pPr>
            <w:r w:rsidRPr="00BF06FC">
              <w:t>41.0 months</w:t>
            </w:r>
          </w:p>
        </w:tc>
        <w:tc>
          <w:tcPr>
            <w:tcW w:w="793" w:type="pct"/>
          </w:tcPr>
          <w:p w14:paraId="56F42E87" w14:textId="77777777" w:rsidR="007E7F1A" w:rsidRPr="00BF06FC" w:rsidRDefault="007E7F1A" w:rsidP="006234C1">
            <w:pPr>
              <w:pStyle w:val="TableText0"/>
              <w:jc w:val="center"/>
            </w:pPr>
            <w:r w:rsidRPr="00BF06FC">
              <w:t>55.6 months</w:t>
            </w:r>
          </w:p>
        </w:tc>
        <w:tc>
          <w:tcPr>
            <w:tcW w:w="1196" w:type="pct"/>
            <w:vMerge w:val="restart"/>
            <w:shd w:val="clear" w:color="auto" w:fill="auto"/>
            <w:vAlign w:val="center"/>
          </w:tcPr>
          <w:p w14:paraId="70A9D91E" w14:textId="77777777" w:rsidR="007E7F1A" w:rsidRPr="00BF06FC" w:rsidRDefault="007E7F1A" w:rsidP="006234C1">
            <w:pPr>
              <w:pStyle w:val="TableText0"/>
              <w:jc w:val="center"/>
            </w:pPr>
            <w:r w:rsidRPr="00BF06FC">
              <w:t>Dose, dose intensity, cost per script and duration assumptions consistent with the models for ITT/HV and LV subgroups.</w:t>
            </w:r>
          </w:p>
        </w:tc>
      </w:tr>
      <w:tr w:rsidR="007E7F1A" w:rsidRPr="00BF06FC" w14:paraId="4462513A" w14:textId="77777777" w:rsidTr="00D60C2D">
        <w:trPr>
          <w:cantSplit/>
          <w:jc w:val="center"/>
        </w:trPr>
        <w:tc>
          <w:tcPr>
            <w:tcW w:w="1108" w:type="pct"/>
            <w:shd w:val="clear" w:color="auto" w:fill="auto"/>
            <w:vAlign w:val="center"/>
          </w:tcPr>
          <w:p w14:paraId="46CE498C" w14:textId="77777777" w:rsidR="007E7F1A" w:rsidRPr="00BF06FC" w:rsidRDefault="007E7F1A" w:rsidP="006234C1">
            <w:pPr>
              <w:pStyle w:val="TableText0"/>
            </w:pPr>
            <w:r w:rsidRPr="00BF06FC">
              <w:t>Cost/patient/month</w:t>
            </w:r>
          </w:p>
        </w:tc>
        <w:tc>
          <w:tcPr>
            <w:tcW w:w="1110" w:type="pct"/>
            <w:shd w:val="clear" w:color="auto" w:fill="auto"/>
            <w:vAlign w:val="center"/>
          </w:tcPr>
          <w:p w14:paraId="72E84889" w14:textId="77777777" w:rsidR="007E7F1A" w:rsidRPr="00BF06FC" w:rsidRDefault="007E7F1A" w:rsidP="006234C1">
            <w:pPr>
              <w:pStyle w:val="TableText0"/>
              <w:jc w:val="center"/>
            </w:pPr>
            <w:r w:rsidRPr="00BF06FC">
              <w:t>-</w:t>
            </w:r>
          </w:p>
        </w:tc>
        <w:tc>
          <w:tcPr>
            <w:tcW w:w="793" w:type="pct"/>
            <w:shd w:val="clear" w:color="auto" w:fill="auto"/>
            <w:vAlign w:val="center"/>
          </w:tcPr>
          <w:p w14:paraId="5433B750" w14:textId="292BD560" w:rsidR="007E7F1A" w:rsidRPr="00BF06FC" w:rsidRDefault="007E7F1A" w:rsidP="006234C1">
            <w:pPr>
              <w:pStyle w:val="TableText0"/>
              <w:jc w:val="center"/>
            </w:pPr>
            <w:r w:rsidRPr="00BF06FC">
              <w:t>$</w:t>
            </w:r>
            <w:r w:rsidR="00427FE5" w:rsidRPr="00427FE5">
              <w:rPr>
                <w:spacing w:val="174"/>
                <w:shd w:val="solid" w:color="000000" w:fill="000000"/>
                <w:fitText w:val="260" w:id="-1481387008"/>
                <w14:textFill>
                  <w14:solidFill>
                    <w14:srgbClr w14:val="000000">
                      <w14:alpha w14:val="100000"/>
                    </w14:srgbClr>
                  </w14:solidFill>
                </w14:textFill>
              </w:rPr>
              <w:t>|</w:t>
            </w:r>
            <w:r w:rsidR="00427FE5" w:rsidRPr="00427FE5">
              <w:rPr>
                <w:shd w:val="solid" w:color="000000" w:fill="000000"/>
                <w:fitText w:val="260" w:id="-1481387008"/>
                <w14:textFill>
                  <w14:solidFill>
                    <w14:srgbClr w14:val="000000">
                      <w14:alpha w14:val="100000"/>
                    </w14:srgbClr>
                  </w14:solidFill>
                </w14:textFill>
              </w:rPr>
              <w:t>|</w:t>
            </w:r>
            <w:r w:rsidRPr="00BF06FC">
              <w:rPr>
                <w:vertAlign w:val="superscript"/>
              </w:rPr>
              <w:t>a</w:t>
            </w:r>
          </w:p>
        </w:tc>
        <w:tc>
          <w:tcPr>
            <w:tcW w:w="793" w:type="pct"/>
          </w:tcPr>
          <w:p w14:paraId="5F0C6887" w14:textId="4041D09D" w:rsidR="007E7F1A" w:rsidRPr="00BF06FC" w:rsidRDefault="007E7F1A" w:rsidP="006234C1">
            <w:pPr>
              <w:pStyle w:val="TableText0"/>
              <w:jc w:val="center"/>
            </w:pPr>
            <w:r w:rsidRPr="00BF06FC">
              <w:t>$</w:t>
            </w:r>
            <w:r w:rsidR="00427FE5" w:rsidRPr="00427FE5">
              <w:rPr>
                <w:spacing w:val="174"/>
                <w:shd w:val="solid" w:color="000000" w:fill="000000"/>
                <w:fitText w:val="260" w:id="-1481387007"/>
                <w14:textFill>
                  <w14:solidFill>
                    <w14:srgbClr w14:val="000000">
                      <w14:alpha w14:val="100000"/>
                    </w14:srgbClr>
                  </w14:solidFill>
                </w14:textFill>
              </w:rPr>
              <w:t>|</w:t>
            </w:r>
            <w:r w:rsidR="00427FE5" w:rsidRPr="00427FE5">
              <w:rPr>
                <w:shd w:val="solid" w:color="000000" w:fill="000000"/>
                <w:fitText w:val="260" w:id="-1481387007"/>
                <w14:textFill>
                  <w14:solidFill>
                    <w14:srgbClr w14:val="000000">
                      <w14:alpha w14:val="100000"/>
                    </w14:srgbClr>
                  </w14:solidFill>
                </w14:textFill>
              </w:rPr>
              <w:t>|</w:t>
            </w:r>
            <w:r w:rsidRPr="00BF06FC">
              <w:rPr>
                <w:vertAlign w:val="superscript"/>
              </w:rPr>
              <w:t>a</w:t>
            </w:r>
          </w:p>
        </w:tc>
        <w:tc>
          <w:tcPr>
            <w:tcW w:w="1196" w:type="pct"/>
            <w:vMerge/>
            <w:shd w:val="clear" w:color="auto" w:fill="auto"/>
            <w:vAlign w:val="center"/>
          </w:tcPr>
          <w:p w14:paraId="7A12F588" w14:textId="77777777" w:rsidR="007E7F1A" w:rsidRPr="00BF06FC" w:rsidRDefault="007E7F1A" w:rsidP="006234C1">
            <w:pPr>
              <w:pStyle w:val="TableText0"/>
              <w:jc w:val="center"/>
              <w:rPr>
                <w:i/>
              </w:rPr>
            </w:pPr>
          </w:p>
        </w:tc>
      </w:tr>
      <w:tr w:rsidR="007E7F1A" w:rsidRPr="00BF06FC" w14:paraId="1231888E" w14:textId="77777777" w:rsidTr="00D60C2D">
        <w:trPr>
          <w:cantSplit/>
          <w:jc w:val="center"/>
        </w:trPr>
        <w:tc>
          <w:tcPr>
            <w:tcW w:w="1108" w:type="pct"/>
            <w:shd w:val="clear" w:color="auto" w:fill="auto"/>
            <w:vAlign w:val="center"/>
          </w:tcPr>
          <w:p w14:paraId="0AD2EA6D" w14:textId="77777777" w:rsidR="007E7F1A" w:rsidRPr="00BF06FC" w:rsidRDefault="007E7F1A" w:rsidP="006234C1">
            <w:pPr>
              <w:pStyle w:val="TableText0"/>
            </w:pPr>
            <w:r w:rsidRPr="00BF06FC">
              <w:t>Cost/patient/course</w:t>
            </w:r>
            <w:r w:rsidR="003E364F">
              <w:t xml:space="preserve"> ($)</w:t>
            </w:r>
          </w:p>
        </w:tc>
        <w:tc>
          <w:tcPr>
            <w:tcW w:w="1110" w:type="pct"/>
            <w:shd w:val="clear" w:color="auto" w:fill="auto"/>
            <w:vAlign w:val="center"/>
          </w:tcPr>
          <w:p w14:paraId="58780E98" w14:textId="77777777" w:rsidR="007E7F1A" w:rsidRPr="00BF06FC" w:rsidRDefault="007E7F1A" w:rsidP="006234C1">
            <w:pPr>
              <w:pStyle w:val="TableText0"/>
              <w:jc w:val="center"/>
            </w:pPr>
            <w:r w:rsidRPr="00BF06FC">
              <w:t xml:space="preserve">ITT: </w:t>
            </w:r>
            <w:r w:rsidR="002037C2">
              <w:rPr>
                <w:noProof/>
                <w:color w:val="000000"/>
                <w:highlight w:val="black"/>
              </w:rPr>
              <w:t>''''''''''''''''''''</w:t>
            </w:r>
          </w:p>
        </w:tc>
        <w:tc>
          <w:tcPr>
            <w:tcW w:w="793" w:type="pct"/>
            <w:shd w:val="clear" w:color="auto" w:fill="auto"/>
            <w:vAlign w:val="center"/>
          </w:tcPr>
          <w:p w14:paraId="10D4C380" w14:textId="77777777" w:rsidR="007E7F1A" w:rsidRPr="002037C2" w:rsidRDefault="002037C2" w:rsidP="006234C1">
            <w:pPr>
              <w:pStyle w:val="TableText0"/>
              <w:jc w:val="center"/>
              <w:rPr>
                <w:highlight w:val="black"/>
              </w:rPr>
            </w:pPr>
            <w:r>
              <w:rPr>
                <w:noProof/>
                <w:color w:val="000000"/>
                <w:highlight w:val="black"/>
              </w:rPr>
              <w:t>'''''''''''''''''</w:t>
            </w:r>
          </w:p>
        </w:tc>
        <w:tc>
          <w:tcPr>
            <w:tcW w:w="793" w:type="pct"/>
            <w:vAlign w:val="center"/>
          </w:tcPr>
          <w:p w14:paraId="4D5CB6A7" w14:textId="77777777" w:rsidR="007E7F1A" w:rsidRPr="002037C2" w:rsidRDefault="002037C2" w:rsidP="006234C1">
            <w:pPr>
              <w:pStyle w:val="TableText0"/>
              <w:jc w:val="center"/>
              <w:rPr>
                <w:highlight w:val="black"/>
              </w:rPr>
            </w:pPr>
            <w:r>
              <w:rPr>
                <w:noProof/>
                <w:color w:val="000000"/>
                <w:highlight w:val="black"/>
              </w:rPr>
              <w:t>'''''''''''''''''</w:t>
            </w:r>
          </w:p>
        </w:tc>
        <w:tc>
          <w:tcPr>
            <w:tcW w:w="1196" w:type="pct"/>
            <w:vMerge/>
            <w:shd w:val="clear" w:color="auto" w:fill="auto"/>
            <w:vAlign w:val="center"/>
          </w:tcPr>
          <w:p w14:paraId="78D80480" w14:textId="77777777" w:rsidR="007E7F1A" w:rsidRPr="00BF06FC" w:rsidRDefault="007E7F1A" w:rsidP="006234C1">
            <w:pPr>
              <w:pStyle w:val="TableText0"/>
              <w:jc w:val="center"/>
              <w:rPr>
                <w:i/>
                <w:highlight w:val="yellow"/>
              </w:rPr>
            </w:pPr>
          </w:p>
        </w:tc>
      </w:tr>
    </w:tbl>
    <w:p w14:paraId="1150725A" w14:textId="77777777" w:rsidR="007E7F1A" w:rsidRPr="003F72E0" w:rsidRDefault="007E7F1A" w:rsidP="007E7F1A">
      <w:pPr>
        <w:pStyle w:val="TableFooter"/>
      </w:pPr>
      <w:r w:rsidRPr="003F72E0">
        <w:t xml:space="preserve">Source: Apalutamide </w:t>
      </w:r>
      <w:proofErr w:type="spellStart"/>
      <w:r w:rsidRPr="003F72E0">
        <w:t>mHSPC</w:t>
      </w:r>
      <w:proofErr w:type="spellEnd"/>
      <w:r w:rsidRPr="003F72E0">
        <w:t xml:space="preserve"> ITT Economic model EXCEL file; Apalutamide Low Volume </w:t>
      </w:r>
      <w:proofErr w:type="spellStart"/>
      <w:r w:rsidRPr="003F72E0">
        <w:t>mHSPC</w:t>
      </w:r>
      <w:proofErr w:type="spellEnd"/>
      <w:r w:rsidRPr="003F72E0">
        <w:t xml:space="preserve"> Economic Model.</w:t>
      </w:r>
    </w:p>
    <w:p w14:paraId="563F941A" w14:textId="77777777" w:rsidR="007E7F1A" w:rsidRPr="00BF06FC" w:rsidRDefault="007E7F1A" w:rsidP="007E7F1A">
      <w:pPr>
        <w:pStyle w:val="TableFooter"/>
      </w:pPr>
      <w:proofErr w:type="gramStart"/>
      <w:r w:rsidRPr="00BF06FC">
        <w:rPr>
          <w:vertAlign w:val="superscript"/>
        </w:rPr>
        <w:t>a</w:t>
      </w:r>
      <w:proofErr w:type="gramEnd"/>
      <w:r w:rsidRPr="00BF06FC">
        <w:rPr>
          <w:vertAlign w:val="superscript"/>
        </w:rPr>
        <w:t xml:space="preserve"> </w:t>
      </w:r>
      <w:r w:rsidRPr="00BF06FC">
        <w:t>APA dose intensity of 95.8% in the ITT/HV model; 95.9% in the LV model, based on TITAN IPD.</w:t>
      </w:r>
    </w:p>
    <w:p w14:paraId="60218621" w14:textId="77777777" w:rsidR="007E7F1A" w:rsidRDefault="007E7F1A" w:rsidP="007E7F1A">
      <w:pPr>
        <w:pStyle w:val="3-BodyText"/>
        <w:numPr>
          <w:ilvl w:val="0"/>
          <w:numId w:val="0"/>
        </w:numPr>
      </w:pPr>
    </w:p>
    <w:p w14:paraId="01239448" w14:textId="77777777" w:rsidR="00814F74" w:rsidRPr="00BF06FC" w:rsidRDefault="00814F74" w:rsidP="00814F74">
      <w:pPr>
        <w:pStyle w:val="3-BodyText"/>
      </w:pPr>
      <w:r w:rsidRPr="00BF06FC">
        <w:t>The estimated (undiscounted) average cost per patient per course of apalutamide is approximately $</w:t>
      </w:r>
      <w:r w:rsidR="002037C2">
        <w:rPr>
          <w:noProof/>
          <w:color w:val="000000"/>
          <w:highlight w:val="black"/>
        </w:rPr>
        <w:t>'''''''''''''</w:t>
      </w:r>
      <w:r w:rsidRPr="00BF06FC">
        <w:t xml:space="preserve"> in the ITT/HV model and approximately $</w:t>
      </w:r>
      <w:r w:rsidR="002037C2">
        <w:rPr>
          <w:noProof/>
          <w:color w:val="000000"/>
          <w:highlight w:val="black"/>
        </w:rPr>
        <w:t>''''''''''''</w:t>
      </w:r>
      <w:r w:rsidRPr="00BF06FC">
        <w:t xml:space="preserve"> in the LV model, at the requested effective price (DPMQ of $</w:t>
      </w:r>
      <w:r w:rsidR="002037C2">
        <w:rPr>
          <w:noProof/>
          <w:color w:val="000000"/>
          <w:highlight w:val="black"/>
        </w:rPr>
        <w:t>''''''''''''''''</w:t>
      </w:r>
      <w:r w:rsidRPr="00BF06FC">
        <w:t xml:space="preserve"> per script). The submission assumed patients received 1.01 scripts per month, at a dose intensity of 95.8% (ITT/HV model) or 95.9% (LV model), for an average duration of 41.0 months (ITT/HV model) or 55.6 months (LV model). </w:t>
      </w:r>
      <w:r w:rsidRPr="00BF06FC">
        <w:rPr>
          <w:iCs/>
        </w:rPr>
        <w:t xml:space="preserve">The model assumes the average (undiscounted) cost per patient per course of NHA (enzalutamide and abiraterone) for </w:t>
      </w:r>
      <w:proofErr w:type="spellStart"/>
      <w:r w:rsidRPr="00BF06FC">
        <w:rPr>
          <w:iCs/>
        </w:rPr>
        <w:t>mCRPC</w:t>
      </w:r>
      <w:proofErr w:type="spellEnd"/>
      <w:r w:rsidRPr="00BF06FC">
        <w:rPr>
          <w:iCs/>
        </w:rPr>
        <w:t xml:space="preserve"> avoided due to PBS-listing of apalutamide for </w:t>
      </w:r>
      <w:proofErr w:type="spellStart"/>
      <w:r w:rsidRPr="00BF06FC">
        <w:rPr>
          <w:iCs/>
        </w:rPr>
        <w:t>mHSPC</w:t>
      </w:r>
      <w:proofErr w:type="spellEnd"/>
      <w:r w:rsidRPr="00BF06FC">
        <w:rPr>
          <w:iCs/>
        </w:rPr>
        <w:t xml:space="preserve"> is $</w:t>
      </w:r>
      <w:r w:rsidR="002037C2">
        <w:rPr>
          <w:iCs/>
          <w:noProof/>
          <w:color w:val="000000"/>
          <w:highlight w:val="black"/>
        </w:rPr>
        <w:t>''''''''''''''</w:t>
      </w:r>
      <w:r w:rsidR="00DD7FA2">
        <w:rPr>
          <w:iCs/>
        </w:rPr>
        <w:t xml:space="preserve"> </w:t>
      </w:r>
      <w:r w:rsidR="006234C1">
        <w:rPr>
          <w:iCs/>
        </w:rPr>
        <w:t>in both the ITT/HV and LV models, where patients would have received approximately 15 months of treatment at an average cost per month of $</w:t>
      </w:r>
      <w:r w:rsidR="002037C2">
        <w:rPr>
          <w:iCs/>
          <w:noProof/>
          <w:color w:val="000000"/>
          <w:highlight w:val="black"/>
        </w:rPr>
        <w:t>''''''''''''''''''</w:t>
      </w:r>
      <w:r w:rsidRPr="00BF06FC">
        <w:rPr>
          <w:iCs/>
        </w:rPr>
        <w:t>.</w:t>
      </w:r>
    </w:p>
    <w:p w14:paraId="4CFC3E09" w14:textId="77777777" w:rsidR="00814F74" w:rsidRPr="00BF06FC" w:rsidRDefault="00814F74" w:rsidP="00814F74">
      <w:pPr>
        <w:pStyle w:val="4-SubsectionHeading"/>
      </w:pPr>
      <w:bookmarkStart w:id="43" w:name="_Toc22897647"/>
      <w:bookmarkStart w:id="44" w:name="_Toc22898859"/>
      <w:bookmarkStart w:id="45" w:name="_Toc82609554"/>
      <w:r w:rsidRPr="00BF06FC">
        <w:t>Estimated PBS usage &amp; financial implications</w:t>
      </w:r>
      <w:bookmarkEnd w:id="43"/>
      <w:bookmarkEnd w:id="44"/>
      <w:bookmarkEnd w:id="45"/>
    </w:p>
    <w:p w14:paraId="03E4BBBC" w14:textId="77777777" w:rsidR="00814F74" w:rsidRPr="00BF06FC" w:rsidRDefault="00814F74" w:rsidP="001E6FC6">
      <w:pPr>
        <w:pStyle w:val="3-BodyText"/>
      </w:pPr>
      <w:r w:rsidRPr="00BF06FC">
        <w:t xml:space="preserve">This submission </w:t>
      </w:r>
      <w:r w:rsidR="003F72E0">
        <w:t>was not</w:t>
      </w:r>
      <w:r w:rsidRPr="00BF06FC">
        <w:t xml:space="preserve"> considered by DUSC. The submission estimated the financial implications of the proposed listing using an epidemiological approach, including both incident and prevalent patients. The incident population (</w:t>
      </w:r>
      <w:proofErr w:type="gramStart"/>
      <w:r w:rsidRPr="00BF06FC">
        <w:t>i.e.</w:t>
      </w:r>
      <w:proofErr w:type="gramEnd"/>
      <w:r w:rsidRPr="00BF06FC">
        <w:t xml:space="preserve"> newly diagnosed patients) was estimated using the PBS 10% sample combined with data from the Victorian Prostate Cancer Outcomes Registry. The prevalent population (</w:t>
      </w:r>
      <w:proofErr w:type="gramStart"/>
      <w:r w:rsidRPr="00BF06FC">
        <w:t>i.e.</w:t>
      </w:r>
      <w:proofErr w:type="gramEnd"/>
      <w:r w:rsidRPr="00BF06FC">
        <w:t xml:space="preserve"> incident </w:t>
      </w:r>
      <w:r w:rsidRPr="00BF06FC">
        <w:lastRenderedPageBreak/>
        <w:t>patients in previous years), was then estimated from the incident population using the median time to disease progression reported in the CHAARTED trial.</w:t>
      </w:r>
    </w:p>
    <w:p w14:paraId="7902DFC7" w14:textId="77777777" w:rsidR="00814F74" w:rsidRPr="00BF06FC" w:rsidRDefault="00814F74" w:rsidP="00814F74">
      <w:pPr>
        <w:pStyle w:val="3-BodyText"/>
      </w:pPr>
      <w:r w:rsidRPr="00BF06FC">
        <w:t xml:space="preserve">For treated patients, the model estimated the time on treatment (expressed as patient-years) using TTD data in TITAN. Untreated patients remained eligible for treatment in subsequent years provided the cancer does not progress to </w:t>
      </w:r>
      <w:proofErr w:type="spellStart"/>
      <w:r w:rsidRPr="00BF06FC">
        <w:t>mCRPC</w:t>
      </w:r>
      <w:proofErr w:type="spellEnd"/>
      <w:r w:rsidRPr="00BF06FC">
        <w:t xml:space="preserve">. The model also assumed that patients treated with apalutamide for </w:t>
      </w:r>
      <w:proofErr w:type="spellStart"/>
      <w:r w:rsidRPr="00BF06FC">
        <w:t>mHSPC</w:t>
      </w:r>
      <w:proofErr w:type="spellEnd"/>
      <w:r w:rsidRPr="00BF06FC">
        <w:t xml:space="preserve"> would not be eligible for enzalutamide or abiraterone for </w:t>
      </w:r>
      <w:proofErr w:type="spellStart"/>
      <w:r w:rsidRPr="00BF06FC">
        <w:t>mCRPC</w:t>
      </w:r>
      <w:proofErr w:type="spellEnd"/>
      <w:r w:rsidRPr="00BF06FC">
        <w:t xml:space="preserve">. To capture this impact, the submission estimated the time patients treated with apalutamide would have otherwise spent with </w:t>
      </w:r>
      <w:proofErr w:type="spellStart"/>
      <w:r w:rsidRPr="00BF06FC">
        <w:t>mCRPC</w:t>
      </w:r>
      <w:proofErr w:type="spellEnd"/>
      <w:r w:rsidRPr="00BF06FC">
        <w:t xml:space="preserve"> (assuming no treatment) using data from the placebo arm of TITAN.</w:t>
      </w:r>
    </w:p>
    <w:p w14:paraId="7E4FD63E" w14:textId="77777777" w:rsidR="00814F74" w:rsidRPr="00BF06FC" w:rsidRDefault="00E2330A" w:rsidP="00814F74">
      <w:pPr>
        <w:numPr>
          <w:ilvl w:val="1"/>
          <w:numId w:val="1"/>
        </w:numPr>
        <w:spacing w:after="120"/>
        <w:rPr>
          <w:rFonts w:asciiTheme="minorHAnsi" w:hAnsiTheme="minorHAnsi"/>
          <w:snapToGrid w:val="0"/>
        </w:rPr>
      </w:pPr>
      <w:r>
        <w:rPr>
          <w:rFonts w:asciiTheme="minorHAnsi" w:hAnsiTheme="minorHAnsi"/>
          <w:snapToGrid w:val="0"/>
        </w:rPr>
        <w:t>Table 12</w:t>
      </w:r>
      <w:r w:rsidR="00814F74" w:rsidRPr="00BF06FC">
        <w:rPr>
          <w:rFonts w:asciiTheme="minorHAnsi" w:hAnsiTheme="minorHAnsi"/>
          <w:snapToGrid w:val="0"/>
        </w:rPr>
        <w:t xml:space="preserve"> summarises the key inputs in the financial estimates.</w:t>
      </w:r>
    </w:p>
    <w:p w14:paraId="57DAF997" w14:textId="77777777" w:rsidR="00814F74" w:rsidRPr="00BF06FC" w:rsidRDefault="00E2330A" w:rsidP="00B4477C">
      <w:pPr>
        <w:keepNext/>
        <w:rPr>
          <w:rStyle w:val="CommentReference"/>
        </w:rPr>
      </w:pPr>
      <w:r>
        <w:rPr>
          <w:rStyle w:val="CommentReference"/>
        </w:rPr>
        <w:t>Table 12</w:t>
      </w:r>
      <w:r w:rsidR="00814F74" w:rsidRPr="00BF06FC">
        <w:rPr>
          <w:rStyle w:val="CommentReference"/>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0"/>
        <w:gridCol w:w="1443"/>
        <w:gridCol w:w="2152"/>
        <w:gridCol w:w="3952"/>
      </w:tblGrid>
      <w:tr w:rsidR="00814F74" w:rsidRPr="00BF06FC" w14:paraId="1BE7AD78" w14:textId="77777777" w:rsidTr="00D60C2D">
        <w:trPr>
          <w:tblHeader/>
        </w:trPr>
        <w:tc>
          <w:tcPr>
            <w:tcW w:w="820" w:type="pct"/>
            <w:vAlign w:val="center"/>
          </w:tcPr>
          <w:p w14:paraId="06A5F372" w14:textId="77777777" w:rsidR="00814F74" w:rsidRPr="00FE58E8" w:rsidRDefault="00814F74" w:rsidP="00B4477C">
            <w:pPr>
              <w:pStyle w:val="In-tableHeading"/>
              <w:jc w:val="center"/>
              <w:rPr>
                <w:lang w:val="en-AU"/>
              </w:rPr>
            </w:pPr>
            <w:r w:rsidRPr="00FE58E8">
              <w:rPr>
                <w:lang w:val="en-AU"/>
              </w:rPr>
              <w:t>Data</w:t>
            </w:r>
          </w:p>
        </w:tc>
        <w:tc>
          <w:tcPr>
            <w:tcW w:w="786" w:type="pct"/>
            <w:vAlign w:val="center"/>
          </w:tcPr>
          <w:p w14:paraId="27790ADF" w14:textId="77777777" w:rsidR="00814F74" w:rsidRPr="00FE58E8" w:rsidRDefault="00814F74" w:rsidP="00B4477C">
            <w:pPr>
              <w:pStyle w:val="In-tableHeading"/>
              <w:jc w:val="center"/>
              <w:rPr>
                <w:lang w:val="en-AU"/>
              </w:rPr>
            </w:pPr>
            <w:r w:rsidRPr="00FE58E8">
              <w:rPr>
                <w:lang w:val="en-AU"/>
              </w:rPr>
              <w:t>Value</w:t>
            </w:r>
          </w:p>
        </w:tc>
        <w:tc>
          <w:tcPr>
            <w:tcW w:w="1198" w:type="pct"/>
            <w:vAlign w:val="center"/>
          </w:tcPr>
          <w:p w14:paraId="69A2D82A" w14:textId="77777777" w:rsidR="00814F74" w:rsidRPr="00FE58E8" w:rsidRDefault="00814F74" w:rsidP="00B4477C">
            <w:pPr>
              <w:pStyle w:val="In-tableHeading"/>
              <w:jc w:val="center"/>
              <w:rPr>
                <w:lang w:val="en-AU"/>
              </w:rPr>
            </w:pPr>
            <w:r w:rsidRPr="00FE58E8">
              <w:rPr>
                <w:lang w:val="en-AU"/>
              </w:rPr>
              <w:t>Source</w:t>
            </w:r>
          </w:p>
        </w:tc>
        <w:tc>
          <w:tcPr>
            <w:tcW w:w="2196" w:type="pct"/>
            <w:vAlign w:val="center"/>
          </w:tcPr>
          <w:p w14:paraId="274BA438" w14:textId="77777777" w:rsidR="00814F74" w:rsidRPr="00FE58E8" w:rsidRDefault="00814F74" w:rsidP="00B4477C">
            <w:pPr>
              <w:pStyle w:val="In-tableHeading"/>
              <w:jc w:val="center"/>
              <w:rPr>
                <w:lang w:val="en-AU"/>
              </w:rPr>
            </w:pPr>
            <w:r w:rsidRPr="00FE58E8">
              <w:rPr>
                <w:lang w:val="en-AU"/>
              </w:rPr>
              <w:t>Comment</w:t>
            </w:r>
          </w:p>
        </w:tc>
      </w:tr>
      <w:tr w:rsidR="00814F74" w:rsidRPr="00BF06FC" w14:paraId="0E4F985B" w14:textId="77777777" w:rsidTr="00D60C2D">
        <w:tc>
          <w:tcPr>
            <w:tcW w:w="5000" w:type="pct"/>
            <w:gridSpan w:val="4"/>
            <w:vAlign w:val="center"/>
          </w:tcPr>
          <w:p w14:paraId="21F6A61E" w14:textId="77777777" w:rsidR="00814F74" w:rsidRPr="00FE58E8" w:rsidRDefault="00814F74" w:rsidP="00DF5EF9">
            <w:pPr>
              <w:pStyle w:val="In-tableHeading"/>
              <w:keepNext w:val="0"/>
              <w:rPr>
                <w:lang w:val="en-AU"/>
              </w:rPr>
            </w:pPr>
            <w:r w:rsidRPr="00FE58E8">
              <w:rPr>
                <w:lang w:val="en-AU"/>
              </w:rPr>
              <w:t>Eligible population</w:t>
            </w:r>
          </w:p>
        </w:tc>
      </w:tr>
      <w:tr w:rsidR="00814F74" w:rsidRPr="00BF06FC" w14:paraId="5E089BC1" w14:textId="77777777" w:rsidTr="00D60C2D">
        <w:tc>
          <w:tcPr>
            <w:tcW w:w="820" w:type="pct"/>
            <w:vAlign w:val="center"/>
          </w:tcPr>
          <w:p w14:paraId="1E948B2A" w14:textId="77777777" w:rsidR="00814F74" w:rsidRPr="00FE58E8" w:rsidRDefault="00814F74" w:rsidP="00DF5EF9">
            <w:pPr>
              <w:pStyle w:val="TableText0"/>
              <w:keepNext w:val="0"/>
            </w:pPr>
            <w:r w:rsidRPr="00FE58E8">
              <w:t xml:space="preserve">Incident </w:t>
            </w:r>
            <w:proofErr w:type="spellStart"/>
            <w:r w:rsidRPr="00FE58E8">
              <w:t>mHSPC</w:t>
            </w:r>
            <w:proofErr w:type="spellEnd"/>
            <w:r w:rsidRPr="00FE58E8">
              <w:t xml:space="preserve"> patients treated with docetaxel</w:t>
            </w:r>
          </w:p>
        </w:tc>
        <w:tc>
          <w:tcPr>
            <w:tcW w:w="786" w:type="pct"/>
            <w:vAlign w:val="center"/>
          </w:tcPr>
          <w:p w14:paraId="43AB9543" w14:textId="77777777" w:rsidR="00814F74" w:rsidRPr="00FE58E8" w:rsidRDefault="00814F74" w:rsidP="00DF5EF9">
            <w:pPr>
              <w:pStyle w:val="TableText0"/>
              <w:keepNext w:val="0"/>
            </w:pPr>
            <w:r w:rsidRPr="00FE58E8">
              <w:t>2016: 610</w:t>
            </w:r>
          </w:p>
          <w:p w14:paraId="2889FE5D" w14:textId="77777777" w:rsidR="00814F74" w:rsidRPr="00FE58E8" w:rsidRDefault="00814F74" w:rsidP="00DF5EF9">
            <w:pPr>
              <w:pStyle w:val="TableText0"/>
              <w:keepNext w:val="0"/>
            </w:pPr>
            <w:r w:rsidRPr="00FE58E8">
              <w:t>2017: 770</w:t>
            </w:r>
          </w:p>
          <w:p w14:paraId="50EFF327" w14:textId="77777777" w:rsidR="00814F74" w:rsidRPr="00FE58E8" w:rsidRDefault="00814F74" w:rsidP="00DF5EF9">
            <w:pPr>
              <w:pStyle w:val="TableText0"/>
              <w:keepNext w:val="0"/>
            </w:pPr>
            <w:r w:rsidRPr="00FE58E8">
              <w:t>2018: 890</w:t>
            </w:r>
          </w:p>
          <w:p w14:paraId="204FEFF1" w14:textId="77777777" w:rsidR="00814F74" w:rsidRPr="00FE58E8" w:rsidRDefault="00814F74" w:rsidP="00DF5EF9">
            <w:pPr>
              <w:pStyle w:val="TableText0"/>
              <w:keepNext w:val="0"/>
            </w:pPr>
            <w:r w:rsidRPr="00FE58E8">
              <w:t>2019: 930</w:t>
            </w:r>
          </w:p>
          <w:p w14:paraId="35B4C30C" w14:textId="77777777" w:rsidR="00814F74" w:rsidRPr="00FE58E8" w:rsidRDefault="00814F74" w:rsidP="00DF5EF9">
            <w:pPr>
              <w:pStyle w:val="TableText0"/>
              <w:keepNext w:val="0"/>
            </w:pPr>
            <w:r w:rsidRPr="00FE58E8">
              <w:t>2020: 940</w:t>
            </w:r>
          </w:p>
        </w:tc>
        <w:tc>
          <w:tcPr>
            <w:tcW w:w="1198" w:type="pct"/>
            <w:vAlign w:val="center"/>
          </w:tcPr>
          <w:p w14:paraId="72AB7CAC" w14:textId="77777777" w:rsidR="00814F74" w:rsidRPr="00FE58E8" w:rsidRDefault="00814F74" w:rsidP="00DF5EF9">
            <w:pPr>
              <w:pStyle w:val="TableText0"/>
              <w:keepNext w:val="0"/>
            </w:pPr>
            <w:r w:rsidRPr="00FE58E8">
              <w:t xml:space="preserve">PBS 10% sample (re-scaled). Sample includes patients treated with docetaxel within 12 months of first ADT. Assumes the </w:t>
            </w:r>
            <w:proofErr w:type="gramStart"/>
            <w:r w:rsidRPr="00FE58E8">
              <w:t>12 month</w:t>
            </w:r>
            <w:proofErr w:type="gramEnd"/>
            <w:r w:rsidRPr="00FE58E8">
              <w:t xml:space="preserve"> duration captures patients who would still be hormone sensitive.</w:t>
            </w:r>
          </w:p>
        </w:tc>
        <w:tc>
          <w:tcPr>
            <w:tcW w:w="2196" w:type="pct"/>
            <w:vAlign w:val="center"/>
          </w:tcPr>
          <w:p w14:paraId="37DAC01B" w14:textId="77777777" w:rsidR="00814F74" w:rsidRPr="00FE58E8" w:rsidRDefault="00C86AE7" w:rsidP="00DF5EF9">
            <w:pPr>
              <w:pStyle w:val="TableText0"/>
              <w:keepNext w:val="0"/>
            </w:pPr>
            <w:r w:rsidRPr="00FE58E8">
              <w:t>L</w:t>
            </w:r>
            <w:r w:rsidR="00814F74" w:rsidRPr="00FE58E8">
              <w:t xml:space="preserve">ikely overestimates the incident population. To quantify use of docetaxel for </w:t>
            </w:r>
            <w:proofErr w:type="spellStart"/>
            <w:r w:rsidR="00814F74" w:rsidRPr="00FE58E8">
              <w:t>mHSPC</w:t>
            </w:r>
            <w:proofErr w:type="spellEnd"/>
            <w:r w:rsidR="00814F74" w:rsidRPr="00FE58E8">
              <w:t xml:space="preserve">, Azad et al 2021 assumed that docetaxel started within 6 months of ADT would be for </w:t>
            </w:r>
            <w:proofErr w:type="spellStart"/>
            <w:r w:rsidR="00814F74" w:rsidRPr="00FE58E8">
              <w:t>mHSPC</w:t>
            </w:r>
            <w:proofErr w:type="spellEnd"/>
            <w:r w:rsidR="00814F74" w:rsidRPr="00FE58E8">
              <w:t xml:space="preserve"> as opposed to </w:t>
            </w:r>
            <w:proofErr w:type="spellStart"/>
            <w:r w:rsidR="00814F74" w:rsidRPr="00FE58E8">
              <w:t>mCRPC</w:t>
            </w:r>
            <w:proofErr w:type="spellEnd"/>
            <w:r w:rsidR="00814F74" w:rsidRPr="00FE58E8">
              <w:t>. .</w:t>
            </w:r>
          </w:p>
        </w:tc>
      </w:tr>
      <w:tr w:rsidR="00814F74" w:rsidRPr="00BF06FC" w14:paraId="0DFE580E" w14:textId="77777777" w:rsidTr="00D60C2D">
        <w:tc>
          <w:tcPr>
            <w:tcW w:w="820" w:type="pct"/>
            <w:vAlign w:val="center"/>
          </w:tcPr>
          <w:p w14:paraId="0B4C340D" w14:textId="77777777" w:rsidR="00814F74" w:rsidRPr="00FE58E8" w:rsidRDefault="00814F74" w:rsidP="00DF5EF9">
            <w:pPr>
              <w:pStyle w:val="TableText0"/>
              <w:keepNext w:val="0"/>
            </w:pPr>
            <w:r w:rsidRPr="00FE58E8">
              <w:t xml:space="preserve">Proportion of all incident </w:t>
            </w:r>
            <w:proofErr w:type="spellStart"/>
            <w:r w:rsidRPr="00FE58E8">
              <w:t>mHSPC</w:t>
            </w:r>
            <w:proofErr w:type="spellEnd"/>
            <w:r w:rsidRPr="00FE58E8">
              <w:t xml:space="preserve"> patients treated with docetaxel</w:t>
            </w:r>
          </w:p>
        </w:tc>
        <w:tc>
          <w:tcPr>
            <w:tcW w:w="786" w:type="pct"/>
            <w:vAlign w:val="center"/>
          </w:tcPr>
          <w:p w14:paraId="057590A5" w14:textId="77777777" w:rsidR="00814F74" w:rsidRPr="00FE58E8" w:rsidRDefault="00814F74" w:rsidP="00DF5EF9">
            <w:pPr>
              <w:pStyle w:val="TableText0"/>
              <w:keepNext w:val="0"/>
            </w:pPr>
            <w:r w:rsidRPr="00FE58E8">
              <w:t>2016: 25.2%</w:t>
            </w:r>
          </w:p>
          <w:p w14:paraId="0A3ACD15" w14:textId="77777777" w:rsidR="00814F74" w:rsidRPr="00FE58E8" w:rsidRDefault="00814F74" w:rsidP="00DF5EF9">
            <w:pPr>
              <w:pStyle w:val="TableText0"/>
              <w:keepNext w:val="0"/>
            </w:pPr>
            <w:r w:rsidRPr="00FE58E8">
              <w:t>2017: 24.3%</w:t>
            </w:r>
          </w:p>
          <w:p w14:paraId="0CDA4884" w14:textId="77777777" w:rsidR="00814F74" w:rsidRPr="00FE58E8" w:rsidRDefault="00814F74" w:rsidP="00DF5EF9">
            <w:pPr>
              <w:pStyle w:val="TableText0"/>
              <w:keepNext w:val="0"/>
            </w:pPr>
            <w:r w:rsidRPr="00FE58E8">
              <w:t>2018: 32.7%</w:t>
            </w:r>
          </w:p>
          <w:p w14:paraId="2D1CB809" w14:textId="77777777" w:rsidR="00814F74" w:rsidRPr="00FE58E8" w:rsidRDefault="00814F74" w:rsidP="00DF5EF9">
            <w:pPr>
              <w:pStyle w:val="TableText0"/>
              <w:keepNext w:val="0"/>
            </w:pPr>
            <w:r w:rsidRPr="00FE58E8">
              <w:t>2019: 27.4%</w:t>
            </w:r>
          </w:p>
          <w:p w14:paraId="41CD0112" w14:textId="77777777" w:rsidR="00814F74" w:rsidRPr="00FE58E8" w:rsidRDefault="00814F74" w:rsidP="00DF5EF9">
            <w:pPr>
              <w:pStyle w:val="TableText0"/>
              <w:keepNext w:val="0"/>
            </w:pPr>
            <w:r w:rsidRPr="00FE58E8">
              <w:t>2020: 27.4%</w:t>
            </w:r>
          </w:p>
        </w:tc>
        <w:tc>
          <w:tcPr>
            <w:tcW w:w="1198" w:type="pct"/>
            <w:vAlign w:val="center"/>
          </w:tcPr>
          <w:p w14:paraId="70AED42C" w14:textId="77777777" w:rsidR="00814F74" w:rsidRPr="00FE58E8" w:rsidRDefault="00814F74" w:rsidP="00DF5EF9">
            <w:pPr>
              <w:pStyle w:val="TableText0"/>
              <w:keepNext w:val="0"/>
            </w:pPr>
            <w:r w:rsidRPr="00FE58E8">
              <w:t xml:space="preserve">Azad et al 2021. Proportion of ‘any docetaxel’ within 6 months of diagnosis with </w:t>
            </w:r>
            <w:proofErr w:type="spellStart"/>
            <w:r w:rsidRPr="00FE58E8">
              <w:t>mHSPC</w:t>
            </w:r>
            <w:proofErr w:type="spellEnd"/>
            <w:r w:rsidRPr="00FE58E8">
              <w:t xml:space="preserve"> in the PCOR-Vic registry in 2016, 2017, 2018. Average assumed for 2019 and 2020. Used to estimate total incident population from those treated with docetaxel.</w:t>
            </w:r>
          </w:p>
        </w:tc>
        <w:tc>
          <w:tcPr>
            <w:tcW w:w="2196" w:type="pct"/>
            <w:vAlign w:val="center"/>
          </w:tcPr>
          <w:p w14:paraId="7E0E8482" w14:textId="77777777" w:rsidR="00814F74" w:rsidRPr="00FE58E8" w:rsidRDefault="00814F74" w:rsidP="00DF5EF9">
            <w:pPr>
              <w:pStyle w:val="TableText0"/>
              <w:keepNext w:val="0"/>
            </w:pPr>
            <w:r w:rsidRPr="00FE58E8">
              <w:t xml:space="preserve">Inappropriate and likely overestimates the incident population in latter periods. Azad et al 2021 found the proportional use of docetaxel increased over time independent of patient characteristics, potentially due to prescribers adjusting to changes to updated clinical guidelines / evidence. Given the shift in practice, using the average estimate for 2019 and 2020 </w:t>
            </w:r>
            <w:r w:rsidR="00D134D8" w:rsidRPr="00FE58E8">
              <w:t>wa</w:t>
            </w:r>
            <w:r w:rsidRPr="00FE58E8">
              <w:t>s not appropriate, and may overestimate the total incident population from the proportion treated with docetaxel</w:t>
            </w:r>
            <w:proofErr w:type="gramStart"/>
            <w:r w:rsidRPr="00FE58E8">
              <w:t>. .</w:t>
            </w:r>
            <w:proofErr w:type="gramEnd"/>
            <w:r w:rsidR="00C86AE7" w:rsidRPr="00FE58E8">
              <w:t xml:space="preserve"> The ESC considered that it would have been more appropriate to apply the 2018 rate to 2019 and 2020.</w:t>
            </w:r>
          </w:p>
        </w:tc>
      </w:tr>
      <w:tr w:rsidR="00814F74" w:rsidRPr="00BF06FC" w14:paraId="7D0E062E" w14:textId="77777777" w:rsidTr="00D60C2D">
        <w:tc>
          <w:tcPr>
            <w:tcW w:w="820" w:type="pct"/>
            <w:vAlign w:val="center"/>
          </w:tcPr>
          <w:p w14:paraId="7184C90E" w14:textId="77777777" w:rsidR="00814F74" w:rsidRPr="00FE58E8" w:rsidRDefault="00814F74" w:rsidP="00DF5EF9">
            <w:pPr>
              <w:pStyle w:val="TableText0"/>
              <w:keepNext w:val="0"/>
            </w:pPr>
            <w:r w:rsidRPr="00FE58E8">
              <w:t xml:space="preserve">Growth of total incident </w:t>
            </w:r>
            <w:proofErr w:type="spellStart"/>
            <w:r w:rsidRPr="00FE58E8">
              <w:t>mHSPC</w:t>
            </w:r>
            <w:proofErr w:type="spellEnd"/>
            <w:r w:rsidRPr="00FE58E8">
              <w:t xml:space="preserve"> patients over forecast period</w:t>
            </w:r>
          </w:p>
        </w:tc>
        <w:tc>
          <w:tcPr>
            <w:tcW w:w="786" w:type="pct"/>
            <w:vAlign w:val="center"/>
          </w:tcPr>
          <w:p w14:paraId="0E22123A" w14:textId="77777777" w:rsidR="00814F74" w:rsidRPr="00FE58E8" w:rsidRDefault="00814F74" w:rsidP="00DF5EF9">
            <w:pPr>
              <w:pStyle w:val="TableText0"/>
              <w:keepNext w:val="0"/>
            </w:pPr>
            <w:r w:rsidRPr="00FE58E8">
              <w:t>Patients in Y</w:t>
            </w:r>
            <w:r w:rsidRPr="00FE58E8">
              <w:rPr>
                <w:vertAlign w:val="subscript"/>
              </w:rPr>
              <w:t>i</w:t>
            </w:r>
            <w:r w:rsidRPr="00FE58E8">
              <w:t xml:space="preserve"> = 2482.1*(Y</w:t>
            </w:r>
            <w:r w:rsidRPr="00FE58E8">
              <w:rPr>
                <w:vertAlign w:val="subscript"/>
              </w:rPr>
              <w:t>i</w:t>
            </w:r>
            <w:r w:rsidRPr="00FE58E8">
              <w:t xml:space="preserve">^0.1969) </w:t>
            </w:r>
          </w:p>
        </w:tc>
        <w:tc>
          <w:tcPr>
            <w:tcW w:w="1198" w:type="pct"/>
            <w:vAlign w:val="center"/>
          </w:tcPr>
          <w:p w14:paraId="4C220387" w14:textId="77777777" w:rsidR="00814F74" w:rsidRPr="00FE58E8" w:rsidRDefault="00814F74" w:rsidP="00DF5EF9">
            <w:pPr>
              <w:pStyle w:val="TableText0"/>
              <w:keepNext w:val="0"/>
            </w:pPr>
            <w:r w:rsidRPr="00FE58E8">
              <w:t>Regression model fit to historical estimates.</w:t>
            </w:r>
          </w:p>
        </w:tc>
        <w:tc>
          <w:tcPr>
            <w:tcW w:w="2196" w:type="pct"/>
            <w:vAlign w:val="center"/>
          </w:tcPr>
          <w:p w14:paraId="4FEE1E52" w14:textId="77777777" w:rsidR="00814F74" w:rsidRPr="00FE58E8" w:rsidRDefault="00B91B52" w:rsidP="00DF5EF9">
            <w:pPr>
              <w:pStyle w:val="TableText0"/>
              <w:keepNext w:val="0"/>
            </w:pPr>
            <w:r>
              <w:t>T</w:t>
            </w:r>
            <w:r w:rsidR="00814F74" w:rsidRPr="00FE58E8">
              <w:t>he predictions are likely overestimates because the historical patients are likely overestimates (see above). The model predicts 3,641 in Yr1 (2022) to 4,049 in Yr6 (2027).</w:t>
            </w:r>
          </w:p>
        </w:tc>
      </w:tr>
      <w:tr w:rsidR="00814F74" w:rsidRPr="00BF06FC" w14:paraId="78EF41DC" w14:textId="77777777" w:rsidTr="00D60C2D">
        <w:tc>
          <w:tcPr>
            <w:tcW w:w="820" w:type="pct"/>
            <w:vAlign w:val="center"/>
          </w:tcPr>
          <w:p w14:paraId="1E0FFD1D" w14:textId="77777777" w:rsidR="00814F74" w:rsidRPr="00FE58E8" w:rsidRDefault="00814F74" w:rsidP="00DF5EF9">
            <w:pPr>
              <w:pStyle w:val="TableText0"/>
              <w:keepNext w:val="0"/>
            </w:pPr>
            <w:r w:rsidRPr="00FE58E8">
              <w:t>% incident patients with LV and HV disease</w:t>
            </w:r>
          </w:p>
        </w:tc>
        <w:tc>
          <w:tcPr>
            <w:tcW w:w="786" w:type="pct"/>
            <w:vAlign w:val="center"/>
          </w:tcPr>
          <w:p w14:paraId="666DF250" w14:textId="77777777" w:rsidR="00814F74" w:rsidRPr="00FE58E8" w:rsidRDefault="00814F74" w:rsidP="00DF5EF9">
            <w:pPr>
              <w:pStyle w:val="TableText0"/>
              <w:keepNext w:val="0"/>
            </w:pPr>
            <w:r w:rsidRPr="00FE58E8">
              <w:t>LV: 47.7%</w:t>
            </w:r>
          </w:p>
          <w:p w14:paraId="22F5CA6B" w14:textId="77777777" w:rsidR="00814F74" w:rsidRPr="00FE58E8" w:rsidRDefault="00814F74" w:rsidP="00DF5EF9">
            <w:pPr>
              <w:pStyle w:val="TableText0"/>
              <w:keepNext w:val="0"/>
            </w:pPr>
            <w:r w:rsidRPr="00FE58E8">
              <w:t>HV: 52.3%</w:t>
            </w:r>
          </w:p>
        </w:tc>
        <w:tc>
          <w:tcPr>
            <w:tcW w:w="1198" w:type="pct"/>
            <w:vAlign w:val="center"/>
          </w:tcPr>
          <w:p w14:paraId="4A633F2A" w14:textId="77777777" w:rsidR="00814F74" w:rsidRPr="00FE58E8" w:rsidRDefault="00814F74" w:rsidP="00DF5EF9">
            <w:pPr>
              <w:pStyle w:val="TableText0"/>
              <w:keepNext w:val="0"/>
            </w:pPr>
            <w:r w:rsidRPr="00FE58E8">
              <w:t>ENZAMET trial sample.</w:t>
            </w:r>
          </w:p>
        </w:tc>
        <w:tc>
          <w:tcPr>
            <w:tcW w:w="2196" w:type="pct"/>
            <w:vAlign w:val="center"/>
          </w:tcPr>
          <w:p w14:paraId="5C7B155C" w14:textId="77777777" w:rsidR="00814F74" w:rsidRPr="00FE58E8" w:rsidRDefault="00814F74" w:rsidP="00DF5EF9">
            <w:pPr>
              <w:pStyle w:val="TableText0"/>
              <w:keepNext w:val="0"/>
            </w:pPr>
            <w:r w:rsidRPr="00FE58E8">
              <w:t xml:space="preserve">Uncertain. The proportion with HV disease </w:t>
            </w:r>
            <w:r w:rsidR="00064D91" w:rsidRPr="00FE58E8">
              <w:t xml:space="preserve">is likely to </w:t>
            </w:r>
            <w:r w:rsidRPr="00FE58E8">
              <w:t>be higher</w:t>
            </w:r>
            <w:r w:rsidR="00C86AE7" w:rsidRPr="00FE58E8">
              <w:t xml:space="preserve">. The ESC noted that the </w:t>
            </w:r>
            <w:r w:rsidR="00064D91" w:rsidRPr="00FE58E8">
              <w:t xml:space="preserve">ENZAMET </w:t>
            </w:r>
            <w:r w:rsidR="00C86AE7" w:rsidRPr="00FE58E8">
              <w:t>trial</w:t>
            </w:r>
            <w:r w:rsidR="00064D91" w:rsidRPr="00FE58E8">
              <w:t xml:space="preserve"> did not initially allow</w:t>
            </w:r>
            <w:r w:rsidR="00D134D8" w:rsidRPr="00FE58E8">
              <w:t xml:space="preserve"> prior</w:t>
            </w:r>
            <w:r w:rsidR="00064D91" w:rsidRPr="00FE58E8">
              <w:t xml:space="preserve"> docetaxel treatment, </w:t>
            </w:r>
            <w:r w:rsidR="00C86AE7" w:rsidRPr="00FE58E8">
              <w:t xml:space="preserve">resulting in </w:t>
            </w:r>
            <w:r w:rsidR="00064D91" w:rsidRPr="00FE58E8">
              <w:t xml:space="preserve">less HV patients </w:t>
            </w:r>
            <w:r w:rsidR="00C86AE7" w:rsidRPr="00FE58E8">
              <w:t>e</w:t>
            </w:r>
            <w:r w:rsidR="00064D91" w:rsidRPr="00FE58E8">
              <w:t xml:space="preserve">nrolled in the initial phase of the </w:t>
            </w:r>
            <w:r w:rsidR="00C86AE7" w:rsidRPr="00FE58E8">
              <w:t>trial</w:t>
            </w:r>
            <w:r w:rsidRPr="00FE58E8">
              <w:t xml:space="preserve">. Trials included in a network meta-analysis by </w:t>
            </w:r>
            <w:r w:rsidRPr="00FE58E8">
              <w:lastRenderedPageBreak/>
              <w:t>Wenzel 2021</w:t>
            </w:r>
            <w:r w:rsidRPr="00FE58E8">
              <w:rPr>
                <w:rStyle w:val="FootnoteReference"/>
              </w:rPr>
              <w:footnoteReference w:id="19"/>
            </w:r>
            <w:r w:rsidRPr="00FE58E8">
              <w:t xml:space="preserve"> included approximately 50% to 80% of patients with HV disease.</w:t>
            </w:r>
          </w:p>
        </w:tc>
      </w:tr>
      <w:tr w:rsidR="00814F74" w:rsidRPr="00BF06FC" w14:paraId="26F85C41" w14:textId="77777777" w:rsidTr="00D60C2D">
        <w:tc>
          <w:tcPr>
            <w:tcW w:w="820" w:type="pct"/>
            <w:vAlign w:val="center"/>
          </w:tcPr>
          <w:p w14:paraId="0DBE9427" w14:textId="77777777" w:rsidR="00814F74" w:rsidRPr="00FE58E8" w:rsidRDefault="00814F74" w:rsidP="00DF5EF9">
            <w:pPr>
              <w:pStyle w:val="TableText0"/>
              <w:keepNext w:val="0"/>
            </w:pPr>
            <w:r w:rsidRPr="00FE58E8">
              <w:lastRenderedPageBreak/>
              <w:t>% ineligible for chemotherapy │</w:t>
            </w:r>
            <w:proofErr w:type="spellStart"/>
            <w:r w:rsidRPr="00FE58E8">
              <w:t>mHSPC</w:t>
            </w:r>
            <w:proofErr w:type="spellEnd"/>
          </w:p>
        </w:tc>
        <w:tc>
          <w:tcPr>
            <w:tcW w:w="786" w:type="pct"/>
            <w:vAlign w:val="center"/>
          </w:tcPr>
          <w:p w14:paraId="63466020" w14:textId="77777777" w:rsidR="00814F74" w:rsidRPr="00FE58E8" w:rsidRDefault="00814F74" w:rsidP="00DF5EF9">
            <w:pPr>
              <w:pStyle w:val="TableText0"/>
              <w:keepNext w:val="0"/>
            </w:pPr>
            <w:r w:rsidRPr="00FE58E8">
              <w:t>17.1%</w:t>
            </w:r>
          </w:p>
          <w:p w14:paraId="1DE2A22A" w14:textId="77777777" w:rsidR="00814F74" w:rsidRPr="00FE58E8" w:rsidRDefault="00814F74" w:rsidP="00DF5EF9">
            <w:pPr>
              <w:pStyle w:val="TableText0"/>
              <w:keepNext w:val="0"/>
            </w:pPr>
            <w:r w:rsidRPr="00FE58E8">
              <w:t>(8.5% + 8.6%), where all ineligible patients have HV disease</w:t>
            </w:r>
          </w:p>
        </w:tc>
        <w:tc>
          <w:tcPr>
            <w:tcW w:w="1198" w:type="pct"/>
            <w:vAlign w:val="center"/>
          </w:tcPr>
          <w:p w14:paraId="1A73E660" w14:textId="77777777" w:rsidR="00814F74" w:rsidRPr="00FE58E8" w:rsidRDefault="00814F74" w:rsidP="00DF5EF9">
            <w:pPr>
              <w:pStyle w:val="TableText0"/>
              <w:keepNext w:val="0"/>
            </w:pPr>
            <w:r w:rsidRPr="00FE58E8">
              <w:t xml:space="preserve">Ineligibility due to ECOG ≥2: 8.5%, based on 16.2% of </w:t>
            </w:r>
            <w:proofErr w:type="spellStart"/>
            <w:r w:rsidRPr="00FE58E8">
              <w:t>mHSPC</w:t>
            </w:r>
            <w:proofErr w:type="spellEnd"/>
            <w:r w:rsidRPr="00FE58E8">
              <w:t xml:space="preserve"> with ECOG ≥2 (meta-analysis of 6 trials) and 52.3% with HV disease (see above).</w:t>
            </w:r>
          </w:p>
          <w:p w14:paraId="6B599E6E" w14:textId="77777777" w:rsidR="00814F74" w:rsidRPr="00FE58E8" w:rsidRDefault="00814F74" w:rsidP="00DF5EF9">
            <w:pPr>
              <w:pStyle w:val="TableText0"/>
              <w:keepNext w:val="0"/>
            </w:pPr>
            <w:r w:rsidRPr="00FE58E8">
              <w:t>Other ineligibility due to comorbidities │ ECOG &lt;2: 8.6%, based on 10.3% with HV disease and comorbidities (TITAN) and 83.8% with ECOG &lt;2 (see above).</w:t>
            </w:r>
          </w:p>
        </w:tc>
        <w:tc>
          <w:tcPr>
            <w:tcW w:w="2196" w:type="pct"/>
            <w:vAlign w:val="center"/>
          </w:tcPr>
          <w:p w14:paraId="681FCC95" w14:textId="77777777" w:rsidR="00814F74" w:rsidRPr="00FE58E8" w:rsidRDefault="00814F74" w:rsidP="00E12C85">
            <w:pPr>
              <w:pStyle w:val="TableText0"/>
              <w:keepNext w:val="0"/>
            </w:pPr>
            <w:r w:rsidRPr="00FE58E8">
              <w:t xml:space="preserve">Uncertain. This is generally consistent with the finding in Azad et al 2021 that 67.3% of all </w:t>
            </w:r>
            <w:proofErr w:type="spellStart"/>
            <w:r w:rsidRPr="00FE58E8">
              <w:t>mHSPC</w:t>
            </w:r>
            <w:proofErr w:type="spellEnd"/>
            <w:r w:rsidRPr="00FE58E8">
              <w:t xml:space="preserve"> patients did not get docetaxel in 2018 (</w:t>
            </w:r>
            <w:proofErr w:type="gramStart"/>
            <w:r w:rsidRPr="00FE58E8">
              <w:t>i.e.</w:t>
            </w:r>
            <w:proofErr w:type="gramEnd"/>
            <w:r w:rsidRPr="00FE58E8">
              <w:t xml:space="preserve"> 1-0.327): assuming no use in LV disease (accounting for 47.7% of patients), this implies 19.6% of </w:t>
            </w:r>
            <w:proofErr w:type="spellStart"/>
            <w:r w:rsidRPr="00FE58E8">
              <w:t>mHSPC</w:t>
            </w:r>
            <w:proofErr w:type="spellEnd"/>
            <w:r w:rsidRPr="00FE58E8">
              <w:t xml:space="preserve"> patients did not use chemotherapy for other reasons (presumably ineligibility). However, expressed differently, the submission’s estimate implies approximately 33% of the HV patients would be ineligible for chemotherapy (</w:t>
            </w:r>
            <w:proofErr w:type="gramStart"/>
            <w:r w:rsidRPr="00FE58E8">
              <w:t>i.e.</w:t>
            </w:r>
            <w:proofErr w:type="gramEnd"/>
            <w:r w:rsidRPr="00FE58E8">
              <w:t xml:space="preserve"> 17.1%/52.3%), which </w:t>
            </w:r>
            <w:r w:rsidR="00C86AE7" w:rsidRPr="00FE58E8">
              <w:t xml:space="preserve">the ESC considered to be </w:t>
            </w:r>
            <w:r w:rsidRPr="00FE58E8">
              <w:t>high.</w:t>
            </w:r>
            <w:r w:rsidR="00E12C85">
              <w:t xml:space="preserve">  The PBAC considered </w:t>
            </w:r>
            <w:r w:rsidR="00DD7FA2">
              <w:t xml:space="preserve">a more plausible estimate was </w:t>
            </w:r>
            <w:r w:rsidR="00E12C85">
              <w:t xml:space="preserve">that 25% </w:t>
            </w:r>
            <w:r w:rsidR="00E12C85" w:rsidRPr="00FE58E8">
              <w:t>of the HV patients would be ineligible for chemotherapy (</w:t>
            </w:r>
            <w:proofErr w:type="gramStart"/>
            <w:r w:rsidR="00E12C85" w:rsidRPr="00FE58E8">
              <w:t>i.e.</w:t>
            </w:r>
            <w:proofErr w:type="gramEnd"/>
            <w:r w:rsidR="00E12C85" w:rsidRPr="00FE58E8">
              <w:t xml:space="preserve"> 1</w:t>
            </w:r>
            <w:r w:rsidR="00E12C85">
              <w:t>3</w:t>
            </w:r>
            <w:r w:rsidR="00E12C85" w:rsidRPr="00FE58E8">
              <w:t>%/52.3%)</w:t>
            </w:r>
            <w:r w:rsidR="00DD7FA2">
              <w:t>, according to listed contraindications in the TGA product information for docetaxel</w:t>
            </w:r>
            <w:r w:rsidR="00E12C85">
              <w:t>.</w:t>
            </w:r>
          </w:p>
        </w:tc>
      </w:tr>
      <w:tr w:rsidR="00814F74" w:rsidRPr="00BF06FC" w14:paraId="13CAE728" w14:textId="77777777" w:rsidTr="00D60C2D">
        <w:tc>
          <w:tcPr>
            <w:tcW w:w="820" w:type="pct"/>
            <w:vAlign w:val="center"/>
          </w:tcPr>
          <w:p w14:paraId="20F7E136" w14:textId="77777777" w:rsidR="00814F74" w:rsidRPr="00FE58E8" w:rsidRDefault="00814F74" w:rsidP="00DF5EF9">
            <w:pPr>
              <w:pStyle w:val="TableText0"/>
              <w:keepNext w:val="0"/>
            </w:pPr>
            <w:r w:rsidRPr="00FE58E8">
              <w:t xml:space="preserve">% untreated patients in </w:t>
            </w:r>
            <w:proofErr w:type="spellStart"/>
            <w:r w:rsidRPr="00FE58E8">
              <w:t>Yr</w:t>
            </w:r>
            <w:r w:rsidRPr="00FE58E8">
              <w:rPr>
                <w:vertAlign w:val="subscript"/>
              </w:rPr>
              <w:t>i</w:t>
            </w:r>
            <w:proofErr w:type="spellEnd"/>
            <w:r w:rsidRPr="00FE58E8">
              <w:t xml:space="preserve"> remaining eligible in Yr</w:t>
            </w:r>
            <w:r w:rsidRPr="00FE58E8">
              <w:rPr>
                <w:vertAlign w:val="subscript"/>
              </w:rPr>
              <w:t>i+1</w:t>
            </w:r>
          </w:p>
          <w:p w14:paraId="6087A5EA" w14:textId="77777777" w:rsidR="00814F74" w:rsidRPr="00FE58E8" w:rsidRDefault="00814F74" w:rsidP="00DF5EF9">
            <w:pPr>
              <w:pStyle w:val="TableText0"/>
              <w:keepNext w:val="0"/>
            </w:pPr>
            <w:r w:rsidRPr="00FE58E8">
              <w:t>(used to derive prevalent patients)</w:t>
            </w:r>
          </w:p>
        </w:tc>
        <w:tc>
          <w:tcPr>
            <w:tcW w:w="786" w:type="pct"/>
            <w:vAlign w:val="center"/>
          </w:tcPr>
          <w:p w14:paraId="4EF4DEEB" w14:textId="77777777" w:rsidR="00814F74" w:rsidRPr="00FE58E8" w:rsidRDefault="00814F74" w:rsidP="00DF5EF9">
            <w:pPr>
              <w:pStyle w:val="TableText0"/>
              <w:keepNext w:val="0"/>
            </w:pPr>
            <w:r w:rsidRPr="00FE58E8">
              <w:t>49.12%</w:t>
            </w:r>
          </w:p>
        </w:tc>
        <w:tc>
          <w:tcPr>
            <w:tcW w:w="1198" w:type="pct"/>
            <w:vAlign w:val="center"/>
          </w:tcPr>
          <w:p w14:paraId="2318C034" w14:textId="77777777" w:rsidR="00814F74" w:rsidRPr="00FE58E8" w:rsidRDefault="00814F74" w:rsidP="00DF5EF9">
            <w:pPr>
              <w:pStyle w:val="TableText0"/>
              <w:keepNext w:val="0"/>
            </w:pPr>
            <w:r w:rsidRPr="00FE58E8">
              <w:t>11.7 months median time to progression (</w:t>
            </w:r>
            <w:proofErr w:type="spellStart"/>
            <w:r w:rsidRPr="00FE58E8">
              <w:t>mCRPC</w:t>
            </w:r>
            <w:proofErr w:type="spellEnd"/>
            <w:r w:rsidRPr="00FE58E8">
              <w:t>) in ADT-only arm of the CHAARTED trial. 49.12% = 0.5</w:t>
            </w:r>
            <w:proofErr w:type="gramStart"/>
            <w:r w:rsidRPr="00FE58E8">
              <w:t>^(</w:t>
            </w:r>
            <w:proofErr w:type="gramEnd"/>
            <w:r w:rsidRPr="00FE58E8">
              <w:t>1/(11.7/12)).</w:t>
            </w:r>
          </w:p>
        </w:tc>
        <w:tc>
          <w:tcPr>
            <w:tcW w:w="2196" w:type="pct"/>
            <w:vAlign w:val="center"/>
          </w:tcPr>
          <w:p w14:paraId="079254C6" w14:textId="77777777" w:rsidR="00814F74" w:rsidRPr="00FE58E8" w:rsidRDefault="00814F74" w:rsidP="00DF5EF9">
            <w:pPr>
              <w:pStyle w:val="TableText0"/>
              <w:keepNext w:val="0"/>
            </w:pPr>
            <w:r w:rsidRPr="00FE58E8">
              <w:t>Uncertain. The method assumes an exponential extrapolation of time to progression that is unrelated to patient characteristics such as HV and LV disease. Applied to incident patients to estimate the prevalent population in Yr1 of the model (based on the incident historical patients in prior 5 years) as well as the prevalent population remaining eligible for treatment in Yr2-Yr6 of the model (untreated patients remaining eligible).</w:t>
            </w:r>
          </w:p>
        </w:tc>
      </w:tr>
      <w:tr w:rsidR="00814F74" w:rsidRPr="00BF06FC" w14:paraId="665D9010" w14:textId="77777777" w:rsidTr="00D60C2D">
        <w:tc>
          <w:tcPr>
            <w:tcW w:w="5000" w:type="pct"/>
            <w:gridSpan w:val="4"/>
            <w:vAlign w:val="center"/>
          </w:tcPr>
          <w:p w14:paraId="6A1297FC" w14:textId="77777777" w:rsidR="00814F74" w:rsidRPr="00FE58E8" w:rsidRDefault="00814F74" w:rsidP="00DF5EF9">
            <w:pPr>
              <w:pStyle w:val="TableText0"/>
              <w:keepNext w:val="0"/>
              <w:rPr>
                <w:b/>
              </w:rPr>
            </w:pPr>
            <w:r w:rsidRPr="00FE58E8">
              <w:rPr>
                <w:b/>
              </w:rPr>
              <w:t>Treatment utilisation</w:t>
            </w:r>
          </w:p>
        </w:tc>
      </w:tr>
      <w:tr w:rsidR="00814F74" w:rsidRPr="00BF06FC" w14:paraId="2C82278D" w14:textId="77777777" w:rsidTr="00D60C2D">
        <w:tc>
          <w:tcPr>
            <w:tcW w:w="820" w:type="pct"/>
            <w:vAlign w:val="center"/>
          </w:tcPr>
          <w:p w14:paraId="2E6C96C5" w14:textId="77777777" w:rsidR="00814F74" w:rsidRPr="00FE58E8" w:rsidRDefault="00814F74" w:rsidP="00DF5EF9">
            <w:pPr>
              <w:pStyle w:val="TableText0"/>
              <w:keepNext w:val="0"/>
            </w:pPr>
            <w:r w:rsidRPr="00FE58E8">
              <w:t>Uptake of APA │ LV disease</w:t>
            </w:r>
          </w:p>
        </w:tc>
        <w:tc>
          <w:tcPr>
            <w:tcW w:w="786" w:type="pct"/>
            <w:vAlign w:val="center"/>
          </w:tcPr>
          <w:p w14:paraId="16E0DF0F" w14:textId="77777777" w:rsidR="00814F74" w:rsidRPr="00FE58E8" w:rsidRDefault="00814F74" w:rsidP="00DF5EF9">
            <w:pPr>
              <w:pStyle w:val="TableText0"/>
              <w:keepNext w:val="0"/>
            </w:pPr>
            <w:r w:rsidRPr="00FE58E8">
              <w:t>Yr1:40%</w:t>
            </w:r>
          </w:p>
          <w:p w14:paraId="4BD9ED9C" w14:textId="77777777" w:rsidR="00814F74" w:rsidRPr="00FE58E8" w:rsidRDefault="00814F74" w:rsidP="00DF5EF9">
            <w:pPr>
              <w:pStyle w:val="TableText0"/>
              <w:keepNext w:val="0"/>
            </w:pPr>
            <w:r w:rsidRPr="00FE58E8">
              <w:t>Y2: 45%</w:t>
            </w:r>
          </w:p>
          <w:p w14:paraId="027D4521" w14:textId="77777777" w:rsidR="00814F74" w:rsidRPr="00FE58E8" w:rsidRDefault="00814F74" w:rsidP="00DF5EF9">
            <w:pPr>
              <w:pStyle w:val="TableText0"/>
              <w:keepNext w:val="0"/>
            </w:pPr>
            <w:r w:rsidRPr="00FE58E8">
              <w:t>Y3: 50%</w:t>
            </w:r>
          </w:p>
          <w:p w14:paraId="1AD1B318" w14:textId="77777777" w:rsidR="00814F74" w:rsidRPr="00FE58E8" w:rsidRDefault="00814F74" w:rsidP="00DF5EF9">
            <w:pPr>
              <w:pStyle w:val="TableText0"/>
              <w:keepNext w:val="0"/>
            </w:pPr>
            <w:r w:rsidRPr="00FE58E8">
              <w:t>Y4: 55%</w:t>
            </w:r>
          </w:p>
          <w:p w14:paraId="79D06AB9" w14:textId="77777777" w:rsidR="00814F74" w:rsidRPr="00FE58E8" w:rsidRDefault="00814F74" w:rsidP="00DF5EF9">
            <w:pPr>
              <w:pStyle w:val="TableText0"/>
              <w:keepNext w:val="0"/>
            </w:pPr>
            <w:r w:rsidRPr="00FE58E8">
              <w:t>Y5-6: 60%</w:t>
            </w:r>
          </w:p>
        </w:tc>
        <w:tc>
          <w:tcPr>
            <w:tcW w:w="1198" w:type="pct"/>
            <w:vAlign w:val="center"/>
          </w:tcPr>
          <w:p w14:paraId="4B9B253B" w14:textId="77777777" w:rsidR="00814F74" w:rsidRPr="00FE58E8" w:rsidRDefault="00814F74" w:rsidP="00DF5EF9">
            <w:pPr>
              <w:pStyle w:val="TableText0"/>
              <w:keepNext w:val="0"/>
            </w:pPr>
            <w:r w:rsidRPr="00FE58E8">
              <w:t>Assumption.</w:t>
            </w:r>
          </w:p>
        </w:tc>
        <w:tc>
          <w:tcPr>
            <w:tcW w:w="2196" w:type="pct"/>
            <w:vAlign w:val="center"/>
          </w:tcPr>
          <w:p w14:paraId="19F0232D" w14:textId="77777777" w:rsidR="00814F74" w:rsidRPr="00FE58E8" w:rsidRDefault="00814F74" w:rsidP="00DF5EF9">
            <w:pPr>
              <w:pStyle w:val="TableText0"/>
              <w:keepNext w:val="0"/>
            </w:pPr>
            <w:r w:rsidRPr="00FE58E8">
              <w:t xml:space="preserve">Uncertain. The same uptake rate is applied to incident and prevalent patients, which may not be reasonable as incident patients may be more likely to get treated. Overall, 58.6% of incident LV patients in Yr1 get treated with APA over the first six years of the model (given 49.12% of untreated patients </w:t>
            </w:r>
            <w:proofErr w:type="gramStart"/>
            <w:r w:rsidRPr="00FE58E8">
              <w:t>in a given year</w:t>
            </w:r>
            <w:proofErr w:type="gramEnd"/>
            <w:r w:rsidRPr="00FE58E8">
              <w:t xml:space="preserve"> remain eligible in the subsequent year).</w:t>
            </w:r>
          </w:p>
        </w:tc>
      </w:tr>
      <w:tr w:rsidR="00814F74" w:rsidRPr="00BF06FC" w14:paraId="2AA4D77E" w14:textId="77777777" w:rsidTr="00D60C2D">
        <w:tc>
          <w:tcPr>
            <w:tcW w:w="820" w:type="pct"/>
            <w:vAlign w:val="center"/>
          </w:tcPr>
          <w:p w14:paraId="18341A87" w14:textId="77777777" w:rsidR="00814F74" w:rsidRPr="00FE58E8" w:rsidRDefault="00814F74" w:rsidP="00DF5EF9">
            <w:pPr>
              <w:pStyle w:val="TableText0"/>
              <w:keepNext w:val="0"/>
            </w:pPr>
            <w:r w:rsidRPr="00FE58E8">
              <w:t>Uptake of APA │ HV disease</w:t>
            </w:r>
          </w:p>
        </w:tc>
        <w:tc>
          <w:tcPr>
            <w:tcW w:w="786" w:type="pct"/>
            <w:vAlign w:val="center"/>
          </w:tcPr>
          <w:p w14:paraId="21EA5967" w14:textId="77777777" w:rsidR="00814F74" w:rsidRPr="00FE58E8" w:rsidRDefault="00814F74" w:rsidP="00DF5EF9">
            <w:pPr>
              <w:pStyle w:val="TableText0"/>
              <w:keepNext w:val="0"/>
            </w:pPr>
            <w:r w:rsidRPr="00FE58E8">
              <w:t>Yr1:50%</w:t>
            </w:r>
          </w:p>
          <w:p w14:paraId="36748C46" w14:textId="77777777" w:rsidR="00814F74" w:rsidRPr="00FE58E8" w:rsidRDefault="00814F74" w:rsidP="00DF5EF9">
            <w:pPr>
              <w:pStyle w:val="TableText0"/>
              <w:keepNext w:val="0"/>
            </w:pPr>
            <w:r w:rsidRPr="00FE58E8">
              <w:t>Y2: 70%</w:t>
            </w:r>
          </w:p>
          <w:p w14:paraId="30363AB0" w14:textId="77777777" w:rsidR="00814F74" w:rsidRPr="00FE58E8" w:rsidRDefault="00814F74" w:rsidP="00DF5EF9">
            <w:pPr>
              <w:pStyle w:val="TableText0"/>
              <w:keepNext w:val="0"/>
            </w:pPr>
            <w:r w:rsidRPr="00FE58E8">
              <w:t>Y3: 80%</w:t>
            </w:r>
          </w:p>
          <w:p w14:paraId="2B7642F0" w14:textId="77777777" w:rsidR="00814F74" w:rsidRPr="00FE58E8" w:rsidRDefault="00814F74" w:rsidP="00DF5EF9">
            <w:pPr>
              <w:pStyle w:val="TableText0"/>
              <w:keepNext w:val="0"/>
            </w:pPr>
            <w:r w:rsidRPr="00FE58E8">
              <w:t>Y4: 85%</w:t>
            </w:r>
          </w:p>
          <w:p w14:paraId="72F2B239" w14:textId="77777777" w:rsidR="00814F74" w:rsidRPr="00FE58E8" w:rsidRDefault="00814F74" w:rsidP="00DF5EF9">
            <w:pPr>
              <w:pStyle w:val="TableText0"/>
              <w:keepNext w:val="0"/>
            </w:pPr>
            <w:r w:rsidRPr="00FE58E8">
              <w:t>Y5-6: 90%</w:t>
            </w:r>
          </w:p>
        </w:tc>
        <w:tc>
          <w:tcPr>
            <w:tcW w:w="1198" w:type="pct"/>
            <w:vAlign w:val="center"/>
          </w:tcPr>
          <w:p w14:paraId="63AC2805" w14:textId="77777777" w:rsidR="00814F74" w:rsidRPr="00FE58E8" w:rsidRDefault="00814F74" w:rsidP="00DF5EF9">
            <w:pPr>
              <w:pStyle w:val="TableText0"/>
              <w:keepNext w:val="0"/>
            </w:pPr>
            <w:r w:rsidRPr="00FE58E8">
              <w:t>Assumption.</w:t>
            </w:r>
          </w:p>
        </w:tc>
        <w:tc>
          <w:tcPr>
            <w:tcW w:w="2196" w:type="pct"/>
            <w:vAlign w:val="center"/>
          </w:tcPr>
          <w:p w14:paraId="5E8836A2" w14:textId="77777777" w:rsidR="00814F74" w:rsidRPr="00FE58E8" w:rsidRDefault="00814F74" w:rsidP="00DF5EF9">
            <w:pPr>
              <w:pStyle w:val="TableText0"/>
              <w:keepNext w:val="0"/>
            </w:pPr>
            <w:r w:rsidRPr="00FE58E8">
              <w:t xml:space="preserve">Uncertain. The same uptake rate is applied to incident and prevalent patients, which may not be reasonable as incident patients may be more likely to get treated. Overall, 70.4% of incident HV patients in Yr1 get treated with APA over the first six years of the model (given 49.12% of untreated patients </w:t>
            </w:r>
            <w:proofErr w:type="gramStart"/>
            <w:r w:rsidRPr="00FE58E8">
              <w:t>in a given year</w:t>
            </w:r>
            <w:proofErr w:type="gramEnd"/>
            <w:r w:rsidRPr="00FE58E8">
              <w:t xml:space="preserve"> remain eligible in the subsequent year).</w:t>
            </w:r>
          </w:p>
        </w:tc>
      </w:tr>
      <w:tr w:rsidR="00814F74" w:rsidRPr="00BF06FC" w14:paraId="5D846921" w14:textId="77777777" w:rsidTr="00D60C2D">
        <w:tc>
          <w:tcPr>
            <w:tcW w:w="820" w:type="pct"/>
            <w:vAlign w:val="center"/>
          </w:tcPr>
          <w:p w14:paraId="10EBD32B" w14:textId="77777777" w:rsidR="00814F74" w:rsidRPr="00FE58E8" w:rsidRDefault="00814F74" w:rsidP="00DF5EF9">
            <w:pPr>
              <w:pStyle w:val="TableText0"/>
              <w:keepNext w:val="0"/>
            </w:pPr>
            <w:r w:rsidRPr="00FE58E8">
              <w:t>% initiations remaining on treatment, by volume of disease</w:t>
            </w:r>
          </w:p>
        </w:tc>
        <w:tc>
          <w:tcPr>
            <w:tcW w:w="786" w:type="pct"/>
            <w:vAlign w:val="center"/>
          </w:tcPr>
          <w:tbl>
            <w:tblPr>
              <w:tblStyle w:val="TableGrid"/>
              <w:tblW w:w="0" w:type="auto"/>
              <w:tblCellMar>
                <w:left w:w="28" w:type="dxa"/>
                <w:right w:w="28" w:type="dxa"/>
              </w:tblCellMar>
              <w:tblLook w:val="04A0" w:firstRow="1" w:lastRow="0" w:firstColumn="1" w:lastColumn="0" w:noHBand="0" w:noVBand="1"/>
              <w:tblCaption w:val="% initiations remaining on treatment, by volume of disease"/>
            </w:tblPr>
            <w:tblGrid>
              <w:gridCol w:w="448"/>
              <w:gridCol w:w="475"/>
              <w:gridCol w:w="454"/>
            </w:tblGrid>
            <w:tr w:rsidR="00814F74" w:rsidRPr="00FE58E8" w14:paraId="7D70FCE5" w14:textId="77777777" w:rsidTr="00422AEB">
              <w:trPr>
                <w:tblHeader/>
              </w:trPr>
              <w:tc>
                <w:tcPr>
                  <w:tcW w:w="459" w:type="dxa"/>
                </w:tcPr>
                <w:p w14:paraId="4210DCA8" w14:textId="77777777" w:rsidR="00814F74" w:rsidRPr="00FE58E8" w:rsidRDefault="00814F74" w:rsidP="00DF5EF9">
                  <w:pPr>
                    <w:pStyle w:val="TableText0"/>
                    <w:keepNext w:val="0"/>
                    <w:rPr>
                      <w:b/>
                      <w:bCs w:val="0"/>
                      <w:sz w:val="18"/>
                      <w:szCs w:val="18"/>
                    </w:rPr>
                  </w:pPr>
                  <w:proofErr w:type="spellStart"/>
                  <w:r w:rsidRPr="00FE58E8">
                    <w:rPr>
                      <w:b/>
                      <w:bCs w:val="0"/>
                      <w:sz w:val="18"/>
                      <w:szCs w:val="18"/>
                    </w:rPr>
                    <w:t>Yr</w:t>
                  </w:r>
                  <w:proofErr w:type="spellEnd"/>
                </w:p>
              </w:tc>
              <w:tc>
                <w:tcPr>
                  <w:tcW w:w="459" w:type="dxa"/>
                </w:tcPr>
                <w:p w14:paraId="1BEDF02D" w14:textId="77777777" w:rsidR="00814F74" w:rsidRPr="00FE58E8" w:rsidRDefault="00814F74" w:rsidP="00DF5EF9">
                  <w:pPr>
                    <w:pStyle w:val="TableText0"/>
                    <w:keepNext w:val="0"/>
                    <w:rPr>
                      <w:b/>
                      <w:bCs w:val="0"/>
                      <w:sz w:val="18"/>
                      <w:szCs w:val="18"/>
                    </w:rPr>
                  </w:pPr>
                  <w:r w:rsidRPr="00FE58E8">
                    <w:rPr>
                      <w:b/>
                      <w:bCs w:val="0"/>
                      <w:sz w:val="18"/>
                      <w:szCs w:val="18"/>
                    </w:rPr>
                    <w:t>LV</w:t>
                  </w:r>
                </w:p>
              </w:tc>
              <w:tc>
                <w:tcPr>
                  <w:tcW w:w="459" w:type="dxa"/>
                </w:tcPr>
                <w:p w14:paraId="1223AB58" w14:textId="77777777" w:rsidR="00814F74" w:rsidRPr="00FE58E8" w:rsidRDefault="00814F74" w:rsidP="00DF5EF9">
                  <w:pPr>
                    <w:pStyle w:val="TableText0"/>
                    <w:keepNext w:val="0"/>
                    <w:rPr>
                      <w:b/>
                      <w:bCs w:val="0"/>
                      <w:sz w:val="18"/>
                      <w:szCs w:val="18"/>
                    </w:rPr>
                  </w:pPr>
                  <w:r w:rsidRPr="00FE58E8">
                    <w:rPr>
                      <w:b/>
                      <w:bCs w:val="0"/>
                      <w:sz w:val="18"/>
                      <w:szCs w:val="18"/>
                    </w:rPr>
                    <w:t>HV</w:t>
                  </w:r>
                </w:p>
              </w:tc>
            </w:tr>
            <w:tr w:rsidR="00814F74" w:rsidRPr="00FE58E8" w14:paraId="4E57CA68" w14:textId="77777777" w:rsidTr="00DF5EF9">
              <w:tc>
                <w:tcPr>
                  <w:tcW w:w="459" w:type="dxa"/>
                </w:tcPr>
                <w:p w14:paraId="72A2EAA7" w14:textId="77777777" w:rsidR="00814F74" w:rsidRPr="00FE58E8" w:rsidRDefault="00814F74" w:rsidP="00DF5EF9">
                  <w:pPr>
                    <w:pStyle w:val="TableText0"/>
                    <w:keepNext w:val="0"/>
                    <w:rPr>
                      <w:sz w:val="18"/>
                      <w:szCs w:val="18"/>
                    </w:rPr>
                  </w:pPr>
                  <w:r w:rsidRPr="00FE58E8">
                    <w:rPr>
                      <w:sz w:val="18"/>
                      <w:szCs w:val="18"/>
                    </w:rPr>
                    <w:t>1</w:t>
                  </w:r>
                </w:p>
              </w:tc>
              <w:tc>
                <w:tcPr>
                  <w:tcW w:w="459" w:type="dxa"/>
                </w:tcPr>
                <w:p w14:paraId="6F110678" w14:textId="77777777" w:rsidR="00814F74" w:rsidRPr="00FE58E8" w:rsidRDefault="00814F74" w:rsidP="00DF5EF9">
                  <w:pPr>
                    <w:pStyle w:val="TableText0"/>
                    <w:keepNext w:val="0"/>
                    <w:rPr>
                      <w:sz w:val="18"/>
                      <w:szCs w:val="18"/>
                    </w:rPr>
                  </w:pPr>
                  <w:r w:rsidRPr="00FE58E8">
                    <w:rPr>
                      <w:sz w:val="18"/>
                      <w:szCs w:val="18"/>
                    </w:rPr>
                    <w:t>92.4%</w:t>
                  </w:r>
                </w:p>
              </w:tc>
              <w:tc>
                <w:tcPr>
                  <w:tcW w:w="459" w:type="dxa"/>
                </w:tcPr>
                <w:p w14:paraId="7B3228E5" w14:textId="77777777" w:rsidR="00814F74" w:rsidRPr="00FE58E8" w:rsidRDefault="00814F74" w:rsidP="00DF5EF9">
                  <w:pPr>
                    <w:pStyle w:val="TableText0"/>
                    <w:keepNext w:val="0"/>
                    <w:rPr>
                      <w:sz w:val="18"/>
                      <w:szCs w:val="18"/>
                    </w:rPr>
                  </w:pPr>
                  <w:r w:rsidRPr="00FE58E8">
                    <w:rPr>
                      <w:sz w:val="18"/>
                      <w:szCs w:val="18"/>
                    </w:rPr>
                    <w:t>88.1</w:t>
                  </w:r>
                </w:p>
              </w:tc>
            </w:tr>
            <w:tr w:rsidR="00814F74" w:rsidRPr="00FE58E8" w14:paraId="1B487B90" w14:textId="77777777" w:rsidTr="00DF5EF9">
              <w:tc>
                <w:tcPr>
                  <w:tcW w:w="459" w:type="dxa"/>
                </w:tcPr>
                <w:p w14:paraId="18FCE34E" w14:textId="77777777" w:rsidR="00814F74" w:rsidRPr="00FE58E8" w:rsidRDefault="00814F74" w:rsidP="00DF5EF9">
                  <w:pPr>
                    <w:pStyle w:val="TableText0"/>
                    <w:keepNext w:val="0"/>
                    <w:rPr>
                      <w:sz w:val="18"/>
                      <w:szCs w:val="18"/>
                    </w:rPr>
                  </w:pPr>
                  <w:r w:rsidRPr="00FE58E8">
                    <w:rPr>
                      <w:sz w:val="18"/>
                      <w:szCs w:val="18"/>
                    </w:rPr>
                    <w:t>2</w:t>
                  </w:r>
                </w:p>
              </w:tc>
              <w:tc>
                <w:tcPr>
                  <w:tcW w:w="459" w:type="dxa"/>
                </w:tcPr>
                <w:p w14:paraId="38A8F3EA" w14:textId="77777777" w:rsidR="00814F74" w:rsidRPr="00FE58E8" w:rsidRDefault="00814F74" w:rsidP="00DF5EF9">
                  <w:pPr>
                    <w:pStyle w:val="TableText0"/>
                    <w:keepNext w:val="0"/>
                    <w:rPr>
                      <w:sz w:val="18"/>
                      <w:szCs w:val="18"/>
                    </w:rPr>
                  </w:pPr>
                  <w:r w:rsidRPr="00FE58E8">
                    <w:rPr>
                      <w:sz w:val="18"/>
                      <w:szCs w:val="18"/>
                    </w:rPr>
                    <w:t>82.3</w:t>
                  </w:r>
                </w:p>
              </w:tc>
              <w:tc>
                <w:tcPr>
                  <w:tcW w:w="459" w:type="dxa"/>
                </w:tcPr>
                <w:p w14:paraId="44A223E9" w14:textId="77777777" w:rsidR="00814F74" w:rsidRPr="00FE58E8" w:rsidRDefault="00814F74" w:rsidP="00DF5EF9">
                  <w:pPr>
                    <w:pStyle w:val="TableText0"/>
                    <w:keepNext w:val="0"/>
                    <w:rPr>
                      <w:sz w:val="18"/>
                      <w:szCs w:val="18"/>
                    </w:rPr>
                  </w:pPr>
                  <w:r w:rsidRPr="00FE58E8">
                    <w:rPr>
                      <w:sz w:val="18"/>
                      <w:szCs w:val="18"/>
                    </w:rPr>
                    <w:t>65.4</w:t>
                  </w:r>
                </w:p>
              </w:tc>
            </w:tr>
            <w:tr w:rsidR="00814F74" w:rsidRPr="00FE58E8" w14:paraId="6450DA4D" w14:textId="77777777" w:rsidTr="00DF5EF9">
              <w:tc>
                <w:tcPr>
                  <w:tcW w:w="459" w:type="dxa"/>
                </w:tcPr>
                <w:p w14:paraId="46B8F597" w14:textId="77777777" w:rsidR="00814F74" w:rsidRPr="00FE58E8" w:rsidRDefault="00814F74" w:rsidP="00DF5EF9">
                  <w:pPr>
                    <w:pStyle w:val="TableText0"/>
                    <w:keepNext w:val="0"/>
                    <w:rPr>
                      <w:sz w:val="18"/>
                      <w:szCs w:val="18"/>
                    </w:rPr>
                  </w:pPr>
                  <w:r w:rsidRPr="00FE58E8">
                    <w:rPr>
                      <w:sz w:val="18"/>
                      <w:szCs w:val="18"/>
                    </w:rPr>
                    <w:t>3</w:t>
                  </w:r>
                </w:p>
              </w:tc>
              <w:tc>
                <w:tcPr>
                  <w:tcW w:w="459" w:type="dxa"/>
                </w:tcPr>
                <w:p w14:paraId="40B27720" w14:textId="77777777" w:rsidR="00814F74" w:rsidRPr="00FE58E8" w:rsidRDefault="00814F74" w:rsidP="00DF5EF9">
                  <w:pPr>
                    <w:pStyle w:val="TableText0"/>
                    <w:keepNext w:val="0"/>
                    <w:rPr>
                      <w:sz w:val="18"/>
                      <w:szCs w:val="18"/>
                    </w:rPr>
                  </w:pPr>
                  <w:r w:rsidRPr="00FE58E8">
                    <w:rPr>
                      <w:sz w:val="18"/>
                      <w:szCs w:val="18"/>
                    </w:rPr>
                    <w:t>69.1</w:t>
                  </w:r>
                </w:p>
              </w:tc>
              <w:tc>
                <w:tcPr>
                  <w:tcW w:w="459" w:type="dxa"/>
                </w:tcPr>
                <w:p w14:paraId="1990D53A" w14:textId="77777777" w:rsidR="00814F74" w:rsidRPr="00FE58E8" w:rsidRDefault="00814F74" w:rsidP="00DF5EF9">
                  <w:pPr>
                    <w:pStyle w:val="TableText0"/>
                    <w:keepNext w:val="0"/>
                    <w:rPr>
                      <w:sz w:val="18"/>
                      <w:szCs w:val="18"/>
                    </w:rPr>
                  </w:pPr>
                  <w:r w:rsidRPr="00FE58E8">
                    <w:rPr>
                      <w:sz w:val="18"/>
                      <w:szCs w:val="18"/>
                    </w:rPr>
                    <w:t>44.8</w:t>
                  </w:r>
                </w:p>
              </w:tc>
            </w:tr>
            <w:tr w:rsidR="00814F74" w:rsidRPr="00FE58E8" w14:paraId="4949F335" w14:textId="77777777" w:rsidTr="00DF5EF9">
              <w:tc>
                <w:tcPr>
                  <w:tcW w:w="459" w:type="dxa"/>
                </w:tcPr>
                <w:p w14:paraId="0CD399B6" w14:textId="77777777" w:rsidR="00814F74" w:rsidRPr="00FE58E8" w:rsidRDefault="00814F74" w:rsidP="00DF5EF9">
                  <w:pPr>
                    <w:pStyle w:val="TableText0"/>
                    <w:keepNext w:val="0"/>
                    <w:rPr>
                      <w:sz w:val="18"/>
                      <w:szCs w:val="18"/>
                    </w:rPr>
                  </w:pPr>
                  <w:r w:rsidRPr="00FE58E8">
                    <w:rPr>
                      <w:sz w:val="18"/>
                      <w:szCs w:val="18"/>
                    </w:rPr>
                    <w:lastRenderedPageBreak/>
                    <w:t>4</w:t>
                  </w:r>
                </w:p>
              </w:tc>
              <w:tc>
                <w:tcPr>
                  <w:tcW w:w="459" w:type="dxa"/>
                </w:tcPr>
                <w:p w14:paraId="2CBC9783" w14:textId="77777777" w:rsidR="00814F74" w:rsidRPr="00FE58E8" w:rsidRDefault="00814F74" w:rsidP="00DF5EF9">
                  <w:pPr>
                    <w:pStyle w:val="TableText0"/>
                    <w:keepNext w:val="0"/>
                    <w:rPr>
                      <w:sz w:val="18"/>
                      <w:szCs w:val="18"/>
                    </w:rPr>
                  </w:pPr>
                  <w:r w:rsidRPr="00FE58E8">
                    <w:rPr>
                      <w:sz w:val="18"/>
                      <w:szCs w:val="18"/>
                    </w:rPr>
                    <w:t>56.1</w:t>
                  </w:r>
                </w:p>
              </w:tc>
              <w:tc>
                <w:tcPr>
                  <w:tcW w:w="459" w:type="dxa"/>
                </w:tcPr>
                <w:p w14:paraId="5A0D3F80" w14:textId="77777777" w:rsidR="00814F74" w:rsidRPr="00FE58E8" w:rsidRDefault="00814F74" w:rsidP="00DF5EF9">
                  <w:pPr>
                    <w:pStyle w:val="TableText0"/>
                    <w:keepNext w:val="0"/>
                    <w:rPr>
                      <w:sz w:val="18"/>
                      <w:szCs w:val="18"/>
                    </w:rPr>
                  </w:pPr>
                  <w:r w:rsidRPr="00FE58E8">
                    <w:rPr>
                      <w:sz w:val="18"/>
                      <w:szCs w:val="18"/>
                    </w:rPr>
                    <w:t>27.8</w:t>
                  </w:r>
                </w:p>
              </w:tc>
            </w:tr>
            <w:tr w:rsidR="00814F74" w:rsidRPr="00FE58E8" w14:paraId="29B5C78C" w14:textId="77777777" w:rsidTr="00DF5EF9">
              <w:tc>
                <w:tcPr>
                  <w:tcW w:w="459" w:type="dxa"/>
                </w:tcPr>
                <w:p w14:paraId="35040CB3" w14:textId="77777777" w:rsidR="00814F74" w:rsidRPr="00FE58E8" w:rsidRDefault="00814F74" w:rsidP="00DF5EF9">
                  <w:pPr>
                    <w:pStyle w:val="TableText0"/>
                    <w:keepNext w:val="0"/>
                    <w:rPr>
                      <w:sz w:val="18"/>
                      <w:szCs w:val="18"/>
                    </w:rPr>
                  </w:pPr>
                  <w:r w:rsidRPr="00FE58E8">
                    <w:rPr>
                      <w:sz w:val="18"/>
                      <w:szCs w:val="18"/>
                    </w:rPr>
                    <w:t>5</w:t>
                  </w:r>
                </w:p>
              </w:tc>
              <w:tc>
                <w:tcPr>
                  <w:tcW w:w="459" w:type="dxa"/>
                </w:tcPr>
                <w:p w14:paraId="7767FDB3" w14:textId="77777777" w:rsidR="00814F74" w:rsidRPr="00FE58E8" w:rsidRDefault="00814F74" w:rsidP="00DF5EF9">
                  <w:pPr>
                    <w:pStyle w:val="TableText0"/>
                    <w:keepNext w:val="0"/>
                    <w:rPr>
                      <w:sz w:val="18"/>
                      <w:szCs w:val="18"/>
                    </w:rPr>
                  </w:pPr>
                  <w:r w:rsidRPr="00FE58E8">
                    <w:rPr>
                      <w:sz w:val="18"/>
                      <w:szCs w:val="18"/>
                    </w:rPr>
                    <w:t>45.4</w:t>
                  </w:r>
                </w:p>
              </w:tc>
              <w:tc>
                <w:tcPr>
                  <w:tcW w:w="459" w:type="dxa"/>
                </w:tcPr>
                <w:p w14:paraId="6B7CB196" w14:textId="77777777" w:rsidR="00814F74" w:rsidRPr="00FE58E8" w:rsidRDefault="00814F74" w:rsidP="00DF5EF9">
                  <w:pPr>
                    <w:pStyle w:val="TableText0"/>
                    <w:keepNext w:val="0"/>
                    <w:rPr>
                      <w:sz w:val="18"/>
                      <w:szCs w:val="18"/>
                    </w:rPr>
                  </w:pPr>
                  <w:r w:rsidRPr="00FE58E8">
                    <w:rPr>
                      <w:sz w:val="18"/>
                      <w:szCs w:val="18"/>
                    </w:rPr>
                    <w:t>16.6</w:t>
                  </w:r>
                </w:p>
              </w:tc>
            </w:tr>
            <w:tr w:rsidR="00814F74" w:rsidRPr="00FE58E8" w14:paraId="465F967C" w14:textId="77777777" w:rsidTr="00DF5EF9">
              <w:tc>
                <w:tcPr>
                  <w:tcW w:w="459" w:type="dxa"/>
                </w:tcPr>
                <w:p w14:paraId="3DB509AC" w14:textId="77777777" w:rsidR="00814F74" w:rsidRPr="00FE58E8" w:rsidRDefault="00814F74" w:rsidP="00DF5EF9">
                  <w:pPr>
                    <w:pStyle w:val="TableText0"/>
                    <w:keepNext w:val="0"/>
                    <w:rPr>
                      <w:sz w:val="18"/>
                      <w:szCs w:val="18"/>
                    </w:rPr>
                  </w:pPr>
                  <w:r w:rsidRPr="00FE58E8">
                    <w:rPr>
                      <w:sz w:val="18"/>
                      <w:szCs w:val="18"/>
                    </w:rPr>
                    <w:t>6</w:t>
                  </w:r>
                </w:p>
              </w:tc>
              <w:tc>
                <w:tcPr>
                  <w:tcW w:w="459" w:type="dxa"/>
                </w:tcPr>
                <w:p w14:paraId="6540CDB8" w14:textId="77777777" w:rsidR="00814F74" w:rsidRPr="00FE58E8" w:rsidRDefault="00814F74" w:rsidP="00DF5EF9">
                  <w:pPr>
                    <w:pStyle w:val="TableText0"/>
                    <w:keepNext w:val="0"/>
                    <w:rPr>
                      <w:sz w:val="18"/>
                      <w:szCs w:val="18"/>
                    </w:rPr>
                  </w:pPr>
                  <w:r w:rsidRPr="00FE58E8">
                    <w:rPr>
                      <w:sz w:val="18"/>
                      <w:szCs w:val="18"/>
                    </w:rPr>
                    <w:t>35.7</w:t>
                  </w:r>
                </w:p>
              </w:tc>
              <w:tc>
                <w:tcPr>
                  <w:tcW w:w="459" w:type="dxa"/>
                </w:tcPr>
                <w:p w14:paraId="0220FB91" w14:textId="77777777" w:rsidR="00814F74" w:rsidRPr="00FE58E8" w:rsidRDefault="00814F74" w:rsidP="00DF5EF9">
                  <w:pPr>
                    <w:pStyle w:val="TableText0"/>
                    <w:keepNext w:val="0"/>
                    <w:rPr>
                      <w:sz w:val="18"/>
                      <w:szCs w:val="18"/>
                    </w:rPr>
                  </w:pPr>
                  <w:r w:rsidRPr="00FE58E8">
                    <w:rPr>
                      <w:sz w:val="18"/>
                      <w:szCs w:val="18"/>
                    </w:rPr>
                    <w:t>9.6</w:t>
                  </w:r>
                </w:p>
              </w:tc>
            </w:tr>
          </w:tbl>
          <w:p w14:paraId="5C1CDE5A" w14:textId="77777777" w:rsidR="00814F74" w:rsidRPr="00FE58E8" w:rsidRDefault="00814F74" w:rsidP="00DF5EF9">
            <w:pPr>
              <w:pStyle w:val="TableText0"/>
              <w:keepNext w:val="0"/>
            </w:pPr>
          </w:p>
        </w:tc>
        <w:tc>
          <w:tcPr>
            <w:tcW w:w="1198" w:type="pct"/>
            <w:vAlign w:val="center"/>
          </w:tcPr>
          <w:p w14:paraId="5A8B023A" w14:textId="77777777" w:rsidR="00814F74" w:rsidRPr="00FE58E8" w:rsidRDefault="00814F74" w:rsidP="00DF5EF9">
            <w:pPr>
              <w:pStyle w:val="TableText0"/>
              <w:keepNext w:val="0"/>
            </w:pPr>
            <w:r w:rsidRPr="00FE58E8">
              <w:lastRenderedPageBreak/>
              <w:t xml:space="preserve">TITAN trial. Weibull extrapolation of time-to-discontinuation data. The estimates reflect the </w:t>
            </w:r>
            <w:r w:rsidRPr="00FE58E8">
              <w:lastRenderedPageBreak/>
              <w:t>average annual half-cycle corrected proportions remaining on treatment.</w:t>
            </w:r>
          </w:p>
        </w:tc>
        <w:tc>
          <w:tcPr>
            <w:tcW w:w="2196" w:type="pct"/>
            <w:vAlign w:val="center"/>
          </w:tcPr>
          <w:p w14:paraId="21E15B9D" w14:textId="77777777" w:rsidR="00814F74" w:rsidRPr="00FE58E8" w:rsidRDefault="00814F74" w:rsidP="00DF5EF9">
            <w:pPr>
              <w:pStyle w:val="TableText0"/>
              <w:keepNext w:val="0"/>
            </w:pPr>
            <w:r w:rsidRPr="00FE58E8">
              <w:lastRenderedPageBreak/>
              <w:t>Consistent with the modelled economic evaluation.</w:t>
            </w:r>
          </w:p>
        </w:tc>
      </w:tr>
      <w:tr w:rsidR="00814F74" w:rsidRPr="00BF06FC" w14:paraId="296C81CD" w14:textId="77777777" w:rsidTr="00D60C2D">
        <w:tc>
          <w:tcPr>
            <w:tcW w:w="820" w:type="pct"/>
            <w:vAlign w:val="center"/>
          </w:tcPr>
          <w:p w14:paraId="3BC201B0" w14:textId="77777777" w:rsidR="00814F74" w:rsidRPr="00FE58E8" w:rsidRDefault="00814F74" w:rsidP="00DF5EF9">
            <w:pPr>
              <w:pStyle w:val="TableText0"/>
              <w:keepNext w:val="0"/>
            </w:pPr>
            <w:r w:rsidRPr="00FE58E8">
              <w:t xml:space="preserve">APA scripts per year │ full compliance </w:t>
            </w:r>
          </w:p>
        </w:tc>
        <w:tc>
          <w:tcPr>
            <w:tcW w:w="786" w:type="pct"/>
            <w:vAlign w:val="center"/>
          </w:tcPr>
          <w:p w14:paraId="1CC78997" w14:textId="77777777" w:rsidR="00814F74" w:rsidRPr="00FE58E8" w:rsidRDefault="00814F74" w:rsidP="00DF5EF9">
            <w:pPr>
              <w:pStyle w:val="TableText0"/>
              <w:keepNext w:val="0"/>
            </w:pPr>
            <w:r w:rsidRPr="00FE58E8">
              <w:t>12.18</w:t>
            </w:r>
          </w:p>
        </w:tc>
        <w:tc>
          <w:tcPr>
            <w:tcW w:w="1198" w:type="pct"/>
            <w:vAlign w:val="center"/>
          </w:tcPr>
          <w:p w14:paraId="2DF638BA" w14:textId="77777777" w:rsidR="00814F74" w:rsidRPr="00FE58E8" w:rsidRDefault="00814F74" w:rsidP="00DF5EF9">
            <w:pPr>
              <w:pStyle w:val="TableText0"/>
              <w:keepNext w:val="0"/>
            </w:pPr>
            <w:r w:rsidRPr="00FE58E8">
              <w:t>Based on recommended dose, tablets/script, 365.25 days/year.</w:t>
            </w:r>
          </w:p>
        </w:tc>
        <w:tc>
          <w:tcPr>
            <w:tcW w:w="2196" w:type="pct"/>
            <w:vAlign w:val="center"/>
          </w:tcPr>
          <w:p w14:paraId="59EB0D5D" w14:textId="77777777" w:rsidR="00814F74" w:rsidRPr="00FE58E8" w:rsidRDefault="00B91B52" w:rsidP="00DF5EF9">
            <w:pPr>
              <w:pStyle w:val="TableText0"/>
              <w:keepNext w:val="0"/>
            </w:pPr>
            <w:r>
              <w:t>-</w:t>
            </w:r>
          </w:p>
        </w:tc>
      </w:tr>
      <w:tr w:rsidR="00814F74" w:rsidRPr="00BF06FC" w14:paraId="33198329" w14:textId="77777777" w:rsidTr="00D60C2D">
        <w:tc>
          <w:tcPr>
            <w:tcW w:w="820" w:type="pct"/>
            <w:vAlign w:val="center"/>
          </w:tcPr>
          <w:p w14:paraId="42BC6738" w14:textId="77777777" w:rsidR="00814F74" w:rsidRPr="00FE58E8" w:rsidRDefault="00814F74" w:rsidP="00DF5EF9">
            <w:pPr>
              <w:pStyle w:val="TableText0"/>
              <w:keepNext w:val="0"/>
            </w:pPr>
            <w:r w:rsidRPr="00FE58E8">
              <w:t>Compliance to APA</w:t>
            </w:r>
          </w:p>
        </w:tc>
        <w:tc>
          <w:tcPr>
            <w:tcW w:w="786" w:type="pct"/>
            <w:vAlign w:val="center"/>
          </w:tcPr>
          <w:p w14:paraId="50D0AFB3" w14:textId="77777777" w:rsidR="00814F74" w:rsidRPr="00FE58E8" w:rsidRDefault="00814F74" w:rsidP="00DF5EF9">
            <w:pPr>
              <w:pStyle w:val="TableText0"/>
              <w:keepNext w:val="0"/>
            </w:pPr>
            <w:r w:rsidRPr="00FE58E8">
              <w:t>95.88%</w:t>
            </w:r>
          </w:p>
        </w:tc>
        <w:tc>
          <w:tcPr>
            <w:tcW w:w="1198" w:type="pct"/>
            <w:vAlign w:val="center"/>
          </w:tcPr>
          <w:p w14:paraId="70F1567E" w14:textId="77777777" w:rsidR="00814F74" w:rsidRPr="00FE58E8" w:rsidRDefault="00814F74" w:rsidP="00DF5EF9">
            <w:pPr>
              <w:pStyle w:val="TableText0"/>
              <w:keepNext w:val="0"/>
            </w:pPr>
            <w:r w:rsidRPr="00FE58E8">
              <w:t>TITAN, dose intensity.</w:t>
            </w:r>
          </w:p>
        </w:tc>
        <w:tc>
          <w:tcPr>
            <w:tcW w:w="2196" w:type="pct"/>
            <w:vAlign w:val="center"/>
          </w:tcPr>
          <w:p w14:paraId="75901243" w14:textId="77777777" w:rsidR="00814F74" w:rsidRPr="00FE58E8" w:rsidRDefault="00B91B52" w:rsidP="00DF5EF9">
            <w:pPr>
              <w:pStyle w:val="TableText0"/>
              <w:keepNext w:val="0"/>
            </w:pPr>
            <w:r>
              <w:t>C</w:t>
            </w:r>
            <w:r w:rsidR="00814F74" w:rsidRPr="00FE58E8">
              <w:t>onsistent with the modelled economic evaluation. Assumes patient compliance is constant throughout the duration of treatment.</w:t>
            </w:r>
          </w:p>
        </w:tc>
      </w:tr>
      <w:tr w:rsidR="00814F74" w:rsidRPr="00BF06FC" w14:paraId="5B7CB62D" w14:textId="77777777" w:rsidTr="00D60C2D">
        <w:tc>
          <w:tcPr>
            <w:tcW w:w="820" w:type="pct"/>
            <w:vAlign w:val="center"/>
          </w:tcPr>
          <w:p w14:paraId="74C9883E" w14:textId="77777777" w:rsidR="00814F74" w:rsidRPr="00FE58E8" w:rsidRDefault="00814F74" w:rsidP="00DF5EF9">
            <w:pPr>
              <w:pStyle w:val="TableText0"/>
              <w:keepNext w:val="0"/>
            </w:pPr>
            <w:r w:rsidRPr="00FE58E8">
              <w:t xml:space="preserve">Average proportion of APA treated patients in </w:t>
            </w:r>
            <w:proofErr w:type="spellStart"/>
            <w:r w:rsidRPr="00FE58E8">
              <w:t>mCRPC</w:t>
            </w:r>
            <w:proofErr w:type="spellEnd"/>
            <w:r w:rsidRPr="00FE58E8">
              <w:t xml:space="preserve"> health state over time, assuming treatment with ADT-only for </w:t>
            </w:r>
            <w:proofErr w:type="spellStart"/>
            <w:r w:rsidRPr="00FE58E8">
              <w:t>mHSPC</w:t>
            </w:r>
            <w:proofErr w:type="spellEnd"/>
          </w:p>
        </w:tc>
        <w:tc>
          <w:tcPr>
            <w:tcW w:w="786" w:type="pct"/>
            <w:vAlign w:val="center"/>
          </w:tcPr>
          <w:p w14:paraId="727CB63F" w14:textId="77777777" w:rsidR="00814F74" w:rsidRPr="00FE58E8" w:rsidRDefault="00814F74" w:rsidP="00DF5EF9">
            <w:pPr>
              <w:pStyle w:val="TableText0"/>
              <w:keepNext w:val="0"/>
            </w:pPr>
            <w:r w:rsidRPr="00FE58E8">
              <w:t>Yr1: 11.1%</w:t>
            </w:r>
          </w:p>
          <w:p w14:paraId="35687551" w14:textId="77777777" w:rsidR="00814F74" w:rsidRPr="00FE58E8" w:rsidRDefault="00814F74" w:rsidP="00DF5EF9">
            <w:pPr>
              <w:pStyle w:val="TableText0"/>
              <w:keepNext w:val="0"/>
            </w:pPr>
            <w:r w:rsidRPr="00FE58E8">
              <w:t>Yr2: 25.6%</w:t>
            </w:r>
          </w:p>
          <w:p w14:paraId="03696398" w14:textId="77777777" w:rsidR="00814F74" w:rsidRPr="00FE58E8" w:rsidRDefault="00814F74" w:rsidP="00DF5EF9">
            <w:pPr>
              <w:pStyle w:val="TableText0"/>
              <w:keepNext w:val="0"/>
            </w:pPr>
            <w:r w:rsidRPr="00FE58E8">
              <w:t>Yr3: 30.7%</w:t>
            </w:r>
          </w:p>
          <w:p w14:paraId="7D1E7669" w14:textId="77777777" w:rsidR="00814F74" w:rsidRPr="00FE58E8" w:rsidRDefault="00814F74" w:rsidP="00DF5EF9">
            <w:pPr>
              <w:pStyle w:val="TableText0"/>
              <w:keepNext w:val="0"/>
            </w:pPr>
            <w:r w:rsidRPr="00FE58E8">
              <w:t>Yr4: 34.2%</w:t>
            </w:r>
          </w:p>
          <w:p w14:paraId="14B1A331" w14:textId="77777777" w:rsidR="00814F74" w:rsidRPr="00FE58E8" w:rsidRDefault="00814F74" w:rsidP="00DF5EF9">
            <w:pPr>
              <w:pStyle w:val="TableText0"/>
              <w:keepNext w:val="0"/>
            </w:pPr>
            <w:r w:rsidRPr="00FE58E8">
              <w:t>Yr5: 31.5%</w:t>
            </w:r>
          </w:p>
          <w:p w14:paraId="7DCE4AD1" w14:textId="77777777" w:rsidR="00814F74" w:rsidRPr="00FE58E8" w:rsidRDefault="00814F74" w:rsidP="00DF5EF9">
            <w:pPr>
              <w:pStyle w:val="TableText0"/>
              <w:keepNext w:val="0"/>
            </w:pPr>
            <w:r w:rsidRPr="00FE58E8">
              <w:t>Yr6: 26.1%</w:t>
            </w:r>
          </w:p>
        </w:tc>
        <w:tc>
          <w:tcPr>
            <w:tcW w:w="1198" w:type="pct"/>
            <w:vAlign w:val="center"/>
          </w:tcPr>
          <w:p w14:paraId="6E1920B8" w14:textId="77777777" w:rsidR="00814F74" w:rsidRPr="00FE58E8" w:rsidRDefault="00814F74" w:rsidP="00DF5EF9">
            <w:pPr>
              <w:pStyle w:val="TableText0"/>
              <w:keepNext w:val="0"/>
            </w:pPr>
            <w:r w:rsidRPr="00FE58E8">
              <w:t xml:space="preserve">Area under the curve for the probability of being in the </w:t>
            </w:r>
            <w:proofErr w:type="spellStart"/>
            <w:r w:rsidRPr="00FE58E8">
              <w:t>mCRPC</w:t>
            </w:r>
            <w:proofErr w:type="spellEnd"/>
            <w:r w:rsidRPr="00FE58E8">
              <w:t xml:space="preserve"> health state, based on the placebo arm in TITAN (ITT).</w:t>
            </w:r>
          </w:p>
        </w:tc>
        <w:tc>
          <w:tcPr>
            <w:tcW w:w="2196" w:type="pct"/>
            <w:vAlign w:val="center"/>
          </w:tcPr>
          <w:p w14:paraId="55092928" w14:textId="77777777" w:rsidR="00814F74" w:rsidRPr="00FE58E8" w:rsidRDefault="00B91B52" w:rsidP="00DF5EF9">
            <w:pPr>
              <w:pStyle w:val="TableText0"/>
              <w:keepNext w:val="0"/>
            </w:pPr>
            <w:r>
              <w:t>C</w:t>
            </w:r>
            <w:r w:rsidR="00814F74" w:rsidRPr="00FE58E8">
              <w:t xml:space="preserve">onsistent with the modelled economic evaluation. The submission applies the estimates to the number of patients who initiate APR each year in the financial estimates model, to calculate the patient-years spent with </w:t>
            </w:r>
            <w:proofErr w:type="spellStart"/>
            <w:r w:rsidR="00814F74" w:rsidRPr="00FE58E8">
              <w:t>mCRPC</w:t>
            </w:r>
            <w:proofErr w:type="spellEnd"/>
            <w:r w:rsidR="00814F74" w:rsidRPr="00FE58E8">
              <w:t xml:space="preserve"> assuming patients had received ADT-only treatment for </w:t>
            </w:r>
            <w:proofErr w:type="spellStart"/>
            <w:r w:rsidR="00814F74" w:rsidRPr="00FE58E8">
              <w:t>mHSPC</w:t>
            </w:r>
            <w:proofErr w:type="spellEnd"/>
            <w:r w:rsidR="00814F74" w:rsidRPr="00FE58E8">
              <w:t xml:space="preserve">. This reflects the change in time spent with </w:t>
            </w:r>
            <w:proofErr w:type="spellStart"/>
            <w:r w:rsidR="00814F74" w:rsidRPr="00FE58E8">
              <w:t>mCRPC</w:t>
            </w:r>
            <w:proofErr w:type="spellEnd"/>
            <w:r w:rsidR="00814F74" w:rsidRPr="00FE58E8">
              <w:t xml:space="preserve"> when patients would otherwise be eligible for treatment with ENZ or ABI on the PBS.</w:t>
            </w:r>
          </w:p>
        </w:tc>
      </w:tr>
      <w:tr w:rsidR="00814F74" w:rsidRPr="00BF06FC" w14:paraId="5A21F2EF" w14:textId="77777777" w:rsidTr="00D60C2D">
        <w:tc>
          <w:tcPr>
            <w:tcW w:w="820" w:type="pct"/>
            <w:vAlign w:val="center"/>
          </w:tcPr>
          <w:p w14:paraId="5A65C399" w14:textId="77777777" w:rsidR="00814F74" w:rsidRPr="00FE58E8" w:rsidRDefault="00814F74" w:rsidP="00DF5EF9">
            <w:pPr>
              <w:pStyle w:val="TableText0"/>
              <w:keepNext w:val="0"/>
            </w:pPr>
            <w:r w:rsidRPr="00FE58E8">
              <w:t xml:space="preserve">Average proportion of time in </w:t>
            </w:r>
            <w:proofErr w:type="spellStart"/>
            <w:r w:rsidRPr="00FE58E8">
              <w:t>mCRPC</w:t>
            </w:r>
            <w:proofErr w:type="spellEnd"/>
            <w:r w:rsidRPr="00FE58E8">
              <w:t xml:space="preserve"> health state spent on ENZ or ABI</w:t>
            </w:r>
          </w:p>
        </w:tc>
        <w:tc>
          <w:tcPr>
            <w:tcW w:w="786" w:type="pct"/>
            <w:vAlign w:val="center"/>
          </w:tcPr>
          <w:p w14:paraId="0D0DA9F7" w14:textId="77777777" w:rsidR="00814F74" w:rsidRPr="00FE58E8" w:rsidRDefault="00814F74" w:rsidP="00DF5EF9">
            <w:pPr>
              <w:pStyle w:val="TableText0"/>
              <w:keepNext w:val="0"/>
            </w:pPr>
            <w:r w:rsidRPr="00FE58E8">
              <w:t>55.24%</w:t>
            </w:r>
          </w:p>
        </w:tc>
        <w:tc>
          <w:tcPr>
            <w:tcW w:w="1198" w:type="pct"/>
            <w:vAlign w:val="center"/>
          </w:tcPr>
          <w:p w14:paraId="603E12FD" w14:textId="77777777" w:rsidR="00814F74" w:rsidRPr="00FE58E8" w:rsidRDefault="00814F74" w:rsidP="00DF5EF9">
            <w:pPr>
              <w:pStyle w:val="TableText0"/>
              <w:keepNext w:val="0"/>
            </w:pPr>
            <w:r w:rsidRPr="00FE58E8">
              <w:rPr>
                <w:szCs w:val="20"/>
              </w:rPr>
              <w:t xml:space="preserve">Assumes 15 months of NHA treatment for </w:t>
            </w:r>
            <w:proofErr w:type="spellStart"/>
            <w:r w:rsidRPr="00FE58E8">
              <w:rPr>
                <w:szCs w:val="20"/>
              </w:rPr>
              <w:t>mCRPC</w:t>
            </w:r>
            <w:proofErr w:type="spellEnd"/>
            <w:r w:rsidRPr="00FE58E8">
              <w:rPr>
                <w:szCs w:val="20"/>
              </w:rPr>
              <w:t xml:space="preserve">, corresponding to 55.2% of time spent with </w:t>
            </w:r>
            <w:proofErr w:type="spellStart"/>
            <w:r w:rsidRPr="00FE58E8">
              <w:rPr>
                <w:szCs w:val="20"/>
              </w:rPr>
              <w:t>mCRPC</w:t>
            </w:r>
            <w:proofErr w:type="spellEnd"/>
            <w:r w:rsidRPr="00FE58E8">
              <w:rPr>
                <w:szCs w:val="20"/>
              </w:rPr>
              <w:t xml:space="preserve"> in placebo arm of the modelled economic evaluation.</w:t>
            </w:r>
          </w:p>
        </w:tc>
        <w:tc>
          <w:tcPr>
            <w:tcW w:w="2196" w:type="pct"/>
            <w:vAlign w:val="center"/>
          </w:tcPr>
          <w:p w14:paraId="486B5ED5" w14:textId="77777777" w:rsidR="00814F74" w:rsidRPr="00FE58E8" w:rsidRDefault="00814F74" w:rsidP="00DF5EF9">
            <w:pPr>
              <w:pStyle w:val="TableText0"/>
              <w:keepNext w:val="0"/>
            </w:pPr>
            <w:r w:rsidRPr="00FE58E8">
              <w:t xml:space="preserve">Consistent with the modelled economic evaluation, but the average of 15 months treatment with NHAs for </w:t>
            </w:r>
            <w:proofErr w:type="spellStart"/>
            <w:r w:rsidRPr="00FE58E8">
              <w:t>mCRPC</w:t>
            </w:r>
            <w:proofErr w:type="spellEnd"/>
            <w:r w:rsidRPr="00FE58E8">
              <w:t xml:space="preserve"> appears high.</w:t>
            </w:r>
          </w:p>
        </w:tc>
      </w:tr>
      <w:tr w:rsidR="00814F74" w:rsidRPr="00BF06FC" w14:paraId="61B7905D" w14:textId="77777777" w:rsidTr="00D60C2D">
        <w:tc>
          <w:tcPr>
            <w:tcW w:w="820" w:type="pct"/>
            <w:vAlign w:val="center"/>
          </w:tcPr>
          <w:p w14:paraId="6371A7B1" w14:textId="77777777" w:rsidR="00814F74" w:rsidRPr="00FE58E8" w:rsidRDefault="00814F74" w:rsidP="00DF5EF9">
            <w:pPr>
              <w:pStyle w:val="TableText0"/>
              <w:keepNext w:val="0"/>
            </w:pPr>
            <w:r w:rsidRPr="00FE58E8">
              <w:t>ENZ or ABI scripts per year │ full compliance</w:t>
            </w:r>
          </w:p>
        </w:tc>
        <w:tc>
          <w:tcPr>
            <w:tcW w:w="786" w:type="pct"/>
            <w:vAlign w:val="center"/>
          </w:tcPr>
          <w:p w14:paraId="1A3B2E95" w14:textId="77777777" w:rsidR="00814F74" w:rsidRPr="00FE58E8" w:rsidRDefault="00814F74" w:rsidP="00DF5EF9">
            <w:pPr>
              <w:pStyle w:val="TableText0"/>
              <w:keepNext w:val="0"/>
            </w:pPr>
            <w:r w:rsidRPr="00FE58E8">
              <w:t>ABI: 12.18</w:t>
            </w:r>
          </w:p>
          <w:p w14:paraId="6B76D894" w14:textId="77777777" w:rsidR="00814F74" w:rsidRPr="00FE58E8" w:rsidRDefault="00814F74" w:rsidP="00DF5EF9">
            <w:pPr>
              <w:pStyle w:val="TableText0"/>
              <w:keepNext w:val="0"/>
            </w:pPr>
            <w:r w:rsidRPr="00FE58E8">
              <w:t>ENZ: 13.04</w:t>
            </w:r>
          </w:p>
        </w:tc>
        <w:tc>
          <w:tcPr>
            <w:tcW w:w="1198" w:type="pct"/>
            <w:vAlign w:val="center"/>
          </w:tcPr>
          <w:p w14:paraId="495F866C" w14:textId="77777777" w:rsidR="00814F74" w:rsidRPr="00FE58E8" w:rsidRDefault="00814F74" w:rsidP="00DF5EF9">
            <w:pPr>
              <w:pStyle w:val="TableText0"/>
              <w:keepNext w:val="0"/>
            </w:pPr>
            <w:r w:rsidRPr="00FE58E8">
              <w:t>Based on recommended dose, tablets/script, 365.25 days/year.</w:t>
            </w:r>
          </w:p>
        </w:tc>
        <w:tc>
          <w:tcPr>
            <w:tcW w:w="2196" w:type="pct"/>
            <w:vAlign w:val="center"/>
          </w:tcPr>
          <w:p w14:paraId="70B4C35C" w14:textId="77777777" w:rsidR="00814F74" w:rsidRPr="00FE58E8" w:rsidRDefault="00B91B52" w:rsidP="00DF5EF9">
            <w:pPr>
              <w:pStyle w:val="TableText0"/>
              <w:keepNext w:val="0"/>
            </w:pPr>
            <w:r>
              <w:t>-</w:t>
            </w:r>
          </w:p>
        </w:tc>
      </w:tr>
      <w:tr w:rsidR="00814F74" w:rsidRPr="00BF06FC" w14:paraId="18995C2B" w14:textId="77777777" w:rsidTr="00D60C2D">
        <w:tc>
          <w:tcPr>
            <w:tcW w:w="820" w:type="pct"/>
            <w:vAlign w:val="center"/>
          </w:tcPr>
          <w:p w14:paraId="5A2A2802" w14:textId="77777777" w:rsidR="00814F74" w:rsidRPr="00FE58E8" w:rsidRDefault="00814F74" w:rsidP="00DF5EF9">
            <w:pPr>
              <w:pStyle w:val="TableText0"/>
              <w:keepNext w:val="0"/>
            </w:pPr>
            <w:r w:rsidRPr="00FE58E8">
              <w:t xml:space="preserve">Market share of ENZ and ABI for </w:t>
            </w:r>
            <w:proofErr w:type="spellStart"/>
            <w:r w:rsidRPr="00FE58E8">
              <w:t>mCRPC</w:t>
            </w:r>
            <w:proofErr w:type="spellEnd"/>
          </w:p>
        </w:tc>
        <w:tc>
          <w:tcPr>
            <w:tcW w:w="786" w:type="pct"/>
            <w:vAlign w:val="center"/>
          </w:tcPr>
          <w:p w14:paraId="1E4DC7F8" w14:textId="77777777" w:rsidR="00814F74" w:rsidRPr="00FE58E8" w:rsidRDefault="00814F74" w:rsidP="00DF5EF9">
            <w:pPr>
              <w:pStyle w:val="TableText0"/>
              <w:keepNext w:val="0"/>
            </w:pPr>
            <w:r w:rsidRPr="00FE58E8">
              <w:t>ENZ: 66.3%</w:t>
            </w:r>
          </w:p>
          <w:p w14:paraId="28FD3682" w14:textId="77777777" w:rsidR="00814F74" w:rsidRPr="00FE58E8" w:rsidRDefault="00814F74" w:rsidP="00DF5EF9">
            <w:pPr>
              <w:pStyle w:val="TableText0"/>
              <w:keepNext w:val="0"/>
            </w:pPr>
            <w:r w:rsidRPr="00FE58E8">
              <w:t>ABI: 33.7%</w:t>
            </w:r>
          </w:p>
        </w:tc>
        <w:tc>
          <w:tcPr>
            <w:tcW w:w="1198" w:type="pct"/>
            <w:vAlign w:val="center"/>
          </w:tcPr>
          <w:p w14:paraId="1520E2A9" w14:textId="77777777" w:rsidR="00814F74" w:rsidRPr="00FE58E8" w:rsidRDefault="00814F74" w:rsidP="00DF5EF9">
            <w:pPr>
              <w:pStyle w:val="TableText0"/>
              <w:keepNext w:val="0"/>
            </w:pPr>
            <w:r w:rsidRPr="00FE58E8">
              <w:t>Based on proportional use of ABI (2698B, 11206T) and ENZ (10174L) on PBS/RPBS (May 2020 to April 2021).</w:t>
            </w:r>
          </w:p>
        </w:tc>
        <w:tc>
          <w:tcPr>
            <w:tcW w:w="2196" w:type="pct"/>
            <w:vAlign w:val="center"/>
          </w:tcPr>
          <w:p w14:paraId="29A4212C" w14:textId="77777777" w:rsidR="00814F74" w:rsidRPr="00FE58E8" w:rsidRDefault="00B91B52" w:rsidP="00DF5EF9">
            <w:pPr>
              <w:pStyle w:val="TableText0"/>
              <w:keepNext w:val="0"/>
            </w:pPr>
            <w:r>
              <w:t>-</w:t>
            </w:r>
          </w:p>
        </w:tc>
      </w:tr>
      <w:tr w:rsidR="00814F74" w:rsidRPr="00BF06FC" w14:paraId="790E58C3" w14:textId="77777777" w:rsidTr="00D60C2D">
        <w:tc>
          <w:tcPr>
            <w:tcW w:w="5000" w:type="pct"/>
            <w:gridSpan w:val="4"/>
            <w:vAlign w:val="center"/>
          </w:tcPr>
          <w:p w14:paraId="4E71A687" w14:textId="77777777" w:rsidR="00814F74" w:rsidRPr="00FE58E8" w:rsidRDefault="00814F74" w:rsidP="00DF5EF9">
            <w:pPr>
              <w:pStyle w:val="TableText0"/>
              <w:keepNext w:val="0"/>
              <w:rPr>
                <w:b/>
              </w:rPr>
            </w:pPr>
            <w:r w:rsidRPr="00FE58E8">
              <w:rPr>
                <w:b/>
              </w:rPr>
              <w:t>Costs</w:t>
            </w:r>
          </w:p>
        </w:tc>
      </w:tr>
      <w:tr w:rsidR="00814F74" w:rsidRPr="00BF06FC" w14:paraId="6D468010" w14:textId="77777777" w:rsidTr="00D60C2D">
        <w:tc>
          <w:tcPr>
            <w:tcW w:w="820" w:type="pct"/>
            <w:vAlign w:val="center"/>
          </w:tcPr>
          <w:p w14:paraId="36703B3C" w14:textId="77777777" w:rsidR="00814F74" w:rsidRPr="00FE58E8" w:rsidRDefault="00814F74" w:rsidP="00DF5EF9">
            <w:pPr>
              <w:pStyle w:val="TableText0"/>
              <w:keepNext w:val="0"/>
            </w:pPr>
            <w:r w:rsidRPr="00FE58E8">
              <w:t>DPMQ, APA</w:t>
            </w:r>
          </w:p>
        </w:tc>
        <w:tc>
          <w:tcPr>
            <w:tcW w:w="786" w:type="pct"/>
            <w:vAlign w:val="center"/>
          </w:tcPr>
          <w:p w14:paraId="0A9D3328" w14:textId="77777777" w:rsidR="00814F74" w:rsidRPr="00FE58E8" w:rsidRDefault="00814F74" w:rsidP="00DF5EF9">
            <w:pPr>
              <w:pStyle w:val="TableText0"/>
              <w:keepNext w:val="0"/>
            </w:pPr>
            <w:r w:rsidRPr="00FE58E8">
              <w:t>$</w:t>
            </w:r>
            <w:r w:rsidR="002037C2">
              <w:rPr>
                <w:noProof/>
                <w:color w:val="000000"/>
                <w:highlight w:val="black"/>
              </w:rPr>
              <w:t>''''''''''''''''''''''</w:t>
            </w:r>
          </w:p>
        </w:tc>
        <w:tc>
          <w:tcPr>
            <w:tcW w:w="1198" w:type="pct"/>
            <w:vAlign w:val="center"/>
          </w:tcPr>
          <w:p w14:paraId="4BC04E83" w14:textId="77777777" w:rsidR="00814F74" w:rsidRPr="00FE58E8" w:rsidRDefault="00814F74" w:rsidP="00DF5EF9">
            <w:pPr>
              <w:pStyle w:val="TableText0"/>
              <w:keepNext w:val="0"/>
            </w:pPr>
            <w:r w:rsidRPr="00FE58E8">
              <w:t>Requested effective price.</w:t>
            </w:r>
          </w:p>
        </w:tc>
        <w:tc>
          <w:tcPr>
            <w:tcW w:w="2196" w:type="pct"/>
            <w:vAlign w:val="center"/>
          </w:tcPr>
          <w:p w14:paraId="2B90CE49" w14:textId="77777777" w:rsidR="00814F74" w:rsidRPr="00FE58E8" w:rsidRDefault="00B91B52" w:rsidP="00DF5EF9">
            <w:pPr>
              <w:pStyle w:val="TableText0"/>
              <w:keepNext w:val="0"/>
            </w:pPr>
            <w:r>
              <w:t>-</w:t>
            </w:r>
          </w:p>
        </w:tc>
      </w:tr>
      <w:tr w:rsidR="00814F74" w:rsidRPr="00BF06FC" w14:paraId="5F2BA5B4" w14:textId="77777777" w:rsidTr="00D60C2D">
        <w:tc>
          <w:tcPr>
            <w:tcW w:w="820" w:type="pct"/>
            <w:vAlign w:val="center"/>
          </w:tcPr>
          <w:p w14:paraId="44ABD2D5" w14:textId="77777777" w:rsidR="00814F74" w:rsidRPr="00FE58E8" w:rsidRDefault="00814F74" w:rsidP="00DF5EF9">
            <w:pPr>
              <w:pStyle w:val="TableText0"/>
              <w:keepNext w:val="0"/>
            </w:pPr>
            <w:r w:rsidRPr="00FE58E8">
              <w:t>DPMQ, ENZ</w:t>
            </w:r>
          </w:p>
        </w:tc>
        <w:tc>
          <w:tcPr>
            <w:tcW w:w="786" w:type="pct"/>
            <w:vAlign w:val="center"/>
          </w:tcPr>
          <w:p w14:paraId="0EC41A50" w14:textId="77777777" w:rsidR="00814F74" w:rsidRPr="00FE58E8" w:rsidRDefault="00814F74" w:rsidP="00DF5EF9">
            <w:pPr>
              <w:pStyle w:val="TableText0"/>
              <w:keepNext w:val="0"/>
            </w:pPr>
            <w:r w:rsidRPr="00FE58E8">
              <w:t>$</w:t>
            </w:r>
            <w:r w:rsidR="002037C2">
              <w:rPr>
                <w:noProof/>
                <w:color w:val="000000"/>
                <w:highlight w:val="black"/>
              </w:rPr>
              <w:t>''''''''''''''''''''</w:t>
            </w:r>
          </w:p>
        </w:tc>
        <w:tc>
          <w:tcPr>
            <w:tcW w:w="1198" w:type="pct"/>
            <w:vAlign w:val="center"/>
          </w:tcPr>
          <w:p w14:paraId="143215E1" w14:textId="77777777" w:rsidR="00814F74" w:rsidRPr="00FE58E8" w:rsidRDefault="00814F74" w:rsidP="00DF5EF9">
            <w:pPr>
              <w:pStyle w:val="TableText0"/>
              <w:keepNext w:val="0"/>
            </w:pPr>
            <w:r w:rsidRPr="00FE58E8">
              <w:t>Effective price for PBS item 10174L.</w:t>
            </w:r>
          </w:p>
        </w:tc>
        <w:tc>
          <w:tcPr>
            <w:tcW w:w="2196" w:type="pct"/>
            <w:vAlign w:val="center"/>
          </w:tcPr>
          <w:p w14:paraId="607E0FA9" w14:textId="77777777" w:rsidR="00814F74" w:rsidRPr="00FE58E8" w:rsidRDefault="00B91B52" w:rsidP="00DF5EF9">
            <w:pPr>
              <w:pStyle w:val="TableText0"/>
              <w:keepNext w:val="0"/>
            </w:pPr>
            <w:r>
              <w:t>-</w:t>
            </w:r>
          </w:p>
        </w:tc>
      </w:tr>
      <w:tr w:rsidR="00814F74" w:rsidRPr="00BF06FC" w14:paraId="4C5F5098" w14:textId="77777777" w:rsidTr="00D60C2D">
        <w:tc>
          <w:tcPr>
            <w:tcW w:w="820" w:type="pct"/>
            <w:vAlign w:val="center"/>
          </w:tcPr>
          <w:p w14:paraId="2880C608" w14:textId="77777777" w:rsidR="00814F74" w:rsidRPr="00FE58E8" w:rsidRDefault="00814F74" w:rsidP="00DF5EF9">
            <w:pPr>
              <w:pStyle w:val="TableText0"/>
              <w:keepNext w:val="0"/>
            </w:pPr>
            <w:r w:rsidRPr="00FE58E8">
              <w:t>DPMQ, ABI</w:t>
            </w:r>
          </w:p>
        </w:tc>
        <w:tc>
          <w:tcPr>
            <w:tcW w:w="786" w:type="pct"/>
            <w:vAlign w:val="center"/>
          </w:tcPr>
          <w:p w14:paraId="6F39DA00" w14:textId="77777777" w:rsidR="00814F74" w:rsidRPr="00FE58E8" w:rsidRDefault="00814F74" w:rsidP="00DF5EF9">
            <w:pPr>
              <w:pStyle w:val="TableText0"/>
              <w:keepNext w:val="0"/>
            </w:pPr>
            <w:r w:rsidRPr="00FE58E8">
              <w:t>$</w:t>
            </w:r>
            <w:r w:rsidR="002037C2">
              <w:rPr>
                <w:noProof/>
                <w:color w:val="000000"/>
                <w:highlight w:val="black"/>
              </w:rPr>
              <w:t>'''''''''''''''''''</w:t>
            </w:r>
          </w:p>
        </w:tc>
        <w:tc>
          <w:tcPr>
            <w:tcW w:w="1198" w:type="pct"/>
            <w:vAlign w:val="center"/>
          </w:tcPr>
          <w:p w14:paraId="196D1B94" w14:textId="77777777" w:rsidR="00814F74" w:rsidRPr="00FE58E8" w:rsidRDefault="00814F74" w:rsidP="00DF5EF9">
            <w:pPr>
              <w:pStyle w:val="TableText0"/>
              <w:keepNext w:val="0"/>
            </w:pPr>
            <w:r w:rsidRPr="00FE58E8">
              <w:t>Effective price for PBS items 2698B and 11206T.</w:t>
            </w:r>
          </w:p>
        </w:tc>
        <w:tc>
          <w:tcPr>
            <w:tcW w:w="2196" w:type="pct"/>
            <w:vAlign w:val="center"/>
          </w:tcPr>
          <w:p w14:paraId="09C7ADB3" w14:textId="77777777" w:rsidR="00814F74" w:rsidRPr="00FE58E8" w:rsidRDefault="00B91B52" w:rsidP="00DF5EF9">
            <w:pPr>
              <w:pStyle w:val="TableText0"/>
              <w:keepNext w:val="0"/>
            </w:pPr>
            <w:r>
              <w:t>-</w:t>
            </w:r>
          </w:p>
        </w:tc>
      </w:tr>
      <w:tr w:rsidR="00814F74" w:rsidRPr="00BF06FC" w14:paraId="62386D96" w14:textId="77777777" w:rsidTr="00D60C2D">
        <w:tc>
          <w:tcPr>
            <w:tcW w:w="820" w:type="pct"/>
            <w:vAlign w:val="center"/>
          </w:tcPr>
          <w:p w14:paraId="7FA3A344" w14:textId="77777777" w:rsidR="00814F74" w:rsidRPr="00FE58E8" w:rsidRDefault="00814F74" w:rsidP="00DF5EF9">
            <w:pPr>
              <w:pStyle w:val="TableText0"/>
              <w:keepNext w:val="0"/>
            </w:pPr>
            <w:r w:rsidRPr="00FE58E8">
              <w:t xml:space="preserve">% </w:t>
            </w:r>
            <w:proofErr w:type="gramStart"/>
            <w:r w:rsidRPr="00FE58E8">
              <w:t>ENZ :</w:t>
            </w:r>
            <w:proofErr w:type="gramEnd"/>
            <w:r w:rsidRPr="00FE58E8">
              <w:t xml:space="preserve"> ABI for </w:t>
            </w:r>
            <w:proofErr w:type="spellStart"/>
            <w:r w:rsidRPr="00FE58E8">
              <w:t>mCRPC</w:t>
            </w:r>
            <w:proofErr w:type="spellEnd"/>
          </w:p>
        </w:tc>
        <w:tc>
          <w:tcPr>
            <w:tcW w:w="786" w:type="pct"/>
            <w:vAlign w:val="center"/>
          </w:tcPr>
          <w:p w14:paraId="43BB75EB" w14:textId="77777777" w:rsidR="00814F74" w:rsidRPr="00FE58E8" w:rsidRDefault="00814F74" w:rsidP="00DF5EF9">
            <w:pPr>
              <w:pStyle w:val="TableText0"/>
              <w:keepNext w:val="0"/>
            </w:pPr>
            <w:r w:rsidRPr="00FE58E8">
              <w:t>ENZ: 66.3%</w:t>
            </w:r>
          </w:p>
          <w:p w14:paraId="09A788EC" w14:textId="77777777" w:rsidR="00814F74" w:rsidRPr="00FE58E8" w:rsidRDefault="00814F74" w:rsidP="00DF5EF9">
            <w:pPr>
              <w:pStyle w:val="TableText0"/>
              <w:keepNext w:val="0"/>
            </w:pPr>
            <w:r w:rsidRPr="00FE58E8">
              <w:t>ABI: 33.7%</w:t>
            </w:r>
          </w:p>
        </w:tc>
        <w:tc>
          <w:tcPr>
            <w:tcW w:w="1198" w:type="pct"/>
            <w:vMerge w:val="restart"/>
            <w:vAlign w:val="center"/>
          </w:tcPr>
          <w:p w14:paraId="7B3C8352" w14:textId="77777777" w:rsidR="00814F74" w:rsidRPr="00FE58E8" w:rsidRDefault="00814F74" w:rsidP="00DF5EF9">
            <w:pPr>
              <w:pStyle w:val="TableText0"/>
            </w:pPr>
            <w:r w:rsidRPr="00FE58E8">
              <w:t>Based on proportional use of ABI (2698B, 11206T) and ENZ (10174L) on PBS/RPBS (May 2020 to April 2021).</w:t>
            </w:r>
          </w:p>
        </w:tc>
        <w:tc>
          <w:tcPr>
            <w:tcW w:w="2196" w:type="pct"/>
            <w:vAlign w:val="center"/>
          </w:tcPr>
          <w:p w14:paraId="5B86ECD4" w14:textId="77777777" w:rsidR="00814F74" w:rsidRPr="00FE58E8" w:rsidRDefault="00B91B52" w:rsidP="00DF5EF9">
            <w:pPr>
              <w:pStyle w:val="TableText0"/>
              <w:keepNext w:val="0"/>
            </w:pPr>
            <w:r>
              <w:t>-</w:t>
            </w:r>
          </w:p>
        </w:tc>
      </w:tr>
      <w:tr w:rsidR="00814F74" w:rsidRPr="00BF06FC" w14:paraId="77307E3E" w14:textId="77777777" w:rsidTr="00D60C2D">
        <w:tc>
          <w:tcPr>
            <w:tcW w:w="820" w:type="pct"/>
            <w:vAlign w:val="center"/>
          </w:tcPr>
          <w:p w14:paraId="29D0F4E7" w14:textId="77777777" w:rsidR="00814F74" w:rsidRPr="00FE58E8" w:rsidRDefault="00814F74" w:rsidP="00DF5EF9">
            <w:pPr>
              <w:pStyle w:val="TableText0"/>
              <w:keepNext w:val="0"/>
            </w:pPr>
            <w:r w:rsidRPr="00FE58E8">
              <w:t xml:space="preserve">% </w:t>
            </w:r>
            <w:proofErr w:type="gramStart"/>
            <w:r w:rsidRPr="00FE58E8">
              <w:t>PBS :</w:t>
            </w:r>
            <w:proofErr w:type="gramEnd"/>
            <w:r w:rsidRPr="00FE58E8">
              <w:t xml:space="preserve"> RPBS (APA, ENZ, ABI)</w:t>
            </w:r>
          </w:p>
        </w:tc>
        <w:tc>
          <w:tcPr>
            <w:tcW w:w="786" w:type="pct"/>
            <w:vAlign w:val="center"/>
          </w:tcPr>
          <w:p w14:paraId="504FFA7D" w14:textId="77777777" w:rsidR="00814F74" w:rsidRPr="00FE58E8" w:rsidRDefault="00814F74" w:rsidP="00DF5EF9">
            <w:pPr>
              <w:pStyle w:val="TableText0"/>
              <w:keepNext w:val="0"/>
            </w:pPr>
            <w:r w:rsidRPr="00FE58E8">
              <w:t>PBS: 96.0%</w:t>
            </w:r>
          </w:p>
          <w:p w14:paraId="27496C92" w14:textId="77777777" w:rsidR="00814F74" w:rsidRPr="00FE58E8" w:rsidRDefault="00814F74" w:rsidP="00DF5EF9">
            <w:pPr>
              <w:pStyle w:val="TableText0"/>
              <w:keepNext w:val="0"/>
            </w:pPr>
            <w:r w:rsidRPr="00FE58E8">
              <w:t>RPBS: 4.0%</w:t>
            </w:r>
          </w:p>
        </w:tc>
        <w:tc>
          <w:tcPr>
            <w:tcW w:w="1198" w:type="pct"/>
            <w:vMerge/>
            <w:vAlign w:val="center"/>
          </w:tcPr>
          <w:p w14:paraId="46D6EABD" w14:textId="77777777" w:rsidR="00814F74" w:rsidRPr="00FE58E8" w:rsidRDefault="00814F74" w:rsidP="00DF5EF9">
            <w:pPr>
              <w:pStyle w:val="TableText0"/>
            </w:pPr>
          </w:p>
        </w:tc>
        <w:tc>
          <w:tcPr>
            <w:tcW w:w="2196" w:type="pct"/>
            <w:vAlign w:val="center"/>
          </w:tcPr>
          <w:p w14:paraId="3DF83C5D" w14:textId="77777777" w:rsidR="00814F74" w:rsidRPr="00FE58E8" w:rsidRDefault="00B91B52" w:rsidP="00DF5EF9">
            <w:pPr>
              <w:pStyle w:val="TableText0"/>
              <w:keepNext w:val="0"/>
            </w:pPr>
            <w:r>
              <w:t>-</w:t>
            </w:r>
          </w:p>
        </w:tc>
      </w:tr>
      <w:tr w:rsidR="00814F74" w:rsidRPr="00BF06FC" w14:paraId="1311033B" w14:textId="77777777" w:rsidTr="00D60C2D">
        <w:tc>
          <w:tcPr>
            <w:tcW w:w="820" w:type="pct"/>
            <w:vAlign w:val="center"/>
          </w:tcPr>
          <w:p w14:paraId="1A681526" w14:textId="77777777" w:rsidR="00814F74" w:rsidRPr="00FE58E8" w:rsidRDefault="00814F74" w:rsidP="00DF5EF9">
            <w:pPr>
              <w:pStyle w:val="TableText0"/>
              <w:keepNext w:val="0"/>
            </w:pPr>
            <w:r w:rsidRPr="00FE58E8">
              <w:t>Co-payment</w:t>
            </w:r>
          </w:p>
          <w:p w14:paraId="260019C4" w14:textId="77777777" w:rsidR="00814F74" w:rsidRPr="00FE58E8" w:rsidRDefault="00814F74" w:rsidP="00DF5EF9">
            <w:pPr>
              <w:pStyle w:val="TableText0"/>
              <w:keepNext w:val="0"/>
            </w:pPr>
            <w:r w:rsidRPr="00FE58E8">
              <w:t>(APA, ENZ, ABI)</w:t>
            </w:r>
          </w:p>
        </w:tc>
        <w:tc>
          <w:tcPr>
            <w:tcW w:w="786" w:type="pct"/>
            <w:vAlign w:val="center"/>
          </w:tcPr>
          <w:p w14:paraId="6CE92833" w14:textId="77777777" w:rsidR="00814F74" w:rsidRPr="00FE58E8" w:rsidRDefault="00814F74" w:rsidP="00DF5EF9">
            <w:pPr>
              <w:pStyle w:val="TableText0"/>
              <w:keepNext w:val="0"/>
            </w:pPr>
            <w:r w:rsidRPr="00FE58E8">
              <w:t>PBS: $11.45</w:t>
            </w:r>
          </w:p>
          <w:p w14:paraId="47B82EFA" w14:textId="77777777" w:rsidR="00814F74" w:rsidRPr="00FE58E8" w:rsidRDefault="00814F74" w:rsidP="00DF5EF9">
            <w:pPr>
              <w:pStyle w:val="TableText0"/>
              <w:keepNext w:val="0"/>
            </w:pPr>
            <w:r w:rsidRPr="00FE58E8">
              <w:t>RPBS: $4.72</w:t>
            </w:r>
          </w:p>
        </w:tc>
        <w:tc>
          <w:tcPr>
            <w:tcW w:w="1198" w:type="pct"/>
            <w:vMerge/>
            <w:vAlign w:val="center"/>
          </w:tcPr>
          <w:p w14:paraId="7FEF0FCC" w14:textId="77777777" w:rsidR="00814F74" w:rsidRPr="00FE58E8" w:rsidRDefault="00814F74" w:rsidP="00DF5EF9">
            <w:pPr>
              <w:pStyle w:val="TableText0"/>
              <w:keepNext w:val="0"/>
            </w:pPr>
          </w:p>
        </w:tc>
        <w:tc>
          <w:tcPr>
            <w:tcW w:w="2196" w:type="pct"/>
            <w:vAlign w:val="center"/>
          </w:tcPr>
          <w:p w14:paraId="113E034B" w14:textId="77777777" w:rsidR="00814F74" w:rsidRPr="00FE58E8" w:rsidRDefault="00B91B52" w:rsidP="00DF5EF9">
            <w:pPr>
              <w:pStyle w:val="TableText0"/>
              <w:keepNext w:val="0"/>
            </w:pPr>
            <w:r>
              <w:t>-</w:t>
            </w:r>
          </w:p>
        </w:tc>
      </w:tr>
    </w:tbl>
    <w:p w14:paraId="0EB59DA4" w14:textId="77777777" w:rsidR="00814F74" w:rsidRPr="00BF06FC" w:rsidRDefault="00814F74" w:rsidP="00814F74">
      <w:pPr>
        <w:jc w:val="left"/>
        <w:rPr>
          <w:rFonts w:ascii="Arial Narrow" w:eastAsiaTheme="minorHAnsi" w:hAnsi="Arial Narrow" w:cstheme="minorBidi"/>
          <w:sz w:val="18"/>
          <w:szCs w:val="22"/>
          <w:lang w:eastAsia="en-US"/>
        </w:rPr>
      </w:pPr>
      <w:r w:rsidRPr="00BF06FC">
        <w:rPr>
          <w:rFonts w:ascii="Arial Narrow" w:eastAsiaTheme="minorHAnsi" w:hAnsi="Arial Narrow" w:cstheme="minorBidi"/>
          <w:sz w:val="18"/>
          <w:szCs w:val="22"/>
          <w:lang w:eastAsia="en-US"/>
        </w:rPr>
        <w:t xml:space="preserve">Abbreviations: ABI=abiraterone; APA=apalutamide; ADT=androgen deprivation therapy; ENZ=enzalutamide; HV=high volume; LV=low volume; </w:t>
      </w:r>
      <w:proofErr w:type="spellStart"/>
      <w:r w:rsidRPr="00BF06FC">
        <w:rPr>
          <w:rFonts w:ascii="Arial Narrow" w:eastAsiaTheme="minorHAnsi" w:hAnsi="Arial Narrow" w:cstheme="minorBidi"/>
          <w:sz w:val="18"/>
          <w:szCs w:val="22"/>
          <w:lang w:eastAsia="en-US"/>
        </w:rPr>
        <w:t>mCRPC</w:t>
      </w:r>
      <w:proofErr w:type="spellEnd"/>
      <w:r w:rsidRPr="00BF06FC">
        <w:rPr>
          <w:rFonts w:ascii="Arial Narrow" w:eastAsiaTheme="minorHAnsi" w:hAnsi="Arial Narrow" w:cstheme="minorBidi"/>
          <w:sz w:val="18"/>
          <w:szCs w:val="22"/>
          <w:lang w:eastAsia="en-US"/>
        </w:rPr>
        <w:t xml:space="preserve">=metastatic castration resistant prostate cancer; </w:t>
      </w:r>
      <w:proofErr w:type="spellStart"/>
      <w:r w:rsidRPr="00BF06FC">
        <w:rPr>
          <w:rFonts w:ascii="Arial Narrow" w:eastAsiaTheme="minorHAnsi" w:hAnsi="Arial Narrow" w:cstheme="minorBidi"/>
          <w:sz w:val="18"/>
          <w:szCs w:val="22"/>
          <w:lang w:eastAsia="en-US"/>
        </w:rPr>
        <w:t>mHSPC</w:t>
      </w:r>
      <w:proofErr w:type="spellEnd"/>
      <w:r w:rsidRPr="00BF06FC">
        <w:rPr>
          <w:rFonts w:ascii="Arial Narrow" w:eastAsiaTheme="minorHAnsi" w:hAnsi="Arial Narrow" w:cstheme="minorBidi"/>
          <w:sz w:val="18"/>
          <w:szCs w:val="22"/>
          <w:lang w:eastAsia="en-US"/>
        </w:rPr>
        <w:t>=metastatic hormone sensitive prostate cancer</w:t>
      </w:r>
    </w:p>
    <w:p w14:paraId="686D60B0" w14:textId="77777777" w:rsidR="00814F74" w:rsidRPr="00BF06FC" w:rsidRDefault="00814F74" w:rsidP="00814F74">
      <w:pPr>
        <w:spacing w:after="160"/>
        <w:jc w:val="left"/>
        <w:rPr>
          <w:rFonts w:ascii="Arial Narrow" w:eastAsiaTheme="minorHAnsi" w:hAnsi="Arial Narrow" w:cstheme="minorBidi"/>
          <w:sz w:val="18"/>
          <w:szCs w:val="22"/>
          <w:lang w:eastAsia="en-US"/>
        </w:rPr>
      </w:pPr>
      <w:r w:rsidRPr="00BF06FC">
        <w:rPr>
          <w:rFonts w:ascii="Arial Narrow" w:eastAsiaTheme="minorHAnsi" w:hAnsi="Arial Narrow" w:cstheme="minorBidi"/>
          <w:sz w:val="18"/>
          <w:szCs w:val="22"/>
          <w:lang w:eastAsia="en-US"/>
        </w:rPr>
        <w:t xml:space="preserve">Source: Section 4.1 to 4.2, pp191-201 of the submission and Utilisation cost model - apalutamide </w:t>
      </w:r>
      <w:proofErr w:type="spellStart"/>
      <w:r w:rsidRPr="00BF06FC">
        <w:rPr>
          <w:rFonts w:ascii="Arial Narrow" w:eastAsiaTheme="minorHAnsi" w:hAnsi="Arial Narrow" w:cstheme="minorBidi"/>
          <w:sz w:val="18"/>
          <w:szCs w:val="22"/>
          <w:lang w:eastAsia="en-US"/>
        </w:rPr>
        <w:t>mHSPC</w:t>
      </w:r>
      <w:proofErr w:type="spellEnd"/>
      <w:r w:rsidRPr="00BF06FC">
        <w:rPr>
          <w:rFonts w:ascii="Arial Narrow" w:eastAsiaTheme="minorHAnsi" w:hAnsi="Arial Narrow" w:cstheme="minorBidi"/>
          <w:sz w:val="18"/>
          <w:szCs w:val="22"/>
          <w:lang w:eastAsia="en-US"/>
        </w:rPr>
        <w:t xml:space="preserve"> final.xlsx.</w:t>
      </w:r>
    </w:p>
    <w:p w14:paraId="47231E0C" w14:textId="77777777" w:rsidR="00814F74" w:rsidRPr="003F72E0" w:rsidRDefault="00E2330A" w:rsidP="00814F74">
      <w:pPr>
        <w:numPr>
          <w:ilvl w:val="1"/>
          <w:numId w:val="1"/>
        </w:numPr>
        <w:spacing w:after="120"/>
      </w:pPr>
      <w:r>
        <w:rPr>
          <w:rFonts w:asciiTheme="minorHAnsi" w:hAnsiTheme="minorHAnsi"/>
          <w:snapToGrid w:val="0"/>
        </w:rPr>
        <w:t>Table 13</w:t>
      </w:r>
      <w:r w:rsidR="00814F74" w:rsidRPr="003F72E0">
        <w:rPr>
          <w:rFonts w:asciiTheme="minorHAnsi" w:hAnsiTheme="minorHAnsi"/>
          <w:snapToGrid w:val="0"/>
        </w:rPr>
        <w:t xml:space="preserve"> summarises the estimated net financial implications to the PBS/RPBS for the</w:t>
      </w:r>
      <w:r w:rsidR="00814F74" w:rsidRPr="003F72E0">
        <w:t xml:space="preserve"> proposed listing of APA over the first six years (assumed as 2022 to 2027). The table shows net costs separately for LV and HV disease, derived during the evaluation.</w:t>
      </w:r>
    </w:p>
    <w:p w14:paraId="29449198" w14:textId="77777777" w:rsidR="00814F74" w:rsidRPr="00BF06FC" w:rsidRDefault="00E2330A" w:rsidP="003F72E0">
      <w:pPr>
        <w:keepNext/>
        <w:rPr>
          <w:rStyle w:val="CommentReference"/>
        </w:rPr>
      </w:pPr>
      <w:r>
        <w:rPr>
          <w:rStyle w:val="CommentReference"/>
        </w:rPr>
        <w:lastRenderedPageBreak/>
        <w:t>Table 13</w:t>
      </w:r>
      <w:r w:rsidR="00814F74" w:rsidRPr="00BF06FC">
        <w:rPr>
          <w:rStyle w:val="CommentReference"/>
        </w:rPr>
        <w:t>: Data sources and parameter values applied in the utilisation and financial estimates</w:t>
      </w:r>
    </w:p>
    <w:tbl>
      <w:tblPr>
        <w:tblStyle w:val="TableGrid"/>
        <w:tblW w:w="5421" w:type="pct"/>
        <w:tblLayout w:type="fixed"/>
        <w:tblCellMar>
          <w:left w:w="28" w:type="dxa"/>
          <w:right w:w="28" w:type="dxa"/>
        </w:tblCellMar>
        <w:tblLook w:val="04A0" w:firstRow="1" w:lastRow="0" w:firstColumn="1" w:lastColumn="0" w:noHBand="0" w:noVBand="1"/>
        <w:tblCaption w:val="Table 13: Data sources and parameter values applied in the utilisation and financial estimates"/>
      </w:tblPr>
      <w:tblGrid>
        <w:gridCol w:w="2120"/>
        <w:gridCol w:w="1275"/>
        <w:gridCol w:w="1277"/>
        <w:gridCol w:w="1277"/>
        <w:gridCol w:w="1277"/>
        <w:gridCol w:w="1277"/>
        <w:gridCol w:w="1273"/>
      </w:tblGrid>
      <w:tr w:rsidR="00550468" w:rsidRPr="00BF06FC" w14:paraId="7D4DB104" w14:textId="77777777" w:rsidTr="00422AEB">
        <w:trPr>
          <w:trHeight w:val="70"/>
          <w:tblHeader/>
        </w:trPr>
        <w:tc>
          <w:tcPr>
            <w:tcW w:w="1085" w:type="pct"/>
            <w:tcBorders>
              <w:bottom w:val="single" w:sz="4" w:space="0" w:color="auto"/>
            </w:tcBorders>
          </w:tcPr>
          <w:p w14:paraId="469248E3" w14:textId="77777777" w:rsidR="00814F74" w:rsidRPr="00BF06FC" w:rsidRDefault="00814F74" w:rsidP="003F72E0">
            <w:pPr>
              <w:keepNext/>
              <w:rPr>
                <w:rFonts w:ascii="Arial Narrow" w:hAnsi="Arial Narrow"/>
                <w:sz w:val="20"/>
                <w:szCs w:val="20"/>
              </w:rPr>
            </w:pPr>
          </w:p>
        </w:tc>
        <w:tc>
          <w:tcPr>
            <w:tcW w:w="652" w:type="pct"/>
            <w:tcBorders>
              <w:bottom w:val="single" w:sz="4" w:space="0" w:color="auto"/>
            </w:tcBorders>
            <w:shd w:val="clear" w:color="auto" w:fill="auto"/>
            <w:vAlign w:val="center"/>
          </w:tcPr>
          <w:p w14:paraId="7503100B" w14:textId="77777777" w:rsidR="00814F74" w:rsidRPr="00BF06FC" w:rsidRDefault="00814F74" w:rsidP="003F72E0">
            <w:pPr>
              <w:pStyle w:val="TableText0"/>
              <w:jc w:val="center"/>
              <w:rPr>
                <w:b/>
              </w:rPr>
            </w:pPr>
            <w:r w:rsidRPr="00BF06FC">
              <w:rPr>
                <w:b/>
              </w:rPr>
              <w:t>Year 1</w:t>
            </w:r>
          </w:p>
        </w:tc>
        <w:tc>
          <w:tcPr>
            <w:tcW w:w="653" w:type="pct"/>
            <w:tcBorders>
              <w:bottom w:val="single" w:sz="4" w:space="0" w:color="auto"/>
            </w:tcBorders>
            <w:shd w:val="clear" w:color="auto" w:fill="auto"/>
            <w:vAlign w:val="center"/>
          </w:tcPr>
          <w:p w14:paraId="118B5F33" w14:textId="77777777" w:rsidR="00814F74" w:rsidRPr="00BF06FC" w:rsidRDefault="00814F74" w:rsidP="003F72E0">
            <w:pPr>
              <w:pStyle w:val="TableText0"/>
              <w:jc w:val="center"/>
              <w:rPr>
                <w:b/>
              </w:rPr>
            </w:pPr>
            <w:r w:rsidRPr="00BF06FC">
              <w:rPr>
                <w:b/>
              </w:rPr>
              <w:t>Year 2</w:t>
            </w:r>
          </w:p>
        </w:tc>
        <w:tc>
          <w:tcPr>
            <w:tcW w:w="653" w:type="pct"/>
            <w:tcBorders>
              <w:bottom w:val="single" w:sz="4" w:space="0" w:color="auto"/>
            </w:tcBorders>
            <w:shd w:val="clear" w:color="auto" w:fill="auto"/>
            <w:vAlign w:val="center"/>
          </w:tcPr>
          <w:p w14:paraId="2ACFDBE7" w14:textId="77777777" w:rsidR="00814F74" w:rsidRPr="00BF06FC" w:rsidRDefault="00814F74" w:rsidP="003F72E0">
            <w:pPr>
              <w:pStyle w:val="TableText0"/>
              <w:jc w:val="center"/>
              <w:rPr>
                <w:b/>
              </w:rPr>
            </w:pPr>
            <w:r w:rsidRPr="00BF06FC">
              <w:rPr>
                <w:b/>
              </w:rPr>
              <w:t>Year 3</w:t>
            </w:r>
          </w:p>
        </w:tc>
        <w:tc>
          <w:tcPr>
            <w:tcW w:w="653" w:type="pct"/>
            <w:tcBorders>
              <w:bottom w:val="single" w:sz="4" w:space="0" w:color="auto"/>
            </w:tcBorders>
            <w:shd w:val="clear" w:color="auto" w:fill="auto"/>
            <w:vAlign w:val="center"/>
          </w:tcPr>
          <w:p w14:paraId="0334057D" w14:textId="77777777" w:rsidR="00814F74" w:rsidRPr="00BF06FC" w:rsidRDefault="00814F74" w:rsidP="003F72E0">
            <w:pPr>
              <w:pStyle w:val="TableText0"/>
              <w:jc w:val="center"/>
              <w:rPr>
                <w:b/>
              </w:rPr>
            </w:pPr>
            <w:r w:rsidRPr="00BF06FC">
              <w:rPr>
                <w:b/>
              </w:rPr>
              <w:t>Year 4</w:t>
            </w:r>
          </w:p>
        </w:tc>
        <w:tc>
          <w:tcPr>
            <w:tcW w:w="653" w:type="pct"/>
            <w:tcBorders>
              <w:bottom w:val="single" w:sz="4" w:space="0" w:color="auto"/>
            </w:tcBorders>
            <w:shd w:val="clear" w:color="auto" w:fill="auto"/>
            <w:vAlign w:val="center"/>
          </w:tcPr>
          <w:p w14:paraId="7DC33458" w14:textId="77777777" w:rsidR="00814F74" w:rsidRPr="00BF06FC" w:rsidRDefault="00814F74" w:rsidP="003F72E0">
            <w:pPr>
              <w:pStyle w:val="TableText0"/>
              <w:jc w:val="center"/>
              <w:rPr>
                <w:b/>
              </w:rPr>
            </w:pPr>
            <w:r w:rsidRPr="00BF06FC">
              <w:rPr>
                <w:b/>
              </w:rPr>
              <w:t>Year 5</w:t>
            </w:r>
          </w:p>
        </w:tc>
        <w:tc>
          <w:tcPr>
            <w:tcW w:w="652" w:type="pct"/>
            <w:tcBorders>
              <w:bottom w:val="single" w:sz="4" w:space="0" w:color="auto"/>
            </w:tcBorders>
            <w:shd w:val="clear" w:color="auto" w:fill="auto"/>
            <w:vAlign w:val="center"/>
          </w:tcPr>
          <w:p w14:paraId="44BC0D0E" w14:textId="77777777" w:rsidR="00814F74" w:rsidRPr="00BF06FC" w:rsidRDefault="00814F74" w:rsidP="003F72E0">
            <w:pPr>
              <w:pStyle w:val="TableText0"/>
              <w:jc w:val="center"/>
              <w:rPr>
                <w:b/>
              </w:rPr>
            </w:pPr>
            <w:r w:rsidRPr="00BF06FC">
              <w:rPr>
                <w:b/>
              </w:rPr>
              <w:t>Year 6</w:t>
            </w:r>
          </w:p>
        </w:tc>
      </w:tr>
      <w:tr w:rsidR="00814F74" w:rsidRPr="00BF06FC" w14:paraId="4145A3AC" w14:textId="77777777" w:rsidTr="0065373E">
        <w:trPr>
          <w:trHeight w:val="58"/>
        </w:trPr>
        <w:tc>
          <w:tcPr>
            <w:tcW w:w="5000" w:type="pct"/>
            <w:gridSpan w:val="7"/>
            <w:tcBorders>
              <w:top w:val="single" w:sz="4" w:space="0" w:color="auto"/>
              <w:bottom w:val="single" w:sz="4" w:space="0" w:color="auto"/>
            </w:tcBorders>
          </w:tcPr>
          <w:p w14:paraId="288CEBFA" w14:textId="77777777" w:rsidR="00814F74" w:rsidRPr="00BF06FC" w:rsidRDefault="00814F74" w:rsidP="003F72E0">
            <w:pPr>
              <w:pStyle w:val="TableText0"/>
            </w:pPr>
            <w:r w:rsidRPr="00BF06FC">
              <w:rPr>
                <w:b/>
              </w:rPr>
              <w:t xml:space="preserve">Estimated number of patients with </w:t>
            </w:r>
            <w:proofErr w:type="spellStart"/>
            <w:r w:rsidRPr="00BF06FC">
              <w:rPr>
                <w:b/>
              </w:rPr>
              <w:t>mHSPC</w:t>
            </w:r>
            <w:proofErr w:type="spellEnd"/>
          </w:p>
        </w:tc>
      </w:tr>
      <w:tr w:rsidR="00550468" w:rsidRPr="00BF06FC" w14:paraId="725309D6" w14:textId="77777777" w:rsidTr="0065373E">
        <w:tc>
          <w:tcPr>
            <w:tcW w:w="1085" w:type="pct"/>
            <w:tcBorders>
              <w:top w:val="single" w:sz="4" w:space="0" w:color="auto"/>
              <w:bottom w:val="nil"/>
            </w:tcBorders>
          </w:tcPr>
          <w:p w14:paraId="27A4CCC3" w14:textId="77777777" w:rsidR="00814F74" w:rsidRPr="00BF06FC" w:rsidRDefault="00814F74" w:rsidP="003F72E0">
            <w:pPr>
              <w:pStyle w:val="TableText0"/>
              <w:rPr>
                <w:b/>
              </w:rPr>
            </w:pPr>
            <w:r w:rsidRPr="00BF06FC">
              <w:rPr>
                <w:b/>
              </w:rPr>
              <w:t>Incident patients</w:t>
            </w:r>
          </w:p>
        </w:tc>
        <w:tc>
          <w:tcPr>
            <w:tcW w:w="652" w:type="pct"/>
            <w:tcBorders>
              <w:top w:val="single" w:sz="4" w:space="0" w:color="auto"/>
              <w:bottom w:val="nil"/>
            </w:tcBorders>
            <w:vAlign w:val="center"/>
          </w:tcPr>
          <w:p w14:paraId="78500F0E"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c>
          <w:tcPr>
            <w:tcW w:w="653" w:type="pct"/>
            <w:tcBorders>
              <w:top w:val="single" w:sz="4" w:space="0" w:color="auto"/>
              <w:bottom w:val="nil"/>
            </w:tcBorders>
            <w:vAlign w:val="center"/>
          </w:tcPr>
          <w:p w14:paraId="325E9176"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c>
          <w:tcPr>
            <w:tcW w:w="653" w:type="pct"/>
            <w:tcBorders>
              <w:top w:val="single" w:sz="4" w:space="0" w:color="auto"/>
              <w:bottom w:val="nil"/>
            </w:tcBorders>
            <w:vAlign w:val="center"/>
          </w:tcPr>
          <w:p w14:paraId="70FF1BA1"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c>
          <w:tcPr>
            <w:tcW w:w="653" w:type="pct"/>
            <w:tcBorders>
              <w:top w:val="single" w:sz="4" w:space="0" w:color="auto"/>
              <w:bottom w:val="nil"/>
            </w:tcBorders>
            <w:vAlign w:val="center"/>
          </w:tcPr>
          <w:p w14:paraId="05D3DF6F"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c>
          <w:tcPr>
            <w:tcW w:w="653" w:type="pct"/>
            <w:tcBorders>
              <w:top w:val="single" w:sz="4" w:space="0" w:color="auto"/>
              <w:bottom w:val="nil"/>
            </w:tcBorders>
            <w:vAlign w:val="center"/>
          </w:tcPr>
          <w:p w14:paraId="2C2F6730"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c>
          <w:tcPr>
            <w:tcW w:w="652" w:type="pct"/>
            <w:tcBorders>
              <w:top w:val="single" w:sz="4" w:space="0" w:color="auto"/>
              <w:bottom w:val="nil"/>
            </w:tcBorders>
            <w:vAlign w:val="center"/>
          </w:tcPr>
          <w:p w14:paraId="31966951"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r>
      <w:tr w:rsidR="00550468" w:rsidRPr="00BF06FC" w14:paraId="679B295F" w14:textId="77777777" w:rsidTr="0065373E">
        <w:tc>
          <w:tcPr>
            <w:tcW w:w="1085" w:type="pct"/>
            <w:tcBorders>
              <w:top w:val="nil"/>
              <w:bottom w:val="nil"/>
            </w:tcBorders>
          </w:tcPr>
          <w:p w14:paraId="76AD4688" w14:textId="77777777" w:rsidR="00814F74" w:rsidRPr="00BF06FC" w:rsidRDefault="00814F74" w:rsidP="003F72E0">
            <w:pPr>
              <w:pStyle w:val="TableText0"/>
              <w:ind w:left="106"/>
            </w:pPr>
            <w:r w:rsidRPr="00BF06FC">
              <w:t>LV disease</w:t>
            </w:r>
          </w:p>
        </w:tc>
        <w:tc>
          <w:tcPr>
            <w:tcW w:w="652" w:type="pct"/>
            <w:tcBorders>
              <w:top w:val="nil"/>
              <w:bottom w:val="nil"/>
            </w:tcBorders>
            <w:vAlign w:val="center"/>
          </w:tcPr>
          <w:p w14:paraId="7077CFE8"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3F6FE4E7"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42AD41DE"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0BC4B439"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1442A8A1"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2" w:type="pct"/>
            <w:tcBorders>
              <w:top w:val="nil"/>
              <w:bottom w:val="nil"/>
            </w:tcBorders>
            <w:vAlign w:val="center"/>
          </w:tcPr>
          <w:p w14:paraId="5C4BEB9F"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r>
      <w:tr w:rsidR="00550468" w:rsidRPr="00BF06FC" w14:paraId="7C1253A4" w14:textId="77777777" w:rsidTr="0065373E">
        <w:tc>
          <w:tcPr>
            <w:tcW w:w="1085" w:type="pct"/>
            <w:tcBorders>
              <w:top w:val="nil"/>
              <w:bottom w:val="nil"/>
            </w:tcBorders>
          </w:tcPr>
          <w:p w14:paraId="468F0FF5" w14:textId="77777777" w:rsidR="00814F74" w:rsidRPr="00BF06FC" w:rsidRDefault="00814F74" w:rsidP="003F72E0">
            <w:pPr>
              <w:pStyle w:val="TableText0"/>
              <w:ind w:left="106"/>
            </w:pPr>
            <w:r w:rsidRPr="00BF06FC">
              <w:t>HV disease</w:t>
            </w:r>
          </w:p>
        </w:tc>
        <w:tc>
          <w:tcPr>
            <w:tcW w:w="652" w:type="pct"/>
            <w:tcBorders>
              <w:top w:val="nil"/>
              <w:bottom w:val="nil"/>
            </w:tcBorders>
            <w:vAlign w:val="center"/>
          </w:tcPr>
          <w:p w14:paraId="7963F9CD"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0B731879"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597E9C1E"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693813A5"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27569E99"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2" w:type="pct"/>
            <w:tcBorders>
              <w:top w:val="nil"/>
              <w:bottom w:val="nil"/>
            </w:tcBorders>
            <w:vAlign w:val="center"/>
          </w:tcPr>
          <w:p w14:paraId="410F1E83"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r>
      <w:tr w:rsidR="00550468" w:rsidRPr="00BF06FC" w14:paraId="1C71301D" w14:textId="77777777" w:rsidTr="0065373E">
        <w:tc>
          <w:tcPr>
            <w:tcW w:w="1085" w:type="pct"/>
            <w:tcBorders>
              <w:top w:val="nil"/>
              <w:bottom w:val="nil"/>
            </w:tcBorders>
          </w:tcPr>
          <w:p w14:paraId="661FA26D" w14:textId="77777777" w:rsidR="00814F74" w:rsidRPr="00BF06FC" w:rsidRDefault="00814F74" w:rsidP="003F72E0">
            <w:pPr>
              <w:pStyle w:val="TableText0"/>
              <w:rPr>
                <w:b/>
              </w:rPr>
            </w:pPr>
            <w:r w:rsidRPr="00BF06FC">
              <w:rPr>
                <w:b/>
              </w:rPr>
              <w:t>Prevalent patients in Yr1</w:t>
            </w:r>
          </w:p>
        </w:tc>
        <w:tc>
          <w:tcPr>
            <w:tcW w:w="652" w:type="pct"/>
            <w:tcBorders>
              <w:top w:val="nil"/>
              <w:bottom w:val="nil"/>
            </w:tcBorders>
            <w:vAlign w:val="center"/>
          </w:tcPr>
          <w:p w14:paraId="66A72682" w14:textId="77777777" w:rsidR="00814F74" w:rsidRPr="002037C2" w:rsidRDefault="002037C2" w:rsidP="003F72E0">
            <w:pPr>
              <w:pStyle w:val="TableText0"/>
              <w:jc w:val="center"/>
              <w:rPr>
                <w:b/>
              </w:rPr>
            </w:pPr>
            <w:r>
              <w:rPr>
                <w:b/>
                <w:noProof/>
                <w:color w:val="000000"/>
                <w:highlight w:val="black"/>
              </w:rPr>
              <w:t>''''''''''''</w:t>
            </w:r>
            <w:r w:rsidR="00C80827">
              <w:rPr>
                <w:sz w:val="18"/>
                <w:vertAlign w:val="superscript"/>
              </w:rPr>
              <w:t>1</w:t>
            </w:r>
          </w:p>
        </w:tc>
        <w:tc>
          <w:tcPr>
            <w:tcW w:w="653" w:type="pct"/>
            <w:tcBorders>
              <w:top w:val="nil"/>
              <w:bottom w:val="nil"/>
            </w:tcBorders>
            <w:vAlign w:val="center"/>
          </w:tcPr>
          <w:p w14:paraId="357D2D2F" w14:textId="77777777" w:rsidR="00814F74" w:rsidRPr="00BF06FC" w:rsidRDefault="00814F74" w:rsidP="003F72E0">
            <w:pPr>
              <w:pStyle w:val="TableText0"/>
              <w:jc w:val="center"/>
            </w:pPr>
            <w:r w:rsidRPr="00BF06FC">
              <w:t>-</w:t>
            </w:r>
          </w:p>
        </w:tc>
        <w:tc>
          <w:tcPr>
            <w:tcW w:w="653" w:type="pct"/>
            <w:tcBorders>
              <w:top w:val="nil"/>
              <w:bottom w:val="nil"/>
            </w:tcBorders>
            <w:vAlign w:val="center"/>
          </w:tcPr>
          <w:p w14:paraId="1E3B2364" w14:textId="77777777" w:rsidR="00814F74" w:rsidRPr="00BF06FC" w:rsidRDefault="00814F74" w:rsidP="003F72E0">
            <w:pPr>
              <w:pStyle w:val="TableText0"/>
              <w:jc w:val="center"/>
            </w:pPr>
            <w:r w:rsidRPr="00BF06FC">
              <w:t>-</w:t>
            </w:r>
          </w:p>
        </w:tc>
        <w:tc>
          <w:tcPr>
            <w:tcW w:w="653" w:type="pct"/>
            <w:tcBorders>
              <w:top w:val="nil"/>
              <w:bottom w:val="nil"/>
            </w:tcBorders>
            <w:vAlign w:val="center"/>
          </w:tcPr>
          <w:p w14:paraId="5DC97976" w14:textId="77777777" w:rsidR="00814F74" w:rsidRPr="00BF06FC" w:rsidRDefault="00814F74" w:rsidP="003F72E0">
            <w:pPr>
              <w:pStyle w:val="TableText0"/>
              <w:jc w:val="center"/>
            </w:pPr>
            <w:r w:rsidRPr="00BF06FC">
              <w:t>-</w:t>
            </w:r>
          </w:p>
        </w:tc>
        <w:tc>
          <w:tcPr>
            <w:tcW w:w="653" w:type="pct"/>
            <w:tcBorders>
              <w:top w:val="nil"/>
              <w:bottom w:val="nil"/>
            </w:tcBorders>
            <w:vAlign w:val="center"/>
          </w:tcPr>
          <w:p w14:paraId="15457E4F" w14:textId="77777777" w:rsidR="00814F74" w:rsidRPr="00BF06FC" w:rsidRDefault="00814F74" w:rsidP="003F72E0">
            <w:pPr>
              <w:pStyle w:val="TableText0"/>
              <w:jc w:val="center"/>
            </w:pPr>
            <w:r w:rsidRPr="00BF06FC">
              <w:t>-</w:t>
            </w:r>
          </w:p>
        </w:tc>
        <w:tc>
          <w:tcPr>
            <w:tcW w:w="652" w:type="pct"/>
            <w:tcBorders>
              <w:top w:val="nil"/>
              <w:bottom w:val="nil"/>
            </w:tcBorders>
            <w:vAlign w:val="center"/>
          </w:tcPr>
          <w:p w14:paraId="260B5965" w14:textId="77777777" w:rsidR="00814F74" w:rsidRPr="00BF06FC" w:rsidRDefault="00814F74" w:rsidP="003F72E0">
            <w:pPr>
              <w:pStyle w:val="TableText0"/>
              <w:jc w:val="center"/>
            </w:pPr>
            <w:r w:rsidRPr="00BF06FC">
              <w:t>-</w:t>
            </w:r>
          </w:p>
        </w:tc>
      </w:tr>
      <w:tr w:rsidR="00550468" w:rsidRPr="00BF06FC" w14:paraId="4C897120" w14:textId="77777777" w:rsidTr="0065373E">
        <w:tc>
          <w:tcPr>
            <w:tcW w:w="1085" w:type="pct"/>
            <w:tcBorders>
              <w:top w:val="nil"/>
              <w:bottom w:val="nil"/>
            </w:tcBorders>
          </w:tcPr>
          <w:p w14:paraId="3D4F99C2" w14:textId="77777777" w:rsidR="00814F74" w:rsidRPr="00BF06FC" w:rsidRDefault="00814F74" w:rsidP="003F72E0">
            <w:pPr>
              <w:pStyle w:val="TableText0"/>
              <w:ind w:left="106"/>
            </w:pPr>
            <w:r w:rsidRPr="00BF06FC">
              <w:t>LV disease</w:t>
            </w:r>
          </w:p>
        </w:tc>
        <w:tc>
          <w:tcPr>
            <w:tcW w:w="652" w:type="pct"/>
            <w:tcBorders>
              <w:top w:val="nil"/>
              <w:bottom w:val="nil"/>
            </w:tcBorders>
            <w:vAlign w:val="center"/>
          </w:tcPr>
          <w:p w14:paraId="31CA7D6C"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403A58D3" w14:textId="77777777" w:rsidR="00814F74" w:rsidRPr="00BF06FC" w:rsidRDefault="00814F74" w:rsidP="003F72E0">
            <w:pPr>
              <w:pStyle w:val="TableText0"/>
              <w:jc w:val="center"/>
            </w:pPr>
            <w:r w:rsidRPr="00BF06FC">
              <w:t>-</w:t>
            </w:r>
          </w:p>
        </w:tc>
        <w:tc>
          <w:tcPr>
            <w:tcW w:w="653" w:type="pct"/>
            <w:tcBorders>
              <w:top w:val="nil"/>
              <w:bottom w:val="nil"/>
            </w:tcBorders>
            <w:vAlign w:val="center"/>
          </w:tcPr>
          <w:p w14:paraId="196E6029" w14:textId="77777777" w:rsidR="00814F74" w:rsidRPr="00BF06FC" w:rsidRDefault="00814F74" w:rsidP="003F72E0">
            <w:pPr>
              <w:pStyle w:val="TableText0"/>
              <w:jc w:val="center"/>
            </w:pPr>
            <w:r w:rsidRPr="00BF06FC">
              <w:t>-</w:t>
            </w:r>
          </w:p>
        </w:tc>
        <w:tc>
          <w:tcPr>
            <w:tcW w:w="653" w:type="pct"/>
            <w:tcBorders>
              <w:top w:val="nil"/>
              <w:bottom w:val="nil"/>
            </w:tcBorders>
            <w:vAlign w:val="center"/>
          </w:tcPr>
          <w:p w14:paraId="3A6BBFA4" w14:textId="77777777" w:rsidR="00814F74" w:rsidRPr="00BF06FC" w:rsidRDefault="00814F74" w:rsidP="003F72E0">
            <w:pPr>
              <w:pStyle w:val="TableText0"/>
              <w:jc w:val="center"/>
            </w:pPr>
            <w:r w:rsidRPr="00BF06FC">
              <w:t>-</w:t>
            </w:r>
          </w:p>
        </w:tc>
        <w:tc>
          <w:tcPr>
            <w:tcW w:w="653" w:type="pct"/>
            <w:tcBorders>
              <w:top w:val="nil"/>
              <w:bottom w:val="nil"/>
            </w:tcBorders>
            <w:vAlign w:val="center"/>
          </w:tcPr>
          <w:p w14:paraId="52A3B9A3" w14:textId="77777777" w:rsidR="00814F74" w:rsidRPr="00BF06FC" w:rsidRDefault="00814F74" w:rsidP="003F72E0">
            <w:pPr>
              <w:pStyle w:val="TableText0"/>
              <w:jc w:val="center"/>
            </w:pPr>
            <w:r w:rsidRPr="00BF06FC">
              <w:t>-</w:t>
            </w:r>
          </w:p>
        </w:tc>
        <w:tc>
          <w:tcPr>
            <w:tcW w:w="652" w:type="pct"/>
            <w:tcBorders>
              <w:top w:val="nil"/>
              <w:bottom w:val="nil"/>
            </w:tcBorders>
            <w:vAlign w:val="center"/>
          </w:tcPr>
          <w:p w14:paraId="6E1591DB" w14:textId="77777777" w:rsidR="00814F74" w:rsidRPr="00BF06FC" w:rsidRDefault="00814F74" w:rsidP="003F72E0">
            <w:pPr>
              <w:pStyle w:val="TableText0"/>
              <w:jc w:val="center"/>
            </w:pPr>
            <w:r w:rsidRPr="00BF06FC">
              <w:t>-</w:t>
            </w:r>
          </w:p>
        </w:tc>
      </w:tr>
      <w:tr w:rsidR="00550468" w:rsidRPr="00BF06FC" w14:paraId="453A3A18" w14:textId="77777777" w:rsidTr="0065373E">
        <w:tc>
          <w:tcPr>
            <w:tcW w:w="1085" w:type="pct"/>
            <w:tcBorders>
              <w:top w:val="nil"/>
              <w:bottom w:val="single" w:sz="4" w:space="0" w:color="auto"/>
            </w:tcBorders>
          </w:tcPr>
          <w:p w14:paraId="4FC5A820" w14:textId="77777777" w:rsidR="00814F74" w:rsidRPr="00BF06FC" w:rsidRDefault="00814F74" w:rsidP="003F72E0">
            <w:pPr>
              <w:pStyle w:val="TableText0"/>
              <w:ind w:left="106"/>
            </w:pPr>
            <w:r w:rsidRPr="00BF06FC">
              <w:t>HV disease</w:t>
            </w:r>
          </w:p>
        </w:tc>
        <w:tc>
          <w:tcPr>
            <w:tcW w:w="652" w:type="pct"/>
            <w:tcBorders>
              <w:top w:val="nil"/>
              <w:bottom w:val="single" w:sz="4" w:space="0" w:color="auto"/>
            </w:tcBorders>
            <w:vAlign w:val="center"/>
          </w:tcPr>
          <w:p w14:paraId="6CCFA2BF" w14:textId="77777777" w:rsidR="00814F74" w:rsidRPr="002037C2" w:rsidRDefault="002037C2" w:rsidP="003F72E0">
            <w:pPr>
              <w:pStyle w:val="TableText0"/>
              <w:jc w:val="center"/>
            </w:pPr>
            <w:r>
              <w:rPr>
                <w:noProof/>
                <w:color w:val="000000"/>
                <w:highlight w:val="black"/>
              </w:rPr>
              <w:t>''''''''''''</w:t>
            </w:r>
            <w:r w:rsidR="00C80827">
              <w:rPr>
                <w:sz w:val="18"/>
                <w:vertAlign w:val="superscript"/>
              </w:rPr>
              <w:t>1</w:t>
            </w:r>
          </w:p>
        </w:tc>
        <w:tc>
          <w:tcPr>
            <w:tcW w:w="653" w:type="pct"/>
            <w:tcBorders>
              <w:top w:val="nil"/>
              <w:bottom w:val="single" w:sz="4" w:space="0" w:color="auto"/>
            </w:tcBorders>
            <w:vAlign w:val="center"/>
          </w:tcPr>
          <w:p w14:paraId="74A37265" w14:textId="77777777" w:rsidR="00814F74" w:rsidRPr="00BF06FC" w:rsidRDefault="00814F74" w:rsidP="003F72E0">
            <w:pPr>
              <w:pStyle w:val="TableText0"/>
              <w:jc w:val="center"/>
            </w:pPr>
            <w:r w:rsidRPr="00BF06FC">
              <w:t>-</w:t>
            </w:r>
          </w:p>
        </w:tc>
        <w:tc>
          <w:tcPr>
            <w:tcW w:w="653" w:type="pct"/>
            <w:tcBorders>
              <w:top w:val="nil"/>
              <w:bottom w:val="single" w:sz="4" w:space="0" w:color="auto"/>
            </w:tcBorders>
            <w:vAlign w:val="center"/>
          </w:tcPr>
          <w:p w14:paraId="3D687405" w14:textId="77777777" w:rsidR="00814F74" w:rsidRPr="00BF06FC" w:rsidRDefault="00814F74" w:rsidP="003F72E0">
            <w:pPr>
              <w:pStyle w:val="TableText0"/>
              <w:jc w:val="center"/>
            </w:pPr>
            <w:r w:rsidRPr="00BF06FC">
              <w:t>-</w:t>
            </w:r>
          </w:p>
        </w:tc>
        <w:tc>
          <w:tcPr>
            <w:tcW w:w="653" w:type="pct"/>
            <w:tcBorders>
              <w:top w:val="nil"/>
              <w:bottom w:val="single" w:sz="4" w:space="0" w:color="auto"/>
            </w:tcBorders>
            <w:vAlign w:val="center"/>
          </w:tcPr>
          <w:p w14:paraId="6B37A9DF" w14:textId="77777777" w:rsidR="00814F74" w:rsidRPr="00BF06FC" w:rsidRDefault="00814F74" w:rsidP="003F72E0">
            <w:pPr>
              <w:pStyle w:val="TableText0"/>
              <w:jc w:val="center"/>
            </w:pPr>
            <w:r w:rsidRPr="00BF06FC">
              <w:t>-</w:t>
            </w:r>
          </w:p>
        </w:tc>
        <w:tc>
          <w:tcPr>
            <w:tcW w:w="653" w:type="pct"/>
            <w:tcBorders>
              <w:top w:val="nil"/>
              <w:bottom w:val="single" w:sz="4" w:space="0" w:color="auto"/>
            </w:tcBorders>
            <w:vAlign w:val="center"/>
          </w:tcPr>
          <w:p w14:paraId="517CC9D8" w14:textId="77777777" w:rsidR="00814F74" w:rsidRPr="00BF06FC" w:rsidRDefault="00814F74" w:rsidP="003F72E0">
            <w:pPr>
              <w:pStyle w:val="TableText0"/>
              <w:jc w:val="center"/>
            </w:pPr>
            <w:r w:rsidRPr="00BF06FC">
              <w:t>-</w:t>
            </w:r>
          </w:p>
        </w:tc>
        <w:tc>
          <w:tcPr>
            <w:tcW w:w="652" w:type="pct"/>
            <w:tcBorders>
              <w:top w:val="nil"/>
              <w:bottom w:val="single" w:sz="4" w:space="0" w:color="auto"/>
            </w:tcBorders>
            <w:vAlign w:val="center"/>
          </w:tcPr>
          <w:p w14:paraId="3B584ACC" w14:textId="77777777" w:rsidR="00814F74" w:rsidRPr="00BF06FC" w:rsidRDefault="00814F74" w:rsidP="003F72E0">
            <w:pPr>
              <w:pStyle w:val="TableText0"/>
              <w:jc w:val="center"/>
            </w:pPr>
            <w:r w:rsidRPr="00BF06FC">
              <w:t>-</w:t>
            </w:r>
          </w:p>
        </w:tc>
      </w:tr>
      <w:tr w:rsidR="00814F74" w:rsidRPr="00BF06FC" w14:paraId="7C918AA3" w14:textId="77777777" w:rsidTr="0065373E">
        <w:tc>
          <w:tcPr>
            <w:tcW w:w="5000" w:type="pct"/>
            <w:gridSpan w:val="7"/>
            <w:tcBorders>
              <w:bottom w:val="single" w:sz="4" w:space="0" w:color="auto"/>
            </w:tcBorders>
          </w:tcPr>
          <w:p w14:paraId="65D37738" w14:textId="77777777" w:rsidR="00814F74" w:rsidRPr="00BF06FC" w:rsidRDefault="00814F74" w:rsidP="00DF5EF9">
            <w:pPr>
              <w:pStyle w:val="TableText0"/>
              <w:keepNext w:val="0"/>
              <w:rPr>
                <w:b/>
              </w:rPr>
            </w:pPr>
            <w:r w:rsidRPr="00BF06FC">
              <w:rPr>
                <w:b/>
              </w:rPr>
              <w:t>Estimated number of patients eligible for the requested restriction</w:t>
            </w:r>
          </w:p>
        </w:tc>
      </w:tr>
      <w:tr w:rsidR="00550468" w:rsidRPr="00BF06FC" w14:paraId="0497C961" w14:textId="77777777" w:rsidTr="0065373E">
        <w:tc>
          <w:tcPr>
            <w:tcW w:w="1085" w:type="pct"/>
            <w:tcBorders>
              <w:top w:val="single" w:sz="4" w:space="0" w:color="auto"/>
              <w:bottom w:val="nil"/>
            </w:tcBorders>
          </w:tcPr>
          <w:p w14:paraId="7680939C" w14:textId="77777777" w:rsidR="00814F74" w:rsidRPr="00BF06FC" w:rsidRDefault="00814F74" w:rsidP="00DF5EF9">
            <w:pPr>
              <w:pStyle w:val="TableText0"/>
              <w:keepNext w:val="0"/>
              <w:rPr>
                <w:b/>
              </w:rPr>
            </w:pPr>
            <w:r w:rsidRPr="00BF06FC">
              <w:rPr>
                <w:b/>
              </w:rPr>
              <w:t>Total patients eligible (unique)</w:t>
            </w:r>
          </w:p>
        </w:tc>
        <w:tc>
          <w:tcPr>
            <w:tcW w:w="652" w:type="pct"/>
            <w:tcBorders>
              <w:top w:val="single" w:sz="4" w:space="0" w:color="auto"/>
              <w:bottom w:val="nil"/>
            </w:tcBorders>
            <w:vAlign w:val="center"/>
          </w:tcPr>
          <w:p w14:paraId="3DABC660"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top w:val="single" w:sz="4" w:space="0" w:color="auto"/>
              <w:bottom w:val="nil"/>
            </w:tcBorders>
            <w:vAlign w:val="center"/>
          </w:tcPr>
          <w:p w14:paraId="01E630B6"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top w:val="single" w:sz="4" w:space="0" w:color="auto"/>
              <w:bottom w:val="nil"/>
            </w:tcBorders>
            <w:vAlign w:val="center"/>
          </w:tcPr>
          <w:p w14:paraId="76E775CE"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top w:val="single" w:sz="4" w:space="0" w:color="auto"/>
              <w:bottom w:val="nil"/>
            </w:tcBorders>
            <w:vAlign w:val="center"/>
          </w:tcPr>
          <w:p w14:paraId="289F48D1"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top w:val="single" w:sz="4" w:space="0" w:color="auto"/>
              <w:bottom w:val="nil"/>
            </w:tcBorders>
            <w:vAlign w:val="center"/>
          </w:tcPr>
          <w:p w14:paraId="01B93067"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2" w:type="pct"/>
            <w:tcBorders>
              <w:top w:val="single" w:sz="4" w:space="0" w:color="auto"/>
              <w:bottom w:val="nil"/>
            </w:tcBorders>
            <w:vAlign w:val="center"/>
          </w:tcPr>
          <w:p w14:paraId="388294EB"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r>
      <w:tr w:rsidR="00550468" w:rsidRPr="00BF06FC" w14:paraId="11AA0DBA" w14:textId="77777777" w:rsidTr="0065373E">
        <w:tc>
          <w:tcPr>
            <w:tcW w:w="1085" w:type="pct"/>
            <w:tcBorders>
              <w:top w:val="nil"/>
              <w:bottom w:val="nil"/>
            </w:tcBorders>
          </w:tcPr>
          <w:p w14:paraId="4E1535BA" w14:textId="77777777" w:rsidR="00814F74" w:rsidRPr="00BF06FC" w:rsidRDefault="00814F74" w:rsidP="00DF5EF9">
            <w:pPr>
              <w:pStyle w:val="TableText0"/>
              <w:keepNext w:val="0"/>
              <w:ind w:left="106"/>
            </w:pPr>
            <w:r w:rsidRPr="00BF06FC">
              <w:t>LV disease</w:t>
            </w:r>
          </w:p>
        </w:tc>
        <w:tc>
          <w:tcPr>
            <w:tcW w:w="652" w:type="pct"/>
            <w:tcBorders>
              <w:top w:val="nil"/>
              <w:bottom w:val="nil"/>
            </w:tcBorders>
            <w:vAlign w:val="center"/>
          </w:tcPr>
          <w:p w14:paraId="1EBAEFD9"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0490120E"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26115BBC"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02F8FB11"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24C45E65"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2" w:type="pct"/>
            <w:tcBorders>
              <w:top w:val="nil"/>
              <w:bottom w:val="nil"/>
            </w:tcBorders>
            <w:vAlign w:val="center"/>
          </w:tcPr>
          <w:p w14:paraId="1C660A69"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r>
      <w:tr w:rsidR="00550468" w:rsidRPr="00BF06FC" w14:paraId="774653EE" w14:textId="77777777" w:rsidTr="0065373E">
        <w:tc>
          <w:tcPr>
            <w:tcW w:w="1085" w:type="pct"/>
            <w:tcBorders>
              <w:top w:val="nil"/>
              <w:bottom w:val="nil"/>
            </w:tcBorders>
          </w:tcPr>
          <w:p w14:paraId="43DD5929" w14:textId="77777777" w:rsidR="00814F74" w:rsidRPr="00BF06FC" w:rsidRDefault="00814F74" w:rsidP="00DF5EF9">
            <w:pPr>
              <w:pStyle w:val="TableText0"/>
              <w:keepNext w:val="0"/>
              <w:ind w:left="106"/>
            </w:pPr>
            <w:r w:rsidRPr="00BF06FC">
              <w:t>HV disease</w:t>
            </w:r>
          </w:p>
        </w:tc>
        <w:tc>
          <w:tcPr>
            <w:tcW w:w="652" w:type="pct"/>
            <w:tcBorders>
              <w:top w:val="nil"/>
              <w:bottom w:val="nil"/>
            </w:tcBorders>
            <w:vAlign w:val="center"/>
          </w:tcPr>
          <w:p w14:paraId="1DB24367"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5AD08129"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0BF7EB52"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410B7212"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6F23E8BD"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2" w:type="pct"/>
            <w:tcBorders>
              <w:top w:val="nil"/>
              <w:bottom w:val="nil"/>
            </w:tcBorders>
            <w:vAlign w:val="center"/>
          </w:tcPr>
          <w:p w14:paraId="4FA49072"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r>
      <w:tr w:rsidR="00550468" w:rsidRPr="00BF06FC" w14:paraId="4D8484AF" w14:textId="77777777" w:rsidTr="0065373E">
        <w:tc>
          <w:tcPr>
            <w:tcW w:w="1085" w:type="pct"/>
            <w:tcBorders>
              <w:top w:val="nil"/>
              <w:bottom w:val="single" w:sz="4" w:space="0" w:color="auto"/>
            </w:tcBorders>
          </w:tcPr>
          <w:p w14:paraId="600ECE97" w14:textId="77777777" w:rsidR="00814F74" w:rsidRPr="00BF06FC" w:rsidRDefault="00814F74" w:rsidP="00DF5EF9">
            <w:pPr>
              <w:pStyle w:val="TableText0"/>
              <w:keepNext w:val="0"/>
            </w:pPr>
            <w:r w:rsidRPr="00BF06FC">
              <w:rPr>
                <w:b/>
              </w:rPr>
              <w:t xml:space="preserve">Total patients eligible (in </w:t>
            </w:r>
            <w:proofErr w:type="spellStart"/>
            <w:proofErr w:type="gramStart"/>
            <w:r w:rsidRPr="00BF06FC">
              <w:rPr>
                <w:b/>
              </w:rPr>
              <w:t>yr</w:t>
            </w:r>
            <w:proofErr w:type="spellEnd"/>
            <w:r w:rsidRPr="00BF06FC">
              <w:rPr>
                <w:b/>
              </w:rPr>
              <w:t>)^</w:t>
            </w:r>
            <w:proofErr w:type="gramEnd"/>
          </w:p>
        </w:tc>
        <w:tc>
          <w:tcPr>
            <w:tcW w:w="652" w:type="pct"/>
            <w:tcBorders>
              <w:top w:val="nil"/>
              <w:bottom w:val="single" w:sz="4" w:space="0" w:color="auto"/>
            </w:tcBorders>
            <w:vAlign w:val="center"/>
          </w:tcPr>
          <w:p w14:paraId="33185DE2" w14:textId="77777777" w:rsidR="00814F74" w:rsidRPr="002037C2" w:rsidRDefault="002037C2" w:rsidP="00DF5EF9">
            <w:pPr>
              <w:pStyle w:val="TableText0"/>
              <w:keepNext w:val="0"/>
              <w:jc w:val="center"/>
              <w:rPr>
                <w:iCs/>
              </w:rPr>
            </w:pPr>
            <w:r>
              <w:rPr>
                <w:b/>
                <w:iCs/>
                <w:noProof/>
                <w:color w:val="000000"/>
                <w:highlight w:val="black"/>
              </w:rPr>
              <w:t xml:space="preserve">'''''''''''' </w:t>
            </w:r>
            <w:r w:rsidR="00C80827">
              <w:rPr>
                <w:sz w:val="18"/>
                <w:vertAlign w:val="superscript"/>
              </w:rPr>
              <w:t>1</w:t>
            </w:r>
          </w:p>
        </w:tc>
        <w:tc>
          <w:tcPr>
            <w:tcW w:w="653" w:type="pct"/>
            <w:tcBorders>
              <w:top w:val="nil"/>
              <w:bottom w:val="single" w:sz="4" w:space="0" w:color="auto"/>
            </w:tcBorders>
            <w:vAlign w:val="center"/>
          </w:tcPr>
          <w:p w14:paraId="48D67793" w14:textId="77777777" w:rsidR="00814F74" w:rsidRPr="002037C2" w:rsidRDefault="002037C2" w:rsidP="00DF5EF9">
            <w:pPr>
              <w:pStyle w:val="TableText0"/>
              <w:keepNext w:val="0"/>
              <w:jc w:val="center"/>
              <w:rPr>
                <w:iCs/>
              </w:rPr>
            </w:pPr>
            <w:r>
              <w:rPr>
                <w:b/>
                <w:iCs/>
                <w:noProof/>
                <w:color w:val="000000"/>
                <w:highlight w:val="black"/>
              </w:rPr>
              <w:t>''''''''''''</w:t>
            </w:r>
            <w:r w:rsidR="00C80827">
              <w:rPr>
                <w:sz w:val="18"/>
                <w:vertAlign w:val="superscript"/>
              </w:rPr>
              <w:t>1</w:t>
            </w:r>
            <w:r>
              <w:rPr>
                <w:b/>
                <w:iCs/>
                <w:noProof/>
                <w:color w:val="000000"/>
                <w:highlight w:val="black"/>
              </w:rPr>
              <w:t xml:space="preserve"> </w:t>
            </w:r>
          </w:p>
        </w:tc>
        <w:tc>
          <w:tcPr>
            <w:tcW w:w="653" w:type="pct"/>
            <w:tcBorders>
              <w:top w:val="nil"/>
              <w:bottom w:val="single" w:sz="4" w:space="0" w:color="auto"/>
            </w:tcBorders>
            <w:vAlign w:val="center"/>
          </w:tcPr>
          <w:p w14:paraId="66B61F63" w14:textId="77777777" w:rsidR="00814F74" w:rsidRPr="002037C2" w:rsidRDefault="002037C2" w:rsidP="00DF5EF9">
            <w:pPr>
              <w:pStyle w:val="TableText0"/>
              <w:keepNext w:val="0"/>
              <w:jc w:val="center"/>
              <w:rPr>
                <w:iCs/>
              </w:rPr>
            </w:pPr>
            <w:r>
              <w:rPr>
                <w:b/>
                <w:iCs/>
                <w:noProof/>
                <w:color w:val="000000"/>
                <w:highlight w:val="black"/>
              </w:rPr>
              <w:t>''''''''''</w:t>
            </w:r>
            <w:r w:rsidR="00C80827">
              <w:rPr>
                <w:sz w:val="18"/>
                <w:vertAlign w:val="superscript"/>
              </w:rPr>
              <w:t>1</w:t>
            </w:r>
            <w:r>
              <w:rPr>
                <w:b/>
                <w:iCs/>
                <w:noProof/>
                <w:color w:val="000000"/>
                <w:highlight w:val="black"/>
              </w:rPr>
              <w:t xml:space="preserve"> </w:t>
            </w:r>
          </w:p>
        </w:tc>
        <w:tc>
          <w:tcPr>
            <w:tcW w:w="653" w:type="pct"/>
            <w:tcBorders>
              <w:top w:val="nil"/>
              <w:bottom w:val="single" w:sz="4" w:space="0" w:color="auto"/>
            </w:tcBorders>
            <w:vAlign w:val="center"/>
          </w:tcPr>
          <w:p w14:paraId="73DF02C3" w14:textId="77777777" w:rsidR="00814F74" w:rsidRPr="002037C2" w:rsidRDefault="002037C2" w:rsidP="00DF5EF9">
            <w:pPr>
              <w:pStyle w:val="TableText0"/>
              <w:keepNext w:val="0"/>
              <w:jc w:val="center"/>
              <w:rPr>
                <w:iCs/>
              </w:rPr>
            </w:pPr>
            <w:r>
              <w:rPr>
                <w:b/>
                <w:iCs/>
                <w:noProof/>
                <w:color w:val="000000"/>
                <w:highlight w:val="black"/>
              </w:rPr>
              <w:t>''''''''''</w:t>
            </w:r>
            <w:r w:rsidR="00C80827">
              <w:rPr>
                <w:sz w:val="18"/>
                <w:vertAlign w:val="superscript"/>
              </w:rPr>
              <w:t>1</w:t>
            </w:r>
            <w:r>
              <w:rPr>
                <w:b/>
                <w:iCs/>
                <w:noProof/>
                <w:color w:val="000000"/>
                <w:highlight w:val="black"/>
              </w:rPr>
              <w:t xml:space="preserve"> </w:t>
            </w:r>
          </w:p>
        </w:tc>
        <w:tc>
          <w:tcPr>
            <w:tcW w:w="653" w:type="pct"/>
            <w:tcBorders>
              <w:top w:val="nil"/>
              <w:bottom w:val="single" w:sz="4" w:space="0" w:color="auto"/>
            </w:tcBorders>
            <w:vAlign w:val="center"/>
          </w:tcPr>
          <w:p w14:paraId="4D79DEF6" w14:textId="77777777" w:rsidR="00814F74" w:rsidRPr="002037C2" w:rsidRDefault="002037C2" w:rsidP="00DF5EF9">
            <w:pPr>
              <w:pStyle w:val="TableText0"/>
              <w:keepNext w:val="0"/>
              <w:jc w:val="center"/>
              <w:rPr>
                <w:iCs/>
              </w:rPr>
            </w:pPr>
            <w:r>
              <w:rPr>
                <w:b/>
                <w:iCs/>
                <w:noProof/>
                <w:color w:val="000000"/>
                <w:highlight w:val="black"/>
              </w:rPr>
              <w:t>'''''''''''</w:t>
            </w:r>
            <w:r w:rsidR="00C80827">
              <w:rPr>
                <w:sz w:val="18"/>
                <w:vertAlign w:val="superscript"/>
              </w:rPr>
              <w:t>1</w:t>
            </w:r>
            <w:r>
              <w:rPr>
                <w:b/>
                <w:iCs/>
                <w:noProof/>
                <w:color w:val="000000"/>
                <w:highlight w:val="black"/>
              </w:rPr>
              <w:t xml:space="preserve"> </w:t>
            </w:r>
          </w:p>
        </w:tc>
        <w:tc>
          <w:tcPr>
            <w:tcW w:w="652" w:type="pct"/>
            <w:tcBorders>
              <w:top w:val="nil"/>
              <w:bottom w:val="single" w:sz="4" w:space="0" w:color="auto"/>
            </w:tcBorders>
            <w:vAlign w:val="center"/>
          </w:tcPr>
          <w:p w14:paraId="576B6167" w14:textId="77777777" w:rsidR="00814F74" w:rsidRPr="002037C2" w:rsidRDefault="002037C2" w:rsidP="00DF5EF9">
            <w:pPr>
              <w:pStyle w:val="TableText0"/>
              <w:keepNext w:val="0"/>
              <w:jc w:val="center"/>
              <w:rPr>
                <w:iCs/>
              </w:rPr>
            </w:pPr>
            <w:r>
              <w:rPr>
                <w:b/>
                <w:iCs/>
                <w:noProof/>
                <w:color w:val="000000"/>
                <w:highlight w:val="black"/>
              </w:rPr>
              <w:t>'''''''''''</w:t>
            </w:r>
            <w:r w:rsidR="00C80827">
              <w:rPr>
                <w:sz w:val="18"/>
                <w:vertAlign w:val="superscript"/>
              </w:rPr>
              <w:t>1</w:t>
            </w:r>
          </w:p>
        </w:tc>
      </w:tr>
      <w:tr w:rsidR="00814F74" w:rsidRPr="00BF06FC" w14:paraId="737800FD" w14:textId="77777777" w:rsidTr="0065373E">
        <w:tc>
          <w:tcPr>
            <w:tcW w:w="5000" w:type="pct"/>
            <w:gridSpan w:val="7"/>
            <w:tcBorders>
              <w:bottom w:val="nil"/>
            </w:tcBorders>
          </w:tcPr>
          <w:p w14:paraId="6FE3065D" w14:textId="77777777" w:rsidR="00814F74" w:rsidRPr="00BF06FC" w:rsidRDefault="00814F74" w:rsidP="00DF5EF9">
            <w:pPr>
              <w:pStyle w:val="TableText0"/>
              <w:keepNext w:val="0"/>
              <w:rPr>
                <w:b/>
              </w:rPr>
            </w:pPr>
            <w:r w:rsidRPr="00BF06FC">
              <w:rPr>
                <w:b/>
              </w:rPr>
              <w:t>Estimated number of patients likely to take APA</w:t>
            </w:r>
          </w:p>
        </w:tc>
      </w:tr>
      <w:tr w:rsidR="00550468" w:rsidRPr="00BF06FC" w14:paraId="1C7D74EF" w14:textId="77777777" w:rsidTr="0065373E">
        <w:tc>
          <w:tcPr>
            <w:tcW w:w="1085" w:type="pct"/>
            <w:tcBorders>
              <w:bottom w:val="nil"/>
            </w:tcBorders>
          </w:tcPr>
          <w:p w14:paraId="5DCAD6A1" w14:textId="77777777" w:rsidR="00814F74" w:rsidRPr="00BF06FC" w:rsidRDefault="00814F74" w:rsidP="00DF5EF9">
            <w:pPr>
              <w:pStyle w:val="TableText0"/>
              <w:keepNext w:val="0"/>
              <w:rPr>
                <w:b/>
              </w:rPr>
            </w:pPr>
            <w:r w:rsidRPr="00BF06FC">
              <w:rPr>
                <w:b/>
              </w:rPr>
              <w:t>Total patient initiations</w:t>
            </w:r>
          </w:p>
        </w:tc>
        <w:tc>
          <w:tcPr>
            <w:tcW w:w="652" w:type="pct"/>
            <w:tcBorders>
              <w:bottom w:val="nil"/>
            </w:tcBorders>
            <w:vAlign w:val="center"/>
          </w:tcPr>
          <w:p w14:paraId="4998CDE8" w14:textId="77777777" w:rsidR="00814F74" w:rsidRPr="002037C2" w:rsidRDefault="002037C2" w:rsidP="00DF5EF9">
            <w:pPr>
              <w:pStyle w:val="TableText0"/>
              <w:keepNext w:val="0"/>
              <w:jc w:val="center"/>
              <w:rPr>
                <w:b/>
              </w:rPr>
            </w:pPr>
            <w:r>
              <w:rPr>
                <w:b/>
                <w:noProof/>
                <w:color w:val="000000"/>
                <w:highlight w:val="black"/>
              </w:rPr>
              <w:t xml:space="preserve">'''''''''''' </w:t>
            </w:r>
            <w:r w:rsidR="00C80827">
              <w:rPr>
                <w:sz w:val="18"/>
                <w:vertAlign w:val="superscript"/>
              </w:rPr>
              <w:t>1</w:t>
            </w:r>
          </w:p>
        </w:tc>
        <w:tc>
          <w:tcPr>
            <w:tcW w:w="653" w:type="pct"/>
            <w:tcBorders>
              <w:bottom w:val="nil"/>
            </w:tcBorders>
            <w:vAlign w:val="center"/>
          </w:tcPr>
          <w:p w14:paraId="06201AF2"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bottom w:val="nil"/>
            </w:tcBorders>
            <w:vAlign w:val="center"/>
          </w:tcPr>
          <w:p w14:paraId="18B66B57"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bottom w:val="nil"/>
            </w:tcBorders>
            <w:vAlign w:val="center"/>
          </w:tcPr>
          <w:p w14:paraId="2940AFA4"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3" w:type="pct"/>
            <w:tcBorders>
              <w:bottom w:val="nil"/>
            </w:tcBorders>
            <w:vAlign w:val="center"/>
          </w:tcPr>
          <w:p w14:paraId="319EE18C"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c>
          <w:tcPr>
            <w:tcW w:w="652" w:type="pct"/>
            <w:tcBorders>
              <w:bottom w:val="nil"/>
            </w:tcBorders>
            <w:vAlign w:val="center"/>
          </w:tcPr>
          <w:p w14:paraId="373F8FD3"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r>
              <w:rPr>
                <w:b/>
                <w:noProof/>
                <w:color w:val="000000"/>
                <w:highlight w:val="black"/>
              </w:rPr>
              <w:t xml:space="preserve"> </w:t>
            </w:r>
          </w:p>
        </w:tc>
      </w:tr>
      <w:tr w:rsidR="00550468" w:rsidRPr="00BF06FC" w14:paraId="695D4768" w14:textId="77777777" w:rsidTr="0065373E">
        <w:tc>
          <w:tcPr>
            <w:tcW w:w="1085" w:type="pct"/>
            <w:tcBorders>
              <w:top w:val="nil"/>
              <w:bottom w:val="nil"/>
            </w:tcBorders>
          </w:tcPr>
          <w:p w14:paraId="13FBC227" w14:textId="77777777" w:rsidR="00814F74" w:rsidRPr="00BF06FC" w:rsidRDefault="00814F74" w:rsidP="00DF5EF9">
            <w:pPr>
              <w:pStyle w:val="TableText0"/>
              <w:keepNext w:val="0"/>
              <w:ind w:left="106"/>
            </w:pPr>
            <w:r w:rsidRPr="00BF06FC">
              <w:t>LV disease</w:t>
            </w:r>
          </w:p>
        </w:tc>
        <w:tc>
          <w:tcPr>
            <w:tcW w:w="652" w:type="pct"/>
            <w:tcBorders>
              <w:top w:val="nil"/>
              <w:bottom w:val="nil"/>
            </w:tcBorders>
            <w:vAlign w:val="center"/>
          </w:tcPr>
          <w:p w14:paraId="3C541707"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01043E9D"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1AE2C310"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0861EEDF"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30158684"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2" w:type="pct"/>
            <w:tcBorders>
              <w:top w:val="nil"/>
              <w:bottom w:val="nil"/>
            </w:tcBorders>
            <w:vAlign w:val="center"/>
          </w:tcPr>
          <w:p w14:paraId="44D63934"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r>
      <w:tr w:rsidR="00550468" w:rsidRPr="00BF06FC" w14:paraId="6D4757EB" w14:textId="77777777" w:rsidTr="0065373E">
        <w:tc>
          <w:tcPr>
            <w:tcW w:w="1085" w:type="pct"/>
            <w:tcBorders>
              <w:top w:val="nil"/>
              <w:bottom w:val="nil"/>
            </w:tcBorders>
          </w:tcPr>
          <w:p w14:paraId="3A895C44" w14:textId="77777777" w:rsidR="00814F74" w:rsidRPr="00BF06FC" w:rsidRDefault="00814F74" w:rsidP="00DF5EF9">
            <w:pPr>
              <w:pStyle w:val="TableText0"/>
              <w:keepNext w:val="0"/>
              <w:ind w:left="106"/>
            </w:pPr>
            <w:r w:rsidRPr="00BF06FC">
              <w:t>HV disease</w:t>
            </w:r>
          </w:p>
        </w:tc>
        <w:tc>
          <w:tcPr>
            <w:tcW w:w="652" w:type="pct"/>
            <w:tcBorders>
              <w:top w:val="nil"/>
              <w:bottom w:val="nil"/>
            </w:tcBorders>
            <w:vAlign w:val="center"/>
          </w:tcPr>
          <w:p w14:paraId="42A55D5E"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5CFBAF9F"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3E8D43C0"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4C6CE02F"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3" w:type="pct"/>
            <w:tcBorders>
              <w:top w:val="nil"/>
              <w:bottom w:val="nil"/>
            </w:tcBorders>
            <w:vAlign w:val="center"/>
          </w:tcPr>
          <w:p w14:paraId="07E15733"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c>
          <w:tcPr>
            <w:tcW w:w="652" w:type="pct"/>
            <w:tcBorders>
              <w:top w:val="nil"/>
              <w:bottom w:val="nil"/>
            </w:tcBorders>
            <w:vAlign w:val="center"/>
          </w:tcPr>
          <w:p w14:paraId="6ADAF71F" w14:textId="77777777" w:rsidR="00814F74" w:rsidRPr="002037C2" w:rsidRDefault="002037C2" w:rsidP="00DF5EF9">
            <w:pPr>
              <w:pStyle w:val="TableText0"/>
              <w:keepNext w:val="0"/>
              <w:jc w:val="center"/>
            </w:pPr>
            <w:r>
              <w:rPr>
                <w:noProof/>
                <w:color w:val="000000"/>
                <w:highlight w:val="black"/>
              </w:rPr>
              <w:t xml:space="preserve">'''''''' </w:t>
            </w:r>
            <w:r w:rsidR="00C80827">
              <w:rPr>
                <w:sz w:val="18"/>
                <w:vertAlign w:val="superscript"/>
              </w:rPr>
              <w:t>1</w:t>
            </w:r>
          </w:p>
        </w:tc>
      </w:tr>
      <w:tr w:rsidR="00814F74" w:rsidRPr="00BF06FC" w14:paraId="0587DDB9" w14:textId="77777777" w:rsidTr="0065373E">
        <w:tc>
          <w:tcPr>
            <w:tcW w:w="5000" w:type="pct"/>
            <w:gridSpan w:val="7"/>
            <w:tcBorders>
              <w:bottom w:val="nil"/>
            </w:tcBorders>
          </w:tcPr>
          <w:p w14:paraId="6504D5B8" w14:textId="77777777" w:rsidR="00814F74" w:rsidRPr="00BF06FC" w:rsidRDefault="00814F74" w:rsidP="00DF5EF9">
            <w:pPr>
              <w:pStyle w:val="TableText0"/>
              <w:keepNext w:val="0"/>
              <w:rPr>
                <w:b/>
              </w:rPr>
            </w:pPr>
            <w:r w:rsidRPr="00BF06FC">
              <w:rPr>
                <w:b/>
              </w:rPr>
              <w:t>Estimated use of APA</w:t>
            </w:r>
          </w:p>
        </w:tc>
      </w:tr>
      <w:tr w:rsidR="00550468" w:rsidRPr="00BF06FC" w14:paraId="1BC26ED4" w14:textId="77777777" w:rsidTr="0065373E">
        <w:tc>
          <w:tcPr>
            <w:tcW w:w="1085" w:type="pct"/>
            <w:tcBorders>
              <w:bottom w:val="nil"/>
            </w:tcBorders>
          </w:tcPr>
          <w:p w14:paraId="4851A892" w14:textId="77777777" w:rsidR="00814F74" w:rsidRPr="00BF06FC" w:rsidRDefault="00814F74" w:rsidP="00DF5EF9">
            <w:pPr>
              <w:pStyle w:val="TableText0"/>
              <w:keepNext w:val="0"/>
              <w:rPr>
                <w:b/>
              </w:rPr>
            </w:pPr>
            <w:r w:rsidRPr="00BF06FC">
              <w:rPr>
                <w:b/>
              </w:rPr>
              <w:t>Patient-years on APA</w:t>
            </w:r>
          </w:p>
        </w:tc>
        <w:tc>
          <w:tcPr>
            <w:tcW w:w="652" w:type="pct"/>
            <w:tcBorders>
              <w:bottom w:val="nil"/>
            </w:tcBorders>
            <w:vAlign w:val="center"/>
          </w:tcPr>
          <w:p w14:paraId="7FBCC2E0"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p>
        </w:tc>
        <w:tc>
          <w:tcPr>
            <w:tcW w:w="653" w:type="pct"/>
            <w:tcBorders>
              <w:bottom w:val="nil"/>
            </w:tcBorders>
            <w:vAlign w:val="center"/>
          </w:tcPr>
          <w:p w14:paraId="078D036A"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p>
        </w:tc>
        <w:tc>
          <w:tcPr>
            <w:tcW w:w="653" w:type="pct"/>
            <w:tcBorders>
              <w:bottom w:val="nil"/>
            </w:tcBorders>
            <w:vAlign w:val="center"/>
          </w:tcPr>
          <w:p w14:paraId="47C8ACAF"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w:t>
            </w:r>
          </w:p>
        </w:tc>
        <w:tc>
          <w:tcPr>
            <w:tcW w:w="653" w:type="pct"/>
            <w:tcBorders>
              <w:bottom w:val="nil"/>
            </w:tcBorders>
            <w:vAlign w:val="center"/>
          </w:tcPr>
          <w:p w14:paraId="789591BC"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2</w:t>
            </w:r>
          </w:p>
        </w:tc>
        <w:tc>
          <w:tcPr>
            <w:tcW w:w="653" w:type="pct"/>
            <w:tcBorders>
              <w:bottom w:val="nil"/>
            </w:tcBorders>
            <w:vAlign w:val="center"/>
          </w:tcPr>
          <w:p w14:paraId="1D04C32C"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2</w:t>
            </w:r>
          </w:p>
        </w:tc>
        <w:tc>
          <w:tcPr>
            <w:tcW w:w="652" w:type="pct"/>
            <w:tcBorders>
              <w:bottom w:val="nil"/>
            </w:tcBorders>
            <w:vAlign w:val="center"/>
          </w:tcPr>
          <w:p w14:paraId="5AC03BC9"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2</w:t>
            </w:r>
          </w:p>
        </w:tc>
      </w:tr>
      <w:tr w:rsidR="00550468" w:rsidRPr="00BF06FC" w14:paraId="7CC72000" w14:textId="77777777" w:rsidTr="0065373E">
        <w:tc>
          <w:tcPr>
            <w:tcW w:w="1085" w:type="pct"/>
            <w:tcBorders>
              <w:top w:val="nil"/>
              <w:bottom w:val="nil"/>
            </w:tcBorders>
          </w:tcPr>
          <w:p w14:paraId="0D228892" w14:textId="77777777" w:rsidR="00814F74" w:rsidRPr="00BF06FC" w:rsidRDefault="00814F74" w:rsidP="00DF5EF9">
            <w:pPr>
              <w:pStyle w:val="TableText0"/>
              <w:keepNext w:val="0"/>
              <w:ind w:left="106"/>
            </w:pPr>
            <w:r w:rsidRPr="00BF06FC">
              <w:t>LV disease</w:t>
            </w:r>
          </w:p>
        </w:tc>
        <w:tc>
          <w:tcPr>
            <w:tcW w:w="652" w:type="pct"/>
            <w:tcBorders>
              <w:top w:val="nil"/>
              <w:bottom w:val="nil"/>
            </w:tcBorders>
            <w:vAlign w:val="center"/>
          </w:tcPr>
          <w:p w14:paraId="00DDFC72"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5F2A45C1"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73C2DA9F"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154A0571"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bottom w:val="nil"/>
            </w:tcBorders>
            <w:vAlign w:val="center"/>
          </w:tcPr>
          <w:p w14:paraId="53BF874F"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2" w:type="pct"/>
            <w:tcBorders>
              <w:top w:val="nil"/>
              <w:bottom w:val="nil"/>
            </w:tcBorders>
            <w:vAlign w:val="center"/>
          </w:tcPr>
          <w:p w14:paraId="75B6B192"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2</w:t>
            </w:r>
          </w:p>
        </w:tc>
      </w:tr>
      <w:tr w:rsidR="00550468" w:rsidRPr="00BF06FC" w14:paraId="05794BD1" w14:textId="77777777" w:rsidTr="0065373E">
        <w:tc>
          <w:tcPr>
            <w:tcW w:w="1085" w:type="pct"/>
            <w:tcBorders>
              <w:top w:val="nil"/>
              <w:left w:val="single" w:sz="4" w:space="0" w:color="auto"/>
              <w:bottom w:val="nil"/>
              <w:right w:val="single" w:sz="4" w:space="0" w:color="auto"/>
            </w:tcBorders>
            <w:shd w:val="clear" w:color="auto" w:fill="FFFFFF" w:themeFill="background1"/>
          </w:tcPr>
          <w:p w14:paraId="7E23AAD7" w14:textId="77777777" w:rsidR="00814F74" w:rsidRPr="00BF06FC" w:rsidRDefault="00814F74" w:rsidP="00DF5EF9">
            <w:pPr>
              <w:pStyle w:val="TableText0"/>
              <w:keepNext w:val="0"/>
              <w:ind w:left="106"/>
            </w:pPr>
            <w:r w:rsidRPr="00BF06FC">
              <w:t>HV disease</w:t>
            </w:r>
          </w:p>
        </w:tc>
        <w:tc>
          <w:tcPr>
            <w:tcW w:w="652" w:type="pct"/>
            <w:tcBorders>
              <w:top w:val="nil"/>
              <w:left w:val="single" w:sz="4" w:space="0" w:color="auto"/>
              <w:bottom w:val="nil"/>
              <w:right w:val="single" w:sz="4" w:space="0" w:color="auto"/>
            </w:tcBorders>
            <w:shd w:val="clear" w:color="auto" w:fill="FFFFFF" w:themeFill="background1"/>
            <w:vAlign w:val="center"/>
          </w:tcPr>
          <w:p w14:paraId="395DEA46"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left w:val="nil"/>
              <w:bottom w:val="nil"/>
              <w:right w:val="single" w:sz="4" w:space="0" w:color="auto"/>
            </w:tcBorders>
            <w:shd w:val="clear" w:color="auto" w:fill="FFFFFF" w:themeFill="background1"/>
            <w:vAlign w:val="center"/>
          </w:tcPr>
          <w:p w14:paraId="62F1561F"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left w:val="nil"/>
              <w:bottom w:val="nil"/>
              <w:right w:val="single" w:sz="4" w:space="0" w:color="auto"/>
            </w:tcBorders>
            <w:shd w:val="clear" w:color="auto" w:fill="FFFFFF" w:themeFill="background1"/>
            <w:vAlign w:val="center"/>
          </w:tcPr>
          <w:p w14:paraId="5F81C32B"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left w:val="nil"/>
              <w:bottom w:val="nil"/>
              <w:right w:val="single" w:sz="4" w:space="0" w:color="auto"/>
            </w:tcBorders>
            <w:shd w:val="clear" w:color="auto" w:fill="FFFFFF" w:themeFill="background1"/>
            <w:vAlign w:val="center"/>
          </w:tcPr>
          <w:p w14:paraId="102935A5"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3" w:type="pct"/>
            <w:tcBorders>
              <w:top w:val="nil"/>
              <w:left w:val="nil"/>
              <w:bottom w:val="nil"/>
              <w:right w:val="single" w:sz="4" w:space="0" w:color="auto"/>
            </w:tcBorders>
            <w:shd w:val="clear" w:color="auto" w:fill="FFFFFF" w:themeFill="background1"/>
            <w:vAlign w:val="center"/>
          </w:tcPr>
          <w:p w14:paraId="17FBB96F"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c>
          <w:tcPr>
            <w:tcW w:w="652" w:type="pct"/>
            <w:tcBorders>
              <w:top w:val="nil"/>
              <w:left w:val="nil"/>
              <w:bottom w:val="nil"/>
              <w:right w:val="single" w:sz="4" w:space="0" w:color="auto"/>
            </w:tcBorders>
            <w:shd w:val="clear" w:color="auto" w:fill="FFFFFF" w:themeFill="background1"/>
            <w:vAlign w:val="center"/>
          </w:tcPr>
          <w:p w14:paraId="2F059D89"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w:t>
            </w:r>
          </w:p>
        </w:tc>
      </w:tr>
      <w:tr w:rsidR="00550468" w:rsidRPr="00BF06FC" w14:paraId="28774172" w14:textId="77777777" w:rsidTr="0065373E">
        <w:tc>
          <w:tcPr>
            <w:tcW w:w="1085" w:type="pct"/>
            <w:tcBorders>
              <w:top w:val="single" w:sz="4" w:space="0" w:color="auto"/>
              <w:left w:val="single" w:sz="4" w:space="0" w:color="auto"/>
              <w:bottom w:val="nil"/>
              <w:right w:val="single" w:sz="4" w:space="0" w:color="auto"/>
            </w:tcBorders>
            <w:shd w:val="clear" w:color="auto" w:fill="FFFFFF" w:themeFill="background1"/>
          </w:tcPr>
          <w:p w14:paraId="195E4980" w14:textId="77777777" w:rsidR="00814F74" w:rsidRPr="00BF06FC" w:rsidRDefault="00814F74" w:rsidP="00DF5EF9">
            <w:pPr>
              <w:pStyle w:val="TableText0"/>
              <w:keepNext w:val="0"/>
              <w:rPr>
                <w:b/>
              </w:rPr>
            </w:pPr>
            <w:r w:rsidRPr="00BF06FC">
              <w:rPr>
                <w:b/>
              </w:rPr>
              <w:t>APA scripts</w:t>
            </w:r>
          </w:p>
        </w:tc>
        <w:tc>
          <w:tcPr>
            <w:tcW w:w="652" w:type="pct"/>
            <w:tcBorders>
              <w:top w:val="single" w:sz="4" w:space="0" w:color="auto"/>
              <w:left w:val="single" w:sz="4" w:space="0" w:color="auto"/>
              <w:bottom w:val="nil"/>
              <w:right w:val="single" w:sz="4" w:space="0" w:color="auto"/>
            </w:tcBorders>
            <w:shd w:val="clear" w:color="auto" w:fill="FFFFFF" w:themeFill="background1"/>
            <w:vAlign w:val="center"/>
          </w:tcPr>
          <w:p w14:paraId="51366C4C"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4</w:t>
            </w:r>
          </w:p>
        </w:tc>
        <w:tc>
          <w:tcPr>
            <w:tcW w:w="653" w:type="pct"/>
            <w:tcBorders>
              <w:top w:val="single" w:sz="4" w:space="0" w:color="auto"/>
              <w:left w:val="nil"/>
              <w:bottom w:val="nil"/>
              <w:right w:val="single" w:sz="4" w:space="0" w:color="auto"/>
            </w:tcBorders>
            <w:shd w:val="clear" w:color="auto" w:fill="FFFFFF" w:themeFill="background1"/>
            <w:vAlign w:val="center"/>
          </w:tcPr>
          <w:p w14:paraId="2FE56D50"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5</w:t>
            </w:r>
          </w:p>
        </w:tc>
        <w:tc>
          <w:tcPr>
            <w:tcW w:w="653" w:type="pct"/>
            <w:tcBorders>
              <w:top w:val="single" w:sz="4" w:space="0" w:color="auto"/>
              <w:left w:val="nil"/>
              <w:bottom w:val="nil"/>
              <w:right w:val="single" w:sz="4" w:space="0" w:color="auto"/>
            </w:tcBorders>
            <w:shd w:val="clear" w:color="auto" w:fill="FFFFFF" w:themeFill="background1"/>
            <w:vAlign w:val="center"/>
          </w:tcPr>
          <w:p w14:paraId="0F9F5767"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7</w:t>
            </w:r>
          </w:p>
        </w:tc>
        <w:tc>
          <w:tcPr>
            <w:tcW w:w="653" w:type="pct"/>
            <w:tcBorders>
              <w:top w:val="single" w:sz="4" w:space="0" w:color="auto"/>
              <w:left w:val="nil"/>
              <w:bottom w:val="nil"/>
              <w:right w:val="single" w:sz="4" w:space="0" w:color="auto"/>
            </w:tcBorders>
            <w:shd w:val="clear" w:color="auto" w:fill="FFFFFF" w:themeFill="background1"/>
            <w:vAlign w:val="center"/>
          </w:tcPr>
          <w:p w14:paraId="6EE8CCE0"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8</w:t>
            </w:r>
          </w:p>
        </w:tc>
        <w:tc>
          <w:tcPr>
            <w:tcW w:w="653" w:type="pct"/>
            <w:tcBorders>
              <w:top w:val="single" w:sz="4" w:space="0" w:color="auto"/>
              <w:left w:val="nil"/>
              <w:bottom w:val="nil"/>
              <w:right w:val="single" w:sz="4" w:space="0" w:color="auto"/>
            </w:tcBorders>
            <w:shd w:val="clear" w:color="auto" w:fill="FFFFFF" w:themeFill="background1"/>
            <w:vAlign w:val="center"/>
          </w:tcPr>
          <w:p w14:paraId="7408B1FF"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9</w:t>
            </w:r>
          </w:p>
        </w:tc>
        <w:tc>
          <w:tcPr>
            <w:tcW w:w="652" w:type="pct"/>
            <w:tcBorders>
              <w:top w:val="single" w:sz="4" w:space="0" w:color="auto"/>
              <w:left w:val="nil"/>
              <w:bottom w:val="nil"/>
              <w:right w:val="single" w:sz="4" w:space="0" w:color="auto"/>
            </w:tcBorders>
            <w:shd w:val="clear" w:color="auto" w:fill="FFFFFF" w:themeFill="background1"/>
            <w:vAlign w:val="center"/>
          </w:tcPr>
          <w:p w14:paraId="0CA170F6"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10</w:t>
            </w:r>
          </w:p>
        </w:tc>
      </w:tr>
      <w:tr w:rsidR="00550468" w:rsidRPr="00BF06FC" w14:paraId="6F3AE169" w14:textId="77777777" w:rsidTr="0065373E">
        <w:tc>
          <w:tcPr>
            <w:tcW w:w="1085" w:type="pct"/>
            <w:tcBorders>
              <w:top w:val="nil"/>
              <w:left w:val="single" w:sz="4" w:space="0" w:color="auto"/>
              <w:bottom w:val="nil"/>
              <w:right w:val="single" w:sz="4" w:space="0" w:color="auto"/>
            </w:tcBorders>
            <w:shd w:val="clear" w:color="auto" w:fill="FFFFFF" w:themeFill="background1"/>
          </w:tcPr>
          <w:p w14:paraId="02166F1C" w14:textId="77777777" w:rsidR="00814F74" w:rsidRPr="00BF06FC" w:rsidRDefault="00814F74" w:rsidP="00DF5EF9">
            <w:pPr>
              <w:pStyle w:val="TableText0"/>
              <w:keepNext w:val="0"/>
              <w:ind w:left="106"/>
            </w:pPr>
            <w:r w:rsidRPr="00BF06FC">
              <w:t>LV disease</w:t>
            </w:r>
          </w:p>
        </w:tc>
        <w:tc>
          <w:tcPr>
            <w:tcW w:w="652" w:type="pct"/>
            <w:tcBorders>
              <w:top w:val="nil"/>
              <w:left w:val="single" w:sz="4" w:space="0" w:color="auto"/>
              <w:bottom w:val="nil"/>
              <w:right w:val="single" w:sz="4" w:space="0" w:color="auto"/>
            </w:tcBorders>
            <w:shd w:val="clear" w:color="auto" w:fill="FFFFFF" w:themeFill="background1"/>
            <w:vAlign w:val="center"/>
          </w:tcPr>
          <w:p w14:paraId="31B13D98"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3</w:t>
            </w:r>
          </w:p>
        </w:tc>
        <w:tc>
          <w:tcPr>
            <w:tcW w:w="653" w:type="pct"/>
            <w:tcBorders>
              <w:top w:val="nil"/>
              <w:left w:val="nil"/>
              <w:bottom w:val="nil"/>
              <w:right w:val="single" w:sz="4" w:space="0" w:color="auto"/>
            </w:tcBorders>
            <w:shd w:val="clear" w:color="auto" w:fill="FFFFFF" w:themeFill="background1"/>
            <w:vAlign w:val="center"/>
          </w:tcPr>
          <w:p w14:paraId="7794C171"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4</w:t>
            </w:r>
          </w:p>
        </w:tc>
        <w:tc>
          <w:tcPr>
            <w:tcW w:w="653" w:type="pct"/>
            <w:tcBorders>
              <w:top w:val="nil"/>
              <w:left w:val="nil"/>
              <w:bottom w:val="nil"/>
              <w:right w:val="single" w:sz="4" w:space="0" w:color="auto"/>
            </w:tcBorders>
            <w:shd w:val="clear" w:color="auto" w:fill="FFFFFF" w:themeFill="background1"/>
            <w:vAlign w:val="center"/>
          </w:tcPr>
          <w:p w14:paraId="20CDF900"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5</w:t>
            </w:r>
          </w:p>
        </w:tc>
        <w:tc>
          <w:tcPr>
            <w:tcW w:w="653" w:type="pct"/>
            <w:tcBorders>
              <w:top w:val="nil"/>
              <w:left w:val="nil"/>
              <w:bottom w:val="nil"/>
              <w:right w:val="single" w:sz="4" w:space="0" w:color="auto"/>
            </w:tcBorders>
            <w:shd w:val="clear" w:color="auto" w:fill="FFFFFF" w:themeFill="background1"/>
            <w:vAlign w:val="center"/>
          </w:tcPr>
          <w:p w14:paraId="18D62CAD" w14:textId="77777777" w:rsidR="00814F74" w:rsidRPr="002037C2" w:rsidRDefault="002037C2" w:rsidP="00DF5EF9">
            <w:pPr>
              <w:pStyle w:val="TableText0"/>
              <w:keepNext w:val="0"/>
              <w:jc w:val="center"/>
            </w:pPr>
            <w:r>
              <w:rPr>
                <w:noProof/>
                <w:color w:val="000000"/>
                <w:highlight w:val="black"/>
              </w:rPr>
              <w:t>'''''''''''''''</w:t>
            </w:r>
            <w:r w:rsidR="00C80827" w:rsidRPr="00C80827">
              <w:rPr>
                <w:sz w:val="18"/>
                <w:vertAlign w:val="superscript"/>
              </w:rPr>
              <w:t>6</w:t>
            </w:r>
          </w:p>
        </w:tc>
        <w:tc>
          <w:tcPr>
            <w:tcW w:w="653" w:type="pct"/>
            <w:tcBorders>
              <w:top w:val="nil"/>
              <w:left w:val="nil"/>
              <w:bottom w:val="nil"/>
              <w:right w:val="single" w:sz="4" w:space="0" w:color="auto"/>
            </w:tcBorders>
            <w:shd w:val="clear" w:color="auto" w:fill="FFFFFF" w:themeFill="background1"/>
            <w:vAlign w:val="center"/>
          </w:tcPr>
          <w:p w14:paraId="6B7C9ABF"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7</w:t>
            </w:r>
          </w:p>
        </w:tc>
        <w:tc>
          <w:tcPr>
            <w:tcW w:w="652" w:type="pct"/>
            <w:tcBorders>
              <w:top w:val="nil"/>
              <w:left w:val="nil"/>
              <w:bottom w:val="nil"/>
              <w:right w:val="single" w:sz="4" w:space="0" w:color="auto"/>
            </w:tcBorders>
            <w:shd w:val="clear" w:color="auto" w:fill="FFFFFF" w:themeFill="background1"/>
            <w:vAlign w:val="center"/>
          </w:tcPr>
          <w:p w14:paraId="2649908B"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8</w:t>
            </w:r>
          </w:p>
        </w:tc>
      </w:tr>
      <w:tr w:rsidR="00550468" w:rsidRPr="00BF06FC" w14:paraId="4290CA8C" w14:textId="77777777" w:rsidTr="0065373E">
        <w:tc>
          <w:tcPr>
            <w:tcW w:w="1085" w:type="pct"/>
            <w:tcBorders>
              <w:top w:val="nil"/>
              <w:left w:val="single" w:sz="4" w:space="0" w:color="auto"/>
              <w:bottom w:val="single" w:sz="4" w:space="0" w:color="auto"/>
              <w:right w:val="single" w:sz="4" w:space="0" w:color="auto"/>
            </w:tcBorders>
            <w:shd w:val="clear" w:color="auto" w:fill="auto"/>
          </w:tcPr>
          <w:p w14:paraId="40E66CD6" w14:textId="77777777" w:rsidR="00814F74" w:rsidRPr="00BF06FC" w:rsidRDefault="00814F74" w:rsidP="00DF5EF9">
            <w:pPr>
              <w:pStyle w:val="TableText0"/>
              <w:keepNext w:val="0"/>
              <w:ind w:left="106"/>
            </w:pPr>
            <w:r w:rsidRPr="00BF06FC">
              <w:t>HV disease</w:t>
            </w:r>
          </w:p>
        </w:tc>
        <w:tc>
          <w:tcPr>
            <w:tcW w:w="652" w:type="pct"/>
            <w:tcBorders>
              <w:top w:val="nil"/>
              <w:left w:val="single" w:sz="4" w:space="0" w:color="auto"/>
              <w:bottom w:val="single" w:sz="4" w:space="0" w:color="auto"/>
              <w:right w:val="single" w:sz="4" w:space="0" w:color="auto"/>
            </w:tcBorders>
            <w:shd w:val="clear" w:color="auto" w:fill="auto"/>
            <w:vAlign w:val="center"/>
          </w:tcPr>
          <w:p w14:paraId="62EA1299"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2</w:t>
            </w:r>
          </w:p>
        </w:tc>
        <w:tc>
          <w:tcPr>
            <w:tcW w:w="653" w:type="pct"/>
            <w:tcBorders>
              <w:top w:val="nil"/>
              <w:left w:val="nil"/>
              <w:bottom w:val="single" w:sz="4" w:space="0" w:color="auto"/>
              <w:right w:val="single" w:sz="4" w:space="0" w:color="auto"/>
            </w:tcBorders>
            <w:shd w:val="clear" w:color="auto" w:fill="auto"/>
            <w:vAlign w:val="center"/>
          </w:tcPr>
          <w:p w14:paraId="48D87503"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3</w:t>
            </w:r>
          </w:p>
        </w:tc>
        <w:tc>
          <w:tcPr>
            <w:tcW w:w="653" w:type="pct"/>
            <w:tcBorders>
              <w:top w:val="nil"/>
              <w:left w:val="nil"/>
              <w:bottom w:val="single" w:sz="4" w:space="0" w:color="auto"/>
              <w:right w:val="single" w:sz="4" w:space="0" w:color="auto"/>
            </w:tcBorders>
            <w:shd w:val="clear" w:color="auto" w:fill="auto"/>
            <w:vAlign w:val="center"/>
          </w:tcPr>
          <w:p w14:paraId="330DD07A"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3</w:t>
            </w:r>
          </w:p>
        </w:tc>
        <w:tc>
          <w:tcPr>
            <w:tcW w:w="653" w:type="pct"/>
            <w:tcBorders>
              <w:top w:val="nil"/>
              <w:left w:val="nil"/>
              <w:bottom w:val="single" w:sz="4" w:space="0" w:color="auto"/>
              <w:right w:val="single" w:sz="4" w:space="0" w:color="auto"/>
            </w:tcBorders>
            <w:shd w:val="clear" w:color="auto" w:fill="auto"/>
            <w:vAlign w:val="center"/>
          </w:tcPr>
          <w:p w14:paraId="3403B0BD"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3</w:t>
            </w:r>
          </w:p>
        </w:tc>
        <w:tc>
          <w:tcPr>
            <w:tcW w:w="653" w:type="pct"/>
            <w:tcBorders>
              <w:top w:val="nil"/>
              <w:left w:val="nil"/>
              <w:bottom w:val="single" w:sz="4" w:space="0" w:color="auto"/>
              <w:right w:val="single" w:sz="4" w:space="0" w:color="auto"/>
            </w:tcBorders>
            <w:shd w:val="clear" w:color="auto" w:fill="auto"/>
            <w:vAlign w:val="center"/>
          </w:tcPr>
          <w:p w14:paraId="0CA00307"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3</w:t>
            </w:r>
          </w:p>
        </w:tc>
        <w:tc>
          <w:tcPr>
            <w:tcW w:w="652" w:type="pct"/>
            <w:tcBorders>
              <w:top w:val="nil"/>
              <w:left w:val="nil"/>
              <w:bottom w:val="single" w:sz="4" w:space="0" w:color="auto"/>
              <w:right w:val="single" w:sz="4" w:space="0" w:color="auto"/>
            </w:tcBorders>
            <w:shd w:val="clear" w:color="auto" w:fill="auto"/>
            <w:vAlign w:val="center"/>
          </w:tcPr>
          <w:p w14:paraId="71A0D824"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3</w:t>
            </w:r>
          </w:p>
        </w:tc>
      </w:tr>
      <w:tr w:rsidR="00550468" w:rsidRPr="003F72E0" w14:paraId="2C39F22C" w14:textId="77777777" w:rsidTr="0065373E">
        <w:tc>
          <w:tcPr>
            <w:tcW w:w="1085" w:type="pct"/>
            <w:tcBorders>
              <w:top w:val="single" w:sz="4" w:space="0" w:color="auto"/>
              <w:left w:val="single" w:sz="4" w:space="0" w:color="auto"/>
              <w:bottom w:val="nil"/>
              <w:right w:val="single" w:sz="4" w:space="0" w:color="auto"/>
            </w:tcBorders>
            <w:shd w:val="clear" w:color="auto" w:fill="auto"/>
          </w:tcPr>
          <w:p w14:paraId="47B7453C" w14:textId="77777777" w:rsidR="00814F74" w:rsidRPr="003F72E0" w:rsidRDefault="00814F74" w:rsidP="00DF5EF9">
            <w:pPr>
              <w:pStyle w:val="TableText0"/>
              <w:keepNext w:val="0"/>
              <w:rPr>
                <w:b/>
              </w:rPr>
            </w:pPr>
            <w:r w:rsidRPr="003F72E0">
              <w:rPr>
                <w:b/>
              </w:rPr>
              <w:t>APA PBS/RPBS cost</w:t>
            </w:r>
          </w:p>
        </w:tc>
        <w:tc>
          <w:tcPr>
            <w:tcW w:w="652" w:type="pct"/>
            <w:tcBorders>
              <w:top w:val="single" w:sz="4" w:space="0" w:color="auto"/>
              <w:left w:val="single" w:sz="4" w:space="0" w:color="auto"/>
              <w:bottom w:val="nil"/>
              <w:right w:val="single" w:sz="4" w:space="0" w:color="auto"/>
            </w:tcBorders>
            <w:shd w:val="clear" w:color="auto" w:fill="auto"/>
            <w:vAlign w:val="center"/>
          </w:tcPr>
          <w:p w14:paraId="5CE7E99C"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11</w:t>
            </w:r>
          </w:p>
        </w:tc>
        <w:tc>
          <w:tcPr>
            <w:tcW w:w="653" w:type="pct"/>
            <w:tcBorders>
              <w:top w:val="single" w:sz="4" w:space="0" w:color="auto"/>
              <w:left w:val="nil"/>
              <w:bottom w:val="nil"/>
              <w:right w:val="single" w:sz="4" w:space="0" w:color="auto"/>
            </w:tcBorders>
            <w:shd w:val="clear" w:color="auto" w:fill="auto"/>
            <w:vAlign w:val="center"/>
          </w:tcPr>
          <w:p w14:paraId="47F9E535"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15</w:t>
            </w:r>
          </w:p>
        </w:tc>
        <w:tc>
          <w:tcPr>
            <w:tcW w:w="653" w:type="pct"/>
            <w:tcBorders>
              <w:top w:val="single" w:sz="4" w:space="0" w:color="auto"/>
              <w:left w:val="nil"/>
              <w:bottom w:val="nil"/>
              <w:right w:val="single" w:sz="4" w:space="0" w:color="auto"/>
            </w:tcBorders>
            <w:shd w:val="clear" w:color="auto" w:fill="auto"/>
            <w:vAlign w:val="center"/>
          </w:tcPr>
          <w:p w14:paraId="58DAEC6F"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16</w:t>
            </w:r>
          </w:p>
        </w:tc>
        <w:tc>
          <w:tcPr>
            <w:tcW w:w="653" w:type="pct"/>
            <w:tcBorders>
              <w:top w:val="single" w:sz="4" w:space="0" w:color="auto"/>
              <w:left w:val="nil"/>
              <w:bottom w:val="nil"/>
              <w:right w:val="single" w:sz="4" w:space="0" w:color="auto"/>
            </w:tcBorders>
            <w:shd w:val="clear" w:color="auto" w:fill="auto"/>
            <w:vAlign w:val="center"/>
          </w:tcPr>
          <w:p w14:paraId="61AD316B"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18</w:t>
            </w:r>
          </w:p>
        </w:tc>
        <w:tc>
          <w:tcPr>
            <w:tcW w:w="653" w:type="pct"/>
            <w:tcBorders>
              <w:top w:val="single" w:sz="4" w:space="0" w:color="auto"/>
              <w:left w:val="nil"/>
              <w:bottom w:val="nil"/>
              <w:right w:val="single" w:sz="4" w:space="0" w:color="auto"/>
            </w:tcBorders>
            <w:shd w:val="clear" w:color="auto" w:fill="auto"/>
            <w:vAlign w:val="center"/>
          </w:tcPr>
          <w:p w14:paraId="4C4DC092"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19</w:t>
            </w:r>
          </w:p>
        </w:tc>
        <w:tc>
          <w:tcPr>
            <w:tcW w:w="652" w:type="pct"/>
            <w:tcBorders>
              <w:top w:val="single" w:sz="4" w:space="0" w:color="auto"/>
              <w:left w:val="nil"/>
              <w:bottom w:val="nil"/>
              <w:right w:val="single" w:sz="4" w:space="0" w:color="auto"/>
            </w:tcBorders>
            <w:shd w:val="clear" w:color="auto" w:fill="auto"/>
            <w:vAlign w:val="center"/>
          </w:tcPr>
          <w:p w14:paraId="5DE16DB0"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19</w:t>
            </w:r>
          </w:p>
        </w:tc>
      </w:tr>
      <w:tr w:rsidR="00550468" w:rsidRPr="003F72E0" w14:paraId="487B58DE" w14:textId="77777777" w:rsidTr="0065373E">
        <w:tc>
          <w:tcPr>
            <w:tcW w:w="1085" w:type="pct"/>
            <w:tcBorders>
              <w:top w:val="nil"/>
              <w:left w:val="single" w:sz="4" w:space="0" w:color="auto"/>
              <w:bottom w:val="nil"/>
              <w:right w:val="single" w:sz="4" w:space="0" w:color="auto"/>
            </w:tcBorders>
            <w:shd w:val="clear" w:color="auto" w:fill="auto"/>
          </w:tcPr>
          <w:p w14:paraId="460C57C7" w14:textId="77777777" w:rsidR="00814F74" w:rsidRPr="003F72E0" w:rsidRDefault="00814F74" w:rsidP="00DF5EF9">
            <w:pPr>
              <w:pStyle w:val="TableText0"/>
              <w:keepNext w:val="0"/>
              <w:rPr>
                <w:b/>
              </w:rPr>
            </w:pPr>
            <w:r w:rsidRPr="003F72E0">
              <w:rPr>
                <w:b/>
              </w:rPr>
              <w:t>APA net PBS/RPBS cost</w:t>
            </w:r>
            <w:r w:rsidRPr="003F72E0">
              <w:rPr>
                <w:b/>
                <w:vertAlign w:val="superscript"/>
              </w:rPr>
              <w:t>#</w:t>
            </w:r>
          </w:p>
        </w:tc>
        <w:tc>
          <w:tcPr>
            <w:tcW w:w="652" w:type="pct"/>
            <w:tcBorders>
              <w:top w:val="nil"/>
              <w:left w:val="single" w:sz="4" w:space="0" w:color="auto"/>
              <w:bottom w:val="nil"/>
              <w:right w:val="single" w:sz="4" w:space="0" w:color="auto"/>
            </w:tcBorders>
            <w:shd w:val="clear" w:color="auto" w:fill="auto"/>
            <w:vAlign w:val="center"/>
          </w:tcPr>
          <w:p w14:paraId="6290464E" w14:textId="77777777" w:rsidR="00814F74" w:rsidRPr="002037C2" w:rsidRDefault="002037C2" w:rsidP="00DF5EF9">
            <w:pPr>
              <w:pStyle w:val="TableText0"/>
              <w:keepNext w:val="0"/>
              <w:jc w:val="center"/>
              <w:rPr>
                <w:b/>
              </w:rPr>
            </w:pPr>
            <w:r>
              <w:rPr>
                <w:b/>
                <w:noProof/>
                <w:color w:val="000000"/>
                <w:highlight w:val="black"/>
              </w:rPr>
              <w:t>''''''''''''''''''''''''''</w:t>
            </w:r>
            <w:r w:rsidR="00C80827">
              <w:rPr>
                <w:sz w:val="18"/>
                <w:vertAlign w:val="superscript"/>
              </w:rPr>
              <w:t>11</w:t>
            </w:r>
          </w:p>
        </w:tc>
        <w:tc>
          <w:tcPr>
            <w:tcW w:w="653" w:type="pct"/>
            <w:tcBorders>
              <w:top w:val="nil"/>
              <w:left w:val="nil"/>
              <w:bottom w:val="nil"/>
              <w:right w:val="single" w:sz="4" w:space="0" w:color="auto"/>
            </w:tcBorders>
            <w:shd w:val="clear" w:color="auto" w:fill="auto"/>
            <w:vAlign w:val="center"/>
          </w:tcPr>
          <w:p w14:paraId="53E61672"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15</w:t>
            </w:r>
          </w:p>
        </w:tc>
        <w:tc>
          <w:tcPr>
            <w:tcW w:w="653" w:type="pct"/>
            <w:tcBorders>
              <w:top w:val="nil"/>
              <w:left w:val="nil"/>
              <w:bottom w:val="nil"/>
              <w:right w:val="single" w:sz="4" w:space="0" w:color="auto"/>
            </w:tcBorders>
            <w:shd w:val="clear" w:color="auto" w:fill="auto"/>
            <w:vAlign w:val="center"/>
          </w:tcPr>
          <w:p w14:paraId="3CF7F3C6"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16</w:t>
            </w:r>
          </w:p>
        </w:tc>
        <w:tc>
          <w:tcPr>
            <w:tcW w:w="653" w:type="pct"/>
            <w:tcBorders>
              <w:top w:val="nil"/>
              <w:left w:val="nil"/>
              <w:bottom w:val="nil"/>
              <w:right w:val="single" w:sz="4" w:space="0" w:color="auto"/>
            </w:tcBorders>
            <w:shd w:val="clear" w:color="auto" w:fill="auto"/>
            <w:vAlign w:val="center"/>
          </w:tcPr>
          <w:p w14:paraId="0F4FBD09"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18</w:t>
            </w:r>
          </w:p>
        </w:tc>
        <w:tc>
          <w:tcPr>
            <w:tcW w:w="653" w:type="pct"/>
            <w:tcBorders>
              <w:top w:val="nil"/>
              <w:left w:val="nil"/>
              <w:bottom w:val="nil"/>
              <w:right w:val="single" w:sz="4" w:space="0" w:color="auto"/>
            </w:tcBorders>
            <w:shd w:val="clear" w:color="auto" w:fill="auto"/>
            <w:vAlign w:val="center"/>
          </w:tcPr>
          <w:p w14:paraId="0113CE67"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19</w:t>
            </w:r>
          </w:p>
        </w:tc>
        <w:tc>
          <w:tcPr>
            <w:tcW w:w="652" w:type="pct"/>
            <w:tcBorders>
              <w:top w:val="nil"/>
              <w:left w:val="nil"/>
              <w:bottom w:val="nil"/>
              <w:right w:val="single" w:sz="4" w:space="0" w:color="auto"/>
            </w:tcBorders>
            <w:shd w:val="clear" w:color="auto" w:fill="auto"/>
            <w:vAlign w:val="center"/>
          </w:tcPr>
          <w:p w14:paraId="6FE1E782" w14:textId="77777777" w:rsidR="00814F74" w:rsidRPr="002037C2" w:rsidRDefault="002037C2" w:rsidP="00DF5EF9">
            <w:pPr>
              <w:pStyle w:val="TableText0"/>
              <w:keepNext w:val="0"/>
              <w:jc w:val="center"/>
              <w:rPr>
                <w:b/>
              </w:rPr>
            </w:pPr>
            <w:r>
              <w:rPr>
                <w:b/>
                <w:noProof/>
                <w:color w:val="000000"/>
                <w:highlight w:val="black"/>
              </w:rPr>
              <w:t>'''''''''''''''''''''''''</w:t>
            </w:r>
            <w:r w:rsidR="00F80E29">
              <w:rPr>
                <w:sz w:val="18"/>
                <w:vertAlign w:val="superscript"/>
              </w:rPr>
              <w:t>19</w:t>
            </w:r>
          </w:p>
        </w:tc>
      </w:tr>
      <w:tr w:rsidR="00550468" w:rsidRPr="003F72E0" w14:paraId="04B44399" w14:textId="77777777" w:rsidTr="0065373E">
        <w:tc>
          <w:tcPr>
            <w:tcW w:w="1085" w:type="pct"/>
            <w:tcBorders>
              <w:top w:val="nil"/>
              <w:left w:val="single" w:sz="4" w:space="0" w:color="auto"/>
              <w:bottom w:val="nil"/>
              <w:right w:val="single" w:sz="4" w:space="0" w:color="auto"/>
            </w:tcBorders>
            <w:shd w:val="clear" w:color="auto" w:fill="auto"/>
          </w:tcPr>
          <w:p w14:paraId="3F0D1E95" w14:textId="77777777" w:rsidR="00814F74" w:rsidRPr="003F72E0" w:rsidRDefault="00814F74" w:rsidP="00DF5EF9">
            <w:pPr>
              <w:pStyle w:val="TableText0"/>
              <w:keepNext w:val="0"/>
              <w:ind w:left="106"/>
            </w:pPr>
            <w:r w:rsidRPr="003F72E0">
              <w:t>LV disease</w:t>
            </w:r>
          </w:p>
        </w:tc>
        <w:tc>
          <w:tcPr>
            <w:tcW w:w="652" w:type="pct"/>
            <w:tcBorders>
              <w:top w:val="nil"/>
              <w:left w:val="single" w:sz="4" w:space="0" w:color="auto"/>
              <w:bottom w:val="nil"/>
              <w:right w:val="single" w:sz="4" w:space="0" w:color="auto"/>
            </w:tcBorders>
            <w:shd w:val="clear" w:color="auto" w:fill="auto"/>
            <w:vAlign w:val="center"/>
          </w:tcPr>
          <w:p w14:paraId="755AFD1D"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12</w:t>
            </w:r>
          </w:p>
        </w:tc>
        <w:tc>
          <w:tcPr>
            <w:tcW w:w="653" w:type="pct"/>
            <w:tcBorders>
              <w:top w:val="nil"/>
              <w:left w:val="nil"/>
              <w:bottom w:val="nil"/>
              <w:right w:val="single" w:sz="4" w:space="0" w:color="auto"/>
            </w:tcBorders>
            <w:shd w:val="clear" w:color="auto" w:fill="auto"/>
            <w:vAlign w:val="center"/>
          </w:tcPr>
          <w:p w14:paraId="3EAD2A36"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14</w:t>
            </w:r>
          </w:p>
        </w:tc>
        <w:tc>
          <w:tcPr>
            <w:tcW w:w="653" w:type="pct"/>
            <w:tcBorders>
              <w:top w:val="nil"/>
              <w:left w:val="nil"/>
              <w:bottom w:val="nil"/>
              <w:right w:val="single" w:sz="4" w:space="0" w:color="auto"/>
            </w:tcBorders>
            <w:shd w:val="clear" w:color="auto" w:fill="auto"/>
            <w:vAlign w:val="center"/>
          </w:tcPr>
          <w:p w14:paraId="14392A05" w14:textId="77777777" w:rsidR="00814F74" w:rsidRPr="002037C2" w:rsidRDefault="002037C2" w:rsidP="00DF5EF9">
            <w:pPr>
              <w:pStyle w:val="TableText0"/>
              <w:keepNext w:val="0"/>
              <w:jc w:val="center"/>
            </w:pPr>
            <w:r>
              <w:rPr>
                <w:noProof/>
                <w:color w:val="000000"/>
                <w:highlight w:val="black"/>
              </w:rPr>
              <w:t>''''''''''''''''''''''''''''''</w:t>
            </w:r>
            <w:r w:rsidR="00F80E29">
              <w:rPr>
                <w:sz w:val="18"/>
                <w:vertAlign w:val="superscript"/>
              </w:rPr>
              <w:t>15</w:t>
            </w:r>
          </w:p>
        </w:tc>
        <w:tc>
          <w:tcPr>
            <w:tcW w:w="653" w:type="pct"/>
            <w:tcBorders>
              <w:top w:val="nil"/>
              <w:left w:val="nil"/>
              <w:bottom w:val="nil"/>
              <w:right w:val="single" w:sz="4" w:space="0" w:color="auto"/>
            </w:tcBorders>
            <w:shd w:val="clear" w:color="auto" w:fill="auto"/>
            <w:vAlign w:val="center"/>
          </w:tcPr>
          <w:p w14:paraId="700DB178" w14:textId="77777777" w:rsidR="00814F74" w:rsidRPr="002037C2" w:rsidRDefault="002037C2" w:rsidP="00DF5EF9">
            <w:pPr>
              <w:pStyle w:val="TableText0"/>
              <w:keepNext w:val="0"/>
              <w:jc w:val="center"/>
            </w:pPr>
            <w:r>
              <w:rPr>
                <w:noProof/>
                <w:color w:val="000000"/>
                <w:highlight w:val="black"/>
              </w:rPr>
              <w:t>''''''''''''''''''''''''''''</w:t>
            </w:r>
            <w:r w:rsidR="00F80E29">
              <w:rPr>
                <w:sz w:val="18"/>
                <w:vertAlign w:val="superscript"/>
              </w:rPr>
              <w:t>17</w:t>
            </w:r>
          </w:p>
        </w:tc>
        <w:tc>
          <w:tcPr>
            <w:tcW w:w="653" w:type="pct"/>
            <w:tcBorders>
              <w:top w:val="nil"/>
              <w:left w:val="nil"/>
              <w:bottom w:val="nil"/>
              <w:right w:val="single" w:sz="4" w:space="0" w:color="auto"/>
            </w:tcBorders>
            <w:shd w:val="clear" w:color="auto" w:fill="auto"/>
            <w:vAlign w:val="center"/>
          </w:tcPr>
          <w:p w14:paraId="585E3683" w14:textId="77777777" w:rsidR="00814F74" w:rsidRPr="002037C2" w:rsidRDefault="002037C2" w:rsidP="00DF5EF9">
            <w:pPr>
              <w:pStyle w:val="TableText0"/>
              <w:keepNext w:val="0"/>
              <w:jc w:val="center"/>
            </w:pPr>
            <w:r>
              <w:rPr>
                <w:noProof/>
                <w:color w:val="000000"/>
                <w:highlight w:val="black"/>
              </w:rPr>
              <w:t>''''''''''''''''''''''''''''''''</w:t>
            </w:r>
            <w:r w:rsidR="00F80E29">
              <w:rPr>
                <w:sz w:val="18"/>
                <w:vertAlign w:val="superscript"/>
              </w:rPr>
              <w:t>16</w:t>
            </w:r>
          </w:p>
        </w:tc>
        <w:tc>
          <w:tcPr>
            <w:tcW w:w="652" w:type="pct"/>
            <w:tcBorders>
              <w:top w:val="nil"/>
              <w:left w:val="nil"/>
              <w:bottom w:val="nil"/>
              <w:right w:val="single" w:sz="4" w:space="0" w:color="auto"/>
            </w:tcBorders>
            <w:shd w:val="clear" w:color="auto" w:fill="auto"/>
            <w:vAlign w:val="center"/>
          </w:tcPr>
          <w:p w14:paraId="315E2B6A" w14:textId="77777777" w:rsidR="00814F74" w:rsidRPr="002037C2" w:rsidRDefault="002037C2" w:rsidP="00DF5EF9">
            <w:pPr>
              <w:pStyle w:val="TableText0"/>
              <w:keepNext w:val="0"/>
              <w:jc w:val="center"/>
            </w:pPr>
            <w:r>
              <w:rPr>
                <w:noProof/>
                <w:color w:val="000000"/>
                <w:highlight w:val="black"/>
              </w:rPr>
              <w:t>'''''''''''''''''''''''''''''''</w:t>
            </w:r>
            <w:r w:rsidR="00F80E29">
              <w:rPr>
                <w:sz w:val="18"/>
                <w:vertAlign w:val="superscript"/>
              </w:rPr>
              <w:t>18</w:t>
            </w:r>
          </w:p>
        </w:tc>
      </w:tr>
      <w:tr w:rsidR="00550468" w:rsidRPr="003F72E0" w14:paraId="6E73C17C" w14:textId="77777777" w:rsidTr="0065373E">
        <w:tc>
          <w:tcPr>
            <w:tcW w:w="1085" w:type="pct"/>
            <w:tcBorders>
              <w:top w:val="nil"/>
              <w:left w:val="single" w:sz="4" w:space="0" w:color="auto"/>
              <w:bottom w:val="single" w:sz="4" w:space="0" w:color="auto"/>
              <w:right w:val="single" w:sz="4" w:space="0" w:color="auto"/>
            </w:tcBorders>
            <w:shd w:val="clear" w:color="auto" w:fill="auto"/>
          </w:tcPr>
          <w:p w14:paraId="12920001" w14:textId="77777777" w:rsidR="00814F74" w:rsidRPr="003F72E0" w:rsidRDefault="00814F74" w:rsidP="00DF5EF9">
            <w:pPr>
              <w:pStyle w:val="TableText0"/>
              <w:keepNext w:val="0"/>
              <w:ind w:left="106"/>
            </w:pPr>
            <w:r w:rsidRPr="003F72E0">
              <w:t>HV disease</w:t>
            </w:r>
          </w:p>
        </w:tc>
        <w:tc>
          <w:tcPr>
            <w:tcW w:w="652" w:type="pct"/>
            <w:tcBorders>
              <w:top w:val="nil"/>
              <w:left w:val="single" w:sz="4" w:space="0" w:color="auto"/>
              <w:bottom w:val="single" w:sz="4" w:space="0" w:color="auto"/>
              <w:right w:val="single" w:sz="4" w:space="0" w:color="auto"/>
            </w:tcBorders>
            <w:shd w:val="clear" w:color="auto" w:fill="auto"/>
            <w:vAlign w:val="center"/>
          </w:tcPr>
          <w:p w14:paraId="0616DB6B"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13</w:t>
            </w:r>
          </w:p>
        </w:tc>
        <w:tc>
          <w:tcPr>
            <w:tcW w:w="653" w:type="pct"/>
            <w:tcBorders>
              <w:top w:val="nil"/>
              <w:left w:val="nil"/>
              <w:bottom w:val="single" w:sz="4" w:space="0" w:color="auto"/>
              <w:right w:val="single" w:sz="4" w:space="0" w:color="auto"/>
            </w:tcBorders>
            <w:shd w:val="clear" w:color="auto" w:fill="auto"/>
            <w:vAlign w:val="center"/>
          </w:tcPr>
          <w:p w14:paraId="35EC3C10"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12</w:t>
            </w:r>
          </w:p>
        </w:tc>
        <w:tc>
          <w:tcPr>
            <w:tcW w:w="653" w:type="pct"/>
            <w:tcBorders>
              <w:top w:val="nil"/>
              <w:left w:val="nil"/>
              <w:bottom w:val="single" w:sz="4" w:space="0" w:color="auto"/>
              <w:right w:val="single" w:sz="4" w:space="0" w:color="auto"/>
            </w:tcBorders>
            <w:shd w:val="clear" w:color="auto" w:fill="auto"/>
            <w:vAlign w:val="center"/>
          </w:tcPr>
          <w:p w14:paraId="42C90163"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11</w:t>
            </w:r>
          </w:p>
        </w:tc>
        <w:tc>
          <w:tcPr>
            <w:tcW w:w="653" w:type="pct"/>
            <w:tcBorders>
              <w:top w:val="nil"/>
              <w:left w:val="nil"/>
              <w:bottom w:val="single" w:sz="4" w:space="0" w:color="auto"/>
              <w:right w:val="single" w:sz="4" w:space="0" w:color="auto"/>
            </w:tcBorders>
            <w:shd w:val="clear" w:color="auto" w:fill="auto"/>
            <w:vAlign w:val="center"/>
          </w:tcPr>
          <w:p w14:paraId="3447090F"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11</w:t>
            </w:r>
          </w:p>
        </w:tc>
        <w:tc>
          <w:tcPr>
            <w:tcW w:w="653" w:type="pct"/>
            <w:tcBorders>
              <w:top w:val="nil"/>
              <w:left w:val="nil"/>
              <w:bottom w:val="single" w:sz="4" w:space="0" w:color="auto"/>
              <w:right w:val="single" w:sz="4" w:space="0" w:color="auto"/>
            </w:tcBorders>
            <w:shd w:val="clear" w:color="auto" w:fill="auto"/>
            <w:vAlign w:val="center"/>
          </w:tcPr>
          <w:p w14:paraId="243352FA"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11</w:t>
            </w:r>
          </w:p>
        </w:tc>
        <w:tc>
          <w:tcPr>
            <w:tcW w:w="652" w:type="pct"/>
            <w:tcBorders>
              <w:top w:val="nil"/>
              <w:left w:val="nil"/>
              <w:bottom w:val="single" w:sz="4" w:space="0" w:color="auto"/>
              <w:right w:val="single" w:sz="4" w:space="0" w:color="auto"/>
            </w:tcBorders>
            <w:shd w:val="clear" w:color="auto" w:fill="auto"/>
            <w:vAlign w:val="center"/>
          </w:tcPr>
          <w:p w14:paraId="60030215" w14:textId="77777777" w:rsidR="00814F74" w:rsidRPr="002037C2" w:rsidRDefault="002037C2" w:rsidP="00DF5EF9">
            <w:pPr>
              <w:pStyle w:val="TableText0"/>
              <w:keepNext w:val="0"/>
              <w:jc w:val="center"/>
            </w:pPr>
            <w:r>
              <w:rPr>
                <w:noProof/>
                <w:color w:val="000000"/>
                <w:highlight w:val="black"/>
              </w:rPr>
              <w:t>'''''''''''''''''''''''''''''</w:t>
            </w:r>
            <w:r w:rsidR="00C80827">
              <w:rPr>
                <w:sz w:val="18"/>
                <w:vertAlign w:val="superscript"/>
              </w:rPr>
              <w:t>11</w:t>
            </w:r>
          </w:p>
        </w:tc>
      </w:tr>
      <w:tr w:rsidR="00814F74" w:rsidRPr="00BF06FC" w14:paraId="4E950678" w14:textId="77777777" w:rsidTr="0065373E">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69D2946D" w14:textId="77777777" w:rsidR="00814F74" w:rsidRPr="00BF06FC" w:rsidRDefault="00814F74" w:rsidP="00DF5EF9">
            <w:pPr>
              <w:pStyle w:val="TableText0"/>
              <w:keepNext w:val="0"/>
              <w:rPr>
                <w:b/>
              </w:rPr>
            </w:pPr>
            <w:r w:rsidRPr="00BF06FC">
              <w:rPr>
                <w:b/>
              </w:rPr>
              <w:t xml:space="preserve">Estimated change in use of ENZ / ABI for </w:t>
            </w:r>
            <w:proofErr w:type="spellStart"/>
            <w:r w:rsidRPr="00BF06FC">
              <w:rPr>
                <w:b/>
              </w:rPr>
              <w:t>mCRPC</w:t>
            </w:r>
            <w:proofErr w:type="spellEnd"/>
          </w:p>
        </w:tc>
      </w:tr>
      <w:tr w:rsidR="00550468" w:rsidRPr="00BF06FC" w14:paraId="653A5E82" w14:textId="77777777" w:rsidTr="0065373E">
        <w:tc>
          <w:tcPr>
            <w:tcW w:w="1085" w:type="pct"/>
            <w:tcBorders>
              <w:top w:val="single" w:sz="4" w:space="0" w:color="auto"/>
              <w:left w:val="single" w:sz="4" w:space="0" w:color="auto"/>
              <w:bottom w:val="nil"/>
              <w:right w:val="single" w:sz="4" w:space="0" w:color="auto"/>
            </w:tcBorders>
            <w:shd w:val="clear" w:color="auto" w:fill="auto"/>
          </w:tcPr>
          <w:p w14:paraId="46260083" w14:textId="77777777" w:rsidR="00814F74" w:rsidRPr="00BF06FC" w:rsidRDefault="00814F74" w:rsidP="00DF5EF9">
            <w:pPr>
              <w:pStyle w:val="TableText0"/>
              <w:keepNext w:val="0"/>
              <w:rPr>
                <w:b/>
              </w:rPr>
            </w:pPr>
            <w:r w:rsidRPr="00BF06FC">
              <w:rPr>
                <w:b/>
              </w:rPr>
              <w:t>Patients-years eligible ENZ/ABI</w:t>
            </w:r>
          </w:p>
        </w:tc>
        <w:tc>
          <w:tcPr>
            <w:tcW w:w="652" w:type="pct"/>
            <w:tcBorders>
              <w:top w:val="single" w:sz="4" w:space="0" w:color="auto"/>
              <w:left w:val="single" w:sz="4" w:space="0" w:color="auto"/>
              <w:bottom w:val="nil"/>
              <w:right w:val="single" w:sz="4" w:space="0" w:color="auto"/>
            </w:tcBorders>
            <w:shd w:val="clear" w:color="auto" w:fill="auto"/>
            <w:vAlign w:val="center"/>
          </w:tcPr>
          <w:p w14:paraId="3AEE700A" w14:textId="77777777" w:rsidR="00814F74" w:rsidRPr="00BF06FC" w:rsidRDefault="00814F74" w:rsidP="00DF5EF9">
            <w:pPr>
              <w:pStyle w:val="TableText0"/>
              <w:keepNext w:val="0"/>
              <w:jc w:val="center"/>
              <w:rPr>
                <w:b/>
              </w:rPr>
            </w:pPr>
            <w:r w:rsidRPr="00BF06FC">
              <w:rPr>
                <w:b/>
              </w:rPr>
              <w:t>-</w:t>
            </w:r>
            <w:r w:rsidR="002037C2">
              <w:rPr>
                <w:b/>
                <w:noProof/>
                <w:color w:val="000000"/>
                <w:highlight w:val="black"/>
              </w:rPr>
              <w:t>'''''''</w:t>
            </w:r>
            <w:r w:rsidR="00732CD3">
              <w:rPr>
                <w:sz w:val="18"/>
                <w:vertAlign w:val="superscript"/>
              </w:rPr>
              <w:t>20</w:t>
            </w:r>
          </w:p>
        </w:tc>
        <w:tc>
          <w:tcPr>
            <w:tcW w:w="653" w:type="pct"/>
            <w:tcBorders>
              <w:top w:val="single" w:sz="4" w:space="0" w:color="auto"/>
              <w:left w:val="nil"/>
              <w:bottom w:val="nil"/>
              <w:right w:val="single" w:sz="4" w:space="0" w:color="auto"/>
            </w:tcBorders>
            <w:shd w:val="clear" w:color="auto" w:fill="auto"/>
            <w:vAlign w:val="center"/>
          </w:tcPr>
          <w:p w14:paraId="684D104A" w14:textId="77777777" w:rsidR="00814F74" w:rsidRPr="00BF06FC" w:rsidRDefault="00814F74" w:rsidP="00DF5EF9">
            <w:pPr>
              <w:pStyle w:val="TableText0"/>
              <w:keepNext w:val="0"/>
              <w:jc w:val="center"/>
              <w:rPr>
                <w:b/>
              </w:rPr>
            </w:pPr>
            <w:r w:rsidRPr="00BF06FC">
              <w:rPr>
                <w:b/>
              </w:rPr>
              <w:t>-</w:t>
            </w:r>
            <w:r w:rsidR="002037C2">
              <w:rPr>
                <w:b/>
                <w:noProof/>
                <w:color w:val="000000"/>
                <w:highlight w:val="black"/>
              </w:rPr>
              <w:t>'''''''</w:t>
            </w:r>
            <w:r w:rsidR="00732CD3" w:rsidRPr="00C80827">
              <w:rPr>
                <w:sz w:val="18"/>
                <w:vertAlign w:val="superscript"/>
              </w:rPr>
              <w:t>1</w:t>
            </w:r>
          </w:p>
        </w:tc>
        <w:tc>
          <w:tcPr>
            <w:tcW w:w="653" w:type="pct"/>
            <w:tcBorders>
              <w:top w:val="single" w:sz="4" w:space="0" w:color="auto"/>
              <w:left w:val="nil"/>
              <w:bottom w:val="nil"/>
              <w:right w:val="single" w:sz="4" w:space="0" w:color="auto"/>
            </w:tcBorders>
            <w:shd w:val="clear" w:color="auto" w:fill="auto"/>
            <w:vAlign w:val="center"/>
          </w:tcPr>
          <w:p w14:paraId="6F76CCDC" w14:textId="77777777" w:rsidR="00814F74" w:rsidRPr="00BF06FC" w:rsidRDefault="00814F74" w:rsidP="00DF5EF9">
            <w:pPr>
              <w:pStyle w:val="TableText0"/>
              <w:keepNext w:val="0"/>
              <w:jc w:val="center"/>
              <w:rPr>
                <w:b/>
              </w:rPr>
            </w:pPr>
            <w:r w:rsidRPr="00BF06FC">
              <w:rPr>
                <w:b/>
              </w:rPr>
              <w:t>-</w:t>
            </w:r>
            <w:r w:rsidR="002037C2">
              <w:rPr>
                <w:b/>
                <w:noProof/>
                <w:color w:val="000000"/>
                <w:highlight w:val="black"/>
              </w:rPr>
              <w:t>''''''''''''</w:t>
            </w:r>
            <w:r w:rsidR="00732CD3" w:rsidRPr="00C80827">
              <w:rPr>
                <w:sz w:val="18"/>
                <w:vertAlign w:val="superscript"/>
              </w:rPr>
              <w:t>1</w:t>
            </w:r>
          </w:p>
        </w:tc>
        <w:tc>
          <w:tcPr>
            <w:tcW w:w="653" w:type="pct"/>
            <w:tcBorders>
              <w:top w:val="single" w:sz="4" w:space="0" w:color="auto"/>
              <w:left w:val="nil"/>
              <w:bottom w:val="nil"/>
              <w:right w:val="single" w:sz="4" w:space="0" w:color="auto"/>
            </w:tcBorders>
            <w:shd w:val="clear" w:color="auto" w:fill="auto"/>
            <w:vAlign w:val="center"/>
          </w:tcPr>
          <w:p w14:paraId="3B9DF5EE" w14:textId="77777777" w:rsidR="00814F74" w:rsidRPr="00BF06FC" w:rsidRDefault="00814F74" w:rsidP="00DF5EF9">
            <w:pPr>
              <w:pStyle w:val="TableText0"/>
              <w:keepNext w:val="0"/>
              <w:jc w:val="center"/>
              <w:rPr>
                <w:b/>
              </w:rPr>
            </w:pPr>
            <w:r w:rsidRPr="00BF06FC">
              <w:rPr>
                <w:b/>
              </w:rPr>
              <w:t>-</w:t>
            </w:r>
            <w:r w:rsidR="002037C2">
              <w:rPr>
                <w:b/>
                <w:noProof/>
                <w:color w:val="000000"/>
                <w:highlight w:val="black"/>
              </w:rPr>
              <w:t>'''''''''''</w:t>
            </w:r>
            <w:r w:rsidR="00732CD3" w:rsidRPr="00C80827">
              <w:rPr>
                <w:sz w:val="18"/>
                <w:vertAlign w:val="superscript"/>
              </w:rPr>
              <w:t>1</w:t>
            </w:r>
          </w:p>
        </w:tc>
        <w:tc>
          <w:tcPr>
            <w:tcW w:w="653" w:type="pct"/>
            <w:tcBorders>
              <w:top w:val="single" w:sz="4" w:space="0" w:color="auto"/>
              <w:left w:val="nil"/>
              <w:bottom w:val="nil"/>
              <w:right w:val="single" w:sz="4" w:space="0" w:color="auto"/>
            </w:tcBorders>
            <w:shd w:val="clear" w:color="auto" w:fill="auto"/>
            <w:vAlign w:val="center"/>
          </w:tcPr>
          <w:p w14:paraId="35F0756B" w14:textId="77777777" w:rsidR="00814F74" w:rsidRPr="00BF06FC" w:rsidRDefault="00814F74" w:rsidP="00DF5EF9">
            <w:pPr>
              <w:pStyle w:val="TableText0"/>
              <w:keepNext w:val="0"/>
              <w:jc w:val="center"/>
              <w:rPr>
                <w:b/>
              </w:rPr>
            </w:pPr>
            <w:r w:rsidRPr="00BF06FC">
              <w:rPr>
                <w:b/>
              </w:rPr>
              <w:t>-</w:t>
            </w:r>
            <w:r w:rsidR="002037C2">
              <w:rPr>
                <w:b/>
                <w:noProof/>
                <w:color w:val="000000"/>
                <w:highlight w:val="black"/>
              </w:rPr>
              <w:t>'''''''''''</w:t>
            </w:r>
            <w:r w:rsidR="00732CD3" w:rsidRPr="00C80827">
              <w:rPr>
                <w:sz w:val="18"/>
                <w:vertAlign w:val="superscript"/>
              </w:rPr>
              <w:t>1</w:t>
            </w:r>
          </w:p>
        </w:tc>
        <w:tc>
          <w:tcPr>
            <w:tcW w:w="652" w:type="pct"/>
            <w:tcBorders>
              <w:top w:val="single" w:sz="4" w:space="0" w:color="auto"/>
              <w:left w:val="nil"/>
              <w:bottom w:val="nil"/>
              <w:right w:val="single" w:sz="4" w:space="0" w:color="auto"/>
            </w:tcBorders>
            <w:shd w:val="clear" w:color="auto" w:fill="auto"/>
            <w:vAlign w:val="center"/>
          </w:tcPr>
          <w:p w14:paraId="64D5480F" w14:textId="77777777" w:rsidR="00814F74" w:rsidRPr="00BF06FC" w:rsidRDefault="00814F74" w:rsidP="00DF5EF9">
            <w:pPr>
              <w:pStyle w:val="TableText0"/>
              <w:keepNext w:val="0"/>
              <w:jc w:val="center"/>
              <w:rPr>
                <w:b/>
              </w:rPr>
            </w:pPr>
            <w:r w:rsidRPr="00BF06FC">
              <w:rPr>
                <w:b/>
              </w:rPr>
              <w:t>-</w:t>
            </w:r>
            <w:r w:rsidR="002037C2">
              <w:rPr>
                <w:b/>
                <w:noProof/>
                <w:color w:val="000000"/>
                <w:highlight w:val="black"/>
              </w:rPr>
              <w:t>''''''''''</w:t>
            </w:r>
            <w:r w:rsidR="00732CD3" w:rsidRPr="00C80827">
              <w:rPr>
                <w:sz w:val="18"/>
                <w:vertAlign w:val="superscript"/>
              </w:rPr>
              <w:t>1</w:t>
            </w:r>
          </w:p>
        </w:tc>
      </w:tr>
      <w:tr w:rsidR="00550468" w:rsidRPr="00BF06FC" w14:paraId="124607DC" w14:textId="77777777" w:rsidTr="0065373E">
        <w:tc>
          <w:tcPr>
            <w:tcW w:w="1085" w:type="pct"/>
            <w:tcBorders>
              <w:top w:val="nil"/>
              <w:left w:val="single" w:sz="4" w:space="0" w:color="auto"/>
              <w:bottom w:val="nil"/>
              <w:right w:val="single" w:sz="4" w:space="0" w:color="auto"/>
            </w:tcBorders>
            <w:shd w:val="clear" w:color="auto" w:fill="auto"/>
          </w:tcPr>
          <w:p w14:paraId="0B48931F" w14:textId="77777777" w:rsidR="00814F74" w:rsidRPr="00BF06FC" w:rsidRDefault="00814F74" w:rsidP="00DF5EF9">
            <w:pPr>
              <w:pStyle w:val="TableText0"/>
              <w:keepNext w:val="0"/>
              <w:ind w:left="106"/>
            </w:pPr>
            <w:r w:rsidRPr="00BF06FC">
              <w:t>LV disease</w:t>
            </w:r>
          </w:p>
        </w:tc>
        <w:tc>
          <w:tcPr>
            <w:tcW w:w="652" w:type="pct"/>
            <w:tcBorders>
              <w:top w:val="nil"/>
              <w:left w:val="single" w:sz="4" w:space="0" w:color="auto"/>
              <w:bottom w:val="nil"/>
              <w:right w:val="single" w:sz="4" w:space="0" w:color="auto"/>
            </w:tcBorders>
            <w:shd w:val="clear" w:color="auto" w:fill="auto"/>
            <w:vAlign w:val="center"/>
          </w:tcPr>
          <w:p w14:paraId="7A40C355"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Pr>
                <w:sz w:val="18"/>
                <w:vertAlign w:val="superscript"/>
              </w:rPr>
              <w:t>20</w:t>
            </w:r>
          </w:p>
        </w:tc>
        <w:tc>
          <w:tcPr>
            <w:tcW w:w="653" w:type="pct"/>
            <w:tcBorders>
              <w:top w:val="nil"/>
              <w:left w:val="nil"/>
              <w:bottom w:val="nil"/>
              <w:right w:val="single" w:sz="4" w:space="0" w:color="auto"/>
            </w:tcBorders>
            <w:shd w:val="clear" w:color="auto" w:fill="auto"/>
            <w:vAlign w:val="center"/>
          </w:tcPr>
          <w:p w14:paraId="21928120"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Pr>
                <w:sz w:val="18"/>
                <w:vertAlign w:val="superscript"/>
              </w:rPr>
              <w:t>20</w:t>
            </w:r>
          </w:p>
        </w:tc>
        <w:tc>
          <w:tcPr>
            <w:tcW w:w="653" w:type="pct"/>
            <w:tcBorders>
              <w:top w:val="nil"/>
              <w:left w:val="nil"/>
              <w:bottom w:val="nil"/>
              <w:right w:val="single" w:sz="4" w:space="0" w:color="auto"/>
            </w:tcBorders>
            <w:shd w:val="clear" w:color="auto" w:fill="auto"/>
            <w:vAlign w:val="center"/>
          </w:tcPr>
          <w:p w14:paraId="0C707C2C"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nil"/>
              <w:right w:val="single" w:sz="4" w:space="0" w:color="auto"/>
            </w:tcBorders>
            <w:shd w:val="clear" w:color="auto" w:fill="auto"/>
            <w:vAlign w:val="center"/>
          </w:tcPr>
          <w:p w14:paraId="52586BC4"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nil"/>
              <w:right w:val="single" w:sz="4" w:space="0" w:color="auto"/>
            </w:tcBorders>
            <w:shd w:val="clear" w:color="auto" w:fill="auto"/>
            <w:vAlign w:val="center"/>
          </w:tcPr>
          <w:p w14:paraId="252B187E"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2" w:type="pct"/>
            <w:tcBorders>
              <w:top w:val="nil"/>
              <w:left w:val="nil"/>
              <w:bottom w:val="nil"/>
              <w:right w:val="single" w:sz="4" w:space="0" w:color="auto"/>
            </w:tcBorders>
            <w:shd w:val="clear" w:color="auto" w:fill="auto"/>
            <w:vAlign w:val="center"/>
          </w:tcPr>
          <w:p w14:paraId="01576EE5"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r>
      <w:tr w:rsidR="00550468" w:rsidRPr="00BF06FC" w14:paraId="2078EE12" w14:textId="77777777" w:rsidTr="0065373E">
        <w:tc>
          <w:tcPr>
            <w:tcW w:w="1085" w:type="pct"/>
            <w:tcBorders>
              <w:top w:val="nil"/>
              <w:left w:val="single" w:sz="4" w:space="0" w:color="auto"/>
              <w:bottom w:val="nil"/>
              <w:right w:val="single" w:sz="4" w:space="0" w:color="auto"/>
            </w:tcBorders>
            <w:shd w:val="clear" w:color="auto" w:fill="auto"/>
          </w:tcPr>
          <w:p w14:paraId="23A82D09" w14:textId="77777777" w:rsidR="00814F74" w:rsidRPr="00BF06FC" w:rsidRDefault="00814F74" w:rsidP="00DF5EF9">
            <w:pPr>
              <w:pStyle w:val="TableText0"/>
              <w:keepNext w:val="0"/>
              <w:ind w:left="106"/>
            </w:pPr>
            <w:r w:rsidRPr="00BF06FC">
              <w:t>HV disease</w:t>
            </w:r>
          </w:p>
        </w:tc>
        <w:tc>
          <w:tcPr>
            <w:tcW w:w="652" w:type="pct"/>
            <w:tcBorders>
              <w:top w:val="nil"/>
              <w:left w:val="single" w:sz="4" w:space="0" w:color="auto"/>
              <w:bottom w:val="nil"/>
              <w:right w:val="single" w:sz="4" w:space="0" w:color="auto"/>
            </w:tcBorders>
            <w:shd w:val="clear" w:color="auto" w:fill="auto"/>
            <w:vAlign w:val="center"/>
          </w:tcPr>
          <w:p w14:paraId="05D47466"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Pr>
                <w:sz w:val="18"/>
                <w:vertAlign w:val="superscript"/>
              </w:rPr>
              <w:t>20</w:t>
            </w:r>
          </w:p>
        </w:tc>
        <w:tc>
          <w:tcPr>
            <w:tcW w:w="653" w:type="pct"/>
            <w:tcBorders>
              <w:top w:val="nil"/>
              <w:left w:val="nil"/>
              <w:bottom w:val="nil"/>
              <w:right w:val="single" w:sz="4" w:space="0" w:color="auto"/>
            </w:tcBorders>
            <w:shd w:val="clear" w:color="auto" w:fill="auto"/>
            <w:vAlign w:val="center"/>
          </w:tcPr>
          <w:p w14:paraId="428218C7"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Pr>
                <w:sz w:val="18"/>
                <w:vertAlign w:val="superscript"/>
              </w:rPr>
              <w:t>20</w:t>
            </w:r>
          </w:p>
        </w:tc>
        <w:tc>
          <w:tcPr>
            <w:tcW w:w="653" w:type="pct"/>
            <w:tcBorders>
              <w:top w:val="nil"/>
              <w:left w:val="nil"/>
              <w:bottom w:val="nil"/>
              <w:right w:val="single" w:sz="4" w:space="0" w:color="auto"/>
            </w:tcBorders>
            <w:shd w:val="clear" w:color="auto" w:fill="auto"/>
            <w:vAlign w:val="center"/>
          </w:tcPr>
          <w:p w14:paraId="13FD5077"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Pr>
                <w:sz w:val="18"/>
                <w:vertAlign w:val="superscript"/>
              </w:rPr>
              <w:t>20</w:t>
            </w:r>
          </w:p>
        </w:tc>
        <w:tc>
          <w:tcPr>
            <w:tcW w:w="653" w:type="pct"/>
            <w:tcBorders>
              <w:top w:val="nil"/>
              <w:left w:val="nil"/>
              <w:bottom w:val="nil"/>
              <w:right w:val="single" w:sz="4" w:space="0" w:color="auto"/>
            </w:tcBorders>
            <w:shd w:val="clear" w:color="auto" w:fill="auto"/>
            <w:vAlign w:val="center"/>
          </w:tcPr>
          <w:p w14:paraId="7804B001" w14:textId="77777777" w:rsidR="00814F74" w:rsidRPr="00BF06FC" w:rsidRDefault="00814F74" w:rsidP="00DF5EF9">
            <w:pPr>
              <w:pStyle w:val="TableText0"/>
              <w:keepNext w:val="0"/>
              <w:jc w:val="center"/>
            </w:pPr>
            <w:r w:rsidRPr="00732CD3">
              <w:t>-</w:t>
            </w:r>
            <w:r w:rsidR="002037C2">
              <w:rPr>
                <w:noProof/>
                <w:color w:val="000000"/>
                <w:highlight w:val="black"/>
              </w:rPr>
              <w:t>'''''''''</w:t>
            </w:r>
            <w:r w:rsidR="00732CD3" w:rsidRPr="00C80827">
              <w:rPr>
                <w:sz w:val="18"/>
                <w:vertAlign w:val="superscript"/>
              </w:rPr>
              <w:t>1</w:t>
            </w:r>
          </w:p>
        </w:tc>
        <w:tc>
          <w:tcPr>
            <w:tcW w:w="653" w:type="pct"/>
            <w:tcBorders>
              <w:top w:val="nil"/>
              <w:left w:val="nil"/>
              <w:bottom w:val="nil"/>
              <w:right w:val="single" w:sz="4" w:space="0" w:color="auto"/>
            </w:tcBorders>
            <w:shd w:val="clear" w:color="auto" w:fill="auto"/>
            <w:vAlign w:val="center"/>
          </w:tcPr>
          <w:p w14:paraId="66E12134"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2" w:type="pct"/>
            <w:tcBorders>
              <w:top w:val="nil"/>
              <w:left w:val="nil"/>
              <w:bottom w:val="nil"/>
              <w:right w:val="single" w:sz="4" w:space="0" w:color="auto"/>
            </w:tcBorders>
            <w:shd w:val="clear" w:color="auto" w:fill="auto"/>
            <w:vAlign w:val="center"/>
          </w:tcPr>
          <w:p w14:paraId="65C3B80E"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r>
      <w:tr w:rsidR="00550468" w:rsidRPr="00BF06FC" w14:paraId="1516C48D" w14:textId="77777777" w:rsidTr="0065373E">
        <w:tc>
          <w:tcPr>
            <w:tcW w:w="1085" w:type="pct"/>
            <w:tcBorders>
              <w:top w:val="single" w:sz="4" w:space="0" w:color="auto"/>
              <w:left w:val="single" w:sz="4" w:space="0" w:color="auto"/>
              <w:bottom w:val="nil"/>
              <w:right w:val="single" w:sz="4" w:space="0" w:color="auto"/>
            </w:tcBorders>
            <w:shd w:val="clear" w:color="auto" w:fill="auto"/>
          </w:tcPr>
          <w:p w14:paraId="5A51DB1D" w14:textId="77777777" w:rsidR="00814F74" w:rsidRPr="00BF06FC" w:rsidRDefault="00814F74" w:rsidP="00DF5EF9">
            <w:pPr>
              <w:pStyle w:val="TableText0"/>
              <w:keepNext w:val="0"/>
            </w:pPr>
            <w:r w:rsidRPr="00BF06FC">
              <w:rPr>
                <w:b/>
              </w:rPr>
              <w:t>ENZ/ABI scripts</w:t>
            </w:r>
          </w:p>
        </w:tc>
        <w:tc>
          <w:tcPr>
            <w:tcW w:w="652" w:type="pct"/>
            <w:tcBorders>
              <w:top w:val="single" w:sz="4" w:space="0" w:color="auto"/>
              <w:left w:val="single" w:sz="4" w:space="0" w:color="auto"/>
              <w:bottom w:val="nil"/>
              <w:right w:val="single" w:sz="4" w:space="0" w:color="auto"/>
            </w:tcBorders>
            <w:shd w:val="clear" w:color="auto" w:fill="auto"/>
            <w:vAlign w:val="center"/>
          </w:tcPr>
          <w:p w14:paraId="114FD8AE"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single" w:sz="4" w:space="0" w:color="auto"/>
              <w:left w:val="nil"/>
              <w:bottom w:val="nil"/>
              <w:right w:val="single" w:sz="4" w:space="0" w:color="auto"/>
            </w:tcBorders>
            <w:shd w:val="clear" w:color="auto" w:fill="auto"/>
            <w:vAlign w:val="center"/>
          </w:tcPr>
          <w:p w14:paraId="3F384954"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single" w:sz="4" w:space="0" w:color="auto"/>
              <w:left w:val="nil"/>
              <w:bottom w:val="nil"/>
              <w:right w:val="single" w:sz="4" w:space="0" w:color="auto"/>
            </w:tcBorders>
            <w:shd w:val="clear" w:color="auto" w:fill="auto"/>
            <w:vAlign w:val="center"/>
          </w:tcPr>
          <w:p w14:paraId="6D61E53E"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2</w:t>
            </w:r>
          </w:p>
        </w:tc>
        <w:tc>
          <w:tcPr>
            <w:tcW w:w="653" w:type="pct"/>
            <w:tcBorders>
              <w:top w:val="single" w:sz="4" w:space="0" w:color="auto"/>
              <w:left w:val="nil"/>
              <w:bottom w:val="nil"/>
              <w:right w:val="single" w:sz="4" w:space="0" w:color="auto"/>
            </w:tcBorders>
            <w:shd w:val="clear" w:color="auto" w:fill="auto"/>
            <w:vAlign w:val="center"/>
          </w:tcPr>
          <w:p w14:paraId="5FA47189" w14:textId="77777777" w:rsidR="00814F74" w:rsidRPr="00BF06FC" w:rsidRDefault="00814F74" w:rsidP="00DF5EF9">
            <w:pPr>
              <w:pStyle w:val="TableText0"/>
              <w:keepNext w:val="0"/>
              <w:jc w:val="center"/>
            </w:pPr>
            <w:r w:rsidRPr="00BF06FC">
              <w:t>-</w:t>
            </w:r>
            <w:r w:rsidR="002037C2">
              <w:rPr>
                <w:noProof/>
                <w:color w:val="000000"/>
                <w:highlight w:val="black"/>
              </w:rPr>
              <w:t>''''''''''''''''</w:t>
            </w:r>
            <w:r w:rsidR="0034246D" w:rsidRPr="00C80827">
              <w:rPr>
                <w:sz w:val="18"/>
                <w:vertAlign w:val="superscript"/>
              </w:rPr>
              <w:t>3</w:t>
            </w:r>
          </w:p>
        </w:tc>
        <w:tc>
          <w:tcPr>
            <w:tcW w:w="653" w:type="pct"/>
            <w:tcBorders>
              <w:top w:val="single" w:sz="4" w:space="0" w:color="auto"/>
              <w:left w:val="nil"/>
              <w:bottom w:val="nil"/>
              <w:right w:val="single" w:sz="4" w:space="0" w:color="auto"/>
            </w:tcBorders>
            <w:shd w:val="clear" w:color="auto" w:fill="auto"/>
            <w:vAlign w:val="center"/>
          </w:tcPr>
          <w:p w14:paraId="42A471E8" w14:textId="77777777" w:rsidR="00814F74" w:rsidRPr="00BF06FC" w:rsidRDefault="00814F74" w:rsidP="00DF5EF9">
            <w:pPr>
              <w:pStyle w:val="TableText0"/>
              <w:keepNext w:val="0"/>
              <w:jc w:val="center"/>
            </w:pPr>
            <w:r w:rsidRPr="00BF06FC">
              <w:t>-</w:t>
            </w:r>
            <w:r w:rsidR="002037C2">
              <w:rPr>
                <w:noProof/>
                <w:color w:val="000000"/>
                <w:highlight w:val="black"/>
              </w:rPr>
              <w:t>'''''''''''''''</w:t>
            </w:r>
            <w:r w:rsidR="0034246D" w:rsidRPr="00C80827">
              <w:rPr>
                <w:sz w:val="18"/>
                <w:vertAlign w:val="superscript"/>
              </w:rPr>
              <w:t>3</w:t>
            </w:r>
          </w:p>
        </w:tc>
        <w:tc>
          <w:tcPr>
            <w:tcW w:w="652" w:type="pct"/>
            <w:tcBorders>
              <w:top w:val="single" w:sz="4" w:space="0" w:color="auto"/>
              <w:left w:val="nil"/>
              <w:bottom w:val="nil"/>
              <w:right w:val="single" w:sz="4" w:space="0" w:color="auto"/>
            </w:tcBorders>
            <w:shd w:val="clear" w:color="auto" w:fill="auto"/>
            <w:vAlign w:val="center"/>
          </w:tcPr>
          <w:p w14:paraId="39B2A2A7" w14:textId="77777777" w:rsidR="00814F74" w:rsidRPr="00BF06FC" w:rsidRDefault="00814F74" w:rsidP="00DF5EF9">
            <w:pPr>
              <w:pStyle w:val="TableText0"/>
              <w:keepNext w:val="0"/>
              <w:jc w:val="center"/>
            </w:pPr>
            <w:r w:rsidRPr="00BF06FC">
              <w:t>-</w:t>
            </w:r>
            <w:r w:rsidR="002037C2">
              <w:rPr>
                <w:noProof/>
                <w:color w:val="000000"/>
                <w:highlight w:val="black"/>
              </w:rPr>
              <w:t>''''''''''''''</w:t>
            </w:r>
            <w:r w:rsidR="0034246D" w:rsidRPr="00C80827">
              <w:rPr>
                <w:sz w:val="18"/>
                <w:vertAlign w:val="superscript"/>
              </w:rPr>
              <w:t>4</w:t>
            </w:r>
          </w:p>
        </w:tc>
      </w:tr>
      <w:tr w:rsidR="00550468" w:rsidRPr="00BF06FC" w14:paraId="34860918" w14:textId="77777777" w:rsidTr="0065373E">
        <w:tc>
          <w:tcPr>
            <w:tcW w:w="1085" w:type="pct"/>
            <w:tcBorders>
              <w:top w:val="nil"/>
              <w:left w:val="single" w:sz="4" w:space="0" w:color="auto"/>
              <w:bottom w:val="nil"/>
              <w:right w:val="single" w:sz="4" w:space="0" w:color="auto"/>
            </w:tcBorders>
            <w:shd w:val="clear" w:color="auto" w:fill="auto"/>
          </w:tcPr>
          <w:p w14:paraId="257F0D92" w14:textId="77777777" w:rsidR="00814F74" w:rsidRPr="00BF06FC" w:rsidRDefault="00814F74" w:rsidP="00DF5EF9">
            <w:pPr>
              <w:pStyle w:val="TableText0"/>
              <w:keepNext w:val="0"/>
              <w:ind w:left="106"/>
            </w:pPr>
            <w:r w:rsidRPr="00BF06FC">
              <w:t>LV disease</w:t>
            </w:r>
          </w:p>
        </w:tc>
        <w:tc>
          <w:tcPr>
            <w:tcW w:w="652" w:type="pct"/>
            <w:tcBorders>
              <w:top w:val="nil"/>
              <w:left w:val="single" w:sz="4" w:space="0" w:color="auto"/>
              <w:bottom w:val="nil"/>
              <w:right w:val="single" w:sz="4" w:space="0" w:color="auto"/>
            </w:tcBorders>
            <w:shd w:val="clear" w:color="auto" w:fill="auto"/>
            <w:vAlign w:val="center"/>
          </w:tcPr>
          <w:p w14:paraId="1638644C"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nil"/>
              <w:right w:val="single" w:sz="4" w:space="0" w:color="auto"/>
            </w:tcBorders>
            <w:shd w:val="clear" w:color="auto" w:fill="auto"/>
            <w:vAlign w:val="center"/>
          </w:tcPr>
          <w:p w14:paraId="0C6C6B50"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nil"/>
              <w:right w:val="single" w:sz="4" w:space="0" w:color="auto"/>
            </w:tcBorders>
            <w:shd w:val="clear" w:color="auto" w:fill="auto"/>
            <w:vAlign w:val="center"/>
          </w:tcPr>
          <w:p w14:paraId="365D9C47"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2</w:t>
            </w:r>
          </w:p>
        </w:tc>
        <w:tc>
          <w:tcPr>
            <w:tcW w:w="653" w:type="pct"/>
            <w:tcBorders>
              <w:top w:val="nil"/>
              <w:left w:val="nil"/>
              <w:bottom w:val="nil"/>
              <w:right w:val="single" w:sz="4" w:space="0" w:color="auto"/>
            </w:tcBorders>
            <w:shd w:val="clear" w:color="auto" w:fill="auto"/>
            <w:vAlign w:val="center"/>
          </w:tcPr>
          <w:p w14:paraId="40411CD2"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2</w:t>
            </w:r>
          </w:p>
        </w:tc>
        <w:tc>
          <w:tcPr>
            <w:tcW w:w="653" w:type="pct"/>
            <w:tcBorders>
              <w:top w:val="nil"/>
              <w:left w:val="nil"/>
              <w:bottom w:val="nil"/>
              <w:right w:val="single" w:sz="4" w:space="0" w:color="auto"/>
            </w:tcBorders>
            <w:shd w:val="clear" w:color="auto" w:fill="auto"/>
            <w:vAlign w:val="center"/>
          </w:tcPr>
          <w:p w14:paraId="1CFB73A4" w14:textId="77777777" w:rsidR="00814F74" w:rsidRPr="00BF06FC" w:rsidRDefault="00814F74" w:rsidP="00DF5EF9">
            <w:pPr>
              <w:pStyle w:val="TableText0"/>
              <w:keepNext w:val="0"/>
              <w:jc w:val="center"/>
            </w:pPr>
            <w:r w:rsidRPr="00BF06FC">
              <w:t>-</w:t>
            </w:r>
            <w:r w:rsidR="002037C2">
              <w:rPr>
                <w:noProof/>
                <w:color w:val="000000"/>
                <w:highlight w:val="black"/>
              </w:rPr>
              <w:t>''''''''''''''</w:t>
            </w:r>
            <w:r w:rsidR="0034246D" w:rsidRPr="00C80827">
              <w:rPr>
                <w:sz w:val="18"/>
                <w:vertAlign w:val="superscript"/>
              </w:rPr>
              <w:t>3</w:t>
            </w:r>
          </w:p>
        </w:tc>
        <w:tc>
          <w:tcPr>
            <w:tcW w:w="652" w:type="pct"/>
            <w:tcBorders>
              <w:top w:val="nil"/>
              <w:left w:val="nil"/>
              <w:bottom w:val="nil"/>
              <w:right w:val="single" w:sz="4" w:space="0" w:color="auto"/>
            </w:tcBorders>
            <w:shd w:val="clear" w:color="auto" w:fill="auto"/>
            <w:vAlign w:val="center"/>
          </w:tcPr>
          <w:p w14:paraId="75901BC3" w14:textId="77777777" w:rsidR="00814F74" w:rsidRPr="00BF06FC" w:rsidRDefault="00814F74" w:rsidP="00DF5EF9">
            <w:pPr>
              <w:pStyle w:val="TableText0"/>
              <w:keepNext w:val="0"/>
              <w:jc w:val="center"/>
            </w:pPr>
            <w:r w:rsidRPr="00BF06FC">
              <w:t>-</w:t>
            </w:r>
            <w:r w:rsidR="002037C2">
              <w:rPr>
                <w:noProof/>
                <w:color w:val="000000"/>
                <w:highlight w:val="black"/>
              </w:rPr>
              <w:t>''''''''''''''</w:t>
            </w:r>
            <w:r w:rsidR="0034246D" w:rsidRPr="00C80827">
              <w:rPr>
                <w:sz w:val="18"/>
                <w:vertAlign w:val="superscript"/>
              </w:rPr>
              <w:t>3</w:t>
            </w:r>
          </w:p>
        </w:tc>
      </w:tr>
      <w:tr w:rsidR="00550468" w:rsidRPr="00BF06FC" w14:paraId="4E16596F" w14:textId="77777777" w:rsidTr="0065373E">
        <w:tc>
          <w:tcPr>
            <w:tcW w:w="1085" w:type="pct"/>
            <w:tcBorders>
              <w:top w:val="nil"/>
              <w:left w:val="single" w:sz="4" w:space="0" w:color="auto"/>
              <w:bottom w:val="single" w:sz="4" w:space="0" w:color="auto"/>
              <w:right w:val="single" w:sz="4" w:space="0" w:color="auto"/>
            </w:tcBorders>
            <w:shd w:val="clear" w:color="auto" w:fill="auto"/>
          </w:tcPr>
          <w:p w14:paraId="15179DEF" w14:textId="77777777" w:rsidR="00814F74" w:rsidRPr="00BF06FC" w:rsidRDefault="00814F74" w:rsidP="00DF5EF9">
            <w:pPr>
              <w:pStyle w:val="TableText0"/>
              <w:keepNext w:val="0"/>
              <w:ind w:left="106"/>
            </w:pPr>
            <w:r w:rsidRPr="00BF06FC">
              <w:t>HV disease</w:t>
            </w:r>
          </w:p>
        </w:tc>
        <w:tc>
          <w:tcPr>
            <w:tcW w:w="652" w:type="pct"/>
            <w:tcBorders>
              <w:top w:val="nil"/>
              <w:left w:val="single" w:sz="4" w:space="0" w:color="auto"/>
              <w:bottom w:val="single" w:sz="4" w:space="0" w:color="auto"/>
              <w:right w:val="single" w:sz="4" w:space="0" w:color="auto"/>
            </w:tcBorders>
            <w:shd w:val="clear" w:color="auto" w:fill="auto"/>
            <w:vAlign w:val="center"/>
          </w:tcPr>
          <w:p w14:paraId="4612A6DA" w14:textId="77777777" w:rsidR="00814F74" w:rsidRPr="00BF06FC" w:rsidRDefault="00814F74" w:rsidP="00DF5EF9">
            <w:pPr>
              <w:pStyle w:val="TableText0"/>
              <w:keepNext w:val="0"/>
              <w:jc w:val="center"/>
            </w:pPr>
            <w:r w:rsidRPr="00BF06FC">
              <w:t>-</w:t>
            </w:r>
            <w:r w:rsidR="002037C2">
              <w:rPr>
                <w:noProof/>
                <w:color w:val="000000"/>
                <w:highlight w:val="black"/>
              </w:rPr>
              <w:t>'''''''''</w:t>
            </w:r>
            <w:r w:rsidR="00DE2EEC">
              <w:rPr>
                <w:sz w:val="18"/>
                <w:vertAlign w:val="superscript"/>
              </w:rPr>
              <w:t>20</w:t>
            </w:r>
          </w:p>
        </w:tc>
        <w:tc>
          <w:tcPr>
            <w:tcW w:w="653" w:type="pct"/>
            <w:tcBorders>
              <w:top w:val="nil"/>
              <w:left w:val="nil"/>
              <w:bottom w:val="single" w:sz="4" w:space="0" w:color="auto"/>
              <w:right w:val="single" w:sz="4" w:space="0" w:color="auto"/>
            </w:tcBorders>
            <w:shd w:val="clear" w:color="auto" w:fill="auto"/>
            <w:vAlign w:val="center"/>
          </w:tcPr>
          <w:p w14:paraId="5497C88B"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single" w:sz="4" w:space="0" w:color="auto"/>
              <w:right w:val="single" w:sz="4" w:space="0" w:color="auto"/>
            </w:tcBorders>
            <w:shd w:val="clear" w:color="auto" w:fill="auto"/>
            <w:vAlign w:val="center"/>
          </w:tcPr>
          <w:p w14:paraId="5DF5640C"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single" w:sz="4" w:space="0" w:color="auto"/>
              <w:right w:val="single" w:sz="4" w:space="0" w:color="auto"/>
            </w:tcBorders>
            <w:shd w:val="clear" w:color="auto" w:fill="auto"/>
            <w:vAlign w:val="center"/>
          </w:tcPr>
          <w:p w14:paraId="2A0BFB40"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1</w:t>
            </w:r>
          </w:p>
        </w:tc>
        <w:tc>
          <w:tcPr>
            <w:tcW w:w="653" w:type="pct"/>
            <w:tcBorders>
              <w:top w:val="nil"/>
              <w:left w:val="nil"/>
              <w:bottom w:val="single" w:sz="4" w:space="0" w:color="auto"/>
              <w:right w:val="single" w:sz="4" w:space="0" w:color="auto"/>
            </w:tcBorders>
            <w:shd w:val="clear" w:color="auto" w:fill="auto"/>
            <w:vAlign w:val="center"/>
          </w:tcPr>
          <w:p w14:paraId="28B28664"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2</w:t>
            </w:r>
          </w:p>
        </w:tc>
        <w:tc>
          <w:tcPr>
            <w:tcW w:w="652" w:type="pct"/>
            <w:tcBorders>
              <w:top w:val="nil"/>
              <w:left w:val="nil"/>
              <w:bottom w:val="single" w:sz="4" w:space="0" w:color="auto"/>
              <w:right w:val="single" w:sz="4" w:space="0" w:color="auto"/>
            </w:tcBorders>
            <w:shd w:val="clear" w:color="auto" w:fill="auto"/>
            <w:vAlign w:val="center"/>
          </w:tcPr>
          <w:p w14:paraId="63DA7062" w14:textId="77777777" w:rsidR="00814F74" w:rsidRPr="00BF06FC" w:rsidRDefault="00814F74" w:rsidP="00DF5EF9">
            <w:pPr>
              <w:pStyle w:val="TableText0"/>
              <w:keepNext w:val="0"/>
              <w:jc w:val="center"/>
            </w:pPr>
            <w:r w:rsidRPr="00BF06FC">
              <w:t>-</w:t>
            </w:r>
            <w:r w:rsidR="002037C2">
              <w:rPr>
                <w:noProof/>
                <w:color w:val="000000"/>
                <w:highlight w:val="black"/>
              </w:rPr>
              <w:t>'''''''''''</w:t>
            </w:r>
            <w:r w:rsidR="00732CD3" w:rsidRPr="00C80827">
              <w:rPr>
                <w:sz w:val="18"/>
                <w:vertAlign w:val="superscript"/>
              </w:rPr>
              <w:t>2</w:t>
            </w:r>
          </w:p>
        </w:tc>
      </w:tr>
      <w:tr w:rsidR="00550468" w:rsidRPr="003F72E0" w14:paraId="14B8882B" w14:textId="77777777" w:rsidTr="0065373E">
        <w:tc>
          <w:tcPr>
            <w:tcW w:w="1085" w:type="pct"/>
            <w:tcBorders>
              <w:top w:val="single" w:sz="4" w:space="0" w:color="auto"/>
              <w:left w:val="single" w:sz="4" w:space="0" w:color="auto"/>
              <w:bottom w:val="nil"/>
              <w:right w:val="single" w:sz="4" w:space="0" w:color="auto"/>
            </w:tcBorders>
            <w:shd w:val="clear" w:color="auto" w:fill="auto"/>
          </w:tcPr>
          <w:p w14:paraId="4A71DE80" w14:textId="77777777" w:rsidR="00814F74" w:rsidRPr="003F72E0" w:rsidRDefault="00814F74" w:rsidP="00DF5EF9">
            <w:pPr>
              <w:pStyle w:val="TableText0"/>
              <w:keepNext w:val="0"/>
              <w:rPr>
                <w:b/>
              </w:rPr>
            </w:pPr>
            <w:r w:rsidRPr="003F72E0">
              <w:rPr>
                <w:b/>
              </w:rPr>
              <w:t>ENZ/ABI PBS/RPBS cost</w:t>
            </w:r>
          </w:p>
        </w:tc>
        <w:tc>
          <w:tcPr>
            <w:tcW w:w="652" w:type="pct"/>
            <w:tcBorders>
              <w:top w:val="single" w:sz="4" w:space="0" w:color="auto"/>
              <w:left w:val="single" w:sz="4" w:space="0" w:color="auto"/>
              <w:bottom w:val="nil"/>
              <w:right w:val="single" w:sz="4" w:space="0" w:color="auto"/>
            </w:tcBorders>
            <w:shd w:val="clear" w:color="auto" w:fill="auto"/>
            <w:vAlign w:val="bottom"/>
          </w:tcPr>
          <w:p w14:paraId="0D71B2EA"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single" w:sz="4" w:space="0" w:color="auto"/>
              <w:left w:val="nil"/>
              <w:bottom w:val="nil"/>
              <w:right w:val="single" w:sz="4" w:space="0" w:color="auto"/>
            </w:tcBorders>
            <w:shd w:val="clear" w:color="auto" w:fill="auto"/>
            <w:vAlign w:val="bottom"/>
          </w:tcPr>
          <w:p w14:paraId="5DE96963"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single" w:sz="4" w:space="0" w:color="auto"/>
              <w:left w:val="nil"/>
              <w:bottom w:val="nil"/>
              <w:right w:val="single" w:sz="4" w:space="0" w:color="auto"/>
            </w:tcBorders>
            <w:shd w:val="clear" w:color="auto" w:fill="auto"/>
            <w:vAlign w:val="bottom"/>
          </w:tcPr>
          <w:p w14:paraId="5E7CE583"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12</w:t>
            </w:r>
          </w:p>
        </w:tc>
        <w:tc>
          <w:tcPr>
            <w:tcW w:w="653" w:type="pct"/>
            <w:tcBorders>
              <w:top w:val="single" w:sz="4" w:space="0" w:color="auto"/>
              <w:left w:val="nil"/>
              <w:bottom w:val="nil"/>
              <w:right w:val="single" w:sz="4" w:space="0" w:color="auto"/>
            </w:tcBorders>
            <w:shd w:val="clear" w:color="auto" w:fill="auto"/>
            <w:vAlign w:val="bottom"/>
          </w:tcPr>
          <w:p w14:paraId="787DB7AA"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12</w:t>
            </w:r>
          </w:p>
        </w:tc>
        <w:tc>
          <w:tcPr>
            <w:tcW w:w="653" w:type="pct"/>
            <w:tcBorders>
              <w:top w:val="single" w:sz="4" w:space="0" w:color="auto"/>
              <w:left w:val="nil"/>
              <w:bottom w:val="nil"/>
              <w:right w:val="single" w:sz="4" w:space="0" w:color="auto"/>
            </w:tcBorders>
            <w:shd w:val="clear" w:color="auto" w:fill="auto"/>
            <w:vAlign w:val="bottom"/>
          </w:tcPr>
          <w:p w14:paraId="09FBF63D"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11</w:t>
            </w:r>
          </w:p>
        </w:tc>
        <w:tc>
          <w:tcPr>
            <w:tcW w:w="652" w:type="pct"/>
            <w:tcBorders>
              <w:top w:val="single" w:sz="4" w:space="0" w:color="auto"/>
              <w:left w:val="nil"/>
              <w:bottom w:val="nil"/>
              <w:right w:val="single" w:sz="4" w:space="0" w:color="auto"/>
            </w:tcBorders>
            <w:shd w:val="clear" w:color="auto" w:fill="auto"/>
            <w:vAlign w:val="bottom"/>
          </w:tcPr>
          <w:p w14:paraId="222230D8"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11</w:t>
            </w:r>
          </w:p>
        </w:tc>
      </w:tr>
      <w:tr w:rsidR="00550468" w:rsidRPr="003F72E0" w14:paraId="04F92ED8" w14:textId="77777777" w:rsidTr="0065373E">
        <w:tc>
          <w:tcPr>
            <w:tcW w:w="1085" w:type="pct"/>
            <w:tcBorders>
              <w:top w:val="nil"/>
              <w:left w:val="single" w:sz="4" w:space="0" w:color="auto"/>
              <w:bottom w:val="nil"/>
              <w:right w:val="single" w:sz="4" w:space="0" w:color="auto"/>
            </w:tcBorders>
            <w:shd w:val="clear" w:color="auto" w:fill="auto"/>
          </w:tcPr>
          <w:p w14:paraId="064C87DB" w14:textId="77777777" w:rsidR="00814F74" w:rsidRPr="003F72E0" w:rsidRDefault="00814F74" w:rsidP="00DF5EF9">
            <w:pPr>
              <w:pStyle w:val="TableText0"/>
              <w:keepNext w:val="0"/>
            </w:pPr>
            <w:r w:rsidRPr="003F72E0">
              <w:rPr>
                <w:b/>
              </w:rPr>
              <w:t>ENZ/ABI net PBS/RPBS cost#</w:t>
            </w:r>
          </w:p>
        </w:tc>
        <w:tc>
          <w:tcPr>
            <w:tcW w:w="652" w:type="pct"/>
            <w:tcBorders>
              <w:top w:val="nil"/>
              <w:left w:val="single" w:sz="4" w:space="0" w:color="auto"/>
              <w:bottom w:val="nil"/>
              <w:right w:val="single" w:sz="4" w:space="0" w:color="auto"/>
            </w:tcBorders>
            <w:shd w:val="clear" w:color="auto" w:fill="auto"/>
            <w:vAlign w:val="center"/>
          </w:tcPr>
          <w:p w14:paraId="410492CF"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nil"/>
              <w:right w:val="single" w:sz="4" w:space="0" w:color="auto"/>
            </w:tcBorders>
            <w:shd w:val="clear" w:color="auto" w:fill="auto"/>
            <w:vAlign w:val="center"/>
          </w:tcPr>
          <w:p w14:paraId="6780D627"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nil"/>
              <w:right w:val="single" w:sz="4" w:space="0" w:color="auto"/>
            </w:tcBorders>
            <w:shd w:val="clear" w:color="auto" w:fill="auto"/>
            <w:vAlign w:val="center"/>
          </w:tcPr>
          <w:p w14:paraId="54A496E5"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12</w:t>
            </w:r>
          </w:p>
        </w:tc>
        <w:tc>
          <w:tcPr>
            <w:tcW w:w="653" w:type="pct"/>
            <w:tcBorders>
              <w:top w:val="nil"/>
              <w:left w:val="nil"/>
              <w:bottom w:val="nil"/>
              <w:right w:val="single" w:sz="4" w:space="0" w:color="auto"/>
            </w:tcBorders>
            <w:shd w:val="clear" w:color="auto" w:fill="auto"/>
            <w:vAlign w:val="center"/>
          </w:tcPr>
          <w:p w14:paraId="493DAB47"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12</w:t>
            </w:r>
          </w:p>
        </w:tc>
        <w:tc>
          <w:tcPr>
            <w:tcW w:w="653" w:type="pct"/>
            <w:tcBorders>
              <w:top w:val="nil"/>
              <w:left w:val="nil"/>
              <w:bottom w:val="nil"/>
              <w:right w:val="single" w:sz="4" w:space="0" w:color="auto"/>
            </w:tcBorders>
            <w:shd w:val="clear" w:color="auto" w:fill="auto"/>
            <w:vAlign w:val="center"/>
          </w:tcPr>
          <w:p w14:paraId="5DE0A5B2"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11</w:t>
            </w:r>
          </w:p>
        </w:tc>
        <w:tc>
          <w:tcPr>
            <w:tcW w:w="652" w:type="pct"/>
            <w:tcBorders>
              <w:top w:val="nil"/>
              <w:left w:val="nil"/>
              <w:bottom w:val="nil"/>
              <w:right w:val="single" w:sz="4" w:space="0" w:color="auto"/>
            </w:tcBorders>
            <w:shd w:val="clear" w:color="auto" w:fill="auto"/>
            <w:vAlign w:val="center"/>
          </w:tcPr>
          <w:p w14:paraId="0E4194E1"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11</w:t>
            </w:r>
          </w:p>
        </w:tc>
      </w:tr>
      <w:tr w:rsidR="00550468" w:rsidRPr="003F72E0" w14:paraId="562CCAEA" w14:textId="77777777" w:rsidTr="0065373E">
        <w:tc>
          <w:tcPr>
            <w:tcW w:w="1085" w:type="pct"/>
            <w:tcBorders>
              <w:top w:val="nil"/>
              <w:left w:val="single" w:sz="4" w:space="0" w:color="auto"/>
              <w:bottom w:val="nil"/>
              <w:right w:val="single" w:sz="4" w:space="0" w:color="auto"/>
            </w:tcBorders>
            <w:shd w:val="clear" w:color="auto" w:fill="auto"/>
          </w:tcPr>
          <w:p w14:paraId="6686C34C" w14:textId="77777777" w:rsidR="00814F74" w:rsidRPr="003F72E0" w:rsidRDefault="00814F74" w:rsidP="00DF5EF9">
            <w:pPr>
              <w:pStyle w:val="TableText0"/>
              <w:keepNext w:val="0"/>
              <w:ind w:left="106"/>
            </w:pPr>
            <w:r w:rsidRPr="003F72E0">
              <w:t>LV disease</w:t>
            </w:r>
          </w:p>
        </w:tc>
        <w:tc>
          <w:tcPr>
            <w:tcW w:w="652" w:type="pct"/>
            <w:tcBorders>
              <w:top w:val="nil"/>
              <w:left w:val="single" w:sz="4" w:space="0" w:color="auto"/>
              <w:bottom w:val="nil"/>
              <w:right w:val="single" w:sz="4" w:space="0" w:color="auto"/>
            </w:tcBorders>
            <w:shd w:val="clear" w:color="auto" w:fill="auto"/>
            <w:vAlign w:val="center"/>
          </w:tcPr>
          <w:p w14:paraId="5AFF289A"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nil"/>
              <w:right w:val="single" w:sz="4" w:space="0" w:color="auto"/>
            </w:tcBorders>
            <w:shd w:val="clear" w:color="auto" w:fill="auto"/>
            <w:vAlign w:val="center"/>
          </w:tcPr>
          <w:p w14:paraId="09C58EAA"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nil"/>
              <w:right w:val="single" w:sz="4" w:space="0" w:color="auto"/>
            </w:tcBorders>
            <w:shd w:val="clear" w:color="auto" w:fill="auto"/>
            <w:vAlign w:val="center"/>
          </w:tcPr>
          <w:p w14:paraId="7AFEC6C0"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nil"/>
              <w:right w:val="single" w:sz="4" w:space="0" w:color="auto"/>
            </w:tcBorders>
            <w:shd w:val="clear" w:color="auto" w:fill="auto"/>
            <w:vAlign w:val="center"/>
          </w:tcPr>
          <w:p w14:paraId="1B1BC065"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12</w:t>
            </w:r>
          </w:p>
        </w:tc>
        <w:tc>
          <w:tcPr>
            <w:tcW w:w="653" w:type="pct"/>
            <w:tcBorders>
              <w:top w:val="nil"/>
              <w:left w:val="nil"/>
              <w:bottom w:val="nil"/>
              <w:right w:val="single" w:sz="4" w:space="0" w:color="auto"/>
            </w:tcBorders>
            <w:shd w:val="clear" w:color="auto" w:fill="auto"/>
            <w:vAlign w:val="center"/>
          </w:tcPr>
          <w:p w14:paraId="12B093EC"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12</w:t>
            </w:r>
          </w:p>
        </w:tc>
        <w:tc>
          <w:tcPr>
            <w:tcW w:w="652" w:type="pct"/>
            <w:tcBorders>
              <w:top w:val="nil"/>
              <w:left w:val="nil"/>
              <w:bottom w:val="nil"/>
              <w:right w:val="single" w:sz="4" w:space="0" w:color="auto"/>
            </w:tcBorders>
            <w:shd w:val="clear" w:color="auto" w:fill="auto"/>
            <w:vAlign w:val="center"/>
          </w:tcPr>
          <w:p w14:paraId="1B27852D"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11</w:t>
            </w:r>
            <w:r w:rsidRPr="003F72E0">
              <w:t xml:space="preserve"> </w:t>
            </w:r>
          </w:p>
        </w:tc>
      </w:tr>
      <w:tr w:rsidR="00550468" w:rsidRPr="003F72E0" w14:paraId="741F4549" w14:textId="77777777" w:rsidTr="0065373E">
        <w:tc>
          <w:tcPr>
            <w:tcW w:w="1085" w:type="pct"/>
            <w:tcBorders>
              <w:top w:val="nil"/>
              <w:left w:val="single" w:sz="4" w:space="0" w:color="auto"/>
              <w:bottom w:val="single" w:sz="4" w:space="0" w:color="auto"/>
              <w:right w:val="single" w:sz="4" w:space="0" w:color="auto"/>
            </w:tcBorders>
            <w:shd w:val="clear" w:color="auto" w:fill="auto"/>
          </w:tcPr>
          <w:p w14:paraId="0F715C5C" w14:textId="77777777" w:rsidR="00814F74" w:rsidRPr="003F72E0" w:rsidRDefault="00814F74" w:rsidP="00DF5EF9">
            <w:pPr>
              <w:pStyle w:val="TableText0"/>
              <w:keepNext w:val="0"/>
              <w:ind w:left="106"/>
            </w:pPr>
            <w:r w:rsidRPr="003F72E0">
              <w:t>HV disease</w:t>
            </w:r>
          </w:p>
        </w:tc>
        <w:tc>
          <w:tcPr>
            <w:tcW w:w="652" w:type="pct"/>
            <w:tcBorders>
              <w:top w:val="nil"/>
              <w:left w:val="single" w:sz="4" w:space="0" w:color="auto"/>
              <w:bottom w:val="single" w:sz="4" w:space="0" w:color="auto"/>
              <w:right w:val="single" w:sz="4" w:space="0" w:color="auto"/>
            </w:tcBorders>
            <w:shd w:val="clear" w:color="auto" w:fill="auto"/>
            <w:vAlign w:val="center"/>
          </w:tcPr>
          <w:p w14:paraId="0AF0F7BD" w14:textId="77777777" w:rsidR="00814F74" w:rsidRPr="003F72E0" w:rsidRDefault="00814F74" w:rsidP="00266422">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single" w:sz="4" w:space="0" w:color="auto"/>
              <w:right w:val="single" w:sz="4" w:space="0" w:color="auto"/>
            </w:tcBorders>
            <w:shd w:val="clear" w:color="auto" w:fill="auto"/>
            <w:vAlign w:val="center"/>
          </w:tcPr>
          <w:p w14:paraId="595CB79E"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single" w:sz="4" w:space="0" w:color="auto"/>
              <w:right w:val="single" w:sz="4" w:space="0" w:color="auto"/>
            </w:tcBorders>
            <w:shd w:val="clear" w:color="auto" w:fill="auto"/>
            <w:vAlign w:val="center"/>
          </w:tcPr>
          <w:p w14:paraId="54FD1DCF"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single" w:sz="4" w:space="0" w:color="auto"/>
              <w:right w:val="single" w:sz="4" w:space="0" w:color="auto"/>
            </w:tcBorders>
            <w:shd w:val="clear" w:color="auto" w:fill="auto"/>
            <w:vAlign w:val="center"/>
          </w:tcPr>
          <w:p w14:paraId="0D6D803E"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3" w:type="pct"/>
            <w:tcBorders>
              <w:top w:val="nil"/>
              <w:left w:val="nil"/>
              <w:bottom w:val="single" w:sz="4" w:space="0" w:color="auto"/>
              <w:right w:val="single" w:sz="4" w:space="0" w:color="auto"/>
            </w:tcBorders>
            <w:shd w:val="clear" w:color="auto" w:fill="auto"/>
            <w:vAlign w:val="center"/>
          </w:tcPr>
          <w:p w14:paraId="3CDD8F88" w14:textId="77777777" w:rsidR="00814F74" w:rsidRPr="003F72E0" w:rsidRDefault="00814F74" w:rsidP="00DF5EF9">
            <w:pPr>
              <w:pStyle w:val="TableText0"/>
              <w:keepNext w:val="0"/>
              <w:jc w:val="center"/>
            </w:pPr>
            <w:r w:rsidRPr="003F72E0">
              <w:t>-</w:t>
            </w:r>
            <w:r w:rsidR="002037C2">
              <w:rPr>
                <w:noProof/>
                <w:color w:val="000000"/>
                <w:highlight w:val="black"/>
              </w:rPr>
              <w:t>'''''''''''''''''''''''''''</w:t>
            </w:r>
            <w:r w:rsidR="00266422">
              <w:rPr>
                <w:sz w:val="18"/>
                <w:vertAlign w:val="superscript"/>
              </w:rPr>
              <w:t>13</w:t>
            </w:r>
          </w:p>
        </w:tc>
        <w:tc>
          <w:tcPr>
            <w:tcW w:w="652" w:type="pct"/>
            <w:tcBorders>
              <w:top w:val="nil"/>
              <w:left w:val="nil"/>
              <w:bottom w:val="single" w:sz="4" w:space="0" w:color="auto"/>
              <w:right w:val="single" w:sz="4" w:space="0" w:color="auto"/>
            </w:tcBorders>
            <w:shd w:val="clear" w:color="auto" w:fill="auto"/>
            <w:vAlign w:val="center"/>
          </w:tcPr>
          <w:p w14:paraId="1AD8396A" w14:textId="77777777" w:rsidR="00814F74" w:rsidRPr="003F72E0" w:rsidRDefault="00814F74" w:rsidP="00DF5EF9">
            <w:pPr>
              <w:pStyle w:val="TableText0"/>
              <w:keepNext w:val="0"/>
              <w:jc w:val="center"/>
            </w:pPr>
            <w:r w:rsidRPr="003F72E0">
              <w:t>-</w:t>
            </w:r>
            <w:r w:rsidR="002037C2">
              <w:rPr>
                <w:noProof/>
                <w:color w:val="000000"/>
                <w:highlight w:val="black"/>
              </w:rPr>
              <w:t>'''''''''''''''''''''''''</w:t>
            </w:r>
            <w:r w:rsidRPr="003F72E0">
              <w:t xml:space="preserve"> </w:t>
            </w:r>
            <w:r w:rsidR="00266422">
              <w:rPr>
                <w:sz w:val="18"/>
                <w:vertAlign w:val="superscript"/>
              </w:rPr>
              <w:t>13</w:t>
            </w:r>
          </w:p>
        </w:tc>
      </w:tr>
      <w:tr w:rsidR="00814F74" w:rsidRPr="003F72E0" w14:paraId="3DDF0931" w14:textId="77777777" w:rsidTr="0065373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EB2010C" w14:textId="77777777" w:rsidR="00814F74" w:rsidRPr="003F72E0" w:rsidRDefault="00814F74" w:rsidP="00DF5EF9">
            <w:pPr>
              <w:pStyle w:val="TableText0"/>
              <w:keepNext w:val="0"/>
              <w:rPr>
                <w:b/>
              </w:rPr>
            </w:pPr>
            <w:r w:rsidRPr="003F72E0">
              <w:rPr>
                <w:b/>
              </w:rPr>
              <w:t>Net financial implications to government</w:t>
            </w:r>
          </w:p>
        </w:tc>
      </w:tr>
      <w:tr w:rsidR="00550468" w:rsidRPr="003F72E0" w14:paraId="33D14C53" w14:textId="77777777" w:rsidTr="0065373E">
        <w:tc>
          <w:tcPr>
            <w:tcW w:w="1085" w:type="pct"/>
            <w:tcBorders>
              <w:top w:val="single" w:sz="4" w:space="0" w:color="auto"/>
              <w:left w:val="single" w:sz="4" w:space="0" w:color="auto"/>
              <w:bottom w:val="nil"/>
              <w:right w:val="single" w:sz="4" w:space="0" w:color="auto"/>
            </w:tcBorders>
            <w:shd w:val="clear" w:color="auto" w:fill="auto"/>
          </w:tcPr>
          <w:p w14:paraId="307082EE" w14:textId="77777777" w:rsidR="00814F74" w:rsidRPr="003F72E0" w:rsidRDefault="00814F74" w:rsidP="00DF5EF9">
            <w:pPr>
              <w:pStyle w:val="TableText0"/>
              <w:keepNext w:val="0"/>
            </w:pPr>
            <w:r w:rsidRPr="003F72E0">
              <w:rPr>
                <w:b/>
              </w:rPr>
              <w:t>Total PBS/RPBS cost</w:t>
            </w:r>
          </w:p>
        </w:tc>
        <w:tc>
          <w:tcPr>
            <w:tcW w:w="652" w:type="pct"/>
            <w:tcBorders>
              <w:top w:val="single" w:sz="4" w:space="0" w:color="auto"/>
              <w:left w:val="single" w:sz="4" w:space="0" w:color="auto"/>
              <w:bottom w:val="nil"/>
              <w:right w:val="single" w:sz="4" w:space="0" w:color="auto"/>
            </w:tcBorders>
            <w:shd w:val="clear" w:color="auto" w:fill="auto"/>
            <w:vAlign w:val="center"/>
          </w:tcPr>
          <w:p w14:paraId="675BAE0A"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11</w:t>
            </w:r>
          </w:p>
        </w:tc>
        <w:tc>
          <w:tcPr>
            <w:tcW w:w="653" w:type="pct"/>
            <w:tcBorders>
              <w:top w:val="single" w:sz="4" w:space="0" w:color="auto"/>
              <w:left w:val="nil"/>
              <w:bottom w:val="nil"/>
              <w:right w:val="single" w:sz="4" w:space="0" w:color="auto"/>
            </w:tcBorders>
            <w:shd w:val="clear" w:color="auto" w:fill="auto"/>
            <w:vAlign w:val="center"/>
          </w:tcPr>
          <w:p w14:paraId="43309DB5"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21</w:t>
            </w:r>
          </w:p>
        </w:tc>
        <w:tc>
          <w:tcPr>
            <w:tcW w:w="653" w:type="pct"/>
            <w:tcBorders>
              <w:top w:val="single" w:sz="4" w:space="0" w:color="auto"/>
              <w:left w:val="nil"/>
              <w:bottom w:val="nil"/>
              <w:right w:val="single" w:sz="4" w:space="0" w:color="auto"/>
            </w:tcBorders>
            <w:shd w:val="clear" w:color="auto" w:fill="auto"/>
            <w:vAlign w:val="center"/>
          </w:tcPr>
          <w:p w14:paraId="3B1F0E0F"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15</w:t>
            </w:r>
          </w:p>
        </w:tc>
        <w:tc>
          <w:tcPr>
            <w:tcW w:w="653" w:type="pct"/>
            <w:tcBorders>
              <w:top w:val="single" w:sz="4" w:space="0" w:color="auto"/>
              <w:left w:val="nil"/>
              <w:bottom w:val="nil"/>
              <w:right w:val="single" w:sz="4" w:space="0" w:color="auto"/>
            </w:tcBorders>
            <w:shd w:val="clear" w:color="auto" w:fill="auto"/>
            <w:vAlign w:val="center"/>
          </w:tcPr>
          <w:p w14:paraId="316B1F1B"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17</w:t>
            </w:r>
          </w:p>
        </w:tc>
        <w:tc>
          <w:tcPr>
            <w:tcW w:w="653" w:type="pct"/>
            <w:tcBorders>
              <w:top w:val="single" w:sz="4" w:space="0" w:color="auto"/>
              <w:left w:val="nil"/>
              <w:bottom w:val="nil"/>
              <w:right w:val="single" w:sz="4" w:space="0" w:color="auto"/>
            </w:tcBorders>
            <w:shd w:val="clear" w:color="auto" w:fill="auto"/>
            <w:vAlign w:val="center"/>
          </w:tcPr>
          <w:p w14:paraId="7595177C"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16</w:t>
            </w:r>
          </w:p>
        </w:tc>
        <w:tc>
          <w:tcPr>
            <w:tcW w:w="652" w:type="pct"/>
            <w:tcBorders>
              <w:top w:val="single" w:sz="4" w:space="0" w:color="auto"/>
              <w:left w:val="nil"/>
              <w:bottom w:val="nil"/>
              <w:right w:val="single" w:sz="4" w:space="0" w:color="auto"/>
            </w:tcBorders>
            <w:shd w:val="clear" w:color="auto" w:fill="auto"/>
            <w:vAlign w:val="center"/>
          </w:tcPr>
          <w:p w14:paraId="73B2F797"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18</w:t>
            </w:r>
          </w:p>
        </w:tc>
      </w:tr>
      <w:tr w:rsidR="00550468" w:rsidRPr="003F72E0" w14:paraId="4B747D50" w14:textId="77777777" w:rsidTr="0065373E">
        <w:tc>
          <w:tcPr>
            <w:tcW w:w="1085" w:type="pct"/>
            <w:tcBorders>
              <w:top w:val="nil"/>
              <w:left w:val="single" w:sz="4" w:space="0" w:color="auto"/>
              <w:bottom w:val="nil"/>
              <w:right w:val="single" w:sz="4" w:space="0" w:color="auto"/>
            </w:tcBorders>
            <w:shd w:val="clear" w:color="auto" w:fill="auto"/>
          </w:tcPr>
          <w:p w14:paraId="7F69D85A" w14:textId="77777777" w:rsidR="00814F74" w:rsidRPr="003F72E0" w:rsidRDefault="00814F74" w:rsidP="00DF5EF9">
            <w:pPr>
              <w:pStyle w:val="TableText0"/>
              <w:keepNext w:val="0"/>
              <w:rPr>
                <w:b/>
              </w:rPr>
            </w:pPr>
            <w:r w:rsidRPr="003F72E0">
              <w:rPr>
                <w:b/>
              </w:rPr>
              <w:t>Total net PBS/RPBS cost#</w:t>
            </w:r>
          </w:p>
        </w:tc>
        <w:tc>
          <w:tcPr>
            <w:tcW w:w="652" w:type="pct"/>
            <w:tcBorders>
              <w:top w:val="nil"/>
              <w:left w:val="single" w:sz="4" w:space="0" w:color="auto"/>
              <w:bottom w:val="nil"/>
              <w:right w:val="single" w:sz="4" w:space="0" w:color="auto"/>
            </w:tcBorders>
            <w:shd w:val="clear" w:color="auto" w:fill="auto"/>
            <w:vAlign w:val="center"/>
          </w:tcPr>
          <w:p w14:paraId="1A9DEA7C"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11</w:t>
            </w:r>
          </w:p>
        </w:tc>
        <w:tc>
          <w:tcPr>
            <w:tcW w:w="653" w:type="pct"/>
            <w:tcBorders>
              <w:top w:val="nil"/>
              <w:left w:val="nil"/>
              <w:bottom w:val="nil"/>
              <w:right w:val="single" w:sz="4" w:space="0" w:color="auto"/>
            </w:tcBorders>
            <w:shd w:val="clear" w:color="auto" w:fill="auto"/>
            <w:vAlign w:val="center"/>
          </w:tcPr>
          <w:p w14:paraId="37395F34"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21</w:t>
            </w:r>
          </w:p>
        </w:tc>
        <w:tc>
          <w:tcPr>
            <w:tcW w:w="653" w:type="pct"/>
            <w:tcBorders>
              <w:top w:val="nil"/>
              <w:left w:val="nil"/>
              <w:bottom w:val="nil"/>
              <w:right w:val="single" w:sz="4" w:space="0" w:color="auto"/>
            </w:tcBorders>
            <w:shd w:val="clear" w:color="auto" w:fill="auto"/>
            <w:vAlign w:val="center"/>
          </w:tcPr>
          <w:p w14:paraId="2F0624A9"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15</w:t>
            </w:r>
          </w:p>
        </w:tc>
        <w:tc>
          <w:tcPr>
            <w:tcW w:w="653" w:type="pct"/>
            <w:tcBorders>
              <w:top w:val="nil"/>
              <w:left w:val="nil"/>
              <w:bottom w:val="nil"/>
              <w:right w:val="single" w:sz="4" w:space="0" w:color="auto"/>
            </w:tcBorders>
            <w:shd w:val="clear" w:color="auto" w:fill="auto"/>
            <w:vAlign w:val="center"/>
          </w:tcPr>
          <w:p w14:paraId="19B927E9"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17</w:t>
            </w:r>
          </w:p>
        </w:tc>
        <w:tc>
          <w:tcPr>
            <w:tcW w:w="653" w:type="pct"/>
            <w:tcBorders>
              <w:top w:val="nil"/>
              <w:left w:val="nil"/>
              <w:bottom w:val="nil"/>
              <w:right w:val="single" w:sz="4" w:space="0" w:color="auto"/>
            </w:tcBorders>
            <w:shd w:val="clear" w:color="auto" w:fill="auto"/>
            <w:vAlign w:val="center"/>
          </w:tcPr>
          <w:p w14:paraId="6F3CD82E"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16</w:t>
            </w:r>
          </w:p>
        </w:tc>
        <w:tc>
          <w:tcPr>
            <w:tcW w:w="652" w:type="pct"/>
            <w:tcBorders>
              <w:top w:val="nil"/>
              <w:left w:val="nil"/>
              <w:bottom w:val="nil"/>
              <w:right w:val="single" w:sz="4" w:space="0" w:color="auto"/>
            </w:tcBorders>
            <w:shd w:val="clear" w:color="auto" w:fill="auto"/>
            <w:vAlign w:val="center"/>
          </w:tcPr>
          <w:p w14:paraId="0C3E41F1" w14:textId="77777777" w:rsidR="00814F74" w:rsidRPr="002037C2" w:rsidRDefault="002037C2" w:rsidP="00DF5EF9">
            <w:pPr>
              <w:pStyle w:val="TableText0"/>
              <w:keepNext w:val="0"/>
              <w:jc w:val="center"/>
              <w:rPr>
                <w:b/>
              </w:rPr>
            </w:pPr>
            <w:r>
              <w:rPr>
                <w:b/>
                <w:noProof/>
                <w:color w:val="000000"/>
                <w:highlight w:val="black"/>
              </w:rPr>
              <w:t>'''''''''''''''''''''''</w:t>
            </w:r>
            <w:r w:rsidR="00266422">
              <w:rPr>
                <w:sz w:val="18"/>
                <w:vertAlign w:val="superscript"/>
              </w:rPr>
              <w:t>18</w:t>
            </w:r>
          </w:p>
        </w:tc>
      </w:tr>
      <w:tr w:rsidR="00550468" w:rsidRPr="003F72E0" w14:paraId="2292DD88" w14:textId="77777777" w:rsidTr="0065373E">
        <w:tc>
          <w:tcPr>
            <w:tcW w:w="1085" w:type="pct"/>
            <w:tcBorders>
              <w:top w:val="nil"/>
              <w:left w:val="single" w:sz="4" w:space="0" w:color="auto"/>
              <w:bottom w:val="nil"/>
              <w:right w:val="single" w:sz="4" w:space="0" w:color="auto"/>
            </w:tcBorders>
            <w:shd w:val="clear" w:color="auto" w:fill="auto"/>
          </w:tcPr>
          <w:p w14:paraId="4EF839D5" w14:textId="77777777" w:rsidR="00814F74" w:rsidRPr="003F72E0" w:rsidRDefault="00814F74" w:rsidP="00DF5EF9">
            <w:pPr>
              <w:pStyle w:val="TableText0"/>
              <w:keepNext w:val="0"/>
              <w:ind w:left="106"/>
            </w:pPr>
            <w:r w:rsidRPr="003F72E0">
              <w:t>LV disease</w:t>
            </w:r>
          </w:p>
        </w:tc>
        <w:tc>
          <w:tcPr>
            <w:tcW w:w="652" w:type="pct"/>
            <w:tcBorders>
              <w:top w:val="nil"/>
              <w:left w:val="single" w:sz="4" w:space="0" w:color="auto"/>
              <w:bottom w:val="nil"/>
              <w:right w:val="single" w:sz="4" w:space="0" w:color="auto"/>
            </w:tcBorders>
            <w:shd w:val="clear" w:color="auto" w:fill="auto"/>
            <w:vAlign w:val="center"/>
          </w:tcPr>
          <w:p w14:paraId="23CF7D11"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12</w:t>
            </w:r>
          </w:p>
        </w:tc>
        <w:tc>
          <w:tcPr>
            <w:tcW w:w="653" w:type="pct"/>
            <w:tcBorders>
              <w:top w:val="nil"/>
              <w:left w:val="nil"/>
              <w:bottom w:val="nil"/>
              <w:right w:val="single" w:sz="4" w:space="0" w:color="auto"/>
            </w:tcBorders>
            <w:shd w:val="clear" w:color="auto" w:fill="auto"/>
            <w:vAlign w:val="center"/>
          </w:tcPr>
          <w:p w14:paraId="69FDC319"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14</w:t>
            </w:r>
          </w:p>
        </w:tc>
        <w:tc>
          <w:tcPr>
            <w:tcW w:w="653" w:type="pct"/>
            <w:tcBorders>
              <w:top w:val="nil"/>
              <w:left w:val="nil"/>
              <w:bottom w:val="nil"/>
              <w:right w:val="single" w:sz="4" w:space="0" w:color="auto"/>
            </w:tcBorders>
            <w:shd w:val="clear" w:color="auto" w:fill="auto"/>
            <w:vAlign w:val="center"/>
          </w:tcPr>
          <w:p w14:paraId="473292B0"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21</w:t>
            </w:r>
          </w:p>
        </w:tc>
        <w:tc>
          <w:tcPr>
            <w:tcW w:w="653" w:type="pct"/>
            <w:tcBorders>
              <w:top w:val="nil"/>
              <w:left w:val="nil"/>
              <w:bottom w:val="nil"/>
              <w:right w:val="single" w:sz="4" w:space="0" w:color="auto"/>
            </w:tcBorders>
            <w:shd w:val="clear" w:color="auto" w:fill="auto"/>
            <w:vAlign w:val="center"/>
          </w:tcPr>
          <w:p w14:paraId="7A324665"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15</w:t>
            </w:r>
          </w:p>
        </w:tc>
        <w:tc>
          <w:tcPr>
            <w:tcW w:w="653" w:type="pct"/>
            <w:tcBorders>
              <w:top w:val="nil"/>
              <w:left w:val="nil"/>
              <w:bottom w:val="nil"/>
              <w:right w:val="single" w:sz="4" w:space="0" w:color="auto"/>
            </w:tcBorders>
            <w:shd w:val="clear" w:color="auto" w:fill="auto"/>
            <w:vAlign w:val="center"/>
          </w:tcPr>
          <w:p w14:paraId="75C3966F"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17</w:t>
            </w:r>
          </w:p>
        </w:tc>
        <w:tc>
          <w:tcPr>
            <w:tcW w:w="652" w:type="pct"/>
            <w:tcBorders>
              <w:top w:val="nil"/>
              <w:left w:val="nil"/>
              <w:bottom w:val="nil"/>
              <w:right w:val="single" w:sz="4" w:space="0" w:color="auto"/>
            </w:tcBorders>
            <w:shd w:val="clear" w:color="auto" w:fill="auto"/>
            <w:vAlign w:val="center"/>
          </w:tcPr>
          <w:p w14:paraId="6B6F295E"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17</w:t>
            </w:r>
          </w:p>
        </w:tc>
      </w:tr>
      <w:tr w:rsidR="00550468" w:rsidRPr="003F72E0" w14:paraId="637B3169" w14:textId="77777777" w:rsidTr="0065373E">
        <w:tc>
          <w:tcPr>
            <w:tcW w:w="1085" w:type="pct"/>
            <w:tcBorders>
              <w:top w:val="nil"/>
              <w:left w:val="single" w:sz="4" w:space="0" w:color="auto"/>
              <w:bottom w:val="single" w:sz="4" w:space="0" w:color="auto"/>
              <w:right w:val="single" w:sz="4" w:space="0" w:color="auto"/>
            </w:tcBorders>
            <w:shd w:val="clear" w:color="auto" w:fill="auto"/>
          </w:tcPr>
          <w:p w14:paraId="774970E9" w14:textId="77777777" w:rsidR="00814F74" w:rsidRPr="003F72E0" w:rsidRDefault="00814F74" w:rsidP="00DF5EF9">
            <w:pPr>
              <w:pStyle w:val="TableText0"/>
              <w:keepNext w:val="0"/>
              <w:ind w:left="106"/>
            </w:pPr>
            <w:r w:rsidRPr="003F72E0">
              <w:t>HV disease</w:t>
            </w:r>
          </w:p>
        </w:tc>
        <w:tc>
          <w:tcPr>
            <w:tcW w:w="652" w:type="pct"/>
            <w:tcBorders>
              <w:top w:val="nil"/>
              <w:left w:val="single" w:sz="4" w:space="0" w:color="auto"/>
              <w:bottom w:val="single" w:sz="4" w:space="0" w:color="auto"/>
              <w:right w:val="single" w:sz="4" w:space="0" w:color="auto"/>
            </w:tcBorders>
            <w:shd w:val="clear" w:color="auto" w:fill="auto"/>
            <w:vAlign w:val="center"/>
          </w:tcPr>
          <w:p w14:paraId="577D97EC"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13</w:t>
            </w:r>
          </w:p>
        </w:tc>
        <w:tc>
          <w:tcPr>
            <w:tcW w:w="653" w:type="pct"/>
            <w:tcBorders>
              <w:top w:val="nil"/>
              <w:left w:val="nil"/>
              <w:bottom w:val="single" w:sz="4" w:space="0" w:color="auto"/>
              <w:right w:val="single" w:sz="4" w:space="0" w:color="auto"/>
            </w:tcBorders>
            <w:shd w:val="clear" w:color="auto" w:fill="auto"/>
            <w:vAlign w:val="center"/>
          </w:tcPr>
          <w:p w14:paraId="083A2D8D"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12</w:t>
            </w:r>
          </w:p>
        </w:tc>
        <w:tc>
          <w:tcPr>
            <w:tcW w:w="653" w:type="pct"/>
            <w:tcBorders>
              <w:top w:val="nil"/>
              <w:left w:val="nil"/>
              <w:bottom w:val="single" w:sz="4" w:space="0" w:color="auto"/>
              <w:right w:val="single" w:sz="4" w:space="0" w:color="auto"/>
            </w:tcBorders>
            <w:shd w:val="clear" w:color="auto" w:fill="auto"/>
            <w:vAlign w:val="center"/>
          </w:tcPr>
          <w:p w14:paraId="3AF23484"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12</w:t>
            </w:r>
          </w:p>
        </w:tc>
        <w:tc>
          <w:tcPr>
            <w:tcW w:w="653" w:type="pct"/>
            <w:tcBorders>
              <w:top w:val="nil"/>
              <w:left w:val="nil"/>
              <w:bottom w:val="single" w:sz="4" w:space="0" w:color="auto"/>
              <w:right w:val="single" w:sz="4" w:space="0" w:color="auto"/>
            </w:tcBorders>
            <w:shd w:val="clear" w:color="auto" w:fill="auto"/>
            <w:vAlign w:val="center"/>
          </w:tcPr>
          <w:p w14:paraId="78D591ED"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12</w:t>
            </w:r>
          </w:p>
        </w:tc>
        <w:tc>
          <w:tcPr>
            <w:tcW w:w="653" w:type="pct"/>
            <w:tcBorders>
              <w:top w:val="nil"/>
              <w:left w:val="nil"/>
              <w:bottom w:val="single" w:sz="4" w:space="0" w:color="auto"/>
              <w:right w:val="single" w:sz="4" w:space="0" w:color="auto"/>
            </w:tcBorders>
            <w:shd w:val="clear" w:color="auto" w:fill="auto"/>
            <w:vAlign w:val="center"/>
          </w:tcPr>
          <w:p w14:paraId="344C3978"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12</w:t>
            </w:r>
          </w:p>
        </w:tc>
        <w:tc>
          <w:tcPr>
            <w:tcW w:w="652" w:type="pct"/>
            <w:tcBorders>
              <w:top w:val="nil"/>
              <w:left w:val="nil"/>
              <w:bottom w:val="single" w:sz="4" w:space="0" w:color="auto"/>
              <w:right w:val="single" w:sz="4" w:space="0" w:color="auto"/>
            </w:tcBorders>
            <w:shd w:val="clear" w:color="auto" w:fill="auto"/>
            <w:vAlign w:val="center"/>
          </w:tcPr>
          <w:p w14:paraId="6B457A8C" w14:textId="77777777" w:rsidR="00814F74" w:rsidRPr="002037C2" w:rsidRDefault="002037C2" w:rsidP="00DF5EF9">
            <w:pPr>
              <w:pStyle w:val="TableText0"/>
              <w:keepNext w:val="0"/>
              <w:jc w:val="center"/>
            </w:pPr>
            <w:r>
              <w:rPr>
                <w:noProof/>
                <w:color w:val="000000"/>
                <w:highlight w:val="black"/>
              </w:rPr>
              <w:t>'''''''''''''''''''''''''''</w:t>
            </w:r>
            <w:r w:rsidR="00266422">
              <w:rPr>
                <w:sz w:val="18"/>
                <w:vertAlign w:val="superscript"/>
              </w:rPr>
              <w:t>12</w:t>
            </w:r>
          </w:p>
        </w:tc>
      </w:tr>
      <w:tr w:rsidR="00BD3D16" w:rsidRPr="003F72E0" w14:paraId="54FFFC86" w14:textId="77777777" w:rsidTr="0065373E">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823805C" w14:textId="77777777" w:rsidR="00BD3D16" w:rsidRPr="003F72E0" w:rsidRDefault="00BD3D16" w:rsidP="00BD3D16">
            <w:pPr>
              <w:pStyle w:val="TableText0"/>
              <w:keepNext w:val="0"/>
            </w:pPr>
            <w:r w:rsidRPr="003F72E0">
              <w:rPr>
                <w:b/>
              </w:rPr>
              <w:t>Net financial implications to government</w:t>
            </w:r>
            <w:r>
              <w:rPr>
                <w:b/>
              </w:rPr>
              <w:t xml:space="preserve"> (revised in pre-PBAC </w:t>
            </w:r>
            <w:proofErr w:type="gramStart"/>
            <w:r>
              <w:rPr>
                <w:b/>
              </w:rPr>
              <w:t>response)</w:t>
            </w:r>
            <w:r w:rsidR="00674375">
              <w:rPr>
                <w:b/>
              </w:rPr>
              <w:t>*</w:t>
            </w:r>
            <w:proofErr w:type="gramEnd"/>
          </w:p>
        </w:tc>
      </w:tr>
      <w:tr w:rsidR="00550468" w:rsidRPr="003F72E0" w14:paraId="3005BC41" w14:textId="77777777" w:rsidTr="0065373E">
        <w:tc>
          <w:tcPr>
            <w:tcW w:w="1085" w:type="pct"/>
            <w:tcBorders>
              <w:top w:val="single" w:sz="4" w:space="0" w:color="auto"/>
              <w:left w:val="single" w:sz="4" w:space="0" w:color="auto"/>
              <w:bottom w:val="single" w:sz="4" w:space="0" w:color="auto"/>
              <w:right w:val="single" w:sz="4" w:space="0" w:color="auto"/>
            </w:tcBorders>
            <w:shd w:val="clear" w:color="auto" w:fill="auto"/>
          </w:tcPr>
          <w:p w14:paraId="7B8775DF" w14:textId="77777777" w:rsidR="00674375" w:rsidRPr="00674375" w:rsidRDefault="00674375" w:rsidP="00674375">
            <w:pPr>
              <w:pStyle w:val="TableText0"/>
              <w:keepNext w:val="0"/>
              <w:rPr>
                <w:b/>
              </w:rPr>
            </w:pPr>
            <w:r w:rsidRPr="00674375">
              <w:rPr>
                <w:b/>
              </w:rPr>
              <w:t>Total net PBS/RPBS cost</w:t>
            </w:r>
          </w:p>
        </w:tc>
        <w:tc>
          <w:tcPr>
            <w:tcW w:w="652" w:type="pct"/>
            <w:tcBorders>
              <w:top w:val="single" w:sz="4" w:space="0" w:color="auto"/>
              <w:left w:val="single" w:sz="4" w:space="0" w:color="auto"/>
              <w:bottom w:val="single" w:sz="4" w:space="0" w:color="auto"/>
              <w:right w:val="single" w:sz="4" w:space="0" w:color="auto"/>
            </w:tcBorders>
            <w:shd w:val="clear" w:color="auto" w:fill="auto"/>
          </w:tcPr>
          <w:p w14:paraId="16C1DA02" w14:textId="77777777" w:rsidR="00674375" w:rsidRPr="002037C2" w:rsidRDefault="002037C2" w:rsidP="00674375">
            <w:pPr>
              <w:pStyle w:val="TableText0"/>
              <w:keepNext w:val="0"/>
              <w:jc w:val="center"/>
              <w:rPr>
                <w:b/>
              </w:rPr>
            </w:pPr>
            <w:r>
              <w:rPr>
                <w:b/>
                <w:noProof/>
                <w:color w:val="000000"/>
                <w:highlight w:val="black"/>
              </w:rPr>
              <w:t>'''''''''''''''''''''''''</w:t>
            </w:r>
            <w:r w:rsidR="00266422">
              <w:rPr>
                <w:sz w:val="18"/>
                <w:vertAlign w:val="superscript"/>
              </w:rPr>
              <w:t>11</w:t>
            </w:r>
          </w:p>
        </w:tc>
        <w:tc>
          <w:tcPr>
            <w:tcW w:w="653" w:type="pct"/>
            <w:tcBorders>
              <w:top w:val="single" w:sz="4" w:space="0" w:color="auto"/>
              <w:left w:val="nil"/>
              <w:bottom w:val="single" w:sz="4" w:space="0" w:color="auto"/>
              <w:right w:val="single" w:sz="4" w:space="0" w:color="auto"/>
            </w:tcBorders>
            <w:shd w:val="clear" w:color="auto" w:fill="auto"/>
          </w:tcPr>
          <w:p w14:paraId="25D54B15" w14:textId="77777777" w:rsidR="00674375" w:rsidRPr="002037C2" w:rsidRDefault="002037C2" w:rsidP="00674375">
            <w:pPr>
              <w:pStyle w:val="TableText0"/>
              <w:keepNext w:val="0"/>
              <w:jc w:val="center"/>
              <w:rPr>
                <w:b/>
              </w:rPr>
            </w:pPr>
            <w:r>
              <w:rPr>
                <w:b/>
                <w:noProof/>
                <w:color w:val="000000"/>
                <w:highlight w:val="black"/>
              </w:rPr>
              <w:t>'''''''''''''''''''''''</w:t>
            </w:r>
            <w:r w:rsidR="00266422">
              <w:rPr>
                <w:sz w:val="18"/>
                <w:vertAlign w:val="superscript"/>
              </w:rPr>
              <w:t>14</w:t>
            </w:r>
          </w:p>
        </w:tc>
        <w:tc>
          <w:tcPr>
            <w:tcW w:w="653" w:type="pct"/>
            <w:tcBorders>
              <w:top w:val="single" w:sz="4" w:space="0" w:color="auto"/>
              <w:left w:val="nil"/>
              <w:bottom w:val="single" w:sz="4" w:space="0" w:color="auto"/>
              <w:right w:val="single" w:sz="4" w:space="0" w:color="auto"/>
            </w:tcBorders>
            <w:shd w:val="clear" w:color="auto" w:fill="auto"/>
          </w:tcPr>
          <w:p w14:paraId="02AE1BA1" w14:textId="77777777" w:rsidR="00674375" w:rsidRPr="002037C2" w:rsidRDefault="002037C2" w:rsidP="00674375">
            <w:pPr>
              <w:pStyle w:val="TableText0"/>
              <w:keepNext w:val="0"/>
              <w:jc w:val="center"/>
              <w:rPr>
                <w:b/>
              </w:rPr>
            </w:pPr>
            <w:r>
              <w:rPr>
                <w:b/>
                <w:noProof/>
                <w:color w:val="000000"/>
                <w:highlight w:val="black"/>
              </w:rPr>
              <w:t>''''''''''''''''''''''''''</w:t>
            </w:r>
            <w:r w:rsidR="00266422">
              <w:rPr>
                <w:sz w:val="18"/>
                <w:vertAlign w:val="superscript"/>
              </w:rPr>
              <w:t>21</w:t>
            </w:r>
          </w:p>
        </w:tc>
        <w:tc>
          <w:tcPr>
            <w:tcW w:w="653" w:type="pct"/>
            <w:tcBorders>
              <w:top w:val="single" w:sz="4" w:space="0" w:color="auto"/>
              <w:left w:val="nil"/>
              <w:bottom w:val="single" w:sz="4" w:space="0" w:color="auto"/>
              <w:right w:val="single" w:sz="4" w:space="0" w:color="auto"/>
            </w:tcBorders>
            <w:shd w:val="clear" w:color="auto" w:fill="auto"/>
          </w:tcPr>
          <w:p w14:paraId="6C66AF66" w14:textId="77777777" w:rsidR="00674375" w:rsidRPr="002037C2" w:rsidRDefault="002037C2" w:rsidP="00674375">
            <w:pPr>
              <w:pStyle w:val="TableText0"/>
              <w:keepNext w:val="0"/>
              <w:jc w:val="center"/>
              <w:rPr>
                <w:b/>
              </w:rPr>
            </w:pPr>
            <w:r>
              <w:rPr>
                <w:b/>
                <w:noProof/>
                <w:color w:val="000000"/>
                <w:highlight w:val="black"/>
              </w:rPr>
              <w:t>''''''''''''''''''''''''</w:t>
            </w:r>
            <w:r w:rsidR="00266422">
              <w:rPr>
                <w:sz w:val="18"/>
                <w:vertAlign w:val="superscript"/>
              </w:rPr>
              <w:t>15</w:t>
            </w:r>
          </w:p>
        </w:tc>
        <w:tc>
          <w:tcPr>
            <w:tcW w:w="653" w:type="pct"/>
            <w:tcBorders>
              <w:top w:val="single" w:sz="4" w:space="0" w:color="auto"/>
              <w:left w:val="nil"/>
              <w:bottom w:val="single" w:sz="4" w:space="0" w:color="auto"/>
              <w:right w:val="single" w:sz="4" w:space="0" w:color="auto"/>
            </w:tcBorders>
            <w:shd w:val="clear" w:color="auto" w:fill="auto"/>
          </w:tcPr>
          <w:p w14:paraId="3A63D9F0" w14:textId="77777777" w:rsidR="00674375" w:rsidRPr="002037C2" w:rsidRDefault="002037C2" w:rsidP="00674375">
            <w:pPr>
              <w:pStyle w:val="TableText0"/>
              <w:keepNext w:val="0"/>
              <w:jc w:val="center"/>
              <w:rPr>
                <w:b/>
              </w:rPr>
            </w:pPr>
            <w:r>
              <w:rPr>
                <w:b/>
                <w:noProof/>
                <w:color w:val="000000"/>
                <w:highlight w:val="black"/>
              </w:rPr>
              <w:t>''''''''''''''''''''''''</w:t>
            </w:r>
            <w:r w:rsidR="00266422">
              <w:rPr>
                <w:sz w:val="18"/>
                <w:vertAlign w:val="superscript"/>
              </w:rPr>
              <w:t>17</w:t>
            </w:r>
          </w:p>
        </w:tc>
        <w:tc>
          <w:tcPr>
            <w:tcW w:w="652" w:type="pct"/>
            <w:tcBorders>
              <w:top w:val="single" w:sz="4" w:space="0" w:color="auto"/>
              <w:left w:val="nil"/>
              <w:bottom w:val="single" w:sz="4" w:space="0" w:color="auto"/>
              <w:right w:val="single" w:sz="4" w:space="0" w:color="auto"/>
            </w:tcBorders>
            <w:shd w:val="clear" w:color="auto" w:fill="auto"/>
          </w:tcPr>
          <w:p w14:paraId="23AC9CBD" w14:textId="77777777" w:rsidR="00674375" w:rsidRPr="002037C2" w:rsidRDefault="002037C2" w:rsidP="00674375">
            <w:pPr>
              <w:pStyle w:val="TableText0"/>
              <w:keepNext w:val="0"/>
              <w:jc w:val="center"/>
              <w:rPr>
                <w:b/>
              </w:rPr>
            </w:pPr>
            <w:r>
              <w:rPr>
                <w:b/>
                <w:noProof/>
                <w:color w:val="000000"/>
                <w:highlight w:val="black"/>
              </w:rPr>
              <w:t>'''''''''''''''''''''''</w:t>
            </w:r>
            <w:r w:rsidR="00266422">
              <w:rPr>
                <w:sz w:val="18"/>
                <w:vertAlign w:val="superscript"/>
              </w:rPr>
              <w:t>17</w:t>
            </w:r>
          </w:p>
        </w:tc>
      </w:tr>
    </w:tbl>
    <w:p w14:paraId="6713C8ED" w14:textId="77777777" w:rsidR="00814F74" w:rsidRPr="00BF06FC" w:rsidRDefault="00814F74" w:rsidP="00814F74">
      <w:pPr>
        <w:rPr>
          <w:rFonts w:ascii="Arial Narrow" w:hAnsi="Arial Narrow"/>
          <w:sz w:val="18"/>
          <w:szCs w:val="18"/>
        </w:rPr>
      </w:pPr>
      <w:r w:rsidRPr="00BF06FC">
        <w:rPr>
          <w:rFonts w:ascii="Arial Narrow" w:hAnsi="Arial Narrow"/>
          <w:sz w:val="18"/>
          <w:szCs w:val="18"/>
        </w:rPr>
        <w:t xml:space="preserve">Abbreviations: ABI=abiraterone; APA=apalutamide; ADT=androgen deprivation therapy; ENZ=enzalutamide; HV=high volume; LV=low volume; </w:t>
      </w:r>
      <w:proofErr w:type="spellStart"/>
      <w:r w:rsidRPr="00BF06FC">
        <w:rPr>
          <w:rFonts w:ascii="Arial Narrow" w:hAnsi="Arial Narrow"/>
          <w:sz w:val="18"/>
          <w:szCs w:val="18"/>
        </w:rPr>
        <w:t>mHSPC</w:t>
      </w:r>
      <w:proofErr w:type="spellEnd"/>
      <w:r w:rsidRPr="00BF06FC">
        <w:rPr>
          <w:rFonts w:ascii="Arial Narrow" w:hAnsi="Arial Narrow"/>
          <w:sz w:val="18"/>
          <w:szCs w:val="18"/>
        </w:rPr>
        <w:t>=metastatic hormone sensitive prostate cancer</w:t>
      </w:r>
    </w:p>
    <w:p w14:paraId="7D101897" w14:textId="77777777" w:rsidR="00814F74" w:rsidRPr="00BF06FC" w:rsidRDefault="00814F74" w:rsidP="00814F74">
      <w:pPr>
        <w:rPr>
          <w:rFonts w:ascii="Arial Narrow" w:hAnsi="Arial Narrow"/>
          <w:sz w:val="18"/>
          <w:szCs w:val="18"/>
        </w:rPr>
      </w:pPr>
      <w:r w:rsidRPr="00BF06FC">
        <w:rPr>
          <w:rFonts w:ascii="Arial Narrow" w:hAnsi="Arial Narrow"/>
          <w:sz w:val="18"/>
          <w:szCs w:val="18"/>
        </w:rPr>
        <w:lastRenderedPageBreak/>
        <w:t xml:space="preserve">Source: Tables 4.2 to 4.14, pp197-206 of the submission and Utilisation cost model - apalutamide </w:t>
      </w:r>
      <w:proofErr w:type="spellStart"/>
      <w:r w:rsidRPr="00BF06FC">
        <w:rPr>
          <w:rFonts w:ascii="Arial Narrow" w:hAnsi="Arial Narrow"/>
          <w:sz w:val="18"/>
          <w:szCs w:val="18"/>
        </w:rPr>
        <w:t>mHSPC</w:t>
      </w:r>
      <w:proofErr w:type="spellEnd"/>
      <w:r w:rsidRPr="00BF06FC">
        <w:rPr>
          <w:rFonts w:ascii="Arial Narrow" w:hAnsi="Arial Narrow"/>
          <w:sz w:val="18"/>
          <w:szCs w:val="18"/>
        </w:rPr>
        <w:t xml:space="preserve"> final.xlsx</w:t>
      </w:r>
    </w:p>
    <w:p w14:paraId="6D8C59A8" w14:textId="77777777" w:rsidR="00814F74" w:rsidRPr="00BF06FC" w:rsidRDefault="00814F74" w:rsidP="00814F74">
      <w:pPr>
        <w:tabs>
          <w:tab w:val="left" w:pos="142"/>
        </w:tabs>
        <w:ind w:left="142" w:hanging="142"/>
        <w:rPr>
          <w:rFonts w:ascii="Arial Narrow" w:hAnsi="Arial Narrow"/>
          <w:sz w:val="18"/>
        </w:rPr>
      </w:pPr>
      <w:r w:rsidRPr="00BF06FC">
        <w:rPr>
          <w:rFonts w:ascii="Arial Narrow" w:hAnsi="Arial Narrow"/>
          <w:sz w:val="18"/>
          <w:vertAlign w:val="superscript"/>
        </w:rPr>
        <w:t>^</w:t>
      </w:r>
      <w:r w:rsidRPr="00BF06FC">
        <w:rPr>
          <w:rFonts w:ascii="Arial Narrow" w:hAnsi="Arial Narrow"/>
          <w:sz w:val="18"/>
          <w:vertAlign w:val="superscript"/>
        </w:rPr>
        <w:tab/>
      </w:r>
      <w:r w:rsidRPr="00BF06FC">
        <w:rPr>
          <w:rFonts w:ascii="Arial Narrow" w:hAnsi="Arial Narrow"/>
          <w:sz w:val="18"/>
        </w:rPr>
        <w:t>Including incident and prevalent patients without disease progression who remain untreated in previous years.</w:t>
      </w:r>
    </w:p>
    <w:p w14:paraId="3C586529" w14:textId="77777777" w:rsidR="00814F74" w:rsidRDefault="00814F74" w:rsidP="006659CC">
      <w:pPr>
        <w:tabs>
          <w:tab w:val="left" w:pos="142"/>
        </w:tabs>
        <w:ind w:left="142" w:hanging="142"/>
        <w:rPr>
          <w:rFonts w:ascii="Arial Narrow" w:hAnsi="Arial Narrow"/>
          <w:sz w:val="18"/>
        </w:rPr>
      </w:pPr>
      <w:r w:rsidRPr="00BF06FC">
        <w:rPr>
          <w:rFonts w:ascii="Arial Narrow" w:hAnsi="Arial Narrow"/>
          <w:sz w:val="18"/>
          <w:vertAlign w:val="superscript"/>
        </w:rPr>
        <w:t>#</w:t>
      </w:r>
      <w:r w:rsidRPr="00BF06FC">
        <w:rPr>
          <w:rFonts w:ascii="Arial Narrow" w:hAnsi="Arial Narrow"/>
          <w:sz w:val="18"/>
          <w:vertAlign w:val="superscript"/>
        </w:rPr>
        <w:tab/>
      </w:r>
      <w:r w:rsidRPr="00BF06FC">
        <w:rPr>
          <w:rFonts w:ascii="Arial Narrow" w:hAnsi="Arial Narrow"/>
          <w:sz w:val="18"/>
        </w:rPr>
        <w:t xml:space="preserve">Net costs presented in the table reflect estimates without rounding of RPBS patient numbers. The submission rounded the number of patients treated on the RPBS, which impacts on the proportion of </w:t>
      </w:r>
      <w:proofErr w:type="gramStart"/>
      <w:r w:rsidRPr="00BF06FC">
        <w:rPr>
          <w:rFonts w:ascii="Arial Narrow" w:hAnsi="Arial Narrow"/>
          <w:sz w:val="18"/>
        </w:rPr>
        <w:t>PBS:RPBS</w:t>
      </w:r>
      <w:proofErr w:type="gramEnd"/>
      <w:r w:rsidRPr="00BF06FC">
        <w:rPr>
          <w:rFonts w:ascii="Arial Narrow" w:hAnsi="Arial Narrow"/>
          <w:sz w:val="18"/>
        </w:rPr>
        <w:t xml:space="preserve"> patients and corresponding co-payment amounts.</w:t>
      </w:r>
    </w:p>
    <w:p w14:paraId="262DBBB9" w14:textId="77777777" w:rsidR="00674375" w:rsidRDefault="00674375" w:rsidP="00814F74">
      <w:pPr>
        <w:tabs>
          <w:tab w:val="left" w:pos="142"/>
        </w:tabs>
        <w:spacing w:after="120"/>
        <w:ind w:left="142" w:hanging="142"/>
        <w:rPr>
          <w:rFonts w:ascii="Arial Narrow" w:hAnsi="Arial Narrow"/>
          <w:sz w:val="18"/>
        </w:rPr>
      </w:pPr>
      <w:r>
        <w:rPr>
          <w:rFonts w:ascii="Arial Narrow" w:hAnsi="Arial Narrow"/>
          <w:sz w:val="18"/>
        </w:rPr>
        <w:t>*</w:t>
      </w:r>
      <w:r w:rsidR="001B688F">
        <w:rPr>
          <w:rFonts w:ascii="Arial Narrow" w:hAnsi="Arial Narrow"/>
          <w:sz w:val="18"/>
        </w:rPr>
        <w:t xml:space="preserve"> S</w:t>
      </w:r>
      <w:r>
        <w:rPr>
          <w:rFonts w:ascii="Arial Narrow" w:hAnsi="Arial Narrow"/>
          <w:sz w:val="18"/>
        </w:rPr>
        <w:t xml:space="preserve">ourced from </w:t>
      </w:r>
      <w:r w:rsidRPr="00674375">
        <w:rPr>
          <w:rFonts w:ascii="Arial Narrow" w:hAnsi="Arial Narrow"/>
          <w:sz w:val="18"/>
        </w:rPr>
        <w:t xml:space="preserve">Utilisation cost model - apalutamide </w:t>
      </w:r>
      <w:proofErr w:type="spellStart"/>
      <w:r w:rsidRPr="00674375">
        <w:rPr>
          <w:rFonts w:ascii="Arial Narrow" w:hAnsi="Arial Narrow"/>
          <w:sz w:val="18"/>
        </w:rPr>
        <w:t>mHSPC</w:t>
      </w:r>
      <w:proofErr w:type="spellEnd"/>
      <w:r w:rsidRPr="00674375">
        <w:rPr>
          <w:rFonts w:ascii="Arial Narrow" w:hAnsi="Arial Narrow"/>
          <w:sz w:val="18"/>
        </w:rPr>
        <w:t xml:space="preserve"> Pre-PBAC sensitivity analysis.xlsx</w:t>
      </w:r>
      <w:r>
        <w:rPr>
          <w:rFonts w:ascii="Arial Narrow" w:hAnsi="Arial Narrow"/>
          <w:sz w:val="18"/>
        </w:rPr>
        <w:t xml:space="preserve">, ‘5. Impact - net', cells </w:t>
      </w:r>
      <w:r w:rsidRPr="00674375">
        <w:rPr>
          <w:rFonts w:ascii="Arial Narrow" w:hAnsi="Arial Narrow"/>
          <w:sz w:val="18"/>
        </w:rPr>
        <w:t>C43:H43</w:t>
      </w:r>
      <w:r>
        <w:rPr>
          <w:rFonts w:ascii="Arial Narrow" w:hAnsi="Arial Narrow"/>
          <w:sz w:val="18"/>
        </w:rPr>
        <w:t>.</w:t>
      </w:r>
    </w:p>
    <w:p w14:paraId="43877C47" w14:textId="77777777" w:rsidR="00C80827" w:rsidRPr="00266422" w:rsidRDefault="00C80827" w:rsidP="00814F74">
      <w:pPr>
        <w:tabs>
          <w:tab w:val="left" w:pos="142"/>
        </w:tabs>
        <w:spacing w:after="120"/>
        <w:ind w:left="142" w:hanging="142"/>
        <w:rPr>
          <w:rFonts w:ascii="Arial Narrow" w:hAnsi="Arial Narrow"/>
          <w:i/>
          <w:sz w:val="18"/>
        </w:rPr>
      </w:pPr>
      <w:r w:rsidRPr="00266422">
        <w:rPr>
          <w:rFonts w:ascii="Arial Narrow" w:hAnsi="Arial Narrow"/>
          <w:i/>
          <w:sz w:val="18"/>
        </w:rPr>
        <w:t>The redacted values correspond to the following ranges:</w:t>
      </w:r>
    </w:p>
    <w:p w14:paraId="3FB781FD" w14:textId="77777777" w:rsidR="00C80827" w:rsidRPr="00266422" w:rsidRDefault="00C80827" w:rsidP="00C80827">
      <w:pPr>
        <w:tabs>
          <w:tab w:val="left" w:pos="142"/>
        </w:tabs>
        <w:ind w:left="142" w:hanging="142"/>
        <w:rPr>
          <w:rFonts w:ascii="Arial Narrow" w:hAnsi="Arial Narrow"/>
          <w:i/>
          <w:sz w:val="18"/>
        </w:rPr>
      </w:pPr>
      <w:r w:rsidRPr="00266422">
        <w:rPr>
          <w:rFonts w:ascii="Arial Narrow" w:hAnsi="Arial Narrow"/>
          <w:i/>
          <w:sz w:val="18"/>
          <w:vertAlign w:val="superscript"/>
        </w:rPr>
        <w:t>1</w:t>
      </w:r>
      <w:r w:rsidRPr="00266422">
        <w:rPr>
          <w:rFonts w:ascii="Arial Narrow" w:hAnsi="Arial Narrow"/>
          <w:i/>
          <w:sz w:val="18"/>
        </w:rPr>
        <w:t xml:space="preserve"> 500 to &lt; 5,000</w:t>
      </w:r>
    </w:p>
    <w:p w14:paraId="7E02AAB6" w14:textId="77777777" w:rsidR="00C80827" w:rsidRPr="00266422" w:rsidRDefault="00C80827" w:rsidP="00C80827">
      <w:pPr>
        <w:tabs>
          <w:tab w:val="left" w:pos="142"/>
        </w:tabs>
        <w:ind w:left="142" w:hanging="142"/>
        <w:rPr>
          <w:rFonts w:ascii="Arial Narrow" w:hAnsi="Arial Narrow"/>
          <w:i/>
          <w:sz w:val="18"/>
        </w:rPr>
      </w:pPr>
      <w:r w:rsidRPr="00266422">
        <w:rPr>
          <w:rFonts w:ascii="Arial Narrow" w:hAnsi="Arial Narrow"/>
          <w:i/>
          <w:sz w:val="18"/>
          <w:vertAlign w:val="superscript"/>
        </w:rPr>
        <w:t>2</w:t>
      </w:r>
      <w:r w:rsidRPr="00266422">
        <w:rPr>
          <w:rFonts w:ascii="Arial Narrow" w:hAnsi="Arial Narrow"/>
          <w:i/>
          <w:sz w:val="18"/>
        </w:rPr>
        <w:t xml:space="preserve"> 5,000 to &lt; 10,000</w:t>
      </w:r>
    </w:p>
    <w:p w14:paraId="475C0639" w14:textId="77777777" w:rsidR="00C80827" w:rsidRPr="00266422" w:rsidRDefault="00C80827" w:rsidP="00C80827">
      <w:pPr>
        <w:tabs>
          <w:tab w:val="left" w:pos="142"/>
        </w:tabs>
        <w:ind w:left="142" w:hanging="142"/>
        <w:rPr>
          <w:rFonts w:ascii="Arial Narrow" w:hAnsi="Arial Narrow"/>
          <w:i/>
          <w:sz w:val="18"/>
        </w:rPr>
      </w:pPr>
      <w:r w:rsidRPr="00266422">
        <w:rPr>
          <w:rFonts w:ascii="Arial Narrow" w:hAnsi="Arial Narrow"/>
          <w:i/>
          <w:sz w:val="18"/>
          <w:vertAlign w:val="superscript"/>
        </w:rPr>
        <w:t>3</w:t>
      </w:r>
      <w:r w:rsidRPr="00266422">
        <w:rPr>
          <w:rFonts w:ascii="Arial Narrow" w:hAnsi="Arial Narrow"/>
          <w:i/>
          <w:sz w:val="18"/>
        </w:rPr>
        <w:t xml:space="preserve"> 10,000 to &lt; 20,000</w:t>
      </w:r>
    </w:p>
    <w:p w14:paraId="30678729" w14:textId="77777777" w:rsidR="00C80827" w:rsidRPr="00266422" w:rsidRDefault="00C80827" w:rsidP="00C80827">
      <w:pPr>
        <w:tabs>
          <w:tab w:val="left" w:pos="142"/>
        </w:tabs>
        <w:ind w:left="142" w:hanging="142"/>
        <w:rPr>
          <w:rFonts w:ascii="Arial Narrow" w:hAnsi="Arial Narrow"/>
          <w:i/>
          <w:sz w:val="18"/>
        </w:rPr>
      </w:pPr>
      <w:r w:rsidRPr="00266422">
        <w:rPr>
          <w:rFonts w:ascii="Arial Narrow" w:hAnsi="Arial Narrow"/>
          <w:i/>
          <w:sz w:val="18"/>
          <w:vertAlign w:val="superscript"/>
        </w:rPr>
        <w:t>4</w:t>
      </w:r>
      <w:r w:rsidRPr="00266422">
        <w:rPr>
          <w:rFonts w:ascii="Arial Narrow" w:hAnsi="Arial Narrow"/>
          <w:i/>
          <w:sz w:val="18"/>
        </w:rPr>
        <w:t xml:space="preserve"> 20,000 to &lt; 30,000</w:t>
      </w:r>
    </w:p>
    <w:p w14:paraId="0EB8EA31" w14:textId="77777777" w:rsidR="00C80827" w:rsidRPr="00266422" w:rsidRDefault="00C80827" w:rsidP="00C80827">
      <w:pPr>
        <w:tabs>
          <w:tab w:val="left" w:pos="142"/>
        </w:tabs>
        <w:ind w:left="142" w:hanging="142"/>
        <w:rPr>
          <w:rFonts w:ascii="Arial Narrow" w:hAnsi="Arial Narrow"/>
          <w:i/>
          <w:sz w:val="18"/>
        </w:rPr>
      </w:pPr>
      <w:r w:rsidRPr="00266422">
        <w:rPr>
          <w:rFonts w:ascii="Arial Narrow" w:hAnsi="Arial Narrow"/>
          <w:i/>
          <w:sz w:val="18"/>
          <w:vertAlign w:val="superscript"/>
        </w:rPr>
        <w:t>5</w:t>
      </w:r>
      <w:r w:rsidRPr="00266422">
        <w:rPr>
          <w:rFonts w:ascii="Arial Narrow" w:hAnsi="Arial Narrow"/>
          <w:i/>
          <w:sz w:val="18"/>
        </w:rPr>
        <w:t xml:space="preserve"> 30,000 to &lt; 40,000</w:t>
      </w:r>
    </w:p>
    <w:p w14:paraId="66FD196A" w14:textId="77777777" w:rsidR="00C80827" w:rsidRPr="00266422" w:rsidRDefault="00C80827" w:rsidP="00C80827">
      <w:pPr>
        <w:tabs>
          <w:tab w:val="left" w:pos="142"/>
        </w:tabs>
        <w:ind w:left="142" w:hanging="142"/>
        <w:rPr>
          <w:rFonts w:ascii="Arial Narrow" w:hAnsi="Arial Narrow"/>
          <w:i/>
          <w:sz w:val="18"/>
        </w:rPr>
      </w:pPr>
      <w:r w:rsidRPr="00266422">
        <w:rPr>
          <w:rFonts w:ascii="Arial Narrow" w:hAnsi="Arial Narrow"/>
          <w:i/>
          <w:sz w:val="18"/>
          <w:vertAlign w:val="superscript"/>
        </w:rPr>
        <w:t>6</w:t>
      </w:r>
      <w:r w:rsidRPr="00266422">
        <w:rPr>
          <w:rFonts w:ascii="Arial Narrow" w:hAnsi="Arial Narrow"/>
          <w:i/>
          <w:sz w:val="18"/>
        </w:rPr>
        <w:t xml:space="preserve"> 40,000 to &lt; 50,000</w:t>
      </w:r>
    </w:p>
    <w:p w14:paraId="16C4D984"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7</w:t>
      </w:r>
      <w:r w:rsidRPr="00266422">
        <w:rPr>
          <w:rFonts w:ascii="Arial Narrow" w:hAnsi="Arial Narrow"/>
          <w:i/>
          <w:sz w:val="18"/>
        </w:rPr>
        <w:t xml:space="preserve"> 50,000 to &lt; 60,000</w:t>
      </w:r>
    </w:p>
    <w:p w14:paraId="18D966E9"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8</w:t>
      </w:r>
      <w:r w:rsidRPr="00266422">
        <w:rPr>
          <w:rFonts w:ascii="Arial Narrow" w:hAnsi="Arial Narrow"/>
          <w:i/>
          <w:sz w:val="18"/>
        </w:rPr>
        <w:t xml:space="preserve"> 60,000 to &lt; 70,000</w:t>
      </w:r>
    </w:p>
    <w:p w14:paraId="674DB6D5"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9</w:t>
      </w:r>
      <w:r w:rsidRPr="00266422">
        <w:rPr>
          <w:rFonts w:ascii="Arial Narrow" w:hAnsi="Arial Narrow"/>
          <w:i/>
          <w:sz w:val="18"/>
        </w:rPr>
        <w:t xml:space="preserve"> 70,000 to &lt; 80,000</w:t>
      </w:r>
    </w:p>
    <w:p w14:paraId="2B6C0071"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10</w:t>
      </w:r>
      <w:r w:rsidRPr="00266422">
        <w:rPr>
          <w:rFonts w:ascii="Arial Narrow" w:hAnsi="Arial Narrow"/>
          <w:i/>
          <w:sz w:val="18"/>
        </w:rPr>
        <w:t xml:space="preserve"> 80,000 to &lt; 90,000</w:t>
      </w:r>
    </w:p>
    <w:p w14:paraId="6959BA94"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11</w:t>
      </w:r>
      <w:r w:rsidRPr="00266422">
        <w:rPr>
          <w:rFonts w:ascii="Arial Narrow" w:hAnsi="Arial Narrow"/>
          <w:i/>
          <w:sz w:val="18"/>
        </w:rPr>
        <w:t xml:space="preserve"> $20 million to &lt; $30 million</w:t>
      </w:r>
    </w:p>
    <w:p w14:paraId="32579D34"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12</w:t>
      </w:r>
      <w:r w:rsidRPr="00266422">
        <w:rPr>
          <w:rFonts w:ascii="Arial Narrow" w:hAnsi="Arial Narrow"/>
          <w:i/>
          <w:sz w:val="18"/>
        </w:rPr>
        <w:t xml:space="preserve"> $10 million to &lt; $20 million</w:t>
      </w:r>
    </w:p>
    <w:p w14:paraId="66369AC5"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13</w:t>
      </w:r>
      <w:r w:rsidRPr="00266422">
        <w:rPr>
          <w:rFonts w:ascii="Arial Narrow" w:hAnsi="Arial Narrow"/>
          <w:i/>
          <w:sz w:val="18"/>
        </w:rPr>
        <w:t xml:space="preserve"> $0 to &lt; $10 million</w:t>
      </w:r>
    </w:p>
    <w:p w14:paraId="57DC7153"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14</w:t>
      </w:r>
      <w:r w:rsidRPr="00266422">
        <w:rPr>
          <w:rFonts w:ascii="Arial Narrow" w:hAnsi="Arial Narrow"/>
          <w:i/>
          <w:sz w:val="18"/>
        </w:rPr>
        <w:t xml:space="preserve"> $30 million to &lt; $40 million</w:t>
      </w:r>
    </w:p>
    <w:p w14:paraId="3EF45D5C"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15</w:t>
      </w:r>
      <w:r w:rsidRPr="00266422">
        <w:rPr>
          <w:rFonts w:ascii="Arial Narrow" w:hAnsi="Arial Narrow"/>
          <w:i/>
          <w:sz w:val="18"/>
        </w:rPr>
        <w:t xml:space="preserve"> $50 million to &lt; $60 million</w:t>
      </w:r>
    </w:p>
    <w:p w14:paraId="3FAE74F4" w14:textId="77777777" w:rsidR="00C80827" w:rsidRPr="00266422" w:rsidRDefault="00C80827"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16</w:t>
      </w:r>
      <w:r w:rsidRPr="00266422">
        <w:rPr>
          <w:rFonts w:ascii="Arial Narrow" w:hAnsi="Arial Narrow"/>
          <w:i/>
          <w:sz w:val="18"/>
        </w:rPr>
        <w:t xml:space="preserve"> $</w:t>
      </w:r>
      <w:r w:rsidR="00F80E29" w:rsidRPr="00266422">
        <w:rPr>
          <w:rFonts w:ascii="Arial Narrow" w:hAnsi="Arial Narrow"/>
          <w:i/>
          <w:sz w:val="18"/>
        </w:rPr>
        <w:t>70 million to &lt; $8</w:t>
      </w:r>
      <w:r w:rsidRPr="00266422">
        <w:rPr>
          <w:rFonts w:ascii="Arial Narrow" w:hAnsi="Arial Narrow"/>
          <w:i/>
          <w:sz w:val="18"/>
        </w:rPr>
        <w:t>0 million</w:t>
      </w:r>
    </w:p>
    <w:p w14:paraId="22C98903" w14:textId="77777777" w:rsidR="00F80E29" w:rsidRPr="00266422" w:rsidRDefault="00F80E29"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17</w:t>
      </w:r>
      <w:r w:rsidRPr="00266422">
        <w:rPr>
          <w:rFonts w:ascii="Arial Narrow" w:hAnsi="Arial Narrow"/>
          <w:i/>
          <w:sz w:val="18"/>
        </w:rPr>
        <w:t xml:space="preserve"> $60 million to &lt; $70 million</w:t>
      </w:r>
    </w:p>
    <w:p w14:paraId="2899FFCC" w14:textId="77777777" w:rsidR="00F80E29" w:rsidRPr="00266422" w:rsidRDefault="00F80E29"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18</w:t>
      </w:r>
      <w:r w:rsidRPr="00266422">
        <w:rPr>
          <w:rFonts w:ascii="Arial Narrow" w:hAnsi="Arial Narrow"/>
          <w:i/>
          <w:sz w:val="18"/>
        </w:rPr>
        <w:t xml:space="preserve"> $80 million to &lt; $90 million</w:t>
      </w:r>
    </w:p>
    <w:p w14:paraId="36F7086E" w14:textId="77777777" w:rsidR="00F80E29" w:rsidRPr="00266422" w:rsidRDefault="00F80E29"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19</w:t>
      </w:r>
      <w:r w:rsidRPr="00266422">
        <w:rPr>
          <w:rFonts w:ascii="Arial Narrow" w:hAnsi="Arial Narrow"/>
          <w:i/>
          <w:sz w:val="18"/>
        </w:rPr>
        <w:t xml:space="preserve"> $100 million to &lt; $200 million</w:t>
      </w:r>
    </w:p>
    <w:p w14:paraId="3E0B3D33" w14:textId="77777777" w:rsidR="00732CD3" w:rsidRPr="00266422" w:rsidRDefault="00732CD3"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20</w:t>
      </w:r>
      <w:r w:rsidRPr="00266422">
        <w:rPr>
          <w:rFonts w:ascii="Arial Narrow" w:hAnsi="Arial Narrow"/>
          <w:i/>
          <w:sz w:val="18"/>
        </w:rPr>
        <w:t xml:space="preserve"> &lt; 500</w:t>
      </w:r>
    </w:p>
    <w:p w14:paraId="5037B42E" w14:textId="77777777" w:rsidR="00266422" w:rsidRPr="00266422" w:rsidRDefault="00266422" w:rsidP="00C80827">
      <w:pPr>
        <w:tabs>
          <w:tab w:val="left" w:pos="142"/>
          <w:tab w:val="left" w:pos="2015"/>
        </w:tabs>
        <w:ind w:left="142" w:hanging="142"/>
        <w:rPr>
          <w:rFonts w:ascii="Arial Narrow" w:hAnsi="Arial Narrow"/>
          <w:i/>
          <w:sz w:val="18"/>
        </w:rPr>
      </w:pPr>
      <w:r w:rsidRPr="00266422">
        <w:rPr>
          <w:rFonts w:ascii="Arial Narrow" w:hAnsi="Arial Narrow"/>
          <w:i/>
          <w:sz w:val="18"/>
          <w:vertAlign w:val="superscript"/>
        </w:rPr>
        <w:t>21</w:t>
      </w:r>
      <w:r w:rsidRPr="00266422">
        <w:rPr>
          <w:rFonts w:ascii="Arial Narrow" w:hAnsi="Arial Narrow"/>
          <w:i/>
          <w:sz w:val="18"/>
        </w:rPr>
        <w:t xml:space="preserve"> $40 million to &lt; $50 million</w:t>
      </w:r>
    </w:p>
    <w:p w14:paraId="04081CB6" w14:textId="77777777" w:rsidR="00814F74" w:rsidRPr="003F72E0" w:rsidRDefault="00814F74" w:rsidP="00814F74">
      <w:pPr>
        <w:pStyle w:val="3-BodyText"/>
      </w:pPr>
      <w:r w:rsidRPr="003F72E0">
        <w:t>The estimated total cost to the PBS/RPBS of listing apalutamide was $</w:t>
      </w:r>
      <w:r w:rsidR="000C1F7E">
        <w:t>80 million to &lt; $90</w:t>
      </w:r>
      <w:r w:rsidRPr="003F72E0">
        <w:t xml:space="preserve"> million in Year 6, and a total of $</w:t>
      </w:r>
      <w:r w:rsidR="000C1F7E">
        <w:t>300 million to &lt; $400</w:t>
      </w:r>
      <w:r w:rsidRPr="003F72E0">
        <w:t xml:space="preserve"> million in the first 6 years of listing</w:t>
      </w:r>
      <w:r w:rsidR="00CC6886">
        <w:t xml:space="preserve"> in the submission’s estimates</w:t>
      </w:r>
      <w:r w:rsidRPr="003F72E0">
        <w:t>.</w:t>
      </w:r>
      <w:r w:rsidR="00CC6886">
        <w:t xml:space="preserve">  </w:t>
      </w:r>
      <w:r w:rsidRPr="003F72E0">
        <w:rPr>
          <w:rFonts w:ascii="Calibri" w:hAnsi="Calibri"/>
        </w:rPr>
        <w:t xml:space="preserve">The estimated net cost to government was likely an overestimate (see </w:t>
      </w:r>
      <w:r w:rsidR="00C86AE7">
        <w:rPr>
          <w:rFonts w:ascii="Calibri" w:hAnsi="Calibri"/>
        </w:rPr>
        <w:t>paragraphs 6.</w:t>
      </w:r>
      <w:r w:rsidR="00C50FFD">
        <w:rPr>
          <w:rFonts w:ascii="Calibri" w:hAnsi="Calibri"/>
        </w:rPr>
        <w:t>49</w:t>
      </w:r>
      <w:r w:rsidR="00C86AE7">
        <w:rPr>
          <w:rFonts w:ascii="Calibri" w:hAnsi="Calibri"/>
        </w:rPr>
        <w:t xml:space="preserve"> and 6.</w:t>
      </w:r>
      <w:r w:rsidR="00B91B52">
        <w:rPr>
          <w:rFonts w:ascii="Calibri" w:hAnsi="Calibri"/>
        </w:rPr>
        <w:t>5</w:t>
      </w:r>
      <w:r w:rsidR="00C50FFD">
        <w:rPr>
          <w:rFonts w:ascii="Calibri" w:hAnsi="Calibri"/>
        </w:rPr>
        <w:t>0</w:t>
      </w:r>
      <w:r w:rsidRPr="003F72E0">
        <w:rPr>
          <w:rFonts w:ascii="Calibri" w:hAnsi="Calibri"/>
        </w:rPr>
        <w:t xml:space="preserve">). </w:t>
      </w:r>
      <w:r w:rsidR="00CC6886">
        <w:t xml:space="preserve">The pre-PBAC response provided revised estimates, </w:t>
      </w:r>
      <w:r w:rsidR="00B91B52">
        <w:t>which reduced the uptake</w:t>
      </w:r>
      <w:r w:rsidR="00A740C5">
        <w:t xml:space="preserve"> of docetaxel in the 2019-2020, resulting in</w:t>
      </w:r>
      <w:r w:rsidR="005A1D6D">
        <w:t xml:space="preserve"> a cost of </w:t>
      </w:r>
      <w:r w:rsidR="00CC6886" w:rsidRPr="003F72E0">
        <w:t>$</w:t>
      </w:r>
      <w:r w:rsidR="000C1F7E">
        <w:t>60 million to &lt; $70</w:t>
      </w:r>
      <w:r w:rsidR="00CC6886" w:rsidRPr="003F72E0">
        <w:t xml:space="preserve"> million in Year 6, and a total of $</w:t>
      </w:r>
      <w:r w:rsidR="000C1F7E">
        <w:t>200 million to &lt; $300</w:t>
      </w:r>
      <w:r w:rsidR="00CC6886" w:rsidRPr="003F72E0">
        <w:t xml:space="preserve"> million in the first 6 years of listing</w:t>
      </w:r>
      <w:r w:rsidR="00CC6886">
        <w:t xml:space="preserve">.  </w:t>
      </w:r>
      <w:r w:rsidRPr="003F72E0">
        <w:rPr>
          <w:rFonts w:ascii="Calibri" w:hAnsi="Calibri"/>
        </w:rPr>
        <w:t>Although the estimates do not consider additional costs for ADT or monitoring associated with life extension, the impact on total costs was likely to be modest based on results from the modelled economic evaluation.</w:t>
      </w:r>
    </w:p>
    <w:p w14:paraId="464216FB" w14:textId="77777777" w:rsidR="00814F74" w:rsidRPr="003F72E0" w:rsidRDefault="00814F74" w:rsidP="00814F74">
      <w:pPr>
        <w:pStyle w:val="3-BodyText"/>
      </w:pPr>
      <w:r w:rsidRPr="003F72E0">
        <w:t xml:space="preserve">The submission’s approach to estimating the number of incident patients with </w:t>
      </w:r>
      <w:proofErr w:type="spellStart"/>
      <w:r w:rsidRPr="003F72E0">
        <w:t>mHSPC</w:t>
      </w:r>
      <w:proofErr w:type="spellEnd"/>
      <w:r w:rsidRPr="003F72E0">
        <w:t xml:space="preserve"> likely resulted in a</w:t>
      </w:r>
      <w:r w:rsidR="00C86AE7">
        <w:t>n</w:t>
      </w:r>
      <w:r w:rsidRPr="003F72E0">
        <w:t xml:space="preserve"> overestimation of the target population. The submission estimated the </w:t>
      </w:r>
      <w:proofErr w:type="spellStart"/>
      <w:r w:rsidRPr="003F72E0">
        <w:t>mHSPC</w:t>
      </w:r>
      <w:proofErr w:type="spellEnd"/>
      <w:r w:rsidRPr="003F72E0">
        <w:t xml:space="preserve"> from the 10% PBS sample, assuming all patients treated with docetaxel within 12 months of ADT have </w:t>
      </w:r>
      <w:proofErr w:type="spellStart"/>
      <w:r w:rsidRPr="003F72E0">
        <w:t>mHSPC</w:t>
      </w:r>
      <w:proofErr w:type="spellEnd"/>
      <w:r w:rsidRPr="003F72E0">
        <w:t xml:space="preserve">. This assumption was incorrectly justified as being ‘consistent with the Azad et al 2021 analysis to define </w:t>
      </w:r>
      <w:proofErr w:type="spellStart"/>
      <w:r w:rsidRPr="003F72E0">
        <w:t>mHSPC</w:t>
      </w:r>
      <w:proofErr w:type="spellEnd"/>
      <w:r w:rsidRPr="003F72E0">
        <w:t xml:space="preserve"> patients in the PCOR-Vic </w:t>
      </w:r>
      <w:proofErr w:type="gramStart"/>
      <w:r w:rsidRPr="003F72E0">
        <w:t>analysis’</w:t>
      </w:r>
      <w:proofErr w:type="gramEnd"/>
      <w:r w:rsidRPr="003F72E0">
        <w:t xml:space="preserve">. However, the PCOR-Vic registry is a population-based (opt out) prospectively collected Australian prostate cancer registry. The Azad et al 2021 analysis included all men </w:t>
      </w:r>
      <w:proofErr w:type="gramStart"/>
      <w:r w:rsidRPr="003F72E0">
        <w:t>definitely diagnosed</w:t>
      </w:r>
      <w:proofErr w:type="gramEnd"/>
      <w:r w:rsidRPr="003F72E0">
        <w:t xml:space="preserve"> with </w:t>
      </w:r>
      <w:proofErr w:type="spellStart"/>
      <w:r w:rsidRPr="003F72E0">
        <w:t>mHSPC</w:t>
      </w:r>
      <w:proofErr w:type="spellEnd"/>
      <w:r w:rsidRPr="003F72E0">
        <w:t xml:space="preserve"> and assumed treatment with docetaxel within six months of diagnosis was for </w:t>
      </w:r>
      <w:proofErr w:type="spellStart"/>
      <w:r w:rsidRPr="003F72E0">
        <w:t>mHSPC</w:t>
      </w:r>
      <w:proofErr w:type="spellEnd"/>
      <w:r w:rsidRPr="003F72E0">
        <w:t xml:space="preserve"> rather than </w:t>
      </w:r>
      <w:proofErr w:type="spellStart"/>
      <w:r w:rsidRPr="003F72E0">
        <w:t>mCRPC</w:t>
      </w:r>
      <w:proofErr w:type="spellEnd"/>
      <w:r w:rsidRPr="003F72E0">
        <w:t>.</w:t>
      </w:r>
    </w:p>
    <w:p w14:paraId="7078831B" w14:textId="77777777" w:rsidR="00022E80" w:rsidRDefault="00814F74" w:rsidP="00AF1F06">
      <w:pPr>
        <w:pStyle w:val="3-BodyText"/>
      </w:pPr>
      <w:r w:rsidRPr="003F72E0">
        <w:lastRenderedPageBreak/>
        <w:t xml:space="preserve">Based on alternative data sources identified during the evaluation, the incident population with </w:t>
      </w:r>
      <w:proofErr w:type="spellStart"/>
      <w:r w:rsidRPr="003F72E0">
        <w:t>mHSPC</w:t>
      </w:r>
      <w:proofErr w:type="spellEnd"/>
      <w:r w:rsidRPr="003F72E0">
        <w:t xml:space="preserve"> may be one third of the population estimated by the </w:t>
      </w:r>
      <w:r w:rsidRPr="00FE58E8">
        <w:t>submission. For example, the AIHW</w:t>
      </w:r>
      <w:r w:rsidRPr="00FE58E8">
        <w:rPr>
          <w:vertAlign w:val="superscript"/>
        </w:rPr>
        <w:footnoteReference w:id="20"/>
      </w:r>
      <w:r w:rsidRPr="00FE58E8">
        <w:t xml:space="preserve"> reported 19,508 incident cases of prostate cancer in 2019 and 4.2% of incident cases in 2011 had metastatic disease (stage at diagnosis not reported for 2019). The relatively low proportion with metastatic disease at diagnosis is generally consistent with the 7.7% reported by Azad et al 2021 (‘clinically’ metastatic disease) and the 4-5% of cases at diagnosis observed in the US</w:t>
      </w:r>
      <w:r w:rsidRPr="00FE58E8">
        <w:rPr>
          <w:rStyle w:val="FootnoteReference"/>
        </w:rPr>
        <w:footnoteReference w:id="21"/>
      </w:r>
      <w:r w:rsidRPr="00FE58E8">
        <w:rPr>
          <w:rStyle w:val="FootnoteReference"/>
        </w:rPr>
        <w:footnoteReference w:id="22"/>
      </w:r>
      <w:r w:rsidRPr="00FE58E8">
        <w:t xml:space="preserve">. These parameters, when combined with the 13.7% of patients enrolled in TITAN that were diagnosed with non-metastatic disease (m0) who subsequently progressed to </w:t>
      </w:r>
      <w:proofErr w:type="spellStart"/>
      <w:r w:rsidRPr="00FE58E8">
        <w:t>mHSPC</w:t>
      </w:r>
      <w:proofErr w:type="spellEnd"/>
      <w:r w:rsidRPr="00FE58E8">
        <w:t xml:space="preserve">, equates to approximately 950 incident patients with </w:t>
      </w:r>
      <w:proofErr w:type="spellStart"/>
      <w:r w:rsidRPr="00FE58E8">
        <w:t>mHSPC</w:t>
      </w:r>
      <w:proofErr w:type="spellEnd"/>
      <w:r w:rsidRPr="00FE58E8">
        <w:t xml:space="preserve"> in 2019 (compared to 3,392 incident patients estimated by the submission).</w:t>
      </w:r>
      <w:r w:rsidR="009F23C8" w:rsidRPr="00FE58E8">
        <w:t xml:space="preserve"> The PSCR stated that the data applied in this approach was outdated and underestimated</w:t>
      </w:r>
      <w:r w:rsidR="00D134D8" w:rsidRPr="00FE58E8">
        <w:t>,</w:t>
      </w:r>
      <w:r w:rsidR="009F23C8" w:rsidRPr="00FE58E8">
        <w:t xml:space="preserve"> noting that the most recent (2018) data from the PCOR-ANZ and PCOR-Vic registries reported 7% to 7.7% of patients respectively have </w:t>
      </w:r>
      <w:proofErr w:type="spellStart"/>
      <w:r w:rsidR="009F23C8" w:rsidRPr="00FE58E8">
        <w:t>mHSPC</w:t>
      </w:r>
      <w:proofErr w:type="spellEnd"/>
      <w:r w:rsidR="009F23C8" w:rsidRPr="00FE58E8">
        <w:t xml:space="preserve"> at diagnosis (compared to 4.2% suggested above). In addition, the PSCR stated that commissioned market research found that approximately 50% of </w:t>
      </w:r>
      <w:proofErr w:type="spellStart"/>
      <w:r w:rsidR="009F23C8" w:rsidRPr="00FE58E8">
        <w:t>mHSPC</w:t>
      </w:r>
      <w:proofErr w:type="spellEnd"/>
      <w:r w:rsidR="009F23C8" w:rsidRPr="00FE58E8">
        <w:t xml:space="preserve"> patients progressed from m0HSPC in practice (compared to 13.7% of patients in TITAN). The ESC noted that applying the updated alternate parameters would result in an estimated incident population in 2019 of 3,000 patients, as compared to 3,400 in the submission. The ESC noted that there </w:t>
      </w:r>
      <w:r w:rsidR="005A1D6D">
        <w:t xml:space="preserve">wasn’t </w:t>
      </w:r>
      <w:r w:rsidR="009F23C8" w:rsidRPr="00FE58E8">
        <w:t>any discussion about the difference in the types of patients accessing treatment in practice versus those included in TITAN.</w:t>
      </w:r>
    </w:p>
    <w:p w14:paraId="5A4AA089" w14:textId="77777777" w:rsidR="00814F74" w:rsidRPr="00BF06FC" w:rsidRDefault="00814F74" w:rsidP="00814F74">
      <w:pPr>
        <w:pStyle w:val="4-SubsectionHeading"/>
      </w:pPr>
      <w:bookmarkStart w:id="46" w:name="_Toc22897648"/>
      <w:bookmarkStart w:id="47" w:name="_Toc22898860"/>
      <w:bookmarkStart w:id="48" w:name="_Toc82609555"/>
      <w:r w:rsidRPr="00BF06FC">
        <w:t>Quality Use of Medicines</w:t>
      </w:r>
      <w:bookmarkEnd w:id="46"/>
      <w:bookmarkEnd w:id="47"/>
      <w:bookmarkEnd w:id="48"/>
    </w:p>
    <w:p w14:paraId="7BFDA02D" w14:textId="77777777" w:rsidR="00814F74" w:rsidRPr="00BF06FC" w:rsidRDefault="00814F74" w:rsidP="00814F74">
      <w:pPr>
        <w:pStyle w:val="3-BodyText"/>
      </w:pPr>
      <w:r w:rsidRPr="00BF06FC">
        <w:t xml:space="preserve">The submission provided a description of the activities to support quality use of medicines. The submission listed factors to ensure the quality use of APA and the groups of people who would play a role in the appropriate use of APA in practice (patients, </w:t>
      </w:r>
      <w:proofErr w:type="gramStart"/>
      <w:r w:rsidRPr="00BF06FC">
        <w:t>prescribers</w:t>
      </w:r>
      <w:proofErr w:type="gramEnd"/>
      <w:r w:rsidRPr="00BF06FC">
        <w:t xml:space="preserve"> and dispensers). The submission stated that each of these groups will be provided with appropriate education, </w:t>
      </w:r>
      <w:proofErr w:type="gramStart"/>
      <w:r w:rsidRPr="00BF06FC">
        <w:t>resources</w:t>
      </w:r>
      <w:proofErr w:type="gramEnd"/>
      <w:r w:rsidRPr="00BF06FC">
        <w:t xml:space="preserve"> and support from the sponsor to promote appropriate prescribing and use of APA. Examples of the types of educational materials that may be generated locally were provided in the November 2018 submission for APA in m0CRPC.</w:t>
      </w:r>
    </w:p>
    <w:p w14:paraId="4BF6DA94" w14:textId="77777777" w:rsidR="00814F74" w:rsidRPr="00BF06FC" w:rsidRDefault="00814F74" w:rsidP="00814F74">
      <w:pPr>
        <w:pStyle w:val="4-SubsectionHeading"/>
      </w:pPr>
      <w:bookmarkStart w:id="49" w:name="_Toc22897649"/>
      <w:bookmarkStart w:id="50" w:name="_Toc22898861"/>
      <w:bookmarkStart w:id="51" w:name="_Toc82609556"/>
      <w:r w:rsidRPr="00BF06FC">
        <w:t>Financial Management – Risk Sharing Arrangements</w:t>
      </w:r>
      <w:bookmarkEnd w:id="49"/>
      <w:bookmarkEnd w:id="50"/>
      <w:bookmarkEnd w:id="51"/>
    </w:p>
    <w:p w14:paraId="582C3FE6" w14:textId="77777777" w:rsidR="00814F74" w:rsidRDefault="00814F74" w:rsidP="00814F74">
      <w:pPr>
        <w:pStyle w:val="ListParagraph"/>
        <w:numPr>
          <w:ilvl w:val="1"/>
          <w:numId w:val="1"/>
        </w:numPr>
      </w:pPr>
      <w:r w:rsidRPr="00BF06FC">
        <w:t xml:space="preserve">To address the uncertainties in the financial estimates the sponsor proposed a risk-sharing arrangement (RSA) with annual subsidisation cap set at the level of the total </w:t>
      </w:r>
      <w:r w:rsidRPr="00BF06FC">
        <w:lastRenderedPageBreak/>
        <w:t xml:space="preserve">base case utilisation estimates, and a </w:t>
      </w:r>
      <w:r w:rsidR="002037C2">
        <w:rPr>
          <w:noProof/>
          <w:color w:val="000000"/>
          <w:highlight w:val="black"/>
        </w:rPr>
        <w:t>''''''</w:t>
      </w:r>
      <w:r w:rsidRPr="00BF06FC">
        <w:t xml:space="preserve">% rebate for the Commonwealth payment </w:t>
      </w:r>
      <w:r w:rsidRPr="00FE58E8">
        <w:t>above the annual subsidisation cap.</w:t>
      </w:r>
      <w:r w:rsidR="009F23C8" w:rsidRPr="00FE58E8">
        <w:t xml:space="preserve"> The ESC considered that </w:t>
      </w:r>
      <w:proofErr w:type="gramStart"/>
      <w:r w:rsidR="009F23C8" w:rsidRPr="00FE58E8">
        <w:t>a</w:t>
      </w:r>
      <w:proofErr w:type="gramEnd"/>
      <w:r w:rsidR="009F23C8" w:rsidRPr="00FE58E8">
        <w:t xml:space="preserve"> RSA based on expenditure caps would be required to </w:t>
      </w:r>
      <w:r w:rsidR="00441E5C" w:rsidRPr="00FE58E8">
        <w:t>minimise the high risk of leakage in</w:t>
      </w:r>
      <w:r w:rsidR="00D134D8" w:rsidRPr="00FE58E8">
        <w:t>to</w:t>
      </w:r>
      <w:r w:rsidR="00441E5C" w:rsidRPr="00FE58E8">
        <w:t xml:space="preserve"> the HV population</w:t>
      </w:r>
      <w:r w:rsidR="00D134D8" w:rsidRPr="00FE58E8">
        <w:t xml:space="preserve"> who were suitable for docetaxel therapy</w:t>
      </w:r>
      <w:r w:rsidR="00441E5C" w:rsidRPr="00FE58E8">
        <w:t>.</w:t>
      </w:r>
    </w:p>
    <w:p w14:paraId="349C361E" w14:textId="77777777" w:rsidR="00FE58E8" w:rsidRPr="00FE58E8" w:rsidRDefault="00FE58E8" w:rsidP="00FE58E8">
      <w:pPr>
        <w:pStyle w:val="ListBullet"/>
        <w:numPr>
          <w:ilvl w:val="0"/>
          <w:numId w:val="0"/>
        </w:numPr>
        <w:ind w:left="720"/>
        <w:rPr>
          <w:i/>
          <w:iCs/>
        </w:rPr>
      </w:pPr>
      <w:r w:rsidRPr="00FE58E8">
        <w:rPr>
          <w:i/>
          <w:iCs/>
        </w:rPr>
        <w:t>For more detail on PBAC’s view, see section 7 PBAC outcome.</w:t>
      </w:r>
    </w:p>
    <w:p w14:paraId="67D4F563" w14:textId="77777777" w:rsidR="00820644" w:rsidRDefault="00820644" w:rsidP="003F72E0">
      <w:pPr>
        <w:rPr>
          <w:i/>
          <w:iCs/>
        </w:rPr>
      </w:pPr>
    </w:p>
    <w:p w14:paraId="6FD6C4A8" w14:textId="77777777" w:rsidR="002B1F26" w:rsidRPr="0090150D" w:rsidRDefault="002B1F26" w:rsidP="002B1F26">
      <w:pPr>
        <w:pStyle w:val="2-SectionHeading"/>
      </w:pPr>
      <w:bookmarkStart w:id="52" w:name="_Hlk76381249"/>
      <w:bookmarkStart w:id="53" w:name="_Hlk76377955"/>
      <w:r w:rsidRPr="0090150D">
        <w:t>PBAC Outcome</w:t>
      </w:r>
    </w:p>
    <w:p w14:paraId="1D435E3D" w14:textId="77777777" w:rsidR="005D0E4E" w:rsidRDefault="005D0E4E" w:rsidP="005D0E4E">
      <w:pPr>
        <w:pStyle w:val="3-BodyText"/>
        <w:rPr>
          <w:lang w:val="en-GB"/>
        </w:rPr>
      </w:pPr>
      <w:r w:rsidRPr="005D0E4E">
        <w:rPr>
          <w:lang w:val="en-GB"/>
        </w:rPr>
        <w:t>The PBAC did not recommend apalutamide for the treatment of metastatic hormone sensitive prostate cancer (</w:t>
      </w:r>
      <w:proofErr w:type="spellStart"/>
      <w:r w:rsidRPr="005D0E4E">
        <w:rPr>
          <w:lang w:val="en-GB"/>
        </w:rPr>
        <w:t>mHSPC</w:t>
      </w:r>
      <w:proofErr w:type="spellEnd"/>
      <w:r w:rsidRPr="005D0E4E">
        <w:rPr>
          <w:lang w:val="en-GB"/>
        </w:rPr>
        <w:t>)</w:t>
      </w:r>
      <w:r w:rsidR="009C5998">
        <w:rPr>
          <w:lang w:val="en-GB"/>
        </w:rPr>
        <w:t xml:space="preserve"> in patients who have low volume (LV) disease</w:t>
      </w:r>
      <w:r w:rsidR="00E02B49">
        <w:rPr>
          <w:lang w:val="en-GB"/>
        </w:rPr>
        <w:t>,</w:t>
      </w:r>
      <w:r w:rsidR="009C5998">
        <w:rPr>
          <w:lang w:val="en-GB"/>
        </w:rPr>
        <w:t xml:space="preserve"> or high volume (HV) disease and who are unsuitable for chemotherapy</w:t>
      </w:r>
      <w:r w:rsidRPr="005D0E4E">
        <w:rPr>
          <w:lang w:val="en-GB"/>
        </w:rPr>
        <w:t xml:space="preserve">. The PBAC noted that although apalutamide provides a moderate clinical benefit </w:t>
      </w:r>
      <w:r w:rsidR="00DD7FA2">
        <w:rPr>
          <w:lang w:val="en-GB"/>
        </w:rPr>
        <w:t xml:space="preserve">compared to androgen deprivation therapy (ADT) alone </w:t>
      </w:r>
      <w:r w:rsidRPr="005D0E4E">
        <w:rPr>
          <w:lang w:val="en-GB"/>
        </w:rPr>
        <w:t xml:space="preserve">for patients with </w:t>
      </w:r>
      <w:proofErr w:type="spellStart"/>
      <w:r w:rsidRPr="005D0E4E">
        <w:rPr>
          <w:lang w:val="en-GB"/>
        </w:rPr>
        <w:t>mHSPC</w:t>
      </w:r>
      <w:proofErr w:type="spellEnd"/>
      <w:r w:rsidRPr="005D0E4E">
        <w:rPr>
          <w:lang w:val="en-GB"/>
        </w:rPr>
        <w:t xml:space="preserve">, it considered that there were issues with the </w:t>
      </w:r>
      <w:r w:rsidR="00823706" w:rsidRPr="005D0E4E">
        <w:rPr>
          <w:lang w:val="en-GB"/>
        </w:rPr>
        <w:t xml:space="preserve">listed contraindications and comorbidities for docetaxel unsuitability in the proposed restriction </w:t>
      </w:r>
      <w:r w:rsidR="00823706">
        <w:rPr>
          <w:lang w:val="en-GB"/>
        </w:rPr>
        <w:t>for the HV population and hence</w:t>
      </w:r>
      <w:r w:rsidR="001B688F">
        <w:rPr>
          <w:lang w:val="en-GB"/>
        </w:rPr>
        <w:t>,</w:t>
      </w:r>
      <w:r w:rsidR="00823706">
        <w:rPr>
          <w:lang w:val="en-GB"/>
        </w:rPr>
        <w:t xml:space="preserve"> the </w:t>
      </w:r>
      <w:r w:rsidRPr="005D0E4E">
        <w:rPr>
          <w:lang w:val="en-GB"/>
        </w:rPr>
        <w:t xml:space="preserve">comparator proposed. The PBAC considered that the </w:t>
      </w:r>
      <w:r w:rsidR="009C5998">
        <w:rPr>
          <w:lang w:val="en-GB"/>
        </w:rPr>
        <w:t>incremental cost effectiveness ratios (</w:t>
      </w:r>
      <w:r w:rsidRPr="005D0E4E">
        <w:rPr>
          <w:lang w:val="en-GB"/>
        </w:rPr>
        <w:t>ICERs</w:t>
      </w:r>
      <w:r w:rsidR="009C5998">
        <w:rPr>
          <w:lang w:val="en-GB"/>
        </w:rPr>
        <w:t>)</w:t>
      </w:r>
      <w:r w:rsidRPr="005D0E4E">
        <w:rPr>
          <w:lang w:val="en-GB"/>
        </w:rPr>
        <w:t xml:space="preserve"> presented in the submission were highly uncertain and likely underestimated. In addition, the PBAC considered that the financial impact estimates were high and likely overestimated.</w:t>
      </w:r>
    </w:p>
    <w:p w14:paraId="3C8311B8" w14:textId="77777777" w:rsidR="0068437F" w:rsidRDefault="0068437F" w:rsidP="0068437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comments from consumers, prostate cancer support groups and the Medical Oncology Group of Australia, all of which supported the listing of apalutamide on the PBS for the treatment of </w:t>
      </w:r>
      <w:proofErr w:type="spellStart"/>
      <w:r>
        <w:rPr>
          <w:rFonts w:asciiTheme="minorHAnsi" w:hAnsiTheme="minorHAnsi"/>
          <w:snapToGrid w:val="0"/>
          <w:lang w:val="en-GB"/>
        </w:rPr>
        <w:t>mHSPC</w:t>
      </w:r>
      <w:proofErr w:type="spellEnd"/>
      <w:r>
        <w:rPr>
          <w:rFonts w:asciiTheme="minorHAnsi" w:hAnsiTheme="minorHAnsi"/>
          <w:snapToGrid w:val="0"/>
          <w:lang w:val="en-GB"/>
        </w:rPr>
        <w:t>.</w:t>
      </w:r>
    </w:p>
    <w:p w14:paraId="0B4B853B" w14:textId="77777777" w:rsidR="00B001EF" w:rsidRDefault="001A2BF9" w:rsidP="00FC56B5">
      <w:pPr>
        <w:pStyle w:val="3-BodyText"/>
      </w:pPr>
      <w:r>
        <w:t>The PBAC considered that an o</w:t>
      </w:r>
      <w:r w:rsidRPr="001A2BF9">
        <w:t>ngoing need for more effective therapies for prostate cancer</w:t>
      </w:r>
      <w:r>
        <w:t xml:space="preserve"> remained.  </w:t>
      </w:r>
      <w:r w:rsidR="009C5998">
        <w:t xml:space="preserve">The PBAC noted that </w:t>
      </w:r>
      <w:r w:rsidRPr="001A2BF9">
        <w:t xml:space="preserve">novel </w:t>
      </w:r>
      <w:r w:rsidR="009C5998">
        <w:t xml:space="preserve">hormonal agents (NHAs) are </w:t>
      </w:r>
      <w:r w:rsidRPr="001A2BF9">
        <w:t xml:space="preserve">already PBS-funded for </w:t>
      </w:r>
      <w:r w:rsidR="009C5998">
        <w:t xml:space="preserve">metastatic and non-metastatic </w:t>
      </w:r>
      <w:r w:rsidRPr="001A2BF9">
        <w:t xml:space="preserve">castrate-resistant prostate cancer </w:t>
      </w:r>
      <w:r w:rsidR="009C5998">
        <w:t>(</w:t>
      </w:r>
      <w:proofErr w:type="spellStart"/>
      <w:r w:rsidR="009C5998">
        <w:t>mCRPC</w:t>
      </w:r>
      <w:proofErr w:type="spellEnd"/>
      <w:r w:rsidR="009C5998">
        <w:t xml:space="preserve"> and m0CRPC respectively). The PBAC considered that the potential</w:t>
      </w:r>
      <w:r>
        <w:t xml:space="preserve"> P</w:t>
      </w:r>
      <w:r w:rsidRPr="005E3EAF">
        <w:t xml:space="preserve">BS listing of apalutamide </w:t>
      </w:r>
      <w:r w:rsidR="009C5998">
        <w:t xml:space="preserve">in the </w:t>
      </w:r>
      <w:proofErr w:type="spellStart"/>
      <w:r w:rsidRPr="005E3EAF">
        <w:t>mHSPC</w:t>
      </w:r>
      <w:proofErr w:type="spellEnd"/>
      <w:r w:rsidRPr="005E3EAF">
        <w:t xml:space="preserve"> </w:t>
      </w:r>
      <w:r w:rsidR="009C5998">
        <w:t xml:space="preserve">setting </w:t>
      </w:r>
      <w:r w:rsidRPr="005E3EAF">
        <w:t xml:space="preserve">would have the effect of shifting NHA </w:t>
      </w:r>
      <w:r w:rsidR="009C5998">
        <w:t xml:space="preserve">treatment to </w:t>
      </w:r>
      <w:r w:rsidRPr="005E3EAF">
        <w:t>earlier in the treatment pathway</w:t>
      </w:r>
      <w:r w:rsidR="006C7D42">
        <w:t>, increas</w:t>
      </w:r>
      <w:r w:rsidR="009C5998">
        <w:t>ing</w:t>
      </w:r>
      <w:r w:rsidR="006C7D42">
        <w:t xml:space="preserve"> treatment durations compared with NHA current use</w:t>
      </w:r>
      <w:r>
        <w:t>.</w:t>
      </w:r>
      <w:r w:rsidR="00FC56B5">
        <w:t xml:space="preserve"> </w:t>
      </w:r>
    </w:p>
    <w:p w14:paraId="6B42E38D" w14:textId="77777777" w:rsidR="009C5998" w:rsidRDefault="00B001EF" w:rsidP="00FC56B5">
      <w:pPr>
        <w:pStyle w:val="3-BodyText"/>
      </w:pPr>
      <w:r>
        <w:t>In addition, t</w:t>
      </w:r>
      <w:r w:rsidR="00B62192">
        <w:t xml:space="preserve">he PBAC </w:t>
      </w:r>
      <w:r w:rsidR="0039425D">
        <w:t xml:space="preserve">considered that </w:t>
      </w:r>
      <w:r w:rsidR="00FC56B5">
        <w:t xml:space="preserve">the proposed clinical algorithm for patients with HV disease </w:t>
      </w:r>
      <w:r w:rsidR="00FF2FDA">
        <w:t>in</w:t>
      </w:r>
      <w:r w:rsidR="00FC56B5" w:rsidRPr="00FF2FDA">
        <w:t>appropriate</w:t>
      </w:r>
      <w:r w:rsidR="00FF2FDA">
        <w:t>ly excluded</w:t>
      </w:r>
      <w:r w:rsidR="0039425D">
        <w:t xml:space="preserve"> </w:t>
      </w:r>
      <w:r w:rsidR="00B62192">
        <w:t xml:space="preserve">apalutamide </w:t>
      </w:r>
      <w:r w:rsidR="00FF2FDA">
        <w:t xml:space="preserve">as a treatment option </w:t>
      </w:r>
      <w:r w:rsidR="0039425D">
        <w:t xml:space="preserve">in </w:t>
      </w:r>
      <w:r w:rsidR="00B62192">
        <w:t>patients that would currently be considered fit for chemotherapy</w:t>
      </w:r>
      <w:r w:rsidR="0039425D">
        <w:t xml:space="preserve">. The PBAC noted </w:t>
      </w:r>
      <w:r w:rsidR="00B62192">
        <w:t xml:space="preserve">that </w:t>
      </w:r>
      <w:r w:rsidR="00FC56B5">
        <w:t>the</w:t>
      </w:r>
      <w:r w:rsidR="00FF2FDA">
        <w:t xml:space="preserve"> results of the</w:t>
      </w:r>
      <w:r w:rsidR="00FC56B5">
        <w:t xml:space="preserve"> </w:t>
      </w:r>
      <w:r w:rsidR="00B62192">
        <w:t xml:space="preserve">TITAN </w:t>
      </w:r>
      <w:r w:rsidR="001B688F">
        <w:t>trial</w:t>
      </w:r>
      <w:r w:rsidR="00FF2FDA">
        <w:t xml:space="preserve"> supported use in these patients</w:t>
      </w:r>
      <w:r w:rsidR="00B62192">
        <w:t xml:space="preserve">.  The PBAC </w:t>
      </w:r>
      <w:r w:rsidR="00FF2FDA">
        <w:t xml:space="preserve">further </w:t>
      </w:r>
      <w:r w:rsidR="00B62192">
        <w:t>noted the results of the meta-analyses (see paragraph 4.2) which found that compared with docetaxel, NHAs (</w:t>
      </w:r>
      <w:r w:rsidR="00B62192" w:rsidRPr="005E3EAF">
        <w:t>apaluta</w:t>
      </w:r>
      <w:r w:rsidR="00B62192">
        <w:t xml:space="preserve">mide, abiraterone, enzalutamide) are similarly effective </w:t>
      </w:r>
      <w:r w:rsidR="0039425D">
        <w:t>with regards to overall survival (</w:t>
      </w:r>
      <w:r w:rsidR="00B62192">
        <w:t>OS</w:t>
      </w:r>
      <w:r w:rsidR="0039425D">
        <w:t>)</w:t>
      </w:r>
      <w:r w:rsidR="00B62192">
        <w:t xml:space="preserve"> and less toxic.  </w:t>
      </w:r>
      <w:r w:rsidR="0039425D">
        <w:t xml:space="preserve">The </w:t>
      </w:r>
      <w:r w:rsidR="00B62192">
        <w:t xml:space="preserve">PBAC </w:t>
      </w:r>
      <w:r w:rsidR="0039425D">
        <w:t xml:space="preserve">therefore </w:t>
      </w:r>
      <w:r w:rsidR="00B62192">
        <w:t xml:space="preserve">considered </w:t>
      </w:r>
      <w:r w:rsidR="0039425D">
        <w:t xml:space="preserve">that </w:t>
      </w:r>
      <w:r w:rsidR="00FC56B5">
        <w:t xml:space="preserve">apalutamide </w:t>
      </w:r>
      <w:r w:rsidR="0039425D">
        <w:t xml:space="preserve">use in </w:t>
      </w:r>
      <w:r w:rsidR="00B62192">
        <w:t>th</w:t>
      </w:r>
      <w:r w:rsidR="00FC56B5">
        <w:t xml:space="preserve">e HV </w:t>
      </w:r>
      <w:r w:rsidR="00B62192">
        <w:t xml:space="preserve">population would </w:t>
      </w:r>
      <w:r w:rsidR="00FF2FDA">
        <w:t>result in similar</w:t>
      </w:r>
      <w:r w:rsidR="00B62192">
        <w:t xml:space="preserve"> OS </w:t>
      </w:r>
      <w:r w:rsidR="00FF2FDA">
        <w:t xml:space="preserve">outcomes </w:t>
      </w:r>
      <w:r>
        <w:t>and</w:t>
      </w:r>
      <w:r w:rsidR="00FF2FDA">
        <w:t xml:space="preserve"> improved tolerability</w:t>
      </w:r>
      <w:r>
        <w:t xml:space="preserve"> compared to docetaxel</w:t>
      </w:r>
      <w:r w:rsidR="00A92BAB">
        <w:t>;</w:t>
      </w:r>
      <w:r w:rsidR="00FF2FDA">
        <w:t xml:space="preserve"> however</w:t>
      </w:r>
      <w:r w:rsidR="00A92BAB">
        <w:t>, it</w:t>
      </w:r>
      <w:r w:rsidR="00FF2FDA">
        <w:t xml:space="preserve"> </w:t>
      </w:r>
      <w:r w:rsidR="00B62192">
        <w:t>would be more costly.</w:t>
      </w:r>
    </w:p>
    <w:p w14:paraId="00207E21" w14:textId="77777777" w:rsidR="00B62192" w:rsidRPr="00C50FFD" w:rsidRDefault="00B62192" w:rsidP="00B62192">
      <w:pPr>
        <w:pStyle w:val="3-BodyText"/>
        <w:rPr>
          <w:lang w:val="en-GB"/>
        </w:rPr>
      </w:pPr>
      <w:r w:rsidRPr="00E547CB">
        <w:rPr>
          <w:lang w:val="en-GB"/>
        </w:rPr>
        <w:t xml:space="preserve">The PBAC </w:t>
      </w:r>
      <w:r w:rsidR="00FC56B5">
        <w:rPr>
          <w:lang w:val="en-GB"/>
        </w:rPr>
        <w:t xml:space="preserve">noted that the requested restriction limited treatment to patients with LV disease, defined as no visceral metastases and less than four bone lesions, or those </w:t>
      </w:r>
      <w:r w:rsidR="00FC56B5">
        <w:rPr>
          <w:lang w:val="en-GB"/>
        </w:rPr>
        <w:lastRenderedPageBreak/>
        <w:t xml:space="preserve">with contraindications or comorbidities that make the patient unsuitable for docetaxel. </w:t>
      </w:r>
      <w:r w:rsidR="00BB20CC">
        <w:rPr>
          <w:lang w:val="en-GB"/>
        </w:rPr>
        <w:t>T</w:t>
      </w:r>
      <w:r w:rsidR="00BB20CC" w:rsidRPr="00E547CB">
        <w:rPr>
          <w:lang w:val="en-GB"/>
        </w:rPr>
        <w:t xml:space="preserve">he PBAC considered that the requested listing was inadequate to exclude use in patients with HV </w:t>
      </w:r>
      <w:proofErr w:type="spellStart"/>
      <w:r w:rsidR="00BB20CC" w:rsidRPr="00E547CB">
        <w:rPr>
          <w:lang w:val="en-GB"/>
        </w:rPr>
        <w:t>mHSPC</w:t>
      </w:r>
      <w:proofErr w:type="spellEnd"/>
      <w:r w:rsidR="00BB20CC" w:rsidRPr="00E547CB">
        <w:rPr>
          <w:lang w:val="en-GB"/>
        </w:rPr>
        <w:t xml:space="preserve"> who </w:t>
      </w:r>
      <w:r w:rsidR="00B61CF5">
        <w:rPr>
          <w:lang w:val="en-GB"/>
        </w:rPr>
        <w:t>we</w:t>
      </w:r>
      <w:r w:rsidR="00BB20CC" w:rsidRPr="00E547CB">
        <w:rPr>
          <w:lang w:val="en-GB"/>
        </w:rPr>
        <w:t>re suitable for docetaxel</w:t>
      </w:r>
      <w:r w:rsidR="00BB20CC">
        <w:rPr>
          <w:lang w:val="en-GB"/>
        </w:rPr>
        <w:t xml:space="preserve"> as the listed contraindications and comorbidities for docetaxel unsuitability were very broad (see paragraph 3.3)</w:t>
      </w:r>
      <w:r w:rsidR="00B61CF5">
        <w:rPr>
          <w:lang w:val="en-GB"/>
        </w:rPr>
        <w:t xml:space="preserve"> and did not represent absolute contraindications to docetaxel</w:t>
      </w:r>
      <w:r w:rsidRPr="00E547CB">
        <w:rPr>
          <w:lang w:val="en-GB"/>
        </w:rPr>
        <w:t>.</w:t>
      </w:r>
      <w:r w:rsidR="00B61CF5">
        <w:rPr>
          <w:lang w:val="en-GB"/>
        </w:rPr>
        <w:t xml:space="preserve"> In addition, t</w:t>
      </w:r>
      <w:r w:rsidR="00B61CF5" w:rsidRPr="00B771C9">
        <w:rPr>
          <w:snapToGrid/>
        </w:rPr>
        <w:t xml:space="preserve">he PBAC </w:t>
      </w:r>
      <w:r w:rsidR="00B61CF5">
        <w:rPr>
          <w:snapToGrid/>
        </w:rPr>
        <w:t>noted</w:t>
      </w:r>
      <w:r w:rsidR="00B61CF5" w:rsidRPr="00B771C9">
        <w:rPr>
          <w:snapToGrid/>
        </w:rPr>
        <w:t xml:space="preserve"> that a large proportion of patients with HV disease would meet the proposed </w:t>
      </w:r>
      <w:r w:rsidR="00B61CF5">
        <w:rPr>
          <w:snapToGrid/>
        </w:rPr>
        <w:t xml:space="preserve">unsuitability </w:t>
      </w:r>
      <w:r w:rsidR="00B61CF5" w:rsidRPr="00B771C9">
        <w:rPr>
          <w:snapToGrid/>
        </w:rPr>
        <w:t>criteria given the disease affects predominantly elderly men.</w:t>
      </w:r>
      <w:r w:rsidRPr="00E547CB">
        <w:rPr>
          <w:lang w:val="en-GB"/>
        </w:rPr>
        <w:t xml:space="preserve"> Based on prior PBS experience with enzalutamide and abiraterone in </w:t>
      </w:r>
      <w:proofErr w:type="spellStart"/>
      <w:r w:rsidRPr="00E547CB">
        <w:rPr>
          <w:lang w:val="en-GB"/>
        </w:rPr>
        <w:t>mCRPC</w:t>
      </w:r>
      <w:proofErr w:type="spellEnd"/>
      <w:r w:rsidRPr="00E547CB">
        <w:rPr>
          <w:lang w:val="en-GB"/>
        </w:rPr>
        <w:t xml:space="preserve">, </w:t>
      </w:r>
      <w:r w:rsidR="00BB20CC">
        <w:rPr>
          <w:lang w:val="en-GB"/>
        </w:rPr>
        <w:t xml:space="preserve">the PBAC considered that use of apalutamide in this </w:t>
      </w:r>
      <w:r w:rsidRPr="00E547CB">
        <w:rPr>
          <w:lang w:val="en-GB"/>
        </w:rPr>
        <w:t xml:space="preserve">population </w:t>
      </w:r>
      <w:r w:rsidR="00BB20CC">
        <w:rPr>
          <w:lang w:val="en-GB"/>
        </w:rPr>
        <w:t>wa</w:t>
      </w:r>
      <w:r w:rsidRPr="00E547CB">
        <w:rPr>
          <w:lang w:val="en-GB"/>
        </w:rPr>
        <w:t xml:space="preserve">s likely, particularly as the submission did not provide a strong clinical rationale </w:t>
      </w:r>
      <w:r w:rsidR="00BB20CC">
        <w:rPr>
          <w:lang w:val="en-GB"/>
        </w:rPr>
        <w:t>for</w:t>
      </w:r>
      <w:r w:rsidRPr="00E547CB">
        <w:rPr>
          <w:lang w:val="en-GB"/>
        </w:rPr>
        <w:t xml:space="preserve"> exclud</w:t>
      </w:r>
      <w:r w:rsidR="00BB20CC">
        <w:rPr>
          <w:lang w:val="en-GB"/>
        </w:rPr>
        <w:t>ing</w:t>
      </w:r>
      <w:r w:rsidRPr="00E547CB">
        <w:rPr>
          <w:lang w:val="en-GB"/>
        </w:rPr>
        <w:t xml:space="preserve"> these patients from accessing apalutamide. </w:t>
      </w:r>
      <w:r w:rsidR="00B001EF">
        <w:rPr>
          <w:lang w:val="en-GB"/>
        </w:rPr>
        <w:t xml:space="preserve">As outlined in paragraph 7.4, the </w:t>
      </w:r>
      <w:r w:rsidR="00BB20CC">
        <w:rPr>
          <w:lang w:val="en-GB"/>
        </w:rPr>
        <w:t xml:space="preserve">PBAC noted that </w:t>
      </w:r>
      <w:r w:rsidRPr="00E547CB">
        <w:rPr>
          <w:lang w:val="en-GB"/>
        </w:rPr>
        <w:t xml:space="preserve">apalutamide is effective in treating HV disease and may be preferred by patients due to better safety compared to docetaxel. </w:t>
      </w:r>
      <w:r w:rsidR="00BB20CC">
        <w:rPr>
          <w:lang w:val="en-GB"/>
        </w:rPr>
        <w:t>T</w:t>
      </w:r>
      <w:r w:rsidR="006C27FE">
        <w:rPr>
          <w:lang w:val="en-GB"/>
        </w:rPr>
        <w:t xml:space="preserve">he PBAC considered that </w:t>
      </w:r>
      <w:r w:rsidR="006C27FE" w:rsidRPr="006C27FE">
        <w:rPr>
          <w:bCs/>
          <w:lang w:val="en-GB"/>
        </w:rPr>
        <w:t>a broad</w:t>
      </w:r>
      <w:r w:rsidR="006C27FE" w:rsidRPr="006C27FE">
        <w:t xml:space="preserve"> restriction allowing use in </w:t>
      </w:r>
      <w:r w:rsidR="00BB20CC">
        <w:t xml:space="preserve">all </w:t>
      </w:r>
      <w:r w:rsidR="006C27FE" w:rsidRPr="006C27FE">
        <w:t xml:space="preserve">fit </w:t>
      </w:r>
      <w:proofErr w:type="spellStart"/>
      <w:r w:rsidR="00BB20CC">
        <w:t>mHSPC</w:t>
      </w:r>
      <w:proofErr w:type="spellEnd"/>
      <w:r w:rsidR="00BB20CC">
        <w:t xml:space="preserve"> </w:t>
      </w:r>
      <w:r w:rsidR="006C27FE" w:rsidRPr="006C27FE">
        <w:t xml:space="preserve">patients was appropriate given the clinical evidence had demonstrated efficacy in </w:t>
      </w:r>
      <w:r w:rsidR="00BB20CC">
        <w:t xml:space="preserve">both the LV and HV </w:t>
      </w:r>
      <w:r w:rsidR="006C27FE" w:rsidRPr="006C27FE">
        <w:t>population</w:t>
      </w:r>
      <w:r w:rsidR="00BB20CC">
        <w:t>s</w:t>
      </w:r>
      <w:r w:rsidR="006C27FE" w:rsidRPr="006C27FE">
        <w:t>.</w:t>
      </w:r>
      <w:r w:rsidR="006C27FE">
        <w:t xml:space="preserve">  The PBAC noted that CADTH had recommended use in the </w:t>
      </w:r>
      <w:r w:rsidR="00BB20CC">
        <w:t xml:space="preserve">total </w:t>
      </w:r>
      <w:proofErr w:type="spellStart"/>
      <w:r w:rsidR="00BB20CC">
        <w:t>mHSPC</w:t>
      </w:r>
      <w:proofErr w:type="spellEnd"/>
      <w:r w:rsidR="00BB20CC">
        <w:t xml:space="preserve"> </w:t>
      </w:r>
      <w:r w:rsidR="006C27FE">
        <w:t>population in 2020</w:t>
      </w:r>
      <w:r w:rsidR="00BF0C98">
        <w:t xml:space="preserve"> </w:t>
      </w:r>
      <w:r w:rsidR="00BF0C98" w:rsidRPr="00C50FFD">
        <w:t>(</w:t>
      </w:r>
      <w:r w:rsidR="006C27FE" w:rsidRPr="00C50FFD">
        <w:t>see paragraph 3.</w:t>
      </w:r>
      <w:r w:rsidR="00DC5755" w:rsidRPr="00C50FFD">
        <w:t>5</w:t>
      </w:r>
      <w:r w:rsidR="00BF0C98" w:rsidRPr="00C50FFD">
        <w:t>)</w:t>
      </w:r>
      <w:r w:rsidR="006C27FE" w:rsidRPr="00C50FFD">
        <w:t>.</w:t>
      </w:r>
    </w:p>
    <w:p w14:paraId="79936CA9" w14:textId="77777777" w:rsidR="00B04602" w:rsidRPr="00B04602" w:rsidRDefault="0068437F" w:rsidP="00B771C9">
      <w:pPr>
        <w:pStyle w:val="3-BodyText"/>
        <w:rPr>
          <w:snapToGrid/>
        </w:rPr>
      </w:pPr>
      <w:r w:rsidRPr="00B771C9">
        <w:rPr>
          <w:snapToGrid/>
        </w:rPr>
        <w:t>The PBAC noted that the submission had nominated ADT alone as the main comparator</w:t>
      </w:r>
      <w:r w:rsidR="00BF0C98">
        <w:rPr>
          <w:snapToGrid/>
        </w:rPr>
        <w:t xml:space="preserve">. The </w:t>
      </w:r>
      <w:r w:rsidRPr="00B771C9">
        <w:rPr>
          <w:snapToGrid/>
        </w:rPr>
        <w:t xml:space="preserve">PBAC considered this was only reasonable if </w:t>
      </w:r>
      <w:r w:rsidR="00B61CF5">
        <w:rPr>
          <w:snapToGrid/>
        </w:rPr>
        <w:t>patients</w:t>
      </w:r>
      <w:r w:rsidRPr="00B771C9">
        <w:rPr>
          <w:snapToGrid/>
        </w:rPr>
        <w:t xml:space="preserve"> with HV disease accessing treatment were truly docetaxel unsuitable. </w:t>
      </w:r>
      <w:r w:rsidR="00BF0C98">
        <w:rPr>
          <w:snapToGrid/>
        </w:rPr>
        <w:t>As noted above, t</w:t>
      </w:r>
      <w:r w:rsidR="008024BC" w:rsidRPr="00B771C9">
        <w:rPr>
          <w:snapToGrid/>
        </w:rPr>
        <w:t>he PBAC considered that the requested restriction did not reflect this. Therefore, t</w:t>
      </w:r>
      <w:r w:rsidRPr="00B771C9">
        <w:rPr>
          <w:snapToGrid/>
        </w:rPr>
        <w:t xml:space="preserve">he </w:t>
      </w:r>
      <w:r w:rsidR="008024BC" w:rsidRPr="00B771C9">
        <w:rPr>
          <w:snapToGrid/>
        </w:rPr>
        <w:t xml:space="preserve">PBAC </w:t>
      </w:r>
      <w:r w:rsidRPr="00B771C9">
        <w:rPr>
          <w:snapToGrid/>
        </w:rPr>
        <w:t xml:space="preserve">considered that docetaxel plus ADT </w:t>
      </w:r>
      <w:r w:rsidR="002332F6" w:rsidRPr="00B771C9">
        <w:rPr>
          <w:snapToGrid/>
        </w:rPr>
        <w:t>w</w:t>
      </w:r>
      <w:r w:rsidR="00B61CF5">
        <w:rPr>
          <w:snapToGrid/>
        </w:rPr>
        <w:t xml:space="preserve">ould be </w:t>
      </w:r>
      <w:r w:rsidRPr="00B771C9">
        <w:rPr>
          <w:snapToGrid/>
        </w:rPr>
        <w:t xml:space="preserve">an appropriate comparator for patients with HV </w:t>
      </w:r>
      <w:proofErr w:type="spellStart"/>
      <w:r w:rsidRPr="00B771C9">
        <w:rPr>
          <w:snapToGrid/>
        </w:rPr>
        <w:t>mHSPC</w:t>
      </w:r>
      <w:proofErr w:type="spellEnd"/>
      <w:r w:rsidR="00B61CF5">
        <w:rPr>
          <w:snapToGrid/>
        </w:rPr>
        <w:t>,</w:t>
      </w:r>
      <w:r w:rsidRPr="00B771C9">
        <w:rPr>
          <w:snapToGrid/>
        </w:rPr>
        <w:t xml:space="preserve"> given it would also be replaced in clinical practice.</w:t>
      </w:r>
      <w:r w:rsidR="00B04602" w:rsidRPr="00B771C9">
        <w:rPr>
          <w:snapToGrid/>
        </w:rPr>
        <w:t xml:space="preserve">  </w:t>
      </w:r>
    </w:p>
    <w:p w14:paraId="27BC83D6" w14:textId="77777777" w:rsidR="00B577B1" w:rsidRDefault="00526DFA" w:rsidP="00B577B1">
      <w:pPr>
        <w:pStyle w:val="3-BodyText"/>
      </w:pPr>
      <w:r w:rsidRPr="00A021F0">
        <w:rPr>
          <w:bCs/>
        </w:rPr>
        <w:t xml:space="preserve">The PBAC noted that the submission was based on one head-to-head randomised controlled trial (TITAN) </w:t>
      </w:r>
      <w:r w:rsidRPr="00A021F0">
        <w:t>comparing apalutamide</w:t>
      </w:r>
      <w:r w:rsidR="00B61CF5">
        <w:t xml:space="preserve"> </w:t>
      </w:r>
      <w:r>
        <w:t>+</w:t>
      </w:r>
      <w:r w:rsidR="00B61CF5">
        <w:t xml:space="preserve"> </w:t>
      </w:r>
      <w:r w:rsidRPr="00A021F0">
        <w:t>ADT to placebo</w:t>
      </w:r>
      <w:r w:rsidR="00B61CF5">
        <w:t xml:space="preserve"> </w:t>
      </w:r>
      <w:r>
        <w:t>+</w:t>
      </w:r>
      <w:r w:rsidR="00B61CF5">
        <w:t xml:space="preserve"> </w:t>
      </w:r>
      <w:r w:rsidRPr="00A021F0">
        <w:t>ADT (</w:t>
      </w:r>
      <w:r w:rsidR="00B61CF5">
        <w:t xml:space="preserve">N </w:t>
      </w:r>
      <w:r w:rsidRPr="00A021F0">
        <w:t>=</w:t>
      </w:r>
      <w:r w:rsidR="00B61CF5">
        <w:t xml:space="preserve"> </w:t>
      </w:r>
      <w:r w:rsidRPr="00A021F0">
        <w:t>1</w:t>
      </w:r>
      <w:r w:rsidR="00B61CF5">
        <w:t>,</w:t>
      </w:r>
      <w:r w:rsidRPr="00A021F0">
        <w:t>052)</w:t>
      </w:r>
      <w:r>
        <w:t>.</w:t>
      </w:r>
      <w:r w:rsidR="00A65883">
        <w:t xml:space="preserve"> </w:t>
      </w:r>
      <w:r w:rsidR="00A021F0">
        <w:t xml:space="preserve"> </w:t>
      </w:r>
      <w:r w:rsidR="00B61CF5">
        <w:t xml:space="preserve">The submission presented results for the intention to treat (ITT) population, as well as for LV and HV subgroups. </w:t>
      </w:r>
      <w:r w:rsidR="00F866A6">
        <w:t>The PBAC noted that the HV subgroup presented in the submission</w:t>
      </w:r>
      <w:r w:rsidR="004F4EF9">
        <w:t xml:space="preserve"> was not </w:t>
      </w:r>
      <w:r w:rsidR="00F866A6">
        <w:t>represent</w:t>
      </w:r>
      <w:r w:rsidR="004F4EF9">
        <w:t xml:space="preserve">ative of </w:t>
      </w:r>
      <w:r w:rsidR="00F866A6">
        <w:t xml:space="preserve">the </w:t>
      </w:r>
      <w:r w:rsidR="004F4EF9">
        <w:t>HV population defined by the proposed restriction</w:t>
      </w:r>
      <w:r w:rsidR="00AF6AEE">
        <w:t xml:space="preserve">, with a post hoc analysis finding that </w:t>
      </w:r>
      <w:r w:rsidR="004F4EF9">
        <w:t xml:space="preserve">only 10% of patients in the HV subgroup were unsuitable for docetaxel due to contraindications or comorbidities. The PBAC noted that this was due to the TITAN trial excluding many patients with HV disease who would be considered unsuitable for docetaxel. </w:t>
      </w:r>
    </w:p>
    <w:p w14:paraId="061A74F3" w14:textId="77777777" w:rsidR="004F4EF9" w:rsidRDefault="00A021F0" w:rsidP="00B577B1">
      <w:pPr>
        <w:pStyle w:val="3-BodyText"/>
      </w:pPr>
      <w:r w:rsidRPr="00A021F0">
        <w:t xml:space="preserve">The PBAC noted that the TITAN trial demonstrated a </w:t>
      </w:r>
      <w:r w:rsidR="00B61CF5">
        <w:t xml:space="preserve">statistically </w:t>
      </w:r>
      <w:r w:rsidRPr="00A021F0">
        <w:t xml:space="preserve">significant improvement in </w:t>
      </w:r>
      <w:r w:rsidR="00B61CF5">
        <w:t>OS</w:t>
      </w:r>
      <w:r w:rsidR="00F866A6">
        <w:t xml:space="preserve"> (HR = 0.651; 95% CI: 0.534, 0.793) after a median follow up of 43.8 </w:t>
      </w:r>
      <w:proofErr w:type="gramStart"/>
      <w:r w:rsidR="00F866A6">
        <w:t xml:space="preserve">months, </w:t>
      </w:r>
      <w:r w:rsidRPr="00A021F0">
        <w:t xml:space="preserve"> </w:t>
      </w:r>
      <w:r>
        <w:t>and</w:t>
      </w:r>
      <w:proofErr w:type="gramEnd"/>
      <w:r>
        <w:t xml:space="preserve"> that </w:t>
      </w:r>
      <w:r w:rsidR="00F866A6">
        <w:t xml:space="preserve">statistically </w:t>
      </w:r>
      <w:r>
        <w:t>s</w:t>
      </w:r>
      <w:r w:rsidRPr="00A021F0">
        <w:t>ignificant benefit</w:t>
      </w:r>
      <w:r w:rsidR="00F866A6">
        <w:t>s</w:t>
      </w:r>
      <w:r w:rsidRPr="00A021F0">
        <w:t xml:space="preserve"> w</w:t>
      </w:r>
      <w:r w:rsidR="00F866A6">
        <w:t>ere</w:t>
      </w:r>
      <w:r w:rsidRPr="00A021F0">
        <w:t xml:space="preserve"> </w:t>
      </w:r>
      <w:r w:rsidR="00F866A6">
        <w:t>also demonstrated</w:t>
      </w:r>
      <w:r w:rsidRPr="00A021F0">
        <w:t xml:space="preserve"> in both </w:t>
      </w:r>
      <w:r w:rsidR="00F866A6">
        <w:t xml:space="preserve">the </w:t>
      </w:r>
      <w:r w:rsidRPr="00A021F0">
        <w:t xml:space="preserve">LV </w:t>
      </w:r>
      <w:r w:rsidR="00F866A6">
        <w:t xml:space="preserve">(HR = 0.525; 95% CI: 0.347, 0.794) </w:t>
      </w:r>
      <w:r w:rsidRPr="00A021F0">
        <w:t xml:space="preserve">and HV </w:t>
      </w:r>
      <w:r w:rsidR="00F866A6">
        <w:t>(HR = 0.699; 95% CI: 0.558, 0.875) sub</w:t>
      </w:r>
      <w:r w:rsidRPr="00A021F0">
        <w:t xml:space="preserve">groups. </w:t>
      </w:r>
      <w:r w:rsidR="00F866A6">
        <w:t>The PBAC noted that t</w:t>
      </w:r>
      <w:r w:rsidRPr="00A021F0">
        <w:t xml:space="preserve">he TITAN trial also demonstrated </w:t>
      </w:r>
      <w:r w:rsidR="00F866A6">
        <w:t xml:space="preserve">statistically </w:t>
      </w:r>
      <w:r w:rsidRPr="00A021F0">
        <w:t xml:space="preserve">significant improvement in radiographic progression-free survival </w:t>
      </w:r>
      <w:r w:rsidR="00F866A6">
        <w:t>(</w:t>
      </w:r>
      <w:proofErr w:type="spellStart"/>
      <w:r w:rsidR="00F866A6">
        <w:t>rPFS</w:t>
      </w:r>
      <w:proofErr w:type="spellEnd"/>
      <w:r w:rsidR="00F866A6">
        <w:t>) in the ITT population (HR = 0.484; 95% CI: 0.391, 0.600) and the LV (HR = 0.358; 95% CI: 0.224, 0.573) and HV (HR = 0.515; 95% CI: 0.404, 0.657) subgroups.</w:t>
      </w:r>
      <w:r w:rsidRPr="00A021F0">
        <w:t xml:space="preserve"> </w:t>
      </w:r>
    </w:p>
    <w:p w14:paraId="40053757" w14:textId="77777777" w:rsidR="00B61CF5" w:rsidRDefault="004F4EF9" w:rsidP="00B577B1">
      <w:pPr>
        <w:pStyle w:val="3-BodyText"/>
      </w:pPr>
      <w:r>
        <w:lastRenderedPageBreak/>
        <w:t>T</w:t>
      </w:r>
      <w:r w:rsidR="00A021F0" w:rsidRPr="00A021F0">
        <w:t xml:space="preserve">he PBAC considered </w:t>
      </w:r>
      <w:r w:rsidR="00A021F0" w:rsidRPr="00A021F0">
        <w:rPr>
          <w:lang w:val="en-GB"/>
        </w:rPr>
        <w:t xml:space="preserve">there </w:t>
      </w:r>
      <w:r w:rsidR="00A021F0">
        <w:rPr>
          <w:lang w:val="en-GB"/>
        </w:rPr>
        <w:t>remained</w:t>
      </w:r>
      <w:r w:rsidR="00A021F0" w:rsidRPr="00A021F0">
        <w:rPr>
          <w:lang w:val="en-GB"/>
        </w:rPr>
        <w:t xml:space="preserve"> a high degree of uncertainty around the long-term survival benefits</w:t>
      </w:r>
      <w:r w:rsidR="00F866A6">
        <w:rPr>
          <w:lang w:val="en-GB"/>
        </w:rPr>
        <w:t xml:space="preserve"> as </w:t>
      </w:r>
      <w:r w:rsidR="00A021F0" w:rsidRPr="00A021F0">
        <w:rPr>
          <w:lang w:val="en-GB"/>
        </w:rPr>
        <w:t xml:space="preserve">the trial data </w:t>
      </w:r>
      <w:r w:rsidR="00F866A6">
        <w:rPr>
          <w:lang w:val="en-GB"/>
        </w:rPr>
        <w:t>was</w:t>
      </w:r>
      <w:r w:rsidR="00A021F0" w:rsidRPr="00A021F0">
        <w:rPr>
          <w:lang w:val="en-GB"/>
        </w:rPr>
        <w:t xml:space="preserve"> relatively immature (</w:t>
      </w:r>
      <w:proofErr w:type="gramStart"/>
      <w:r w:rsidR="00A021F0" w:rsidRPr="003F72E0">
        <w:t>i.e.</w:t>
      </w:r>
      <w:proofErr w:type="gramEnd"/>
      <w:r w:rsidR="00A021F0" w:rsidRPr="003F72E0">
        <w:t xml:space="preserve"> less than half of the events were observed)</w:t>
      </w:r>
      <w:r w:rsidR="00F866A6">
        <w:t>.</w:t>
      </w:r>
      <w:r>
        <w:t xml:space="preserve"> </w:t>
      </w:r>
      <w:r w:rsidR="00B577B1">
        <w:t>The PBAC also considered that, d</w:t>
      </w:r>
      <w:r w:rsidR="00B577B1" w:rsidRPr="00A021F0">
        <w:t xml:space="preserve">ue to competing comorbidities, </w:t>
      </w:r>
      <w:r w:rsidR="00B577B1">
        <w:t xml:space="preserve">the actual PBS population </w:t>
      </w:r>
      <w:r w:rsidR="00B577B1" w:rsidRPr="00A021F0">
        <w:t xml:space="preserve">would be unlikely to demonstrate the same degree of survival benefit with apalutamide </w:t>
      </w:r>
      <w:r w:rsidR="00B577B1">
        <w:t xml:space="preserve">in clinical practice as compared to that demonstrated in the TITAN trial. The PBAC considered that the LV population would likely be older and frailer than the trial population and the HV population would contain more patients who were considered unfit for chemotherapy. </w:t>
      </w:r>
    </w:p>
    <w:p w14:paraId="2328CCC3" w14:textId="77777777" w:rsidR="00A65883" w:rsidRPr="00BF06FC" w:rsidRDefault="00A65883" w:rsidP="00A65883">
      <w:pPr>
        <w:pStyle w:val="3-BodyText"/>
      </w:pPr>
      <w:r>
        <w:t xml:space="preserve">The PBAC noted there </w:t>
      </w:r>
      <w:r w:rsidRPr="006F3C5D">
        <w:rPr>
          <w:iCs/>
        </w:rPr>
        <w:t xml:space="preserve">were significantly more serious </w:t>
      </w:r>
      <w:r w:rsidR="00B577B1">
        <w:rPr>
          <w:iCs/>
        </w:rPr>
        <w:t>adverse events (</w:t>
      </w:r>
      <w:r w:rsidRPr="006F3C5D">
        <w:rPr>
          <w:iCs/>
        </w:rPr>
        <w:t>AEs</w:t>
      </w:r>
      <w:r w:rsidR="00B577B1">
        <w:rPr>
          <w:iCs/>
        </w:rPr>
        <w:t xml:space="preserve">; </w:t>
      </w:r>
      <w:r w:rsidRPr="006F3C5D">
        <w:rPr>
          <w:iCs/>
        </w:rPr>
        <w:t>Grade 3-4), AEs leading to discontinuations and dose interruptions experienced in the apalutamide arm compared to placebo.  After adjusting for treatment exposure, the incidence of skin rash, fractures and isch</w:t>
      </w:r>
      <w:r>
        <w:rPr>
          <w:iCs/>
        </w:rPr>
        <w:t>a</w:t>
      </w:r>
      <w:r w:rsidRPr="006F3C5D">
        <w:rPr>
          <w:iCs/>
        </w:rPr>
        <w:t xml:space="preserve">emic heart disease were higher in the apalutamide arm compared to placebo </w:t>
      </w:r>
      <w:r>
        <w:t>(see paragraph 6.16).</w:t>
      </w:r>
      <w:r w:rsidR="00DD7FA2">
        <w:t xml:space="preserve"> The PBAC also noted that there was no clinically meaningful improvement in quality of life, not time to pain progression or chronic opioid use for apalutamide patients compared to placebo patients.</w:t>
      </w:r>
    </w:p>
    <w:p w14:paraId="6F442B9B" w14:textId="77777777" w:rsidR="002E7C88" w:rsidRPr="002E7C88" w:rsidRDefault="002E7C88" w:rsidP="002E7C88">
      <w:pPr>
        <w:pStyle w:val="3-BodyText"/>
        <w:widowControl w:val="0"/>
        <w:rPr>
          <w:szCs w:val="20"/>
        </w:rPr>
      </w:pPr>
      <w:r w:rsidRPr="002E7C88">
        <w:rPr>
          <w:iCs/>
        </w:rPr>
        <w:t>The</w:t>
      </w:r>
      <w:r w:rsidRPr="00941CF0">
        <w:t xml:space="preserve"> PBAC considered that the </w:t>
      </w:r>
      <w:r>
        <w:t xml:space="preserve">submission’s </w:t>
      </w:r>
      <w:r w:rsidRPr="00941CF0">
        <w:t xml:space="preserve">claim of superior comparative effectiveness </w:t>
      </w:r>
      <w:r>
        <w:t>for apalutamide</w:t>
      </w:r>
      <w:r w:rsidR="00B577B1">
        <w:t xml:space="preserve"> </w:t>
      </w:r>
      <w:r>
        <w:t>+</w:t>
      </w:r>
      <w:r w:rsidR="00B577B1">
        <w:t xml:space="preserve"> </w:t>
      </w:r>
      <w:r>
        <w:t xml:space="preserve">ADT over ADT monotherapy </w:t>
      </w:r>
      <w:r w:rsidRPr="00941CF0">
        <w:t>was reasonable for patients with LV disease</w:t>
      </w:r>
      <w:r>
        <w:t xml:space="preserve">, but not for patients with HV disease.  </w:t>
      </w:r>
      <w:r w:rsidRPr="002E7C88">
        <w:rPr>
          <w:lang w:val="en-GB"/>
        </w:rPr>
        <w:t xml:space="preserve">The trial did not provide direct evidence for the requested PBS population of patients with HV disease who are unsuitable for chemotherapy.  </w:t>
      </w:r>
      <w:r>
        <w:rPr>
          <w:lang w:val="en-GB"/>
        </w:rPr>
        <w:t>T</w:t>
      </w:r>
      <w:r w:rsidRPr="00941CF0">
        <w:t xml:space="preserve">he PBAC considered that while apalutamide was likely to result in some benefit compared to placebo in patients with HV disease who are </w:t>
      </w:r>
      <w:r>
        <w:t>unfit</w:t>
      </w:r>
      <w:r w:rsidRPr="00941CF0">
        <w:t xml:space="preserve"> for chemotherapy, the degree of benefit was likely reduced compared to that presented in the submission due to their competing comorbidities.</w:t>
      </w:r>
      <w:r>
        <w:t xml:space="preserve"> </w:t>
      </w:r>
      <w:r w:rsidRPr="002E7C88">
        <w:rPr>
          <w:szCs w:val="20"/>
        </w:rPr>
        <w:t xml:space="preserve">The PBAC considered that the </w:t>
      </w:r>
      <w:r w:rsidR="00B577B1">
        <w:rPr>
          <w:szCs w:val="20"/>
        </w:rPr>
        <w:t xml:space="preserve">submission’s </w:t>
      </w:r>
      <w:r w:rsidRPr="002E7C88">
        <w:rPr>
          <w:szCs w:val="20"/>
        </w:rPr>
        <w:t>claim of inferior comparative safety was reasonable on the basis that ap</w:t>
      </w:r>
      <w:r w:rsidRPr="00941CF0">
        <w:t>alutamide + ADT is associated with additional AEs compared with ADT monotherapy.</w:t>
      </w:r>
    </w:p>
    <w:p w14:paraId="2549C030" w14:textId="77777777" w:rsidR="00552D26" w:rsidRPr="00626747" w:rsidRDefault="002E7C88" w:rsidP="00B771C9">
      <w:pPr>
        <w:widowControl w:val="0"/>
        <w:numPr>
          <w:ilvl w:val="1"/>
          <w:numId w:val="1"/>
        </w:numPr>
        <w:spacing w:after="120"/>
        <w:rPr>
          <w:rFonts w:asciiTheme="minorHAnsi" w:hAnsiTheme="minorHAnsi"/>
          <w:snapToGrid w:val="0"/>
          <w:lang w:val="en-GB"/>
        </w:rPr>
      </w:pPr>
      <w:r w:rsidRPr="002E7C88">
        <w:rPr>
          <w:rFonts w:asciiTheme="minorHAnsi" w:hAnsiTheme="minorHAnsi"/>
          <w:bCs/>
          <w:snapToGrid w:val="0"/>
        </w:rPr>
        <w:t xml:space="preserve">The PBAC noted that the submission </w:t>
      </w:r>
      <w:r w:rsidRPr="00BF06FC">
        <w:t xml:space="preserve">presented a stepped economic evaluation (cost-utility analysis) based on the TITAN trial, using a standard partitioned survival model to estimate costs and outcomes for apalutamide versus placebo in </w:t>
      </w:r>
      <w:proofErr w:type="spellStart"/>
      <w:r w:rsidRPr="00BF06FC">
        <w:t>mHSPC</w:t>
      </w:r>
      <w:proofErr w:type="spellEnd"/>
      <w:r w:rsidRPr="00BF06FC">
        <w:t>.</w:t>
      </w:r>
      <w:r>
        <w:t xml:space="preserve">  </w:t>
      </w:r>
      <w:r w:rsidR="00552D26">
        <w:t>The PBAC noted that the submission modelled two populations using the same model structure but different input parameters: (</w:t>
      </w:r>
      <w:proofErr w:type="spellStart"/>
      <w:r w:rsidR="00552D26">
        <w:t>i</w:t>
      </w:r>
      <w:proofErr w:type="spellEnd"/>
      <w:r w:rsidR="00552D26">
        <w:t xml:space="preserve">) the ‘LV model’, based on the LV subgroup in TITAN; and (ii) the ‘ITT/HV model’, based on the ITT population in TITAN and used as a proxy for the HV subgroup. </w:t>
      </w:r>
    </w:p>
    <w:p w14:paraId="195EB40D" w14:textId="77777777" w:rsidR="00784058" w:rsidRPr="00784058" w:rsidRDefault="00552D26" w:rsidP="00B771C9">
      <w:pPr>
        <w:widowControl w:val="0"/>
        <w:numPr>
          <w:ilvl w:val="1"/>
          <w:numId w:val="1"/>
        </w:numPr>
        <w:spacing w:after="120"/>
        <w:rPr>
          <w:rFonts w:asciiTheme="minorHAnsi" w:hAnsiTheme="minorHAnsi"/>
          <w:snapToGrid w:val="0"/>
          <w:lang w:val="en-GB"/>
        </w:rPr>
      </w:pPr>
      <w:r>
        <w:rPr>
          <w:rFonts w:asciiTheme="minorHAnsi" w:hAnsiTheme="minorHAnsi"/>
          <w:bCs/>
          <w:snapToGrid w:val="0"/>
        </w:rPr>
        <w:t>The PBAC considered the use of the ITT population data as a proxy for the HV subgroup was inappropriate as the ITT population was not representative of the requested HV population in terms of baseline characteristics given only 63% had HV disease and only 10% of those patients met the PBS eligibility criteria</w:t>
      </w:r>
      <w:r w:rsidRPr="00552D26">
        <w:t>.</w:t>
      </w:r>
      <w:r>
        <w:t xml:space="preserve"> </w:t>
      </w:r>
      <w:r w:rsidR="00784058">
        <w:t xml:space="preserve">In addition, volume of disease is a prognostic factor and the PBAC noted that median survival in the placebo arm of the HV subgroup was 38.7 months, compared to 52.2 months in the ITT population. Finally, the treatment effect in the ITT population was numerically larger than in the </w:t>
      </w:r>
      <w:r w:rsidR="00784058">
        <w:lastRenderedPageBreak/>
        <w:t>HV subgroup.</w:t>
      </w:r>
    </w:p>
    <w:p w14:paraId="612E1C8E" w14:textId="77777777" w:rsidR="002E7C88" w:rsidRPr="002E7C88" w:rsidRDefault="002E7C88" w:rsidP="00B771C9">
      <w:pPr>
        <w:widowControl w:val="0"/>
        <w:numPr>
          <w:ilvl w:val="1"/>
          <w:numId w:val="1"/>
        </w:numPr>
        <w:spacing w:after="120"/>
        <w:rPr>
          <w:rFonts w:asciiTheme="minorHAnsi" w:hAnsiTheme="minorHAnsi"/>
          <w:snapToGrid w:val="0"/>
          <w:lang w:val="en-GB"/>
        </w:rPr>
      </w:pPr>
      <w:r>
        <w:t xml:space="preserve">The PBAC noted </w:t>
      </w:r>
      <w:r w:rsidR="00784058">
        <w:t xml:space="preserve">additional </w:t>
      </w:r>
      <w:r>
        <w:t xml:space="preserve">concerns </w:t>
      </w:r>
      <w:r w:rsidR="00784058">
        <w:t xml:space="preserve">relating to the </w:t>
      </w:r>
      <w:r w:rsidR="004426F3">
        <w:t>model structure and inputs</w:t>
      </w:r>
      <w:r w:rsidR="00784058">
        <w:t>, including</w:t>
      </w:r>
      <w:r w:rsidR="004426F3">
        <w:t>:</w:t>
      </w:r>
    </w:p>
    <w:p w14:paraId="410A5884" w14:textId="77777777" w:rsidR="00626747" w:rsidRDefault="006908B6" w:rsidP="00B001EF">
      <w:pPr>
        <w:pStyle w:val="3-BodyText"/>
        <w:numPr>
          <w:ilvl w:val="1"/>
          <w:numId w:val="36"/>
        </w:numPr>
        <w:ind w:left="1077" w:hanging="357"/>
      </w:pPr>
      <w:r>
        <w:t>The time horizons proposed by the submission were not</w:t>
      </w:r>
      <w:r w:rsidR="00482B7F">
        <w:t xml:space="preserve"> adequately</w:t>
      </w:r>
      <w:r>
        <w:t xml:space="preserve"> justified (</w:t>
      </w:r>
      <w:r w:rsidR="00A930FA" w:rsidRPr="004426F3">
        <w:t xml:space="preserve">LV </w:t>
      </w:r>
      <w:r w:rsidR="00784058">
        <w:t xml:space="preserve">model </w:t>
      </w:r>
      <w:r w:rsidR="00A930FA" w:rsidRPr="004426F3">
        <w:t xml:space="preserve">=20 years; ITT/HV </w:t>
      </w:r>
      <w:r w:rsidR="00784058">
        <w:t xml:space="preserve">model </w:t>
      </w:r>
      <w:r w:rsidR="00A930FA" w:rsidRPr="004426F3">
        <w:t>= 15 years</w:t>
      </w:r>
      <w:r>
        <w:t>)</w:t>
      </w:r>
      <w:r w:rsidR="00784058">
        <w:t xml:space="preserve"> and were long</w:t>
      </w:r>
      <w:r w:rsidR="00A930FA" w:rsidRPr="004426F3">
        <w:t xml:space="preserve"> compared to </w:t>
      </w:r>
      <w:r w:rsidR="00784058">
        <w:t xml:space="preserve">the </w:t>
      </w:r>
      <w:r w:rsidR="00A930FA" w:rsidRPr="004426F3">
        <w:t>median follow-up of 44 months in TITAN (final analysis)</w:t>
      </w:r>
      <w:r w:rsidR="00784058">
        <w:t xml:space="preserve"> and</w:t>
      </w:r>
      <w:r w:rsidR="00784058" w:rsidRPr="00626747">
        <w:rPr>
          <w:rFonts w:cs="Times New Roman"/>
          <w:lang w:eastAsia="en-GB"/>
        </w:rPr>
        <w:t xml:space="preserve"> g</w:t>
      </w:r>
      <w:r w:rsidRPr="00626747">
        <w:rPr>
          <w:rFonts w:cs="Times New Roman"/>
          <w:lang w:eastAsia="en-GB"/>
        </w:rPr>
        <w:t>iven the uncertainty around the longer-term predictions (see paragraph 6.</w:t>
      </w:r>
      <w:r w:rsidR="00C50FFD">
        <w:rPr>
          <w:rFonts w:cs="Times New Roman"/>
          <w:lang w:eastAsia="en-GB"/>
        </w:rPr>
        <w:t>28</w:t>
      </w:r>
      <w:r w:rsidRPr="00626747">
        <w:rPr>
          <w:rFonts w:cs="Times New Roman"/>
          <w:lang w:eastAsia="en-GB"/>
        </w:rPr>
        <w:t>).</w:t>
      </w:r>
      <w:r w:rsidR="0012416B" w:rsidRPr="00626747">
        <w:rPr>
          <w:rFonts w:cs="Times New Roman"/>
          <w:lang w:eastAsia="en-GB"/>
        </w:rPr>
        <w:t xml:space="preserve"> The PBAC noted that the time horizons were truncated in the pre-PBAC response to 15 years for the LV model and 10 years for the ITT/HV population.</w:t>
      </w:r>
      <w:r w:rsidR="00626747" w:rsidRPr="00626747">
        <w:rPr>
          <w:rFonts w:cs="Times New Roman"/>
          <w:lang w:eastAsia="en-GB"/>
        </w:rPr>
        <w:t xml:space="preserve"> </w:t>
      </w:r>
      <w:r w:rsidR="0012416B" w:rsidRPr="006908B6">
        <w:t>The estimated survival benefit</w:t>
      </w:r>
      <w:r w:rsidR="0012416B">
        <w:t>s</w:t>
      </w:r>
      <w:r w:rsidR="0012416B" w:rsidRPr="006908B6">
        <w:t xml:space="preserve"> of 18.1 months (undiscounted) in the ITT/HV model and 33.8 months (undiscounted) in the LV model may not be realistic</w:t>
      </w:r>
      <w:r w:rsidR="0012416B">
        <w:t>, particularly given the immaturity of the data which informed the modelled extrapolations</w:t>
      </w:r>
      <w:r w:rsidR="00B001EF">
        <w:t>; and</w:t>
      </w:r>
      <w:r w:rsidR="0012416B" w:rsidRPr="006908B6">
        <w:t xml:space="preserve"> </w:t>
      </w:r>
    </w:p>
    <w:p w14:paraId="44F28D21" w14:textId="77777777" w:rsidR="00626747" w:rsidRDefault="00B001EF" w:rsidP="00B001EF">
      <w:pPr>
        <w:pStyle w:val="3-BodyText"/>
        <w:numPr>
          <w:ilvl w:val="1"/>
          <w:numId w:val="36"/>
        </w:numPr>
        <w:ind w:left="1077" w:hanging="357"/>
      </w:pPr>
      <w:r>
        <w:t>T</w:t>
      </w:r>
      <w:r w:rsidR="00626747">
        <w:t xml:space="preserve">he submission applied Weibull extrapolations to the OS Kaplan Meier data which resulted in 5% of patients remaining alive at the end of the time horizons. </w:t>
      </w:r>
      <w:r w:rsidR="006007CC">
        <w:t xml:space="preserve">The PBAC considered that the Weibull extrapolations were highly optimistic and noted that the </w:t>
      </w:r>
      <w:proofErr w:type="spellStart"/>
      <w:r w:rsidR="006007CC">
        <w:t>Gompertz</w:t>
      </w:r>
      <w:proofErr w:type="spellEnd"/>
      <w:r w:rsidR="006007CC">
        <w:t xml:space="preserve"> models resulted in more clinically plausible outcomes.</w:t>
      </w:r>
    </w:p>
    <w:p w14:paraId="281D0847" w14:textId="77777777" w:rsidR="00A312D3" w:rsidRDefault="003A1E33" w:rsidP="00DC5755">
      <w:pPr>
        <w:pStyle w:val="3-BodyText"/>
        <w:widowControl w:val="0"/>
        <w:rPr>
          <w:szCs w:val="20"/>
        </w:rPr>
      </w:pPr>
      <w:r w:rsidRPr="00A312D3">
        <w:rPr>
          <w:szCs w:val="20"/>
        </w:rPr>
        <w:t xml:space="preserve">In terms of the LV model, the PBAC considered </w:t>
      </w:r>
      <w:r w:rsidR="00A312D3" w:rsidRPr="00A312D3">
        <w:rPr>
          <w:szCs w:val="20"/>
        </w:rPr>
        <w:t>that</w:t>
      </w:r>
      <w:r w:rsidR="00A312D3">
        <w:rPr>
          <w:szCs w:val="20"/>
        </w:rPr>
        <w:t xml:space="preserve"> t</w:t>
      </w:r>
      <w:r w:rsidR="00A312D3" w:rsidRPr="00A312D3">
        <w:rPr>
          <w:szCs w:val="20"/>
        </w:rPr>
        <w:t>he ICER of $</w:t>
      </w:r>
      <w:r w:rsidR="000C1F7E">
        <w:rPr>
          <w:szCs w:val="20"/>
        </w:rPr>
        <w:t>35,000 to &lt; $45,000</w:t>
      </w:r>
      <w:r w:rsidR="00A312D3" w:rsidRPr="00A312D3">
        <w:rPr>
          <w:szCs w:val="20"/>
        </w:rPr>
        <w:t xml:space="preserve"> per QALY presented in the submission was uncertain and likely underestimated</w:t>
      </w:r>
      <w:r w:rsidR="00A312D3">
        <w:rPr>
          <w:szCs w:val="20"/>
        </w:rPr>
        <w:t xml:space="preserve"> as the PBS population was likely to be less fit than the subgroup population. The PBAC considered that a revised base case should incorporate the changes suggested by the ESC and include a </w:t>
      </w:r>
      <w:proofErr w:type="gramStart"/>
      <w:r w:rsidR="00A312D3">
        <w:rPr>
          <w:szCs w:val="20"/>
        </w:rPr>
        <w:t>10 year</w:t>
      </w:r>
      <w:proofErr w:type="gramEnd"/>
      <w:r w:rsidR="00A312D3">
        <w:rPr>
          <w:szCs w:val="20"/>
        </w:rPr>
        <w:t xml:space="preserve"> time horizon, </w:t>
      </w:r>
      <w:proofErr w:type="spellStart"/>
      <w:r w:rsidR="00A312D3">
        <w:rPr>
          <w:szCs w:val="20"/>
        </w:rPr>
        <w:t>Gompertz</w:t>
      </w:r>
      <w:proofErr w:type="spellEnd"/>
      <w:r w:rsidR="00A312D3">
        <w:rPr>
          <w:szCs w:val="20"/>
        </w:rPr>
        <w:t xml:space="preserve"> extrapolation of OS and convergence of the treatment and placebo arms from 5 years. The PBAC considered that a reasonable ICER for the LV population would be </w:t>
      </w:r>
      <w:r w:rsidR="00DD7FA2">
        <w:rPr>
          <w:szCs w:val="20"/>
        </w:rPr>
        <w:t xml:space="preserve">in the range of </w:t>
      </w:r>
      <w:r w:rsidR="00A312D3">
        <w:rPr>
          <w:szCs w:val="20"/>
        </w:rPr>
        <w:t xml:space="preserve">$40,000 </w:t>
      </w:r>
      <w:r w:rsidR="00DD7FA2">
        <w:rPr>
          <w:szCs w:val="20"/>
        </w:rPr>
        <w:t xml:space="preserve">to $45,000 </w:t>
      </w:r>
      <w:r w:rsidR="00A312D3">
        <w:rPr>
          <w:szCs w:val="20"/>
        </w:rPr>
        <w:t>per QALY.</w:t>
      </w:r>
    </w:p>
    <w:p w14:paraId="7CD344BC" w14:textId="77777777" w:rsidR="00812166" w:rsidRDefault="00A312D3" w:rsidP="00DC5755">
      <w:pPr>
        <w:pStyle w:val="3-BodyText"/>
        <w:widowControl w:val="0"/>
        <w:rPr>
          <w:szCs w:val="20"/>
        </w:rPr>
      </w:pPr>
      <w:r>
        <w:rPr>
          <w:szCs w:val="20"/>
        </w:rPr>
        <w:t xml:space="preserve"> In terms of the ITT/HV model, the PBAC considered that the ICER of $</w:t>
      </w:r>
      <w:r w:rsidR="000C1F7E">
        <w:rPr>
          <w:szCs w:val="20"/>
        </w:rPr>
        <w:t>35,000 to &lt; $45,000</w:t>
      </w:r>
      <w:r>
        <w:rPr>
          <w:szCs w:val="20"/>
        </w:rPr>
        <w:t xml:space="preserve"> per QALY presented in the submission was uncertain and underestimated as the</w:t>
      </w:r>
      <w:r w:rsidRPr="00A312D3">
        <w:rPr>
          <w:szCs w:val="20"/>
        </w:rPr>
        <w:t xml:space="preserve"> </w:t>
      </w:r>
      <w:r>
        <w:rPr>
          <w:szCs w:val="20"/>
        </w:rPr>
        <w:t xml:space="preserve">trial population was not representative of the proposed HV </w:t>
      </w:r>
      <w:r w:rsidR="009A7EED">
        <w:rPr>
          <w:szCs w:val="20"/>
        </w:rPr>
        <w:t xml:space="preserve">disease </w:t>
      </w:r>
      <w:r>
        <w:rPr>
          <w:szCs w:val="20"/>
        </w:rPr>
        <w:t xml:space="preserve">PBS population. </w:t>
      </w:r>
      <w:r w:rsidR="009A7EED">
        <w:rPr>
          <w:szCs w:val="20"/>
        </w:rPr>
        <w:t xml:space="preserve">The PBAC considered that if a broader restriction was accepted which allowed use in all HV patients, then there would be two patient groups. The PBAC considered </w:t>
      </w:r>
      <w:r w:rsidR="00DD7FA2">
        <w:rPr>
          <w:szCs w:val="20"/>
        </w:rPr>
        <w:t xml:space="preserve">a more plausible estimate was </w:t>
      </w:r>
      <w:r w:rsidR="009A7EED">
        <w:rPr>
          <w:szCs w:val="20"/>
        </w:rPr>
        <w:t>that 25% of the HV population would be unfit for chemotherapy (13%/52.1%</w:t>
      </w:r>
      <w:r w:rsidR="00DD7FA2">
        <w:rPr>
          <w:szCs w:val="20"/>
        </w:rPr>
        <w:t>), according to listed contraindications in the TGA product information for docetaxel</w:t>
      </w:r>
      <w:r w:rsidR="0047184E">
        <w:rPr>
          <w:szCs w:val="20"/>
        </w:rPr>
        <w:t xml:space="preserve">. For this group, the PBAC considered that a revised base case should incorporate the changes suggested by ESC, including a </w:t>
      </w:r>
      <w:proofErr w:type="gramStart"/>
      <w:r w:rsidR="0047184E">
        <w:rPr>
          <w:szCs w:val="20"/>
        </w:rPr>
        <w:t>5 year</w:t>
      </w:r>
      <w:proofErr w:type="gramEnd"/>
      <w:r w:rsidR="0047184E">
        <w:rPr>
          <w:szCs w:val="20"/>
        </w:rPr>
        <w:t xml:space="preserve"> time horizon, </w:t>
      </w:r>
      <w:proofErr w:type="spellStart"/>
      <w:r w:rsidR="0047184E">
        <w:rPr>
          <w:szCs w:val="20"/>
        </w:rPr>
        <w:t>Gompertz</w:t>
      </w:r>
      <w:proofErr w:type="spellEnd"/>
      <w:r w:rsidR="0047184E">
        <w:rPr>
          <w:szCs w:val="20"/>
        </w:rPr>
        <w:t xml:space="preserve"> extrapolation of OS and convergence of the treatment and placebo arms from 44 months in addition to incorporating the HV population subgroup data. </w:t>
      </w:r>
      <w:r w:rsidR="00812166">
        <w:rPr>
          <w:szCs w:val="20"/>
        </w:rPr>
        <w:t xml:space="preserve">The PBAC considered that a reasonable ICER for this population would be </w:t>
      </w:r>
      <w:r w:rsidR="00DD7FA2">
        <w:rPr>
          <w:szCs w:val="20"/>
        </w:rPr>
        <w:t xml:space="preserve">in the range of </w:t>
      </w:r>
      <w:r w:rsidR="00812166">
        <w:rPr>
          <w:szCs w:val="20"/>
        </w:rPr>
        <w:t>$40,000</w:t>
      </w:r>
      <w:r w:rsidR="00DD7FA2">
        <w:rPr>
          <w:szCs w:val="20"/>
        </w:rPr>
        <w:t xml:space="preserve"> to $45,000</w:t>
      </w:r>
      <w:r w:rsidR="00812166">
        <w:rPr>
          <w:szCs w:val="20"/>
        </w:rPr>
        <w:t xml:space="preserve"> per QALY. </w:t>
      </w:r>
      <w:r w:rsidR="0047184E">
        <w:rPr>
          <w:szCs w:val="20"/>
        </w:rPr>
        <w:t>For the remaining 75% of the HV population</w:t>
      </w:r>
      <w:r w:rsidR="00812166">
        <w:rPr>
          <w:szCs w:val="20"/>
        </w:rPr>
        <w:t>, the PBAC</w:t>
      </w:r>
      <w:r w:rsidR="00EC5B3E">
        <w:rPr>
          <w:szCs w:val="20"/>
        </w:rPr>
        <w:t xml:space="preserve"> </w:t>
      </w:r>
      <w:r w:rsidR="00812166">
        <w:rPr>
          <w:szCs w:val="20"/>
        </w:rPr>
        <w:t>considered that</w:t>
      </w:r>
      <w:r w:rsidR="0047184E">
        <w:rPr>
          <w:szCs w:val="20"/>
        </w:rPr>
        <w:t xml:space="preserve"> a</w:t>
      </w:r>
      <w:r w:rsidR="00EC5B3E">
        <w:rPr>
          <w:szCs w:val="20"/>
        </w:rPr>
        <w:t>n economic analysis using</w:t>
      </w:r>
      <w:r w:rsidR="0047184E">
        <w:rPr>
          <w:szCs w:val="20"/>
        </w:rPr>
        <w:t xml:space="preserve"> docetaxel </w:t>
      </w:r>
      <w:r w:rsidR="00EC5B3E">
        <w:rPr>
          <w:szCs w:val="20"/>
        </w:rPr>
        <w:t xml:space="preserve">as the comparator </w:t>
      </w:r>
      <w:r w:rsidR="0047184E">
        <w:rPr>
          <w:szCs w:val="20"/>
        </w:rPr>
        <w:t>would be appropriate</w:t>
      </w:r>
      <w:r w:rsidR="00812166">
        <w:rPr>
          <w:szCs w:val="20"/>
        </w:rPr>
        <w:t xml:space="preserve">. </w:t>
      </w:r>
    </w:p>
    <w:p w14:paraId="5000E24C" w14:textId="77777777" w:rsidR="002F2475" w:rsidRDefault="00E44492" w:rsidP="00B771C9">
      <w:pPr>
        <w:pStyle w:val="3-BodyText"/>
      </w:pPr>
      <w:r>
        <w:lastRenderedPageBreak/>
        <w:t>The PBAC considered the financial impact ($</w:t>
      </w:r>
      <w:r w:rsidR="000C1F7E">
        <w:t>200 million to &lt; $300</w:t>
      </w:r>
      <w:r>
        <w:t xml:space="preserve"> million over five years, based on pre-PBAC response estimates) to be high and </w:t>
      </w:r>
      <w:r w:rsidR="00C50FFD">
        <w:t>likely overestimated</w:t>
      </w:r>
      <w:r>
        <w:t xml:space="preserve"> (Table 13).  </w:t>
      </w:r>
      <w:r w:rsidR="00DC3096">
        <w:t>T</w:t>
      </w:r>
      <w:r>
        <w:t xml:space="preserve">he PBAC considered there was a </w:t>
      </w:r>
      <w:r w:rsidRPr="00022E80">
        <w:t xml:space="preserve">high risk of </w:t>
      </w:r>
      <w:r w:rsidR="00DC3096">
        <w:t>use in</w:t>
      </w:r>
      <w:r w:rsidRPr="00022E80">
        <w:t xml:space="preserve"> </w:t>
      </w:r>
      <w:r>
        <w:t xml:space="preserve">the </w:t>
      </w:r>
      <w:r w:rsidR="00DC3096">
        <w:t>HV</w:t>
      </w:r>
      <w:r w:rsidRPr="00022E80">
        <w:t xml:space="preserve"> </w:t>
      </w:r>
      <w:r w:rsidR="00DC3096">
        <w:t>population who were</w:t>
      </w:r>
      <w:r w:rsidRPr="00022E80">
        <w:t xml:space="preserve"> suitable for docetaxel chemotherapy</w:t>
      </w:r>
      <w:r>
        <w:t xml:space="preserve"> which had not been adequately addressed by the submission.</w:t>
      </w:r>
      <w:r w:rsidR="00A60084">
        <w:t xml:space="preserve">  The PBAC considered the proposed </w:t>
      </w:r>
      <w:r w:rsidR="002037C2">
        <w:rPr>
          <w:noProof/>
          <w:color w:val="000000"/>
          <w:highlight w:val="black"/>
        </w:rPr>
        <w:t>'''''</w:t>
      </w:r>
      <w:r w:rsidR="00A60084">
        <w:t xml:space="preserve">% rebate above the </w:t>
      </w:r>
      <w:r w:rsidR="00DC3096">
        <w:t xml:space="preserve">proposed expenditure </w:t>
      </w:r>
      <w:r w:rsidR="00E83C63" w:rsidRPr="00A60084">
        <w:t>cap</w:t>
      </w:r>
      <w:r w:rsidR="00DC3096">
        <w:t>s</w:t>
      </w:r>
      <w:r w:rsidR="00E83C63" w:rsidRPr="00A60084">
        <w:t xml:space="preserve"> </w:t>
      </w:r>
      <w:r w:rsidR="00A60084">
        <w:t xml:space="preserve">did not </w:t>
      </w:r>
      <w:r w:rsidR="00DC3096">
        <w:t>mitigate this risk</w:t>
      </w:r>
      <w:r w:rsidR="00A60084">
        <w:t xml:space="preserve">.  </w:t>
      </w:r>
    </w:p>
    <w:p w14:paraId="4CF65D24" w14:textId="77777777" w:rsidR="006C27FE" w:rsidRPr="00720AA8" w:rsidRDefault="006C27FE" w:rsidP="006C27FE">
      <w:pPr>
        <w:pStyle w:val="3-BodyText"/>
        <w:widowControl w:val="0"/>
        <w:spacing w:after="240"/>
        <w:contextualSpacing/>
        <w:jc w:val="left"/>
        <w:rPr>
          <w:bCs/>
          <w:lang w:val="en-GB"/>
        </w:rPr>
      </w:pPr>
      <w:r>
        <w:t xml:space="preserve">The </w:t>
      </w:r>
      <w:r w:rsidRPr="00720AA8">
        <w:rPr>
          <w:bCs/>
          <w:lang w:val="en-GB"/>
        </w:rPr>
        <w:t xml:space="preserve">PBAC considered a resubmission for apalutamide in </w:t>
      </w:r>
      <w:proofErr w:type="spellStart"/>
      <w:r w:rsidRPr="00720AA8">
        <w:rPr>
          <w:bCs/>
          <w:lang w:val="en-GB"/>
        </w:rPr>
        <w:t>mHSPC</w:t>
      </w:r>
      <w:proofErr w:type="spellEnd"/>
      <w:r w:rsidRPr="00720AA8">
        <w:rPr>
          <w:bCs/>
          <w:lang w:val="en-GB"/>
        </w:rPr>
        <w:t xml:space="preserve"> should:</w:t>
      </w:r>
    </w:p>
    <w:p w14:paraId="22601E9F" w14:textId="77777777" w:rsidR="00A60084" w:rsidRPr="004E352E" w:rsidRDefault="00FC3E31" w:rsidP="00FC3E31">
      <w:pPr>
        <w:pStyle w:val="ListParagraph"/>
        <w:numPr>
          <w:ilvl w:val="0"/>
          <w:numId w:val="44"/>
        </w:numPr>
        <w:ind w:left="1077" w:hanging="357"/>
      </w:pPr>
      <w:r>
        <w:t>revise the r</w:t>
      </w:r>
      <w:r w:rsidR="00A60084" w:rsidRPr="004E352E">
        <w:t>estriction</w:t>
      </w:r>
      <w:r w:rsidR="006C27FE" w:rsidRPr="004E352E">
        <w:t xml:space="preserve"> to </w:t>
      </w:r>
      <w:r>
        <w:t xml:space="preserve">include all fit </w:t>
      </w:r>
      <w:proofErr w:type="spellStart"/>
      <w:r>
        <w:t>mHSPC</w:t>
      </w:r>
      <w:proofErr w:type="spellEnd"/>
      <w:r>
        <w:t xml:space="preserve"> patients (</w:t>
      </w:r>
      <w:r w:rsidR="00A60084" w:rsidRPr="004E352E">
        <w:t xml:space="preserve">see </w:t>
      </w:r>
      <w:r w:rsidR="006C27FE" w:rsidRPr="004E352E">
        <w:t>paragraph 7.</w:t>
      </w:r>
      <w:r w:rsidR="00C50FFD">
        <w:t>5</w:t>
      </w:r>
      <w:proofErr w:type="gramStart"/>
      <w:r>
        <w:t>);</w:t>
      </w:r>
      <w:proofErr w:type="gramEnd"/>
    </w:p>
    <w:p w14:paraId="5C838CDB" w14:textId="77777777" w:rsidR="006C27FE" w:rsidRPr="004E352E" w:rsidRDefault="00FC3E31" w:rsidP="00FC3E31">
      <w:pPr>
        <w:pStyle w:val="ListParagraph"/>
        <w:numPr>
          <w:ilvl w:val="0"/>
          <w:numId w:val="44"/>
        </w:numPr>
        <w:ind w:left="1077" w:hanging="357"/>
      </w:pPr>
      <w:r>
        <w:t>include d</w:t>
      </w:r>
      <w:r w:rsidR="006C27FE" w:rsidRPr="004E352E">
        <w:t xml:space="preserve">ocetaxel plus ADT </w:t>
      </w:r>
      <w:r>
        <w:t>as a</w:t>
      </w:r>
      <w:r w:rsidR="006C27FE" w:rsidRPr="004E352E">
        <w:t xml:space="preserve"> relevant comparator</w:t>
      </w:r>
      <w:r>
        <w:t xml:space="preserve"> for chemotherapy suitable HV patients</w:t>
      </w:r>
      <w:r w:rsidR="006C27FE" w:rsidRPr="004E352E">
        <w:t xml:space="preserve"> </w:t>
      </w:r>
      <w:r>
        <w:t>(</w:t>
      </w:r>
      <w:r w:rsidR="006C27FE" w:rsidRPr="004E352E">
        <w:t>see paragraph 7.</w:t>
      </w:r>
      <w:r w:rsidR="00C50FFD">
        <w:t>6</w:t>
      </w:r>
      <w:proofErr w:type="gramStart"/>
      <w:r>
        <w:t>);</w:t>
      </w:r>
      <w:proofErr w:type="gramEnd"/>
    </w:p>
    <w:p w14:paraId="3DBF9842" w14:textId="77777777" w:rsidR="00A92BAB" w:rsidRDefault="00FC3E31" w:rsidP="00A92BAB">
      <w:pPr>
        <w:pStyle w:val="ListParagraph"/>
        <w:numPr>
          <w:ilvl w:val="0"/>
          <w:numId w:val="44"/>
        </w:numPr>
        <w:ind w:left="1077" w:hanging="357"/>
      </w:pPr>
      <w:r>
        <w:t>revise the economic models as outlined in paragraphs 7.1</w:t>
      </w:r>
      <w:r w:rsidR="0016676A">
        <w:t>5</w:t>
      </w:r>
      <w:r>
        <w:t xml:space="preserve"> and 7.1</w:t>
      </w:r>
      <w:r w:rsidR="0016676A">
        <w:t>6</w:t>
      </w:r>
      <w:r>
        <w:t xml:space="preserve">; </w:t>
      </w:r>
      <w:r w:rsidR="00A92BAB">
        <w:t>and</w:t>
      </w:r>
    </w:p>
    <w:p w14:paraId="7A40E8A0" w14:textId="77777777" w:rsidR="002B1F26" w:rsidRPr="00A92BAB" w:rsidRDefault="00FC3E31" w:rsidP="00A92BAB">
      <w:pPr>
        <w:pStyle w:val="ListParagraph"/>
        <w:numPr>
          <w:ilvl w:val="0"/>
          <w:numId w:val="44"/>
        </w:numPr>
        <w:ind w:left="1077" w:hanging="357"/>
      </w:pPr>
      <w:r>
        <w:t>present revised f</w:t>
      </w:r>
      <w:r w:rsidR="00A60084" w:rsidRPr="004E352E">
        <w:t>inancial estimates</w:t>
      </w:r>
      <w:r w:rsidR="006C27FE" w:rsidRPr="004E352E">
        <w:t xml:space="preserve"> </w:t>
      </w:r>
      <w:r w:rsidR="00EC5B3E">
        <w:t>consistent with revised restriction.</w:t>
      </w:r>
      <w:r w:rsidR="004E352E" w:rsidRPr="004E352E">
        <w:t xml:space="preserve"> </w:t>
      </w:r>
    </w:p>
    <w:p w14:paraId="27293B5C" w14:textId="77777777" w:rsidR="00A83BF5" w:rsidRDefault="00A83BF5" w:rsidP="00D60C2D">
      <w:pPr>
        <w:keepNext/>
        <w:keepLines/>
        <w:widowControl w:val="0"/>
        <w:numPr>
          <w:ilvl w:val="1"/>
          <w:numId w:val="1"/>
        </w:numPr>
        <w:spacing w:after="120"/>
        <w:rPr>
          <w:rFonts w:asciiTheme="minorHAnsi" w:hAnsiTheme="minorHAnsi"/>
          <w:bCs/>
          <w:snapToGrid w:val="0"/>
          <w:lang w:val="en-GB"/>
        </w:rPr>
      </w:pPr>
      <w:r w:rsidRPr="00C6512B">
        <w:rPr>
          <w:rFonts w:asciiTheme="minorHAnsi" w:hAnsiTheme="minorHAnsi"/>
          <w:bCs/>
          <w:snapToGrid w:val="0"/>
          <w:lang w:val="en-GB"/>
        </w:rPr>
        <w:t>The resubmission may be lodged at any future standard due date for PBAC submissions using the standard re-entry pathway.</w:t>
      </w:r>
    </w:p>
    <w:p w14:paraId="73D70E5D" w14:textId="77777777" w:rsidR="002B1F26" w:rsidRPr="007D4707" w:rsidRDefault="002B1F26" w:rsidP="00A83BF5">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1C4EECBD" w14:textId="77777777" w:rsidR="002B1F26" w:rsidRPr="00525B39" w:rsidRDefault="002B1F26" w:rsidP="002B1F2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ADCD851" w14:textId="77777777" w:rsidR="002B1F26" w:rsidRPr="00525B39" w:rsidRDefault="002B1F26" w:rsidP="002B1F26">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bookmarkEnd w:id="52"/>
    <w:p w14:paraId="2563641C" w14:textId="77777777" w:rsidR="00C50FFD" w:rsidRDefault="00C50FFD" w:rsidP="002B1F26">
      <w:pPr>
        <w:rPr>
          <w:lang w:val="en-GB"/>
        </w:rPr>
      </w:pPr>
    </w:p>
    <w:bookmarkEnd w:id="53"/>
    <w:p w14:paraId="710440FD" w14:textId="77777777" w:rsidR="003C407B" w:rsidRPr="003C407B" w:rsidRDefault="003C407B" w:rsidP="003C407B">
      <w:pPr>
        <w:pStyle w:val="2-SectionHeading"/>
      </w:pPr>
      <w:r w:rsidRPr="00C07617">
        <w:t>Context for Decision</w:t>
      </w:r>
    </w:p>
    <w:p w14:paraId="4B3E1A4D" w14:textId="77777777" w:rsidR="003C407B" w:rsidRPr="007129F2" w:rsidRDefault="003C407B" w:rsidP="003C407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83E77F" w14:textId="77777777" w:rsidR="003C407B" w:rsidRPr="003C407B" w:rsidRDefault="003C407B" w:rsidP="003C407B">
      <w:pPr>
        <w:pStyle w:val="2-SectionHeading"/>
      </w:pPr>
      <w:r>
        <w:t>Sponsor’s Comment</w:t>
      </w:r>
    </w:p>
    <w:p w14:paraId="6754BFB6" w14:textId="77777777" w:rsidR="003C407B" w:rsidRPr="001179AC" w:rsidRDefault="003C407B" w:rsidP="003C407B">
      <w:pPr>
        <w:spacing w:after="120"/>
        <w:ind w:left="426" w:firstLine="294"/>
        <w:rPr>
          <w:rFonts w:asciiTheme="minorHAnsi" w:hAnsiTheme="minorHAnsi"/>
          <w:bCs/>
        </w:rPr>
      </w:pPr>
      <w:r w:rsidRPr="00C07617">
        <w:rPr>
          <w:rFonts w:asciiTheme="minorHAnsi" w:hAnsiTheme="minorHAnsi"/>
          <w:bCs/>
        </w:rPr>
        <w:t>The sponsor had no comment.</w:t>
      </w:r>
    </w:p>
    <w:p w14:paraId="394B9B62" w14:textId="77777777" w:rsidR="00EE37A5" w:rsidRPr="00BF06FC" w:rsidRDefault="00EE37A5" w:rsidP="00EE37A5"/>
    <w:sectPr w:rsidR="00EE37A5" w:rsidRPr="00BF06FC" w:rsidSect="005E3EAF">
      <w:headerReference w:type="default" r:id="rId22"/>
      <w:footerReference w:type="defaul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37C63" w14:textId="77777777" w:rsidR="00EC0358" w:rsidRDefault="00EC0358" w:rsidP="00124A51">
      <w:r>
        <w:separator/>
      </w:r>
    </w:p>
    <w:p w14:paraId="7A578FBE" w14:textId="77777777" w:rsidR="00EC0358" w:rsidRDefault="00EC0358"/>
  </w:endnote>
  <w:endnote w:type="continuationSeparator" w:id="0">
    <w:p w14:paraId="0554E00F" w14:textId="77777777" w:rsidR="00EC0358" w:rsidRDefault="00EC0358" w:rsidP="00124A51">
      <w:r>
        <w:continuationSeparator/>
      </w:r>
    </w:p>
    <w:p w14:paraId="24245F24" w14:textId="77777777" w:rsidR="00EC0358" w:rsidRDefault="00EC03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B6AA1" w14:textId="77777777" w:rsidR="00EC0358" w:rsidRDefault="00EC0358">
    <w:pPr>
      <w:pStyle w:val="Footer"/>
      <w:jc w:val="center"/>
    </w:pPr>
  </w:p>
  <w:sdt>
    <w:sdtPr>
      <w:id w:val="679322939"/>
      <w:docPartObj>
        <w:docPartGallery w:val="Page Numbers (Bottom of Page)"/>
        <w:docPartUnique/>
      </w:docPartObj>
    </w:sdtPr>
    <w:sdtEndPr>
      <w:rPr>
        <w:noProof/>
      </w:rPr>
    </w:sdtEndPr>
    <w:sdtContent>
      <w:p w14:paraId="587676DB" w14:textId="77777777" w:rsidR="00EC0358" w:rsidRDefault="00EC0358">
        <w:pPr>
          <w:pStyle w:val="Footer"/>
          <w:jc w:val="center"/>
        </w:pPr>
        <w:r w:rsidRPr="00FE58E8">
          <w:rPr>
            <w:b/>
            <w:bCs/>
          </w:rPr>
          <w:fldChar w:fldCharType="begin"/>
        </w:r>
        <w:r w:rsidRPr="00FE58E8">
          <w:rPr>
            <w:b/>
            <w:bCs/>
          </w:rPr>
          <w:instrText xml:space="preserve"> PAGE   \* MERGEFORMAT </w:instrText>
        </w:r>
        <w:r w:rsidRPr="00FE58E8">
          <w:rPr>
            <w:b/>
            <w:bCs/>
          </w:rPr>
          <w:fldChar w:fldCharType="separate"/>
        </w:r>
        <w:r w:rsidR="00DE2EEC">
          <w:rPr>
            <w:b/>
            <w:bCs/>
            <w:noProof/>
          </w:rPr>
          <w:t>33</w:t>
        </w:r>
        <w:r w:rsidRPr="00FE58E8">
          <w:rPr>
            <w:b/>
            <w:bCs/>
            <w:noProof/>
          </w:rPr>
          <w:fldChar w:fldCharType="end"/>
        </w:r>
      </w:p>
    </w:sdtContent>
  </w:sdt>
  <w:p w14:paraId="53BA9DA1" w14:textId="77777777" w:rsidR="00EC0358" w:rsidRDefault="00EC0358" w:rsidP="003F72E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3423C" w14:textId="77777777" w:rsidR="00EC0358" w:rsidRDefault="00EC0358" w:rsidP="00124A51">
      <w:r>
        <w:separator/>
      </w:r>
    </w:p>
    <w:p w14:paraId="5360E079" w14:textId="77777777" w:rsidR="00EC0358" w:rsidRDefault="00EC0358"/>
  </w:footnote>
  <w:footnote w:type="continuationSeparator" w:id="0">
    <w:p w14:paraId="29B16335" w14:textId="77777777" w:rsidR="00EC0358" w:rsidRDefault="00EC0358" w:rsidP="00124A51">
      <w:r>
        <w:continuationSeparator/>
      </w:r>
    </w:p>
    <w:p w14:paraId="1537B3EF" w14:textId="77777777" w:rsidR="00EC0358" w:rsidRDefault="00EC0358"/>
  </w:footnote>
  <w:footnote w:id="1">
    <w:p w14:paraId="7C2C4E03" w14:textId="77777777" w:rsidR="00EC0358" w:rsidRDefault="00EC0358" w:rsidP="00814F74">
      <w:pPr>
        <w:pStyle w:val="FootnoteText"/>
      </w:pPr>
      <w:r>
        <w:rPr>
          <w:rStyle w:val="FootnoteReference"/>
        </w:rPr>
        <w:footnoteRef/>
      </w:r>
      <w:r>
        <w:t xml:space="preserve"> Note metastatic </w:t>
      </w:r>
      <w:r w:rsidRPr="005E1CFE">
        <w:rPr>
          <w:u w:val="single"/>
        </w:rPr>
        <w:t xml:space="preserve">hormone </w:t>
      </w:r>
      <w:r>
        <w:t>sensitive prostate cancer (</w:t>
      </w:r>
      <w:proofErr w:type="spellStart"/>
      <w:r>
        <w:t>mHSPC</w:t>
      </w:r>
      <w:proofErr w:type="spellEnd"/>
      <w:r>
        <w:t xml:space="preserve">) is also referred to in the literature as metastatic </w:t>
      </w:r>
      <w:r w:rsidRPr="005E1CFE">
        <w:rPr>
          <w:u w:val="single"/>
        </w:rPr>
        <w:t xml:space="preserve">castration </w:t>
      </w:r>
      <w:r>
        <w:t>sensitive prostate cancer (</w:t>
      </w:r>
      <w:proofErr w:type="spellStart"/>
      <w:r>
        <w:t>mCSPC</w:t>
      </w:r>
      <w:proofErr w:type="spellEnd"/>
      <w:r>
        <w:t xml:space="preserve">). The terminology </w:t>
      </w:r>
      <w:proofErr w:type="spellStart"/>
      <w:r>
        <w:t>mHSPC</w:t>
      </w:r>
      <w:proofErr w:type="spellEnd"/>
      <w:r>
        <w:t xml:space="preserve"> is used in this document.</w:t>
      </w:r>
    </w:p>
  </w:footnote>
  <w:footnote w:id="2">
    <w:p w14:paraId="4AB9B1FD" w14:textId="77777777" w:rsidR="00EC0358" w:rsidRDefault="00EC0358" w:rsidP="008A42D8">
      <w:pPr>
        <w:pStyle w:val="FootnoteText"/>
      </w:pPr>
      <w:r>
        <w:rPr>
          <w:rStyle w:val="FootnoteReference"/>
        </w:rPr>
        <w:footnoteRef/>
      </w:r>
      <w:r>
        <w:t xml:space="preserve"> </w:t>
      </w:r>
      <w:r w:rsidRPr="00DA3B4A">
        <w:t>https://cadth.ca/apalutamide-erleada-metastatic-castration-sensitive-prostate-cancer-details</w:t>
      </w:r>
    </w:p>
  </w:footnote>
  <w:footnote w:id="3">
    <w:p w14:paraId="50EE1C23" w14:textId="77777777" w:rsidR="00EC0358" w:rsidRDefault="00EC0358" w:rsidP="00A6252B">
      <w:pPr>
        <w:pStyle w:val="FootnoteText"/>
      </w:pPr>
      <w:r>
        <w:rPr>
          <w:rStyle w:val="FootnoteReference"/>
        </w:rPr>
        <w:footnoteRef/>
      </w:r>
      <w:r>
        <w:t xml:space="preserve"> </w:t>
      </w:r>
      <w:proofErr w:type="spellStart"/>
      <w:r w:rsidRPr="00474BE0">
        <w:t>Sathianathen</w:t>
      </w:r>
      <w:proofErr w:type="spellEnd"/>
      <w:r w:rsidRPr="00474BE0">
        <w:t xml:space="preserve"> NJ, </w:t>
      </w:r>
      <w:proofErr w:type="spellStart"/>
      <w:r w:rsidRPr="00474BE0">
        <w:t>Koschel</w:t>
      </w:r>
      <w:proofErr w:type="spellEnd"/>
      <w:r w:rsidRPr="00474BE0">
        <w:t xml:space="preserve"> S, </w:t>
      </w:r>
      <w:proofErr w:type="spellStart"/>
      <w:r w:rsidRPr="00474BE0">
        <w:t>Thangasamy</w:t>
      </w:r>
      <w:proofErr w:type="spellEnd"/>
      <w:r w:rsidRPr="00474BE0">
        <w:t xml:space="preserve"> IA, </w:t>
      </w:r>
      <w:proofErr w:type="spellStart"/>
      <w:r w:rsidRPr="00474BE0">
        <w:t>Teh</w:t>
      </w:r>
      <w:proofErr w:type="spellEnd"/>
      <w:r w:rsidRPr="00474BE0">
        <w:t xml:space="preserve"> J, </w:t>
      </w:r>
      <w:proofErr w:type="spellStart"/>
      <w:r w:rsidRPr="00474BE0">
        <w:t>Alghazo</w:t>
      </w:r>
      <w:proofErr w:type="spellEnd"/>
      <w:r w:rsidRPr="00474BE0">
        <w:t xml:space="preserve"> O, Butcher G, Howard H, Kapoor J, </w:t>
      </w:r>
      <w:proofErr w:type="spellStart"/>
      <w:r w:rsidRPr="00474BE0">
        <w:t>Lawrentschuk</w:t>
      </w:r>
      <w:proofErr w:type="spellEnd"/>
      <w:r w:rsidRPr="00474BE0">
        <w:t xml:space="preserve"> N, Siva S, Azad A, Tran B, Bolton D, Murphy DG. Indirect Comparisons of Efficacy between Combination Approaches in Metastatic Hormone-sensitive Prostate Cancer: A Systematic Review and Network Meta-analysis. Eur Urol. 2020 Mar;77(3):365-372.</w:t>
      </w:r>
    </w:p>
  </w:footnote>
  <w:footnote w:id="4">
    <w:p w14:paraId="59BA53C3" w14:textId="77777777" w:rsidR="00EC0358" w:rsidRDefault="00EC0358" w:rsidP="00A6252B">
      <w:pPr>
        <w:pStyle w:val="FootnoteText"/>
      </w:pPr>
      <w:r>
        <w:rPr>
          <w:rStyle w:val="FootnoteReference"/>
        </w:rPr>
        <w:footnoteRef/>
      </w:r>
      <w:r>
        <w:t xml:space="preserve"> </w:t>
      </w:r>
      <w:proofErr w:type="spellStart"/>
      <w:r>
        <w:t>Marchioni</w:t>
      </w:r>
      <w:proofErr w:type="spellEnd"/>
      <w:r>
        <w:t xml:space="preserve"> M, Di Nicola M, </w:t>
      </w:r>
      <w:proofErr w:type="spellStart"/>
      <w:r>
        <w:t>Primiceri</w:t>
      </w:r>
      <w:proofErr w:type="spellEnd"/>
      <w:r>
        <w:t xml:space="preserve"> G, et al. New Antiandrogen Compounds Compared to Docetaxel for Metastatic Hormone Sensitive Prostate Cancer: Results from a Network Meta-Analysis. J Urol. 2020 Apr;203(4):751-759.</w:t>
      </w:r>
    </w:p>
  </w:footnote>
  <w:footnote w:id="5">
    <w:p w14:paraId="5C2C5301" w14:textId="77777777" w:rsidR="00EC0358" w:rsidRDefault="00EC0358" w:rsidP="00A6252B">
      <w:pPr>
        <w:pStyle w:val="FootnoteText"/>
      </w:pPr>
      <w:r>
        <w:rPr>
          <w:rStyle w:val="FootnoteReference"/>
        </w:rPr>
        <w:footnoteRef/>
      </w:r>
      <w:r>
        <w:t xml:space="preserve"> Chen J, Ni Y, Sun G et al (2020) Comparison of Current Systemic Combination Therapies for Metastatic Hormone-Sensitive Prostate Cancer and Selection of Candidates for Optimal Treatment: A Systematic Review and Bayesian Network Meta-Analysis. Front. Oncol. 10:519388.</w:t>
      </w:r>
    </w:p>
  </w:footnote>
  <w:footnote w:id="6">
    <w:p w14:paraId="2B792E2C" w14:textId="77777777" w:rsidR="00EC0358" w:rsidRDefault="00EC0358" w:rsidP="00A6252B">
      <w:pPr>
        <w:pStyle w:val="FootnoteText"/>
      </w:pPr>
      <w:r>
        <w:rPr>
          <w:rStyle w:val="FootnoteReference"/>
        </w:rPr>
        <w:footnoteRef/>
      </w:r>
      <w:r>
        <w:t xml:space="preserve"> </w:t>
      </w:r>
      <w:r w:rsidRPr="00424FE7">
        <w:t xml:space="preserve">Wang L, </w:t>
      </w:r>
      <w:proofErr w:type="spellStart"/>
      <w:r w:rsidRPr="00424FE7">
        <w:t>Paller</w:t>
      </w:r>
      <w:proofErr w:type="spellEnd"/>
      <w:r w:rsidRPr="00424FE7">
        <w:t xml:space="preserve"> CJ, Hong H</w:t>
      </w:r>
      <w:r>
        <w:t xml:space="preserve"> et al</w:t>
      </w:r>
      <w:r w:rsidRPr="00424FE7">
        <w:t>. Comparison of Systemic Treatments for Metastatic Castration-Sensitive Prostate Cancer: A Systematic Review and Network Meta-analysis. JAMA Oncol. 2021 Mar 1;7(3):412-420.</w:t>
      </w:r>
    </w:p>
  </w:footnote>
  <w:footnote w:id="7">
    <w:p w14:paraId="62ED1B89" w14:textId="77777777" w:rsidR="00EC0358" w:rsidRDefault="00EC0358" w:rsidP="00A6252B">
      <w:pPr>
        <w:pStyle w:val="FootnoteText"/>
      </w:pPr>
      <w:r>
        <w:rPr>
          <w:rStyle w:val="FootnoteReference"/>
        </w:rPr>
        <w:footnoteRef/>
      </w:r>
      <w:r>
        <w:t xml:space="preserve"> </w:t>
      </w:r>
      <w:r w:rsidRPr="0015646B">
        <w:t xml:space="preserve">Wenzel M, Nocera L, </w:t>
      </w:r>
      <w:proofErr w:type="spellStart"/>
      <w:r w:rsidRPr="0015646B">
        <w:t>Collà</w:t>
      </w:r>
      <w:proofErr w:type="spellEnd"/>
      <w:r w:rsidRPr="0015646B">
        <w:t xml:space="preserve"> Ruvolo C, </w:t>
      </w:r>
      <w:proofErr w:type="spellStart"/>
      <w:r w:rsidRPr="0015646B">
        <w:t>Würnschimmel</w:t>
      </w:r>
      <w:proofErr w:type="spellEnd"/>
      <w:r w:rsidRPr="0015646B">
        <w:t xml:space="preserve"> C, Tian Z, </w:t>
      </w:r>
      <w:proofErr w:type="spellStart"/>
      <w:r w:rsidRPr="0015646B">
        <w:t>Shariat</w:t>
      </w:r>
      <w:proofErr w:type="spellEnd"/>
      <w:r w:rsidRPr="0015646B">
        <w:t xml:space="preserve"> SF, Saad F, </w:t>
      </w:r>
      <w:proofErr w:type="spellStart"/>
      <w:r w:rsidRPr="0015646B">
        <w:t>Tilki</w:t>
      </w:r>
      <w:proofErr w:type="spellEnd"/>
      <w:r w:rsidRPr="0015646B">
        <w:t xml:space="preserve"> D, </w:t>
      </w:r>
      <w:proofErr w:type="spellStart"/>
      <w:r w:rsidRPr="0015646B">
        <w:t>Graefen</w:t>
      </w:r>
      <w:proofErr w:type="spellEnd"/>
      <w:r w:rsidRPr="0015646B">
        <w:t xml:space="preserve"> M, </w:t>
      </w:r>
      <w:proofErr w:type="spellStart"/>
      <w:r w:rsidRPr="0015646B">
        <w:t>Kluth</w:t>
      </w:r>
      <w:proofErr w:type="spellEnd"/>
      <w:r w:rsidRPr="0015646B">
        <w:t xml:space="preserve"> LA, Briganti A, Mandel P, </w:t>
      </w:r>
      <w:proofErr w:type="spellStart"/>
      <w:r w:rsidRPr="0015646B">
        <w:t>Montorsi</w:t>
      </w:r>
      <w:proofErr w:type="spellEnd"/>
      <w:r w:rsidRPr="0015646B">
        <w:t xml:space="preserve"> F, Chun FKH, </w:t>
      </w:r>
      <w:proofErr w:type="spellStart"/>
      <w:r w:rsidRPr="0015646B">
        <w:t>Karakiewicz</w:t>
      </w:r>
      <w:proofErr w:type="spellEnd"/>
      <w:r w:rsidRPr="0015646B">
        <w:t xml:space="preserve"> PI. Overall survival and adverse events after treatment with </w:t>
      </w:r>
      <w:proofErr w:type="spellStart"/>
      <w:r w:rsidRPr="0015646B">
        <w:t>darolutamide</w:t>
      </w:r>
      <w:proofErr w:type="spellEnd"/>
      <w:r w:rsidRPr="0015646B">
        <w:t xml:space="preserve"> vs. apalutamide vs. enzalutamide for high-risk non-metastatic castration-resistant prostate cancer: a systematic review and network meta-analysis. Prostate Cancer Prostatic Dis. 2021 May 30.</w:t>
      </w:r>
    </w:p>
  </w:footnote>
  <w:footnote w:id="8">
    <w:p w14:paraId="3D463089" w14:textId="77777777" w:rsidR="00EC0358" w:rsidRDefault="00EC0358" w:rsidP="00A6252B">
      <w:pPr>
        <w:pStyle w:val="FootnoteText"/>
      </w:pPr>
      <w:r>
        <w:rPr>
          <w:rStyle w:val="FootnoteReference"/>
        </w:rPr>
        <w:footnoteRef/>
      </w:r>
      <w:r>
        <w:t xml:space="preserve"> </w:t>
      </w:r>
      <w:r w:rsidRPr="00FC3BCA">
        <w:t xml:space="preserve">Keiichiro Mori, </w:t>
      </w:r>
      <w:proofErr w:type="spellStart"/>
      <w:r w:rsidRPr="00FC3BCA">
        <w:t>Hadi</w:t>
      </w:r>
      <w:proofErr w:type="spellEnd"/>
      <w:r w:rsidRPr="00FC3BCA">
        <w:t xml:space="preserve"> </w:t>
      </w:r>
      <w:proofErr w:type="spellStart"/>
      <w:r w:rsidRPr="00FC3BCA">
        <w:t>Mostafaei</w:t>
      </w:r>
      <w:proofErr w:type="spellEnd"/>
      <w:r w:rsidRPr="00FC3BCA">
        <w:t xml:space="preserve">, Reza Sari </w:t>
      </w:r>
      <w:proofErr w:type="spellStart"/>
      <w:r w:rsidRPr="00FC3BCA">
        <w:t>Motlagh</w:t>
      </w:r>
      <w:proofErr w:type="spellEnd"/>
      <w:r>
        <w:t xml:space="preserve"> et al, </w:t>
      </w:r>
      <w:r w:rsidRPr="00424FE7">
        <w:t>Systemic therapies for metastatic hormone-sensitive prostate cancer: network meta-analysis</w:t>
      </w:r>
      <w:r>
        <w:t xml:space="preserve">, BJUI international, 25 June 2021, DOI </w:t>
      </w:r>
      <w:r w:rsidRPr="00424FE7">
        <w:t>https://doi.org/10.1111/bju.15507</w:t>
      </w:r>
    </w:p>
  </w:footnote>
  <w:footnote w:id="9">
    <w:p w14:paraId="48C0C279" w14:textId="77777777" w:rsidR="00EC0358" w:rsidRDefault="00EC0358" w:rsidP="00A6252B">
      <w:pPr>
        <w:pStyle w:val="FootnoteText"/>
      </w:pPr>
      <w:r>
        <w:rPr>
          <w:rStyle w:val="FootnoteReference"/>
        </w:rPr>
        <w:footnoteRef/>
      </w:r>
      <w:r>
        <w:t xml:space="preserve"> </w:t>
      </w:r>
      <w:proofErr w:type="spellStart"/>
      <w:r w:rsidRPr="0076780D">
        <w:t>Mutlu</w:t>
      </w:r>
      <w:proofErr w:type="spellEnd"/>
      <w:r>
        <w:t xml:space="preserve"> H and</w:t>
      </w:r>
      <w:r w:rsidRPr="0076780D">
        <w:t xml:space="preserve"> </w:t>
      </w:r>
      <w:proofErr w:type="spellStart"/>
      <w:r w:rsidRPr="0076780D">
        <w:t>Bozcuk</w:t>
      </w:r>
      <w:proofErr w:type="spellEnd"/>
      <w:r>
        <w:t xml:space="preserve"> H, </w:t>
      </w:r>
      <w:r w:rsidRPr="0076780D">
        <w:t>The optimal upfront therapy in metastatic hormone-sensitive prostate cancer: A network meta-analysis</w:t>
      </w:r>
      <w:r>
        <w:t xml:space="preserve">. Journal of Cancer Research and Therapeutics (online ahead of print, accessed 5 August 2021). </w:t>
      </w:r>
      <w:r w:rsidRPr="00FC3BCA">
        <w:t>DOI: 10.4103/jcrt.JCRT_23_20</w:t>
      </w:r>
    </w:p>
  </w:footnote>
  <w:footnote w:id="10">
    <w:p w14:paraId="25F17978" w14:textId="77777777" w:rsidR="00EC0358" w:rsidRDefault="00EC0358" w:rsidP="00A6252B">
      <w:pPr>
        <w:pStyle w:val="FootnoteText"/>
      </w:pPr>
      <w:r>
        <w:rPr>
          <w:rStyle w:val="FootnoteReference"/>
        </w:rPr>
        <w:footnoteRef/>
      </w:r>
      <w:r>
        <w:t xml:space="preserve"> Katherine S. Virgo, R. Bryan Rumble, Ronald de Wit et al. Initial Management of </w:t>
      </w:r>
      <w:proofErr w:type="spellStart"/>
      <w:r>
        <w:t>Noncastrate</w:t>
      </w:r>
      <w:proofErr w:type="spellEnd"/>
      <w:r>
        <w:t xml:space="preserve"> Advanced, Recurrent, or Metastatic Prostate Cancer: ASCO Guideline Update, Journal of Clinical Oncology 2021 39:11, 1274-1305</w:t>
      </w:r>
    </w:p>
  </w:footnote>
  <w:footnote w:id="11">
    <w:p w14:paraId="3BCDBE72" w14:textId="77777777" w:rsidR="00EC0358" w:rsidRPr="001B688F" w:rsidRDefault="00EC0358" w:rsidP="00890D2D">
      <w:pPr>
        <w:pStyle w:val="FootnoteText"/>
      </w:pPr>
      <w:r w:rsidRPr="001B688F">
        <w:rPr>
          <w:rStyle w:val="FootnoteReference"/>
        </w:rPr>
        <w:footnoteRef/>
      </w:r>
      <w:r w:rsidRPr="001B688F">
        <w:t xml:space="preserve"> </w:t>
      </w:r>
      <w:proofErr w:type="spellStart"/>
      <w:r w:rsidRPr="001B688F">
        <w:rPr>
          <w:rFonts w:asciiTheme="minorHAnsi" w:hAnsiTheme="minorHAnsi"/>
          <w:bCs/>
        </w:rPr>
        <w:t>Cherny</w:t>
      </w:r>
      <w:proofErr w:type="spellEnd"/>
      <w:r w:rsidRPr="001B688F">
        <w:rPr>
          <w:rFonts w:asciiTheme="minorHAnsi" w:hAnsiTheme="minorHAnsi"/>
          <w:bCs/>
        </w:rPr>
        <w:t xml:space="preserve"> NI, Dafni U, Bogaerts J, et al: ESMO-Magnitude of Clinical Benefit Scale version 1.1. Annals of Oncology 28:2340-2366, 2017</w:t>
      </w:r>
    </w:p>
  </w:footnote>
  <w:footnote w:id="12">
    <w:p w14:paraId="5F0FEAB0" w14:textId="77777777" w:rsidR="00EC0358" w:rsidRDefault="00EC0358">
      <w:pPr>
        <w:pStyle w:val="FootnoteText"/>
      </w:pPr>
      <w:r>
        <w:rPr>
          <w:rStyle w:val="FootnoteReference"/>
        </w:rPr>
        <w:footnoteRef/>
      </w:r>
      <w:r>
        <w:t xml:space="preserve"> Data from the ENZAMET trial indicated that receiving docetaxel prior to enzalutamide in the </w:t>
      </w:r>
      <w:proofErr w:type="spellStart"/>
      <w:r>
        <w:t>mHSPC</w:t>
      </w:r>
      <w:proofErr w:type="spellEnd"/>
      <w:r>
        <w:t xml:space="preserve"> setting resulted in a shorter overall survival compared to patients who did not receive prior docetaxel. Available from: </w:t>
      </w:r>
      <w:r w:rsidRPr="005C25B2">
        <w:t>https://www.nejm.org/doi/pdf/10.1056/NEJMoa1903835?articleTools=true</w:t>
      </w:r>
    </w:p>
  </w:footnote>
  <w:footnote w:id="13">
    <w:p w14:paraId="00AB4286" w14:textId="77777777" w:rsidR="00EC0358" w:rsidRDefault="00EC0358">
      <w:pPr>
        <w:pStyle w:val="FootnoteText"/>
      </w:pPr>
      <w:r>
        <w:rPr>
          <w:rStyle w:val="FootnoteReference"/>
        </w:rPr>
        <w:footnoteRef/>
      </w:r>
      <w:r>
        <w:t xml:space="preserve"> </w:t>
      </w:r>
      <w:r w:rsidRPr="00A4453D">
        <w:t xml:space="preserve">Chi KN, Agarwal N, </w:t>
      </w:r>
      <w:proofErr w:type="spellStart"/>
      <w:r w:rsidRPr="00A4453D">
        <w:t>Bjartell</w:t>
      </w:r>
      <w:proofErr w:type="spellEnd"/>
      <w:r w:rsidRPr="00A4453D">
        <w:t xml:space="preserve"> A, Chung BH, </w:t>
      </w:r>
      <w:r>
        <w:t xml:space="preserve">et al. </w:t>
      </w:r>
      <w:r w:rsidRPr="00A4453D">
        <w:t xml:space="preserve">TITAN Investigators. Apalutamide for Metastatic, Castration-Sensitive Prostate Cancer. N </w:t>
      </w:r>
      <w:proofErr w:type="spellStart"/>
      <w:r w:rsidRPr="00A4453D">
        <w:t>Engl</w:t>
      </w:r>
      <w:proofErr w:type="spellEnd"/>
      <w:r w:rsidRPr="00A4453D">
        <w:t xml:space="preserve"> J Med. 20</w:t>
      </w:r>
      <w:r>
        <w:t>19 Jul 4;381(1):13-24.</w:t>
      </w:r>
    </w:p>
  </w:footnote>
  <w:footnote w:id="14">
    <w:p w14:paraId="4523C753" w14:textId="77777777" w:rsidR="00EC0358" w:rsidRDefault="00EC0358">
      <w:pPr>
        <w:pStyle w:val="FootnoteText"/>
      </w:pPr>
      <w:r>
        <w:rPr>
          <w:rStyle w:val="FootnoteReference"/>
        </w:rPr>
        <w:footnoteRef/>
      </w:r>
      <w:r>
        <w:t xml:space="preserve"> </w:t>
      </w:r>
      <w:proofErr w:type="spellStart"/>
      <w:r>
        <w:t>Marchioni</w:t>
      </w:r>
      <w:proofErr w:type="spellEnd"/>
      <w:r>
        <w:t xml:space="preserve"> M, Di Nicola M, </w:t>
      </w:r>
      <w:proofErr w:type="spellStart"/>
      <w:r>
        <w:t>Primiceri</w:t>
      </w:r>
      <w:proofErr w:type="spellEnd"/>
      <w:r>
        <w:t xml:space="preserve"> G, et al. New Antiandrogen Compounds Compared to Docetaxel for Metastatic Hormone Sensitive Prostate Cancer: Results from a Network Meta-Analysis. J Urol. 2020 Apr;203(4):751-759.</w:t>
      </w:r>
    </w:p>
  </w:footnote>
  <w:footnote w:id="15">
    <w:p w14:paraId="08A2A149" w14:textId="77777777" w:rsidR="00EC0358" w:rsidRPr="003F72E0" w:rsidRDefault="00EC0358" w:rsidP="00814F74">
      <w:pPr>
        <w:pStyle w:val="FootnoteText"/>
      </w:pPr>
      <w:r>
        <w:rPr>
          <w:rStyle w:val="FootnoteReference"/>
        </w:rPr>
        <w:footnoteRef/>
      </w:r>
      <w:r>
        <w:t xml:space="preserve"> </w:t>
      </w:r>
      <w:r w:rsidRPr="003F72E0">
        <w:t>Median progression free survival on apalutamide of 38 months in the ITT population.</w:t>
      </w:r>
    </w:p>
  </w:footnote>
  <w:footnote w:id="16">
    <w:p w14:paraId="62121C33" w14:textId="77777777" w:rsidR="00EC0358" w:rsidRPr="003F72E0" w:rsidRDefault="00EC0358" w:rsidP="00814F74">
      <w:pPr>
        <w:pStyle w:val="FootnoteText"/>
      </w:pPr>
      <w:r w:rsidRPr="003F72E0">
        <w:rPr>
          <w:rStyle w:val="FootnoteReference"/>
        </w:rPr>
        <w:footnoteRef/>
      </w:r>
      <w:r w:rsidRPr="003F72E0">
        <w:t xml:space="preserve"> Median meta-static free survival on apalutamide of 40.5 months in the ITT population (Table 11, apalutamide PSD, November 2020 PBAC meeting). Same median time reported for </w:t>
      </w:r>
      <w:proofErr w:type="spellStart"/>
      <w:r w:rsidRPr="003F72E0">
        <w:t>darolutamide</w:t>
      </w:r>
      <w:proofErr w:type="spellEnd"/>
      <w:r w:rsidRPr="003F72E0">
        <w:t xml:space="preserve"> (Table 6, </w:t>
      </w:r>
      <w:proofErr w:type="spellStart"/>
      <w:r w:rsidRPr="003F72E0">
        <w:t>darolutamide</w:t>
      </w:r>
      <w:proofErr w:type="spellEnd"/>
      <w:r w:rsidRPr="003F72E0">
        <w:t xml:space="preserve"> PSD, November 2020 PBAC meeting).</w:t>
      </w:r>
    </w:p>
  </w:footnote>
  <w:footnote w:id="17">
    <w:p w14:paraId="6BD0B095" w14:textId="77777777" w:rsidR="00EC0358" w:rsidRDefault="00EC0358" w:rsidP="00814F74">
      <w:pPr>
        <w:pStyle w:val="FootnoteText"/>
      </w:pPr>
      <w:r w:rsidRPr="00846C92">
        <w:rPr>
          <w:rStyle w:val="FootnoteReference"/>
        </w:rPr>
        <w:footnoteRef/>
      </w:r>
      <w:r w:rsidRPr="00846C92">
        <w:t xml:space="preserve"> </w:t>
      </w:r>
      <w:r w:rsidRPr="00846C92">
        <w:rPr>
          <w:color w:val="222222"/>
          <w:shd w:val="clear" w:color="auto" w:fill="FFFFFF"/>
        </w:rPr>
        <w:t>Metastatic prostate cancer: pr</w:t>
      </w:r>
      <w:r>
        <w:rPr>
          <w:color w:val="222222"/>
          <w:shd w:val="clear" w:color="auto" w:fill="FFFFFF"/>
        </w:rPr>
        <w:t xml:space="preserve">edicted versus actual analysis, </w:t>
      </w:r>
      <w:r w:rsidRPr="00846C92">
        <w:rPr>
          <w:color w:val="222222"/>
          <w:shd w:val="clear" w:color="auto" w:fill="FFFFFF"/>
        </w:rPr>
        <w:t xml:space="preserve">DUSC June 2016; </w:t>
      </w:r>
      <w:r>
        <w:t>Table 19.</w:t>
      </w:r>
    </w:p>
  </w:footnote>
  <w:footnote w:id="18">
    <w:p w14:paraId="40133F16" w14:textId="77777777" w:rsidR="00EC0358" w:rsidRDefault="00EC0358" w:rsidP="00814F74">
      <w:pPr>
        <w:pStyle w:val="FootnoteText"/>
      </w:pPr>
      <w:r>
        <w:rPr>
          <w:rStyle w:val="FootnoteReference"/>
        </w:rPr>
        <w:footnoteRef/>
      </w:r>
      <w:r>
        <w:t xml:space="preserve"> </w:t>
      </w:r>
      <w:proofErr w:type="spellStart"/>
      <w:r>
        <w:t>Ghijben</w:t>
      </w:r>
      <w:proofErr w:type="spellEnd"/>
      <w:r>
        <w:t xml:space="preserve"> et al. 2021. Healthcare funding decisions and real-world benefits: reducing bias by matching untreated patients. </w:t>
      </w:r>
      <w:proofErr w:type="spellStart"/>
      <w:r w:rsidRPr="0037350C">
        <w:rPr>
          <w:i/>
          <w:iCs/>
        </w:rPr>
        <w:t>PharmacoEconomics</w:t>
      </w:r>
      <w:proofErr w:type="spellEnd"/>
      <w:r>
        <w:t xml:space="preserve"> 39, 741-756. Electronic Supplementary Material, Table A.10.</w:t>
      </w:r>
    </w:p>
  </w:footnote>
  <w:footnote w:id="19">
    <w:p w14:paraId="3D680BAE" w14:textId="77777777" w:rsidR="00EC0358" w:rsidRPr="00D00D2D" w:rsidRDefault="00EC0358" w:rsidP="00814F74">
      <w:pPr>
        <w:pStyle w:val="gmail-msofootnotetext"/>
        <w:spacing w:before="0" w:beforeAutospacing="0" w:after="0" w:afterAutospacing="0"/>
        <w:jc w:val="both"/>
        <w:rPr>
          <w:rFonts w:ascii="Calibri" w:hAnsi="Calibri" w:cs="Calibri"/>
          <w:sz w:val="20"/>
          <w:szCs w:val="20"/>
        </w:rPr>
      </w:pPr>
      <w:r>
        <w:rPr>
          <w:rStyle w:val="FootnoteReference"/>
        </w:rPr>
        <w:footnoteRef/>
      </w:r>
      <w:r>
        <w:t xml:space="preserve"> </w:t>
      </w:r>
      <w:r>
        <w:rPr>
          <w:rFonts w:ascii="Calibri" w:hAnsi="Calibri" w:cs="Calibri"/>
          <w:sz w:val="20"/>
          <w:szCs w:val="20"/>
        </w:rPr>
        <w:t xml:space="preserve">Wenzel M, Nocera L, </w:t>
      </w:r>
      <w:proofErr w:type="spellStart"/>
      <w:r>
        <w:rPr>
          <w:rFonts w:ascii="Calibri" w:hAnsi="Calibri" w:cs="Calibri"/>
          <w:sz w:val="20"/>
          <w:szCs w:val="20"/>
        </w:rPr>
        <w:t>Collà</w:t>
      </w:r>
      <w:proofErr w:type="spellEnd"/>
      <w:r>
        <w:rPr>
          <w:rFonts w:ascii="Calibri" w:hAnsi="Calibri" w:cs="Calibri"/>
          <w:sz w:val="20"/>
          <w:szCs w:val="20"/>
        </w:rPr>
        <w:t xml:space="preserve"> Ruvolo C, </w:t>
      </w:r>
      <w:proofErr w:type="spellStart"/>
      <w:r>
        <w:rPr>
          <w:rFonts w:ascii="Calibri" w:hAnsi="Calibri" w:cs="Calibri"/>
          <w:sz w:val="20"/>
          <w:szCs w:val="20"/>
        </w:rPr>
        <w:t>Würnschimmel</w:t>
      </w:r>
      <w:proofErr w:type="spellEnd"/>
      <w:r>
        <w:rPr>
          <w:rFonts w:ascii="Calibri" w:hAnsi="Calibri" w:cs="Calibri"/>
          <w:sz w:val="20"/>
          <w:szCs w:val="20"/>
        </w:rPr>
        <w:t xml:space="preserve"> C, Tian Z, </w:t>
      </w:r>
      <w:proofErr w:type="spellStart"/>
      <w:r>
        <w:rPr>
          <w:rFonts w:ascii="Calibri" w:hAnsi="Calibri" w:cs="Calibri"/>
          <w:sz w:val="20"/>
          <w:szCs w:val="20"/>
        </w:rPr>
        <w:t>Shariat</w:t>
      </w:r>
      <w:proofErr w:type="spellEnd"/>
      <w:r>
        <w:rPr>
          <w:rFonts w:ascii="Calibri" w:hAnsi="Calibri" w:cs="Calibri"/>
          <w:sz w:val="20"/>
          <w:szCs w:val="20"/>
        </w:rPr>
        <w:t xml:space="preserve"> SF, Saad F, </w:t>
      </w:r>
      <w:proofErr w:type="spellStart"/>
      <w:r>
        <w:rPr>
          <w:rFonts w:ascii="Calibri" w:hAnsi="Calibri" w:cs="Calibri"/>
          <w:sz w:val="20"/>
          <w:szCs w:val="20"/>
        </w:rPr>
        <w:t>Tilki</w:t>
      </w:r>
      <w:proofErr w:type="spellEnd"/>
      <w:r>
        <w:rPr>
          <w:rFonts w:ascii="Calibri" w:hAnsi="Calibri" w:cs="Calibri"/>
          <w:sz w:val="20"/>
          <w:szCs w:val="20"/>
        </w:rPr>
        <w:t xml:space="preserve"> D, </w:t>
      </w:r>
      <w:proofErr w:type="spellStart"/>
      <w:r>
        <w:rPr>
          <w:rFonts w:ascii="Calibri" w:hAnsi="Calibri" w:cs="Calibri"/>
          <w:sz w:val="20"/>
          <w:szCs w:val="20"/>
        </w:rPr>
        <w:t>Graefen</w:t>
      </w:r>
      <w:proofErr w:type="spellEnd"/>
      <w:r>
        <w:rPr>
          <w:rFonts w:ascii="Calibri" w:hAnsi="Calibri" w:cs="Calibri"/>
          <w:sz w:val="20"/>
          <w:szCs w:val="20"/>
        </w:rPr>
        <w:t xml:space="preserve"> M, </w:t>
      </w:r>
      <w:proofErr w:type="spellStart"/>
      <w:r>
        <w:rPr>
          <w:rFonts w:ascii="Calibri" w:hAnsi="Calibri" w:cs="Calibri"/>
          <w:sz w:val="20"/>
          <w:szCs w:val="20"/>
        </w:rPr>
        <w:t>Kluth</w:t>
      </w:r>
      <w:proofErr w:type="spellEnd"/>
      <w:r>
        <w:rPr>
          <w:rFonts w:ascii="Calibri" w:hAnsi="Calibri" w:cs="Calibri"/>
          <w:sz w:val="20"/>
          <w:szCs w:val="20"/>
        </w:rPr>
        <w:t xml:space="preserve"> LA, Briganti A, Mandel P, </w:t>
      </w:r>
      <w:proofErr w:type="spellStart"/>
      <w:r>
        <w:rPr>
          <w:rFonts w:ascii="Calibri" w:hAnsi="Calibri" w:cs="Calibri"/>
          <w:sz w:val="20"/>
          <w:szCs w:val="20"/>
        </w:rPr>
        <w:t>Montorsi</w:t>
      </w:r>
      <w:proofErr w:type="spellEnd"/>
      <w:r>
        <w:rPr>
          <w:rFonts w:ascii="Calibri" w:hAnsi="Calibri" w:cs="Calibri"/>
          <w:sz w:val="20"/>
          <w:szCs w:val="20"/>
        </w:rPr>
        <w:t xml:space="preserve"> F, Chun FKH, </w:t>
      </w:r>
      <w:proofErr w:type="spellStart"/>
      <w:r>
        <w:rPr>
          <w:rFonts w:ascii="Calibri" w:hAnsi="Calibri" w:cs="Calibri"/>
          <w:sz w:val="20"/>
          <w:szCs w:val="20"/>
        </w:rPr>
        <w:t>Karakiewicz</w:t>
      </w:r>
      <w:proofErr w:type="spellEnd"/>
      <w:r>
        <w:rPr>
          <w:rFonts w:ascii="Calibri" w:hAnsi="Calibri" w:cs="Calibri"/>
          <w:sz w:val="20"/>
          <w:szCs w:val="20"/>
        </w:rPr>
        <w:t xml:space="preserve"> PI. Overall survival and adverse events after treatment with </w:t>
      </w:r>
      <w:proofErr w:type="spellStart"/>
      <w:r>
        <w:rPr>
          <w:rFonts w:ascii="Calibri" w:hAnsi="Calibri" w:cs="Calibri"/>
          <w:sz w:val="20"/>
          <w:szCs w:val="20"/>
        </w:rPr>
        <w:t>darolutamide</w:t>
      </w:r>
      <w:proofErr w:type="spellEnd"/>
      <w:r>
        <w:rPr>
          <w:rFonts w:ascii="Calibri" w:hAnsi="Calibri" w:cs="Calibri"/>
          <w:sz w:val="20"/>
          <w:szCs w:val="20"/>
        </w:rPr>
        <w:t xml:space="preserve"> vs. apalutamide vs. enzalutamide for high-risk non-metastatic castration-resistant prostate cancer: a systematic review and network meta-analysis. Prostate Cancer Prostatic Dis. 2021 May 30.</w:t>
      </w:r>
    </w:p>
  </w:footnote>
  <w:footnote w:id="20">
    <w:p w14:paraId="5B94E023" w14:textId="77777777" w:rsidR="00EC0358" w:rsidRDefault="00EC0358" w:rsidP="00814F74">
      <w:r w:rsidRPr="00786481">
        <w:rPr>
          <w:rStyle w:val="FootnoteReference"/>
          <w:sz w:val="20"/>
          <w:szCs w:val="20"/>
        </w:rPr>
        <w:footnoteRef/>
      </w:r>
      <w:r w:rsidRPr="00786481">
        <w:rPr>
          <w:sz w:val="20"/>
          <w:szCs w:val="20"/>
        </w:rPr>
        <w:t xml:space="preserve"> AIHW, Cancer in Australia 2019, Table 3.1. </w:t>
      </w:r>
      <w:hyperlink r:id="rId1" w:history="1">
        <w:r w:rsidRPr="00786481">
          <w:rPr>
            <w:rStyle w:val="Hyperlink"/>
            <w:i/>
            <w:sz w:val="20"/>
            <w:szCs w:val="20"/>
          </w:rPr>
          <w:t>https://www.aihw.gov.au/getmedia/8c9fcf52-0055-41a0-96d9-f81b0feb98cf/aihw-can-123.pdf.aspx?inline=true</w:t>
        </w:r>
      </w:hyperlink>
    </w:p>
  </w:footnote>
  <w:footnote w:id="21">
    <w:p w14:paraId="796774F4" w14:textId="77777777" w:rsidR="00EC0358" w:rsidRPr="00EC5E8E" w:rsidRDefault="00EC0358" w:rsidP="00814F74">
      <w:pPr>
        <w:pStyle w:val="FootnoteText"/>
      </w:pPr>
      <w:r>
        <w:rPr>
          <w:rStyle w:val="FootnoteReference"/>
        </w:rPr>
        <w:footnoteRef/>
      </w:r>
      <w:r>
        <w:t xml:space="preserve"> </w:t>
      </w:r>
      <w:proofErr w:type="spellStart"/>
      <w:r w:rsidRPr="00EC5E8E">
        <w:t>Finianos</w:t>
      </w:r>
      <w:proofErr w:type="spellEnd"/>
      <w:r w:rsidRPr="00EC5E8E">
        <w:t xml:space="preserve"> et al 2018. Characterization of Differences Between Prostate Cancer Patients Presenting With De Novo Versus Primary Progressive Metastatic Disease</w:t>
      </w:r>
      <w:r>
        <w:t xml:space="preserve">. </w:t>
      </w:r>
      <w:r>
        <w:rPr>
          <w:i/>
          <w:iCs/>
        </w:rPr>
        <w:t xml:space="preserve">Clinical genitourinary cancer. </w:t>
      </w:r>
      <w:r>
        <w:t>16(1):85-89.</w:t>
      </w:r>
    </w:p>
  </w:footnote>
  <w:footnote w:id="22">
    <w:p w14:paraId="10FEB778" w14:textId="77777777" w:rsidR="00EC0358" w:rsidRPr="00EC5E8E" w:rsidRDefault="00EC0358" w:rsidP="00814F74">
      <w:pPr>
        <w:pStyle w:val="FootnoteText"/>
      </w:pPr>
      <w:r>
        <w:rPr>
          <w:rStyle w:val="FootnoteReference"/>
        </w:rPr>
        <w:footnoteRef/>
      </w:r>
      <w:r>
        <w:t xml:space="preserve"> Bernard et al 2020. </w:t>
      </w:r>
      <w:r>
        <w:rPr>
          <w:color w:val="222222"/>
        </w:rPr>
        <w:t xml:space="preserve">Impact of age at diagnosis of de novo metastatic prostate cancer on survival. </w:t>
      </w:r>
      <w:r w:rsidRPr="00EC5E8E">
        <w:rPr>
          <w:i/>
          <w:iCs/>
          <w:color w:val="222222"/>
        </w:rPr>
        <w:t>Cancer</w:t>
      </w:r>
      <w:r>
        <w:rPr>
          <w:i/>
          <w:iCs/>
          <w:color w:val="222222"/>
        </w:rPr>
        <w:t xml:space="preserve"> </w:t>
      </w:r>
      <w:r>
        <w:rPr>
          <w:color w:val="222222"/>
        </w:rPr>
        <w:t>126(5):986-993.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27E56" w14:textId="77777777" w:rsidR="00EC0358" w:rsidRPr="00FE58E8" w:rsidRDefault="00EC0358">
    <w:pPr>
      <w:pStyle w:val="Header"/>
      <w:rPr>
        <w:i/>
        <w:iCs/>
      </w:rPr>
    </w:pPr>
    <w:r>
      <w:rPr>
        <w:i/>
        <w:iCs/>
      </w:rPr>
      <w:t>Public Summary Document</w:t>
    </w:r>
    <w:r w:rsidRPr="00FE58E8">
      <w:rPr>
        <w:i/>
        <w:iCs/>
      </w:rPr>
      <w:t xml:space="preserve"> – November 2021 PBAC Meeting</w:t>
    </w:r>
  </w:p>
  <w:p w14:paraId="23156051" w14:textId="77777777" w:rsidR="00EC0358" w:rsidRDefault="00EC03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F52C7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206170"/>
    <w:multiLevelType w:val="hybridMultilevel"/>
    <w:tmpl w:val="929298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B4B7F"/>
    <w:multiLevelType w:val="hybridMultilevel"/>
    <w:tmpl w:val="F4E0EC5C"/>
    <w:lvl w:ilvl="0" w:tplc="409863B0">
      <w:start w:val="1"/>
      <w:numFmt w:val="bullet"/>
      <w:lvlText w:val="–"/>
      <w:lvlJc w:val="left"/>
      <w:pPr>
        <w:tabs>
          <w:tab w:val="num" w:pos="720"/>
        </w:tabs>
        <w:ind w:left="720" w:hanging="360"/>
      </w:pPr>
      <w:rPr>
        <w:rFonts w:ascii="Arial" w:hAnsi="Arial" w:hint="default"/>
      </w:rPr>
    </w:lvl>
    <w:lvl w:ilvl="1" w:tplc="F644553C">
      <w:start w:val="1"/>
      <w:numFmt w:val="bullet"/>
      <w:lvlText w:val="–"/>
      <w:lvlJc w:val="left"/>
      <w:pPr>
        <w:tabs>
          <w:tab w:val="num" w:pos="1440"/>
        </w:tabs>
        <w:ind w:left="1440" w:hanging="360"/>
      </w:pPr>
      <w:rPr>
        <w:rFonts w:ascii="Arial" w:hAnsi="Arial" w:hint="default"/>
      </w:rPr>
    </w:lvl>
    <w:lvl w:ilvl="2" w:tplc="3FB20CBA" w:tentative="1">
      <w:start w:val="1"/>
      <w:numFmt w:val="bullet"/>
      <w:lvlText w:val="–"/>
      <w:lvlJc w:val="left"/>
      <w:pPr>
        <w:tabs>
          <w:tab w:val="num" w:pos="2160"/>
        </w:tabs>
        <w:ind w:left="2160" w:hanging="360"/>
      </w:pPr>
      <w:rPr>
        <w:rFonts w:ascii="Arial" w:hAnsi="Arial" w:hint="default"/>
      </w:rPr>
    </w:lvl>
    <w:lvl w:ilvl="3" w:tplc="85F0BCEC" w:tentative="1">
      <w:start w:val="1"/>
      <w:numFmt w:val="bullet"/>
      <w:lvlText w:val="–"/>
      <w:lvlJc w:val="left"/>
      <w:pPr>
        <w:tabs>
          <w:tab w:val="num" w:pos="2880"/>
        </w:tabs>
        <w:ind w:left="2880" w:hanging="360"/>
      </w:pPr>
      <w:rPr>
        <w:rFonts w:ascii="Arial" w:hAnsi="Arial" w:hint="default"/>
      </w:rPr>
    </w:lvl>
    <w:lvl w:ilvl="4" w:tplc="2A682184" w:tentative="1">
      <w:start w:val="1"/>
      <w:numFmt w:val="bullet"/>
      <w:lvlText w:val="–"/>
      <w:lvlJc w:val="left"/>
      <w:pPr>
        <w:tabs>
          <w:tab w:val="num" w:pos="3600"/>
        </w:tabs>
        <w:ind w:left="3600" w:hanging="360"/>
      </w:pPr>
      <w:rPr>
        <w:rFonts w:ascii="Arial" w:hAnsi="Arial" w:hint="default"/>
      </w:rPr>
    </w:lvl>
    <w:lvl w:ilvl="5" w:tplc="11C0797A" w:tentative="1">
      <w:start w:val="1"/>
      <w:numFmt w:val="bullet"/>
      <w:lvlText w:val="–"/>
      <w:lvlJc w:val="left"/>
      <w:pPr>
        <w:tabs>
          <w:tab w:val="num" w:pos="4320"/>
        </w:tabs>
        <w:ind w:left="4320" w:hanging="360"/>
      </w:pPr>
      <w:rPr>
        <w:rFonts w:ascii="Arial" w:hAnsi="Arial" w:hint="default"/>
      </w:rPr>
    </w:lvl>
    <w:lvl w:ilvl="6" w:tplc="D5D26F7C" w:tentative="1">
      <w:start w:val="1"/>
      <w:numFmt w:val="bullet"/>
      <w:lvlText w:val="–"/>
      <w:lvlJc w:val="left"/>
      <w:pPr>
        <w:tabs>
          <w:tab w:val="num" w:pos="5040"/>
        </w:tabs>
        <w:ind w:left="5040" w:hanging="360"/>
      </w:pPr>
      <w:rPr>
        <w:rFonts w:ascii="Arial" w:hAnsi="Arial" w:hint="default"/>
      </w:rPr>
    </w:lvl>
    <w:lvl w:ilvl="7" w:tplc="5AC46498" w:tentative="1">
      <w:start w:val="1"/>
      <w:numFmt w:val="bullet"/>
      <w:lvlText w:val="–"/>
      <w:lvlJc w:val="left"/>
      <w:pPr>
        <w:tabs>
          <w:tab w:val="num" w:pos="5760"/>
        </w:tabs>
        <w:ind w:left="5760" w:hanging="360"/>
      </w:pPr>
      <w:rPr>
        <w:rFonts w:ascii="Arial" w:hAnsi="Arial" w:hint="default"/>
      </w:rPr>
    </w:lvl>
    <w:lvl w:ilvl="8" w:tplc="9AAE7B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B21C2A"/>
    <w:multiLevelType w:val="hybridMultilevel"/>
    <w:tmpl w:val="40AEA85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F37CB8"/>
    <w:multiLevelType w:val="hybridMultilevel"/>
    <w:tmpl w:val="D5F6E6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94033E"/>
    <w:multiLevelType w:val="multilevel"/>
    <w:tmpl w:val="05CA6FF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1312BE"/>
    <w:multiLevelType w:val="hybridMultilevel"/>
    <w:tmpl w:val="6CA8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EA0515"/>
    <w:multiLevelType w:val="hybridMultilevel"/>
    <w:tmpl w:val="2DFCA926"/>
    <w:lvl w:ilvl="0" w:tplc="9E7A2BFA">
      <w:start w:val="1"/>
      <w:numFmt w:val="bullet"/>
      <w:lvlText w:val="–"/>
      <w:lvlJc w:val="left"/>
      <w:pPr>
        <w:tabs>
          <w:tab w:val="num" w:pos="720"/>
        </w:tabs>
        <w:ind w:left="720" w:hanging="360"/>
      </w:pPr>
      <w:rPr>
        <w:rFonts w:ascii="Arial" w:hAnsi="Arial" w:hint="default"/>
      </w:rPr>
    </w:lvl>
    <w:lvl w:ilvl="1" w:tplc="698A3D70">
      <w:start w:val="1"/>
      <w:numFmt w:val="bullet"/>
      <w:lvlText w:val="–"/>
      <w:lvlJc w:val="left"/>
      <w:pPr>
        <w:tabs>
          <w:tab w:val="num" w:pos="1440"/>
        </w:tabs>
        <w:ind w:left="1440" w:hanging="360"/>
      </w:pPr>
      <w:rPr>
        <w:rFonts w:ascii="Arial" w:hAnsi="Arial" w:hint="default"/>
      </w:rPr>
    </w:lvl>
    <w:lvl w:ilvl="2" w:tplc="49907F8A" w:tentative="1">
      <w:start w:val="1"/>
      <w:numFmt w:val="bullet"/>
      <w:lvlText w:val="–"/>
      <w:lvlJc w:val="left"/>
      <w:pPr>
        <w:tabs>
          <w:tab w:val="num" w:pos="2160"/>
        </w:tabs>
        <w:ind w:left="2160" w:hanging="360"/>
      </w:pPr>
      <w:rPr>
        <w:rFonts w:ascii="Arial" w:hAnsi="Arial" w:hint="default"/>
      </w:rPr>
    </w:lvl>
    <w:lvl w:ilvl="3" w:tplc="57F85E32" w:tentative="1">
      <w:start w:val="1"/>
      <w:numFmt w:val="bullet"/>
      <w:lvlText w:val="–"/>
      <w:lvlJc w:val="left"/>
      <w:pPr>
        <w:tabs>
          <w:tab w:val="num" w:pos="2880"/>
        </w:tabs>
        <w:ind w:left="2880" w:hanging="360"/>
      </w:pPr>
      <w:rPr>
        <w:rFonts w:ascii="Arial" w:hAnsi="Arial" w:hint="default"/>
      </w:rPr>
    </w:lvl>
    <w:lvl w:ilvl="4" w:tplc="0FFA6A18" w:tentative="1">
      <w:start w:val="1"/>
      <w:numFmt w:val="bullet"/>
      <w:lvlText w:val="–"/>
      <w:lvlJc w:val="left"/>
      <w:pPr>
        <w:tabs>
          <w:tab w:val="num" w:pos="3600"/>
        </w:tabs>
        <w:ind w:left="3600" w:hanging="360"/>
      </w:pPr>
      <w:rPr>
        <w:rFonts w:ascii="Arial" w:hAnsi="Arial" w:hint="default"/>
      </w:rPr>
    </w:lvl>
    <w:lvl w:ilvl="5" w:tplc="AEE87EC4" w:tentative="1">
      <w:start w:val="1"/>
      <w:numFmt w:val="bullet"/>
      <w:lvlText w:val="–"/>
      <w:lvlJc w:val="left"/>
      <w:pPr>
        <w:tabs>
          <w:tab w:val="num" w:pos="4320"/>
        </w:tabs>
        <w:ind w:left="4320" w:hanging="360"/>
      </w:pPr>
      <w:rPr>
        <w:rFonts w:ascii="Arial" w:hAnsi="Arial" w:hint="default"/>
      </w:rPr>
    </w:lvl>
    <w:lvl w:ilvl="6" w:tplc="A3429A94" w:tentative="1">
      <w:start w:val="1"/>
      <w:numFmt w:val="bullet"/>
      <w:lvlText w:val="–"/>
      <w:lvlJc w:val="left"/>
      <w:pPr>
        <w:tabs>
          <w:tab w:val="num" w:pos="5040"/>
        </w:tabs>
        <w:ind w:left="5040" w:hanging="360"/>
      </w:pPr>
      <w:rPr>
        <w:rFonts w:ascii="Arial" w:hAnsi="Arial" w:hint="default"/>
      </w:rPr>
    </w:lvl>
    <w:lvl w:ilvl="7" w:tplc="CC323C96" w:tentative="1">
      <w:start w:val="1"/>
      <w:numFmt w:val="bullet"/>
      <w:lvlText w:val="–"/>
      <w:lvlJc w:val="left"/>
      <w:pPr>
        <w:tabs>
          <w:tab w:val="num" w:pos="5760"/>
        </w:tabs>
        <w:ind w:left="5760" w:hanging="360"/>
      </w:pPr>
      <w:rPr>
        <w:rFonts w:ascii="Arial" w:hAnsi="Arial" w:hint="default"/>
      </w:rPr>
    </w:lvl>
    <w:lvl w:ilvl="8" w:tplc="C962512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2D2CE7"/>
    <w:multiLevelType w:val="hybridMultilevel"/>
    <w:tmpl w:val="93A6C78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784CA7"/>
    <w:multiLevelType w:val="hybridMultilevel"/>
    <w:tmpl w:val="8AD48E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6" w15:restartNumberingAfterBreak="0">
    <w:nsid w:val="387E6BC4"/>
    <w:multiLevelType w:val="hybridMultilevel"/>
    <w:tmpl w:val="2E420E1A"/>
    <w:lvl w:ilvl="0" w:tplc="70F85DA0">
      <w:start w:val="1"/>
      <w:numFmt w:val="bullet"/>
      <w:lvlText w:val="•"/>
      <w:lvlJc w:val="left"/>
      <w:pPr>
        <w:tabs>
          <w:tab w:val="num" w:pos="720"/>
        </w:tabs>
        <w:ind w:left="720" w:hanging="360"/>
      </w:pPr>
      <w:rPr>
        <w:rFonts w:ascii="Arial" w:hAnsi="Arial" w:hint="default"/>
      </w:rPr>
    </w:lvl>
    <w:lvl w:ilvl="1" w:tplc="154ECBD4" w:tentative="1">
      <w:start w:val="1"/>
      <w:numFmt w:val="bullet"/>
      <w:lvlText w:val="•"/>
      <w:lvlJc w:val="left"/>
      <w:pPr>
        <w:tabs>
          <w:tab w:val="num" w:pos="1440"/>
        </w:tabs>
        <w:ind w:left="1440" w:hanging="360"/>
      </w:pPr>
      <w:rPr>
        <w:rFonts w:ascii="Arial" w:hAnsi="Arial" w:hint="default"/>
      </w:rPr>
    </w:lvl>
    <w:lvl w:ilvl="2" w:tplc="3E3CCF34">
      <w:start w:val="1"/>
      <w:numFmt w:val="bullet"/>
      <w:lvlText w:val="•"/>
      <w:lvlJc w:val="left"/>
      <w:pPr>
        <w:tabs>
          <w:tab w:val="num" w:pos="2160"/>
        </w:tabs>
        <w:ind w:left="2160" w:hanging="360"/>
      </w:pPr>
      <w:rPr>
        <w:rFonts w:ascii="Arial" w:hAnsi="Arial" w:hint="default"/>
      </w:rPr>
    </w:lvl>
    <w:lvl w:ilvl="3" w:tplc="A35C887A" w:tentative="1">
      <w:start w:val="1"/>
      <w:numFmt w:val="bullet"/>
      <w:lvlText w:val="•"/>
      <w:lvlJc w:val="left"/>
      <w:pPr>
        <w:tabs>
          <w:tab w:val="num" w:pos="2880"/>
        </w:tabs>
        <w:ind w:left="2880" w:hanging="360"/>
      </w:pPr>
      <w:rPr>
        <w:rFonts w:ascii="Arial" w:hAnsi="Arial" w:hint="default"/>
      </w:rPr>
    </w:lvl>
    <w:lvl w:ilvl="4" w:tplc="395A927A" w:tentative="1">
      <w:start w:val="1"/>
      <w:numFmt w:val="bullet"/>
      <w:lvlText w:val="•"/>
      <w:lvlJc w:val="left"/>
      <w:pPr>
        <w:tabs>
          <w:tab w:val="num" w:pos="3600"/>
        </w:tabs>
        <w:ind w:left="3600" w:hanging="360"/>
      </w:pPr>
      <w:rPr>
        <w:rFonts w:ascii="Arial" w:hAnsi="Arial" w:hint="default"/>
      </w:rPr>
    </w:lvl>
    <w:lvl w:ilvl="5" w:tplc="EF041138" w:tentative="1">
      <w:start w:val="1"/>
      <w:numFmt w:val="bullet"/>
      <w:lvlText w:val="•"/>
      <w:lvlJc w:val="left"/>
      <w:pPr>
        <w:tabs>
          <w:tab w:val="num" w:pos="4320"/>
        </w:tabs>
        <w:ind w:left="4320" w:hanging="360"/>
      </w:pPr>
      <w:rPr>
        <w:rFonts w:ascii="Arial" w:hAnsi="Arial" w:hint="default"/>
      </w:rPr>
    </w:lvl>
    <w:lvl w:ilvl="6" w:tplc="D8EC7E9E" w:tentative="1">
      <w:start w:val="1"/>
      <w:numFmt w:val="bullet"/>
      <w:lvlText w:val="•"/>
      <w:lvlJc w:val="left"/>
      <w:pPr>
        <w:tabs>
          <w:tab w:val="num" w:pos="5040"/>
        </w:tabs>
        <w:ind w:left="5040" w:hanging="360"/>
      </w:pPr>
      <w:rPr>
        <w:rFonts w:ascii="Arial" w:hAnsi="Arial" w:hint="default"/>
      </w:rPr>
    </w:lvl>
    <w:lvl w:ilvl="7" w:tplc="1AFA6116" w:tentative="1">
      <w:start w:val="1"/>
      <w:numFmt w:val="bullet"/>
      <w:lvlText w:val="•"/>
      <w:lvlJc w:val="left"/>
      <w:pPr>
        <w:tabs>
          <w:tab w:val="num" w:pos="5760"/>
        </w:tabs>
        <w:ind w:left="5760" w:hanging="360"/>
      </w:pPr>
      <w:rPr>
        <w:rFonts w:ascii="Arial" w:hAnsi="Arial" w:hint="default"/>
      </w:rPr>
    </w:lvl>
    <w:lvl w:ilvl="8" w:tplc="0F105A7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B74B30"/>
    <w:multiLevelType w:val="hybridMultilevel"/>
    <w:tmpl w:val="7030673E"/>
    <w:lvl w:ilvl="0" w:tplc="0C9057B6">
      <w:start w:val="1"/>
      <w:numFmt w:val="bullet"/>
      <w:lvlText w:val="–"/>
      <w:lvlJc w:val="left"/>
      <w:pPr>
        <w:tabs>
          <w:tab w:val="num" w:pos="720"/>
        </w:tabs>
        <w:ind w:left="720" w:hanging="360"/>
      </w:pPr>
      <w:rPr>
        <w:rFonts w:ascii="Arial" w:hAnsi="Arial" w:hint="default"/>
      </w:rPr>
    </w:lvl>
    <w:lvl w:ilvl="1" w:tplc="73DC24D8">
      <w:start w:val="1"/>
      <w:numFmt w:val="bullet"/>
      <w:lvlText w:val="–"/>
      <w:lvlJc w:val="left"/>
      <w:pPr>
        <w:tabs>
          <w:tab w:val="num" w:pos="1440"/>
        </w:tabs>
        <w:ind w:left="1440" w:hanging="360"/>
      </w:pPr>
      <w:rPr>
        <w:rFonts w:ascii="Arial" w:hAnsi="Arial" w:hint="default"/>
      </w:rPr>
    </w:lvl>
    <w:lvl w:ilvl="2" w:tplc="F044E7F0">
      <w:start w:val="253"/>
      <w:numFmt w:val="bullet"/>
      <w:lvlText w:val="•"/>
      <w:lvlJc w:val="left"/>
      <w:pPr>
        <w:tabs>
          <w:tab w:val="num" w:pos="2160"/>
        </w:tabs>
        <w:ind w:left="2160" w:hanging="360"/>
      </w:pPr>
      <w:rPr>
        <w:rFonts w:ascii="Arial" w:hAnsi="Arial" w:hint="default"/>
      </w:rPr>
    </w:lvl>
    <w:lvl w:ilvl="3" w:tplc="7E368594" w:tentative="1">
      <w:start w:val="1"/>
      <w:numFmt w:val="bullet"/>
      <w:lvlText w:val="–"/>
      <w:lvlJc w:val="left"/>
      <w:pPr>
        <w:tabs>
          <w:tab w:val="num" w:pos="2880"/>
        </w:tabs>
        <w:ind w:left="2880" w:hanging="360"/>
      </w:pPr>
      <w:rPr>
        <w:rFonts w:ascii="Arial" w:hAnsi="Arial" w:hint="default"/>
      </w:rPr>
    </w:lvl>
    <w:lvl w:ilvl="4" w:tplc="12386632" w:tentative="1">
      <w:start w:val="1"/>
      <w:numFmt w:val="bullet"/>
      <w:lvlText w:val="–"/>
      <w:lvlJc w:val="left"/>
      <w:pPr>
        <w:tabs>
          <w:tab w:val="num" w:pos="3600"/>
        </w:tabs>
        <w:ind w:left="3600" w:hanging="360"/>
      </w:pPr>
      <w:rPr>
        <w:rFonts w:ascii="Arial" w:hAnsi="Arial" w:hint="default"/>
      </w:rPr>
    </w:lvl>
    <w:lvl w:ilvl="5" w:tplc="02C24A56" w:tentative="1">
      <w:start w:val="1"/>
      <w:numFmt w:val="bullet"/>
      <w:lvlText w:val="–"/>
      <w:lvlJc w:val="left"/>
      <w:pPr>
        <w:tabs>
          <w:tab w:val="num" w:pos="4320"/>
        </w:tabs>
        <w:ind w:left="4320" w:hanging="360"/>
      </w:pPr>
      <w:rPr>
        <w:rFonts w:ascii="Arial" w:hAnsi="Arial" w:hint="default"/>
      </w:rPr>
    </w:lvl>
    <w:lvl w:ilvl="6" w:tplc="5DB675C8" w:tentative="1">
      <w:start w:val="1"/>
      <w:numFmt w:val="bullet"/>
      <w:lvlText w:val="–"/>
      <w:lvlJc w:val="left"/>
      <w:pPr>
        <w:tabs>
          <w:tab w:val="num" w:pos="5040"/>
        </w:tabs>
        <w:ind w:left="5040" w:hanging="360"/>
      </w:pPr>
      <w:rPr>
        <w:rFonts w:ascii="Arial" w:hAnsi="Arial" w:hint="default"/>
      </w:rPr>
    </w:lvl>
    <w:lvl w:ilvl="7" w:tplc="E42CFEDA" w:tentative="1">
      <w:start w:val="1"/>
      <w:numFmt w:val="bullet"/>
      <w:lvlText w:val="–"/>
      <w:lvlJc w:val="left"/>
      <w:pPr>
        <w:tabs>
          <w:tab w:val="num" w:pos="5760"/>
        </w:tabs>
        <w:ind w:left="5760" w:hanging="360"/>
      </w:pPr>
      <w:rPr>
        <w:rFonts w:ascii="Arial" w:hAnsi="Arial" w:hint="default"/>
      </w:rPr>
    </w:lvl>
    <w:lvl w:ilvl="8" w:tplc="AE5EF3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6E2004"/>
    <w:multiLevelType w:val="hybridMultilevel"/>
    <w:tmpl w:val="E12E55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C5410"/>
    <w:multiLevelType w:val="hybridMultilevel"/>
    <w:tmpl w:val="5330D5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A90D09"/>
    <w:multiLevelType w:val="hybridMultilevel"/>
    <w:tmpl w:val="ACC209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A253C6"/>
    <w:multiLevelType w:val="hybridMultilevel"/>
    <w:tmpl w:val="3FD07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3267D3"/>
    <w:multiLevelType w:val="hybridMultilevel"/>
    <w:tmpl w:val="9D2E82FA"/>
    <w:lvl w:ilvl="0" w:tplc="59F0B630">
      <w:start w:val="1"/>
      <w:numFmt w:val="bullet"/>
      <w:lvlText w:val="–"/>
      <w:lvlJc w:val="left"/>
      <w:pPr>
        <w:tabs>
          <w:tab w:val="num" w:pos="720"/>
        </w:tabs>
        <w:ind w:left="720" w:hanging="360"/>
      </w:pPr>
      <w:rPr>
        <w:rFonts w:ascii="Arial" w:hAnsi="Arial" w:hint="default"/>
      </w:rPr>
    </w:lvl>
    <w:lvl w:ilvl="1" w:tplc="CFBE27AE">
      <w:start w:val="1"/>
      <w:numFmt w:val="bullet"/>
      <w:lvlText w:val="–"/>
      <w:lvlJc w:val="left"/>
      <w:pPr>
        <w:tabs>
          <w:tab w:val="num" w:pos="1440"/>
        </w:tabs>
        <w:ind w:left="1440" w:hanging="360"/>
      </w:pPr>
      <w:rPr>
        <w:rFonts w:ascii="Arial" w:hAnsi="Arial" w:hint="default"/>
      </w:rPr>
    </w:lvl>
    <w:lvl w:ilvl="2" w:tplc="BADC0BF0" w:tentative="1">
      <w:start w:val="1"/>
      <w:numFmt w:val="bullet"/>
      <w:lvlText w:val="–"/>
      <w:lvlJc w:val="left"/>
      <w:pPr>
        <w:tabs>
          <w:tab w:val="num" w:pos="2160"/>
        </w:tabs>
        <w:ind w:left="2160" w:hanging="360"/>
      </w:pPr>
      <w:rPr>
        <w:rFonts w:ascii="Arial" w:hAnsi="Arial" w:hint="default"/>
      </w:rPr>
    </w:lvl>
    <w:lvl w:ilvl="3" w:tplc="42B8050E" w:tentative="1">
      <w:start w:val="1"/>
      <w:numFmt w:val="bullet"/>
      <w:lvlText w:val="–"/>
      <w:lvlJc w:val="left"/>
      <w:pPr>
        <w:tabs>
          <w:tab w:val="num" w:pos="2880"/>
        </w:tabs>
        <w:ind w:left="2880" w:hanging="360"/>
      </w:pPr>
      <w:rPr>
        <w:rFonts w:ascii="Arial" w:hAnsi="Arial" w:hint="default"/>
      </w:rPr>
    </w:lvl>
    <w:lvl w:ilvl="4" w:tplc="53707938" w:tentative="1">
      <w:start w:val="1"/>
      <w:numFmt w:val="bullet"/>
      <w:lvlText w:val="–"/>
      <w:lvlJc w:val="left"/>
      <w:pPr>
        <w:tabs>
          <w:tab w:val="num" w:pos="3600"/>
        </w:tabs>
        <w:ind w:left="3600" w:hanging="360"/>
      </w:pPr>
      <w:rPr>
        <w:rFonts w:ascii="Arial" w:hAnsi="Arial" w:hint="default"/>
      </w:rPr>
    </w:lvl>
    <w:lvl w:ilvl="5" w:tplc="CF4055C4" w:tentative="1">
      <w:start w:val="1"/>
      <w:numFmt w:val="bullet"/>
      <w:lvlText w:val="–"/>
      <w:lvlJc w:val="left"/>
      <w:pPr>
        <w:tabs>
          <w:tab w:val="num" w:pos="4320"/>
        </w:tabs>
        <w:ind w:left="4320" w:hanging="360"/>
      </w:pPr>
      <w:rPr>
        <w:rFonts w:ascii="Arial" w:hAnsi="Arial" w:hint="default"/>
      </w:rPr>
    </w:lvl>
    <w:lvl w:ilvl="6" w:tplc="9BB61ECE" w:tentative="1">
      <w:start w:val="1"/>
      <w:numFmt w:val="bullet"/>
      <w:lvlText w:val="–"/>
      <w:lvlJc w:val="left"/>
      <w:pPr>
        <w:tabs>
          <w:tab w:val="num" w:pos="5040"/>
        </w:tabs>
        <w:ind w:left="5040" w:hanging="360"/>
      </w:pPr>
      <w:rPr>
        <w:rFonts w:ascii="Arial" w:hAnsi="Arial" w:hint="default"/>
      </w:rPr>
    </w:lvl>
    <w:lvl w:ilvl="7" w:tplc="1AEC469E" w:tentative="1">
      <w:start w:val="1"/>
      <w:numFmt w:val="bullet"/>
      <w:lvlText w:val="–"/>
      <w:lvlJc w:val="left"/>
      <w:pPr>
        <w:tabs>
          <w:tab w:val="num" w:pos="5760"/>
        </w:tabs>
        <w:ind w:left="5760" w:hanging="360"/>
      </w:pPr>
      <w:rPr>
        <w:rFonts w:ascii="Arial" w:hAnsi="Arial" w:hint="default"/>
      </w:rPr>
    </w:lvl>
    <w:lvl w:ilvl="8" w:tplc="728A9E2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8330327"/>
    <w:multiLevelType w:val="hybridMultilevel"/>
    <w:tmpl w:val="21066832"/>
    <w:lvl w:ilvl="0" w:tplc="E6723C20">
      <w:start w:val="1"/>
      <w:numFmt w:val="bullet"/>
      <w:lvlText w:val="–"/>
      <w:lvlJc w:val="left"/>
      <w:pPr>
        <w:tabs>
          <w:tab w:val="num" w:pos="720"/>
        </w:tabs>
        <w:ind w:left="720" w:hanging="360"/>
      </w:pPr>
      <w:rPr>
        <w:rFonts w:ascii="Arial" w:hAnsi="Arial" w:hint="default"/>
      </w:rPr>
    </w:lvl>
    <w:lvl w:ilvl="1" w:tplc="122C8CB2">
      <w:start w:val="1"/>
      <w:numFmt w:val="bullet"/>
      <w:lvlText w:val="–"/>
      <w:lvlJc w:val="left"/>
      <w:pPr>
        <w:tabs>
          <w:tab w:val="num" w:pos="1440"/>
        </w:tabs>
        <w:ind w:left="1440" w:hanging="360"/>
      </w:pPr>
      <w:rPr>
        <w:rFonts w:ascii="Arial" w:hAnsi="Arial" w:hint="default"/>
      </w:rPr>
    </w:lvl>
    <w:lvl w:ilvl="2" w:tplc="0A48D6EC" w:tentative="1">
      <w:start w:val="1"/>
      <w:numFmt w:val="bullet"/>
      <w:lvlText w:val="–"/>
      <w:lvlJc w:val="left"/>
      <w:pPr>
        <w:tabs>
          <w:tab w:val="num" w:pos="2160"/>
        </w:tabs>
        <w:ind w:left="2160" w:hanging="360"/>
      </w:pPr>
      <w:rPr>
        <w:rFonts w:ascii="Arial" w:hAnsi="Arial" w:hint="default"/>
      </w:rPr>
    </w:lvl>
    <w:lvl w:ilvl="3" w:tplc="D4D0BA96" w:tentative="1">
      <w:start w:val="1"/>
      <w:numFmt w:val="bullet"/>
      <w:lvlText w:val="–"/>
      <w:lvlJc w:val="left"/>
      <w:pPr>
        <w:tabs>
          <w:tab w:val="num" w:pos="2880"/>
        </w:tabs>
        <w:ind w:left="2880" w:hanging="360"/>
      </w:pPr>
      <w:rPr>
        <w:rFonts w:ascii="Arial" w:hAnsi="Arial" w:hint="default"/>
      </w:rPr>
    </w:lvl>
    <w:lvl w:ilvl="4" w:tplc="86F634FC" w:tentative="1">
      <w:start w:val="1"/>
      <w:numFmt w:val="bullet"/>
      <w:lvlText w:val="–"/>
      <w:lvlJc w:val="left"/>
      <w:pPr>
        <w:tabs>
          <w:tab w:val="num" w:pos="3600"/>
        </w:tabs>
        <w:ind w:left="3600" w:hanging="360"/>
      </w:pPr>
      <w:rPr>
        <w:rFonts w:ascii="Arial" w:hAnsi="Arial" w:hint="default"/>
      </w:rPr>
    </w:lvl>
    <w:lvl w:ilvl="5" w:tplc="00806586" w:tentative="1">
      <w:start w:val="1"/>
      <w:numFmt w:val="bullet"/>
      <w:lvlText w:val="–"/>
      <w:lvlJc w:val="left"/>
      <w:pPr>
        <w:tabs>
          <w:tab w:val="num" w:pos="4320"/>
        </w:tabs>
        <w:ind w:left="4320" w:hanging="360"/>
      </w:pPr>
      <w:rPr>
        <w:rFonts w:ascii="Arial" w:hAnsi="Arial" w:hint="default"/>
      </w:rPr>
    </w:lvl>
    <w:lvl w:ilvl="6" w:tplc="5FA84216" w:tentative="1">
      <w:start w:val="1"/>
      <w:numFmt w:val="bullet"/>
      <w:lvlText w:val="–"/>
      <w:lvlJc w:val="left"/>
      <w:pPr>
        <w:tabs>
          <w:tab w:val="num" w:pos="5040"/>
        </w:tabs>
        <w:ind w:left="5040" w:hanging="360"/>
      </w:pPr>
      <w:rPr>
        <w:rFonts w:ascii="Arial" w:hAnsi="Arial" w:hint="default"/>
      </w:rPr>
    </w:lvl>
    <w:lvl w:ilvl="7" w:tplc="AA3AEB28" w:tentative="1">
      <w:start w:val="1"/>
      <w:numFmt w:val="bullet"/>
      <w:lvlText w:val="–"/>
      <w:lvlJc w:val="left"/>
      <w:pPr>
        <w:tabs>
          <w:tab w:val="num" w:pos="5760"/>
        </w:tabs>
        <w:ind w:left="5760" w:hanging="360"/>
      </w:pPr>
      <w:rPr>
        <w:rFonts w:ascii="Arial" w:hAnsi="Arial" w:hint="default"/>
      </w:rPr>
    </w:lvl>
    <w:lvl w:ilvl="8" w:tplc="E06E68A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BA545ED"/>
    <w:multiLevelType w:val="multilevel"/>
    <w:tmpl w:val="D540A7D8"/>
    <w:lvl w:ilvl="0">
      <w:start w:val="1"/>
      <w:numFmt w:val="decimal"/>
      <w:lvlText w:val="%1"/>
      <w:lvlJc w:val="left"/>
      <w:pPr>
        <w:ind w:left="720" w:hanging="720"/>
      </w:pPr>
      <w:rPr>
        <w:rFonts w:hint="default"/>
        <w:b/>
      </w:rPr>
    </w:lvl>
    <w:lvl w:ilvl="1">
      <w:start w:val="1"/>
      <w:numFmt w:val="upperRoman"/>
      <w:lvlText w:val="%2."/>
      <w:lvlJc w:val="righ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250968"/>
    <w:multiLevelType w:val="hybridMultilevel"/>
    <w:tmpl w:val="7094694E"/>
    <w:lvl w:ilvl="0" w:tplc="70C84630">
      <w:start w:val="1"/>
      <w:numFmt w:val="lowerLetter"/>
      <w:lvlText w:val="%1)"/>
      <w:lvlJc w:val="left"/>
      <w:pPr>
        <w:ind w:left="829" w:hanging="360"/>
      </w:pPr>
      <w:rPr>
        <w:i/>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5D65D3"/>
    <w:multiLevelType w:val="hybridMultilevel"/>
    <w:tmpl w:val="E4CCF47C"/>
    <w:lvl w:ilvl="0" w:tplc="09CE9502">
      <w:start w:val="3"/>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0F1488"/>
    <w:multiLevelType w:val="hybridMultilevel"/>
    <w:tmpl w:val="A1F6EA66"/>
    <w:lvl w:ilvl="0" w:tplc="F5F4218A">
      <w:start w:val="98"/>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2343929"/>
    <w:multiLevelType w:val="hybridMultilevel"/>
    <w:tmpl w:val="58367F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9953AA5"/>
    <w:multiLevelType w:val="multilevel"/>
    <w:tmpl w:val="10B4119A"/>
    <w:lvl w:ilvl="0">
      <w:start w:val="1"/>
      <w:numFmt w:val="bullet"/>
      <w:lvlText w:val="o"/>
      <w:lvlJc w:val="left"/>
      <w:pPr>
        <w:ind w:left="720" w:hanging="720"/>
      </w:pPr>
      <w:rPr>
        <w:rFonts w:ascii="Courier New" w:hAnsi="Courier New" w:cs="Courier New"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9D1A5D"/>
    <w:multiLevelType w:val="hybridMultilevel"/>
    <w:tmpl w:val="19483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B437A1"/>
    <w:multiLevelType w:val="hybridMultilevel"/>
    <w:tmpl w:val="C5DC22EA"/>
    <w:lvl w:ilvl="0" w:tplc="D35AA8EC">
      <w:start w:val="1"/>
      <w:numFmt w:val="bullet"/>
      <w:lvlText w:val="–"/>
      <w:lvlJc w:val="left"/>
      <w:pPr>
        <w:tabs>
          <w:tab w:val="num" w:pos="720"/>
        </w:tabs>
        <w:ind w:left="720" w:hanging="360"/>
      </w:pPr>
      <w:rPr>
        <w:rFonts w:ascii="Arial" w:hAnsi="Arial" w:hint="default"/>
      </w:rPr>
    </w:lvl>
    <w:lvl w:ilvl="1" w:tplc="F86CF248">
      <w:start w:val="1"/>
      <w:numFmt w:val="bullet"/>
      <w:lvlText w:val="–"/>
      <w:lvlJc w:val="left"/>
      <w:pPr>
        <w:tabs>
          <w:tab w:val="num" w:pos="1440"/>
        </w:tabs>
        <w:ind w:left="1440" w:hanging="360"/>
      </w:pPr>
      <w:rPr>
        <w:rFonts w:ascii="Arial" w:hAnsi="Arial" w:hint="default"/>
      </w:rPr>
    </w:lvl>
    <w:lvl w:ilvl="2" w:tplc="47340382" w:tentative="1">
      <w:start w:val="1"/>
      <w:numFmt w:val="bullet"/>
      <w:lvlText w:val="–"/>
      <w:lvlJc w:val="left"/>
      <w:pPr>
        <w:tabs>
          <w:tab w:val="num" w:pos="2160"/>
        </w:tabs>
        <w:ind w:left="2160" w:hanging="360"/>
      </w:pPr>
      <w:rPr>
        <w:rFonts w:ascii="Arial" w:hAnsi="Arial" w:hint="default"/>
      </w:rPr>
    </w:lvl>
    <w:lvl w:ilvl="3" w:tplc="FDDED5B8" w:tentative="1">
      <w:start w:val="1"/>
      <w:numFmt w:val="bullet"/>
      <w:lvlText w:val="–"/>
      <w:lvlJc w:val="left"/>
      <w:pPr>
        <w:tabs>
          <w:tab w:val="num" w:pos="2880"/>
        </w:tabs>
        <w:ind w:left="2880" w:hanging="360"/>
      </w:pPr>
      <w:rPr>
        <w:rFonts w:ascii="Arial" w:hAnsi="Arial" w:hint="default"/>
      </w:rPr>
    </w:lvl>
    <w:lvl w:ilvl="4" w:tplc="9780993E" w:tentative="1">
      <w:start w:val="1"/>
      <w:numFmt w:val="bullet"/>
      <w:lvlText w:val="–"/>
      <w:lvlJc w:val="left"/>
      <w:pPr>
        <w:tabs>
          <w:tab w:val="num" w:pos="3600"/>
        </w:tabs>
        <w:ind w:left="3600" w:hanging="360"/>
      </w:pPr>
      <w:rPr>
        <w:rFonts w:ascii="Arial" w:hAnsi="Arial" w:hint="default"/>
      </w:rPr>
    </w:lvl>
    <w:lvl w:ilvl="5" w:tplc="5F9AEA12" w:tentative="1">
      <w:start w:val="1"/>
      <w:numFmt w:val="bullet"/>
      <w:lvlText w:val="–"/>
      <w:lvlJc w:val="left"/>
      <w:pPr>
        <w:tabs>
          <w:tab w:val="num" w:pos="4320"/>
        </w:tabs>
        <w:ind w:left="4320" w:hanging="360"/>
      </w:pPr>
      <w:rPr>
        <w:rFonts w:ascii="Arial" w:hAnsi="Arial" w:hint="default"/>
      </w:rPr>
    </w:lvl>
    <w:lvl w:ilvl="6" w:tplc="6816945E" w:tentative="1">
      <w:start w:val="1"/>
      <w:numFmt w:val="bullet"/>
      <w:lvlText w:val="–"/>
      <w:lvlJc w:val="left"/>
      <w:pPr>
        <w:tabs>
          <w:tab w:val="num" w:pos="5040"/>
        </w:tabs>
        <w:ind w:left="5040" w:hanging="360"/>
      </w:pPr>
      <w:rPr>
        <w:rFonts w:ascii="Arial" w:hAnsi="Arial" w:hint="default"/>
      </w:rPr>
    </w:lvl>
    <w:lvl w:ilvl="7" w:tplc="841A59E6" w:tentative="1">
      <w:start w:val="1"/>
      <w:numFmt w:val="bullet"/>
      <w:lvlText w:val="–"/>
      <w:lvlJc w:val="left"/>
      <w:pPr>
        <w:tabs>
          <w:tab w:val="num" w:pos="5760"/>
        </w:tabs>
        <w:ind w:left="5760" w:hanging="360"/>
      </w:pPr>
      <w:rPr>
        <w:rFonts w:ascii="Arial" w:hAnsi="Arial" w:hint="default"/>
      </w:rPr>
    </w:lvl>
    <w:lvl w:ilvl="8" w:tplc="3E8CEE0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4EE1FA0"/>
    <w:multiLevelType w:val="multilevel"/>
    <w:tmpl w:val="D52C947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63614D"/>
    <w:multiLevelType w:val="multilevel"/>
    <w:tmpl w:val="2B142A2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0B444E"/>
    <w:multiLevelType w:val="multilevel"/>
    <w:tmpl w:val="51CA39F0"/>
    <w:lvl w:ilvl="0">
      <w:start w:val="1"/>
      <w:numFmt w:val="decimal"/>
      <w:lvlText w:val="%1"/>
      <w:lvlJc w:val="left"/>
      <w:pPr>
        <w:ind w:left="720" w:hanging="720"/>
      </w:pPr>
      <w:rPr>
        <w:rFonts w:hint="default"/>
        <w:b/>
      </w:rPr>
    </w:lvl>
    <w:lvl w:ilvl="1">
      <w:start w:val="1"/>
      <w:numFmt w:val="lowerRoman"/>
      <w:lvlText w:val="%2."/>
      <w:lvlJc w:val="righ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19"/>
  </w:num>
  <w:num w:numId="3">
    <w:abstractNumId w:val="20"/>
  </w:num>
  <w:num w:numId="4">
    <w:abstractNumId w:val="0"/>
  </w:num>
  <w:num w:numId="5">
    <w:abstractNumId w:val="41"/>
  </w:num>
  <w:num w:numId="6">
    <w:abstractNumId w:val="30"/>
  </w:num>
  <w:num w:numId="7">
    <w:abstractNumId w:val="11"/>
  </w:num>
  <w:num w:numId="8">
    <w:abstractNumId w:val="32"/>
  </w:num>
  <w:num w:numId="9">
    <w:abstractNumId w:val="15"/>
  </w:num>
  <w:num w:numId="10">
    <w:abstractNumId w:val="31"/>
  </w:num>
  <w:num w:numId="11">
    <w:abstractNumId w:val="27"/>
  </w:num>
  <w:num w:numId="12">
    <w:abstractNumId w:val="18"/>
  </w:num>
  <w:num w:numId="13">
    <w:abstractNumId w:val="2"/>
  </w:num>
  <w:num w:numId="14">
    <w:abstractNumId w:val="34"/>
  </w:num>
  <w:num w:numId="15">
    <w:abstractNumId w:val="10"/>
  </w:num>
  <w:num w:numId="16">
    <w:abstractNumId w:val="22"/>
  </w:num>
  <w:num w:numId="17">
    <w:abstractNumId w:val="21"/>
  </w:num>
  <w:num w:numId="18">
    <w:abstractNumId w:val="6"/>
  </w:num>
  <w:num w:numId="19">
    <w:abstractNumId w:val="14"/>
  </w:num>
  <w:num w:numId="20">
    <w:abstractNumId w:val="35"/>
  </w:num>
  <w:num w:numId="21">
    <w:abstractNumId w:val="23"/>
  </w:num>
  <w:num w:numId="22">
    <w:abstractNumId w:val="3"/>
  </w:num>
  <w:num w:numId="23">
    <w:abstractNumId w:val="28"/>
  </w:num>
  <w:num w:numId="24">
    <w:abstractNumId w:val="29"/>
  </w:num>
  <w:num w:numId="25">
    <w:abstractNumId w:val="4"/>
  </w:num>
  <w:num w:numId="26">
    <w:abstractNumId w:val="1"/>
  </w:num>
  <w:num w:numId="27">
    <w:abstractNumId w:val="9"/>
  </w:num>
  <w:num w:numId="28">
    <w:abstractNumId w:val="12"/>
  </w:num>
  <w:num w:numId="29">
    <w:abstractNumId w:val="8"/>
  </w:num>
  <w:num w:numId="30">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3"/>
  </w:num>
  <w:num w:numId="33">
    <w:abstractNumId w:val="24"/>
  </w:num>
  <w:num w:numId="34">
    <w:abstractNumId w:val="5"/>
  </w:num>
  <w:num w:numId="35">
    <w:abstractNumId w:val="16"/>
  </w:num>
  <w:num w:numId="36">
    <w:abstractNumId w:val="40"/>
  </w:num>
  <w:num w:numId="37">
    <w:abstractNumId w:val="41"/>
  </w:num>
  <w:num w:numId="38">
    <w:abstractNumId w:val="38"/>
  </w:num>
  <w:num w:numId="39">
    <w:abstractNumId w:val="41"/>
  </w:num>
  <w:num w:numId="40">
    <w:abstractNumId w:val="17"/>
  </w:num>
  <w:num w:numId="41">
    <w:abstractNumId w:val="25"/>
  </w:num>
  <w:num w:numId="42">
    <w:abstractNumId w:val="41"/>
  </w:num>
  <w:num w:numId="43">
    <w:abstractNumId w:val="7"/>
  </w:num>
  <w:num w:numId="44">
    <w:abstractNumId w:val="36"/>
  </w:num>
  <w:num w:numId="45">
    <w:abstractNumId w:val="26"/>
  </w:num>
  <w:num w:numId="46">
    <w:abstractNumId w:val="42"/>
  </w:num>
  <w:num w:numId="47">
    <w:abstractNumId w:val="39"/>
  </w:num>
  <w:num w:numId="48">
    <w:abstractNumId w:val="41"/>
  </w:num>
  <w:num w:numId="49">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639A"/>
    <w:rsid w:val="00013247"/>
    <w:rsid w:val="00015886"/>
    <w:rsid w:val="000162EF"/>
    <w:rsid w:val="0001706E"/>
    <w:rsid w:val="000207C9"/>
    <w:rsid w:val="00021F2F"/>
    <w:rsid w:val="0002225F"/>
    <w:rsid w:val="00022E80"/>
    <w:rsid w:val="00023763"/>
    <w:rsid w:val="000274B8"/>
    <w:rsid w:val="00033490"/>
    <w:rsid w:val="00033863"/>
    <w:rsid w:val="000347D8"/>
    <w:rsid w:val="00035DC0"/>
    <w:rsid w:val="00036476"/>
    <w:rsid w:val="00036829"/>
    <w:rsid w:val="00037CAB"/>
    <w:rsid w:val="0004018A"/>
    <w:rsid w:val="00040895"/>
    <w:rsid w:val="000435EE"/>
    <w:rsid w:val="00043C37"/>
    <w:rsid w:val="000441C8"/>
    <w:rsid w:val="00045017"/>
    <w:rsid w:val="00045A2B"/>
    <w:rsid w:val="0004698F"/>
    <w:rsid w:val="00047B91"/>
    <w:rsid w:val="00052080"/>
    <w:rsid w:val="000539D0"/>
    <w:rsid w:val="00054621"/>
    <w:rsid w:val="000546D7"/>
    <w:rsid w:val="00056ECF"/>
    <w:rsid w:val="000604DF"/>
    <w:rsid w:val="00064652"/>
    <w:rsid w:val="00064D91"/>
    <w:rsid w:val="000653B5"/>
    <w:rsid w:val="00066360"/>
    <w:rsid w:val="00066AF8"/>
    <w:rsid w:val="00071248"/>
    <w:rsid w:val="000720B9"/>
    <w:rsid w:val="000737F7"/>
    <w:rsid w:val="0007672F"/>
    <w:rsid w:val="00076B54"/>
    <w:rsid w:val="000774F0"/>
    <w:rsid w:val="00080909"/>
    <w:rsid w:val="000812CA"/>
    <w:rsid w:val="00081E63"/>
    <w:rsid w:val="0008258D"/>
    <w:rsid w:val="00083E99"/>
    <w:rsid w:val="00084FA8"/>
    <w:rsid w:val="000856C5"/>
    <w:rsid w:val="00085C31"/>
    <w:rsid w:val="000902D9"/>
    <w:rsid w:val="00090C7E"/>
    <w:rsid w:val="00090FE4"/>
    <w:rsid w:val="00092469"/>
    <w:rsid w:val="00092600"/>
    <w:rsid w:val="0009262B"/>
    <w:rsid w:val="00092682"/>
    <w:rsid w:val="00093310"/>
    <w:rsid w:val="0009445C"/>
    <w:rsid w:val="00095200"/>
    <w:rsid w:val="00095FE5"/>
    <w:rsid w:val="00096284"/>
    <w:rsid w:val="000A1189"/>
    <w:rsid w:val="000A1BC0"/>
    <w:rsid w:val="000A5F24"/>
    <w:rsid w:val="000A6039"/>
    <w:rsid w:val="000A7453"/>
    <w:rsid w:val="000A7D08"/>
    <w:rsid w:val="000B0121"/>
    <w:rsid w:val="000B0127"/>
    <w:rsid w:val="000B0670"/>
    <w:rsid w:val="000B0E75"/>
    <w:rsid w:val="000B1982"/>
    <w:rsid w:val="000B20F9"/>
    <w:rsid w:val="000B2DCB"/>
    <w:rsid w:val="000B5CE0"/>
    <w:rsid w:val="000B6CAC"/>
    <w:rsid w:val="000B7612"/>
    <w:rsid w:val="000B78AE"/>
    <w:rsid w:val="000C03B8"/>
    <w:rsid w:val="000C0C3B"/>
    <w:rsid w:val="000C1F7E"/>
    <w:rsid w:val="000C3DF9"/>
    <w:rsid w:val="000C5A0A"/>
    <w:rsid w:val="000C6713"/>
    <w:rsid w:val="000D1BFC"/>
    <w:rsid w:val="000D1D5D"/>
    <w:rsid w:val="000D281A"/>
    <w:rsid w:val="000D2848"/>
    <w:rsid w:val="000D326A"/>
    <w:rsid w:val="000D51FB"/>
    <w:rsid w:val="000E0640"/>
    <w:rsid w:val="000E12DE"/>
    <w:rsid w:val="000E135D"/>
    <w:rsid w:val="000E3B3B"/>
    <w:rsid w:val="000E4DB4"/>
    <w:rsid w:val="000E623B"/>
    <w:rsid w:val="000F00BA"/>
    <w:rsid w:val="000F0984"/>
    <w:rsid w:val="000F316A"/>
    <w:rsid w:val="000F3C74"/>
    <w:rsid w:val="000F4977"/>
    <w:rsid w:val="000F4BB8"/>
    <w:rsid w:val="000F4FA9"/>
    <w:rsid w:val="000F53FB"/>
    <w:rsid w:val="000F7127"/>
    <w:rsid w:val="000F7B54"/>
    <w:rsid w:val="00100F8A"/>
    <w:rsid w:val="001030C1"/>
    <w:rsid w:val="001034C7"/>
    <w:rsid w:val="0010452E"/>
    <w:rsid w:val="001053D2"/>
    <w:rsid w:val="00105861"/>
    <w:rsid w:val="00105AE2"/>
    <w:rsid w:val="001060C6"/>
    <w:rsid w:val="00106B80"/>
    <w:rsid w:val="0011032E"/>
    <w:rsid w:val="001131A5"/>
    <w:rsid w:val="0011348B"/>
    <w:rsid w:val="00115982"/>
    <w:rsid w:val="00116C53"/>
    <w:rsid w:val="00121799"/>
    <w:rsid w:val="001222FC"/>
    <w:rsid w:val="00123902"/>
    <w:rsid w:val="0012416B"/>
    <w:rsid w:val="00124A51"/>
    <w:rsid w:val="00126621"/>
    <w:rsid w:val="00126B1D"/>
    <w:rsid w:val="001279BA"/>
    <w:rsid w:val="001301B3"/>
    <w:rsid w:val="001301E9"/>
    <w:rsid w:val="00131D82"/>
    <w:rsid w:val="00132B22"/>
    <w:rsid w:val="00133D36"/>
    <w:rsid w:val="001342F0"/>
    <w:rsid w:val="00135B7F"/>
    <w:rsid w:val="00137645"/>
    <w:rsid w:val="0014015A"/>
    <w:rsid w:val="00140E99"/>
    <w:rsid w:val="001416B3"/>
    <w:rsid w:val="00143F67"/>
    <w:rsid w:val="00145540"/>
    <w:rsid w:val="001456B0"/>
    <w:rsid w:val="00146268"/>
    <w:rsid w:val="00146B67"/>
    <w:rsid w:val="00147FC9"/>
    <w:rsid w:val="00156F8F"/>
    <w:rsid w:val="00157130"/>
    <w:rsid w:val="001576B1"/>
    <w:rsid w:val="0016047B"/>
    <w:rsid w:val="00160A4C"/>
    <w:rsid w:val="00162913"/>
    <w:rsid w:val="001630DA"/>
    <w:rsid w:val="00163EFF"/>
    <w:rsid w:val="00163F66"/>
    <w:rsid w:val="001661FB"/>
    <w:rsid w:val="0016676A"/>
    <w:rsid w:val="001671A0"/>
    <w:rsid w:val="0016767F"/>
    <w:rsid w:val="00173565"/>
    <w:rsid w:val="00173B07"/>
    <w:rsid w:val="001751FA"/>
    <w:rsid w:val="00181D9C"/>
    <w:rsid w:val="00184194"/>
    <w:rsid w:val="00184B0E"/>
    <w:rsid w:val="0018752F"/>
    <w:rsid w:val="00190800"/>
    <w:rsid w:val="00193838"/>
    <w:rsid w:val="00194AD8"/>
    <w:rsid w:val="00195222"/>
    <w:rsid w:val="00195E3C"/>
    <w:rsid w:val="001964C8"/>
    <w:rsid w:val="00196A7B"/>
    <w:rsid w:val="001975D8"/>
    <w:rsid w:val="001A178E"/>
    <w:rsid w:val="001A2BF9"/>
    <w:rsid w:val="001A3FFA"/>
    <w:rsid w:val="001A43FA"/>
    <w:rsid w:val="001A47C5"/>
    <w:rsid w:val="001A59FB"/>
    <w:rsid w:val="001A5E9E"/>
    <w:rsid w:val="001A5F33"/>
    <w:rsid w:val="001A6354"/>
    <w:rsid w:val="001A6366"/>
    <w:rsid w:val="001A7AE8"/>
    <w:rsid w:val="001B204E"/>
    <w:rsid w:val="001B2372"/>
    <w:rsid w:val="001B3443"/>
    <w:rsid w:val="001B4D20"/>
    <w:rsid w:val="001B688F"/>
    <w:rsid w:val="001C0791"/>
    <w:rsid w:val="001C2177"/>
    <w:rsid w:val="001C2A9B"/>
    <w:rsid w:val="001C4299"/>
    <w:rsid w:val="001C4874"/>
    <w:rsid w:val="001C5F94"/>
    <w:rsid w:val="001C6E66"/>
    <w:rsid w:val="001D1100"/>
    <w:rsid w:val="001D1391"/>
    <w:rsid w:val="001D25D7"/>
    <w:rsid w:val="001D2E66"/>
    <w:rsid w:val="001D4AB7"/>
    <w:rsid w:val="001D50B2"/>
    <w:rsid w:val="001D7645"/>
    <w:rsid w:val="001E1E86"/>
    <w:rsid w:val="001E238E"/>
    <w:rsid w:val="001E2483"/>
    <w:rsid w:val="001E2B1E"/>
    <w:rsid w:val="001E2CFF"/>
    <w:rsid w:val="001E2F24"/>
    <w:rsid w:val="001E30D4"/>
    <w:rsid w:val="001E34DF"/>
    <w:rsid w:val="001E52EB"/>
    <w:rsid w:val="001E61D2"/>
    <w:rsid w:val="001E6FC6"/>
    <w:rsid w:val="001E740C"/>
    <w:rsid w:val="001F1235"/>
    <w:rsid w:val="001F1CB3"/>
    <w:rsid w:val="001F38B5"/>
    <w:rsid w:val="001F4081"/>
    <w:rsid w:val="001F7361"/>
    <w:rsid w:val="00200474"/>
    <w:rsid w:val="00200D0B"/>
    <w:rsid w:val="002011B0"/>
    <w:rsid w:val="002012EC"/>
    <w:rsid w:val="00202D1B"/>
    <w:rsid w:val="00203181"/>
    <w:rsid w:val="00203306"/>
    <w:rsid w:val="00203783"/>
    <w:rsid w:val="002037C2"/>
    <w:rsid w:val="0020385F"/>
    <w:rsid w:val="002068A0"/>
    <w:rsid w:val="00207021"/>
    <w:rsid w:val="0020732F"/>
    <w:rsid w:val="00207D00"/>
    <w:rsid w:val="002105C1"/>
    <w:rsid w:val="00212612"/>
    <w:rsid w:val="00213EF5"/>
    <w:rsid w:val="00214ECB"/>
    <w:rsid w:val="00216BF5"/>
    <w:rsid w:val="0021790E"/>
    <w:rsid w:val="00223B49"/>
    <w:rsid w:val="00223D5A"/>
    <w:rsid w:val="00224DD4"/>
    <w:rsid w:val="002278A0"/>
    <w:rsid w:val="002309CC"/>
    <w:rsid w:val="0023209F"/>
    <w:rsid w:val="002332F6"/>
    <w:rsid w:val="00233C01"/>
    <w:rsid w:val="0023413C"/>
    <w:rsid w:val="002346F0"/>
    <w:rsid w:val="00235413"/>
    <w:rsid w:val="0023629D"/>
    <w:rsid w:val="00236C33"/>
    <w:rsid w:val="00237255"/>
    <w:rsid w:val="0023794D"/>
    <w:rsid w:val="002424AF"/>
    <w:rsid w:val="002439DC"/>
    <w:rsid w:val="002441D2"/>
    <w:rsid w:val="00244DC8"/>
    <w:rsid w:val="002458BA"/>
    <w:rsid w:val="00245CE9"/>
    <w:rsid w:val="0024636C"/>
    <w:rsid w:val="00247925"/>
    <w:rsid w:val="00250232"/>
    <w:rsid w:val="00250E46"/>
    <w:rsid w:val="00251006"/>
    <w:rsid w:val="00251AA8"/>
    <w:rsid w:val="002524D5"/>
    <w:rsid w:val="00252F86"/>
    <w:rsid w:val="00253B1D"/>
    <w:rsid w:val="00254457"/>
    <w:rsid w:val="00254DCF"/>
    <w:rsid w:val="0025534B"/>
    <w:rsid w:val="002554AA"/>
    <w:rsid w:val="00255BB7"/>
    <w:rsid w:val="00257541"/>
    <w:rsid w:val="00257A39"/>
    <w:rsid w:val="00257AC4"/>
    <w:rsid w:val="00261EEF"/>
    <w:rsid w:val="00262A1A"/>
    <w:rsid w:val="00262A87"/>
    <w:rsid w:val="00264D26"/>
    <w:rsid w:val="002663DC"/>
    <w:rsid w:val="00266422"/>
    <w:rsid w:val="00267642"/>
    <w:rsid w:val="00267AEA"/>
    <w:rsid w:val="002700E6"/>
    <w:rsid w:val="0027294B"/>
    <w:rsid w:val="00273EB4"/>
    <w:rsid w:val="00274682"/>
    <w:rsid w:val="00275C5A"/>
    <w:rsid w:val="00281014"/>
    <w:rsid w:val="00283428"/>
    <w:rsid w:val="00286362"/>
    <w:rsid w:val="0028665D"/>
    <w:rsid w:val="002924EB"/>
    <w:rsid w:val="002966F7"/>
    <w:rsid w:val="002A14AB"/>
    <w:rsid w:val="002A2ADE"/>
    <w:rsid w:val="002A2F50"/>
    <w:rsid w:val="002A55A8"/>
    <w:rsid w:val="002B05A1"/>
    <w:rsid w:val="002B09A4"/>
    <w:rsid w:val="002B15EE"/>
    <w:rsid w:val="002B1C1F"/>
    <w:rsid w:val="002B1F26"/>
    <w:rsid w:val="002B432F"/>
    <w:rsid w:val="002B62B3"/>
    <w:rsid w:val="002B6754"/>
    <w:rsid w:val="002B6CCE"/>
    <w:rsid w:val="002B6EA3"/>
    <w:rsid w:val="002C1F85"/>
    <w:rsid w:val="002C2510"/>
    <w:rsid w:val="002C2775"/>
    <w:rsid w:val="002C27C1"/>
    <w:rsid w:val="002C5099"/>
    <w:rsid w:val="002C5889"/>
    <w:rsid w:val="002C71CE"/>
    <w:rsid w:val="002D08F8"/>
    <w:rsid w:val="002D577C"/>
    <w:rsid w:val="002E1071"/>
    <w:rsid w:val="002E15B9"/>
    <w:rsid w:val="002E2158"/>
    <w:rsid w:val="002E3DB6"/>
    <w:rsid w:val="002E4807"/>
    <w:rsid w:val="002E4F02"/>
    <w:rsid w:val="002E7722"/>
    <w:rsid w:val="002E7C88"/>
    <w:rsid w:val="002F044D"/>
    <w:rsid w:val="002F07BA"/>
    <w:rsid w:val="002F0918"/>
    <w:rsid w:val="002F0DA9"/>
    <w:rsid w:val="002F1014"/>
    <w:rsid w:val="002F2475"/>
    <w:rsid w:val="002F643C"/>
    <w:rsid w:val="002F71C0"/>
    <w:rsid w:val="002F74F1"/>
    <w:rsid w:val="00300AD4"/>
    <w:rsid w:val="00301017"/>
    <w:rsid w:val="0030142C"/>
    <w:rsid w:val="0030155F"/>
    <w:rsid w:val="0030587B"/>
    <w:rsid w:val="00306D98"/>
    <w:rsid w:val="0030786C"/>
    <w:rsid w:val="003102C2"/>
    <w:rsid w:val="0031031A"/>
    <w:rsid w:val="00310981"/>
    <w:rsid w:val="0031182F"/>
    <w:rsid w:val="003124D9"/>
    <w:rsid w:val="00312594"/>
    <w:rsid w:val="00315498"/>
    <w:rsid w:val="00316474"/>
    <w:rsid w:val="00322107"/>
    <w:rsid w:val="00322355"/>
    <w:rsid w:val="00322846"/>
    <w:rsid w:val="00324955"/>
    <w:rsid w:val="00326DA7"/>
    <w:rsid w:val="003270E4"/>
    <w:rsid w:val="00330DAA"/>
    <w:rsid w:val="00330F5C"/>
    <w:rsid w:val="00336158"/>
    <w:rsid w:val="00336578"/>
    <w:rsid w:val="003366C9"/>
    <w:rsid w:val="00336FAD"/>
    <w:rsid w:val="003371B0"/>
    <w:rsid w:val="00340DF1"/>
    <w:rsid w:val="0034246D"/>
    <w:rsid w:val="00342B33"/>
    <w:rsid w:val="0034318D"/>
    <w:rsid w:val="003517F9"/>
    <w:rsid w:val="00351BA9"/>
    <w:rsid w:val="0035209B"/>
    <w:rsid w:val="00352440"/>
    <w:rsid w:val="00354F64"/>
    <w:rsid w:val="003551FA"/>
    <w:rsid w:val="00355DAA"/>
    <w:rsid w:val="0035620E"/>
    <w:rsid w:val="00356C3D"/>
    <w:rsid w:val="00357284"/>
    <w:rsid w:val="003576F1"/>
    <w:rsid w:val="00360345"/>
    <w:rsid w:val="003607CA"/>
    <w:rsid w:val="00361A05"/>
    <w:rsid w:val="0036221A"/>
    <w:rsid w:val="003624C4"/>
    <w:rsid w:val="003634B8"/>
    <w:rsid w:val="00363B00"/>
    <w:rsid w:val="003654AC"/>
    <w:rsid w:val="003710CF"/>
    <w:rsid w:val="0037358A"/>
    <w:rsid w:val="00374ED0"/>
    <w:rsid w:val="003750F6"/>
    <w:rsid w:val="003760FC"/>
    <w:rsid w:val="0038365C"/>
    <w:rsid w:val="0038369B"/>
    <w:rsid w:val="00383B78"/>
    <w:rsid w:val="00385A9D"/>
    <w:rsid w:val="003870AC"/>
    <w:rsid w:val="0038735D"/>
    <w:rsid w:val="003902B1"/>
    <w:rsid w:val="0039179C"/>
    <w:rsid w:val="00391FF5"/>
    <w:rsid w:val="0039425D"/>
    <w:rsid w:val="003944DD"/>
    <w:rsid w:val="00394854"/>
    <w:rsid w:val="00396896"/>
    <w:rsid w:val="00396FD0"/>
    <w:rsid w:val="003A0445"/>
    <w:rsid w:val="003A1A7A"/>
    <w:rsid w:val="003A1E33"/>
    <w:rsid w:val="003A2392"/>
    <w:rsid w:val="003A2831"/>
    <w:rsid w:val="003A3CB6"/>
    <w:rsid w:val="003A3ED1"/>
    <w:rsid w:val="003A44DB"/>
    <w:rsid w:val="003A670A"/>
    <w:rsid w:val="003B3971"/>
    <w:rsid w:val="003B55D1"/>
    <w:rsid w:val="003B5B61"/>
    <w:rsid w:val="003B7348"/>
    <w:rsid w:val="003C1654"/>
    <w:rsid w:val="003C2AFE"/>
    <w:rsid w:val="003C407B"/>
    <w:rsid w:val="003C46DA"/>
    <w:rsid w:val="003C46F8"/>
    <w:rsid w:val="003C4F48"/>
    <w:rsid w:val="003C5542"/>
    <w:rsid w:val="003C7D19"/>
    <w:rsid w:val="003C7D2F"/>
    <w:rsid w:val="003D1828"/>
    <w:rsid w:val="003D1DE4"/>
    <w:rsid w:val="003D1E9A"/>
    <w:rsid w:val="003D2422"/>
    <w:rsid w:val="003D39A1"/>
    <w:rsid w:val="003D3FBF"/>
    <w:rsid w:val="003D44AE"/>
    <w:rsid w:val="003D4A30"/>
    <w:rsid w:val="003D54E5"/>
    <w:rsid w:val="003D7452"/>
    <w:rsid w:val="003D79BB"/>
    <w:rsid w:val="003D7C98"/>
    <w:rsid w:val="003D7D9D"/>
    <w:rsid w:val="003E0543"/>
    <w:rsid w:val="003E364F"/>
    <w:rsid w:val="003E749E"/>
    <w:rsid w:val="003F33AA"/>
    <w:rsid w:val="003F4156"/>
    <w:rsid w:val="003F5ADF"/>
    <w:rsid w:val="003F72E0"/>
    <w:rsid w:val="00400B29"/>
    <w:rsid w:val="00400D0E"/>
    <w:rsid w:val="00403929"/>
    <w:rsid w:val="0040504B"/>
    <w:rsid w:val="004059F4"/>
    <w:rsid w:val="00405EB7"/>
    <w:rsid w:val="00407FE5"/>
    <w:rsid w:val="004101B0"/>
    <w:rsid w:val="00410326"/>
    <w:rsid w:val="00410708"/>
    <w:rsid w:val="00410EA9"/>
    <w:rsid w:val="00410EC7"/>
    <w:rsid w:val="00411B39"/>
    <w:rsid w:val="004127A7"/>
    <w:rsid w:val="00413777"/>
    <w:rsid w:val="00413A1E"/>
    <w:rsid w:val="00414476"/>
    <w:rsid w:val="00414A3B"/>
    <w:rsid w:val="00414C2E"/>
    <w:rsid w:val="004151CF"/>
    <w:rsid w:val="00416364"/>
    <w:rsid w:val="0042047F"/>
    <w:rsid w:val="00420AA6"/>
    <w:rsid w:val="00420B9F"/>
    <w:rsid w:val="0042192C"/>
    <w:rsid w:val="00422260"/>
    <w:rsid w:val="00422AEB"/>
    <w:rsid w:val="0042413F"/>
    <w:rsid w:val="00424EEA"/>
    <w:rsid w:val="00425351"/>
    <w:rsid w:val="00425769"/>
    <w:rsid w:val="00425BB7"/>
    <w:rsid w:val="00427FE5"/>
    <w:rsid w:val="004319F8"/>
    <w:rsid w:val="00431E55"/>
    <w:rsid w:val="004321F6"/>
    <w:rsid w:val="00433044"/>
    <w:rsid w:val="00434088"/>
    <w:rsid w:val="004375B9"/>
    <w:rsid w:val="00437868"/>
    <w:rsid w:val="00441A8F"/>
    <w:rsid w:val="00441E5C"/>
    <w:rsid w:val="004426F3"/>
    <w:rsid w:val="004428D0"/>
    <w:rsid w:val="00443A65"/>
    <w:rsid w:val="00444185"/>
    <w:rsid w:val="004443A7"/>
    <w:rsid w:val="0044442C"/>
    <w:rsid w:val="00445941"/>
    <w:rsid w:val="004464EB"/>
    <w:rsid w:val="00447D26"/>
    <w:rsid w:val="00447DFC"/>
    <w:rsid w:val="00453C86"/>
    <w:rsid w:val="00455D45"/>
    <w:rsid w:val="00464595"/>
    <w:rsid w:val="0046547B"/>
    <w:rsid w:val="004658B5"/>
    <w:rsid w:val="00466442"/>
    <w:rsid w:val="00467A43"/>
    <w:rsid w:val="0047184E"/>
    <w:rsid w:val="00471EA5"/>
    <w:rsid w:val="00472589"/>
    <w:rsid w:val="00472A79"/>
    <w:rsid w:val="0047380E"/>
    <w:rsid w:val="00473F19"/>
    <w:rsid w:val="00475BF1"/>
    <w:rsid w:val="00475E22"/>
    <w:rsid w:val="0048088E"/>
    <w:rsid w:val="00480F2B"/>
    <w:rsid w:val="00482720"/>
    <w:rsid w:val="00482B7F"/>
    <w:rsid w:val="004835E7"/>
    <w:rsid w:val="004867E2"/>
    <w:rsid w:val="004875A2"/>
    <w:rsid w:val="00490B17"/>
    <w:rsid w:val="00491B3A"/>
    <w:rsid w:val="00491C29"/>
    <w:rsid w:val="00492CFD"/>
    <w:rsid w:val="00494207"/>
    <w:rsid w:val="00494DD5"/>
    <w:rsid w:val="00495FC8"/>
    <w:rsid w:val="004962D2"/>
    <w:rsid w:val="004A0DA1"/>
    <w:rsid w:val="004A0EA4"/>
    <w:rsid w:val="004A13D6"/>
    <w:rsid w:val="004A1B63"/>
    <w:rsid w:val="004A52E9"/>
    <w:rsid w:val="004A6040"/>
    <w:rsid w:val="004A6597"/>
    <w:rsid w:val="004A716A"/>
    <w:rsid w:val="004A7848"/>
    <w:rsid w:val="004B1CB4"/>
    <w:rsid w:val="004B2F18"/>
    <w:rsid w:val="004B3DDB"/>
    <w:rsid w:val="004B44FD"/>
    <w:rsid w:val="004B5CFC"/>
    <w:rsid w:val="004B6F79"/>
    <w:rsid w:val="004B774D"/>
    <w:rsid w:val="004C36EF"/>
    <w:rsid w:val="004C4AED"/>
    <w:rsid w:val="004C5ABF"/>
    <w:rsid w:val="004C6806"/>
    <w:rsid w:val="004D2C2D"/>
    <w:rsid w:val="004D69B5"/>
    <w:rsid w:val="004D7227"/>
    <w:rsid w:val="004D7316"/>
    <w:rsid w:val="004D767B"/>
    <w:rsid w:val="004D7C2F"/>
    <w:rsid w:val="004E044A"/>
    <w:rsid w:val="004E0E7F"/>
    <w:rsid w:val="004E0EB8"/>
    <w:rsid w:val="004E18E9"/>
    <w:rsid w:val="004E2ADC"/>
    <w:rsid w:val="004E352E"/>
    <w:rsid w:val="004E43B2"/>
    <w:rsid w:val="004F1D02"/>
    <w:rsid w:val="004F2679"/>
    <w:rsid w:val="004F2F21"/>
    <w:rsid w:val="004F3DE5"/>
    <w:rsid w:val="004F4EF9"/>
    <w:rsid w:val="004F6913"/>
    <w:rsid w:val="004F6949"/>
    <w:rsid w:val="004F6EA0"/>
    <w:rsid w:val="004F7865"/>
    <w:rsid w:val="0050174E"/>
    <w:rsid w:val="00501854"/>
    <w:rsid w:val="00501F2C"/>
    <w:rsid w:val="0050219B"/>
    <w:rsid w:val="00503F17"/>
    <w:rsid w:val="00506928"/>
    <w:rsid w:val="005077EF"/>
    <w:rsid w:val="00511AD5"/>
    <w:rsid w:val="00511DC7"/>
    <w:rsid w:val="005120CF"/>
    <w:rsid w:val="005142C5"/>
    <w:rsid w:val="00514D1E"/>
    <w:rsid w:val="0051501B"/>
    <w:rsid w:val="005152B5"/>
    <w:rsid w:val="0052123C"/>
    <w:rsid w:val="00521319"/>
    <w:rsid w:val="00522B70"/>
    <w:rsid w:val="00522BC8"/>
    <w:rsid w:val="00523C28"/>
    <w:rsid w:val="00526DFA"/>
    <w:rsid w:val="0053176B"/>
    <w:rsid w:val="00536F42"/>
    <w:rsid w:val="00537182"/>
    <w:rsid w:val="00541B6C"/>
    <w:rsid w:val="00541EDD"/>
    <w:rsid w:val="00542743"/>
    <w:rsid w:val="00542C2D"/>
    <w:rsid w:val="005478BD"/>
    <w:rsid w:val="005479E3"/>
    <w:rsid w:val="00550467"/>
    <w:rsid w:val="00550468"/>
    <w:rsid w:val="00551985"/>
    <w:rsid w:val="005520F6"/>
    <w:rsid w:val="00552BD3"/>
    <w:rsid w:val="00552D26"/>
    <w:rsid w:val="005532A0"/>
    <w:rsid w:val="0055397B"/>
    <w:rsid w:val="00553E57"/>
    <w:rsid w:val="00555109"/>
    <w:rsid w:val="00556B35"/>
    <w:rsid w:val="0055741A"/>
    <w:rsid w:val="005611B7"/>
    <w:rsid w:val="005618D4"/>
    <w:rsid w:val="00565DF0"/>
    <w:rsid w:val="0056696F"/>
    <w:rsid w:val="00571687"/>
    <w:rsid w:val="00572269"/>
    <w:rsid w:val="0057244A"/>
    <w:rsid w:val="00572E25"/>
    <w:rsid w:val="00572F26"/>
    <w:rsid w:val="005750C5"/>
    <w:rsid w:val="005752DE"/>
    <w:rsid w:val="00575D8D"/>
    <w:rsid w:val="00576972"/>
    <w:rsid w:val="00577FBF"/>
    <w:rsid w:val="005802AB"/>
    <w:rsid w:val="00583699"/>
    <w:rsid w:val="00585CDD"/>
    <w:rsid w:val="00587058"/>
    <w:rsid w:val="0059024A"/>
    <w:rsid w:val="00591957"/>
    <w:rsid w:val="00595759"/>
    <w:rsid w:val="00597BF9"/>
    <w:rsid w:val="005A1D6D"/>
    <w:rsid w:val="005A309A"/>
    <w:rsid w:val="005A373D"/>
    <w:rsid w:val="005A4F38"/>
    <w:rsid w:val="005A75ED"/>
    <w:rsid w:val="005B0B58"/>
    <w:rsid w:val="005B4E53"/>
    <w:rsid w:val="005B5857"/>
    <w:rsid w:val="005B76FE"/>
    <w:rsid w:val="005C0B04"/>
    <w:rsid w:val="005C1B83"/>
    <w:rsid w:val="005C25B2"/>
    <w:rsid w:val="005C25FF"/>
    <w:rsid w:val="005C2D55"/>
    <w:rsid w:val="005C346B"/>
    <w:rsid w:val="005C34CE"/>
    <w:rsid w:val="005C5D52"/>
    <w:rsid w:val="005C6CBA"/>
    <w:rsid w:val="005D044D"/>
    <w:rsid w:val="005D0ABD"/>
    <w:rsid w:val="005D0E4E"/>
    <w:rsid w:val="005D18AD"/>
    <w:rsid w:val="005D1DC5"/>
    <w:rsid w:val="005D1F57"/>
    <w:rsid w:val="005D26B4"/>
    <w:rsid w:val="005E1569"/>
    <w:rsid w:val="005E3EAF"/>
    <w:rsid w:val="005E6CBC"/>
    <w:rsid w:val="005E72FF"/>
    <w:rsid w:val="005E73C0"/>
    <w:rsid w:val="005F2706"/>
    <w:rsid w:val="005F4B86"/>
    <w:rsid w:val="005F6A8F"/>
    <w:rsid w:val="005F6BB7"/>
    <w:rsid w:val="005F7588"/>
    <w:rsid w:val="006007CC"/>
    <w:rsid w:val="00603DB9"/>
    <w:rsid w:val="0060637C"/>
    <w:rsid w:val="00606FBA"/>
    <w:rsid w:val="00607669"/>
    <w:rsid w:val="006076F4"/>
    <w:rsid w:val="00607AFD"/>
    <w:rsid w:val="00612F97"/>
    <w:rsid w:val="0061345D"/>
    <w:rsid w:val="0061549B"/>
    <w:rsid w:val="00616802"/>
    <w:rsid w:val="0061734E"/>
    <w:rsid w:val="006176D3"/>
    <w:rsid w:val="00617E12"/>
    <w:rsid w:val="00620C25"/>
    <w:rsid w:val="00621477"/>
    <w:rsid w:val="00621ADA"/>
    <w:rsid w:val="00621C68"/>
    <w:rsid w:val="006234C1"/>
    <w:rsid w:val="00623F7B"/>
    <w:rsid w:val="00626747"/>
    <w:rsid w:val="00630B0B"/>
    <w:rsid w:val="0063158F"/>
    <w:rsid w:val="00631D6B"/>
    <w:rsid w:val="00632183"/>
    <w:rsid w:val="00632E54"/>
    <w:rsid w:val="006330A1"/>
    <w:rsid w:val="00633CE5"/>
    <w:rsid w:val="0063479F"/>
    <w:rsid w:val="006353F0"/>
    <w:rsid w:val="006357B5"/>
    <w:rsid w:val="006364A1"/>
    <w:rsid w:val="0063678E"/>
    <w:rsid w:val="00636D92"/>
    <w:rsid w:val="00637BFD"/>
    <w:rsid w:val="00641C4E"/>
    <w:rsid w:val="00641FB3"/>
    <w:rsid w:val="0064434C"/>
    <w:rsid w:val="006471CC"/>
    <w:rsid w:val="00647A29"/>
    <w:rsid w:val="0065079F"/>
    <w:rsid w:val="00652A28"/>
    <w:rsid w:val="0065373E"/>
    <w:rsid w:val="0065379F"/>
    <w:rsid w:val="00654DEC"/>
    <w:rsid w:val="00655FC3"/>
    <w:rsid w:val="00656188"/>
    <w:rsid w:val="0065715A"/>
    <w:rsid w:val="006610F1"/>
    <w:rsid w:val="006612E7"/>
    <w:rsid w:val="00661C6B"/>
    <w:rsid w:val="006659CC"/>
    <w:rsid w:val="00671004"/>
    <w:rsid w:val="00672646"/>
    <w:rsid w:val="00674375"/>
    <w:rsid w:val="00674E42"/>
    <w:rsid w:val="00675DB4"/>
    <w:rsid w:val="00680A78"/>
    <w:rsid w:val="006813F8"/>
    <w:rsid w:val="00682112"/>
    <w:rsid w:val="00682BA6"/>
    <w:rsid w:val="0068437F"/>
    <w:rsid w:val="00686957"/>
    <w:rsid w:val="006872BA"/>
    <w:rsid w:val="00690795"/>
    <w:rsid w:val="006908B6"/>
    <w:rsid w:val="00690A35"/>
    <w:rsid w:val="00691648"/>
    <w:rsid w:val="006917D7"/>
    <w:rsid w:val="0069434C"/>
    <w:rsid w:val="00694F44"/>
    <w:rsid w:val="00696F51"/>
    <w:rsid w:val="006979A5"/>
    <w:rsid w:val="006A1947"/>
    <w:rsid w:val="006A6B99"/>
    <w:rsid w:val="006A7E5F"/>
    <w:rsid w:val="006B01DE"/>
    <w:rsid w:val="006B0B89"/>
    <w:rsid w:val="006B261B"/>
    <w:rsid w:val="006B2C90"/>
    <w:rsid w:val="006B303C"/>
    <w:rsid w:val="006B350C"/>
    <w:rsid w:val="006B35E6"/>
    <w:rsid w:val="006B465A"/>
    <w:rsid w:val="006B578B"/>
    <w:rsid w:val="006B6DD0"/>
    <w:rsid w:val="006C0399"/>
    <w:rsid w:val="006C1688"/>
    <w:rsid w:val="006C27FE"/>
    <w:rsid w:val="006C2A8E"/>
    <w:rsid w:val="006C3255"/>
    <w:rsid w:val="006C3829"/>
    <w:rsid w:val="006C3F26"/>
    <w:rsid w:val="006C7D42"/>
    <w:rsid w:val="006D0D17"/>
    <w:rsid w:val="006D19F7"/>
    <w:rsid w:val="006D3C7D"/>
    <w:rsid w:val="006D3F6F"/>
    <w:rsid w:val="006D4659"/>
    <w:rsid w:val="006D5D5F"/>
    <w:rsid w:val="006D68FB"/>
    <w:rsid w:val="006E02F8"/>
    <w:rsid w:val="006E2868"/>
    <w:rsid w:val="006E5742"/>
    <w:rsid w:val="006F306C"/>
    <w:rsid w:val="006F3C5D"/>
    <w:rsid w:val="006F63A5"/>
    <w:rsid w:val="006F7C27"/>
    <w:rsid w:val="0070142B"/>
    <w:rsid w:val="0070276E"/>
    <w:rsid w:val="00702F8F"/>
    <w:rsid w:val="007079FC"/>
    <w:rsid w:val="007106DF"/>
    <w:rsid w:val="00711A36"/>
    <w:rsid w:val="00714C26"/>
    <w:rsid w:val="0071529C"/>
    <w:rsid w:val="00715D25"/>
    <w:rsid w:val="007170DA"/>
    <w:rsid w:val="007172AD"/>
    <w:rsid w:val="00720801"/>
    <w:rsid w:val="00720AA8"/>
    <w:rsid w:val="00722B1B"/>
    <w:rsid w:val="0072416F"/>
    <w:rsid w:val="0072441B"/>
    <w:rsid w:val="00727C94"/>
    <w:rsid w:val="00731B0A"/>
    <w:rsid w:val="00731EAE"/>
    <w:rsid w:val="00732CD3"/>
    <w:rsid w:val="00733073"/>
    <w:rsid w:val="00735033"/>
    <w:rsid w:val="00735328"/>
    <w:rsid w:val="007360E8"/>
    <w:rsid w:val="0073685B"/>
    <w:rsid w:val="00737A90"/>
    <w:rsid w:val="00740DD5"/>
    <w:rsid w:val="007449BF"/>
    <w:rsid w:val="00746BC0"/>
    <w:rsid w:val="00747C9D"/>
    <w:rsid w:val="007510B4"/>
    <w:rsid w:val="00752142"/>
    <w:rsid w:val="007523F9"/>
    <w:rsid w:val="007530E2"/>
    <w:rsid w:val="0075357E"/>
    <w:rsid w:val="00756D0F"/>
    <w:rsid w:val="007573E8"/>
    <w:rsid w:val="00760C4E"/>
    <w:rsid w:val="00760CEB"/>
    <w:rsid w:val="00760F9E"/>
    <w:rsid w:val="007627BE"/>
    <w:rsid w:val="00762C1D"/>
    <w:rsid w:val="00764F03"/>
    <w:rsid w:val="00765B1A"/>
    <w:rsid w:val="00766836"/>
    <w:rsid w:val="00774469"/>
    <w:rsid w:val="00777335"/>
    <w:rsid w:val="00780B7A"/>
    <w:rsid w:val="00781CEE"/>
    <w:rsid w:val="00783D0B"/>
    <w:rsid w:val="00784058"/>
    <w:rsid w:val="007843F2"/>
    <w:rsid w:val="0078568D"/>
    <w:rsid w:val="00785A9F"/>
    <w:rsid w:val="007862A7"/>
    <w:rsid w:val="007872A1"/>
    <w:rsid w:val="00791830"/>
    <w:rsid w:val="007925DF"/>
    <w:rsid w:val="00792F02"/>
    <w:rsid w:val="00794D9A"/>
    <w:rsid w:val="00796B47"/>
    <w:rsid w:val="007A08AA"/>
    <w:rsid w:val="007A0A12"/>
    <w:rsid w:val="007A132D"/>
    <w:rsid w:val="007A1345"/>
    <w:rsid w:val="007A1588"/>
    <w:rsid w:val="007A2529"/>
    <w:rsid w:val="007A2DDB"/>
    <w:rsid w:val="007A70BA"/>
    <w:rsid w:val="007A76D3"/>
    <w:rsid w:val="007B0D68"/>
    <w:rsid w:val="007B251D"/>
    <w:rsid w:val="007B4F58"/>
    <w:rsid w:val="007B528D"/>
    <w:rsid w:val="007B63CA"/>
    <w:rsid w:val="007B77D1"/>
    <w:rsid w:val="007B7CF1"/>
    <w:rsid w:val="007C07C7"/>
    <w:rsid w:val="007C17CC"/>
    <w:rsid w:val="007C1CD9"/>
    <w:rsid w:val="007C32EF"/>
    <w:rsid w:val="007C361D"/>
    <w:rsid w:val="007C4B84"/>
    <w:rsid w:val="007C500D"/>
    <w:rsid w:val="007C70FF"/>
    <w:rsid w:val="007C7C25"/>
    <w:rsid w:val="007D004F"/>
    <w:rsid w:val="007D0B38"/>
    <w:rsid w:val="007D3447"/>
    <w:rsid w:val="007D36C5"/>
    <w:rsid w:val="007D4FA7"/>
    <w:rsid w:val="007D5440"/>
    <w:rsid w:val="007D69EB"/>
    <w:rsid w:val="007D7FB0"/>
    <w:rsid w:val="007E128F"/>
    <w:rsid w:val="007E78D7"/>
    <w:rsid w:val="007E7F1A"/>
    <w:rsid w:val="007F1017"/>
    <w:rsid w:val="007F4A3F"/>
    <w:rsid w:val="007F4A61"/>
    <w:rsid w:val="007F5255"/>
    <w:rsid w:val="007F53FD"/>
    <w:rsid w:val="007F55E2"/>
    <w:rsid w:val="007F56CC"/>
    <w:rsid w:val="007F58B6"/>
    <w:rsid w:val="007F61C2"/>
    <w:rsid w:val="007F7DF2"/>
    <w:rsid w:val="008024BC"/>
    <w:rsid w:val="00805142"/>
    <w:rsid w:val="00805FCE"/>
    <w:rsid w:val="00807A8B"/>
    <w:rsid w:val="00811383"/>
    <w:rsid w:val="00812149"/>
    <w:rsid w:val="00812166"/>
    <w:rsid w:val="00812CAC"/>
    <w:rsid w:val="00814F74"/>
    <w:rsid w:val="00816361"/>
    <w:rsid w:val="008166EF"/>
    <w:rsid w:val="00816FEF"/>
    <w:rsid w:val="00820644"/>
    <w:rsid w:val="00820922"/>
    <w:rsid w:val="00820A8C"/>
    <w:rsid w:val="008215DB"/>
    <w:rsid w:val="008215FB"/>
    <w:rsid w:val="00823174"/>
    <w:rsid w:val="00823706"/>
    <w:rsid w:val="00823D05"/>
    <w:rsid w:val="00825751"/>
    <w:rsid w:val="008264EB"/>
    <w:rsid w:val="00830007"/>
    <w:rsid w:val="00831DEE"/>
    <w:rsid w:val="00833B05"/>
    <w:rsid w:val="008362B4"/>
    <w:rsid w:val="00840947"/>
    <w:rsid w:val="00840CA2"/>
    <w:rsid w:val="0084374F"/>
    <w:rsid w:val="00843AE9"/>
    <w:rsid w:val="00844A22"/>
    <w:rsid w:val="00847703"/>
    <w:rsid w:val="00847DF5"/>
    <w:rsid w:val="00850D3D"/>
    <w:rsid w:val="0085190F"/>
    <w:rsid w:val="0085309D"/>
    <w:rsid w:val="00856897"/>
    <w:rsid w:val="00856E9A"/>
    <w:rsid w:val="008579DD"/>
    <w:rsid w:val="008600BD"/>
    <w:rsid w:val="0086075D"/>
    <w:rsid w:val="00862502"/>
    <w:rsid w:val="00862CC1"/>
    <w:rsid w:val="0086319F"/>
    <w:rsid w:val="00864DA7"/>
    <w:rsid w:val="008660D4"/>
    <w:rsid w:val="00867A39"/>
    <w:rsid w:val="00871FA9"/>
    <w:rsid w:val="008728E9"/>
    <w:rsid w:val="008749FB"/>
    <w:rsid w:val="008815D7"/>
    <w:rsid w:val="00882874"/>
    <w:rsid w:val="00882E3C"/>
    <w:rsid w:val="008831FC"/>
    <w:rsid w:val="00883787"/>
    <w:rsid w:val="008855E4"/>
    <w:rsid w:val="00886CD2"/>
    <w:rsid w:val="00890D2D"/>
    <w:rsid w:val="00891E6F"/>
    <w:rsid w:val="0089275D"/>
    <w:rsid w:val="00892A36"/>
    <w:rsid w:val="00893239"/>
    <w:rsid w:val="00893FFB"/>
    <w:rsid w:val="00894489"/>
    <w:rsid w:val="008963A5"/>
    <w:rsid w:val="00896D5D"/>
    <w:rsid w:val="008A3363"/>
    <w:rsid w:val="008A3371"/>
    <w:rsid w:val="008A3C3E"/>
    <w:rsid w:val="008A42D8"/>
    <w:rsid w:val="008A57BE"/>
    <w:rsid w:val="008A5D26"/>
    <w:rsid w:val="008A79DE"/>
    <w:rsid w:val="008B1757"/>
    <w:rsid w:val="008B515E"/>
    <w:rsid w:val="008B7070"/>
    <w:rsid w:val="008B7992"/>
    <w:rsid w:val="008B7D7E"/>
    <w:rsid w:val="008C0301"/>
    <w:rsid w:val="008C0602"/>
    <w:rsid w:val="008C313E"/>
    <w:rsid w:val="008C5610"/>
    <w:rsid w:val="008C5739"/>
    <w:rsid w:val="008C7ECB"/>
    <w:rsid w:val="008D3B86"/>
    <w:rsid w:val="008D4755"/>
    <w:rsid w:val="008D4C3D"/>
    <w:rsid w:val="008D743C"/>
    <w:rsid w:val="008D7950"/>
    <w:rsid w:val="008E0D3C"/>
    <w:rsid w:val="008E1B9E"/>
    <w:rsid w:val="008E55AB"/>
    <w:rsid w:val="008F120A"/>
    <w:rsid w:val="008F21DA"/>
    <w:rsid w:val="008F27E0"/>
    <w:rsid w:val="008F48EB"/>
    <w:rsid w:val="008F4F0B"/>
    <w:rsid w:val="008F5836"/>
    <w:rsid w:val="00904568"/>
    <w:rsid w:val="009046C4"/>
    <w:rsid w:val="009051F4"/>
    <w:rsid w:val="00906220"/>
    <w:rsid w:val="009062A5"/>
    <w:rsid w:val="00910FA7"/>
    <w:rsid w:val="00911272"/>
    <w:rsid w:val="009135D6"/>
    <w:rsid w:val="0091409D"/>
    <w:rsid w:val="00914AF4"/>
    <w:rsid w:val="00914C77"/>
    <w:rsid w:val="009211A1"/>
    <w:rsid w:val="00921ACB"/>
    <w:rsid w:val="0092369B"/>
    <w:rsid w:val="00923FD1"/>
    <w:rsid w:val="0092511A"/>
    <w:rsid w:val="00934988"/>
    <w:rsid w:val="00934C5B"/>
    <w:rsid w:val="00935044"/>
    <w:rsid w:val="00937089"/>
    <w:rsid w:val="00940356"/>
    <w:rsid w:val="00940E1C"/>
    <w:rsid w:val="00941CF0"/>
    <w:rsid w:val="009441D0"/>
    <w:rsid w:val="00944F8A"/>
    <w:rsid w:val="009501B8"/>
    <w:rsid w:val="009510A2"/>
    <w:rsid w:val="00952B2B"/>
    <w:rsid w:val="00953257"/>
    <w:rsid w:val="0095474C"/>
    <w:rsid w:val="009628F1"/>
    <w:rsid w:val="00962CB9"/>
    <w:rsid w:val="00964312"/>
    <w:rsid w:val="00965B8A"/>
    <w:rsid w:val="00967D04"/>
    <w:rsid w:val="0097071F"/>
    <w:rsid w:val="009717AC"/>
    <w:rsid w:val="00972CA5"/>
    <w:rsid w:val="009745E8"/>
    <w:rsid w:val="009751C1"/>
    <w:rsid w:val="009754D5"/>
    <w:rsid w:val="00976F05"/>
    <w:rsid w:val="009811F1"/>
    <w:rsid w:val="00982FFB"/>
    <w:rsid w:val="00983E57"/>
    <w:rsid w:val="00984346"/>
    <w:rsid w:val="00984F8C"/>
    <w:rsid w:val="00985DE2"/>
    <w:rsid w:val="0098675D"/>
    <w:rsid w:val="009926E0"/>
    <w:rsid w:val="0099451E"/>
    <w:rsid w:val="00996B1A"/>
    <w:rsid w:val="00996F82"/>
    <w:rsid w:val="009A08DC"/>
    <w:rsid w:val="009A2512"/>
    <w:rsid w:val="009A2DCC"/>
    <w:rsid w:val="009A3E53"/>
    <w:rsid w:val="009A5ABC"/>
    <w:rsid w:val="009A7EED"/>
    <w:rsid w:val="009A7F10"/>
    <w:rsid w:val="009B0926"/>
    <w:rsid w:val="009B38E8"/>
    <w:rsid w:val="009B3E04"/>
    <w:rsid w:val="009B3E26"/>
    <w:rsid w:val="009C069B"/>
    <w:rsid w:val="009C1497"/>
    <w:rsid w:val="009C3706"/>
    <w:rsid w:val="009C3A3A"/>
    <w:rsid w:val="009C5998"/>
    <w:rsid w:val="009C6CEA"/>
    <w:rsid w:val="009C74DC"/>
    <w:rsid w:val="009C7B85"/>
    <w:rsid w:val="009D0254"/>
    <w:rsid w:val="009D1A64"/>
    <w:rsid w:val="009D5B91"/>
    <w:rsid w:val="009D792E"/>
    <w:rsid w:val="009E0DFE"/>
    <w:rsid w:val="009E31F6"/>
    <w:rsid w:val="009E4C07"/>
    <w:rsid w:val="009E63E2"/>
    <w:rsid w:val="009F23C8"/>
    <w:rsid w:val="00A01184"/>
    <w:rsid w:val="00A021F0"/>
    <w:rsid w:val="00A0257A"/>
    <w:rsid w:val="00A037C2"/>
    <w:rsid w:val="00A03D43"/>
    <w:rsid w:val="00A04380"/>
    <w:rsid w:val="00A05472"/>
    <w:rsid w:val="00A05C32"/>
    <w:rsid w:val="00A0653F"/>
    <w:rsid w:val="00A11CD0"/>
    <w:rsid w:val="00A136FA"/>
    <w:rsid w:val="00A13948"/>
    <w:rsid w:val="00A1555B"/>
    <w:rsid w:val="00A155C5"/>
    <w:rsid w:val="00A155E1"/>
    <w:rsid w:val="00A16AD8"/>
    <w:rsid w:val="00A209DD"/>
    <w:rsid w:val="00A21609"/>
    <w:rsid w:val="00A21C95"/>
    <w:rsid w:val="00A21CF3"/>
    <w:rsid w:val="00A22974"/>
    <w:rsid w:val="00A245AC"/>
    <w:rsid w:val="00A24813"/>
    <w:rsid w:val="00A25E1C"/>
    <w:rsid w:val="00A27AEC"/>
    <w:rsid w:val="00A312D3"/>
    <w:rsid w:val="00A320DB"/>
    <w:rsid w:val="00A35D16"/>
    <w:rsid w:val="00A36045"/>
    <w:rsid w:val="00A37BCD"/>
    <w:rsid w:val="00A403AC"/>
    <w:rsid w:val="00A41689"/>
    <w:rsid w:val="00A42592"/>
    <w:rsid w:val="00A43C59"/>
    <w:rsid w:val="00A4453D"/>
    <w:rsid w:val="00A50ECD"/>
    <w:rsid w:val="00A518F3"/>
    <w:rsid w:val="00A52729"/>
    <w:rsid w:val="00A53675"/>
    <w:rsid w:val="00A564D7"/>
    <w:rsid w:val="00A56B6A"/>
    <w:rsid w:val="00A578DC"/>
    <w:rsid w:val="00A60084"/>
    <w:rsid w:val="00A6020E"/>
    <w:rsid w:val="00A6252B"/>
    <w:rsid w:val="00A640E2"/>
    <w:rsid w:val="00A649B3"/>
    <w:rsid w:val="00A64D65"/>
    <w:rsid w:val="00A65883"/>
    <w:rsid w:val="00A6725B"/>
    <w:rsid w:val="00A70605"/>
    <w:rsid w:val="00A71916"/>
    <w:rsid w:val="00A71B71"/>
    <w:rsid w:val="00A73134"/>
    <w:rsid w:val="00A732F2"/>
    <w:rsid w:val="00A740C5"/>
    <w:rsid w:val="00A747B2"/>
    <w:rsid w:val="00A76001"/>
    <w:rsid w:val="00A777B2"/>
    <w:rsid w:val="00A825D4"/>
    <w:rsid w:val="00A828F6"/>
    <w:rsid w:val="00A82B73"/>
    <w:rsid w:val="00A83BF5"/>
    <w:rsid w:val="00A84170"/>
    <w:rsid w:val="00A86E8B"/>
    <w:rsid w:val="00A87164"/>
    <w:rsid w:val="00A87262"/>
    <w:rsid w:val="00A90386"/>
    <w:rsid w:val="00A92BAB"/>
    <w:rsid w:val="00A93072"/>
    <w:rsid w:val="00A930FA"/>
    <w:rsid w:val="00A938BD"/>
    <w:rsid w:val="00A93953"/>
    <w:rsid w:val="00A959D8"/>
    <w:rsid w:val="00AA113D"/>
    <w:rsid w:val="00AA1503"/>
    <w:rsid w:val="00AA62D3"/>
    <w:rsid w:val="00AA6893"/>
    <w:rsid w:val="00AA6BD5"/>
    <w:rsid w:val="00AA6BD8"/>
    <w:rsid w:val="00AA6C7D"/>
    <w:rsid w:val="00AA73BF"/>
    <w:rsid w:val="00AA7FD6"/>
    <w:rsid w:val="00AB042A"/>
    <w:rsid w:val="00AB19EF"/>
    <w:rsid w:val="00AB2817"/>
    <w:rsid w:val="00AB2D34"/>
    <w:rsid w:val="00AB3430"/>
    <w:rsid w:val="00AB37B9"/>
    <w:rsid w:val="00AB4AD1"/>
    <w:rsid w:val="00AB5E07"/>
    <w:rsid w:val="00AB7CFA"/>
    <w:rsid w:val="00AB7F72"/>
    <w:rsid w:val="00AC4836"/>
    <w:rsid w:val="00AC577C"/>
    <w:rsid w:val="00AC5B48"/>
    <w:rsid w:val="00AC6CF1"/>
    <w:rsid w:val="00AD1450"/>
    <w:rsid w:val="00AD6502"/>
    <w:rsid w:val="00AD7E65"/>
    <w:rsid w:val="00AD7E9D"/>
    <w:rsid w:val="00AE0695"/>
    <w:rsid w:val="00AE2777"/>
    <w:rsid w:val="00AE3955"/>
    <w:rsid w:val="00AE3E7E"/>
    <w:rsid w:val="00AE62F3"/>
    <w:rsid w:val="00AF1315"/>
    <w:rsid w:val="00AF19BF"/>
    <w:rsid w:val="00AF1F06"/>
    <w:rsid w:val="00AF2DC3"/>
    <w:rsid w:val="00AF4CA4"/>
    <w:rsid w:val="00AF6AEE"/>
    <w:rsid w:val="00B001EF"/>
    <w:rsid w:val="00B01453"/>
    <w:rsid w:val="00B033E5"/>
    <w:rsid w:val="00B03A63"/>
    <w:rsid w:val="00B04602"/>
    <w:rsid w:val="00B1601C"/>
    <w:rsid w:val="00B201A4"/>
    <w:rsid w:val="00B201D1"/>
    <w:rsid w:val="00B20D89"/>
    <w:rsid w:val="00B213A6"/>
    <w:rsid w:val="00B21F27"/>
    <w:rsid w:val="00B2316A"/>
    <w:rsid w:val="00B235B0"/>
    <w:rsid w:val="00B23FBB"/>
    <w:rsid w:val="00B24DD4"/>
    <w:rsid w:val="00B24DF6"/>
    <w:rsid w:val="00B34FE2"/>
    <w:rsid w:val="00B35166"/>
    <w:rsid w:val="00B357D8"/>
    <w:rsid w:val="00B360F4"/>
    <w:rsid w:val="00B36A00"/>
    <w:rsid w:val="00B36E2B"/>
    <w:rsid w:val="00B373F2"/>
    <w:rsid w:val="00B37BFC"/>
    <w:rsid w:val="00B40358"/>
    <w:rsid w:val="00B41614"/>
    <w:rsid w:val="00B42851"/>
    <w:rsid w:val="00B42F80"/>
    <w:rsid w:val="00B435CB"/>
    <w:rsid w:val="00B4477C"/>
    <w:rsid w:val="00B505C8"/>
    <w:rsid w:val="00B50DB8"/>
    <w:rsid w:val="00B53654"/>
    <w:rsid w:val="00B53905"/>
    <w:rsid w:val="00B54722"/>
    <w:rsid w:val="00B54B5B"/>
    <w:rsid w:val="00B551CE"/>
    <w:rsid w:val="00B5562E"/>
    <w:rsid w:val="00B55D65"/>
    <w:rsid w:val="00B57000"/>
    <w:rsid w:val="00B577B1"/>
    <w:rsid w:val="00B60939"/>
    <w:rsid w:val="00B60AFD"/>
    <w:rsid w:val="00B61CF5"/>
    <w:rsid w:val="00B62192"/>
    <w:rsid w:val="00B62715"/>
    <w:rsid w:val="00B64795"/>
    <w:rsid w:val="00B65611"/>
    <w:rsid w:val="00B66C6B"/>
    <w:rsid w:val="00B70E8E"/>
    <w:rsid w:val="00B72F24"/>
    <w:rsid w:val="00B76C92"/>
    <w:rsid w:val="00B771C9"/>
    <w:rsid w:val="00B818A4"/>
    <w:rsid w:val="00B84117"/>
    <w:rsid w:val="00B858F0"/>
    <w:rsid w:val="00B85AA2"/>
    <w:rsid w:val="00B8649C"/>
    <w:rsid w:val="00B8695D"/>
    <w:rsid w:val="00B87F0A"/>
    <w:rsid w:val="00B909D5"/>
    <w:rsid w:val="00B91B52"/>
    <w:rsid w:val="00B92D0B"/>
    <w:rsid w:val="00B94945"/>
    <w:rsid w:val="00B94DD6"/>
    <w:rsid w:val="00B95FC5"/>
    <w:rsid w:val="00B9600B"/>
    <w:rsid w:val="00B97755"/>
    <w:rsid w:val="00BA322D"/>
    <w:rsid w:val="00BA5548"/>
    <w:rsid w:val="00BA63FA"/>
    <w:rsid w:val="00BB00B3"/>
    <w:rsid w:val="00BB0BDD"/>
    <w:rsid w:val="00BB176C"/>
    <w:rsid w:val="00BB20CC"/>
    <w:rsid w:val="00BB2A73"/>
    <w:rsid w:val="00BB3698"/>
    <w:rsid w:val="00BB3A45"/>
    <w:rsid w:val="00BB4ACC"/>
    <w:rsid w:val="00BB703E"/>
    <w:rsid w:val="00BB732D"/>
    <w:rsid w:val="00BB7405"/>
    <w:rsid w:val="00BC2CF9"/>
    <w:rsid w:val="00BC3631"/>
    <w:rsid w:val="00BC4905"/>
    <w:rsid w:val="00BC591F"/>
    <w:rsid w:val="00BC7AED"/>
    <w:rsid w:val="00BC7D6D"/>
    <w:rsid w:val="00BD100F"/>
    <w:rsid w:val="00BD2108"/>
    <w:rsid w:val="00BD2507"/>
    <w:rsid w:val="00BD3D16"/>
    <w:rsid w:val="00BD3E78"/>
    <w:rsid w:val="00BD68A3"/>
    <w:rsid w:val="00BD6938"/>
    <w:rsid w:val="00BD6CF3"/>
    <w:rsid w:val="00BD792B"/>
    <w:rsid w:val="00BE0ECA"/>
    <w:rsid w:val="00BE2180"/>
    <w:rsid w:val="00BE21F2"/>
    <w:rsid w:val="00BE390B"/>
    <w:rsid w:val="00BE4275"/>
    <w:rsid w:val="00BE67A2"/>
    <w:rsid w:val="00BE7B72"/>
    <w:rsid w:val="00BF06AE"/>
    <w:rsid w:val="00BF06FC"/>
    <w:rsid w:val="00BF0C98"/>
    <w:rsid w:val="00BF0F95"/>
    <w:rsid w:val="00BF2433"/>
    <w:rsid w:val="00BF61C9"/>
    <w:rsid w:val="00BF6C94"/>
    <w:rsid w:val="00C00424"/>
    <w:rsid w:val="00C04F69"/>
    <w:rsid w:val="00C071B9"/>
    <w:rsid w:val="00C10989"/>
    <w:rsid w:val="00C11085"/>
    <w:rsid w:val="00C1179F"/>
    <w:rsid w:val="00C12C14"/>
    <w:rsid w:val="00C15F04"/>
    <w:rsid w:val="00C173E3"/>
    <w:rsid w:val="00C179B3"/>
    <w:rsid w:val="00C17E3F"/>
    <w:rsid w:val="00C200AA"/>
    <w:rsid w:val="00C21D9B"/>
    <w:rsid w:val="00C237ED"/>
    <w:rsid w:val="00C24632"/>
    <w:rsid w:val="00C25418"/>
    <w:rsid w:val="00C25D9C"/>
    <w:rsid w:val="00C2778B"/>
    <w:rsid w:val="00C31649"/>
    <w:rsid w:val="00C3172C"/>
    <w:rsid w:val="00C3434C"/>
    <w:rsid w:val="00C351B8"/>
    <w:rsid w:val="00C40385"/>
    <w:rsid w:val="00C41768"/>
    <w:rsid w:val="00C42F6B"/>
    <w:rsid w:val="00C453BB"/>
    <w:rsid w:val="00C475AA"/>
    <w:rsid w:val="00C50FFD"/>
    <w:rsid w:val="00C53C98"/>
    <w:rsid w:val="00C548D7"/>
    <w:rsid w:val="00C56AF3"/>
    <w:rsid w:val="00C56FCF"/>
    <w:rsid w:val="00C57B6C"/>
    <w:rsid w:val="00C628A6"/>
    <w:rsid w:val="00C63BB9"/>
    <w:rsid w:val="00C64344"/>
    <w:rsid w:val="00C65108"/>
    <w:rsid w:val="00C65576"/>
    <w:rsid w:val="00C66165"/>
    <w:rsid w:val="00C7060A"/>
    <w:rsid w:val="00C7151A"/>
    <w:rsid w:val="00C717E3"/>
    <w:rsid w:val="00C71F60"/>
    <w:rsid w:val="00C72241"/>
    <w:rsid w:val="00C72639"/>
    <w:rsid w:val="00C750C8"/>
    <w:rsid w:val="00C7560F"/>
    <w:rsid w:val="00C76C2F"/>
    <w:rsid w:val="00C77C29"/>
    <w:rsid w:val="00C807D9"/>
    <w:rsid w:val="00C80827"/>
    <w:rsid w:val="00C80A0E"/>
    <w:rsid w:val="00C80B17"/>
    <w:rsid w:val="00C8213F"/>
    <w:rsid w:val="00C833D9"/>
    <w:rsid w:val="00C85154"/>
    <w:rsid w:val="00C86AE7"/>
    <w:rsid w:val="00C871ED"/>
    <w:rsid w:val="00C876B1"/>
    <w:rsid w:val="00C8797A"/>
    <w:rsid w:val="00C900B8"/>
    <w:rsid w:val="00C90C71"/>
    <w:rsid w:val="00C91FD1"/>
    <w:rsid w:val="00C931CF"/>
    <w:rsid w:val="00C938CF"/>
    <w:rsid w:val="00C94053"/>
    <w:rsid w:val="00C95F91"/>
    <w:rsid w:val="00C9624D"/>
    <w:rsid w:val="00C969DA"/>
    <w:rsid w:val="00CA2C77"/>
    <w:rsid w:val="00CA444F"/>
    <w:rsid w:val="00CA515C"/>
    <w:rsid w:val="00CA5245"/>
    <w:rsid w:val="00CA71F4"/>
    <w:rsid w:val="00CA7B09"/>
    <w:rsid w:val="00CB12A5"/>
    <w:rsid w:val="00CB1CAC"/>
    <w:rsid w:val="00CB2F2A"/>
    <w:rsid w:val="00CB5039"/>
    <w:rsid w:val="00CB50AA"/>
    <w:rsid w:val="00CB5B1A"/>
    <w:rsid w:val="00CB6B22"/>
    <w:rsid w:val="00CB7F5F"/>
    <w:rsid w:val="00CC1B39"/>
    <w:rsid w:val="00CC35EA"/>
    <w:rsid w:val="00CC3848"/>
    <w:rsid w:val="00CC3CDF"/>
    <w:rsid w:val="00CC571B"/>
    <w:rsid w:val="00CC6886"/>
    <w:rsid w:val="00CD3F77"/>
    <w:rsid w:val="00CD6ADC"/>
    <w:rsid w:val="00CD7193"/>
    <w:rsid w:val="00CE3311"/>
    <w:rsid w:val="00CE33E6"/>
    <w:rsid w:val="00CE3649"/>
    <w:rsid w:val="00CE38C8"/>
    <w:rsid w:val="00CE3DDF"/>
    <w:rsid w:val="00CE6274"/>
    <w:rsid w:val="00CE77B6"/>
    <w:rsid w:val="00CF216C"/>
    <w:rsid w:val="00CF2B8D"/>
    <w:rsid w:val="00CF3B76"/>
    <w:rsid w:val="00CF456B"/>
    <w:rsid w:val="00CF48B3"/>
    <w:rsid w:val="00CF5A22"/>
    <w:rsid w:val="00D0262E"/>
    <w:rsid w:val="00D04BC7"/>
    <w:rsid w:val="00D05E3D"/>
    <w:rsid w:val="00D06139"/>
    <w:rsid w:val="00D06657"/>
    <w:rsid w:val="00D110BD"/>
    <w:rsid w:val="00D134D8"/>
    <w:rsid w:val="00D13675"/>
    <w:rsid w:val="00D1376B"/>
    <w:rsid w:val="00D141E1"/>
    <w:rsid w:val="00D14E2C"/>
    <w:rsid w:val="00D15314"/>
    <w:rsid w:val="00D17D6C"/>
    <w:rsid w:val="00D2155B"/>
    <w:rsid w:val="00D23D11"/>
    <w:rsid w:val="00D244B6"/>
    <w:rsid w:val="00D2707A"/>
    <w:rsid w:val="00D2754D"/>
    <w:rsid w:val="00D27B27"/>
    <w:rsid w:val="00D30A54"/>
    <w:rsid w:val="00D33BE9"/>
    <w:rsid w:val="00D33F93"/>
    <w:rsid w:val="00D357FF"/>
    <w:rsid w:val="00D37CA2"/>
    <w:rsid w:val="00D424C7"/>
    <w:rsid w:val="00D43B2A"/>
    <w:rsid w:val="00D43D83"/>
    <w:rsid w:val="00D44A75"/>
    <w:rsid w:val="00D44C60"/>
    <w:rsid w:val="00D47575"/>
    <w:rsid w:val="00D5243B"/>
    <w:rsid w:val="00D533EC"/>
    <w:rsid w:val="00D56A95"/>
    <w:rsid w:val="00D60511"/>
    <w:rsid w:val="00D60938"/>
    <w:rsid w:val="00D60C2D"/>
    <w:rsid w:val="00D65890"/>
    <w:rsid w:val="00D70F16"/>
    <w:rsid w:val="00D72F57"/>
    <w:rsid w:val="00D76A44"/>
    <w:rsid w:val="00D815EF"/>
    <w:rsid w:val="00D81F26"/>
    <w:rsid w:val="00D86231"/>
    <w:rsid w:val="00D87FA7"/>
    <w:rsid w:val="00D91923"/>
    <w:rsid w:val="00D93747"/>
    <w:rsid w:val="00D93753"/>
    <w:rsid w:val="00DA3167"/>
    <w:rsid w:val="00DA3B4A"/>
    <w:rsid w:val="00DA4385"/>
    <w:rsid w:val="00DA4DC3"/>
    <w:rsid w:val="00DA53A1"/>
    <w:rsid w:val="00DA6367"/>
    <w:rsid w:val="00DA77A5"/>
    <w:rsid w:val="00DB2E98"/>
    <w:rsid w:val="00DB3448"/>
    <w:rsid w:val="00DB3DBF"/>
    <w:rsid w:val="00DB484F"/>
    <w:rsid w:val="00DC016D"/>
    <w:rsid w:val="00DC04F6"/>
    <w:rsid w:val="00DC0690"/>
    <w:rsid w:val="00DC0E78"/>
    <w:rsid w:val="00DC1725"/>
    <w:rsid w:val="00DC1D65"/>
    <w:rsid w:val="00DC302F"/>
    <w:rsid w:val="00DC3096"/>
    <w:rsid w:val="00DC3C57"/>
    <w:rsid w:val="00DC5501"/>
    <w:rsid w:val="00DC5755"/>
    <w:rsid w:val="00DC7154"/>
    <w:rsid w:val="00DC7E8A"/>
    <w:rsid w:val="00DD0F78"/>
    <w:rsid w:val="00DD273C"/>
    <w:rsid w:val="00DD3F28"/>
    <w:rsid w:val="00DD4537"/>
    <w:rsid w:val="00DD4E15"/>
    <w:rsid w:val="00DD6FD0"/>
    <w:rsid w:val="00DD74A6"/>
    <w:rsid w:val="00DD7FA2"/>
    <w:rsid w:val="00DE2304"/>
    <w:rsid w:val="00DE2EEC"/>
    <w:rsid w:val="00DE3138"/>
    <w:rsid w:val="00DE37F8"/>
    <w:rsid w:val="00DE41F8"/>
    <w:rsid w:val="00DE4FCB"/>
    <w:rsid w:val="00DE5D07"/>
    <w:rsid w:val="00DE6C0E"/>
    <w:rsid w:val="00DE72A7"/>
    <w:rsid w:val="00DE7832"/>
    <w:rsid w:val="00DF0D26"/>
    <w:rsid w:val="00DF18FC"/>
    <w:rsid w:val="00DF36E2"/>
    <w:rsid w:val="00DF5D2B"/>
    <w:rsid w:val="00DF5E0B"/>
    <w:rsid w:val="00DF5EF9"/>
    <w:rsid w:val="00E00E8E"/>
    <w:rsid w:val="00E02B49"/>
    <w:rsid w:val="00E0458A"/>
    <w:rsid w:val="00E05630"/>
    <w:rsid w:val="00E06DBB"/>
    <w:rsid w:val="00E10149"/>
    <w:rsid w:val="00E11340"/>
    <w:rsid w:val="00E122A1"/>
    <w:rsid w:val="00E12C85"/>
    <w:rsid w:val="00E16372"/>
    <w:rsid w:val="00E1726B"/>
    <w:rsid w:val="00E20E4D"/>
    <w:rsid w:val="00E20ED6"/>
    <w:rsid w:val="00E2123D"/>
    <w:rsid w:val="00E21358"/>
    <w:rsid w:val="00E2177E"/>
    <w:rsid w:val="00E2249B"/>
    <w:rsid w:val="00E22A0D"/>
    <w:rsid w:val="00E2330A"/>
    <w:rsid w:val="00E244F6"/>
    <w:rsid w:val="00E2771E"/>
    <w:rsid w:val="00E311EF"/>
    <w:rsid w:val="00E32180"/>
    <w:rsid w:val="00E34948"/>
    <w:rsid w:val="00E37245"/>
    <w:rsid w:val="00E37569"/>
    <w:rsid w:val="00E401B2"/>
    <w:rsid w:val="00E41E07"/>
    <w:rsid w:val="00E41E30"/>
    <w:rsid w:val="00E42F73"/>
    <w:rsid w:val="00E43D70"/>
    <w:rsid w:val="00E44492"/>
    <w:rsid w:val="00E466F3"/>
    <w:rsid w:val="00E47B2C"/>
    <w:rsid w:val="00E51560"/>
    <w:rsid w:val="00E53FC8"/>
    <w:rsid w:val="00E54347"/>
    <w:rsid w:val="00E547CB"/>
    <w:rsid w:val="00E55424"/>
    <w:rsid w:val="00E55915"/>
    <w:rsid w:val="00E55BB5"/>
    <w:rsid w:val="00E56763"/>
    <w:rsid w:val="00E63F72"/>
    <w:rsid w:val="00E65E79"/>
    <w:rsid w:val="00E66BA2"/>
    <w:rsid w:val="00E67416"/>
    <w:rsid w:val="00E718B6"/>
    <w:rsid w:val="00E723BA"/>
    <w:rsid w:val="00E725D2"/>
    <w:rsid w:val="00E72C2F"/>
    <w:rsid w:val="00E73581"/>
    <w:rsid w:val="00E74371"/>
    <w:rsid w:val="00E74889"/>
    <w:rsid w:val="00E81269"/>
    <w:rsid w:val="00E819FE"/>
    <w:rsid w:val="00E832A4"/>
    <w:rsid w:val="00E833F7"/>
    <w:rsid w:val="00E83BDF"/>
    <w:rsid w:val="00E83C63"/>
    <w:rsid w:val="00E84A31"/>
    <w:rsid w:val="00E859F7"/>
    <w:rsid w:val="00E876CC"/>
    <w:rsid w:val="00E87A1D"/>
    <w:rsid w:val="00E9094A"/>
    <w:rsid w:val="00E91D35"/>
    <w:rsid w:val="00E926A5"/>
    <w:rsid w:val="00E9535A"/>
    <w:rsid w:val="00EA0787"/>
    <w:rsid w:val="00EA10EB"/>
    <w:rsid w:val="00EA17C3"/>
    <w:rsid w:val="00EA2CAA"/>
    <w:rsid w:val="00EA3864"/>
    <w:rsid w:val="00EA46BF"/>
    <w:rsid w:val="00EA7F1C"/>
    <w:rsid w:val="00EB15B6"/>
    <w:rsid w:val="00EB3D06"/>
    <w:rsid w:val="00EB4916"/>
    <w:rsid w:val="00EB62FB"/>
    <w:rsid w:val="00EB65B4"/>
    <w:rsid w:val="00EC00C9"/>
    <w:rsid w:val="00EC0358"/>
    <w:rsid w:val="00EC0DD9"/>
    <w:rsid w:val="00EC2649"/>
    <w:rsid w:val="00EC31ED"/>
    <w:rsid w:val="00EC3E99"/>
    <w:rsid w:val="00EC5836"/>
    <w:rsid w:val="00EC5B3E"/>
    <w:rsid w:val="00EC6253"/>
    <w:rsid w:val="00EC688C"/>
    <w:rsid w:val="00EC7BF6"/>
    <w:rsid w:val="00ED57EA"/>
    <w:rsid w:val="00ED5A87"/>
    <w:rsid w:val="00ED5BD4"/>
    <w:rsid w:val="00EE07D3"/>
    <w:rsid w:val="00EE1996"/>
    <w:rsid w:val="00EE1C01"/>
    <w:rsid w:val="00EE223C"/>
    <w:rsid w:val="00EE22AF"/>
    <w:rsid w:val="00EE37A5"/>
    <w:rsid w:val="00EE5FFC"/>
    <w:rsid w:val="00EE6DD5"/>
    <w:rsid w:val="00EE6F6F"/>
    <w:rsid w:val="00EE7A4E"/>
    <w:rsid w:val="00EF0171"/>
    <w:rsid w:val="00EF0D4D"/>
    <w:rsid w:val="00EF1B25"/>
    <w:rsid w:val="00EF1DA0"/>
    <w:rsid w:val="00EF4747"/>
    <w:rsid w:val="00EF4BF8"/>
    <w:rsid w:val="00EF6783"/>
    <w:rsid w:val="00EF7DD2"/>
    <w:rsid w:val="00F0084D"/>
    <w:rsid w:val="00F01696"/>
    <w:rsid w:val="00F02253"/>
    <w:rsid w:val="00F03C2E"/>
    <w:rsid w:val="00F04A66"/>
    <w:rsid w:val="00F04B4B"/>
    <w:rsid w:val="00F0516C"/>
    <w:rsid w:val="00F067A2"/>
    <w:rsid w:val="00F06FB2"/>
    <w:rsid w:val="00F07B9E"/>
    <w:rsid w:val="00F07F7A"/>
    <w:rsid w:val="00F1116F"/>
    <w:rsid w:val="00F1263A"/>
    <w:rsid w:val="00F15B77"/>
    <w:rsid w:val="00F24837"/>
    <w:rsid w:val="00F2575F"/>
    <w:rsid w:val="00F25901"/>
    <w:rsid w:val="00F27565"/>
    <w:rsid w:val="00F310D4"/>
    <w:rsid w:val="00F31D5A"/>
    <w:rsid w:val="00F33975"/>
    <w:rsid w:val="00F33DE9"/>
    <w:rsid w:val="00F349A3"/>
    <w:rsid w:val="00F35E6D"/>
    <w:rsid w:val="00F3619A"/>
    <w:rsid w:val="00F40AAA"/>
    <w:rsid w:val="00F40BA7"/>
    <w:rsid w:val="00F40F9D"/>
    <w:rsid w:val="00F41ACD"/>
    <w:rsid w:val="00F453F3"/>
    <w:rsid w:val="00F46C13"/>
    <w:rsid w:val="00F46CB6"/>
    <w:rsid w:val="00F4756D"/>
    <w:rsid w:val="00F47DE8"/>
    <w:rsid w:val="00F540B0"/>
    <w:rsid w:val="00F542C1"/>
    <w:rsid w:val="00F54A48"/>
    <w:rsid w:val="00F55B9B"/>
    <w:rsid w:val="00F55E73"/>
    <w:rsid w:val="00F55EDA"/>
    <w:rsid w:val="00F56C80"/>
    <w:rsid w:val="00F60092"/>
    <w:rsid w:val="00F61C18"/>
    <w:rsid w:val="00F6507C"/>
    <w:rsid w:val="00F65F4B"/>
    <w:rsid w:val="00F679BB"/>
    <w:rsid w:val="00F67A69"/>
    <w:rsid w:val="00F704CD"/>
    <w:rsid w:val="00F7099C"/>
    <w:rsid w:val="00F70BFF"/>
    <w:rsid w:val="00F70C9D"/>
    <w:rsid w:val="00F71965"/>
    <w:rsid w:val="00F74CD9"/>
    <w:rsid w:val="00F80A7B"/>
    <w:rsid w:val="00F80E29"/>
    <w:rsid w:val="00F80E5D"/>
    <w:rsid w:val="00F81E78"/>
    <w:rsid w:val="00F823CC"/>
    <w:rsid w:val="00F851CE"/>
    <w:rsid w:val="00F866A6"/>
    <w:rsid w:val="00F91219"/>
    <w:rsid w:val="00F92444"/>
    <w:rsid w:val="00F9393E"/>
    <w:rsid w:val="00F93B61"/>
    <w:rsid w:val="00F96FD0"/>
    <w:rsid w:val="00F97A78"/>
    <w:rsid w:val="00FA0B20"/>
    <w:rsid w:val="00FA24E7"/>
    <w:rsid w:val="00FA3B6D"/>
    <w:rsid w:val="00FA4C10"/>
    <w:rsid w:val="00FA52E5"/>
    <w:rsid w:val="00FA5EE6"/>
    <w:rsid w:val="00FA60CB"/>
    <w:rsid w:val="00FA7956"/>
    <w:rsid w:val="00FB044D"/>
    <w:rsid w:val="00FB2FCB"/>
    <w:rsid w:val="00FB41A2"/>
    <w:rsid w:val="00FB64B1"/>
    <w:rsid w:val="00FB732D"/>
    <w:rsid w:val="00FB7C55"/>
    <w:rsid w:val="00FC0F62"/>
    <w:rsid w:val="00FC1074"/>
    <w:rsid w:val="00FC1884"/>
    <w:rsid w:val="00FC371D"/>
    <w:rsid w:val="00FC3E31"/>
    <w:rsid w:val="00FC56B5"/>
    <w:rsid w:val="00FC5F0B"/>
    <w:rsid w:val="00FD2100"/>
    <w:rsid w:val="00FD2933"/>
    <w:rsid w:val="00FD436C"/>
    <w:rsid w:val="00FD446D"/>
    <w:rsid w:val="00FD4F2C"/>
    <w:rsid w:val="00FD6394"/>
    <w:rsid w:val="00FE0E6C"/>
    <w:rsid w:val="00FE1CDC"/>
    <w:rsid w:val="00FE3D9F"/>
    <w:rsid w:val="00FE58E8"/>
    <w:rsid w:val="00FE70C3"/>
    <w:rsid w:val="00FF2AD9"/>
    <w:rsid w:val="00FF2FDA"/>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673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3BF5"/>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4DEC"/>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Default">
    <w:name w:val="Default"/>
    <w:rsid w:val="00654DEC"/>
    <w:pPr>
      <w:autoSpaceDE w:val="0"/>
      <w:autoSpaceDN w:val="0"/>
      <w:adjustRightInd w:val="0"/>
    </w:pPr>
    <w:rPr>
      <w:rFonts w:ascii="Arial" w:hAnsi="Arial" w:cs="Arial"/>
      <w:color w:val="000000"/>
      <w:sz w:val="24"/>
      <w:szCs w:val="24"/>
    </w:rPr>
  </w:style>
  <w:style w:type="paragraph" w:customStyle="1" w:styleId="TableText1">
    <w:name w:val="TableText"/>
    <w:basedOn w:val="Normal"/>
    <w:link w:val="TableTextChar1"/>
    <w:uiPriority w:val="3"/>
    <w:qFormat/>
    <w:rsid w:val="00654DEC"/>
    <w:pPr>
      <w:keepNext/>
      <w:spacing w:before="40" w:after="40"/>
      <w:jc w:val="left"/>
    </w:pPr>
    <w:rPr>
      <w:rFonts w:ascii="Arial Narrow" w:hAnsi="Arial Narrow" w:cs="Arial Narrow"/>
      <w:snapToGrid w:val="0"/>
      <w:sz w:val="20"/>
      <w:szCs w:val="20"/>
      <w:lang w:eastAsia="en-US"/>
    </w:rPr>
  </w:style>
  <w:style w:type="character" w:customStyle="1" w:styleId="TableTextChar1">
    <w:name w:val="TableText Char"/>
    <w:basedOn w:val="DefaultParagraphFont"/>
    <w:link w:val="TableText1"/>
    <w:uiPriority w:val="3"/>
    <w:rsid w:val="00654DEC"/>
    <w:rPr>
      <w:rFonts w:ascii="Arial Narrow" w:hAnsi="Arial Narrow" w:cs="Arial Narrow"/>
      <w:snapToGrid w:val="0"/>
      <w:lang w:eastAsia="en-US"/>
    </w:rPr>
  </w:style>
  <w:style w:type="paragraph" w:customStyle="1" w:styleId="TableHeadingRow">
    <w:name w:val="TableHeadingRow"/>
    <w:basedOn w:val="Normal"/>
    <w:uiPriority w:val="3"/>
    <w:qFormat/>
    <w:rsid w:val="00654DEC"/>
    <w:pPr>
      <w:keepNext/>
      <w:spacing w:before="20" w:after="20"/>
      <w:jc w:val="left"/>
    </w:pPr>
    <w:rPr>
      <w:rFonts w:cstheme="minorHAnsi"/>
      <w:b/>
      <w:snapToGrid w:val="0"/>
      <w:sz w:val="20"/>
      <w:szCs w:val="20"/>
      <w:lang w:eastAsia="en-US"/>
    </w:rPr>
  </w:style>
  <w:style w:type="paragraph" w:styleId="FootnoteText">
    <w:name w:val="footnote text"/>
    <w:aliases w:val="Footnote Text Char1,Footnote Text Char Char,Footnote Text Char2,Footnote Text Char Char1"/>
    <w:basedOn w:val="Normal"/>
    <w:link w:val="FootnoteTextChar"/>
    <w:unhideWhenUsed/>
    <w:rsid w:val="00654DEC"/>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654DEC"/>
    <w:rPr>
      <w:rFonts w:ascii="Calibri" w:hAnsi="Calibri" w:cs="Arial"/>
    </w:rPr>
  </w:style>
  <w:style w:type="character" w:styleId="FootnoteReference">
    <w:name w:val="footnote reference"/>
    <w:basedOn w:val="DefaultParagraphFont"/>
    <w:unhideWhenUsed/>
    <w:rsid w:val="00654DEC"/>
    <w:rPr>
      <w:vertAlign w:val="superscript"/>
    </w:rPr>
  </w:style>
  <w:style w:type="table" w:customStyle="1" w:styleId="ASDTable2">
    <w:name w:val="ASD Table2"/>
    <w:basedOn w:val="TableNormal"/>
    <w:next w:val="TableGrid"/>
    <w:uiPriority w:val="39"/>
    <w:rsid w:val="00654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
    <w:name w:val="new style1"/>
    <w:basedOn w:val="TableNormal"/>
    <w:next w:val="TableGrid"/>
    <w:uiPriority w:val="59"/>
    <w:rsid w:val="00654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2">
    <w:name w:val="new style2"/>
    <w:basedOn w:val="TableNormal"/>
    <w:next w:val="TableGrid"/>
    <w:uiPriority w:val="59"/>
    <w:rsid w:val="00654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Style">
    <w:name w:val="PBAC Table Style"/>
    <w:basedOn w:val="TableGrid1"/>
    <w:uiPriority w:val="99"/>
    <w:rsid w:val="00654DEC"/>
    <w:pPr>
      <w:widowControl w:val="0"/>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Kristen ITC" w:hAnsi="Kristen I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Kristen ITC" w:hAnsi="Kristen I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Kristen ITC" w:hAnsi="Kristen I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654DE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itle-text">
    <w:name w:val="title-text"/>
    <w:basedOn w:val="DefaultParagraphFont"/>
    <w:rsid w:val="00814F74"/>
  </w:style>
  <w:style w:type="paragraph" w:customStyle="1" w:styleId="gmail-msofootnotetext">
    <w:name w:val="gmail-msofootnotetext"/>
    <w:basedOn w:val="Normal"/>
    <w:rsid w:val="00814F74"/>
    <w:pPr>
      <w:spacing w:before="100" w:beforeAutospacing="1" w:after="100" w:afterAutospacing="1"/>
      <w:jc w:val="left"/>
    </w:pPr>
    <w:rPr>
      <w:rFonts w:ascii="Times New Roman" w:eastAsiaTheme="minorEastAsia" w:hAnsi="Times New Roman" w:cs="Times New Roman"/>
      <w:lang w:eastAsia="zh-CN"/>
    </w:rPr>
  </w:style>
  <w:style w:type="character" w:customStyle="1" w:styleId="UnresolvedMention1">
    <w:name w:val="Unresolved Mention1"/>
    <w:basedOn w:val="DefaultParagraphFont"/>
    <w:uiPriority w:val="99"/>
    <w:semiHidden/>
    <w:unhideWhenUsed/>
    <w:rsid w:val="00F679BB"/>
    <w:rPr>
      <w:color w:val="605E5C"/>
      <w:shd w:val="clear" w:color="auto" w:fill="E1DFDD"/>
    </w:rPr>
  </w:style>
  <w:style w:type="paragraph" w:customStyle="1" w:styleId="3Bodytext">
    <w:name w:val="3. Body text"/>
    <w:basedOn w:val="ListParagraph"/>
    <w:link w:val="3BodytextChar"/>
    <w:qFormat/>
    <w:rsid w:val="00EE37A5"/>
    <w:pPr>
      <w:numPr>
        <w:numId w:val="0"/>
      </w:numPr>
      <w:ind w:left="720" w:hanging="720"/>
      <w:jc w:val="left"/>
    </w:pPr>
    <w:rPr>
      <w:rFonts w:eastAsia="Times New Roman" w:cstheme="minorBidi"/>
      <w:snapToGrid/>
      <w:sz w:val="22"/>
      <w:szCs w:val="22"/>
    </w:rPr>
  </w:style>
  <w:style w:type="character" w:customStyle="1" w:styleId="3BodytextChar">
    <w:name w:val="3. Body text Char"/>
    <w:basedOn w:val="ListParagraphChar"/>
    <w:link w:val="3Bodytext"/>
    <w:rsid w:val="00EE37A5"/>
    <w:rPr>
      <w:rFonts w:asciiTheme="minorHAnsi" w:eastAsia="Times New Roman" w:hAnsiTheme="minorHAnsi" w:cstheme="minorBidi"/>
      <w:snapToGrid/>
      <w:sz w:val="22"/>
      <w:szCs w:val="22"/>
    </w:rPr>
  </w:style>
  <w:style w:type="paragraph" w:customStyle="1" w:styleId="5-SubSubSubHead">
    <w:name w:val="5-Sub Sub Sub Head"/>
    <w:basedOn w:val="Heading4"/>
    <w:qFormat/>
    <w:rsid w:val="00EE37A5"/>
    <w:pPr>
      <w:ind w:left="357" w:hanging="357"/>
    </w:pPr>
    <w:rPr>
      <w:rFonts w:eastAsia="Times New Roman"/>
    </w:rPr>
  </w:style>
  <w:style w:type="paragraph" w:customStyle="1" w:styleId="3-SubsectionHeading">
    <w:name w:val="3-Subsection Heading"/>
    <w:basedOn w:val="Heading2"/>
    <w:next w:val="Normal"/>
    <w:link w:val="3-SubsectionHeadingChar"/>
    <w:qFormat/>
    <w:rsid w:val="00FE58E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E58E8"/>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3493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25675049">
      <w:bodyDiv w:val="1"/>
      <w:marLeft w:val="0"/>
      <w:marRight w:val="0"/>
      <w:marTop w:val="0"/>
      <w:marBottom w:val="0"/>
      <w:divBdr>
        <w:top w:val="none" w:sz="0" w:space="0" w:color="auto"/>
        <w:left w:val="none" w:sz="0" w:space="0" w:color="auto"/>
        <w:bottom w:val="none" w:sz="0" w:space="0" w:color="auto"/>
        <w:right w:val="none" w:sz="0" w:space="0" w:color="auto"/>
      </w:divBdr>
      <w:divsChild>
        <w:div w:id="346373248">
          <w:marLeft w:val="547"/>
          <w:marRight w:val="0"/>
          <w:marTop w:val="82"/>
          <w:marBottom w:val="0"/>
          <w:divBdr>
            <w:top w:val="none" w:sz="0" w:space="0" w:color="auto"/>
            <w:left w:val="none" w:sz="0" w:space="0" w:color="auto"/>
            <w:bottom w:val="none" w:sz="0" w:space="0" w:color="auto"/>
            <w:right w:val="none" w:sz="0" w:space="0" w:color="auto"/>
          </w:divBdr>
        </w:div>
        <w:div w:id="1242258286">
          <w:marLeft w:val="1166"/>
          <w:marRight w:val="0"/>
          <w:marTop w:val="67"/>
          <w:marBottom w:val="0"/>
          <w:divBdr>
            <w:top w:val="none" w:sz="0" w:space="0" w:color="auto"/>
            <w:left w:val="none" w:sz="0" w:space="0" w:color="auto"/>
            <w:bottom w:val="none" w:sz="0" w:space="0" w:color="auto"/>
            <w:right w:val="none" w:sz="0" w:space="0" w:color="auto"/>
          </w:divBdr>
        </w:div>
      </w:divsChild>
    </w:div>
    <w:div w:id="559292841">
      <w:bodyDiv w:val="1"/>
      <w:marLeft w:val="0"/>
      <w:marRight w:val="0"/>
      <w:marTop w:val="0"/>
      <w:marBottom w:val="0"/>
      <w:divBdr>
        <w:top w:val="none" w:sz="0" w:space="0" w:color="auto"/>
        <w:left w:val="none" w:sz="0" w:space="0" w:color="auto"/>
        <w:bottom w:val="none" w:sz="0" w:space="0" w:color="auto"/>
        <w:right w:val="none" w:sz="0" w:space="0" w:color="auto"/>
      </w:divBdr>
      <w:divsChild>
        <w:div w:id="1519394094">
          <w:marLeft w:val="1166"/>
          <w:marRight w:val="0"/>
          <w:marTop w:val="0"/>
          <w:marBottom w:val="0"/>
          <w:divBdr>
            <w:top w:val="none" w:sz="0" w:space="0" w:color="auto"/>
            <w:left w:val="none" w:sz="0" w:space="0" w:color="auto"/>
            <w:bottom w:val="none" w:sz="0" w:space="0" w:color="auto"/>
            <w:right w:val="none" w:sz="0" w:space="0" w:color="auto"/>
          </w:divBdr>
        </w:div>
        <w:div w:id="21521793">
          <w:marLeft w:val="1166"/>
          <w:marRight w:val="0"/>
          <w:marTop w:val="0"/>
          <w:marBottom w:val="0"/>
          <w:divBdr>
            <w:top w:val="none" w:sz="0" w:space="0" w:color="auto"/>
            <w:left w:val="none" w:sz="0" w:space="0" w:color="auto"/>
            <w:bottom w:val="none" w:sz="0" w:space="0" w:color="auto"/>
            <w:right w:val="none" w:sz="0" w:space="0" w:color="auto"/>
          </w:divBdr>
        </w:div>
      </w:divsChild>
    </w:div>
    <w:div w:id="587615218">
      <w:bodyDiv w:val="1"/>
      <w:marLeft w:val="0"/>
      <w:marRight w:val="0"/>
      <w:marTop w:val="0"/>
      <w:marBottom w:val="0"/>
      <w:divBdr>
        <w:top w:val="none" w:sz="0" w:space="0" w:color="auto"/>
        <w:left w:val="none" w:sz="0" w:space="0" w:color="auto"/>
        <w:bottom w:val="none" w:sz="0" w:space="0" w:color="auto"/>
        <w:right w:val="none" w:sz="0" w:space="0" w:color="auto"/>
      </w:divBdr>
      <w:divsChild>
        <w:div w:id="2109503350">
          <w:marLeft w:val="547"/>
          <w:marRight w:val="0"/>
          <w:marTop w:val="0"/>
          <w:marBottom w:val="0"/>
          <w:divBdr>
            <w:top w:val="none" w:sz="0" w:space="0" w:color="auto"/>
            <w:left w:val="none" w:sz="0" w:space="0" w:color="auto"/>
            <w:bottom w:val="none" w:sz="0" w:space="0" w:color="auto"/>
            <w:right w:val="none" w:sz="0" w:space="0" w:color="auto"/>
          </w:divBdr>
        </w:div>
      </w:divsChild>
    </w:div>
    <w:div w:id="696782157">
      <w:bodyDiv w:val="1"/>
      <w:marLeft w:val="0"/>
      <w:marRight w:val="0"/>
      <w:marTop w:val="0"/>
      <w:marBottom w:val="0"/>
      <w:divBdr>
        <w:top w:val="none" w:sz="0" w:space="0" w:color="auto"/>
        <w:left w:val="none" w:sz="0" w:space="0" w:color="auto"/>
        <w:bottom w:val="none" w:sz="0" w:space="0" w:color="auto"/>
        <w:right w:val="none" w:sz="0" w:space="0" w:color="auto"/>
      </w:divBdr>
      <w:divsChild>
        <w:div w:id="1110785573">
          <w:marLeft w:val="1166"/>
          <w:marRight w:val="0"/>
          <w:marTop w:val="0"/>
          <w:marBottom w:val="0"/>
          <w:divBdr>
            <w:top w:val="none" w:sz="0" w:space="0" w:color="auto"/>
            <w:left w:val="none" w:sz="0" w:space="0" w:color="auto"/>
            <w:bottom w:val="none" w:sz="0" w:space="0" w:color="auto"/>
            <w:right w:val="none" w:sz="0" w:space="0" w:color="auto"/>
          </w:divBdr>
        </w:div>
      </w:divsChild>
    </w:div>
    <w:div w:id="760879168">
      <w:bodyDiv w:val="1"/>
      <w:marLeft w:val="0"/>
      <w:marRight w:val="0"/>
      <w:marTop w:val="0"/>
      <w:marBottom w:val="0"/>
      <w:divBdr>
        <w:top w:val="none" w:sz="0" w:space="0" w:color="auto"/>
        <w:left w:val="none" w:sz="0" w:space="0" w:color="auto"/>
        <w:bottom w:val="none" w:sz="0" w:space="0" w:color="auto"/>
        <w:right w:val="none" w:sz="0" w:space="0" w:color="auto"/>
      </w:divBdr>
      <w:divsChild>
        <w:div w:id="2122915468">
          <w:marLeft w:val="1166"/>
          <w:marRight w:val="0"/>
          <w:marTop w:val="0"/>
          <w:marBottom w:val="0"/>
          <w:divBdr>
            <w:top w:val="none" w:sz="0" w:space="0" w:color="auto"/>
            <w:left w:val="none" w:sz="0" w:space="0" w:color="auto"/>
            <w:bottom w:val="none" w:sz="0" w:space="0" w:color="auto"/>
            <w:right w:val="none" w:sz="0" w:space="0" w:color="auto"/>
          </w:divBdr>
        </w:div>
        <w:div w:id="1740205776">
          <w:marLeft w:val="1800"/>
          <w:marRight w:val="0"/>
          <w:marTop w:val="0"/>
          <w:marBottom w:val="0"/>
          <w:divBdr>
            <w:top w:val="none" w:sz="0" w:space="0" w:color="auto"/>
            <w:left w:val="none" w:sz="0" w:space="0" w:color="auto"/>
            <w:bottom w:val="none" w:sz="0" w:space="0" w:color="auto"/>
            <w:right w:val="none" w:sz="0" w:space="0" w:color="auto"/>
          </w:divBdr>
        </w:div>
        <w:div w:id="1994020005">
          <w:marLeft w:val="1800"/>
          <w:marRight w:val="0"/>
          <w:marTop w:val="0"/>
          <w:marBottom w:val="0"/>
          <w:divBdr>
            <w:top w:val="none" w:sz="0" w:space="0" w:color="auto"/>
            <w:left w:val="none" w:sz="0" w:space="0" w:color="auto"/>
            <w:bottom w:val="none" w:sz="0" w:space="0" w:color="auto"/>
            <w:right w:val="none" w:sz="0" w:space="0" w:color="auto"/>
          </w:divBdr>
        </w:div>
        <w:div w:id="575163174">
          <w:marLeft w:val="1166"/>
          <w:marRight w:val="0"/>
          <w:marTop w:val="0"/>
          <w:marBottom w:val="0"/>
          <w:divBdr>
            <w:top w:val="none" w:sz="0" w:space="0" w:color="auto"/>
            <w:left w:val="none" w:sz="0" w:space="0" w:color="auto"/>
            <w:bottom w:val="none" w:sz="0" w:space="0" w:color="auto"/>
            <w:right w:val="none" w:sz="0" w:space="0" w:color="auto"/>
          </w:divBdr>
        </w:div>
        <w:div w:id="1667828306">
          <w:marLeft w:val="1800"/>
          <w:marRight w:val="0"/>
          <w:marTop w:val="0"/>
          <w:marBottom w:val="0"/>
          <w:divBdr>
            <w:top w:val="none" w:sz="0" w:space="0" w:color="auto"/>
            <w:left w:val="none" w:sz="0" w:space="0" w:color="auto"/>
            <w:bottom w:val="none" w:sz="0" w:space="0" w:color="auto"/>
            <w:right w:val="none" w:sz="0" w:space="0" w:color="auto"/>
          </w:divBdr>
        </w:div>
        <w:div w:id="614404154">
          <w:marLeft w:val="1800"/>
          <w:marRight w:val="0"/>
          <w:marTop w:val="0"/>
          <w:marBottom w:val="0"/>
          <w:divBdr>
            <w:top w:val="none" w:sz="0" w:space="0" w:color="auto"/>
            <w:left w:val="none" w:sz="0" w:space="0" w:color="auto"/>
            <w:bottom w:val="none" w:sz="0" w:space="0" w:color="auto"/>
            <w:right w:val="none" w:sz="0" w:space="0" w:color="auto"/>
          </w:divBdr>
        </w:div>
        <w:div w:id="1374574893">
          <w:marLeft w:val="1166"/>
          <w:marRight w:val="0"/>
          <w:marTop w:val="0"/>
          <w:marBottom w:val="0"/>
          <w:divBdr>
            <w:top w:val="none" w:sz="0" w:space="0" w:color="auto"/>
            <w:left w:val="none" w:sz="0" w:space="0" w:color="auto"/>
            <w:bottom w:val="none" w:sz="0" w:space="0" w:color="auto"/>
            <w:right w:val="none" w:sz="0" w:space="0" w:color="auto"/>
          </w:divBdr>
        </w:div>
        <w:div w:id="1398671173">
          <w:marLeft w:val="1166"/>
          <w:marRight w:val="0"/>
          <w:marTop w:val="0"/>
          <w:marBottom w:val="0"/>
          <w:divBdr>
            <w:top w:val="none" w:sz="0" w:space="0" w:color="auto"/>
            <w:left w:val="none" w:sz="0" w:space="0" w:color="auto"/>
            <w:bottom w:val="none" w:sz="0" w:space="0" w:color="auto"/>
            <w:right w:val="none" w:sz="0" w:space="0" w:color="auto"/>
          </w:divBdr>
        </w:div>
        <w:div w:id="356349915">
          <w:marLeft w:val="1800"/>
          <w:marRight w:val="0"/>
          <w:marTop w:val="0"/>
          <w:marBottom w:val="0"/>
          <w:divBdr>
            <w:top w:val="none" w:sz="0" w:space="0" w:color="auto"/>
            <w:left w:val="none" w:sz="0" w:space="0" w:color="auto"/>
            <w:bottom w:val="none" w:sz="0" w:space="0" w:color="auto"/>
            <w:right w:val="none" w:sz="0" w:space="0" w:color="auto"/>
          </w:divBdr>
        </w:div>
      </w:divsChild>
    </w:div>
    <w:div w:id="766461847">
      <w:bodyDiv w:val="1"/>
      <w:marLeft w:val="0"/>
      <w:marRight w:val="0"/>
      <w:marTop w:val="0"/>
      <w:marBottom w:val="0"/>
      <w:divBdr>
        <w:top w:val="none" w:sz="0" w:space="0" w:color="auto"/>
        <w:left w:val="none" w:sz="0" w:space="0" w:color="auto"/>
        <w:bottom w:val="none" w:sz="0" w:space="0" w:color="auto"/>
        <w:right w:val="none" w:sz="0" w:space="0" w:color="auto"/>
      </w:divBdr>
      <w:divsChild>
        <w:div w:id="1691685013">
          <w:marLeft w:val="1166"/>
          <w:marRight w:val="0"/>
          <w:marTop w:val="0"/>
          <w:marBottom w:val="0"/>
          <w:divBdr>
            <w:top w:val="none" w:sz="0" w:space="0" w:color="auto"/>
            <w:left w:val="none" w:sz="0" w:space="0" w:color="auto"/>
            <w:bottom w:val="none" w:sz="0" w:space="0" w:color="auto"/>
            <w:right w:val="none" w:sz="0" w:space="0" w:color="auto"/>
          </w:divBdr>
        </w:div>
      </w:divsChild>
    </w:div>
    <w:div w:id="793714997">
      <w:bodyDiv w:val="1"/>
      <w:marLeft w:val="0"/>
      <w:marRight w:val="0"/>
      <w:marTop w:val="0"/>
      <w:marBottom w:val="0"/>
      <w:divBdr>
        <w:top w:val="none" w:sz="0" w:space="0" w:color="auto"/>
        <w:left w:val="none" w:sz="0" w:space="0" w:color="auto"/>
        <w:bottom w:val="none" w:sz="0" w:space="0" w:color="auto"/>
        <w:right w:val="none" w:sz="0" w:space="0" w:color="auto"/>
      </w:divBdr>
      <w:divsChild>
        <w:div w:id="89664805">
          <w:marLeft w:val="1166"/>
          <w:marRight w:val="0"/>
          <w:marTop w:val="0"/>
          <w:marBottom w:val="0"/>
          <w:divBdr>
            <w:top w:val="none" w:sz="0" w:space="0" w:color="auto"/>
            <w:left w:val="none" w:sz="0" w:space="0" w:color="auto"/>
            <w:bottom w:val="none" w:sz="0" w:space="0" w:color="auto"/>
            <w:right w:val="none" w:sz="0" w:space="0" w:color="auto"/>
          </w:divBdr>
        </w:div>
        <w:div w:id="1078943929">
          <w:marLeft w:val="1166"/>
          <w:marRight w:val="0"/>
          <w:marTop w:val="0"/>
          <w:marBottom w:val="0"/>
          <w:divBdr>
            <w:top w:val="none" w:sz="0" w:space="0" w:color="auto"/>
            <w:left w:val="none" w:sz="0" w:space="0" w:color="auto"/>
            <w:bottom w:val="none" w:sz="0" w:space="0" w:color="auto"/>
            <w:right w:val="none" w:sz="0" w:space="0" w:color="auto"/>
          </w:divBdr>
        </w:div>
      </w:divsChild>
    </w:div>
    <w:div w:id="884296273">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0">
          <w:marLeft w:val="547"/>
          <w:marRight w:val="0"/>
          <w:marTop w:val="0"/>
          <w:marBottom w:val="0"/>
          <w:divBdr>
            <w:top w:val="none" w:sz="0" w:space="0" w:color="auto"/>
            <w:left w:val="none" w:sz="0" w:space="0" w:color="auto"/>
            <w:bottom w:val="none" w:sz="0" w:space="0" w:color="auto"/>
            <w:right w:val="none" w:sz="0" w:space="0" w:color="auto"/>
          </w:divBdr>
        </w:div>
        <w:div w:id="1252079384">
          <w:marLeft w:val="1166"/>
          <w:marRight w:val="0"/>
          <w:marTop w:val="0"/>
          <w:marBottom w:val="0"/>
          <w:divBdr>
            <w:top w:val="none" w:sz="0" w:space="0" w:color="auto"/>
            <w:left w:val="none" w:sz="0" w:space="0" w:color="auto"/>
            <w:bottom w:val="none" w:sz="0" w:space="0" w:color="auto"/>
            <w:right w:val="none" w:sz="0" w:space="0" w:color="auto"/>
          </w:divBdr>
        </w:div>
      </w:divsChild>
    </w:div>
    <w:div w:id="1026639888">
      <w:bodyDiv w:val="1"/>
      <w:marLeft w:val="0"/>
      <w:marRight w:val="0"/>
      <w:marTop w:val="0"/>
      <w:marBottom w:val="0"/>
      <w:divBdr>
        <w:top w:val="none" w:sz="0" w:space="0" w:color="auto"/>
        <w:left w:val="none" w:sz="0" w:space="0" w:color="auto"/>
        <w:bottom w:val="none" w:sz="0" w:space="0" w:color="auto"/>
        <w:right w:val="none" w:sz="0" w:space="0" w:color="auto"/>
      </w:divBdr>
    </w:div>
    <w:div w:id="1147240367">
      <w:bodyDiv w:val="1"/>
      <w:marLeft w:val="0"/>
      <w:marRight w:val="0"/>
      <w:marTop w:val="0"/>
      <w:marBottom w:val="0"/>
      <w:divBdr>
        <w:top w:val="none" w:sz="0" w:space="0" w:color="auto"/>
        <w:left w:val="none" w:sz="0" w:space="0" w:color="auto"/>
        <w:bottom w:val="none" w:sz="0" w:space="0" w:color="auto"/>
        <w:right w:val="none" w:sz="0" w:space="0" w:color="auto"/>
      </w:divBdr>
    </w:div>
    <w:div w:id="115942312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76175">
      <w:bodyDiv w:val="1"/>
      <w:marLeft w:val="0"/>
      <w:marRight w:val="0"/>
      <w:marTop w:val="0"/>
      <w:marBottom w:val="0"/>
      <w:divBdr>
        <w:top w:val="none" w:sz="0" w:space="0" w:color="auto"/>
        <w:left w:val="none" w:sz="0" w:space="0" w:color="auto"/>
        <w:bottom w:val="none" w:sz="0" w:space="0" w:color="auto"/>
        <w:right w:val="none" w:sz="0" w:space="0" w:color="auto"/>
      </w:divBdr>
    </w:div>
    <w:div w:id="1277710137">
      <w:bodyDiv w:val="1"/>
      <w:marLeft w:val="0"/>
      <w:marRight w:val="0"/>
      <w:marTop w:val="0"/>
      <w:marBottom w:val="0"/>
      <w:divBdr>
        <w:top w:val="none" w:sz="0" w:space="0" w:color="auto"/>
        <w:left w:val="none" w:sz="0" w:space="0" w:color="auto"/>
        <w:bottom w:val="none" w:sz="0" w:space="0" w:color="auto"/>
        <w:right w:val="none" w:sz="0" w:space="0" w:color="auto"/>
      </w:divBdr>
      <w:divsChild>
        <w:div w:id="2121416894">
          <w:marLeft w:val="1166"/>
          <w:marRight w:val="0"/>
          <w:marTop w:val="0"/>
          <w:marBottom w:val="0"/>
          <w:divBdr>
            <w:top w:val="none" w:sz="0" w:space="0" w:color="auto"/>
            <w:left w:val="none" w:sz="0" w:space="0" w:color="auto"/>
            <w:bottom w:val="none" w:sz="0" w:space="0" w:color="auto"/>
            <w:right w:val="none" w:sz="0" w:space="0" w:color="auto"/>
          </w:divBdr>
        </w:div>
      </w:divsChild>
    </w:div>
    <w:div w:id="1302419299">
      <w:bodyDiv w:val="1"/>
      <w:marLeft w:val="0"/>
      <w:marRight w:val="0"/>
      <w:marTop w:val="0"/>
      <w:marBottom w:val="0"/>
      <w:divBdr>
        <w:top w:val="none" w:sz="0" w:space="0" w:color="auto"/>
        <w:left w:val="none" w:sz="0" w:space="0" w:color="auto"/>
        <w:bottom w:val="none" w:sz="0" w:space="0" w:color="auto"/>
        <w:right w:val="none" w:sz="0" w:space="0" w:color="auto"/>
      </w:divBdr>
      <w:divsChild>
        <w:div w:id="71707770">
          <w:marLeft w:val="1166"/>
          <w:marRight w:val="0"/>
          <w:marTop w:val="0"/>
          <w:marBottom w:val="0"/>
          <w:divBdr>
            <w:top w:val="none" w:sz="0" w:space="0" w:color="auto"/>
            <w:left w:val="none" w:sz="0" w:space="0" w:color="auto"/>
            <w:bottom w:val="none" w:sz="0" w:space="0" w:color="auto"/>
            <w:right w:val="none" w:sz="0" w:space="0" w:color="auto"/>
          </w:divBdr>
        </w:div>
      </w:divsChild>
    </w:div>
    <w:div w:id="1339960065">
      <w:bodyDiv w:val="1"/>
      <w:marLeft w:val="0"/>
      <w:marRight w:val="0"/>
      <w:marTop w:val="0"/>
      <w:marBottom w:val="0"/>
      <w:divBdr>
        <w:top w:val="none" w:sz="0" w:space="0" w:color="auto"/>
        <w:left w:val="none" w:sz="0" w:space="0" w:color="auto"/>
        <w:bottom w:val="none" w:sz="0" w:space="0" w:color="auto"/>
        <w:right w:val="none" w:sz="0" w:space="0" w:color="auto"/>
      </w:divBdr>
      <w:divsChild>
        <w:div w:id="1629897991">
          <w:marLeft w:val="446"/>
          <w:marRight w:val="0"/>
          <w:marTop w:val="0"/>
          <w:marBottom w:val="0"/>
          <w:divBdr>
            <w:top w:val="none" w:sz="0" w:space="0" w:color="auto"/>
            <w:left w:val="none" w:sz="0" w:space="0" w:color="auto"/>
            <w:bottom w:val="none" w:sz="0" w:space="0" w:color="auto"/>
            <w:right w:val="none" w:sz="0" w:space="0" w:color="auto"/>
          </w:divBdr>
        </w:div>
        <w:div w:id="487868758">
          <w:marLeft w:val="446"/>
          <w:marRight w:val="0"/>
          <w:marTop w:val="0"/>
          <w:marBottom w:val="0"/>
          <w:divBdr>
            <w:top w:val="none" w:sz="0" w:space="0" w:color="auto"/>
            <w:left w:val="none" w:sz="0" w:space="0" w:color="auto"/>
            <w:bottom w:val="none" w:sz="0" w:space="0" w:color="auto"/>
            <w:right w:val="none" w:sz="0" w:space="0" w:color="auto"/>
          </w:divBdr>
        </w:div>
        <w:div w:id="1380277393">
          <w:marLeft w:val="446"/>
          <w:marRight w:val="0"/>
          <w:marTop w:val="0"/>
          <w:marBottom w:val="0"/>
          <w:divBdr>
            <w:top w:val="none" w:sz="0" w:space="0" w:color="auto"/>
            <w:left w:val="none" w:sz="0" w:space="0" w:color="auto"/>
            <w:bottom w:val="none" w:sz="0" w:space="0" w:color="auto"/>
            <w:right w:val="none" w:sz="0" w:space="0" w:color="auto"/>
          </w:divBdr>
        </w:div>
      </w:divsChild>
    </w:div>
    <w:div w:id="1465467783">
      <w:bodyDiv w:val="1"/>
      <w:marLeft w:val="0"/>
      <w:marRight w:val="0"/>
      <w:marTop w:val="0"/>
      <w:marBottom w:val="0"/>
      <w:divBdr>
        <w:top w:val="none" w:sz="0" w:space="0" w:color="auto"/>
        <w:left w:val="none" w:sz="0" w:space="0" w:color="auto"/>
        <w:bottom w:val="none" w:sz="0" w:space="0" w:color="auto"/>
        <w:right w:val="none" w:sz="0" w:space="0" w:color="auto"/>
      </w:divBdr>
    </w:div>
    <w:div w:id="1474328796">
      <w:bodyDiv w:val="1"/>
      <w:marLeft w:val="0"/>
      <w:marRight w:val="0"/>
      <w:marTop w:val="0"/>
      <w:marBottom w:val="0"/>
      <w:divBdr>
        <w:top w:val="none" w:sz="0" w:space="0" w:color="auto"/>
        <w:left w:val="none" w:sz="0" w:space="0" w:color="auto"/>
        <w:bottom w:val="none" w:sz="0" w:space="0" w:color="auto"/>
        <w:right w:val="none" w:sz="0" w:space="0" w:color="auto"/>
      </w:divBdr>
      <w:divsChild>
        <w:div w:id="1090614524">
          <w:marLeft w:val="547"/>
          <w:marRight w:val="0"/>
          <w:marTop w:val="82"/>
          <w:marBottom w:val="0"/>
          <w:divBdr>
            <w:top w:val="none" w:sz="0" w:space="0" w:color="auto"/>
            <w:left w:val="none" w:sz="0" w:space="0" w:color="auto"/>
            <w:bottom w:val="none" w:sz="0" w:space="0" w:color="auto"/>
            <w:right w:val="none" w:sz="0" w:space="0" w:color="auto"/>
          </w:divBdr>
        </w:div>
        <w:div w:id="678970598">
          <w:marLeft w:val="1166"/>
          <w:marRight w:val="0"/>
          <w:marTop w:val="67"/>
          <w:marBottom w:val="0"/>
          <w:divBdr>
            <w:top w:val="none" w:sz="0" w:space="0" w:color="auto"/>
            <w:left w:val="none" w:sz="0" w:space="0" w:color="auto"/>
            <w:bottom w:val="none" w:sz="0" w:space="0" w:color="auto"/>
            <w:right w:val="none" w:sz="0" w:space="0" w:color="auto"/>
          </w:divBdr>
        </w:div>
      </w:divsChild>
    </w:div>
    <w:div w:id="1517887474">
      <w:bodyDiv w:val="1"/>
      <w:marLeft w:val="0"/>
      <w:marRight w:val="0"/>
      <w:marTop w:val="0"/>
      <w:marBottom w:val="0"/>
      <w:divBdr>
        <w:top w:val="none" w:sz="0" w:space="0" w:color="auto"/>
        <w:left w:val="none" w:sz="0" w:space="0" w:color="auto"/>
        <w:bottom w:val="none" w:sz="0" w:space="0" w:color="auto"/>
        <w:right w:val="none" w:sz="0" w:space="0" w:color="auto"/>
      </w:divBdr>
    </w:div>
    <w:div w:id="1847548523">
      <w:bodyDiv w:val="1"/>
      <w:marLeft w:val="0"/>
      <w:marRight w:val="0"/>
      <w:marTop w:val="0"/>
      <w:marBottom w:val="0"/>
      <w:divBdr>
        <w:top w:val="none" w:sz="0" w:space="0" w:color="auto"/>
        <w:left w:val="none" w:sz="0" w:space="0" w:color="auto"/>
        <w:bottom w:val="none" w:sz="0" w:space="0" w:color="auto"/>
        <w:right w:val="none" w:sz="0" w:space="0" w:color="auto"/>
      </w:divBdr>
    </w:div>
    <w:div w:id="1939172625">
      <w:bodyDiv w:val="1"/>
      <w:marLeft w:val="0"/>
      <w:marRight w:val="0"/>
      <w:marTop w:val="0"/>
      <w:marBottom w:val="0"/>
      <w:divBdr>
        <w:top w:val="none" w:sz="0" w:space="0" w:color="auto"/>
        <w:left w:val="none" w:sz="0" w:space="0" w:color="auto"/>
        <w:bottom w:val="none" w:sz="0" w:space="0" w:color="auto"/>
        <w:right w:val="none" w:sz="0" w:space="0" w:color="auto"/>
      </w:divBdr>
      <w:divsChild>
        <w:div w:id="198398741">
          <w:marLeft w:val="180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698389">
      <w:bodyDiv w:val="1"/>
      <w:marLeft w:val="0"/>
      <w:marRight w:val="0"/>
      <w:marTop w:val="0"/>
      <w:marBottom w:val="0"/>
      <w:divBdr>
        <w:top w:val="none" w:sz="0" w:space="0" w:color="auto"/>
        <w:left w:val="none" w:sz="0" w:space="0" w:color="auto"/>
        <w:bottom w:val="none" w:sz="0" w:space="0" w:color="auto"/>
        <w:right w:val="none" w:sz="0" w:space="0" w:color="auto"/>
      </w:divBdr>
    </w:div>
    <w:div w:id="2034500601">
      <w:bodyDiv w:val="1"/>
      <w:marLeft w:val="0"/>
      <w:marRight w:val="0"/>
      <w:marTop w:val="0"/>
      <w:marBottom w:val="0"/>
      <w:divBdr>
        <w:top w:val="none" w:sz="0" w:space="0" w:color="auto"/>
        <w:left w:val="none" w:sz="0" w:space="0" w:color="auto"/>
        <w:bottom w:val="none" w:sz="0" w:space="0" w:color="auto"/>
        <w:right w:val="none" w:sz="0" w:space="0" w:color="auto"/>
      </w:divBdr>
    </w:div>
    <w:div w:id="2140758864">
      <w:bodyDiv w:val="1"/>
      <w:marLeft w:val="0"/>
      <w:marRight w:val="0"/>
      <w:marTop w:val="0"/>
      <w:marBottom w:val="0"/>
      <w:divBdr>
        <w:top w:val="none" w:sz="0" w:space="0" w:color="auto"/>
        <w:left w:val="none" w:sz="0" w:space="0" w:color="auto"/>
        <w:bottom w:val="none" w:sz="0" w:space="0" w:color="auto"/>
        <w:right w:val="none" w:sz="0" w:space="0" w:color="auto"/>
      </w:divBdr>
      <w:divsChild>
        <w:div w:id="1416318608">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getmedia/8c9fcf52-0055-41a0-96d9-f81b0feb98cf/aihw-can-123.pdf.aspx?inline=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45B68-BA9B-4B81-9420-F58486E9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15800</Words>
  <Characters>90160</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2022-07-22T05:22:00Z</dcterms:created>
  <dcterms:modified xsi:type="dcterms:W3CDTF">2022-07-22T05:22:00Z</dcterms:modified>
</cp:coreProperties>
</file>