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232D6E" w:rsidRDefault="00326C2A" w:rsidP="00326C2A">
      <w:pPr>
        <w:pStyle w:val="1MainTitle"/>
        <w:ind w:left="1134" w:hanging="1134"/>
        <w:jc w:val="left"/>
        <w:rPr>
          <w:rFonts w:eastAsia="Calibri" w:cstheme="minorHAnsi"/>
          <w:sz w:val="24"/>
          <w:szCs w:val="24"/>
          <w:lang w:eastAsia="en-US"/>
        </w:rPr>
      </w:pPr>
      <w:r w:rsidRPr="00232D6E">
        <w:rPr>
          <w:rFonts w:eastAsia="Calibri"/>
          <w:lang w:eastAsia="en-US"/>
        </w:rPr>
        <w:t>6.24</w:t>
      </w:r>
      <w:r w:rsidRPr="00232D6E">
        <w:rPr>
          <w:rFonts w:eastAsia="Calibri"/>
          <w:lang w:eastAsia="en-US"/>
        </w:rPr>
        <w:tab/>
      </w:r>
      <w:r w:rsidR="00906D85" w:rsidRPr="00232D6E">
        <w:rPr>
          <w:rFonts w:eastAsia="Calibri"/>
          <w:lang w:eastAsia="en-US"/>
        </w:rPr>
        <w:t>SECUKINUMAB</w:t>
      </w:r>
      <w:r w:rsidR="007E490F" w:rsidRPr="00232D6E">
        <w:rPr>
          <w:rFonts w:eastAsia="Calibri"/>
          <w:lang w:eastAsia="en-US"/>
        </w:rPr>
        <w:t>,</w:t>
      </w:r>
      <w:r w:rsidR="007E490F" w:rsidRPr="00232D6E">
        <w:rPr>
          <w:rFonts w:eastAsia="Calibri"/>
          <w:lang w:eastAsia="en-US"/>
        </w:rPr>
        <w:br/>
      </w:r>
      <w:r w:rsidR="00906D85" w:rsidRPr="00232D6E">
        <w:rPr>
          <w:rFonts w:eastAsia="Calibri"/>
          <w:lang w:eastAsia="en-US"/>
        </w:rPr>
        <w:t>Injection 150 mg in 1 mL pre-filled pen</w:t>
      </w:r>
      <w:r w:rsidR="007E490F" w:rsidRPr="00232D6E">
        <w:rPr>
          <w:rFonts w:eastAsia="Calibri"/>
          <w:lang w:eastAsia="en-US"/>
        </w:rPr>
        <w:t>,</w:t>
      </w:r>
      <w:r w:rsidR="007E490F" w:rsidRPr="00232D6E">
        <w:rPr>
          <w:rFonts w:eastAsia="Calibri"/>
          <w:lang w:eastAsia="en-US"/>
        </w:rPr>
        <w:br/>
      </w:r>
      <w:r w:rsidR="00906D85" w:rsidRPr="00232D6E">
        <w:rPr>
          <w:rFonts w:eastAsia="Calibri"/>
          <w:lang w:eastAsia="en-US"/>
        </w:rPr>
        <w:t>Cosentyx®</w:t>
      </w:r>
      <w:r w:rsidR="007E490F" w:rsidRPr="00232D6E">
        <w:rPr>
          <w:rFonts w:eastAsia="Calibri"/>
          <w:lang w:eastAsia="en-US"/>
        </w:rPr>
        <w:t>,</w:t>
      </w:r>
      <w:r w:rsidR="007E490F" w:rsidRPr="00232D6E">
        <w:rPr>
          <w:rFonts w:eastAsia="Calibri"/>
          <w:lang w:eastAsia="en-US"/>
        </w:rPr>
        <w:br/>
      </w:r>
      <w:r w:rsidR="00906D85" w:rsidRPr="00232D6E">
        <w:rPr>
          <w:rFonts w:eastAsia="Calibri"/>
          <w:lang w:eastAsia="en-US"/>
        </w:rPr>
        <w:t>Novartis Pharmaceuticals Australia Pty Ltd</w:t>
      </w:r>
    </w:p>
    <w:p w:rsidR="007E490F" w:rsidRPr="00232D6E" w:rsidRDefault="007E490F" w:rsidP="007E490F">
      <w:pPr>
        <w:pStyle w:val="2-SectionHeading"/>
      </w:pPr>
      <w:r w:rsidRPr="00232D6E">
        <w:t xml:space="preserve">Purpose of Application </w:t>
      </w:r>
    </w:p>
    <w:p w:rsidR="006C6C10" w:rsidRDefault="006C6C10" w:rsidP="00B66B82">
      <w:pPr>
        <w:pStyle w:val="3Bodytext"/>
        <w:ind w:left="709"/>
        <w:jc w:val="both"/>
        <w:rPr>
          <w:szCs w:val="24"/>
        </w:rPr>
      </w:pPr>
      <w:r w:rsidRPr="00232D6E">
        <w:rPr>
          <w:szCs w:val="24"/>
        </w:rPr>
        <w:t xml:space="preserve">The Category </w:t>
      </w:r>
      <w:r w:rsidR="00EB4105" w:rsidRPr="00232D6E">
        <w:rPr>
          <w:szCs w:val="24"/>
        </w:rPr>
        <w:t>4</w:t>
      </w:r>
      <w:r w:rsidRPr="00232D6E">
        <w:rPr>
          <w:szCs w:val="24"/>
        </w:rPr>
        <w:t xml:space="preserve"> submission </w:t>
      </w:r>
      <w:r w:rsidR="00EB4105" w:rsidRPr="00232D6E">
        <w:t>request</w:t>
      </w:r>
      <w:r w:rsidR="00EF5FBA" w:rsidRPr="00232D6E">
        <w:t>ed</w:t>
      </w:r>
      <w:r w:rsidR="00EB4105" w:rsidRPr="00232D6E">
        <w:t xml:space="preserve"> an increase in the maximum quantity </w:t>
      </w:r>
      <w:r w:rsidR="00EF5FBA" w:rsidRPr="00232D6E">
        <w:t>(</w:t>
      </w:r>
      <w:r w:rsidR="0086261D" w:rsidRPr="00232D6E">
        <w:t xml:space="preserve">from </w:t>
      </w:r>
      <w:r w:rsidR="001023F2" w:rsidRPr="00232D6E">
        <w:t>one</w:t>
      </w:r>
      <w:r w:rsidR="0086261D" w:rsidRPr="00232D6E">
        <w:t xml:space="preserve"> </w:t>
      </w:r>
      <w:r w:rsidR="00EB4105" w:rsidRPr="00232D6E">
        <w:t xml:space="preserve">to </w:t>
      </w:r>
      <w:r w:rsidR="001023F2" w:rsidRPr="00232D6E">
        <w:t>two</w:t>
      </w:r>
      <w:r w:rsidR="00EF5FBA" w:rsidRPr="00232D6E">
        <w:t>)</w:t>
      </w:r>
      <w:r w:rsidR="00EB4105" w:rsidRPr="00232D6E">
        <w:t xml:space="preserve"> and </w:t>
      </w:r>
      <w:r w:rsidR="00EF5FBA" w:rsidRPr="00232D6E">
        <w:t xml:space="preserve">to </w:t>
      </w:r>
      <w:r w:rsidR="00073085" w:rsidRPr="00232D6E">
        <w:t>reduce</w:t>
      </w:r>
      <w:r w:rsidR="00EB4105" w:rsidRPr="00232D6E">
        <w:t xml:space="preserve"> the number of repeats </w:t>
      </w:r>
      <w:r w:rsidR="00EF5FBA" w:rsidRPr="00232D6E">
        <w:t>(</w:t>
      </w:r>
      <w:r w:rsidR="00EB4105" w:rsidRPr="00232D6E">
        <w:t xml:space="preserve">from </w:t>
      </w:r>
      <w:r w:rsidR="001023F2" w:rsidRPr="00232D6E">
        <w:t>five</w:t>
      </w:r>
      <w:r w:rsidR="00EB4105" w:rsidRPr="00232D6E">
        <w:t xml:space="preserve"> to </w:t>
      </w:r>
      <w:r w:rsidR="001023F2" w:rsidRPr="00232D6E">
        <w:t>two</w:t>
      </w:r>
      <w:r w:rsidR="00EF5FBA" w:rsidRPr="00232D6E">
        <w:t>)</w:t>
      </w:r>
      <w:r w:rsidR="00EB4105" w:rsidRPr="00232D6E">
        <w:t xml:space="preserve"> </w:t>
      </w:r>
      <w:r w:rsidR="00EF5FBA" w:rsidRPr="00232D6E">
        <w:t xml:space="preserve">for </w:t>
      </w:r>
      <w:r w:rsidR="00EB4105" w:rsidRPr="00232D6E">
        <w:t>PBS</w:t>
      </w:r>
      <w:r w:rsidR="00441290" w:rsidRPr="00232D6E">
        <w:t xml:space="preserve"> </w:t>
      </w:r>
      <w:r w:rsidR="00EB4105" w:rsidRPr="00232D6E">
        <w:t>listed secukinumab 150 mg injection</w:t>
      </w:r>
      <w:r w:rsidR="0048780C" w:rsidRPr="00232D6E">
        <w:t xml:space="preserve"> for the continuing treatment phase</w:t>
      </w:r>
      <w:r w:rsidR="00C865F1">
        <w:t xml:space="preserve"> </w:t>
      </w:r>
      <w:bookmarkStart w:id="0" w:name="_Hlk78890095"/>
      <w:r w:rsidR="00C865F1">
        <w:t>of</w:t>
      </w:r>
      <w:r w:rsidR="00C865F1">
        <w:rPr>
          <w:szCs w:val="24"/>
        </w:rPr>
        <w:t xml:space="preserve"> </w:t>
      </w:r>
      <w:r w:rsidR="001B69A2">
        <w:rPr>
          <w:szCs w:val="24"/>
        </w:rPr>
        <w:t>all of the currently listed</w:t>
      </w:r>
      <w:r w:rsidR="00C865F1">
        <w:rPr>
          <w:szCs w:val="24"/>
        </w:rPr>
        <w:t xml:space="preserve"> PBS indications</w:t>
      </w:r>
      <w:r w:rsidR="001B69A2">
        <w:rPr>
          <w:szCs w:val="24"/>
        </w:rPr>
        <w:t>.</w:t>
      </w:r>
    </w:p>
    <w:bookmarkEnd w:id="0"/>
    <w:p w:rsidR="00841450" w:rsidRPr="00232D6E" w:rsidRDefault="007E490F" w:rsidP="007E490F">
      <w:pPr>
        <w:pStyle w:val="2-SectionHeading"/>
      </w:pPr>
      <w:r w:rsidRPr="00232D6E">
        <w:t>Background</w:t>
      </w:r>
    </w:p>
    <w:p w:rsidR="001B69A2" w:rsidRDefault="00613D1D" w:rsidP="001B69A2">
      <w:pPr>
        <w:pStyle w:val="3Bodytext"/>
        <w:numPr>
          <w:ilvl w:val="0"/>
          <w:numId w:val="0"/>
        </w:numPr>
        <w:ind w:left="709"/>
      </w:pPr>
      <w:r w:rsidRPr="00232D6E">
        <w:t>Secukinumab is currently listed on the PBS as an</w:t>
      </w:r>
      <w:r w:rsidRPr="00232D6E" w:rsidDel="00445BF7">
        <w:t xml:space="preserve"> </w:t>
      </w:r>
      <w:r w:rsidRPr="00232D6E">
        <w:t>Authority Required (non-immediate assessment)</w:t>
      </w:r>
      <w:r w:rsidR="001B69A2">
        <w:t xml:space="preserve"> listing for the following indications:</w:t>
      </w:r>
    </w:p>
    <w:p w:rsidR="001B69A2" w:rsidRPr="00C865F1" w:rsidRDefault="001B69A2" w:rsidP="001B69A2">
      <w:pPr>
        <w:pStyle w:val="3Bodytext"/>
        <w:numPr>
          <w:ilvl w:val="0"/>
          <w:numId w:val="0"/>
        </w:numPr>
        <w:ind w:left="709"/>
        <w:rPr>
          <w:szCs w:val="24"/>
        </w:rPr>
      </w:pPr>
      <w:r w:rsidRPr="001B69A2">
        <w:rPr>
          <w:szCs w:val="24"/>
        </w:rPr>
        <w:t xml:space="preserve"> </w:t>
      </w:r>
      <w:r w:rsidRPr="00C865F1">
        <w:rPr>
          <w:szCs w:val="24"/>
        </w:rPr>
        <w:t>•</w:t>
      </w:r>
      <w:r w:rsidRPr="00C865F1">
        <w:rPr>
          <w:szCs w:val="24"/>
        </w:rPr>
        <w:tab/>
        <w:t>Ankylosing spondylitis</w:t>
      </w:r>
    </w:p>
    <w:p w:rsidR="001B69A2" w:rsidRPr="00C865F1" w:rsidRDefault="001B69A2" w:rsidP="001B69A2">
      <w:pPr>
        <w:pStyle w:val="3Bodytext"/>
        <w:numPr>
          <w:ilvl w:val="0"/>
          <w:numId w:val="0"/>
        </w:numPr>
        <w:ind w:left="709"/>
        <w:rPr>
          <w:szCs w:val="24"/>
        </w:rPr>
      </w:pPr>
      <w:r w:rsidRPr="00C865F1">
        <w:rPr>
          <w:szCs w:val="24"/>
        </w:rPr>
        <w:t>•</w:t>
      </w:r>
      <w:r w:rsidRPr="00C865F1">
        <w:rPr>
          <w:szCs w:val="24"/>
        </w:rPr>
        <w:tab/>
        <w:t>Severe chronic plaque psoriasis</w:t>
      </w:r>
    </w:p>
    <w:p w:rsidR="001B69A2" w:rsidRPr="00C865F1" w:rsidRDefault="001B69A2" w:rsidP="001B69A2">
      <w:pPr>
        <w:pStyle w:val="3Bodytext"/>
        <w:numPr>
          <w:ilvl w:val="0"/>
          <w:numId w:val="0"/>
        </w:numPr>
        <w:ind w:left="709"/>
        <w:rPr>
          <w:szCs w:val="24"/>
        </w:rPr>
      </w:pPr>
      <w:r w:rsidRPr="00C865F1">
        <w:rPr>
          <w:szCs w:val="24"/>
        </w:rPr>
        <w:t>•</w:t>
      </w:r>
      <w:r w:rsidRPr="00C865F1">
        <w:rPr>
          <w:szCs w:val="24"/>
        </w:rPr>
        <w:tab/>
        <w:t>Severe psoriatic arthritis</w:t>
      </w:r>
    </w:p>
    <w:p w:rsidR="00613D1D" w:rsidRPr="00080D85" w:rsidRDefault="001B69A2" w:rsidP="00080D85">
      <w:pPr>
        <w:pStyle w:val="3Bodytext"/>
        <w:numPr>
          <w:ilvl w:val="0"/>
          <w:numId w:val="0"/>
        </w:numPr>
        <w:ind w:left="709"/>
        <w:jc w:val="both"/>
        <w:rPr>
          <w:szCs w:val="24"/>
        </w:rPr>
      </w:pPr>
      <w:r w:rsidRPr="00C865F1">
        <w:rPr>
          <w:szCs w:val="24"/>
        </w:rPr>
        <w:t>•</w:t>
      </w:r>
      <w:r w:rsidRPr="00C865F1">
        <w:rPr>
          <w:szCs w:val="24"/>
        </w:rPr>
        <w:tab/>
        <w:t>Non-radiographic axSpA.</w:t>
      </w:r>
    </w:p>
    <w:p w:rsidR="00DE63DA" w:rsidRPr="00232D6E" w:rsidRDefault="00DE63DA" w:rsidP="004012FC">
      <w:pPr>
        <w:pStyle w:val="4-SubsectionHeading"/>
      </w:pPr>
      <w:r w:rsidRPr="00232D6E">
        <w:t>Registration status</w:t>
      </w:r>
    </w:p>
    <w:p w:rsidR="00DE63DA" w:rsidRPr="00232D6E" w:rsidRDefault="00DE63DA" w:rsidP="00DE63DA">
      <w:pPr>
        <w:pStyle w:val="3Bodytext"/>
        <w:ind w:left="709"/>
      </w:pPr>
      <w:r w:rsidRPr="00232D6E">
        <w:t>Secukinumab is TGA registered for:</w:t>
      </w:r>
    </w:p>
    <w:p w:rsidR="00DE63DA" w:rsidRPr="00232D6E" w:rsidRDefault="00DE63DA" w:rsidP="00B66B82">
      <w:pPr>
        <w:pStyle w:val="3Bodytext"/>
        <w:numPr>
          <w:ilvl w:val="0"/>
          <w:numId w:val="10"/>
        </w:numPr>
        <w:jc w:val="both"/>
      </w:pPr>
      <w:r w:rsidRPr="00232D6E">
        <w:t>The treatment of moderate to severe plaque psoriasis in adult patients who are candidates for systemic therapy or phototherapy</w:t>
      </w:r>
    </w:p>
    <w:p w:rsidR="00DE63DA" w:rsidRPr="00232D6E" w:rsidRDefault="00DE63DA" w:rsidP="00B66B82">
      <w:pPr>
        <w:pStyle w:val="3Bodytext"/>
        <w:numPr>
          <w:ilvl w:val="0"/>
          <w:numId w:val="10"/>
        </w:numPr>
        <w:jc w:val="both"/>
      </w:pPr>
      <w:r w:rsidRPr="00232D6E">
        <w:t>The treatment of adult patients with active psoriatic arthritis when the response to previous DMARD therapy has been inadequate, axial spondyloarthritis (axSpA) with or without radiographic damage</w:t>
      </w:r>
    </w:p>
    <w:p w:rsidR="00DE63DA" w:rsidRPr="00232D6E" w:rsidRDefault="00DE63DA" w:rsidP="00B66B82">
      <w:pPr>
        <w:pStyle w:val="3Bodytext"/>
        <w:numPr>
          <w:ilvl w:val="0"/>
          <w:numId w:val="10"/>
        </w:numPr>
        <w:jc w:val="both"/>
      </w:pPr>
      <w:r w:rsidRPr="00232D6E">
        <w:t>The treatment of adult patients with active ankylosing spondylitis, non-radiographic axSpA (axSpA without radiographic damage)</w:t>
      </w:r>
    </w:p>
    <w:p w:rsidR="00DE63DA" w:rsidRPr="00232D6E" w:rsidRDefault="00DE63DA" w:rsidP="00B66B82">
      <w:pPr>
        <w:pStyle w:val="3Bodytext"/>
        <w:numPr>
          <w:ilvl w:val="0"/>
          <w:numId w:val="10"/>
        </w:numPr>
        <w:jc w:val="both"/>
      </w:pPr>
      <w:r w:rsidRPr="00232D6E">
        <w:t>The treatment of adult patients with active non-radiographic axial spondyloarthritis with objective signs of inflammation as indicated by elevated C-reactive protein (CRP) and/or MRI change, who have had an inadequate response to, or are intolerant to, NSAIDS.</w:t>
      </w:r>
    </w:p>
    <w:p w:rsidR="00A05E4D" w:rsidRPr="00232D6E" w:rsidRDefault="00A05E4D" w:rsidP="004012FC">
      <w:pPr>
        <w:pStyle w:val="4-SubsectionHeading"/>
      </w:pPr>
      <w:r w:rsidRPr="00232D6E">
        <w:lastRenderedPageBreak/>
        <w:t>Previous PBAC Considerations</w:t>
      </w:r>
    </w:p>
    <w:p w:rsidR="00DE74E6" w:rsidRPr="00232D6E" w:rsidRDefault="00A05E4D" w:rsidP="00B66B82">
      <w:pPr>
        <w:pStyle w:val="3Bodytext"/>
        <w:ind w:left="709"/>
        <w:jc w:val="both"/>
      </w:pPr>
      <w:r w:rsidRPr="00232D6E">
        <w:t>Secukinumab was</w:t>
      </w:r>
      <w:r w:rsidR="00841450" w:rsidRPr="00232D6E">
        <w:t xml:space="preserve"> </w:t>
      </w:r>
      <w:r w:rsidRPr="00232D6E">
        <w:t>recommended by the PBAC</w:t>
      </w:r>
      <w:r w:rsidR="00357C58" w:rsidRPr="00232D6E">
        <w:t xml:space="preserve"> </w:t>
      </w:r>
      <w:r w:rsidRPr="00232D6E">
        <w:t>for the treatment of severe chronic plaque psoriasis that is refractory to treatment with non-biological disease modifying anti rheumatic drugs (DMARDs)</w:t>
      </w:r>
      <w:r w:rsidR="00DE74E6" w:rsidRPr="00232D6E">
        <w:t xml:space="preserve"> at its March 2015 meeting</w:t>
      </w:r>
      <w:r w:rsidR="00357C58" w:rsidRPr="00232D6E">
        <w:t>.</w:t>
      </w:r>
      <w:r w:rsidR="00EE1BB4" w:rsidRPr="00232D6E">
        <w:t xml:space="preserve"> </w:t>
      </w:r>
    </w:p>
    <w:p w:rsidR="00DE74E6" w:rsidRPr="00232D6E" w:rsidRDefault="00DE74E6" w:rsidP="00B66B82">
      <w:pPr>
        <w:pStyle w:val="3Bodytext"/>
        <w:ind w:left="709"/>
        <w:jc w:val="both"/>
      </w:pPr>
      <w:r w:rsidRPr="00232D6E">
        <w:t>At its July 2016 meeting, the PBAC recommended ixekizumab for the same indication. The PBAC advised that ixekizumab should be treated as interchangeable on an individual patient basis with adalimumab, etanercept and secukinumab according to S101(3BA) advice.</w:t>
      </w:r>
    </w:p>
    <w:p w:rsidR="00991D80" w:rsidRPr="00232D6E" w:rsidRDefault="0066790A" w:rsidP="00B66B82">
      <w:pPr>
        <w:pStyle w:val="3Bodytext"/>
        <w:ind w:left="709"/>
        <w:jc w:val="both"/>
      </w:pPr>
      <w:r>
        <w:t>A</w:t>
      </w:r>
      <w:r w:rsidR="00EE1BB4" w:rsidRPr="00232D6E">
        <w:t>t its July 2017 meeting</w:t>
      </w:r>
      <w:r>
        <w:t>, t</w:t>
      </w:r>
      <w:r w:rsidR="00C4181A" w:rsidRPr="00232D6E">
        <w:t xml:space="preserve">he PBAC </w:t>
      </w:r>
      <w:r w:rsidR="002F7B56" w:rsidRPr="00232D6E">
        <w:t>did not recommend</w:t>
      </w:r>
      <w:r w:rsidR="00991D80" w:rsidRPr="00232D6E">
        <w:t xml:space="preserve"> the submission’s request to amend the maximum quantity and number of repeats of secukinumab for the continuing treatment of severe chronic plaque psoriasis. The PBAC noted that the intention of the request was to align the maximum quantity</w:t>
      </w:r>
      <w:r w:rsidR="00357C58" w:rsidRPr="00232D6E">
        <w:t xml:space="preserve"> </w:t>
      </w:r>
      <w:r w:rsidR="00991D80" w:rsidRPr="00232D6E">
        <w:t>and number of repeats of the secukinumab listing to that of ixekizumab, which</w:t>
      </w:r>
      <w:r w:rsidR="00357C58" w:rsidRPr="00232D6E">
        <w:t xml:space="preserve"> </w:t>
      </w:r>
      <w:r w:rsidR="00991D80" w:rsidRPr="00232D6E">
        <w:t>currently provides two months’ supply per prescription. The PBAC noted that it is</w:t>
      </w:r>
      <w:r w:rsidR="00357C58" w:rsidRPr="00232D6E">
        <w:t xml:space="preserve"> </w:t>
      </w:r>
      <w:r w:rsidR="00991D80" w:rsidRPr="00232D6E">
        <w:t>usual practice for drugs listed on the general schedule to have a maximum quantity</w:t>
      </w:r>
      <w:r w:rsidR="00357C58" w:rsidRPr="00232D6E">
        <w:t xml:space="preserve"> </w:t>
      </w:r>
      <w:r w:rsidR="00991D80" w:rsidRPr="00232D6E">
        <w:t>per prescription that provides supply for one months’ treatment. The PBAC</w:t>
      </w:r>
      <w:r w:rsidR="00357C58" w:rsidRPr="00232D6E">
        <w:t xml:space="preserve"> </w:t>
      </w:r>
      <w:r w:rsidR="00991D80" w:rsidRPr="00232D6E">
        <w:t>therefore considered that the current maximum quantity of one injection with five</w:t>
      </w:r>
      <w:r w:rsidR="00357C58" w:rsidRPr="00232D6E">
        <w:t xml:space="preserve"> </w:t>
      </w:r>
      <w:r w:rsidR="00991D80" w:rsidRPr="00232D6E">
        <w:t>repeats for secukinumab for this indication and treatment phase should remain</w:t>
      </w:r>
      <w:r w:rsidR="00357C58" w:rsidRPr="00232D6E">
        <w:t xml:space="preserve"> </w:t>
      </w:r>
      <w:r w:rsidR="00991D80" w:rsidRPr="00232D6E">
        <w:t>unchanged.</w:t>
      </w:r>
    </w:p>
    <w:p w:rsidR="00DE74E6" w:rsidRPr="00232D6E" w:rsidRDefault="00142671" w:rsidP="00B66B82">
      <w:pPr>
        <w:pStyle w:val="3Bodytext"/>
        <w:ind w:left="709"/>
        <w:jc w:val="both"/>
      </w:pPr>
      <w:r w:rsidRPr="00232D6E">
        <w:t xml:space="preserve">At the same meeting, the PBAC noted that the TGA approved Product Information </w:t>
      </w:r>
      <w:r w:rsidR="00596072" w:rsidRPr="00232D6E">
        <w:t xml:space="preserve">(PI) </w:t>
      </w:r>
      <w:r w:rsidRPr="00232D6E">
        <w:t xml:space="preserve">for ixekizumab indicates it is also available in a pack size of one injection. The PBAC recommended amending the maximum quantity of the PBS listing for ixekizumab from two to one injection, to align the ixekizumab listing for severe chronic plaque psoriasis with the PBS listings of other </w:t>
      </w:r>
      <w:r w:rsidR="000E666B" w:rsidRPr="00232D6E">
        <w:t xml:space="preserve">biological </w:t>
      </w:r>
      <w:r w:rsidRPr="00232D6E">
        <w:t>DMARDs</w:t>
      </w:r>
      <w:r w:rsidR="000E666B" w:rsidRPr="00232D6E">
        <w:t xml:space="preserve"> </w:t>
      </w:r>
      <w:r w:rsidRPr="00232D6E">
        <w:t xml:space="preserve">and with usual practice for the supply of these medicines on the PBS. </w:t>
      </w:r>
    </w:p>
    <w:p w:rsidR="00DE74E6" w:rsidRPr="00232D6E" w:rsidRDefault="00DE74E6" w:rsidP="00B66B82">
      <w:pPr>
        <w:pStyle w:val="3Bodytext"/>
        <w:ind w:left="709"/>
        <w:jc w:val="both"/>
      </w:pPr>
      <w:r w:rsidRPr="00232D6E">
        <w:t xml:space="preserve">The maintenance dose for secukinumab is 300 mg every four weeks (beginning in week four of treatment). The current secukinumab restriction for the continuing treatment of severe chronic plaque psoriasis provides a maximum quantity of one pack containing a maximum quantity of two units of 150 mg/mL injections and five repeats per script. Each prescription therefore supplies approximately one month (four weeks) of continuing treatment. </w:t>
      </w:r>
    </w:p>
    <w:p w:rsidR="00DE74E6" w:rsidRDefault="00DE74E6" w:rsidP="00B66B82">
      <w:pPr>
        <w:pStyle w:val="3Bodytext"/>
        <w:ind w:left="709"/>
        <w:jc w:val="both"/>
      </w:pPr>
      <w:r w:rsidRPr="00232D6E">
        <w:t xml:space="preserve">The maintenance dose for ixekizumab is 80 mg every four weeks (beginning in week 16 of treatment). The current ixekizumab restriction for the same indication provides a maximum quantity of one pack containing a maximum quantity of two units of 80 mg/mL injections and two repeats per script. Accordingly, each dispensing supplies approximately two months (eight weeks) of treatment. </w:t>
      </w:r>
    </w:p>
    <w:p w:rsidR="00B04D2D" w:rsidRDefault="00B04D2D" w:rsidP="00080D85">
      <w:pPr>
        <w:pStyle w:val="3Bodytext"/>
        <w:ind w:left="709"/>
      </w:pPr>
      <w:r w:rsidRPr="00232D6E">
        <w:t>The July 2017 PBAC recommendation to amend ixekizumab’s pack size listing has not yet been implemented.</w:t>
      </w:r>
    </w:p>
    <w:p w:rsidR="00613D1D" w:rsidRPr="00B04D2D" w:rsidRDefault="00613D1D" w:rsidP="00B04D2D">
      <w:pPr>
        <w:ind w:firstLine="709"/>
        <w:rPr>
          <w:i/>
        </w:rPr>
      </w:pPr>
      <w:r w:rsidRPr="00B04D2D">
        <w:rPr>
          <w:rFonts w:asciiTheme="minorHAnsi" w:hAnsiTheme="minorHAnsi"/>
          <w:i/>
        </w:rPr>
        <w:t>For more detail on PBAC’s view, see section 5 PBAC outcome.</w:t>
      </w:r>
    </w:p>
    <w:p w:rsidR="00964A9F" w:rsidRPr="00232D6E" w:rsidRDefault="00964A9F" w:rsidP="00964A9F">
      <w:pPr>
        <w:pStyle w:val="2-SectionHeading"/>
      </w:pPr>
      <w:r w:rsidRPr="00232D6E">
        <w:t>Requested listing</w:t>
      </w:r>
    </w:p>
    <w:p w:rsidR="00613D1D" w:rsidRPr="00232D6E" w:rsidRDefault="00964A9F" w:rsidP="00613D1D">
      <w:pPr>
        <w:pStyle w:val="3Bodytext"/>
        <w:numPr>
          <w:ilvl w:val="0"/>
          <w:numId w:val="0"/>
        </w:numPr>
        <w:ind w:left="709"/>
        <w:rPr>
          <w:rFonts w:cstheme="minorHAnsi"/>
        </w:rPr>
      </w:pPr>
      <w:r w:rsidRPr="00232D6E">
        <w:t xml:space="preserve">The submission requested </w:t>
      </w:r>
      <w:r w:rsidR="00613D1D">
        <w:t>a</w:t>
      </w:r>
      <w:r w:rsidR="00613D1D" w:rsidRPr="00232D6E">
        <w:rPr>
          <w:rFonts w:cstheme="minorHAnsi"/>
        </w:rPr>
        <w:t>mend</w:t>
      </w:r>
      <w:r w:rsidR="00613D1D">
        <w:rPr>
          <w:rFonts w:cstheme="minorHAnsi"/>
        </w:rPr>
        <w:t>ing</w:t>
      </w:r>
      <w:r w:rsidR="00613D1D" w:rsidRPr="00232D6E">
        <w:rPr>
          <w:rFonts w:cstheme="minorHAnsi"/>
        </w:rPr>
        <w:t xml:space="preserve"> </w:t>
      </w:r>
      <w:r w:rsidR="00B04D2D">
        <w:rPr>
          <w:rFonts w:cstheme="minorHAnsi"/>
        </w:rPr>
        <w:t xml:space="preserve">the </w:t>
      </w:r>
      <w:r w:rsidR="00613D1D" w:rsidRPr="00232D6E">
        <w:rPr>
          <w:rFonts w:cstheme="minorHAnsi"/>
        </w:rPr>
        <w:t>maximum quantity and number of repeats as follows:</w:t>
      </w:r>
    </w:p>
    <w:p w:rsidR="00964A9F" w:rsidRPr="00232D6E" w:rsidRDefault="00273C5D" w:rsidP="000E666B">
      <w:pPr>
        <w:pStyle w:val="3Bodytext"/>
        <w:numPr>
          <w:ilvl w:val="0"/>
          <w:numId w:val="0"/>
        </w:numPr>
        <w:ind w:left="709"/>
        <w:rPr>
          <w:rFonts w:cstheme="minorHAnsi"/>
        </w:rPr>
      </w:pPr>
      <w:r w:rsidRPr="00232D6E">
        <w:t>Suggested additions are in italics and deletions are in strikethrough</w:t>
      </w:r>
      <w:r w:rsidR="00C4181A" w:rsidRPr="00232D6E">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163"/>
        <w:gridCol w:w="1247"/>
        <w:gridCol w:w="1134"/>
        <w:gridCol w:w="708"/>
        <w:gridCol w:w="1021"/>
      </w:tblGrid>
      <w:tr w:rsidR="00497EC1" w:rsidRPr="00232D6E" w:rsidTr="00497EC1">
        <w:trPr>
          <w:cantSplit/>
          <w:trHeight w:val="471"/>
        </w:trPr>
        <w:tc>
          <w:tcPr>
            <w:tcW w:w="379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b/>
                <w:bCs/>
                <w:sz w:val="18"/>
                <w:szCs w:val="18"/>
                <w:lang w:eastAsia="en-US"/>
              </w:rPr>
            </w:pPr>
            <w:r w:rsidRPr="00232D6E">
              <w:rPr>
                <w:rFonts w:ascii="Arial Narrow" w:eastAsia="Calibri" w:hAnsi="Arial Narrow" w:cs="Arial"/>
                <w:b/>
                <w:bCs/>
                <w:sz w:val="18"/>
                <w:szCs w:val="18"/>
                <w:lang w:eastAsia="en-US"/>
              </w:rPr>
              <w:t>MEDICINAL PRODUCT</w:t>
            </w:r>
          </w:p>
          <w:p w:rsidR="00497EC1" w:rsidRPr="00232D6E" w:rsidRDefault="00497EC1" w:rsidP="00497EC1">
            <w:pPr>
              <w:keepNext/>
              <w:ind w:left="-57"/>
              <w:rPr>
                <w:rFonts w:ascii="Arial Narrow" w:eastAsia="Calibri" w:hAnsi="Arial Narrow" w:cs="Arial"/>
                <w:b/>
                <w:sz w:val="18"/>
                <w:szCs w:val="18"/>
                <w:lang w:eastAsia="en-US"/>
              </w:rPr>
            </w:pPr>
            <w:r w:rsidRPr="00232D6E">
              <w:rPr>
                <w:rFonts w:ascii="Arial Narrow" w:eastAsia="Calibri" w:hAnsi="Arial Narrow" w:cs="Arial"/>
                <w:b/>
                <w:bCs/>
                <w:sz w:val="18"/>
                <w:szCs w:val="18"/>
                <w:lang w:eastAsia="en-US"/>
              </w:rPr>
              <w:t>medicinal product pack</w:t>
            </w:r>
          </w:p>
        </w:tc>
        <w:tc>
          <w:tcPr>
            <w:tcW w:w="1163"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PBS item code</w:t>
            </w:r>
          </w:p>
        </w:tc>
        <w:tc>
          <w:tcPr>
            <w:tcW w:w="1247"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packs</w:t>
            </w:r>
          </w:p>
        </w:tc>
        <w:tc>
          <w:tcPr>
            <w:tcW w:w="113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№.of</w:t>
            </w:r>
          </w:p>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Rpts</w:t>
            </w:r>
          </w:p>
        </w:tc>
        <w:tc>
          <w:tcPr>
            <w:tcW w:w="1021"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Available brands</w:t>
            </w:r>
          </w:p>
        </w:tc>
      </w:tr>
      <w:tr w:rsidR="00497EC1" w:rsidRPr="00232D6E" w:rsidTr="00497EC1">
        <w:trPr>
          <w:cantSplit/>
          <w:trHeight w:val="224"/>
        </w:trPr>
        <w:tc>
          <w:tcPr>
            <w:tcW w:w="9067" w:type="dxa"/>
            <w:gridSpan w:val="6"/>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w:t>
            </w:r>
          </w:p>
        </w:tc>
      </w:tr>
      <w:tr w:rsidR="00497EC1" w:rsidRPr="00232D6E" w:rsidTr="00497EC1">
        <w:trPr>
          <w:cantSplit/>
          <w:trHeight w:val="308"/>
        </w:trPr>
        <w:tc>
          <w:tcPr>
            <w:tcW w:w="379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6B41A7">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secukinumab 150 mg/mL injection,</w:t>
            </w:r>
            <w:r w:rsidR="00030789" w:rsidRPr="00232D6E">
              <w:rPr>
                <w:rFonts w:ascii="Arial Narrow" w:eastAsia="Calibri" w:hAnsi="Arial Narrow" w:cs="Arial"/>
                <w:sz w:val="18"/>
                <w:szCs w:val="18"/>
                <w:lang w:eastAsia="en-US"/>
              </w:rPr>
              <w:t xml:space="preserve"> 2 x</w:t>
            </w:r>
            <w:r w:rsidR="001A4963" w:rsidRPr="00232D6E">
              <w:rPr>
                <w:rFonts w:ascii="Arial Narrow" w:eastAsia="Calibri" w:hAnsi="Arial Narrow" w:cs="Arial"/>
                <w:sz w:val="18"/>
                <w:szCs w:val="18"/>
                <w:lang w:eastAsia="en-US"/>
              </w:rPr>
              <w:t xml:space="preserve"> </w:t>
            </w:r>
            <w:r w:rsidRPr="00232D6E">
              <w:rPr>
                <w:rFonts w:ascii="Arial Narrow" w:eastAsia="Calibri" w:hAnsi="Arial Narrow" w:cs="Arial"/>
                <w:sz w:val="18"/>
                <w:szCs w:val="18"/>
                <w:lang w:eastAsia="en-US"/>
              </w:rPr>
              <w:t xml:space="preserve">1 mL pen devices </w:t>
            </w:r>
          </w:p>
        </w:tc>
        <w:tc>
          <w:tcPr>
            <w:tcW w:w="1163"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10425Q</w:t>
            </w:r>
          </w:p>
        </w:tc>
        <w:tc>
          <w:tcPr>
            <w:tcW w:w="1247" w:type="dxa"/>
            <w:tcBorders>
              <w:top w:val="single" w:sz="4" w:space="0" w:color="auto"/>
              <w:left w:val="single" w:sz="4" w:space="0" w:color="auto"/>
              <w:bottom w:val="single" w:sz="4" w:space="0" w:color="auto"/>
              <w:right w:val="single" w:sz="4" w:space="0" w:color="auto"/>
            </w:tcBorders>
            <w:hideMark/>
          </w:tcPr>
          <w:p w:rsidR="00497EC1" w:rsidRPr="00232D6E" w:rsidRDefault="00030789" w:rsidP="00497EC1">
            <w:pPr>
              <w:keepNext/>
              <w:jc w:val="center"/>
              <w:rPr>
                <w:rFonts w:ascii="Arial Narrow" w:eastAsia="Calibri" w:hAnsi="Arial Narrow" w:cs="Arial"/>
                <w:strike/>
                <w:sz w:val="18"/>
                <w:szCs w:val="18"/>
                <w:lang w:eastAsia="en-US"/>
              </w:rPr>
            </w:pPr>
            <w:r w:rsidRPr="00232D6E">
              <w:rPr>
                <w:rFonts w:ascii="Arial Narrow" w:eastAsia="Calibri" w:hAnsi="Arial Narrow" w:cs="Arial"/>
                <w:strike/>
                <w:sz w:val="18"/>
                <w:szCs w:val="18"/>
                <w:lang w:eastAsia="en-US"/>
              </w:rPr>
              <w:t>1</w:t>
            </w:r>
            <w:r w:rsidR="006123DE" w:rsidRPr="00232D6E">
              <w:rPr>
                <w:rFonts w:ascii="Arial Narrow" w:eastAsia="Calibri" w:hAnsi="Arial Narrow" w:cs="Arial"/>
                <w:sz w:val="18"/>
                <w:szCs w:val="18"/>
                <w:lang w:eastAsia="en-US"/>
              </w:rPr>
              <w:t xml:space="preserve"> </w:t>
            </w:r>
            <w:r w:rsidR="006123DE" w:rsidRPr="00232D6E">
              <w:rPr>
                <w:rFonts w:ascii="Arial Narrow" w:eastAsia="Calibri" w:hAnsi="Arial Narrow" w:cs="Arial"/>
                <w:i/>
                <w:iCs/>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jc w:val="center"/>
              <w:rPr>
                <w:rFonts w:ascii="Arial Narrow" w:eastAsia="Calibri" w:hAnsi="Arial Narrow" w:cs="Arial"/>
                <w:strike/>
                <w:sz w:val="18"/>
                <w:szCs w:val="18"/>
                <w:lang w:eastAsia="en-US"/>
              </w:rPr>
            </w:pPr>
            <w:r w:rsidRPr="00232D6E">
              <w:rPr>
                <w:rFonts w:ascii="Arial Narrow" w:eastAsia="Calibri" w:hAnsi="Arial Narrow" w:cs="Arial"/>
                <w:strike/>
                <w:sz w:val="18"/>
                <w:szCs w:val="18"/>
                <w:lang w:eastAsia="en-US"/>
              </w:rPr>
              <w:t>2</w:t>
            </w:r>
            <w:r w:rsidR="006123DE" w:rsidRPr="00232D6E">
              <w:rPr>
                <w:rFonts w:ascii="Arial Narrow" w:eastAsia="Calibri" w:hAnsi="Arial Narrow" w:cs="Arial"/>
                <w:sz w:val="18"/>
                <w:szCs w:val="18"/>
                <w:lang w:eastAsia="en-US"/>
              </w:rPr>
              <w:t xml:space="preserve"> </w:t>
            </w:r>
            <w:r w:rsidR="006123DE" w:rsidRPr="00232D6E">
              <w:rPr>
                <w:rFonts w:ascii="Arial Narrow" w:eastAsia="Calibri" w:hAnsi="Arial Narrow" w:cs="Arial"/>
                <w:i/>
                <w:iCs/>
                <w:sz w:val="18"/>
                <w:szCs w:val="18"/>
                <w:lang w:eastAsia="en-US"/>
              </w:rPr>
              <w:t>4</w:t>
            </w:r>
            <w:r w:rsidR="006123DE" w:rsidRPr="00232D6E">
              <w:rPr>
                <w:rFonts w:ascii="Arial Narrow" w:eastAsia="Calibri" w:hAnsi="Arial Narrow" w:cs="Arial"/>
                <w:strike/>
                <w:sz w:val="18"/>
                <w:szCs w:val="18"/>
                <w:lang w:eastAsia="en-US"/>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5</w:t>
            </w:r>
            <w:r w:rsidR="006123DE" w:rsidRPr="00232D6E">
              <w:rPr>
                <w:rFonts w:ascii="Arial Narrow" w:eastAsia="Calibri" w:hAnsi="Arial Narrow" w:cs="Arial"/>
                <w:sz w:val="18"/>
                <w:szCs w:val="18"/>
                <w:lang w:eastAsia="en-US"/>
              </w:rPr>
              <w:t xml:space="preserve"> </w:t>
            </w:r>
            <w:r w:rsidR="006123DE" w:rsidRPr="00232D6E">
              <w:rPr>
                <w:rFonts w:ascii="Arial Narrow" w:eastAsia="Calibri" w:hAnsi="Arial Narrow" w:cs="Arial"/>
                <w:i/>
                <w:iCs/>
                <w:sz w:val="18"/>
                <w:szCs w:val="18"/>
                <w:lang w:eastAsia="en-US"/>
              </w:rPr>
              <w:t>2</w:t>
            </w:r>
          </w:p>
        </w:tc>
        <w:tc>
          <w:tcPr>
            <w:tcW w:w="1021" w:type="dxa"/>
            <w:tcBorders>
              <w:top w:val="single" w:sz="4" w:space="0" w:color="auto"/>
              <w:left w:val="single" w:sz="4" w:space="0" w:color="auto"/>
              <w:bottom w:val="single" w:sz="4" w:space="0" w:color="auto"/>
              <w:right w:val="single" w:sz="4" w:space="0" w:color="auto"/>
            </w:tcBorders>
            <w:hideMark/>
          </w:tcPr>
          <w:p w:rsidR="00497EC1" w:rsidRPr="00232D6E" w:rsidRDefault="00DF0102" w:rsidP="00497EC1">
            <w:pPr>
              <w:keepNex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Cosentyx</w:t>
            </w:r>
          </w:p>
        </w:tc>
      </w:tr>
      <w:tr w:rsidR="00497EC1" w:rsidRPr="00232D6E" w:rsidTr="00497EC1">
        <w:trPr>
          <w:cantSplit/>
          <w:trHeight w:val="308"/>
        </w:trPr>
        <w:tc>
          <w:tcPr>
            <w:tcW w:w="4957" w:type="dxa"/>
            <w:gridSpan w:val="2"/>
            <w:tcBorders>
              <w:top w:val="single" w:sz="4" w:space="0" w:color="auto"/>
              <w:left w:val="single" w:sz="4" w:space="0" w:color="auto"/>
              <w:bottom w:val="single" w:sz="4" w:space="0" w:color="auto"/>
              <w:right w:val="single" w:sz="4" w:space="0" w:color="auto"/>
            </w:tcBorders>
          </w:tcPr>
          <w:p w:rsidR="004F6B3B" w:rsidRPr="00232D6E" w:rsidRDefault="004F6B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Continuing treatment</w:t>
            </w:r>
          </w:p>
          <w:p w:rsidR="00497EC1" w:rsidRPr="00232D6E" w:rsidRDefault="006A34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Indication: Severe chronic plaque psoriasis</w:t>
            </w:r>
          </w:p>
        </w:tc>
        <w:tc>
          <w:tcPr>
            <w:tcW w:w="3089" w:type="dxa"/>
            <w:gridSpan w:val="3"/>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Max.qty (packs) multiplier = 1</w:t>
            </w:r>
          </w:p>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Repeat increases: nil</w:t>
            </w:r>
          </w:p>
        </w:tc>
        <w:tc>
          <w:tcPr>
            <w:tcW w:w="1021" w:type="dxa"/>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rPr>
                <w:rFonts w:ascii="Arial Narrow" w:eastAsia="Calibri" w:hAnsi="Arial Narrow" w:cs="Arial"/>
                <w:sz w:val="18"/>
                <w:szCs w:val="18"/>
                <w:lang w:eastAsia="en-US"/>
              </w:rPr>
            </w:pPr>
          </w:p>
        </w:tc>
      </w:tr>
    </w:tbl>
    <w:p w:rsidR="00497EC1" w:rsidRPr="00232D6E" w:rsidRDefault="00497EC1" w:rsidP="00497EC1">
      <w:pPr>
        <w:spacing w:after="120"/>
        <w:rPr>
          <w:rFonts w:asciiTheme="minorHAnsi" w:hAnsiTheme="minorHAnsi" w:cs="Arial"/>
          <w:bCs/>
          <w:snapToGrid w:val="0"/>
          <w:sz w:val="22"/>
          <w:szCs w:val="22"/>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163"/>
        <w:gridCol w:w="1247"/>
        <w:gridCol w:w="1134"/>
        <w:gridCol w:w="708"/>
        <w:gridCol w:w="1021"/>
      </w:tblGrid>
      <w:tr w:rsidR="00133E3E" w:rsidRPr="00232D6E" w:rsidTr="002125A8">
        <w:trPr>
          <w:cantSplit/>
          <w:trHeight w:val="471"/>
        </w:trPr>
        <w:tc>
          <w:tcPr>
            <w:tcW w:w="3794"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57"/>
              <w:rPr>
                <w:rFonts w:ascii="Arial Narrow" w:eastAsia="Calibri" w:hAnsi="Arial Narrow" w:cs="Arial"/>
                <w:b/>
                <w:bCs/>
                <w:sz w:val="18"/>
                <w:szCs w:val="18"/>
                <w:lang w:eastAsia="en-US"/>
              </w:rPr>
            </w:pPr>
            <w:r w:rsidRPr="00232D6E">
              <w:rPr>
                <w:rFonts w:ascii="Arial Narrow" w:eastAsia="Calibri" w:hAnsi="Arial Narrow" w:cs="Arial"/>
                <w:b/>
                <w:bCs/>
                <w:sz w:val="18"/>
                <w:szCs w:val="18"/>
                <w:lang w:eastAsia="en-US"/>
              </w:rPr>
              <w:t>MEDICINAL PRODUCT</w:t>
            </w:r>
          </w:p>
          <w:p w:rsidR="00133E3E" w:rsidRPr="00232D6E" w:rsidRDefault="00133E3E" w:rsidP="002125A8">
            <w:pPr>
              <w:keepNext/>
              <w:ind w:left="-57"/>
              <w:rPr>
                <w:rFonts w:ascii="Arial Narrow" w:eastAsia="Calibri" w:hAnsi="Arial Narrow" w:cs="Arial"/>
                <w:b/>
                <w:sz w:val="18"/>
                <w:szCs w:val="18"/>
                <w:lang w:eastAsia="en-US"/>
              </w:rPr>
            </w:pPr>
            <w:r w:rsidRPr="00232D6E">
              <w:rPr>
                <w:rFonts w:ascii="Arial Narrow" w:eastAsia="Calibri" w:hAnsi="Arial Narrow" w:cs="Arial"/>
                <w:b/>
                <w:bCs/>
                <w:sz w:val="18"/>
                <w:szCs w:val="18"/>
                <w:lang w:eastAsia="en-US"/>
              </w:rPr>
              <w:t>medicinal product pack</w:t>
            </w:r>
          </w:p>
        </w:tc>
        <w:tc>
          <w:tcPr>
            <w:tcW w:w="1163"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PBS item code</w:t>
            </w:r>
          </w:p>
        </w:tc>
        <w:tc>
          <w:tcPr>
            <w:tcW w:w="1247"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packs</w:t>
            </w:r>
          </w:p>
        </w:tc>
        <w:tc>
          <w:tcPr>
            <w:tcW w:w="1134"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№.of</w:t>
            </w:r>
          </w:p>
          <w:p w:rsidR="00133E3E" w:rsidRPr="00232D6E" w:rsidRDefault="00133E3E" w:rsidP="002125A8">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Rpts</w:t>
            </w:r>
          </w:p>
        </w:tc>
        <w:tc>
          <w:tcPr>
            <w:tcW w:w="1021"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Available brands</w:t>
            </w:r>
          </w:p>
        </w:tc>
      </w:tr>
      <w:tr w:rsidR="00133E3E" w:rsidRPr="00232D6E" w:rsidTr="002125A8">
        <w:trPr>
          <w:cantSplit/>
          <w:trHeight w:val="224"/>
        </w:trPr>
        <w:tc>
          <w:tcPr>
            <w:tcW w:w="9067" w:type="dxa"/>
            <w:gridSpan w:val="6"/>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w:t>
            </w:r>
          </w:p>
        </w:tc>
      </w:tr>
      <w:tr w:rsidR="00133E3E" w:rsidRPr="00232D6E" w:rsidTr="002125A8">
        <w:trPr>
          <w:cantSplit/>
          <w:trHeight w:val="308"/>
        </w:trPr>
        <w:tc>
          <w:tcPr>
            <w:tcW w:w="3794"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150 mg/mL injection, 1 mL pen device </w:t>
            </w:r>
          </w:p>
        </w:tc>
        <w:tc>
          <w:tcPr>
            <w:tcW w:w="1163"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10895K</w:t>
            </w:r>
          </w:p>
        </w:tc>
        <w:tc>
          <w:tcPr>
            <w:tcW w:w="1247"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1</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1</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708"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5</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021" w:type="dxa"/>
            <w:tcBorders>
              <w:top w:val="single" w:sz="4" w:space="0" w:color="auto"/>
              <w:left w:val="single" w:sz="4" w:space="0" w:color="auto"/>
              <w:bottom w:val="single" w:sz="4" w:space="0" w:color="auto"/>
              <w:right w:val="single" w:sz="4" w:space="0" w:color="auto"/>
            </w:tcBorders>
            <w:hideMark/>
          </w:tcPr>
          <w:p w:rsidR="00133E3E" w:rsidRPr="00232D6E" w:rsidRDefault="00133E3E" w:rsidP="002125A8">
            <w:pPr>
              <w:keepNex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Cosentyx</w:t>
            </w:r>
          </w:p>
        </w:tc>
      </w:tr>
      <w:tr w:rsidR="00133E3E" w:rsidRPr="00232D6E" w:rsidTr="002125A8">
        <w:trPr>
          <w:cantSplit/>
          <w:trHeight w:val="308"/>
        </w:trPr>
        <w:tc>
          <w:tcPr>
            <w:tcW w:w="4957" w:type="dxa"/>
            <w:gridSpan w:val="2"/>
            <w:tcBorders>
              <w:top w:val="single" w:sz="4" w:space="0" w:color="auto"/>
              <w:left w:val="single" w:sz="4" w:space="0" w:color="auto"/>
              <w:bottom w:val="single" w:sz="4" w:space="0" w:color="auto"/>
              <w:right w:val="single" w:sz="4" w:space="0" w:color="auto"/>
            </w:tcBorders>
          </w:tcPr>
          <w:p w:rsidR="004F6B3B" w:rsidRPr="00232D6E" w:rsidRDefault="004F6B3B" w:rsidP="004F6B3B">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Continuing treatment</w:t>
            </w:r>
          </w:p>
          <w:p w:rsidR="00133E3E" w:rsidRPr="00232D6E" w:rsidRDefault="004F6B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Indication: Severe </w:t>
            </w:r>
            <w:r w:rsidR="00145E43" w:rsidRPr="00232D6E">
              <w:rPr>
                <w:rFonts w:ascii="Arial Narrow" w:eastAsia="Calibri" w:hAnsi="Arial Narrow" w:cs="Arial"/>
                <w:sz w:val="18"/>
                <w:szCs w:val="18"/>
                <w:lang w:eastAsia="en-US"/>
              </w:rPr>
              <w:t>psoriatic arthritis</w:t>
            </w:r>
          </w:p>
        </w:tc>
        <w:tc>
          <w:tcPr>
            <w:tcW w:w="3089" w:type="dxa"/>
            <w:gridSpan w:val="3"/>
            <w:tcBorders>
              <w:top w:val="single" w:sz="4" w:space="0" w:color="auto"/>
              <w:left w:val="single" w:sz="4" w:space="0" w:color="auto"/>
              <w:bottom w:val="single" w:sz="4" w:space="0" w:color="auto"/>
              <w:right w:val="single" w:sz="4" w:space="0" w:color="auto"/>
            </w:tcBorders>
          </w:tcPr>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Max.qty (packs) multiplier = 1</w:t>
            </w:r>
          </w:p>
          <w:p w:rsidR="00133E3E" w:rsidRPr="00232D6E" w:rsidRDefault="00133E3E" w:rsidP="002125A8">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Repeat increases: nil</w:t>
            </w:r>
          </w:p>
        </w:tc>
        <w:tc>
          <w:tcPr>
            <w:tcW w:w="1021" w:type="dxa"/>
            <w:tcBorders>
              <w:top w:val="single" w:sz="4" w:space="0" w:color="auto"/>
              <w:left w:val="single" w:sz="4" w:space="0" w:color="auto"/>
              <w:bottom w:val="single" w:sz="4" w:space="0" w:color="auto"/>
              <w:right w:val="single" w:sz="4" w:space="0" w:color="auto"/>
            </w:tcBorders>
          </w:tcPr>
          <w:p w:rsidR="00133E3E" w:rsidRPr="00232D6E" w:rsidRDefault="00133E3E" w:rsidP="002125A8">
            <w:pPr>
              <w:keepNext/>
              <w:rPr>
                <w:rFonts w:ascii="Arial Narrow" w:eastAsia="Calibri" w:hAnsi="Arial Narrow" w:cs="Arial"/>
                <w:sz w:val="18"/>
                <w:szCs w:val="18"/>
                <w:lang w:eastAsia="en-US"/>
              </w:rPr>
            </w:pPr>
          </w:p>
        </w:tc>
      </w:tr>
    </w:tbl>
    <w:p w:rsidR="00497EC1" w:rsidRPr="00232D6E" w:rsidRDefault="00497EC1" w:rsidP="00497EC1">
      <w:pPr>
        <w:rPr>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163"/>
        <w:gridCol w:w="1247"/>
        <w:gridCol w:w="1134"/>
        <w:gridCol w:w="708"/>
        <w:gridCol w:w="1021"/>
      </w:tblGrid>
      <w:tr w:rsidR="00497EC1" w:rsidRPr="00232D6E" w:rsidTr="00497EC1">
        <w:trPr>
          <w:cantSplit/>
          <w:trHeight w:val="471"/>
        </w:trPr>
        <w:tc>
          <w:tcPr>
            <w:tcW w:w="379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b/>
                <w:bCs/>
                <w:sz w:val="18"/>
                <w:szCs w:val="18"/>
                <w:lang w:eastAsia="en-US"/>
              </w:rPr>
            </w:pPr>
            <w:r w:rsidRPr="00232D6E">
              <w:rPr>
                <w:rFonts w:ascii="Arial Narrow" w:eastAsia="Calibri" w:hAnsi="Arial Narrow" w:cs="Arial"/>
                <w:b/>
                <w:bCs/>
                <w:sz w:val="18"/>
                <w:szCs w:val="18"/>
                <w:lang w:eastAsia="en-US"/>
              </w:rPr>
              <w:t>MEDICINAL PRODUCT</w:t>
            </w:r>
          </w:p>
          <w:p w:rsidR="00497EC1" w:rsidRPr="00232D6E" w:rsidRDefault="00497EC1" w:rsidP="00497EC1">
            <w:pPr>
              <w:keepNext/>
              <w:ind w:left="-57"/>
              <w:rPr>
                <w:rFonts w:ascii="Arial Narrow" w:eastAsia="Calibri" w:hAnsi="Arial Narrow" w:cs="Arial"/>
                <w:b/>
                <w:sz w:val="18"/>
                <w:szCs w:val="18"/>
                <w:lang w:eastAsia="en-US"/>
              </w:rPr>
            </w:pPr>
            <w:r w:rsidRPr="00232D6E">
              <w:rPr>
                <w:rFonts w:ascii="Arial Narrow" w:eastAsia="Calibri" w:hAnsi="Arial Narrow" w:cs="Arial"/>
                <w:b/>
                <w:bCs/>
                <w:sz w:val="18"/>
                <w:szCs w:val="18"/>
                <w:lang w:eastAsia="en-US"/>
              </w:rPr>
              <w:t>medicinal product pack</w:t>
            </w:r>
          </w:p>
        </w:tc>
        <w:tc>
          <w:tcPr>
            <w:tcW w:w="1163"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PBS item code</w:t>
            </w:r>
          </w:p>
        </w:tc>
        <w:tc>
          <w:tcPr>
            <w:tcW w:w="1247"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packs</w:t>
            </w:r>
          </w:p>
        </w:tc>
        <w:tc>
          <w:tcPr>
            <w:tcW w:w="113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№.of</w:t>
            </w:r>
          </w:p>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Rpts</w:t>
            </w:r>
          </w:p>
        </w:tc>
        <w:tc>
          <w:tcPr>
            <w:tcW w:w="1021"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Available brands</w:t>
            </w:r>
          </w:p>
        </w:tc>
      </w:tr>
      <w:tr w:rsidR="00497EC1" w:rsidRPr="00232D6E" w:rsidTr="00497EC1">
        <w:trPr>
          <w:cantSplit/>
          <w:trHeight w:val="224"/>
        </w:trPr>
        <w:tc>
          <w:tcPr>
            <w:tcW w:w="9067" w:type="dxa"/>
            <w:gridSpan w:val="6"/>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w:t>
            </w:r>
          </w:p>
        </w:tc>
      </w:tr>
      <w:tr w:rsidR="00AF4E94" w:rsidRPr="00232D6E" w:rsidTr="00497EC1">
        <w:trPr>
          <w:cantSplit/>
          <w:trHeight w:val="308"/>
        </w:trPr>
        <w:tc>
          <w:tcPr>
            <w:tcW w:w="3794"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secukinumab 150 mg/mL injection, 2 x</w:t>
            </w:r>
            <w:r w:rsidRPr="00232D6E" w:rsidDel="0052118F">
              <w:rPr>
                <w:rFonts w:ascii="Arial Narrow" w:eastAsia="Calibri" w:hAnsi="Arial Narrow" w:cs="Arial"/>
                <w:sz w:val="18"/>
                <w:szCs w:val="18"/>
                <w:lang w:eastAsia="en-US"/>
              </w:rPr>
              <w:t xml:space="preserve"> </w:t>
            </w:r>
            <w:r w:rsidRPr="00232D6E">
              <w:rPr>
                <w:rFonts w:ascii="Arial Narrow" w:eastAsia="Calibri" w:hAnsi="Arial Narrow" w:cs="Arial"/>
                <w:sz w:val="18"/>
                <w:szCs w:val="18"/>
                <w:lang w:eastAsia="en-US"/>
              </w:rPr>
              <w:t xml:space="preserve">1 mL pen devices </w:t>
            </w:r>
          </w:p>
        </w:tc>
        <w:tc>
          <w:tcPr>
            <w:tcW w:w="1163"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10899P</w:t>
            </w:r>
          </w:p>
        </w:tc>
        <w:tc>
          <w:tcPr>
            <w:tcW w:w="1247"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1</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2</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4</w:t>
            </w:r>
            <w:r w:rsidRPr="00232D6E">
              <w:rPr>
                <w:rFonts w:ascii="Arial Narrow" w:eastAsia="Calibri" w:hAnsi="Arial Narrow" w:cs="Arial"/>
                <w:strike/>
                <w:sz w:val="18"/>
                <w:szCs w:val="18"/>
                <w:lang w:eastAsia="en-US"/>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5</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021" w:type="dxa"/>
            <w:tcBorders>
              <w:top w:val="single" w:sz="4" w:space="0" w:color="auto"/>
              <w:left w:val="single" w:sz="4" w:space="0" w:color="auto"/>
              <w:bottom w:val="single" w:sz="4" w:space="0" w:color="auto"/>
              <w:right w:val="single" w:sz="4" w:space="0" w:color="auto"/>
            </w:tcBorders>
            <w:hideMark/>
          </w:tcPr>
          <w:p w:rsidR="00AF4E94" w:rsidRPr="00232D6E" w:rsidRDefault="00AF4E94" w:rsidP="00AF4E94">
            <w:pPr>
              <w:keepNex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Cosentyx</w:t>
            </w:r>
          </w:p>
        </w:tc>
      </w:tr>
      <w:tr w:rsidR="00497EC1" w:rsidRPr="00232D6E" w:rsidTr="00497EC1">
        <w:trPr>
          <w:cantSplit/>
          <w:trHeight w:val="308"/>
        </w:trPr>
        <w:tc>
          <w:tcPr>
            <w:tcW w:w="4957" w:type="dxa"/>
            <w:gridSpan w:val="2"/>
            <w:tcBorders>
              <w:top w:val="single" w:sz="4" w:space="0" w:color="auto"/>
              <w:left w:val="single" w:sz="4" w:space="0" w:color="auto"/>
              <w:bottom w:val="single" w:sz="4" w:space="0" w:color="auto"/>
              <w:right w:val="single" w:sz="4" w:space="0" w:color="auto"/>
            </w:tcBorders>
          </w:tcPr>
          <w:p w:rsidR="004F6B3B" w:rsidRPr="00232D6E" w:rsidRDefault="004F6B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Continuing treatment</w:t>
            </w:r>
          </w:p>
          <w:p w:rsidR="00497EC1" w:rsidRPr="00232D6E" w:rsidRDefault="006A34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Indication: Severe psoriatic arthritis</w:t>
            </w:r>
          </w:p>
        </w:tc>
        <w:tc>
          <w:tcPr>
            <w:tcW w:w="3089" w:type="dxa"/>
            <w:gridSpan w:val="3"/>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Max.qty (packs) multiplier = 1</w:t>
            </w:r>
          </w:p>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Repeat increases: nil</w:t>
            </w:r>
          </w:p>
        </w:tc>
        <w:tc>
          <w:tcPr>
            <w:tcW w:w="1021" w:type="dxa"/>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rPr>
                <w:rFonts w:ascii="Arial Narrow" w:eastAsia="Calibri" w:hAnsi="Arial Narrow" w:cs="Arial"/>
                <w:sz w:val="18"/>
                <w:szCs w:val="18"/>
                <w:lang w:eastAsia="en-US"/>
              </w:rPr>
            </w:pPr>
          </w:p>
        </w:tc>
      </w:tr>
    </w:tbl>
    <w:p w:rsidR="00497EC1" w:rsidRPr="00232D6E" w:rsidRDefault="00497EC1" w:rsidP="00497EC1">
      <w:pPr>
        <w:rPr>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163"/>
        <w:gridCol w:w="1247"/>
        <w:gridCol w:w="1134"/>
        <w:gridCol w:w="708"/>
        <w:gridCol w:w="1021"/>
      </w:tblGrid>
      <w:tr w:rsidR="00497EC1" w:rsidRPr="00232D6E" w:rsidTr="00497EC1">
        <w:trPr>
          <w:cantSplit/>
          <w:trHeight w:val="471"/>
        </w:trPr>
        <w:tc>
          <w:tcPr>
            <w:tcW w:w="379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b/>
                <w:bCs/>
                <w:sz w:val="18"/>
                <w:szCs w:val="18"/>
                <w:lang w:eastAsia="en-US"/>
              </w:rPr>
            </w:pPr>
            <w:r w:rsidRPr="00232D6E">
              <w:rPr>
                <w:rFonts w:ascii="Arial Narrow" w:eastAsia="Calibri" w:hAnsi="Arial Narrow" w:cs="Arial"/>
                <w:b/>
                <w:bCs/>
                <w:sz w:val="18"/>
                <w:szCs w:val="18"/>
                <w:lang w:eastAsia="en-US"/>
              </w:rPr>
              <w:t>MEDICINAL PRODUCT</w:t>
            </w:r>
          </w:p>
          <w:p w:rsidR="00497EC1" w:rsidRPr="00232D6E" w:rsidRDefault="00497EC1" w:rsidP="00497EC1">
            <w:pPr>
              <w:keepNext/>
              <w:ind w:left="-57"/>
              <w:rPr>
                <w:rFonts w:ascii="Arial Narrow" w:eastAsia="Calibri" w:hAnsi="Arial Narrow" w:cs="Arial"/>
                <w:b/>
                <w:sz w:val="18"/>
                <w:szCs w:val="18"/>
                <w:lang w:eastAsia="en-US"/>
              </w:rPr>
            </w:pPr>
            <w:r w:rsidRPr="00232D6E">
              <w:rPr>
                <w:rFonts w:ascii="Arial Narrow" w:eastAsia="Calibri" w:hAnsi="Arial Narrow" w:cs="Arial"/>
                <w:b/>
                <w:bCs/>
                <w:sz w:val="18"/>
                <w:szCs w:val="18"/>
                <w:lang w:eastAsia="en-US"/>
              </w:rPr>
              <w:t>medicinal product pack</w:t>
            </w:r>
          </w:p>
        </w:tc>
        <w:tc>
          <w:tcPr>
            <w:tcW w:w="1163"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PBS item code</w:t>
            </w:r>
          </w:p>
        </w:tc>
        <w:tc>
          <w:tcPr>
            <w:tcW w:w="1247"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packs</w:t>
            </w:r>
          </w:p>
        </w:tc>
        <w:tc>
          <w:tcPr>
            <w:tcW w:w="1134"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№.of</w:t>
            </w:r>
          </w:p>
          <w:p w:rsidR="00497EC1" w:rsidRPr="00232D6E" w:rsidRDefault="00497EC1" w:rsidP="00497EC1">
            <w:pPr>
              <w:keepNext/>
              <w:ind w:left="-108"/>
              <w:jc w:val="center"/>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Rpts</w:t>
            </w:r>
          </w:p>
        </w:tc>
        <w:tc>
          <w:tcPr>
            <w:tcW w:w="1021" w:type="dxa"/>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rPr>
                <w:rFonts w:ascii="Arial Narrow" w:eastAsia="Calibri" w:hAnsi="Arial Narrow" w:cs="Arial"/>
                <w:b/>
                <w:sz w:val="18"/>
                <w:szCs w:val="18"/>
                <w:lang w:eastAsia="en-US"/>
              </w:rPr>
            </w:pPr>
            <w:r w:rsidRPr="00232D6E">
              <w:rPr>
                <w:rFonts w:ascii="Arial Narrow" w:eastAsia="Calibri" w:hAnsi="Arial Narrow" w:cs="Arial"/>
                <w:b/>
                <w:sz w:val="18"/>
                <w:szCs w:val="18"/>
                <w:lang w:eastAsia="en-US"/>
              </w:rPr>
              <w:t>Available brands</w:t>
            </w:r>
          </w:p>
        </w:tc>
      </w:tr>
      <w:tr w:rsidR="00497EC1" w:rsidRPr="00232D6E" w:rsidTr="00497EC1">
        <w:trPr>
          <w:cantSplit/>
          <w:trHeight w:val="224"/>
        </w:trPr>
        <w:tc>
          <w:tcPr>
            <w:tcW w:w="9067" w:type="dxa"/>
            <w:gridSpan w:val="6"/>
            <w:tcBorders>
              <w:top w:val="single" w:sz="4" w:space="0" w:color="auto"/>
              <w:left w:val="single" w:sz="4" w:space="0" w:color="auto"/>
              <w:bottom w:val="single" w:sz="4" w:space="0" w:color="auto"/>
              <w:right w:val="single" w:sz="4" w:space="0" w:color="auto"/>
            </w:tcBorders>
            <w:hideMark/>
          </w:tcPr>
          <w:p w:rsidR="00497EC1" w:rsidRPr="00232D6E" w:rsidRDefault="00497EC1" w:rsidP="00497EC1">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w:t>
            </w:r>
          </w:p>
        </w:tc>
      </w:tr>
      <w:tr w:rsidR="00030789" w:rsidRPr="00232D6E" w:rsidTr="00497EC1">
        <w:trPr>
          <w:cantSplit/>
          <w:trHeight w:val="308"/>
        </w:trPr>
        <w:tc>
          <w:tcPr>
            <w:tcW w:w="3794"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ind w:left="-57"/>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 xml:space="preserve">secukinumab 150 mg/mL injection, 1 mL pen device </w:t>
            </w:r>
          </w:p>
        </w:tc>
        <w:tc>
          <w:tcPr>
            <w:tcW w:w="1163"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10906B</w:t>
            </w:r>
          </w:p>
        </w:tc>
        <w:tc>
          <w:tcPr>
            <w:tcW w:w="1247"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1</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1</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708"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jc w:val="center"/>
              <w:rPr>
                <w:rFonts w:ascii="Arial Narrow" w:eastAsia="Calibri" w:hAnsi="Arial Narrow" w:cs="Arial"/>
                <w:sz w:val="18"/>
                <w:szCs w:val="18"/>
                <w:lang w:eastAsia="en-US"/>
              </w:rPr>
            </w:pPr>
            <w:r w:rsidRPr="00232D6E">
              <w:rPr>
                <w:rFonts w:ascii="Arial Narrow" w:eastAsia="Calibri" w:hAnsi="Arial Narrow" w:cs="Arial"/>
                <w:strike/>
                <w:sz w:val="18"/>
                <w:szCs w:val="18"/>
                <w:lang w:eastAsia="en-US"/>
              </w:rPr>
              <w:t>5</w:t>
            </w:r>
            <w:r w:rsidRPr="00232D6E">
              <w:rPr>
                <w:rFonts w:ascii="Arial Narrow" w:eastAsia="Calibri" w:hAnsi="Arial Narrow" w:cs="Arial"/>
                <w:sz w:val="18"/>
                <w:szCs w:val="18"/>
                <w:lang w:eastAsia="en-US"/>
              </w:rPr>
              <w:t xml:space="preserve"> </w:t>
            </w:r>
            <w:r w:rsidRPr="00232D6E">
              <w:rPr>
                <w:rFonts w:ascii="Arial Narrow" w:eastAsia="Calibri" w:hAnsi="Arial Narrow" w:cs="Arial"/>
                <w:i/>
                <w:iCs/>
                <w:sz w:val="18"/>
                <w:szCs w:val="18"/>
                <w:lang w:eastAsia="en-US"/>
              </w:rPr>
              <w:t>2</w:t>
            </w:r>
          </w:p>
        </w:tc>
        <w:tc>
          <w:tcPr>
            <w:tcW w:w="1021" w:type="dxa"/>
            <w:tcBorders>
              <w:top w:val="single" w:sz="4" w:space="0" w:color="auto"/>
              <w:left w:val="single" w:sz="4" w:space="0" w:color="auto"/>
              <w:bottom w:val="single" w:sz="4" w:space="0" w:color="auto"/>
              <w:right w:val="single" w:sz="4" w:space="0" w:color="auto"/>
            </w:tcBorders>
            <w:hideMark/>
          </w:tcPr>
          <w:p w:rsidR="00030789" w:rsidRPr="00232D6E" w:rsidRDefault="00030789" w:rsidP="00030789">
            <w:pPr>
              <w:keepNex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Cosentyx</w:t>
            </w:r>
          </w:p>
        </w:tc>
      </w:tr>
      <w:tr w:rsidR="00497EC1" w:rsidRPr="00232D6E" w:rsidTr="00497EC1">
        <w:trPr>
          <w:cantSplit/>
          <w:trHeight w:val="308"/>
        </w:trPr>
        <w:tc>
          <w:tcPr>
            <w:tcW w:w="4957" w:type="dxa"/>
            <w:gridSpan w:val="2"/>
            <w:tcBorders>
              <w:top w:val="single" w:sz="4" w:space="0" w:color="auto"/>
              <w:left w:val="single" w:sz="4" w:space="0" w:color="auto"/>
              <w:bottom w:val="single" w:sz="4" w:space="0" w:color="auto"/>
              <w:right w:val="single" w:sz="4" w:space="0" w:color="auto"/>
            </w:tcBorders>
          </w:tcPr>
          <w:p w:rsidR="004F6B3B" w:rsidRPr="00232D6E" w:rsidRDefault="004F6B3B" w:rsidP="004F6B3B">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Continuing treatment</w:t>
            </w:r>
          </w:p>
          <w:p w:rsidR="00497EC1" w:rsidRPr="00232D6E" w:rsidRDefault="004F6B3B" w:rsidP="00441290">
            <w:pPr>
              <w:keepNext/>
              <w:jc w:val="left"/>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Indication: Ankylosing spondylitis</w:t>
            </w:r>
          </w:p>
        </w:tc>
        <w:tc>
          <w:tcPr>
            <w:tcW w:w="3089" w:type="dxa"/>
            <w:gridSpan w:val="3"/>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Max.qty (packs) multiplier = unlimited</w:t>
            </w:r>
          </w:p>
          <w:p w:rsidR="00497EC1" w:rsidRPr="00232D6E" w:rsidRDefault="00497EC1" w:rsidP="00497EC1">
            <w:pPr>
              <w:keepNext/>
              <w:jc w:val="center"/>
              <w:rPr>
                <w:rFonts w:ascii="Arial Narrow" w:eastAsia="Calibri" w:hAnsi="Arial Narrow" w:cs="Arial"/>
                <w:sz w:val="18"/>
                <w:szCs w:val="18"/>
                <w:lang w:eastAsia="en-US"/>
              </w:rPr>
            </w:pPr>
            <w:r w:rsidRPr="00232D6E">
              <w:rPr>
                <w:rFonts w:ascii="Arial Narrow" w:eastAsia="Calibri" w:hAnsi="Arial Narrow" w:cs="Arial"/>
                <w:sz w:val="18"/>
                <w:szCs w:val="18"/>
                <w:lang w:eastAsia="en-US"/>
              </w:rPr>
              <w:t>Repeat increases: unlimited</w:t>
            </w:r>
          </w:p>
        </w:tc>
        <w:tc>
          <w:tcPr>
            <w:tcW w:w="1021" w:type="dxa"/>
            <w:tcBorders>
              <w:top w:val="single" w:sz="4" w:space="0" w:color="auto"/>
              <w:left w:val="single" w:sz="4" w:space="0" w:color="auto"/>
              <w:bottom w:val="single" w:sz="4" w:space="0" w:color="auto"/>
              <w:right w:val="single" w:sz="4" w:space="0" w:color="auto"/>
            </w:tcBorders>
          </w:tcPr>
          <w:p w:rsidR="00497EC1" w:rsidRPr="00232D6E" w:rsidRDefault="00497EC1" w:rsidP="00497EC1">
            <w:pPr>
              <w:keepNext/>
              <w:rPr>
                <w:rFonts w:ascii="Arial Narrow" w:eastAsia="Calibri" w:hAnsi="Arial Narrow" w:cs="Arial"/>
                <w:sz w:val="18"/>
                <w:szCs w:val="18"/>
                <w:lang w:eastAsia="en-US"/>
              </w:rPr>
            </w:pPr>
          </w:p>
        </w:tc>
      </w:tr>
    </w:tbl>
    <w:p w:rsidR="00497EC1" w:rsidRPr="00232D6E" w:rsidRDefault="00497EC1" w:rsidP="00497EC1">
      <w:pPr>
        <w:rPr>
          <w:lang w:eastAsia="en-US"/>
        </w:rPr>
      </w:pPr>
    </w:p>
    <w:p w:rsidR="00BB6591" w:rsidRPr="00232D6E" w:rsidRDefault="000B6AD2" w:rsidP="00B66B82">
      <w:pPr>
        <w:pStyle w:val="3Bodytext"/>
        <w:ind w:left="709"/>
        <w:jc w:val="both"/>
      </w:pPr>
      <w:r w:rsidRPr="00232D6E">
        <w:t xml:space="preserve">The current maximum </w:t>
      </w:r>
      <w:r w:rsidR="00BB0E24" w:rsidRPr="00232D6E">
        <w:t>quantity</w:t>
      </w:r>
      <w:r w:rsidRPr="00232D6E">
        <w:t xml:space="preserve"> and number of repeat</w:t>
      </w:r>
      <w:r w:rsidR="00BB0E24" w:rsidRPr="00232D6E">
        <w:t>s</w:t>
      </w:r>
      <w:r w:rsidRPr="00232D6E">
        <w:t xml:space="preserve"> for secukinumab </w:t>
      </w:r>
      <w:r w:rsidR="00FB7A0F" w:rsidRPr="00232D6E">
        <w:t xml:space="preserve">are </w:t>
      </w:r>
      <w:r w:rsidRPr="00232D6E">
        <w:t>consistent with the</w:t>
      </w:r>
      <w:r w:rsidR="009B682D" w:rsidRPr="00232D6E">
        <w:t xml:space="preserve"> </w:t>
      </w:r>
      <w:r w:rsidR="009F2F83" w:rsidRPr="00232D6E">
        <w:t>PBAC</w:t>
      </w:r>
      <w:r w:rsidR="00724F4D" w:rsidRPr="00232D6E">
        <w:t xml:space="preserve"> Guidelines </w:t>
      </w:r>
      <w:r w:rsidRPr="00232D6E">
        <w:t xml:space="preserve">such </w:t>
      </w:r>
      <w:r w:rsidR="00724F4D" w:rsidRPr="00232D6E">
        <w:t>that “</w:t>
      </w:r>
      <w:r w:rsidR="0055411B" w:rsidRPr="00232D6E">
        <w:t>f</w:t>
      </w:r>
      <w:r w:rsidR="00724F4D" w:rsidRPr="00232D6E">
        <w:t>or a chronic-use therapy, demonstrate that the maximum quantity/amount is consistent with the likely use of the proposed medicine for one month of therapy</w:t>
      </w:r>
      <w:r w:rsidR="009F2F83" w:rsidRPr="00232D6E">
        <w:rPr>
          <w:rFonts w:cs="Calibri"/>
          <w:color w:val="000000"/>
        </w:rPr>
        <w:t xml:space="preserve"> </w:t>
      </w:r>
      <w:r w:rsidR="009F2F83" w:rsidRPr="00232D6E">
        <w:t>between each dispensing by the pharmacist</w:t>
      </w:r>
      <w:r w:rsidR="00724F4D" w:rsidRPr="00232D6E">
        <w:t>”</w:t>
      </w:r>
      <w:r w:rsidR="009B682D" w:rsidRPr="00232D6E">
        <w:t>.</w:t>
      </w:r>
      <w:r w:rsidR="00BB6591" w:rsidRPr="00232D6E">
        <w:t xml:space="preserve"> The difference in the duration of treatment provided by a single dispensing for secukinumab and ixekizumab arises because of the interaction between the pack size and the dosing regimen. </w:t>
      </w:r>
    </w:p>
    <w:p w:rsidR="00E84320" w:rsidRPr="00232D6E" w:rsidRDefault="00DE63DA" w:rsidP="00B66B82">
      <w:pPr>
        <w:pStyle w:val="3Bodytext"/>
        <w:ind w:left="709"/>
        <w:jc w:val="both"/>
        <w:rPr>
          <w:u w:val="single"/>
        </w:rPr>
      </w:pPr>
      <w:r w:rsidRPr="00232D6E">
        <w:t>The submission</w:t>
      </w:r>
      <w:r w:rsidR="00FE7EC1" w:rsidRPr="00232D6E">
        <w:t>’s</w:t>
      </w:r>
      <w:r w:rsidRPr="00232D6E">
        <w:t xml:space="preserve"> request to amend the maximum quantity and the number of repeats for secukinumab is inconsistent with the PBAC Guidelines because it will provide two months’ supply per prescription. </w:t>
      </w:r>
      <w:r w:rsidR="008C76BF" w:rsidRPr="00232D6E">
        <w:t xml:space="preserve">The submission </w:t>
      </w:r>
      <w:r w:rsidR="001510F9" w:rsidRPr="00232D6E">
        <w:t>stated</w:t>
      </w:r>
      <w:r w:rsidR="008C76BF" w:rsidRPr="00232D6E">
        <w:t xml:space="preserve"> that amending </w:t>
      </w:r>
      <w:r w:rsidR="008F2CBE" w:rsidRPr="00232D6E">
        <w:t xml:space="preserve">the PBS-listed maximum quantity of </w:t>
      </w:r>
      <w:r w:rsidR="00E21CFC" w:rsidRPr="00232D6E">
        <w:t>ixekizumab</w:t>
      </w:r>
      <w:r w:rsidR="008C76BF" w:rsidRPr="00232D6E">
        <w:t xml:space="preserve"> </w:t>
      </w:r>
      <w:r w:rsidR="008F2CBE" w:rsidRPr="00232D6E">
        <w:t xml:space="preserve">without undue delay </w:t>
      </w:r>
      <w:r w:rsidR="008C76BF" w:rsidRPr="00232D6E">
        <w:t xml:space="preserve">would be </w:t>
      </w:r>
      <w:r w:rsidR="001510F9" w:rsidRPr="00232D6E">
        <w:t xml:space="preserve">an acceptable </w:t>
      </w:r>
      <w:r w:rsidR="008F2CBE" w:rsidRPr="00232D6E">
        <w:t xml:space="preserve">alternative </w:t>
      </w:r>
      <w:r w:rsidR="003347FF" w:rsidRPr="00232D6E">
        <w:t>to</w:t>
      </w:r>
      <w:r w:rsidR="008F2CBE" w:rsidRPr="00232D6E">
        <w:t xml:space="preserve"> amending the maximum quantity of secukinumab</w:t>
      </w:r>
      <w:r w:rsidR="008C76BF" w:rsidRPr="00232D6E">
        <w:t>.</w:t>
      </w:r>
      <w:r w:rsidR="000B6AD2" w:rsidRPr="00232D6E">
        <w:t xml:space="preserve"> </w:t>
      </w:r>
    </w:p>
    <w:p w:rsidR="00B4696B" w:rsidRPr="00232D6E" w:rsidRDefault="00B4696B" w:rsidP="00B4696B">
      <w:pPr>
        <w:ind w:firstLine="709"/>
        <w:rPr>
          <w:rFonts w:asciiTheme="minorHAnsi" w:hAnsiTheme="minorHAnsi"/>
          <w:i/>
        </w:rPr>
      </w:pPr>
      <w:bookmarkStart w:id="1" w:name="_Hlk76375324"/>
      <w:r w:rsidRPr="00232D6E">
        <w:rPr>
          <w:rFonts w:asciiTheme="minorHAnsi" w:hAnsiTheme="minorHAnsi"/>
          <w:i/>
        </w:rPr>
        <w:t xml:space="preserve">For more detail on PBAC’s view, see section </w:t>
      </w:r>
      <w:r w:rsidR="00613D1D">
        <w:rPr>
          <w:rFonts w:asciiTheme="minorHAnsi" w:hAnsiTheme="minorHAnsi"/>
          <w:i/>
        </w:rPr>
        <w:t>5</w:t>
      </w:r>
      <w:r w:rsidRPr="00232D6E">
        <w:rPr>
          <w:rFonts w:asciiTheme="minorHAnsi" w:hAnsiTheme="minorHAnsi"/>
          <w:i/>
        </w:rPr>
        <w:t xml:space="preserve"> PBAC outcome.</w:t>
      </w:r>
      <w:bookmarkEnd w:id="1"/>
    </w:p>
    <w:p w:rsidR="00C27C1C" w:rsidRPr="00232D6E" w:rsidRDefault="00C27C1C" w:rsidP="00115ED4">
      <w:pPr>
        <w:pStyle w:val="2-SectionHeading"/>
      </w:pPr>
      <w:r w:rsidRPr="00232D6E">
        <w:t>Consideration of the evidence</w:t>
      </w:r>
    </w:p>
    <w:p w:rsidR="00EB11DA" w:rsidRPr="00232D6E" w:rsidRDefault="00EB11DA" w:rsidP="00EB11DA">
      <w:pPr>
        <w:pStyle w:val="4-SubsectionHeading"/>
      </w:pPr>
      <w:r w:rsidRPr="00232D6E">
        <w:t>Sponsor hearing</w:t>
      </w:r>
    </w:p>
    <w:p w:rsidR="00EB11DA" w:rsidRPr="00232D6E" w:rsidRDefault="00EB11DA" w:rsidP="00EB11DA">
      <w:pPr>
        <w:widowControl w:val="0"/>
        <w:numPr>
          <w:ilvl w:val="1"/>
          <w:numId w:val="1"/>
        </w:numPr>
        <w:spacing w:after="120"/>
        <w:ind w:left="720"/>
        <w:rPr>
          <w:rFonts w:cs="Calibri"/>
          <w:bCs/>
          <w:snapToGrid w:val="0"/>
        </w:rPr>
      </w:pPr>
      <w:r w:rsidRPr="00232D6E">
        <w:rPr>
          <w:rFonts w:cs="Calibri"/>
          <w:bCs/>
          <w:snapToGrid w:val="0"/>
        </w:rPr>
        <w:t>There was no hearing for this item.</w:t>
      </w:r>
    </w:p>
    <w:p w:rsidR="00EB11DA" w:rsidRPr="00232D6E" w:rsidRDefault="00EB11DA" w:rsidP="00EB11DA">
      <w:pPr>
        <w:pStyle w:val="4-SubsectionHeading"/>
      </w:pPr>
      <w:r w:rsidRPr="00232D6E">
        <w:t>Consumer comments</w:t>
      </w:r>
    </w:p>
    <w:p w:rsidR="00EB11DA" w:rsidRPr="00232D6E" w:rsidRDefault="00EB11DA" w:rsidP="00EB11DA">
      <w:pPr>
        <w:widowControl w:val="0"/>
        <w:numPr>
          <w:ilvl w:val="1"/>
          <w:numId w:val="1"/>
        </w:numPr>
        <w:spacing w:after="120"/>
        <w:ind w:left="720"/>
        <w:rPr>
          <w:rFonts w:asciiTheme="minorHAnsi" w:hAnsiTheme="minorHAnsi" w:cs="Arial"/>
          <w:bCs/>
          <w:snapToGrid w:val="0"/>
        </w:rPr>
      </w:pPr>
      <w:r w:rsidRPr="00232D6E">
        <w:rPr>
          <w:rFonts w:asciiTheme="minorHAnsi" w:hAnsiTheme="minorHAnsi" w:cs="Arial"/>
          <w:bCs/>
          <w:snapToGrid w:val="0"/>
        </w:rPr>
        <w:t xml:space="preserve"> The PBAC noted that no consumer comments were received for this item.</w:t>
      </w:r>
    </w:p>
    <w:p w:rsidR="00EB11DA" w:rsidRPr="00232D6E" w:rsidRDefault="00EB11DA" w:rsidP="00EB11DA">
      <w:pPr>
        <w:pStyle w:val="4-SubsectionHeading"/>
      </w:pPr>
      <w:r w:rsidRPr="00232D6E">
        <w:t>Estimated PBS utilisation and financial implications</w:t>
      </w:r>
    </w:p>
    <w:p w:rsidR="00593383" w:rsidRPr="00232D6E" w:rsidRDefault="00BD6F0C" w:rsidP="00B66B82">
      <w:pPr>
        <w:pStyle w:val="3Bodytext"/>
        <w:ind w:left="709"/>
        <w:jc w:val="both"/>
      </w:pPr>
      <w:r w:rsidRPr="00232D6E">
        <w:t xml:space="preserve">The submission claimed </w:t>
      </w:r>
      <w:r w:rsidR="00502E6B" w:rsidRPr="00232D6E">
        <w:t xml:space="preserve">that the </w:t>
      </w:r>
      <w:r w:rsidRPr="00232D6E">
        <w:t xml:space="preserve">co-payment differences between secukinumab and ixekizumab are inconsistent </w:t>
      </w:r>
      <w:r w:rsidR="0015797C" w:rsidRPr="00232D6E">
        <w:t xml:space="preserve">with </w:t>
      </w:r>
      <w:r w:rsidRPr="00232D6E">
        <w:t>PBS policy</w:t>
      </w:r>
      <w:r w:rsidR="000424E9" w:rsidRPr="00232D6E">
        <w:t xml:space="preserve"> and PBAC guidelines</w:t>
      </w:r>
      <w:r w:rsidR="00232D6E">
        <w:t xml:space="preserve">. </w:t>
      </w:r>
    </w:p>
    <w:p w:rsidR="00593383" w:rsidRPr="00232D6E" w:rsidRDefault="00593383" w:rsidP="00B66B82">
      <w:pPr>
        <w:pStyle w:val="3Bodytext"/>
        <w:ind w:left="709"/>
        <w:jc w:val="both"/>
        <w:rPr>
          <w:rFonts w:cstheme="minorHAnsi"/>
          <w:szCs w:val="24"/>
        </w:rPr>
      </w:pPr>
      <w:r w:rsidRPr="00232D6E">
        <w:t xml:space="preserve">The requested amendment for a maximum quantity of two injections with two repeats for secukinumab continuing treatment would reduce the number of patient co-payments to </w:t>
      </w:r>
      <w:r w:rsidR="001023F2" w:rsidRPr="00232D6E">
        <w:rPr>
          <w:rFonts w:cstheme="minorHAnsi"/>
          <w:szCs w:val="24"/>
        </w:rPr>
        <w:t>six per year (based on 48 weeks per year; 6.5 based on 52 weeks per year)</w:t>
      </w:r>
      <w:r w:rsidRPr="00232D6E">
        <w:t>. Based on these figures, the submission calculated that the total co-payment costs per year for a general patient on secukinumab would be $465.60 compared with $268.45 for a general patient on ixekizumab.</w:t>
      </w:r>
    </w:p>
    <w:p w:rsidR="00BD6F0C" w:rsidRPr="00232D6E" w:rsidRDefault="00BD6F0C" w:rsidP="00FE7EC1">
      <w:pPr>
        <w:pStyle w:val="3Bodytext"/>
        <w:ind w:left="709"/>
      </w:pPr>
      <w:r w:rsidRPr="00232D6E">
        <w:t xml:space="preserve">The difference in co-payments are </w:t>
      </w:r>
      <w:r w:rsidR="00170642" w:rsidRPr="00232D6E">
        <w:t>summarised</w:t>
      </w:r>
      <w:r w:rsidRPr="00232D6E">
        <w:t xml:space="preserve"> in Table </w:t>
      </w:r>
      <w:r w:rsidR="0047457F">
        <w:t>1</w:t>
      </w:r>
      <w:r w:rsidRPr="00232D6E">
        <w:t>.</w:t>
      </w:r>
    </w:p>
    <w:p w:rsidR="000F73F9" w:rsidRPr="00232D6E" w:rsidRDefault="000F73F9" w:rsidP="00441290">
      <w:pPr>
        <w:pStyle w:val="In-tableHeading"/>
        <w:rPr>
          <w:szCs w:val="20"/>
          <w:lang w:val="en-AU"/>
        </w:rPr>
      </w:pPr>
      <w:r w:rsidRPr="00232D6E">
        <w:rPr>
          <w:szCs w:val="20"/>
          <w:lang w:val="en-AU"/>
        </w:rPr>
        <w:t xml:space="preserve">Table </w:t>
      </w:r>
      <w:r w:rsidR="0047457F">
        <w:rPr>
          <w:szCs w:val="20"/>
          <w:lang w:val="en-AU"/>
        </w:rPr>
        <w:t>1</w:t>
      </w:r>
      <w:r w:rsidRPr="00232D6E">
        <w:rPr>
          <w:szCs w:val="20"/>
          <w:lang w:val="en-AU"/>
        </w:rPr>
        <w:t>: Patient co-payment costs of secukinumab versus ixekizumab (12 months of continuing treatment)</w:t>
      </w:r>
    </w:p>
    <w:tbl>
      <w:tblPr>
        <w:tblStyle w:val="TableGrid"/>
        <w:tblW w:w="4994" w:type="pct"/>
        <w:tblLayout w:type="fixed"/>
        <w:tblLook w:val="04A0" w:firstRow="1" w:lastRow="0" w:firstColumn="1" w:lastColumn="0" w:noHBand="0" w:noVBand="1"/>
        <w:tblCaption w:val="Table 1: Patient co-payment costs of secukinumab versus ixekizumab (12 months of continuing treatment)"/>
      </w:tblPr>
      <w:tblGrid>
        <w:gridCol w:w="2444"/>
        <w:gridCol w:w="1956"/>
        <w:gridCol w:w="1718"/>
        <w:gridCol w:w="1376"/>
        <w:gridCol w:w="1511"/>
      </w:tblGrid>
      <w:tr w:rsidR="000F73F9" w:rsidRPr="00232D6E" w:rsidTr="00C75600">
        <w:trPr>
          <w:trHeight w:val="235"/>
          <w:tblHeader/>
        </w:trPr>
        <w:tc>
          <w:tcPr>
            <w:tcW w:w="1357" w:type="pct"/>
            <w:vMerge w:val="restart"/>
          </w:tcPr>
          <w:p w:rsidR="000F73F9" w:rsidRPr="00232D6E" w:rsidRDefault="000F73F9" w:rsidP="002125A8">
            <w:pPr>
              <w:pStyle w:val="table"/>
              <w:spacing w:after="0" w:line="240" w:lineRule="auto"/>
              <w:jc w:val="left"/>
              <w:rPr>
                <w:rFonts w:ascii="Arial Narrow" w:hAnsi="Arial Narrow" w:cstheme="minorHAnsi"/>
                <w:b/>
                <w:sz w:val="20"/>
                <w:szCs w:val="20"/>
              </w:rPr>
            </w:pPr>
          </w:p>
        </w:tc>
        <w:tc>
          <w:tcPr>
            <w:tcW w:w="1086" w:type="pct"/>
            <w:vMerge w:val="restart"/>
            <w:vAlign w:val="center"/>
          </w:tcPr>
          <w:p w:rsidR="000F73F9" w:rsidRPr="00232D6E" w:rsidRDefault="000F73F9" w:rsidP="002125A8">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Tx duration/ Script</w:t>
            </w:r>
          </w:p>
        </w:tc>
        <w:tc>
          <w:tcPr>
            <w:tcW w:w="954" w:type="pct"/>
            <w:vMerge w:val="restart"/>
            <w:vAlign w:val="center"/>
          </w:tcPr>
          <w:p w:rsidR="000F73F9" w:rsidRPr="00232D6E" w:rsidRDefault="000F73F9" w:rsidP="002125A8">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Scripts/Year</w:t>
            </w:r>
          </w:p>
        </w:tc>
        <w:tc>
          <w:tcPr>
            <w:tcW w:w="1603" w:type="pct"/>
            <w:gridSpan w:val="2"/>
          </w:tcPr>
          <w:p w:rsidR="000F73F9" w:rsidRPr="00232D6E" w:rsidRDefault="000F73F9" w:rsidP="002125A8">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Co-payment</w:t>
            </w:r>
          </w:p>
        </w:tc>
      </w:tr>
      <w:tr w:rsidR="000F73F9" w:rsidRPr="00232D6E" w:rsidTr="00C75600">
        <w:trPr>
          <w:trHeight w:val="484"/>
          <w:tblHeader/>
        </w:trPr>
        <w:tc>
          <w:tcPr>
            <w:tcW w:w="1357" w:type="pct"/>
            <w:vMerge/>
          </w:tcPr>
          <w:p w:rsidR="000F73F9" w:rsidRPr="00232D6E" w:rsidRDefault="000F73F9" w:rsidP="002125A8">
            <w:pPr>
              <w:pStyle w:val="table"/>
              <w:spacing w:after="0" w:line="240" w:lineRule="auto"/>
              <w:jc w:val="left"/>
              <w:rPr>
                <w:rFonts w:ascii="Arial Narrow" w:hAnsi="Arial Narrow" w:cstheme="minorHAnsi"/>
                <w:b/>
                <w:sz w:val="20"/>
                <w:szCs w:val="20"/>
              </w:rPr>
            </w:pPr>
          </w:p>
        </w:tc>
        <w:tc>
          <w:tcPr>
            <w:tcW w:w="1086" w:type="pct"/>
            <w:vMerge/>
          </w:tcPr>
          <w:p w:rsidR="000F73F9" w:rsidRPr="00232D6E" w:rsidRDefault="000F73F9" w:rsidP="002125A8">
            <w:pPr>
              <w:pStyle w:val="table"/>
              <w:spacing w:after="0" w:line="240" w:lineRule="auto"/>
              <w:jc w:val="center"/>
              <w:rPr>
                <w:rFonts w:ascii="Arial Narrow" w:hAnsi="Arial Narrow" w:cstheme="minorHAnsi"/>
                <w:b/>
                <w:sz w:val="20"/>
                <w:szCs w:val="20"/>
              </w:rPr>
            </w:pPr>
          </w:p>
        </w:tc>
        <w:tc>
          <w:tcPr>
            <w:tcW w:w="954" w:type="pct"/>
            <w:vMerge/>
          </w:tcPr>
          <w:p w:rsidR="000F73F9" w:rsidRPr="00232D6E" w:rsidRDefault="000F73F9" w:rsidP="002125A8">
            <w:pPr>
              <w:pStyle w:val="table"/>
              <w:spacing w:after="0" w:line="240" w:lineRule="auto"/>
              <w:jc w:val="center"/>
              <w:rPr>
                <w:rFonts w:ascii="Arial Narrow" w:hAnsi="Arial Narrow" w:cstheme="minorHAnsi"/>
                <w:b/>
                <w:sz w:val="20"/>
                <w:szCs w:val="20"/>
              </w:rPr>
            </w:pPr>
          </w:p>
        </w:tc>
        <w:tc>
          <w:tcPr>
            <w:tcW w:w="764" w:type="pct"/>
          </w:tcPr>
          <w:p w:rsidR="000F73F9" w:rsidRPr="00232D6E" w:rsidRDefault="000F73F9" w:rsidP="002125A8">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General patients</w:t>
            </w:r>
          </w:p>
        </w:tc>
        <w:tc>
          <w:tcPr>
            <w:tcW w:w="838" w:type="pct"/>
          </w:tcPr>
          <w:p w:rsidR="000F73F9" w:rsidRPr="00232D6E" w:rsidRDefault="000F73F9" w:rsidP="002125A8">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Concessional patients</w:t>
            </w:r>
          </w:p>
        </w:tc>
      </w:tr>
      <w:tr w:rsidR="000F73F9" w:rsidRPr="00232D6E" w:rsidTr="007B163B">
        <w:trPr>
          <w:trHeight w:val="237"/>
        </w:trPr>
        <w:tc>
          <w:tcPr>
            <w:tcW w:w="1357" w:type="pct"/>
            <w:vAlign w:val="center"/>
          </w:tcPr>
          <w:p w:rsidR="000F73F9" w:rsidRPr="00232D6E" w:rsidRDefault="000F73F9" w:rsidP="002125A8">
            <w:pPr>
              <w:pStyle w:val="table"/>
              <w:spacing w:after="0" w:line="240" w:lineRule="auto"/>
              <w:jc w:val="left"/>
              <w:rPr>
                <w:rFonts w:ascii="Arial Narrow" w:hAnsi="Arial Narrow" w:cstheme="minorHAnsi"/>
                <w:b/>
                <w:sz w:val="20"/>
                <w:szCs w:val="20"/>
              </w:rPr>
            </w:pPr>
            <w:r w:rsidRPr="00232D6E">
              <w:rPr>
                <w:rFonts w:ascii="Arial Narrow" w:hAnsi="Arial Narrow" w:cstheme="minorHAnsi"/>
                <w:b/>
                <w:sz w:val="20"/>
                <w:szCs w:val="20"/>
              </w:rPr>
              <w:t>Secukinumab</w:t>
            </w:r>
          </w:p>
        </w:tc>
        <w:tc>
          <w:tcPr>
            <w:tcW w:w="1086"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4 weeks</w:t>
            </w:r>
          </w:p>
        </w:tc>
        <w:tc>
          <w:tcPr>
            <w:tcW w:w="954"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12</w:t>
            </w:r>
          </w:p>
        </w:tc>
        <w:tc>
          <w:tcPr>
            <w:tcW w:w="764"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$495.60</w:t>
            </w:r>
          </w:p>
        </w:tc>
        <w:tc>
          <w:tcPr>
            <w:tcW w:w="838"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$79.20</w:t>
            </w:r>
          </w:p>
        </w:tc>
      </w:tr>
      <w:tr w:rsidR="000F73F9" w:rsidRPr="00232D6E" w:rsidTr="007B163B">
        <w:trPr>
          <w:trHeight w:val="127"/>
        </w:trPr>
        <w:tc>
          <w:tcPr>
            <w:tcW w:w="1357" w:type="pct"/>
            <w:vAlign w:val="center"/>
          </w:tcPr>
          <w:p w:rsidR="000F73F9" w:rsidRPr="00B04D2D" w:rsidRDefault="00B04D2D" w:rsidP="00C96796">
            <w:pPr>
              <w:pStyle w:val="In-tableHeading"/>
            </w:pPr>
            <w:r w:rsidRPr="00B04D2D">
              <w:t>Ixekizumab</w:t>
            </w:r>
          </w:p>
        </w:tc>
        <w:tc>
          <w:tcPr>
            <w:tcW w:w="1086" w:type="pct"/>
            <w:vAlign w:val="center"/>
          </w:tcPr>
          <w:p w:rsidR="000F73F9" w:rsidRPr="00232D6E" w:rsidRDefault="000F73F9" w:rsidP="002125A8">
            <w:pPr>
              <w:pStyle w:val="table"/>
              <w:spacing w:after="0" w:line="240" w:lineRule="auto"/>
              <w:jc w:val="center"/>
              <w:rPr>
                <w:rStyle w:val="form-strength"/>
                <w:rFonts w:ascii="Arial Narrow" w:eastAsiaTheme="majorEastAsia" w:hAnsi="Arial Narrow" w:cstheme="minorHAnsi"/>
                <w:color w:val="222222"/>
                <w:sz w:val="20"/>
                <w:szCs w:val="20"/>
              </w:rPr>
            </w:pPr>
            <w:r w:rsidRPr="00232D6E">
              <w:rPr>
                <w:rStyle w:val="form-strength"/>
                <w:rFonts w:ascii="Arial Narrow" w:eastAsiaTheme="majorEastAsia" w:hAnsi="Arial Narrow" w:cstheme="minorHAnsi"/>
                <w:color w:val="222222"/>
                <w:sz w:val="20"/>
                <w:szCs w:val="20"/>
              </w:rPr>
              <w:t>8 weeks</w:t>
            </w:r>
          </w:p>
        </w:tc>
        <w:tc>
          <w:tcPr>
            <w:tcW w:w="954" w:type="pct"/>
            <w:vAlign w:val="center"/>
          </w:tcPr>
          <w:p w:rsidR="000F73F9" w:rsidRPr="00232D6E" w:rsidRDefault="000F73F9" w:rsidP="002125A8">
            <w:pPr>
              <w:pStyle w:val="table"/>
              <w:spacing w:after="0" w:line="240" w:lineRule="auto"/>
              <w:jc w:val="center"/>
              <w:rPr>
                <w:rStyle w:val="form-strength"/>
                <w:rFonts w:ascii="Arial Narrow" w:eastAsiaTheme="majorEastAsia" w:hAnsi="Arial Narrow" w:cstheme="minorHAnsi"/>
                <w:color w:val="222222"/>
                <w:sz w:val="20"/>
                <w:szCs w:val="20"/>
              </w:rPr>
            </w:pPr>
            <w:r w:rsidRPr="00232D6E">
              <w:rPr>
                <w:rStyle w:val="form-strength"/>
                <w:rFonts w:ascii="Arial Narrow" w:eastAsiaTheme="majorEastAsia" w:hAnsi="Arial Narrow" w:cstheme="minorHAnsi"/>
                <w:color w:val="222222"/>
                <w:sz w:val="20"/>
                <w:szCs w:val="20"/>
              </w:rPr>
              <w:t>6.5</w:t>
            </w:r>
          </w:p>
        </w:tc>
        <w:tc>
          <w:tcPr>
            <w:tcW w:w="764"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$268.45</w:t>
            </w:r>
          </w:p>
        </w:tc>
        <w:tc>
          <w:tcPr>
            <w:tcW w:w="838"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$42.90</w:t>
            </w:r>
          </w:p>
        </w:tc>
      </w:tr>
      <w:tr w:rsidR="000F73F9" w:rsidRPr="00232D6E" w:rsidTr="007B163B">
        <w:trPr>
          <w:trHeight w:val="173"/>
        </w:trPr>
        <w:tc>
          <w:tcPr>
            <w:tcW w:w="1357" w:type="pct"/>
            <w:vAlign w:val="center"/>
          </w:tcPr>
          <w:p w:rsidR="000F73F9" w:rsidRPr="00232D6E" w:rsidRDefault="000F73F9">
            <w:pPr>
              <w:pStyle w:val="table"/>
              <w:spacing w:after="0" w:line="240" w:lineRule="auto"/>
              <w:ind w:right="400"/>
              <w:jc w:val="left"/>
              <w:rPr>
                <w:rFonts w:ascii="Arial Narrow" w:hAnsi="Arial Narrow" w:cstheme="minorHAnsi"/>
                <w:b/>
                <w:sz w:val="20"/>
                <w:szCs w:val="20"/>
              </w:rPr>
            </w:pPr>
            <w:r w:rsidRPr="00232D6E">
              <w:rPr>
                <w:rFonts w:ascii="Arial Narrow" w:hAnsi="Arial Narrow" w:cstheme="minorHAnsi"/>
                <w:b/>
                <w:sz w:val="20"/>
                <w:szCs w:val="20"/>
              </w:rPr>
              <w:t xml:space="preserve">Difference  </w:t>
            </w:r>
          </w:p>
        </w:tc>
        <w:tc>
          <w:tcPr>
            <w:tcW w:w="1086" w:type="pct"/>
            <w:vAlign w:val="center"/>
          </w:tcPr>
          <w:p w:rsidR="000F73F9" w:rsidRPr="00232D6E" w:rsidRDefault="000F73F9" w:rsidP="002125A8">
            <w:pPr>
              <w:pStyle w:val="table"/>
              <w:spacing w:after="0" w:line="240" w:lineRule="auto"/>
              <w:jc w:val="center"/>
              <w:rPr>
                <w:rStyle w:val="form-strength"/>
                <w:rFonts w:ascii="Arial Narrow" w:eastAsiaTheme="majorEastAsia" w:hAnsi="Arial Narrow" w:cstheme="minorHAnsi"/>
                <w:color w:val="222222"/>
                <w:sz w:val="20"/>
                <w:szCs w:val="20"/>
              </w:rPr>
            </w:pPr>
            <w:r w:rsidRPr="00232D6E">
              <w:rPr>
                <w:rStyle w:val="form-strength"/>
                <w:rFonts w:ascii="Arial Narrow" w:eastAsiaTheme="majorEastAsia" w:hAnsi="Arial Narrow" w:cstheme="minorHAnsi"/>
                <w:color w:val="222222"/>
                <w:sz w:val="20"/>
                <w:szCs w:val="20"/>
              </w:rPr>
              <w:t>4 weeks less /script</w:t>
            </w:r>
          </w:p>
        </w:tc>
        <w:tc>
          <w:tcPr>
            <w:tcW w:w="954" w:type="pct"/>
            <w:vAlign w:val="center"/>
          </w:tcPr>
          <w:p w:rsidR="000F73F9" w:rsidRPr="00232D6E" w:rsidRDefault="000F73F9" w:rsidP="002125A8">
            <w:pPr>
              <w:pStyle w:val="table"/>
              <w:spacing w:after="0" w:line="240" w:lineRule="auto"/>
              <w:jc w:val="center"/>
              <w:rPr>
                <w:rStyle w:val="form-strength"/>
                <w:rFonts w:ascii="Arial Narrow" w:eastAsiaTheme="majorEastAsia" w:hAnsi="Arial Narrow" w:cstheme="minorHAnsi"/>
                <w:color w:val="222222"/>
                <w:sz w:val="20"/>
                <w:szCs w:val="20"/>
              </w:rPr>
            </w:pPr>
            <w:r w:rsidRPr="00232D6E">
              <w:rPr>
                <w:rStyle w:val="form-strength"/>
                <w:rFonts w:ascii="Arial Narrow" w:eastAsiaTheme="majorEastAsia" w:hAnsi="Arial Narrow" w:cstheme="minorHAnsi"/>
                <w:color w:val="222222"/>
                <w:sz w:val="20"/>
                <w:szCs w:val="20"/>
              </w:rPr>
              <w:t>5.5</w:t>
            </w:r>
          </w:p>
        </w:tc>
        <w:tc>
          <w:tcPr>
            <w:tcW w:w="764"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$227.15</w:t>
            </w:r>
          </w:p>
        </w:tc>
        <w:tc>
          <w:tcPr>
            <w:tcW w:w="838" w:type="pct"/>
            <w:vAlign w:val="center"/>
          </w:tcPr>
          <w:p w:rsidR="000F73F9" w:rsidRPr="00232D6E" w:rsidRDefault="000F73F9" w:rsidP="002125A8">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$36.30</w:t>
            </w:r>
          </w:p>
        </w:tc>
      </w:tr>
    </w:tbl>
    <w:p w:rsidR="000F73F9" w:rsidRPr="00232D6E" w:rsidRDefault="009179BC" w:rsidP="00C22B99">
      <w:pPr>
        <w:pStyle w:val="TableFigureFooter"/>
      </w:pPr>
      <w:r w:rsidRPr="00232D6E">
        <w:t xml:space="preserve">Source: </w:t>
      </w:r>
      <w:r w:rsidR="00F82B3B" w:rsidRPr="00232D6E">
        <w:t>Submission main body</w:t>
      </w:r>
    </w:p>
    <w:p w:rsidR="0076318F" w:rsidRPr="00232D6E" w:rsidRDefault="0076318F" w:rsidP="00C22B99">
      <w:pPr>
        <w:pStyle w:val="TableFigureFooter"/>
      </w:pPr>
      <w:r w:rsidRPr="00232D6E">
        <w:t>Tx = Treatment</w:t>
      </w:r>
    </w:p>
    <w:p w:rsidR="00A3567B" w:rsidRPr="00232D6E" w:rsidRDefault="00C41C5B" w:rsidP="00AD505D">
      <w:pPr>
        <w:pStyle w:val="3Bodytext"/>
        <w:ind w:left="709"/>
        <w:jc w:val="both"/>
      </w:pPr>
      <w:r w:rsidRPr="00232D6E">
        <w:t>T</w:t>
      </w:r>
      <w:r w:rsidR="00A3567B" w:rsidRPr="00232D6E">
        <w:t>he requested amendment to the maximum quantity and number of repeat</w:t>
      </w:r>
      <w:r w:rsidR="009179BC" w:rsidRPr="00232D6E">
        <w:t>s</w:t>
      </w:r>
      <w:r w:rsidR="00A3567B" w:rsidRPr="00232D6E">
        <w:t xml:space="preserve"> for the secukinumab listing to reduce the number of patient co-payments </w:t>
      </w:r>
      <w:r w:rsidR="001023F2" w:rsidRPr="00232D6E">
        <w:t xml:space="preserve">would </w:t>
      </w:r>
      <w:r w:rsidR="00A3567B" w:rsidRPr="00232D6E">
        <w:t xml:space="preserve">result in a </w:t>
      </w:r>
      <w:r w:rsidRPr="00232D6E">
        <w:t xml:space="preserve">net </w:t>
      </w:r>
      <w:r w:rsidR="00A3567B" w:rsidRPr="00232D6E">
        <w:t xml:space="preserve">cost to the </w:t>
      </w:r>
      <w:r w:rsidRPr="00232D6E">
        <w:t>PBS/RPBS</w:t>
      </w:r>
      <w:r w:rsidR="00855C81" w:rsidRPr="00232D6E">
        <w:t>. T</w:t>
      </w:r>
      <w:r w:rsidR="00A3567B" w:rsidRPr="00232D6E">
        <w:t xml:space="preserve">he submission did not include any </w:t>
      </w:r>
      <w:r w:rsidR="00C4181A" w:rsidRPr="00232D6E">
        <w:t xml:space="preserve">financial </w:t>
      </w:r>
      <w:r w:rsidR="00A3567B" w:rsidRPr="00232D6E">
        <w:t xml:space="preserve">estimates </w:t>
      </w:r>
      <w:r w:rsidR="00C4181A" w:rsidRPr="00232D6E">
        <w:t>to support this amendment</w:t>
      </w:r>
      <w:r w:rsidR="00A3567B" w:rsidRPr="00232D6E">
        <w:t>.</w:t>
      </w:r>
    </w:p>
    <w:p w:rsidR="00B4696B" w:rsidRPr="00232D6E" w:rsidRDefault="00DD78BD" w:rsidP="00B4696B">
      <w:pPr>
        <w:pStyle w:val="3Bodytext"/>
        <w:ind w:left="709"/>
        <w:jc w:val="both"/>
      </w:pPr>
      <w:r w:rsidRPr="00232D6E">
        <w:t>The submission claimed that patients who tria</w:t>
      </w:r>
      <w:r w:rsidR="009179BC" w:rsidRPr="00232D6E">
        <w:t>l</w:t>
      </w:r>
      <w:r w:rsidRPr="00232D6E">
        <w:t xml:space="preserve">led secukinumab prior </w:t>
      </w:r>
      <w:r w:rsidR="00952CCB" w:rsidRPr="00232D6E">
        <w:t xml:space="preserve">to </w:t>
      </w:r>
      <w:r w:rsidRPr="00232D6E">
        <w:t xml:space="preserve">ixekizumab </w:t>
      </w:r>
      <w:r w:rsidR="009179BC" w:rsidRPr="00232D6E">
        <w:t xml:space="preserve">were </w:t>
      </w:r>
      <w:r w:rsidRPr="00232D6E">
        <w:t>more likely to remai</w:t>
      </w:r>
      <w:bookmarkStart w:id="2" w:name="_GoBack"/>
      <w:bookmarkEnd w:id="2"/>
      <w:r w:rsidRPr="00232D6E">
        <w:t xml:space="preserve">n on ixekizumab. </w:t>
      </w:r>
      <w:r w:rsidR="00A314B8" w:rsidRPr="00232D6E">
        <w:t>This was based on</w:t>
      </w:r>
      <w:r w:rsidR="009179BC" w:rsidRPr="00232D6E">
        <w:t xml:space="preserve"> </w:t>
      </w:r>
      <w:r w:rsidR="00C41C5B" w:rsidRPr="00232D6E">
        <w:t xml:space="preserve">the analysis of switching patterns using </w:t>
      </w:r>
      <w:r w:rsidR="009179BC" w:rsidRPr="00232D6E">
        <w:t>a</w:t>
      </w:r>
      <w:r w:rsidR="00A314B8" w:rsidRPr="00232D6E">
        <w:t xml:space="preserve"> 10% Medicare</w:t>
      </w:r>
      <w:r w:rsidR="009179BC" w:rsidRPr="00232D6E">
        <w:t xml:space="preserve"> sample</w:t>
      </w:r>
      <w:r w:rsidR="00A314B8" w:rsidRPr="00232D6E">
        <w:t xml:space="preserve"> database</w:t>
      </w:r>
      <w:r w:rsidR="00C41C5B" w:rsidRPr="00232D6E">
        <w:t>.</w:t>
      </w:r>
      <w:r w:rsidR="00557DCD" w:rsidRPr="00232D6E">
        <w:t xml:space="preserve"> Th</w:t>
      </w:r>
      <w:r w:rsidR="001023F2" w:rsidRPr="00232D6E">
        <w:t>e PBAC considered that this was</w:t>
      </w:r>
      <w:r w:rsidR="00557DCD" w:rsidRPr="00232D6E">
        <w:t xml:space="preserve"> a small sample size and </w:t>
      </w:r>
      <w:r w:rsidR="001023F2" w:rsidRPr="00232D6E">
        <w:t xml:space="preserve">did </w:t>
      </w:r>
      <w:r w:rsidR="00557DCD" w:rsidRPr="00232D6E">
        <w:t xml:space="preserve">not accurately reflect the current market. </w:t>
      </w:r>
    </w:p>
    <w:p w:rsidR="00716916" w:rsidRPr="00232D6E" w:rsidRDefault="00EB5A79" w:rsidP="00B4696B">
      <w:pPr>
        <w:pStyle w:val="3Bodytext"/>
        <w:ind w:left="709"/>
        <w:jc w:val="both"/>
      </w:pPr>
      <w:r w:rsidRPr="00232D6E">
        <w:t>I</w:t>
      </w:r>
      <w:r w:rsidR="001431EE" w:rsidRPr="00232D6E">
        <w:t>n its Pre-PBAC response,</w:t>
      </w:r>
      <w:r w:rsidRPr="00232D6E">
        <w:t xml:space="preserve"> the sponsor provided</w:t>
      </w:r>
      <w:r w:rsidR="001431EE" w:rsidRPr="00232D6E">
        <w:t xml:space="preserve"> </w:t>
      </w:r>
      <w:r w:rsidR="00212FB7" w:rsidRPr="00232D6E">
        <w:t>financial estimate</w:t>
      </w:r>
      <w:r w:rsidR="00232D6E">
        <w:t>s</w:t>
      </w:r>
      <w:r w:rsidR="00212FB7" w:rsidRPr="00232D6E">
        <w:t xml:space="preserve"> </w:t>
      </w:r>
      <w:r w:rsidR="00232D6E">
        <w:t>for</w:t>
      </w:r>
      <w:r w:rsidR="00212FB7" w:rsidRPr="00232D6E">
        <w:t xml:space="preserve"> the impact to the PBS and Repatriation PBS (RPBS) </w:t>
      </w:r>
      <w:r w:rsidR="009064D7" w:rsidRPr="00232D6E">
        <w:t xml:space="preserve">of </w:t>
      </w:r>
      <w:r w:rsidR="000E4CDB" w:rsidRPr="00232D6E">
        <w:t>amend</w:t>
      </w:r>
      <w:r w:rsidR="009064D7" w:rsidRPr="00232D6E">
        <w:t xml:space="preserve">ing </w:t>
      </w:r>
      <w:r w:rsidR="000E4CDB" w:rsidRPr="00232D6E">
        <w:t>the current maximum quantity and number of repeats for secukinumab</w:t>
      </w:r>
      <w:r w:rsidR="001431EE" w:rsidRPr="00232D6E">
        <w:t xml:space="preserve">. </w:t>
      </w:r>
      <w:r w:rsidR="0050715D" w:rsidRPr="00232D6E">
        <w:t>Additionally,</w:t>
      </w:r>
      <w:r w:rsidR="001431EE" w:rsidRPr="00232D6E">
        <w:t xml:space="preserve"> the sponsor </w:t>
      </w:r>
      <w:r w:rsidR="000E4CDB" w:rsidRPr="00232D6E">
        <w:t xml:space="preserve">also </w:t>
      </w:r>
      <w:r w:rsidR="003D1A61">
        <w:t>estimated</w:t>
      </w:r>
      <w:r w:rsidR="000E4CDB" w:rsidRPr="00232D6E">
        <w:t xml:space="preserve"> </w:t>
      </w:r>
      <w:r w:rsidR="00143451">
        <w:t xml:space="preserve">the </w:t>
      </w:r>
      <w:r w:rsidR="000E4CDB" w:rsidRPr="00232D6E">
        <w:t xml:space="preserve">financial </w:t>
      </w:r>
      <w:r w:rsidR="003D1A61">
        <w:t>impact</w:t>
      </w:r>
      <w:r w:rsidR="003D1A61" w:rsidRPr="00232D6E">
        <w:t xml:space="preserve"> </w:t>
      </w:r>
      <w:r w:rsidR="000E4CDB" w:rsidRPr="00232D6E">
        <w:t xml:space="preserve">for </w:t>
      </w:r>
      <w:r w:rsidR="001431EE" w:rsidRPr="00232D6E">
        <w:t xml:space="preserve">amending the current maximum quantity </w:t>
      </w:r>
      <w:r w:rsidR="00C96796">
        <w:t>of</w:t>
      </w:r>
      <w:r w:rsidR="00C96796" w:rsidRPr="00232D6E">
        <w:t xml:space="preserve"> </w:t>
      </w:r>
      <w:r w:rsidR="001431EE" w:rsidRPr="00232D6E">
        <w:t>ixekiz</w:t>
      </w:r>
      <w:r w:rsidR="009064D7" w:rsidRPr="00232D6E">
        <w:t>u</w:t>
      </w:r>
      <w:r w:rsidR="001431EE" w:rsidRPr="00232D6E">
        <w:t>mab</w:t>
      </w:r>
      <w:r w:rsidR="00070609">
        <w:t xml:space="preserve"> from two packs to one pack per prescription</w:t>
      </w:r>
      <w:r w:rsidR="00212FB7" w:rsidRPr="00232D6E">
        <w:t xml:space="preserve">. This is presented in Table </w:t>
      </w:r>
      <w:r w:rsidR="0047457F">
        <w:t>2</w:t>
      </w:r>
      <w:r w:rsidR="00212FB7" w:rsidRPr="00232D6E">
        <w:t>.</w:t>
      </w:r>
    </w:p>
    <w:p w:rsidR="00EB11DA" w:rsidRPr="00232D6E" w:rsidRDefault="00EB11DA" w:rsidP="00EA0B77">
      <w:pPr>
        <w:pStyle w:val="TableFigureHeading"/>
      </w:pPr>
      <w:r w:rsidRPr="00232D6E">
        <w:t xml:space="preserve">Table </w:t>
      </w:r>
      <w:r w:rsidR="0047457F">
        <w:t>2</w:t>
      </w:r>
      <w:r w:rsidRPr="00232D6E">
        <w:t>:  Expected impact to the PBS/RPBS of the proposed change in MQ in Yrs 1-6 of listing</w:t>
      </w:r>
    </w:p>
    <w:tbl>
      <w:tblPr>
        <w:tblStyle w:val="TableGrid"/>
        <w:tblW w:w="5000" w:type="pct"/>
        <w:tblLook w:val="04A0" w:firstRow="1" w:lastRow="0" w:firstColumn="1" w:lastColumn="0" w:noHBand="0" w:noVBand="1"/>
        <w:tblCaption w:val="Table 2:  Expected impact to the PBS/RPBS of the proposed change in MQ in Yrs 1-6 of listing"/>
      </w:tblPr>
      <w:tblGrid>
        <w:gridCol w:w="1659"/>
        <w:gridCol w:w="1037"/>
        <w:gridCol w:w="1037"/>
        <w:gridCol w:w="1037"/>
        <w:gridCol w:w="1037"/>
        <w:gridCol w:w="1037"/>
        <w:gridCol w:w="1037"/>
        <w:gridCol w:w="1135"/>
      </w:tblGrid>
      <w:tr w:rsidR="00EB11DA" w:rsidRPr="00232D6E" w:rsidTr="00655E18">
        <w:trPr>
          <w:tblHeader/>
        </w:trPr>
        <w:tc>
          <w:tcPr>
            <w:tcW w:w="929" w:type="pct"/>
            <w:tcBorders>
              <w:top w:val="single" w:sz="4" w:space="0" w:color="auto"/>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b/>
                <w:bCs/>
                <w:color w:val="000000"/>
                <w:sz w:val="20"/>
                <w:szCs w:val="20"/>
              </w:rPr>
              <w:t> </w:t>
            </w:r>
          </w:p>
        </w:tc>
        <w:tc>
          <w:tcPr>
            <w:tcW w:w="571"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1</w:t>
            </w:r>
          </w:p>
        </w:tc>
        <w:tc>
          <w:tcPr>
            <w:tcW w:w="573"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2</w:t>
            </w:r>
          </w:p>
        </w:tc>
        <w:tc>
          <w:tcPr>
            <w:tcW w:w="571"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3</w:t>
            </w:r>
          </w:p>
        </w:tc>
        <w:tc>
          <w:tcPr>
            <w:tcW w:w="571"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4</w:t>
            </w:r>
          </w:p>
        </w:tc>
        <w:tc>
          <w:tcPr>
            <w:tcW w:w="571"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5</w:t>
            </w:r>
          </w:p>
        </w:tc>
        <w:tc>
          <w:tcPr>
            <w:tcW w:w="575" w:type="pct"/>
            <w:tcBorders>
              <w:top w:val="single" w:sz="4" w:space="0" w:color="auto"/>
              <w:left w:val="nil"/>
              <w:bottom w:val="single" w:sz="4" w:space="0" w:color="auto"/>
              <w:right w:val="single" w:sz="4" w:space="0" w:color="auto"/>
            </w:tcBorders>
            <w:vAlign w:val="center"/>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Year 6</w:t>
            </w:r>
          </w:p>
        </w:tc>
        <w:tc>
          <w:tcPr>
            <w:tcW w:w="638" w:type="pct"/>
            <w:tcBorders>
              <w:top w:val="single" w:sz="4" w:space="0" w:color="auto"/>
              <w:left w:val="nil"/>
              <w:bottom w:val="single" w:sz="4" w:space="0" w:color="auto"/>
              <w:right w:val="single" w:sz="4" w:space="0" w:color="auto"/>
            </w:tcBorders>
            <w:vAlign w:val="bottom"/>
            <w:hideMark/>
          </w:tcPr>
          <w:p w:rsidR="00EB11DA" w:rsidRPr="00232D6E" w:rsidRDefault="00EB11DA" w:rsidP="00EB11DA">
            <w:pPr>
              <w:jc w:val="center"/>
              <w:rPr>
                <w:rFonts w:ascii="Arial Narrow" w:hAnsi="Arial Narrow" w:cstheme="minorHAnsi"/>
                <w:sz w:val="20"/>
                <w:szCs w:val="20"/>
              </w:rPr>
            </w:pPr>
            <w:r w:rsidRPr="00232D6E">
              <w:rPr>
                <w:rFonts w:ascii="Arial Narrow" w:hAnsi="Arial Narrow" w:cstheme="minorHAnsi"/>
                <w:b/>
                <w:bCs/>
                <w:color w:val="000000"/>
                <w:sz w:val="20"/>
                <w:szCs w:val="20"/>
              </w:rPr>
              <w:t>Total</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b/>
                <w:bCs/>
                <w:color w:val="000000"/>
                <w:sz w:val="20"/>
                <w:szCs w:val="20"/>
              </w:rPr>
              <w:t>Secukinumab</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 </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PBS scripts</w:t>
            </w:r>
            <w:r w:rsidRPr="00232D6E">
              <w:rPr>
                <w:rFonts w:ascii="Arial Narrow" w:hAnsi="Arial Narrow" w:cstheme="minorHAnsi"/>
                <w:color w:val="000000"/>
                <w:sz w:val="20"/>
                <w:szCs w:val="20"/>
                <w:vertAlign w:val="superscript"/>
              </w:rPr>
              <w:t>1</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55,990</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58,790</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61,730</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64,817</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68,058</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71,461</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Avg co-payment</w:t>
            </w:r>
            <w:r w:rsidRPr="00232D6E">
              <w:rPr>
                <w:rFonts w:ascii="Arial Narrow" w:hAnsi="Arial Narrow" w:cstheme="minorHAnsi"/>
                <w:color w:val="000000"/>
                <w:sz w:val="20"/>
                <w:szCs w:val="20"/>
                <w:vertAlign w:val="superscript"/>
              </w:rPr>
              <w:t>2</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$27.63</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Co-payment revenue</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$1,546,968</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$1,624,331</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$1,705,561</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$1,790,853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$1,880,400</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$1,974,422</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$10,522,535</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Change in cost to PBS/RPBS if MQ=2</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$773,484</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$812,165</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$852,780</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$895,426</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$940,200</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$987,211</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b/>
                <w:bCs/>
                <w:color w:val="000000"/>
                <w:sz w:val="20"/>
                <w:szCs w:val="20"/>
              </w:rPr>
              <w:t>$5,261,267</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b/>
                <w:bCs/>
                <w:color w:val="000000"/>
                <w:sz w:val="20"/>
                <w:szCs w:val="20"/>
              </w:rPr>
              <w:t>Ixekizumab</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sz w:val="20"/>
                <w:szCs w:val="20"/>
              </w:rPr>
            </w:pPr>
            <w:r w:rsidRPr="00232D6E">
              <w:rPr>
                <w:rFonts w:ascii="Arial Narrow" w:hAnsi="Arial Narrow" w:cstheme="minorHAnsi"/>
                <w:color w:val="000000"/>
                <w:sz w:val="20"/>
                <w:szCs w:val="20"/>
              </w:rPr>
              <w:t> </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PBS scripts</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14,960</w:t>
            </w:r>
          </w:p>
        </w:tc>
        <w:tc>
          <w:tcPr>
            <w:tcW w:w="573"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17,204</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18,924</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20,438</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21,460</w:t>
            </w:r>
          </w:p>
        </w:tc>
        <w:tc>
          <w:tcPr>
            <w:tcW w:w="575"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22,533</w:t>
            </w:r>
          </w:p>
        </w:tc>
        <w:tc>
          <w:tcPr>
            <w:tcW w:w="638" w:type="pct"/>
            <w:tcBorders>
              <w:top w:val="nil"/>
              <w:left w:val="nil"/>
              <w:bottom w:val="single" w:sz="4" w:space="0" w:color="auto"/>
              <w:right w:val="single" w:sz="4" w:space="0" w:color="auto"/>
            </w:tcBorders>
          </w:tcPr>
          <w:p w:rsidR="00EB11DA" w:rsidRPr="00232D6E" w:rsidRDefault="00EB11DA" w:rsidP="00EB11DA">
            <w:pPr>
              <w:jc w:val="right"/>
              <w:rPr>
                <w:rFonts w:ascii="Arial Narrow" w:hAnsi="Arial Narrow" w:cstheme="minorHAnsi"/>
                <w:color w:val="000000"/>
                <w:sz w:val="20"/>
                <w:szCs w:val="20"/>
              </w:rPr>
            </w:pP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Avg co-payment</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573"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571"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575" w:type="pct"/>
            <w:tcBorders>
              <w:top w:val="nil"/>
              <w:left w:val="nil"/>
              <w:bottom w:val="single" w:sz="4" w:space="0" w:color="auto"/>
              <w:right w:val="single" w:sz="4" w:space="0" w:color="auto"/>
            </w:tcBorders>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$30.20</w:t>
            </w:r>
          </w:p>
        </w:tc>
        <w:tc>
          <w:tcPr>
            <w:tcW w:w="638" w:type="pct"/>
            <w:tcBorders>
              <w:top w:val="nil"/>
              <w:left w:val="nil"/>
              <w:bottom w:val="single" w:sz="4" w:space="0" w:color="auto"/>
              <w:right w:val="single" w:sz="4" w:space="0" w:color="auto"/>
            </w:tcBorders>
          </w:tcPr>
          <w:p w:rsidR="00EB11DA" w:rsidRPr="00232D6E" w:rsidRDefault="00EB11DA" w:rsidP="00EB11DA">
            <w:pPr>
              <w:jc w:val="right"/>
              <w:rPr>
                <w:rFonts w:ascii="Arial Narrow" w:hAnsi="Arial Narrow" w:cstheme="minorHAnsi"/>
                <w:color w:val="000000"/>
                <w:sz w:val="20"/>
                <w:szCs w:val="20"/>
              </w:rPr>
            </w:pP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Co-payment revenue</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$451,720</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$519,478</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$571,413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$617,129</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$647,988</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$680,388</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color w:val="000000"/>
                <w:sz w:val="20"/>
                <w:szCs w:val="20"/>
              </w:rPr>
            </w:pPr>
            <w:r w:rsidRPr="00232D6E">
              <w:rPr>
                <w:rFonts w:ascii="Arial Narrow" w:hAnsi="Arial Narrow" w:cstheme="minorHAnsi"/>
                <w:color w:val="000000"/>
                <w:sz w:val="20"/>
                <w:szCs w:val="20"/>
              </w:rPr>
              <w:t>$3,488,116</w:t>
            </w:r>
          </w:p>
        </w:tc>
      </w:tr>
      <w:tr w:rsidR="00EB11DA" w:rsidRPr="00232D6E" w:rsidTr="00655E18">
        <w:tc>
          <w:tcPr>
            <w:tcW w:w="929" w:type="pct"/>
            <w:tcBorders>
              <w:top w:val="nil"/>
              <w:left w:val="single" w:sz="4" w:space="0" w:color="auto"/>
              <w:bottom w:val="single" w:sz="4" w:space="0" w:color="auto"/>
              <w:right w:val="single" w:sz="4" w:space="0" w:color="auto"/>
            </w:tcBorders>
            <w:vAlign w:val="bottom"/>
            <w:hideMark/>
          </w:tcPr>
          <w:p w:rsidR="00EB11DA" w:rsidRPr="00232D6E" w:rsidRDefault="00EB11DA" w:rsidP="00EB11DA">
            <w:pPr>
              <w:rPr>
                <w:rFonts w:ascii="Arial Narrow" w:hAnsi="Arial Narrow" w:cstheme="minorHAnsi"/>
                <w:sz w:val="20"/>
                <w:szCs w:val="20"/>
              </w:rPr>
            </w:pPr>
            <w:r w:rsidRPr="00232D6E">
              <w:rPr>
                <w:rFonts w:ascii="Arial Narrow" w:hAnsi="Arial Narrow" w:cstheme="minorHAnsi"/>
                <w:color w:val="000000"/>
                <w:sz w:val="20"/>
                <w:szCs w:val="20"/>
              </w:rPr>
              <w:t>Change in cost to PBS/RPBS if MQ=1</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-$451,720</w:t>
            </w:r>
          </w:p>
        </w:tc>
        <w:tc>
          <w:tcPr>
            <w:tcW w:w="573"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-$519,478</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-$571,413</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-$617,129</w:t>
            </w:r>
          </w:p>
        </w:tc>
        <w:tc>
          <w:tcPr>
            <w:tcW w:w="571"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-$647,988</w:t>
            </w:r>
          </w:p>
        </w:tc>
        <w:tc>
          <w:tcPr>
            <w:tcW w:w="575"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-$680,388</w:t>
            </w:r>
          </w:p>
        </w:tc>
        <w:tc>
          <w:tcPr>
            <w:tcW w:w="638" w:type="pct"/>
            <w:tcBorders>
              <w:top w:val="nil"/>
              <w:left w:val="nil"/>
              <w:bottom w:val="single" w:sz="4" w:space="0" w:color="auto"/>
              <w:right w:val="single" w:sz="4" w:space="0" w:color="auto"/>
            </w:tcBorders>
            <w:vAlign w:val="bottom"/>
            <w:hideMark/>
          </w:tcPr>
          <w:p w:rsidR="00EB11DA" w:rsidRPr="00232D6E" w:rsidRDefault="00EB11DA" w:rsidP="00EB11DA">
            <w:pPr>
              <w:jc w:val="right"/>
              <w:rPr>
                <w:rFonts w:ascii="Arial Narrow" w:hAnsi="Arial Narrow" w:cstheme="minorHAnsi"/>
                <w:b/>
                <w:bCs/>
                <w:color w:val="000000"/>
                <w:sz w:val="20"/>
                <w:szCs w:val="20"/>
              </w:rPr>
            </w:pPr>
            <w:r w:rsidRPr="00232D6E">
              <w:rPr>
                <w:rFonts w:ascii="Arial Narrow" w:hAnsi="Arial Narrow" w:cstheme="minorHAnsi"/>
                <w:b/>
                <w:bCs/>
                <w:color w:val="000000"/>
                <w:sz w:val="20"/>
                <w:szCs w:val="20"/>
              </w:rPr>
              <w:t>-$3,488,116</w:t>
            </w:r>
          </w:p>
        </w:tc>
      </w:tr>
    </w:tbl>
    <w:p w:rsidR="00EB11DA" w:rsidRPr="00232D6E" w:rsidRDefault="00EB11DA" w:rsidP="00EB11DA">
      <w:pPr>
        <w:pStyle w:val="TableFigureFooter"/>
      </w:pPr>
      <w:r w:rsidRPr="00232D6E">
        <w:t>MQ = Maximum quantity</w:t>
      </w:r>
    </w:p>
    <w:p w:rsidR="00EB11DA" w:rsidRPr="00232D6E" w:rsidRDefault="00EB11DA" w:rsidP="00EA0B77">
      <w:pPr>
        <w:pStyle w:val="TableFigureFooter"/>
      </w:pPr>
      <w:r w:rsidRPr="00232D6E">
        <w:rPr>
          <w:vertAlign w:val="superscript"/>
        </w:rPr>
        <w:t>1</w:t>
      </w:r>
      <w:r w:rsidRPr="00232D6E">
        <w:t xml:space="preserve"> Using historical annual growth rates in PBS script volumes for ‘Continuing treatment’ PBS items for each drug since listing projected for Years 1-6 (2022-2027) of the proposed change to the listing; projections reflect current maximum quantity for each drug</w:t>
      </w:r>
      <w:r w:rsidRPr="00232D6E">
        <w:br/>
      </w:r>
      <w:r w:rsidRPr="00232D6E">
        <w:rPr>
          <w:vertAlign w:val="superscript"/>
        </w:rPr>
        <w:t>2</w:t>
      </w:r>
      <w:r w:rsidRPr="00232D6E">
        <w:t xml:space="preserve"> Calculated from ‘Continuing treatment’ PBS scripts for each drug for calendar year 2020 by patient category, using 2021 co-payment levels</w:t>
      </w:r>
    </w:p>
    <w:p w:rsidR="00EB11DA" w:rsidRPr="00232D6E" w:rsidRDefault="00EB11DA" w:rsidP="00B4696B">
      <w:pPr>
        <w:pStyle w:val="3Bodytext"/>
        <w:ind w:left="709"/>
        <w:jc w:val="both"/>
      </w:pPr>
      <w:r w:rsidRPr="00232D6E">
        <w:t>The submission estimated a cost to the PBS of $5.</w:t>
      </w:r>
      <w:r w:rsidR="00A72DEE">
        <w:t xml:space="preserve">3 </w:t>
      </w:r>
      <w:r w:rsidRPr="00232D6E">
        <w:t xml:space="preserve">m in the first six years of </w:t>
      </w:r>
      <w:r w:rsidR="00A72DEE">
        <w:t>the changed listing for</w:t>
      </w:r>
      <w:r w:rsidRPr="00232D6E">
        <w:t xml:space="preserve"> </w:t>
      </w:r>
      <w:r w:rsidR="004E754C" w:rsidRPr="00232D6E">
        <w:t xml:space="preserve">secukinumab </w:t>
      </w:r>
      <w:r w:rsidRPr="00232D6E">
        <w:t xml:space="preserve">with the </w:t>
      </w:r>
      <w:r w:rsidR="00070609" w:rsidRPr="00070609">
        <w:t xml:space="preserve">proposed maximum quantity </w:t>
      </w:r>
      <w:r w:rsidR="00C96796">
        <w:t>of</w:t>
      </w:r>
      <w:r w:rsidR="00070609" w:rsidRPr="00070609">
        <w:t xml:space="preserve"> two injections</w:t>
      </w:r>
      <w:r w:rsidR="00C96796">
        <w:t>.</w:t>
      </w:r>
    </w:p>
    <w:p w:rsidR="00EB11DA" w:rsidRPr="00232D6E" w:rsidRDefault="00EB11DA" w:rsidP="00B4696B">
      <w:pPr>
        <w:pStyle w:val="3Bodytext"/>
        <w:ind w:left="709"/>
        <w:jc w:val="both"/>
      </w:pPr>
      <w:r w:rsidRPr="00232D6E">
        <w:t>The submission estimated a saving to the PBS of $3.</w:t>
      </w:r>
      <w:r w:rsidR="00A72DEE">
        <w:t xml:space="preserve">5 </w:t>
      </w:r>
      <w:r w:rsidRPr="00232D6E">
        <w:t xml:space="preserve">m in the first six years of </w:t>
      </w:r>
      <w:r w:rsidR="00A72DEE">
        <w:t xml:space="preserve">the changed </w:t>
      </w:r>
      <w:r w:rsidRPr="00232D6E">
        <w:t xml:space="preserve">listing </w:t>
      </w:r>
      <w:r w:rsidR="00A72DEE">
        <w:t xml:space="preserve">for </w:t>
      </w:r>
      <w:r w:rsidR="004E754C" w:rsidRPr="00232D6E">
        <w:t xml:space="preserve">ixekizumab with the </w:t>
      </w:r>
      <w:r w:rsidR="00070609">
        <w:t xml:space="preserve">proposed maximum quantity to </w:t>
      </w:r>
      <w:r w:rsidR="001B69A2">
        <w:t xml:space="preserve">one </w:t>
      </w:r>
      <w:r w:rsidR="00070609">
        <w:t>injection</w:t>
      </w:r>
      <w:r w:rsidR="004E754C" w:rsidRPr="00232D6E">
        <w:t>.</w:t>
      </w:r>
    </w:p>
    <w:p w:rsidR="00CE1425" w:rsidRPr="00232D6E" w:rsidRDefault="00B4696B" w:rsidP="00B4696B">
      <w:pPr>
        <w:ind w:firstLine="709"/>
        <w:rPr>
          <w:rFonts w:asciiTheme="minorHAnsi" w:hAnsiTheme="minorHAnsi"/>
          <w:i/>
        </w:rPr>
      </w:pPr>
      <w:r w:rsidRPr="00232D6E">
        <w:rPr>
          <w:rFonts w:asciiTheme="minorHAnsi" w:hAnsiTheme="minorHAnsi"/>
          <w:i/>
        </w:rPr>
        <w:t xml:space="preserve">For more detail on PBAC’s view, see section </w:t>
      </w:r>
      <w:r w:rsidR="00613D1D">
        <w:rPr>
          <w:rFonts w:asciiTheme="minorHAnsi" w:hAnsiTheme="minorHAnsi"/>
          <w:i/>
        </w:rPr>
        <w:t>5</w:t>
      </w:r>
      <w:r w:rsidRPr="00232D6E">
        <w:rPr>
          <w:rFonts w:asciiTheme="minorHAnsi" w:hAnsiTheme="minorHAnsi"/>
          <w:i/>
        </w:rPr>
        <w:t xml:space="preserve"> PBAC outcome.</w:t>
      </w:r>
    </w:p>
    <w:p w:rsidR="00B4696B" w:rsidRPr="00232D6E" w:rsidRDefault="00B4696B" w:rsidP="006E16A5">
      <w:pPr>
        <w:pStyle w:val="2-SectionHeading"/>
      </w:pPr>
      <w:bookmarkStart w:id="3" w:name="_Hlk76381249"/>
      <w:bookmarkStart w:id="4" w:name="_Hlk76377955"/>
      <w:r w:rsidRPr="00232D6E">
        <w:t>PBAC Outcome</w:t>
      </w:r>
    </w:p>
    <w:p w:rsidR="003D1A61" w:rsidRDefault="006E16A5" w:rsidP="003D1A61">
      <w:pPr>
        <w:pStyle w:val="3Bodytext"/>
        <w:ind w:left="709"/>
        <w:jc w:val="both"/>
        <w:rPr>
          <w:szCs w:val="24"/>
        </w:rPr>
      </w:pPr>
      <w:r w:rsidRPr="00232D6E">
        <w:rPr>
          <w:rFonts w:cs="Arial"/>
          <w:snapToGrid w:val="0"/>
        </w:rPr>
        <w:t xml:space="preserve">The PBAC did not recommend </w:t>
      </w:r>
      <w:r w:rsidRPr="00232D6E">
        <w:t>increas</w:t>
      </w:r>
      <w:r w:rsidR="00A00EBE" w:rsidRPr="00232D6E">
        <w:t>ing</w:t>
      </w:r>
      <w:r w:rsidRPr="00232D6E">
        <w:t xml:space="preserve"> the maximum quantity from </w:t>
      </w:r>
      <w:r w:rsidR="004E754C" w:rsidRPr="00232D6E">
        <w:t>one</w:t>
      </w:r>
      <w:r w:rsidRPr="00232D6E">
        <w:t xml:space="preserve"> to </w:t>
      </w:r>
      <w:r w:rsidR="004E754C" w:rsidRPr="00232D6E">
        <w:t>two</w:t>
      </w:r>
      <w:r w:rsidRPr="00232D6E">
        <w:t xml:space="preserve"> </w:t>
      </w:r>
      <w:r w:rsidR="00A00EBE" w:rsidRPr="00232D6E">
        <w:t xml:space="preserve">or </w:t>
      </w:r>
      <w:r w:rsidR="00F77AB8" w:rsidRPr="00232D6E">
        <w:t xml:space="preserve">reducing </w:t>
      </w:r>
      <w:r w:rsidRPr="00232D6E">
        <w:t xml:space="preserve">the number of repeats from </w:t>
      </w:r>
      <w:r w:rsidR="004E754C" w:rsidRPr="00232D6E">
        <w:t>five</w:t>
      </w:r>
      <w:r w:rsidRPr="00232D6E">
        <w:t xml:space="preserve"> to </w:t>
      </w:r>
      <w:r w:rsidR="004E754C" w:rsidRPr="00232D6E">
        <w:t>two</w:t>
      </w:r>
      <w:r w:rsidRPr="00232D6E">
        <w:t xml:space="preserve"> of the PBS listed secukinumab 150 mg injection for the continuing treatment phase</w:t>
      </w:r>
      <w:r w:rsidR="003D1A61">
        <w:t xml:space="preserve"> of</w:t>
      </w:r>
      <w:r w:rsidR="003D1A61">
        <w:rPr>
          <w:szCs w:val="24"/>
        </w:rPr>
        <w:t xml:space="preserve"> the following PBS indications:</w:t>
      </w:r>
    </w:p>
    <w:p w:rsidR="003D1A61" w:rsidRPr="00C865F1" w:rsidRDefault="003D1A61" w:rsidP="00080D85">
      <w:pPr>
        <w:pStyle w:val="3Bodytext"/>
        <w:numPr>
          <w:ilvl w:val="0"/>
          <w:numId w:val="0"/>
        </w:numPr>
        <w:ind w:left="709"/>
        <w:rPr>
          <w:szCs w:val="24"/>
        </w:rPr>
      </w:pPr>
      <w:r w:rsidRPr="00C865F1">
        <w:rPr>
          <w:szCs w:val="24"/>
        </w:rPr>
        <w:t>•</w:t>
      </w:r>
      <w:r w:rsidRPr="00C865F1">
        <w:rPr>
          <w:szCs w:val="24"/>
        </w:rPr>
        <w:tab/>
        <w:t>Ankylosing spondylitis</w:t>
      </w:r>
    </w:p>
    <w:p w:rsidR="003D1A61" w:rsidRPr="00C865F1" w:rsidRDefault="003D1A61" w:rsidP="00080D85">
      <w:pPr>
        <w:pStyle w:val="3Bodytext"/>
        <w:numPr>
          <w:ilvl w:val="0"/>
          <w:numId w:val="0"/>
        </w:numPr>
        <w:ind w:left="709"/>
        <w:rPr>
          <w:szCs w:val="24"/>
        </w:rPr>
      </w:pPr>
      <w:r w:rsidRPr="00C865F1">
        <w:rPr>
          <w:szCs w:val="24"/>
        </w:rPr>
        <w:t>•</w:t>
      </w:r>
      <w:r w:rsidRPr="00C865F1">
        <w:rPr>
          <w:szCs w:val="24"/>
        </w:rPr>
        <w:tab/>
        <w:t>Severe chronic plaque psoriasis</w:t>
      </w:r>
    </w:p>
    <w:p w:rsidR="003D1A61" w:rsidRPr="00C865F1" w:rsidRDefault="003D1A61" w:rsidP="00080D85">
      <w:pPr>
        <w:pStyle w:val="3Bodytext"/>
        <w:numPr>
          <w:ilvl w:val="0"/>
          <w:numId w:val="0"/>
        </w:numPr>
        <w:ind w:left="709"/>
        <w:rPr>
          <w:szCs w:val="24"/>
        </w:rPr>
      </w:pPr>
      <w:r w:rsidRPr="00C865F1">
        <w:rPr>
          <w:szCs w:val="24"/>
        </w:rPr>
        <w:t>•</w:t>
      </w:r>
      <w:r w:rsidRPr="00C865F1">
        <w:rPr>
          <w:szCs w:val="24"/>
        </w:rPr>
        <w:tab/>
        <w:t>Severe psoriatic arthritis</w:t>
      </w:r>
    </w:p>
    <w:p w:rsidR="003D1A61" w:rsidRPr="00232D6E" w:rsidRDefault="003D1A61" w:rsidP="00080D85">
      <w:pPr>
        <w:pStyle w:val="3Bodytext"/>
        <w:numPr>
          <w:ilvl w:val="0"/>
          <w:numId w:val="0"/>
        </w:numPr>
        <w:ind w:left="709"/>
        <w:rPr>
          <w:szCs w:val="24"/>
        </w:rPr>
      </w:pPr>
      <w:r w:rsidRPr="00C865F1">
        <w:rPr>
          <w:szCs w:val="24"/>
        </w:rPr>
        <w:t>•</w:t>
      </w:r>
      <w:r w:rsidRPr="00C865F1">
        <w:rPr>
          <w:szCs w:val="24"/>
        </w:rPr>
        <w:tab/>
        <w:t>Non-radiographic axSpA.</w:t>
      </w:r>
    </w:p>
    <w:p w:rsidR="006E16A5" w:rsidRPr="00080D85" w:rsidRDefault="00F17CB1" w:rsidP="00B4696B">
      <w:pPr>
        <w:widowControl w:val="0"/>
        <w:numPr>
          <w:ilvl w:val="1"/>
          <w:numId w:val="1"/>
        </w:numPr>
        <w:spacing w:after="120"/>
        <w:ind w:left="720"/>
        <w:rPr>
          <w:rFonts w:asciiTheme="minorHAnsi" w:hAnsiTheme="minorHAnsi" w:cs="Arial"/>
          <w:snapToGrid w:val="0"/>
        </w:rPr>
      </w:pPr>
      <w:r w:rsidRPr="00232D6E">
        <w:t xml:space="preserve">The PBAC </w:t>
      </w:r>
      <w:r w:rsidR="004E754C" w:rsidRPr="00232D6E">
        <w:t xml:space="preserve">noted that the intention of the request was to align the maximum quantity and number of repeats of the secukinumab listing to that of ixekizumab, which currently provides two months’ supply per </w:t>
      </w:r>
      <w:r w:rsidR="00232D6E" w:rsidRPr="00232D6E">
        <w:t>prescription</w:t>
      </w:r>
      <w:r w:rsidR="00232D6E" w:rsidRPr="00232D6E" w:rsidDel="004E754C">
        <w:t>.</w:t>
      </w:r>
      <w:r w:rsidR="00B1303E" w:rsidRPr="00232D6E">
        <w:t xml:space="preserve"> </w:t>
      </w:r>
      <w:r w:rsidR="00813868">
        <w:t xml:space="preserve">The PBAC noted that it is usual practice for drugs listed on the General Schedule to have a maximum quantity per prescription that provides supply for one months’ treatment as per PBAC Guidelines and that </w:t>
      </w:r>
      <w:r w:rsidR="00813868" w:rsidRPr="00232D6E">
        <w:rPr>
          <w:rFonts w:asciiTheme="minorHAnsi" w:hAnsiTheme="minorHAnsi" w:cs="Arial"/>
          <w:snapToGrid w:val="0"/>
        </w:rPr>
        <w:t>t</w:t>
      </w:r>
      <w:r w:rsidR="00813868" w:rsidRPr="00232D6E">
        <w:t xml:space="preserve">he current maximum quantity and number of repeats for secukinumab </w:t>
      </w:r>
      <w:r w:rsidR="00813868">
        <w:t>are</w:t>
      </w:r>
      <w:r w:rsidR="00813868" w:rsidRPr="00232D6E">
        <w:t xml:space="preserve"> consistent with the PBAC Guidelines.</w:t>
      </w:r>
      <w:r w:rsidR="00813868" w:rsidRPr="00232D6E" w:rsidDel="00813868">
        <w:rPr>
          <w:color w:val="FF0000"/>
        </w:rPr>
        <w:t xml:space="preserve"> </w:t>
      </w:r>
    </w:p>
    <w:p w:rsidR="00B24735" w:rsidRPr="00E63236" w:rsidRDefault="00B24735" w:rsidP="00B24735">
      <w:pPr>
        <w:widowControl w:val="0"/>
        <w:numPr>
          <w:ilvl w:val="1"/>
          <w:numId w:val="1"/>
        </w:numPr>
        <w:spacing w:after="120"/>
        <w:ind w:left="720"/>
        <w:rPr>
          <w:rFonts w:asciiTheme="minorHAnsi" w:hAnsiTheme="minorHAnsi" w:cs="Arial"/>
          <w:snapToGrid w:val="0"/>
        </w:rPr>
      </w:pPr>
      <w:r>
        <w:t xml:space="preserve">The PBAC noted the submission claimed that the different maximum quantity between secukinumab and ixekizumab may incentivise prescribers and patients to choose ixekizumab over secukinumab. The PBAC considered that choice of treatment would be largely driven by individual patient characteristics related to clinical suitability to a particular drug and clinician familiarity with the drug. </w:t>
      </w:r>
    </w:p>
    <w:p w:rsidR="000E4CDB" w:rsidRPr="00232D6E" w:rsidRDefault="000E4CDB" w:rsidP="00B4696B">
      <w:pPr>
        <w:widowControl w:val="0"/>
        <w:numPr>
          <w:ilvl w:val="1"/>
          <w:numId w:val="1"/>
        </w:numPr>
        <w:spacing w:after="120"/>
        <w:ind w:left="720"/>
        <w:rPr>
          <w:rFonts w:asciiTheme="minorHAnsi" w:hAnsiTheme="minorHAnsi" w:cs="Arial"/>
          <w:snapToGrid w:val="0"/>
        </w:rPr>
      </w:pPr>
      <w:r w:rsidRPr="00232D6E">
        <w:rPr>
          <w:rFonts w:asciiTheme="minorHAnsi" w:hAnsiTheme="minorHAnsi" w:cs="Arial"/>
          <w:snapToGrid w:val="0"/>
        </w:rPr>
        <w:t xml:space="preserve">The PBAC </w:t>
      </w:r>
      <w:r w:rsidR="00813868">
        <w:rPr>
          <w:rFonts w:asciiTheme="minorHAnsi" w:hAnsiTheme="minorHAnsi" w:cs="Arial"/>
          <w:snapToGrid w:val="0"/>
        </w:rPr>
        <w:t>considered</w:t>
      </w:r>
      <w:r w:rsidR="004E754C" w:rsidRPr="00232D6E">
        <w:rPr>
          <w:rFonts w:asciiTheme="minorHAnsi" w:hAnsiTheme="minorHAnsi" w:cs="Arial"/>
          <w:snapToGrid w:val="0"/>
        </w:rPr>
        <w:t xml:space="preserve"> that</w:t>
      </w:r>
      <w:r w:rsidRPr="00232D6E">
        <w:rPr>
          <w:rFonts w:asciiTheme="minorHAnsi" w:hAnsiTheme="minorHAnsi" w:cs="Arial"/>
          <w:snapToGrid w:val="0"/>
        </w:rPr>
        <w:t xml:space="preserve"> </w:t>
      </w:r>
      <w:r w:rsidR="00B24735">
        <w:t>the current maximum quantity of one injection with five repeats for secukinumab for all its current PBS indications should remain unchanged.</w:t>
      </w:r>
    </w:p>
    <w:p w:rsidR="00055ED2" w:rsidRPr="00232D6E" w:rsidRDefault="00055ED2" w:rsidP="00B4696B">
      <w:pPr>
        <w:widowControl w:val="0"/>
        <w:numPr>
          <w:ilvl w:val="1"/>
          <w:numId w:val="1"/>
        </w:numPr>
        <w:spacing w:after="120"/>
        <w:ind w:left="720"/>
        <w:rPr>
          <w:rFonts w:asciiTheme="minorHAnsi" w:hAnsiTheme="minorHAnsi" w:cs="Arial"/>
          <w:bCs/>
          <w:snapToGrid w:val="0"/>
        </w:rPr>
      </w:pPr>
      <w:r w:rsidRPr="00232D6E">
        <w:t>The PBAC noted that the submission is not eligible for an Independe</w:t>
      </w:r>
      <w:r w:rsidRPr="002765A8">
        <w:t>nt Review because it is a request to modify</w:t>
      </w:r>
      <w:r w:rsidRPr="00232D6E">
        <w:t xml:space="preserve"> an existing listing.</w:t>
      </w:r>
    </w:p>
    <w:p w:rsidR="00B4696B" w:rsidRPr="00232D6E" w:rsidRDefault="00B4696B" w:rsidP="00B4696B">
      <w:pPr>
        <w:spacing w:before="240"/>
        <w:rPr>
          <w:rFonts w:asciiTheme="minorHAnsi" w:hAnsiTheme="minorHAnsi" w:cs="Arial"/>
          <w:b/>
          <w:bCs/>
          <w:snapToGrid w:val="0"/>
        </w:rPr>
      </w:pPr>
      <w:r w:rsidRPr="00232D6E">
        <w:rPr>
          <w:rFonts w:asciiTheme="minorHAnsi" w:hAnsiTheme="minorHAnsi" w:cs="Arial"/>
          <w:b/>
          <w:bCs/>
          <w:snapToGrid w:val="0"/>
        </w:rPr>
        <w:t>Outcome:</w:t>
      </w:r>
    </w:p>
    <w:p w:rsidR="00B4696B" w:rsidRDefault="00B4696B" w:rsidP="007B163B">
      <w:pPr>
        <w:rPr>
          <w:rFonts w:asciiTheme="minorHAnsi" w:hAnsiTheme="minorHAnsi" w:cs="Arial"/>
          <w:bCs/>
          <w:snapToGrid w:val="0"/>
        </w:rPr>
      </w:pPr>
      <w:r w:rsidRPr="00232D6E">
        <w:rPr>
          <w:rFonts w:asciiTheme="minorHAnsi" w:hAnsiTheme="minorHAnsi" w:cs="Arial"/>
          <w:bCs/>
          <w:snapToGrid w:val="0"/>
        </w:rPr>
        <w:t>Not recommended</w:t>
      </w:r>
      <w:bookmarkEnd w:id="3"/>
      <w:bookmarkEnd w:id="4"/>
    </w:p>
    <w:p w:rsidR="004C7A83" w:rsidRDefault="004C7A83" w:rsidP="004C7A83">
      <w:pPr>
        <w:pStyle w:val="2-SectionHeading"/>
        <w:rPr>
          <w:bCs/>
          <w:lang w:val="en-GB"/>
        </w:rPr>
      </w:pPr>
      <w:r w:rsidRPr="00C07617">
        <w:t>Context for Decision</w:t>
      </w:r>
    </w:p>
    <w:p w:rsidR="004C7A83" w:rsidRPr="007129F2" w:rsidRDefault="004C7A83" w:rsidP="004C7A83">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C7A83" w:rsidRPr="00C07617" w:rsidRDefault="004C7A83" w:rsidP="004C7A83">
      <w:pPr>
        <w:pStyle w:val="2-SectionHeading"/>
        <w:rPr>
          <w:b w:val="0"/>
        </w:rPr>
      </w:pPr>
      <w:r>
        <w:t>Sponsor’s Comment</w:t>
      </w:r>
    </w:p>
    <w:p w:rsidR="004C7A83" w:rsidRPr="001179AC" w:rsidRDefault="004C7A83" w:rsidP="004C7A83">
      <w:pPr>
        <w:spacing w:after="120"/>
        <w:ind w:left="426" w:firstLine="294"/>
        <w:rPr>
          <w:rFonts w:asciiTheme="minorHAnsi" w:hAnsiTheme="minorHAnsi" w:cs="Arial"/>
          <w:bCs/>
        </w:rPr>
      </w:pPr>
      <w:r w:rsidRPr="00C07617">
        <w:rPr>
          <w:rFonts w:asciiTheme="minorHAnsi" w:hAnsiTheme="minorHAnsi" w:cs="Arial"/>
          <w:bCs/>
        </w:rPr>
        <w:t>The sponsor had no comment.</w:t>
      </w:r>
    </w:p>
    <w:p w:rsidR="004C7A83" w:rsidRPr="007B163B" w:rsidRDefault="004C7A83" w:rsidP="007B163B">
      <w:pPr>
        <w:rPr>
          <w:rFonts w:asciiTheme="minorHAnsi" w:hAnsiTheme="minorHAnsi" w:cs="Arial"/>
          <w:bCs/>
          <w:snapToGrid w:val="0"/>
        </w:rPr>
      </w:pPr>
    </w:p>
    <w:sectPr w:rsidR="004C7A83" w:rsidRPr="007B163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7CD" w:rsidRDefault="003327CD">
      <w:r>
        <w:separator/>
      </w:r>
    </w:p>
    <w:p w:rsidR="003327CD" w:rsidRDefault="003327CD"/>
  </w:endnote>
  <w:endnote w:type="continuationSeparator" w:id="0">
    <w:p w:rsidR="003327CD" w:rsidRDefault="003327CD">
      <w:r>
        <w:continuationSeparator/>
      </w:r>
    </w:p>
    <w:p w:rsidR="003327CD" w:rsidRDefault="003327CD"/>
  </w:endnote>
  <w:endnote w:type="continuationNotice" w:id="1">
    <w:p w:rsidR="003327CD" w:rsidRDefault="00332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abon">
    <w:altName w:val="Cambria"/>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24735" w:rsidTr="005A3173">
      <w:trPr>
        <w:trHeight w:val="151"/>
      </w:trPr>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c>
        <w:tcPr>
          <w:tcW w:w="500" w:type="pct"/>
          <w:vMerge w:val="restart"/>
          <w:noWrap/>
          <w:vAlign w:val="center"/>
          <w:hideMark/>
        </w:tcPr>
        <w:p w:rsidR="00B24735" w:rsidRPr="005A3173" w:rsidRDefault="00B247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r>
    <w:tr w:rsidR="00B24735" w:rsidTr="005A3173">
      <w:trPr>
        <w:trHeight w:val="150"/>
      </w:trPr>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c>
        <w:tcPr>
          <w:tcW w:w="0" w:type="auto"/>
          <w:vMerge/>
          <w:vAlign w:val="center"/>
          <w:hideMark/>
        </w:tcPr>
        <w:p w:rsidR="00B24735" w:rsidRPr="005A3173" w:rsidRDefault="00B24735" w:rsidP="005A3173">
          <w:pPr>
            <w:rPr>
              <w:color w:val="365F91"/>
              <w:sz w:val="22"/>
              <w:szCs w:val="22"/>
            </w:rPr>
          </w:pPr>
        </w:p>
      </w:tc>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r>
  </w:tbl>
  <w:p w:rsidR="00B24735" w:rsidRDefault="00B2473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4735" w:rsidRDefault="00B24735">
    <w:pPr>
      <w:pStyle w:val="Footer"/>
    </w:pPr>
  </w:p>
  <w:p w:rsidR="00B24735" w:rsidRDefault="00B247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735" w:rsidRPr="00D429EC" w:rsidRDefault="00B24735" w:rsidP="00E27234">
    <w:pPr>
      <w:pStyle w:val="PBACFooter"/>
      <w:rPr>
        <w:rFonts w:asciiTheme="minorHAnsi" w:hAnsiTheme="minorHAnsi" w:cstheme="minorHAnsi"/>
        <w:sz w:val="24"/>
      </w:rPr>
    </w:pPr>
  </w:p>
  <w:bookmarkStart w:id="6" w:name="_Hlk76375156"/>
  <w:p w:rsidR="00B24735" w:rsidRPr="00D429EC" w:rsidRDefault="00B24735" w:rsidP="00CE6014">
    <w:pPr>
      <w:pStyle w:val="PBACFooter"/>
      <w:rPr>
        <w:rFonts w:asciiTheme="minorHAnsi" w:hAnsiTheme="minorHAnsi" w:cstheme="minorHAnsi"/>
        <w:sz w:val="24"/>
      </w:rPr>
    </w:pPr>
    <w:r w:rsidRPr="00836F75">
      <w:rPr>
        <w:rFonts w:ascii="Calibri" w:hAnsi="Calibri"/>
        <w:b w:val="0"/>
      </w:rPr>
      <w:fldChar w:fldCharType="begin"/>
    </w:r>
    <w:r w:rsidRPr="00836F75">
      <w:rPr>
        <w:rFonts w:ascii="Calibri" w:hAnsi="Calibri"/>
      </w:rPr>
      <w:instrText xml:space="preserve"> PAGE   \* MERGEFORMAT </w:instrText>
    </w:r>
    <w:r w:rsidRPr="00836F75">
      <w:rPr>
        <w:rFonts w:ascii="Calibri" w:hAnsi="Calibri"/>
        <w:b w:val="0"/>
      </w:rPr>
      <w:fldChar w:fldCharType="separate"/>
    </w:r>
    <w:r w:rsidR="00F3428D">
      <w:rPr>
        <w:rFonts w:ascii="Calibri" w:hAnsi="Calibri"/>
        <w:noProof/>
      </w:rPr>
      <w:t>5</w:t>
    </w:r>
    <w:r w:rsidRPr="00836F75">
      <w:rPr>
        <w:rFonts w:ascii="Calibri" w:hAnsi="Calibri"/>
        <w:b w:val="0"/>
        <w:noProof/>
      </w:rPr>
      <w:fldChar w:fldCharType="end"/>
    </w:r>
    <w:bookmarkEnd w:id="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24735" w:rsidTr="005A3173">
      <w:trPr>
        <w:trHeight w:val="151"/>
      </w:trPr>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c>
        <w:tcPr>
          <w:tcW w:w="500" w:type="pct"/>
          <w:vMerge w:val="restart"/>
          <w:noWrap/>
          <w:vAlign w:val="center"/>
          <w:hideMark/>
        </w:tcPr>
        <w:p w:rsidR="00B24735" w:rsidRPr="005A3173" w:rsidRDefault="00B247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r>
    <w:tr w:rsidR="00B24735" w:rsidTr="005A3173">
      <w:trPr>
        <w:trHeight w:val="150"/>
      </w:trPr>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c>
        <w:tcPr>
          <w:tcW w:w="0" w:type="auto"/>
          <w:vMerge/>
          <w:vAlign w:val="center"/>
          <w:hideMark/>
        </w:tcPr>
        <w:p w:rsidR="00B24735" w:rsidRPr="005A3173" w:rsidRDefault="00B24735" w:rsidP="005A3173">
          <w:pPr>
            <w:rPr>
              <w:color w:val="365F91"/>
              <w:sz w:val="22"/>
              <w:szCs w:val="22"/>
            </w:rPr>
          </w:pPr>
        </w:p>
      </w:tc>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24735" w:rsidTr="005A3173">
      <w:trPr>
        <w:trHeight w:val="151"/>
      </w:trPr>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c>
        <w:tcPr>
          <w:tcW w:w="500" w:type="pct"/>
          <w:vMerge w:val="restart"/>
          <w:noWrap/>
          <w:vAlign w:val="center"/>
          <w:hideMark/>
        </w:tcPr>
        <w:p w:rsidR="00B24735" w:rsidRPr="005A3173" w:rsidRDefault="00B247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4735" w:rsidRPr="005A3173" w:rsidRDefault="00B24735" w:rsidP="005A3173">
          <w:pPr>
            <w:pStyle w:val="Header"/>
            <w:spacing w:line="276" w:lineRule="auto"/>
            <w:rPr>
              <w:rFonts w:eastAsia="MS Gothic"/>
              <w:b/>
              <w:bCs/>
              <w:color w:val="4F81BD"/>
            </w:rPr>
          </w:pPr>
        </w:p>
      </w:tc>
    </w:tr>
    <w:tr w:rsidR="00B24735" w:rsidTr="005A3173">
      <w:trPr>
        <w:trHeight w:val="150"/>
      </w:trPr>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c>
        <w:tcPr>
          <w:tcW w:w="0" w:type="auto"/>
          <w:vMerge/>
          <w:vAlign w:val="center"/>
          <w:hideMark/>
        </w:tcPr>
        <w:p w:rsidR="00B24735" w:rsidRPr="005A3173" w:rsidRDefault="00B24735" w:rsidP="005A3173">
          <w:pPr>
            <w:rPr>
              <w:color w:val="365F91"/>
              <w:sz w:val="22"/>
              <w:szCs w:val="22"/>
            </w:rPr>
          </w:pPr>
        </w:p>
      </w:tc>
      <w:tc>
        <w:tcPr>
          <w:tcW w:w="2250" w:type="pct"/>
          <w:tcBorders>
            <w:top w:val="single" w:sz="4" w:space="0" w:color="4F81BD"/>
            <w:left w:val="nil"/>
            <w:bottom w:val="nil"/>
            <w:right w:val="nil"/>
          </w:tcBorders>
        </w:tcPr>
        <w:p w:rsidR="00B24735" w:rsidRPr="005A3173" w:rsidRDefault="00B24735" w:rsidP="005A3173">
          <w:pPr>
            <w:pStyle w:val="Header"/>
            <w:spacing w:line="276" w:lineRule="auto"/>
            <w:rPr>
              <w:rFonts w:eastAsia="MS Gothic"/>
              <w:b/>
              <w:bCs/>
              <w:color w:val="4F81BD"/>
            </w:rPr>
          </w:pPr>
        </w:p>
      </w:tc>
    </w:tr>
  </w:tbl>
  <w:p w:rsidR="00B24735" w:rsidRPr="00CE6014" w:rsidRDefault="00B24735" w:rsidP="007C0F57">
    <w:pPr>
      <w:pStyle w:val="Footer"/>
      <w:jc w:val="center"/>
      <w:rPr>
        <w:sz w:val="20"/>
        <w:szCs w:val="20"/>
      </w:rPr>
    </w:pPr>
    <w:r w:rsidRPr="00CE6014">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C75600">
      <w:rPr>
        <w:rStyle w:val="PageNumber"/>
        <w:noProof/>
      </w:rPr>
      <w:t>1</w:t>
    </w:r>
    <w:r>
      <w:rPr>
        <w:rStyle w:val="PageNumber"/>
      </w:rPr>
      <w:fldChar w:fldCharType="end"/>
    </w:r>
    <w:r w:rsidRPr="00CE6014">
      <w:rPr>
        <w:sz w:val="20"/>
        <w:szCs w:val="20"/>
      </w:rPr>
      <w:t>BAC Meeting</w:t>
    </w:r>
  </w:p>
  <w:p w:rsidR="00B24735" w:rsidRPr="00CE6014" w:rsidRDefault="00B24735" w:rsidP="007C0F57">
    <w:pPr>
      <w:pStyle w:val="Footer"/>
      <w:jc w:val="center"/>
      <w:rPr>
        <w:sz w:val="20"/>
        <w:szCs w:val="20"/>
      </w:rPr>
    </w:pPr>
    <w:r w:rsidRPr="00CE6014">
      <w:rPr>
        <w:sz w:val="20"/>
        <w:szCs w:val="20"/>
      </w:rPr>
      <w:t>Commercial-in-Confidence</w:t>
    </w:r>
  </w:p>
  <w:p w:rsidR="00B24735" w:rsidRDefault="00B247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7CD" w:rsidRDefault="003327CD">
      <w:r>
        <w:separator/>
      </w:r>
    </w:p>
    <w:p w:rsidR="003327CD" w:rsidRDefault="003327CD"/>
  </w:footnote>
  <w:footnote w:type="continuationSeparator" w:id="0">
    <w:p w:rsidR="003327CD" w:rsidRDefault="003327CD">
      <w:r>
        <w:continuationSeparator/>
      </w:r>
    </w:p>
    <w:p w:rsidR="003327CD" w:rsidRDefault="003327CD"/>
  </w:footnote>
  <w:footnote w:type="continuationNotice" w:id="1">
    <w:p w:rsidR="003327CD" w:rsidRDefault="003327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24735" w:rsidRPr="008E0D90" w:rsidTr="00A06225">
      <w:trPr>
        <w:trHeight w:val="151"/>
      </w:trPr>
      <w:tc>
        <w:tcPr>
          <w:tcW w:w="2389" w:type="pct"/>
          <w:tcBorders>
            <w:top w:val="nil"/>
            <w:left w:val="nil"/>
            <w:bottom w:val="single" w:sz="4" w:space="0" w:color="4F81BD"/>
            <w:right w:val="nil"/>
          </w:tcBorders>
        </w:tcPr>
        <w:p w:rsidR="00B24735" w:rsidRPr="00A06225" w:rsidRDefault="00B24735">
          <w:pPr>
            <w:pStyle w:val="Header"/>
            <w:spacing w:line="276" w:lineRule="auto"/>
            <w:rPr>
              <w:rFonts w:ascii="Cambria" w:eastAsia="MS Gothic" w:hAnsi="Cambria"/>
              <w:b/>
              <w:bCs/>
              <w:color w:val="4F81BD"/>
            </w:rPr>
          </w:pPr>
        </w:p>
      </w:tc>
      <w:tc>
        <w:tcPr>
          <w:tcW w:w="333" w:type="pct"/>
          <w:vMerge w:val="restart"/>
          <w:noWrap/>
          <w:vAlign w:val="center"/>
          <w:hideMark/>
        </w:tcPr>
        <w:p w:rsidR="00B24735" w:rsidRPr="00A06225" w:rsidRDefault="00B2473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24735" w:rsidRPr="00A06225" w:rsidRDefault="00B24735">
          <w:pPr>
            <w:pStyle w:val="Header"/>
            <w:spacing w:line="276" w:lineRule="auto"/>
            <w:rPr>
              <w:rFonts w:ascii="Cambria" w:eastAsia="MS Gothic" w:hAnsi="Cambria"/>
              <w:b/>
              <w:bCs/>
              <w:color w:val="4F81BD"/>
            </w:rPr>
          </w:pPr>
        </w:p>
      </w:tc>
    </w:tr>
    <w:tr w:rsidR="00B24735" w:rsidRPr="008E0D90" w:rsidTr="00A06225">
      <w:trPr>
        <w:trHeight w:val="150"/>
      </w:trPr>
      <w:tc>
        <w:tcPr>
          <w:tcW w:w="2389" w:type="pct"/>
          <w:tcBorders>
            <w:top w:val="single" w:sz="4" w:space="0" w:color="4F81BD"/>
            <w:left w:val="nil"/>
            <w:bottom w:val="nil"/>
            <w:right w:val="nil"/>
          </w:tcBorders>
        </w:tcPr>
        <w:p w:rsidR="00B24735" w:rsidRPr="00A06225" w:rsidRDefault="00B24735">
          <w:pPr>
            <w:pStyle w:val="Header"/>
            <w:spacing w:line="276" w:lineRule="auto"/>
            <w:rPr>
              <w:rFonts w:ascii="Cambria" w:eastAsia="MS Gothic" w:hAnsi="Cambria"/>
              <w:b/>
              <w:bCs/>
              <w:color w:val="4F81BD"/>
            </w:rPr>
          </w:pPr>
        </w:p>
      </w:tc>
      <w:tc>
        <w:tcPr>
          <w:tcW w:w="0" w:type="auto"/>
          <w:vMerge/>
          <w:vAlign w:val="center"/>
          <w:hideMark/>
        </w:tcPr>
        <w:p w:rsidR="00B24735" w:rsidRPr="00A06225" w:rsidRDefault="00B24735">
          <w:pPr>
            <w:rPr>
              <w:rFonts w:ascii="Cambria" w:hAnsi="Cambria"/>
              <w:color w:val="4F81BD"/>
              <w:sz w:val="22"/>
              <w:szCs w:val="22"/>
            </w:rPr>
          </w:pPr>
        </w:p>
      </w:tc>
      <w:tc>
        <w:tcPr>
          <w:tcW w:w="2278" w:type="pct"/>
          <w:tcBorders>
            <w:top w:val="single" w:sz="4" w:space="0" w:color="4F81BD"/>
            <w:left w:val="nil"/>
            <w:bottom w:val="nil"/>
            <w:right w:val="nil"/>
          </w:tcBorders>
        </w:tcPr>
        <w:p w:rsidR="00B24735" w:rsidRPr="00A06225" w:rsidRDefault="00B24735">
          <w:pPr>
            <w:pStyle w:val="Header"/>
            <w:spacing w:line="276" w:lineRule="auto"/>
            <w:rPr>
              <w:rFonts w:ascii="Cambria" w:eastAsia="MS Gothic" w:hAnsi="Cambria"/>
              <w:b/>
              <w:bCs/>
              <w:color w:val="4F81BD"/>
            </w:rPr>
          </w:pPr>
        </w:p>
      </w:tc>
    </w:tr>
  </w:tbl>
  <w:p w:rsidR="00B24735" w:rsidRDefault="00B24735">
    <w:pPr>
      <w:pStyle w:val="Header"/>
    </w:pPr>
  </w:p>
  <w:p w:rsidR="00B24735" w:rsidRDefault="00B247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735" w:rsidRPr="00056684" w:rsidRDefault="004C7A83" w:rsidP="00CE6014">
    <w:pPr>
      <w:pStyle w:val="Header"/>
      <w:ind w:left="360"/>
      <w:rPr>
        <w:rFonts w:asciiTheme="minorHAnsi" w:hAnsiTheme="minorHAnsi" w:cs="Arial"/>
        <w:i/>
        <w:color w:val="808080"/>
      </w:rPr>
    </w:pPr>
    <w:bookmarkStart w:id="5" w:name="_Hlk76375146"/>
    <w:r>
      <w:rPr>
        <w:rFonts w:asciiTheme="minorHAnsi" w:hAnsiTheme="minorHAnsi" w:cs="Arial"/>
        <w:i/>
        <w:color w:val="808080"/>
      </w:rPr>
      <w:t>Public Summary Document</w:t>
    </w:r>
    <w:r w:rsidR="00B24735">
      <w:rPr>
        <w:rFonts w:asciiTheme="minorHAnsi" w:hAnsiTheme="minorHAnsi" w:cs="Arial"/>
        <w:i/>
        <w:color w:val="808080"/>
      </w:rPr>
      <w:t xml:space="preserve"> </w:t>
    </w:r>
    <w:r w:rsidR="00B24735" w:rsidRPr="00056684">
      <w:rPr>
        <w:rFonts w:asciiTheme="minorHAnsi" w:hAnsiTheme="minorHAnsi" w:cs="Arial"/>
        <w:i/>
        <w:color w:val="808080"/>
      </w:rPr>
      <w:t xml:space="preserve">– </w:t>
    </w:r>
    <w:r w:rsidR="00B24735">
      <w:rPr>
        <w:rFonts w:asciiTheme="minorHAnsi" w:hAnsiTheme="minorHAnsi" w:cs="Arial"/>
        <w:i/>
        <w:color w:val="808080"/>
      </w:rPr>
      <w:t>July 2021</w:t>
    </w:r>
    <w:r w:rsidR="00B24735" w:rsidRPr="00056684">
      <w:rPr>
        <w:rFonts w:asciiTheme="minorHAnsi" w:hAnsiTheme="minorHAnsi" w:cs="Arial"/>
        <w:i/>
        <w:color w:val="808080"/>
      </w:rPr>
      <w:t xml:space="preserve"> PBAC Meeting</w:t>
    </w:r>
  </w:p>
  <w:bookmarkEnd w:id="5"/>
  <w:p w:rsidR="00B24735" w:rsidRPr="00CE6014" w:rsidRDefault="00B24735" w:rsidP="00CE6014">
    <w:pPr>
      <w:pStyle w:val="Header"/>
      <w:ind w:left="360"/>
      <w:rPr>
        <w:rFonts w:asciiTheme="minorHAnsi" w:hAnsiTheme="minorHAnsi" w:cs="Arial"/>
        <w:i/>
        <w:color w:val="00B0F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600" w:rsidRDefault="00C75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4537"/>
        </w:tabs>
        <w:ind w:left="4537"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B62D25"/>
    <w:multiLevelType w:val="hybridMultilevel"/>
    <w:tmpl w:val="5D18FB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F395629"/>
    <w:multiLevelType w:val="hybridMultilevel"/>
    <w:tmpl w:val="3B300B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6DF435C"/>
    <w:multiLevelType w:val="hybridMultilevel"/>
    <w:tmpl w:val="CF241D0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03AAF7AE"/>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2138"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9"/>
  </w:num>
  <w:num w:numId="2">
    <w:abstractNumId w:val="0"/>
  </w:num>
  <w:num w:numId="3">
    <w:abstractNumId w:val="12"/>
  </w:num>
  <w:num w:numId="4">
    <w:abstractNumId w:val="20"/>
  </w:num>
  <w:num w:numId="5">
    <w:abstractNumId w:val="18"/>
  </w:num>
  <w:num w:numId="6">
    <w:abstractNumId w:val="9"/>
  </w:num>
  <w:num w:numId="7">
    <w:abstractNumId w:val="8"/>
  </w:num>
  <w:num w:numId="8">
    <w:abstractNumId w:val="1"/>
  </w:num>
  <w:num w:numId="9">
    <w:abstractNumId w:val="16"/>
  </w:num>
  <w:num w:numId="10">
    <w:abstractNumId w:val="7"/>
  </w:num>
  <w:num w:numId="11">
    <w:abstractNumId w:val="13"/>
  </w:num>
  <w:num w:numId="12">
    <w:abstractNumId w:val="15"/>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0"/>
  </w:num>
  <w:num w:numId="27">
    <w:abstractNumId w:val="11"/>
  </w:num>
  <w:num w:numId="28">
    <w:abstractNumId w:val="3"/>
  </w:num>
  <w:num w:numId="29">
    <w:abstractNumId w:val="2"/>
  </w:num>
  <w:num w:numId="30">
    <w:abstractNumId w:val="5"/>
  </w:num>
  <w:num w:numId="31">
    <w:abstractNumId w:val="6"/>
  </w:num>
  <w:num w:numId="32">
    <w:abstractNumId w:val="4"/>
  </w:num>
  <w:num w:numId="3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9"/>
  </w:num>
  <w:num w:numId="36">
    <w:abstractNumId w:val="19"/>
  </w:num>
  <w:num w:numId="37">
    <w:abstractNumId w:val="19"/>
  </w:num>
  <w:num w:numId="38">
    <w:abstractNumId w:val="19"/>
  </w:num>
  <w:num w:numId="3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0B3D"/>
    <w:rsid w:val="00001663"/>
    <w:rsid w:val="000025AD"/>
    <w:rsid w:val="0000335D"/>
    <w:rsid w:val="00003B1D"/>
    <w:rsid w:val="00006782"/>
    <w:rsid w:val="00011A59"/>
    <w:rsid w:val="0001583C"/>
    <w:rsid w:val="00016A41"/>
    <w:rsid w:val="000214D1"/>
    <w:rsid w:val="0002464A"/>
    <w:rsid w:val="0002493A"/>
    <w:rsid w:val="00025A04"/>
    <w:rsid w:val="00025A24"/>
    <w:rsid w:val="0003050E"/>
    <w:rsid w:val="00030789"/>
    <w:rsid w:val="0003106B"/>
    <w:rsid w:val="00034905"/>
    <w:rsid w:val="000421A1"/>
    <w:rsid w:val="0004240E"/>
    <w:rsid w:val="000424E9"/>
    <w:rsid w:val="00044EC4"/>
    <w:rsid w:val="00045E26"/>
    <w:rsid w:val="000468D5"/>
    <w:rsid w:val="0005148E"/>
    <w:rsid w:val="000514B5"/>
    <w:rsid w:val="0005322E"/>
    <w:rsid w:val="00054E2B"/>
    <w:rsid w:val="00055ED2"/>
    <w:rsid w:val="00060E64"/>
    <w:rsid w:val="00063054"/>
    <w:rsid w:val="00066193"/>
    <w:rsid w:val="00066755"/>
    <w:rsid w:val="00067406"/>
    <w:rsid w:val="00070609"/>
    <w:rsid w:val="00071A5B"/>
    <w:rsid w:val="00072730"/>
    <w:rsid w:val="00073085"/>
    <w:rsid w:val="0007337F"/>
    <w:rsid w:val="000763D5"/>
    <w:rsid w:val="00076C38"/>
    <w:rsid w:val="00077143"/>
    <w:rsid w:val="00077DF7"/>
    <w:rsid w:val="0008050C"/>
    <w:rsid w:val="00080D85"/>
    <w:rsid w:val="00082169"/>
    <w:rsid w:val="000834BE"/>
    <w:rsid w:val="00083F01"/>
    <w:rsid w:val="00087C4C"/>
    <w:rsid w:val="000918CB"/>
    <w:rsid w:val="00091B06"/>
    <w:rsid w:val="000951C4"/>
    <w:rsid w:val="00095ADA"/>
    <w:rsid w:val="000969AD"/>
    <w:rsid w:val="000975FB"/>
    <w:rsid w:val="000A3AA2"/>
    <w:rsid w:val="000A44B2"/>
    <w:rsid w:val="000A46BE"/>
    <w:rsid w:val="000A52F6"/>
    <w:rsid w:val="000B44C3"/>
    <w:rsid w:val="000B558D"/>
    <w:rsid w:val="000B5A89"/>
    <w:rsid w:val="000B65F6"/>
    <w:rsid w:val="000B6AD2"/>
    <w:rsid w:val="000B7767"/>
    <w:rsid w:val="000C5F95"/>
    <w:rsid w:val="000C6996"/>
    <w:rsid w:val="000C7C46"/>
    <w:rsid w:val="000D09E9"/>
    <w:rsid w:val="000D113F"/>
    <w:rsid w:val="000D23BA"/>
    <w:rsid w:val="000D3EDE"/>
    <w:rsid w:val="000D5071"/>
    <w:rsid w:val="000E19B7"/>
    <w:rsid w:val="000E1BFA"/>
    <w:rsid w:val="000E20FC"/>
    <w:rsid w:val="000E3DFB"/>
    <w:rsid w:val="000E472D"/>
    <w:rsid w:val="000E4CDB"/>
    <w:rsid w:val="000E5EA1"/>
    <w:rsid w:val="000E666B"/>
    <w:rsid w:val="000E681E"/>
    <w:rsid w:val="000E7E52"/>
    <w:rsid w:val="000F0003"/>
    <w:rsid w:val="000F3384"/>
    <w:rsid w:val="000F4E6A"/>
    <w:rsid w:val="000F7354"/>
    <w:rsid w:val="000F73F9"/>
    <w:rsid w:val="0010129E"/>
    <w:rsid w:val="00101ABE"/>
    <w:rsid w:val="00102202"/>
    <w:rsid w:val="001023F2"/>
    <w:rsid w:val="00102700"/>
    <w:rsid w:val="00102A78"/>
    <w:rsid w:val="00103118"/>
    <w:rsid w:val="00104227"/>
    <w:rsid w:val="00107833"/>
    <w:rsid w:val="001107BF"/>
    <w:rsid w:val="00113649"/>
    <w:rsid w:val="00113D5C"/>
    <w:rsid w:val="00115ED4"/>
    <w:rsid w:val="0011718F"/>
    <w:rsid w:val="0012417C"/>
    <w:rsid w:val="001243CC"/>
    <w:rsid w:val="00124BF2"/>
    <w:rsid w:val="0012597F"/>
    <w:rsid w:val="00125C8A"/>
    <w:rsid w:val="0012749D"/>
    <w:rsid w:val="00130378"/>
    <w:rsid w:val="001306A5"/>
    <w:rsid w:val="001311AE"/>
    <w:rsid w:val="00133E3E"/>
    <w:rsid w:val="00140B74"/>
    <w:rsid w:val="00140D94"/>
    <w:rsid w:val="00142395"/>
    <w:rsid w:val="00142671"/>
    <w:rsid w:val="00142714"/>
    <w:rsid w:val="001431EE"/>
    <w:rsid w:val="00143451"/>
    <w:rsid w:val="00143CB6"/>
    <w:rsid w:val="00144D09"/>
    <w:rsid w:val="00144E08"/>
    <w:rsid w:val="001452ED"/>
    <w:rsid w:val="00145E43"/>
    <w:rsid w:val="00145EBC"/>
    <w:rsid w:val="00147D84"/>
    <w:rsid w:val="001510F9"/>
    <w:rsid w:val="001549C1"/>
    <w:rsid w:val="00156C8D"/>
    <w:rsid w:val="0015797C"/>
    <w:rsid w:val="00160F4D"/>
    <w:rsid w:val="00162BDD"/>
    <w:rsid w:val="00162D4E"/>
    <w:rsid w:val="00163329"/>
    <w:rsid w:val="00164623"/>
    <w:rsid w:val="001652DE"/>
    <w:rsid w:val="00165B64"/>
    <w:rsid w:val="00167C39"/>
    <w:rsid w:val="00170642"/>
    <w:rsid w:val="00176B9D"/>
    <w:rsid w:val="00180713"/>
    <w:rsid w:val="00180720"/>
    <w:rsid w:val="00180F8F"/>
    <w:rsid w:val="001830CE"/>
    <w:rsid w:val="001836E3"/>
    <w:rsid w:val="0018643B"/>
    <w:rsid w:val="00196307"/>
    <w:rsid w:val="00197F03"/>
    <w:rsid w:val="001A0D10"/>
    <w:rsid w:val="001A33EA"/>
    <w:rsid w:val="001A4413"/>
    <w:rsid w:val="001A4963"/>
    <w:rsid w:val="001A4C4F"/>
    <w:rsid w:val="001A5A2B"/>
    <w:rsid w:val="001A67AD"/>
    <w:rsid w:val="001A72DB"/>
    <w:rsid w:val="001A76FB"/>
    <w:rsid w:val="001B017F"/>
    <w:rsid w:val="001B0B79"/>
    <w:rsid w:val="001B2BBC"/>
    <w:rsid w:val="001B3A40"/>
    <w:rsid w:val="001B3FFE"/>
    <w:rsid w:val="001B5129"/>
    <w:rsid w:val="001B69A2"/>
    <w:rsid w:val="001B79E5"/>
    <w:rsid w:val="001C0B4C"/>
    <w:rsid w:val="001C0EC4"/>
    <w:rsid w:val="001C1195"/>
    <w:rsid w:val="001C12AE"/>
    <w:rsid w:val="001C1E84"/>
    <w:rsid w:val="001C2E42"/>
    <w:rsid w:val="001D1F5F"/>
    <w:rsid w:val="001E06D2"/>
    <w:rsid w:val="001E17C4"/>
    <w:rsid w:val="001F005B"/>
    <w:rsid w:val="001F1850"/>
    <w:rsid w:val="001F1FBF"/>
    <w:rsid w:val="001F28A4"/>
    <w:rsid w:val="001F29FA"/>
    <w:rsid w:val="001F2B80"/>
    <w:rsid w:val="001F2F1C"/>
    <w:rsid w:val="001F3189"/>
    <w:rsid w:val="00201FB8"/>
    <w:rsid w:val="00203FAC"/>
    <w:rsid w:val="0020431C"/>
    <w:rsid w:val="002125A8"/>
    <w:rsid w:val="00212783"/>
    <w:rsid w:val="00212FB7"/>
    <w:rsid w:val="00213CFB"/>
    <w:rsid w:val="0021553C"/>
    <w:rsid w:val="0021557B"/>
    <w:rsid w:val="002174FD"/>
    <w:rsid w:val="00217B42"/>
    <w:rsid w:val="00217BE1"/>
    <w:rsid w:val="002214B9"/>
    <w:rsid w:val="0022172B"/>
    <w:rsid w:val="00224F43"/>
    <w:rsid w:val="002259DD"/>
    <w:rsid w:val="00230F63"/>
    <w:rsid w:val="0023247C"/>
    <w:rsid w:val="00232D6E"/>
    <w:rsid w:val="00234252"/>
    <w:rsid w:val="0023466E"/>
    <w:rsid w:val="00237AC6"/>
    <w:rsid w:val="00244139"/>
    <w:rsid w:val="00244490"/>
    <w:rsid w:val="00245B9C"/>
    <w:rsid w:val="00253499"/>
    <w:rsid w:val="002551A4"/>
    <w:rsid w:val="00255ABF"/>
    <w:rsid w:val="00257664"/>
    <w:rsid w:val="00265151"/>
    <w:rsid w:val="00265C2C"/>
    <w:rsid w:val="00266509"/>
    <w:rsid w:val="00271BA1"/>
    <w:rsid w:val="00271E23"/>
    <w:rsid w:val="00273AC5"/>
    <w:rsid w:val="00273C5D"/>
    <w:rsid w:val="00274BE4"/>
    <w:rsid w:val="002762FA"/>
    <w:rsid w:val="002765A8"/>
    <w:rsid w:val="00277505"/>
    <w:rsid w:val="0028158C"/>
    <w:rsid w:val="002823B6"/>
    <w:rsid w:val="00290C03"/>
    <w:rsid w:val="00294274"/>
    <w:rsid w:val="0029458F"/>
    <w:rsid w:val="002A018F"/>
    <w:rsid w:val="002A0A4B"/>
    <w:rsid w:val="002A0E04"/>
    <w:rsid w:val="002A104C"/>
    <w:rsid w:val="002A1EF7"/>
    <w:rsid w:val="002A494D"/>
    <w:rsid w:val="002A4960"/>
    <w:rsid w:val="002A636A"/>
    <w:rsid w:val="002B0AE0"/>
    <w:rsid w:val="002B1AE6"/>
    <w:rsid w:val="002B1D51"/>
    <w:rsid w:val="002B2560"/>
    <w:rsid w:val="002B2DE8"/>
    <w:rsid w:val="002B30F8"/>
    <w:rsid w:val="002B388A"/>
    <w:rsid w:val="002B5301"/>
    <w:rsid w:val="002B5596"/>
    <w:rsid w:val="002B77D7"/>
    <w:rsid w:val="002C212F"/>
    <w:rsid w:val="002C2F35"/>
    <w:rsid w:val="002C6AA9"/>
    <w:rsid w:val="002C7121"/>
    <w:rsid w:val="002C7485"/>
    <w:rsid w:val="002D24F0"/>
    <w:rsid w:val="002D2641"/>
    <w:rsid w:val="002D2727"/>
    <w:rsid w:val="002D283A"/>
    <w:rsid w:val="002D4543"/>
    <w:rsid w:val="002E3153"/>
    <w:rsid w:val="002E4A02"/>
    <w:rsid w:val="002E5292"/>
    <w:rsid w:val="002E72CA"/>
    <w:rsid w:val="002F1D07"/>
    <w:rsid w:val="002F381E"/>
    <w:rsid w:val="002F600D"/>
    <w:rsid w:val="002F6770"/>
    <w:rsid w:val="002F6F0F"/>
    <w:rsid w:val="002F7B56"/>
    <w:rsid w:val="002F7E47"/>
    <w:rsid w:val="00300AD6"/>
    <w:rsid w:val="00300B1B"/>
    <w:rsid w:val="003019D0"/>
    <w:rsid w:val="003064AF"/>
    <w:rsid w:val="00310A8B"/>
    <w:rsid w:val="00310B68"/>
    <w:rsid w:val="003149AF"/>
    <w:rsid w:val="003160D2"/>
    <w:rsid w:val="003173FC"/>
    <w:rsid w:val="00317C6C"/>
    <w:rsid w:val="00320B80"/>
    <w:rsid w:val="00320CD3"/>
    <w:rsid w:val="00321989"/>
    <w:rsid w:val="00322191"/>
    <w:rsid w:val="00326C2A"/>
    <w:rsid w:val="00326E79"/>
    <w:rsid w:val="0032748A"/>
    <w:rsid w:val="003301B1"/>
    <w:rsid w:val="00331189"/>
    <w:rsid w:val="00331F90"/>
    <w:rsid w:val="0033263D"/>
    <w:rsid w:val="003327CD"/>
    <w:rsid w:val="00332DA8"/>
    <w:rsid w:val="003347FF"/>
    <w:rsid w:val="0033518A"/>
    <w:rsid w:val="00335535"/>
    <w:rsid w:val="003367EF"/>
    <w:rsid w:val="00341AE4"/>
    <w:rsid w:val="003434EE"/>
    <w:rsid w:val="003463DE"/>
    <w:rsid w:val="00346D86"/>
    <w:rsid w:val="003476EE"/>
    <w:rsid w:val="003541DD"/>
    <w:rsid w:val="00356E5B"/>
    <w:rsid w:val="00357C58"/>
    <w:rsid w:val="0036584A"/>
    <w:rsid w:val="00366358"/>
    <w:rsid w:val="0037262F"/>
    <w:rsid w:val="003736C9"/>
    <w:rsid w:val="00380CE9"/>
    <w:rsid w:val="00383B77"/>
    <w:rsid w:val="00384988"/>
    <w:rsid w:val="003872CF"/>
    <w:rsid w:val="0039329A"/>
    <w:rsid w:val="0039782C"/>
    <w:rsid w:val="003A13A6"/>
    <w:rsid w:val="003A2165"/>
    <w:rsid w:val="003A5B4A"/>
    <w:rsid w:val="003A5D95"/>
    <w:rsid w:val="003B0D3A"/>
    <w:rsid w:val="003B2302"/>
    <w:rsid w:val="003B23C5"/>
    <w:rsid w:val="003B2A75"/>
    <w:rsid w:val="003B49B2"/>
    <w:rsid w:val="003B4E23"/>
    <w:rsid w:val="003B6124"/>
    <w:rsid w:val="003B7960"/>
    <w:rsid w:val="003C093A"/>
    <w:rsid w:val="003C0C09"/>
    <w:rsid w:val="003C1ECF"/>
    <w:rsid w:val="003C215B"/>
    <w:rsid w:val="003C2FB5"/>
    <w:rsid w:val="003C7919"/>
    <w:rsid w:val="003D1A61"/>
    <w:rsid w:val="003D24C5"/>
    <w:rsid w:val="003D4594"/>
    <w:rsid w:val="003D4AC4"/>
    <w:rsid w:val="003D63B7"/>
    <w:rsid w:val="003D74C5"/>
    <w:rsid w:val="003E4374"/>
    <w:rsid w:val="003E468B"/>
    <w:rsid w:val="003E62BD"/>
    <w:rsid w:val="003F044F"/>
    <w:rsid w:val="003F0C3A"/>
    <w:rsid w:val="003F15F0"/>
    <w:rsid w:val="003F3228"/>
    <w:rsid w:val="003F5C8C"/>
    <w:rsid w:val="003F63CE"/>
    <w:rsid w:val="003F775A"/>
    <w:rsid w:val="00400E55"/>
    <w:rsid w:val="0040128E"/>
    <w:rsid w:val="004012FC"/>
    <w:rsid w:val="0040216B"/>
    <w:rsid w:val="00420400"/>
    <w:rsid w:val="00420511"/>
    <w:rsid w:val="004252EC"/>
    <w:rsid w:val="00426271"/>
    <w:rsid w:val="00430D39"/>
    <w:rsid w:val="0044015A"/>
    <w:rsid w:val="00441290"/>
    <w:rsid w:val="00442C91"/>
    <w:rsid w:val="00445BF7"/>
    <w:rsid w:val="004465BD"/>
    <w:rsid w:val="00446938"/>
    <w:rsid w:val="004528FA"/>
    <w:rsid w:val="00454608"/>
    <w:rsid w:val="00455290"/>
    <w:rsid w:val="00457E68"/>
    <w:rsid w:val="00461A44"/>
    <w:rsid w:val="00462D26"/>
    <w:rsid w:val="00463132"/>
    <w:rsid w:val="0046385A"/>
    <w:rsid w:val="00466ADA"/>
    <w:rsid w:val="004702BB"/>
    <w:rsid w:val="004711A2"/>
    <w:rsid w:val="0047457F"/>
    <w:rsid w:val="0047494B"/>
    <w:rsid w:val="00476245"/>
    <w:rsid w:val="00477A9B"/>
    <w:rsid w:val="00483035"/>
    <w:rsid w:val="00483843"/>
    <w:rsid w:val="00485000"/>
    <w:rsid w:val="00485940"/>
    <w:rsid w:val="00486C95"/>
    <w:rsid w:val="004877C2"/>
    <w:rsid w:val="0048780C"/>
    <w:rsid w:val="004904B9"/>
    <w:rsid w:val="00496662"/>
    <w:rsid w:val="00497EC1"/>
    <w:rsid w:val="004A2484"/>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A83"/>
    <w:rsid w:val="004C7E15"/>
    <w:rsid w:val="004D2CD1"/>
    <w:rsid w:val="004D3CC0"/>
    <w:rsid w:val="004D4FF6"/>
    <w:rsid w:val="004D5ADD"/>
    <w:rsid w:val="004E4856"/>
    <w:rsid w:val="004E692D"/>
    <w:rsid w:val="004E7230"/>
    <w:rsid w:val="004E754C"/>
    <w:rsid w:val="004E7D87"/>
    <w:rsid w:val="004F2553"/>
    <w:rsid w:val="004F306A"/>
    <w:rsid w:val="004F6B3B"/>
    <w:rsid w:val="00501554"/>
    <w:rsid w:val="00501A2E"/>
    <w:rsid w:val="00502AFE"/>
    <w:rsid w:val="00502E64"/>
    <w:rsid w:val="00502E6B"/>
    <w:rsid w:val="00503AD7"/>
    <w:rsid w:val="00503E89"/>
    <w:rsid w:val="00504E0C"/>
    <w:rsid w:val="00504E13"/>
    <w:rsid w:val="0050715D"/>
    <w:rsid w:val="005109D4"/>
    <w:rsid w:val="00510B58"/>
    <w:rsid w:val="00514CD7"/>
    <w:rsid w:val="005167EC"/>
    <w:rsid w:val="005170DA"/>
    <w:rsid w:val="00520D6A"/>
    <w:rsid w:val="0052118F"/>
    <w:rsid w:val="00522DB6"/>
    <w:rsid w:val="00522E6C"/>
    <w:rsid w:val="00523611"/>
    <w:rsid w:val="005264A7"/>
    <w:rsid w:val="0052792D"/>
    <w:rsid w:val="00527D14"/>
    <w:rsid w:val="005319B2"/>
    <w:rsid w:val="00532402"/>
    <w:rsid w:val="00532C74"/>
    <w:rsid w:val="00534E2E"/>
    <w:rsid w:val="0053559E"/>
    <w:rsid w:val="0054064C"/>
    <w:rsid w:val="00544552"/>
    <w:rsid w:val="00545130"/>
    <w:rsid w:val="0055286A"/>
    <w:rsid w:val="0055411B"/>
    <w:rsid w:val="005548F7"/>
    <w:rsid w:val="00555745"/>
    <w:rsid w:val="00557D4F"/>
    <w:rsid w:val="00557DCD"/>
    <w:rsid w:val="00560ADB"/>
    <w:rsid w:val="0056122E"/>
    <w:rsid w:val="00564077"/>
    <w:rsid w:val="0056484E"/>
    <w:rsid w:val="00566613"/>
    <w:rsid w:val="0056689A"/>
    <w:rsid w:val="00567D8A"/>
    <w:rsid w:val="005764CD"/>
    <w:rsid w:val="00577C4D"/>
    <w:rsid w:val="00580532"/>
    <w:rsid w:val="00581932"/>
    <w:rsid w:val="00593383"/>
    <w:rsid w:val="00593FD1"/>
    <w:rsid w:val="00594485"/>
    <w:rsid w:val="00594854"/>
    <w:rsid w:val="00596072"/>
    <w:rsid w:val="005963BB"/>
    <w:rsid w:val="00596E8A"/>
    <w:rsid w:val="005A3173"/>
    <w:rsid w:val="005A3223"/>
    <w:rsid w:val="005A3DA3"/>
    <w:rsid w:val="005A52C4"/>
    <w:rsid w:val="005A63A1"/>
    <w:rsid w:val="005C4F73"/>
    <w:rsid w:val="005D01E8"/>
    <w:rsid w:val="005D03AB"/>
    <w:rsid w:val="005D401D"/>
    <w:rsid w:val="005D5017"/>
    <w:rsid w:val="005D63FA"/>
    <w:rsid w:val="005D73C7"/>
    <w:rsid w:val="005D773D"/>
    <w:rsid w:val="005E0C2D"/>
    <w:rsid w:val="005E0D82"/>
    <w:rsid w:val="005E0F59"/>
    <w:rsid w:val="005E1333"/>
    <w:rsid w:val="005E3136"/>
    <w:rsid w:val="005E4082"/>
    <w:rsid w:val="005E507D"/>
    <w:rsid w:val="005F0AD0"/>
    <w:rsid w:val="005F1A9B"/>
    <w:rsid w:val="00601A91"/>
    <w:rsid w:val="00602BA3"/>
    <w:rsid w:val="00605B63"/>
    <w:rsid w:val="00605F9A"/>
    <w:rsid w:val="00606442"/>
    <w:rsid w:val="00606EED"/>
    <w:rsid w:val="006123DE"/>
    <w:rsid w:val="00612A95"/>
    <w:rsid w:val="00612E34"/>
    <w:rsid w:val="00613D1D"/>
    <w:rsid w:val="00614159"/>
    <w:rsid w:val="006158A3"/>
    <w:rsid w:val="00616C5F"/>
    <w:rsid w:val="00616DAC"/>
    <w:rsid w:val="00617725"/>
    <w:rsid w:val="00617C00"/>
    <w:rsid w:val="0062054D"/>
    <w:rsid w:val="00620B56"/>
    <w:rsid w:val="00620B67"/>
    <w:rsid w:val="006263BF"/>
    <w:rsid w:val="0062748A"/>
    <w:rsid w:val="00630A2C"/>
    <w:rsid w:val="0063682E"/>
    <w:rsid w:val="00640088"/>
    <w:rsid w:val="006425A1"/>
    <w:rsid w:val="00642672"/>
    <w:rsid w:val="00642DA8"/>
    <w:rsid w:val="006436CD"/>
    <w:rsid w:val="006466E5"/>
    <w:rsid w:val="00651169"/>
    <w:rsid w:val="00653D69"/>
    <w:rsid w:val="006552E6"/>
    <w:rsid w:val="00655794"/>
    <w:rsid w:val="00655E18"/>
    <w:rsid w:val="00657C63"/>
    <w:rsid w:val="0066173A"/>
    <w:rsid w:val="00661CBC"/>
    <w:rsid w:val="00662B85"/>
    <w:rsid w:val="006632FB"/>
    <w:rsid w:val="006670BE"/>
    <w:rsid w:val="0066790A"/>
    <w:rsid w:val="00670A76"/>
    <w:rsid w:val="006711AA"/>
    <w:rsid w:val="00672B57"/>
    <w:rsid w:val="00673F1F"/>
    <w:rsid w:val="00675622"/>
    <w:rsid w:val="0067747D"/>
    <w:rsid w:val="006818D5"/>
    <w:rsid w:val="00681CA4"/>
    <w:rsid w:val="006825E1"/>
    <w:rsid w:val="00683092"/>
    <w:rsid w:val="0069039D"/>
    <w:rsid w:val="006906DB"/>
    <w:rsid w:val="00691900"/>
    <w:rsid w:val="00691E6C"/>
    <w:rsid w:val="0069342D"/>
    <w:rsid w:val="00693DFB"/>
    <w:rsid w:val="0069501D"/>
    <w:rsid w:val="00696129"/>
    <w:rsid w:val="00697CF2"/>
    <w:rsid w:val="00697D16"/>
    <w:rsid w:val="006A12A5"/>
    <w:rsid w:val="006A2515"/>
    <w:rsid w:val="006A343B"/>
    <w:rsid w:val="006A5E20"/>
    <w:rsid w:val="006A65D2"/>
    <w:rsid w:val="006A7D36"/>
    <w:rsid w:val="006B0D94"/>
    <w:rsid w:val="006B307E"/>
    <w:rsid w:val="006B41A7"/>
    <w:rsid w:val="006B485D"/>
    <w:rsid w:val="006B48E5"/>
    <w:rsid w:val="006C0C45"/>
    <w:rsid w:val="006C334C"/>
    <w:rsid w:val="006C6C10"/>
    <w:rsid w:val="006C708E"/>
    <w:rsid w:val="006D14E7"/>
    <w:rsid w:val="006D4444"/>
    <w:rsid w:val="006D6493"/>
    <w:rsid w:val="006D6EC7"/>
    <w:rsid w:val="006E16A5"/>
    <w:rsid w:val="006E1BCD"/>
    <w:rsid w:val="006E2732"/>
    <w:rsid w:val="006E59CD"/>
    <w:rsid w:val="006F0A71"/>
    <w:rsid w:val="006F40C2"/>
    <w:rsid w:val="006F5125"/>
    <w:rsid w:val="006F733D"/>
    <w:rsid w:val="00700765"/>
    <w:rsid w:val="00701E62"/>
    <w:rsid w:val="00702B6F"/>
    <w:rsid w:val="00704069"/>
    <w:rsid w:val="00706A2F"/>
    <w:rsid w:val="0070718E"/>
    <w:rsid w:val="00707278"/>
    <w:rsid w:val="00707E52"/>
    <w:rsid w:val="00710173"/>
    <w:rsid w:val="00710259"/>
    <w:rsid w:val="0071031F"/>
    <w:rsid w:val="0071340B"/>
    <w:rsid w:val="0071436D"/>
    <w:rsid w:val="00715033"/>
    <w:rsid w:val="00715BBB"/>
    <w:rsid w:val="00716916"/>
    <w:rsid w:val="007174BB"/>
    <w:rsid w:val="0072025D"/>
    <w:rsid w:val="00722F7E"/>
    <w:rsid w:val="00723328"/>
    <w:rsid w:val="00724F4D"/>
    <w:rsid w:val="00726379"/>
    <w:rsid w:val="0073137C"/>
    <w:rsid w:val="00733E61"/>
    <w:rsid w:val="007340B9"/>
    <w:rsid w:val="007353D3"/>
    <w:rsid w:val="00735C1E"/>
    <w:rsid w:val="0074156B"/>
    <w:rsid w:val="00741619"/>
    <w:rsid w:val="00743230"/>
    <w:rsid w:val="00747092"/>
    <w:rsid w:val="007526E6"/>
    <w:rsid w:val="00754DF9"/>
    <w:rsid w:val="007555E8"/>
    <w:rsid w:val="00755CC5"/>
    <w:rsid w:val="00757766"/>
    <w:rsid w:val="0076318F"/>
    <w:rsid w:val="0076420C"/>
    <w:rsid w:val="0076443B"/>
    <w:rsid w:val="00771D07"/>
    <w:rsid w:val="00773BE3"/>
    <w:rsid w:val="007743DD"/>
    <w:rsid w:val="00774E2C"/>
    <w:rsid w:val="007750D1"/>
    <w:rsid w:val="0077518D"/>
    <w:rsid w:val="007753C2"/>
    <w:rsid w:val="0077793D"/>
    <w:rsid w:val="0078302C"/>
    <w:rsid w:val="007838B8"/>
    <w:rsid w:val="007915BA"/>
    <w:rsid w:val="00791844"/>
    <w:rsid w:val="00792BA7"/>
    <w:rsid w:val="00797072"/>
    <w:rsid w:val="007979BD"/>
    <w:rsid w:val="007A6A2F"/>
    <w:rsid w:val="007B024E"/>
    <w:rsid w:val="007B163B"/>
    <w:rsid w:val="007B3DDC"/>
    <w:rsid w:val="007B72A6"/>
    <w:rsid w:val="007C06D2"/>
    <w:rsid w:val="007C08E0"/>
    <w:rsid w:val="007C0F57"/>
    <w:rsid w:val="007C12E2"/>
    <w:rsid w:val="007C40B6"/>
    <w:rsid w:val="007C729F"/>
    <w:rsid w:val="007D503D"/>
    <w:rsid w:val="007D59E7"/>
    <w:rsid w:val="007D5F2A"/>
    <w:rsid w:val="007D6576"/>
    <w:rsid w:val="007E1D28"/>
    <w:rsid w:val="007E490F"/>
    <w:rsid w:val="007E7D83"/>
    <w:rsid w:val="007F0021"/>
    <w:rsid w:val="007F2641"/>
    <w:rsid w:val="007F7C36"/>
    <w:rsid w:val="008055AF"/>
    <w:rsid w:val="008057CD"/>
    <w:rsid w:val="00806796"/>
    <w:rsid w:val="00810167"/>
    <w:rsid w:val="0081177B"/>
    <w:rsid w:val="00811CC0"/>
    <w:rsid w:val="00813266"/>
    <w:rsid w:val="00813868"/>
    <w:rsid w:val="00814749"/>
    <w:rsid w:val="008151D6"/>
    <w:rsid w:val="00821527"/>
    <w:rsid w:val="00822696"/>
    <w:rsid w:val="008242A0"/>
    <w:rsid w:val="00825A6C"/>
    <w:rsid w:val="0082617E"/>
    <w:rsid w:val="008268BB"/>
    <w:rsid w:val="00826F6D"/>
    <w:rsid w:val="008306F3"/>
    <w:rsid w:val="00830E40"/>
    <w:rsid w:val="00832D9A"/>
    <w:rsid w:val="0083400A"/>
    <w:rsid w:val="0083537D"/>
    <w:rsid w:val="00835C62"/>
    <w:rsid w:val="008368A1"/>
    <w:rsid w:val="00840EF7"/>
    <w:rsid w:val="00841450"/>
    <w:rsid w:val="008424DC"/>
    <w:rsid w:val="00844C0A"/>
    <w:rsid w:val="00846056"/>
    <w:rsid w:val="0084681F"/>
    <w:rsid w:val="00847EC0"/>
    <w:rsid w:val="00855C81"/>
    <w:rsid w:val="00855FD6"/>
    <w:rsid w:val="00856DDD"/>
    <w:rsid w:val="00860ADD"/>
    <w:rsid w:val="008624EE"/>
    <w:rsid w:val="0086261D"/>
    <w:rsid w:val="00863E68"/>
    <w:rsid w:val="00864313"/>
    <w:rsid w:val="008647B5"/>
    <w:rsid w:val="00867D64"/>
    <w:rsid w:val="008745F3"/>
    <w:rsid w:val="00875DCB"/>
    <w:rsid w:val="0087755A"/>
    <w:rsid w:val="00882085"/>
    <w:rsid w:val="00883188"/>
    <w:rsid w:val="00884A0C"/>
    <w:rsid w:val="00886ACA"/>
    <w:rsid w:val="0089031E"/>
    <w:rsid w:val="0089460B"/>
    <w:rsid w:val="00897D58"/>
    <w:rsid w:val="00897F22"/>
    <w:rsid w:val="008A0B39"/>
    <w:rsid w:val="008A17A3"/>
    <w:rsid w:val="008A1956"/>
    <w:rsid w:val="008A1D52"/>
    <w:rsid w:val="008A1E85"/>
    <w:rsid w:val="008A2419"/>
    <w:rsid w:val="008A4937"/>
    <w:rsid w:val="008A50F1"/>
    <w:rsid w:val="008A59D9"/>
    <w:rsid w:val="008A643E"/>
    <w:rsid w:val="008A6819"/>
    <w:rsid w:val="008B2EC0"/>
    <w:rsid w:val="008B6DCF"/>
    <w:rsid w:val="008C76BF"/>
    <w:rsid w:val="008D0945"/>
    <w:rsid w:val="008D13DB"/>
    <w:rsid w:val="008D1409"/>
    <w:rsid w:val="008D15CC"/>
    <w:rsid w:val="008D1729"/>
    <w:rsid w:val="008D1B5C"/>
    <w:rsid w:val="008D3C82"/>
    <w:rsid w:val="008D447E"/>
    <w:rsid w:val="008D6ACF"/>
    <w:rsid w:val="008D726F"/>
    <w:rsid w:val="008D7A41"/>
    <w:rsid w:val="008E2C72"/>
    <w:rsid w:val="008E3680"/>
    <w:rsid w:val="008E5870"/>
    <w:rsid w:val="008E77E4"/>
    <w:rsid w:val="008E7BFC"/>
    <w:rsid w:val="008F0213"/>
    <w:rsid w:val="008F07ED"/>
    <w:rsid w:val="008F11F8"/>
    <w:rsid w:val="008F1434"/>
    <w:rsid w:val="008F2BB9"/>
    <w:rsid w:val="008F2CBE"/>
    <w:rsid w:val="008F3358"/>
    <w:rsid w:val="008F3988"/>
    <w:rsid w:val="008F3D6A"/>
    <w:rsid w:val="008F44E5"/>
    <w:rsid w:val="008F54C3"/>
    <w:rsid w:val="008F7355"/>
    <w:rsid w:val="009023DC"/>
    <w:rsid w:val="009027C5"/>
    <w:rsid w:val="00904413"/>
    <w:rsid w:val="009053E0"/>
    <w:rsid w:val="009064D7"/>
    <w:rsid w:val="009067B7"/>
    <w:rsid w:val="00906D85"/>
    <w:rsid w:val="0090775A"/>
    <w:rsid w:val="00907DFD"/>
    <w:rsid w:val="00912996"/>
    <w:rsid w:val="00913C99"/>
    <w:rsid w:val="009179BC"/>
    <w:rsid w:val="00917D69"/>
    <w:rsid w:val="00920B6D"/>
    <w:rsid w:val="00926560"/>
    <w:rsid w:val="00926B15"/>
    <w:rsid w:val="0092756A"/>
    <w:rsid w:val="00930291"/>
    <w:rsid w:val="00930937"/>
    <w:rsid w:val="009324A6"/>
    <w:rsid w:val="00933E6C"/>
    <w:rsid w:val="00935A6E"/>
    <w:rsid w:val="00937958"/>
    <w:rsid w:val="009406E5"/>
    <w:rsid w:val="00941602"/>
    <w:rsid w:val="00942160"/>
    <w:rsid w:val="00946921"/>
    <w:rsid w:val="00950849"/>
    <w:rsid w:val="0095146F"/>
    <w:rsid w:val="0095217A"/>
    <w:rsid w:val="00952CCB"/>
    <w:rsid w:val="00956258"/>
    <w:rsid w:val="00957944"/>
    <w:rsid w:val="009602C5"/>
    <w:rsid w:val="00962223"/>
    <w:rsid w:val="0096252B"/>
    <w:rsid w:val="00963F70"/>
    <w:rsid w:val="0096406A"/>
    <w:rsid w:val="00964A9F"/>
    <w:rsid w:val="0096592F"/>
    <w:rsid w:val="00966D0D"/>
    <w:rsid w:val="00967732"/>
    <w:rsid w:val="0096783C"/>
    <w:rsid w:val="009722B3"/>
    <w:rsid w:val="00973E24"/>
    <w:rsid w:val="00974C21"/>
    <w:rsid w:val="00975948"/>
    <w:rsid w:val="00977BF3"/>
    <w:rsid w:val="009803E4"/>
    <w:rsid w:val="009809D4"/>
    <w:rsid w:val="00980B0E"/>
    <w:rsid w:val="00982B39"/>
    <w:rsid w:val="009836A3"/>
    <w:rsid w:val="009855A8"/>
    <w:rsid w:val="00985D1A"/>
    <w:rsid w:val="00986EA9"/>
    <w:rsid w:val="009913F4"/>
    <w:rsid w:val="00991782"/>
    <w:rsid w:val="00991D80"/>
    <w:rsid w:val="009937F7"/>
    <w:rsid w:val="0099465B"/>
    <w:rsid w:val="009951A1"/>
    <w:rsid w:val="00996244"/>
    <w:rsid w:val="00996300"/>
    <w:rsid w:val="00997A44"/>
    <w:rsid w:val="009A0CDD"/>
    <w:rsid w:val="009A3168"/>
    <w:rsid w:val="009A4BDF"/>
    <w:rsid w:val="009A5D04"/>
    <w:rsid w:val="009A61CA"/>
    <w:rsid w:val="009A7FCC"/>
    <w:rsid w:val="009B0C64"/>
    <w:rsid w:val="009B0F67"/>
    <w:rsid w:val="009B3F8C"/>
    <w:rsid w:val="009B5916"/>
    <w:rsid w:val="009B682D"/>
    <w:rsid w:val="009C43E0"/>
    <w:rsid w:val="009C703C"/>
    <w:rsid w:val="009D206E"/>
    <w:rsid w:val="009D3CAA"/>
    <w:rsid w:val="009D507A"/>
    <w:rsid w:val="009D6532"/>
    <w:rsid w:val="009D71FD"/>
    <w:rsid w:val="009E2588"/>
    <w:rsid w:val="009E2E8E"/>
    <w:rsid w:val="009E40E1"/>
    <w:rsid w:val="009F0EFA"/>
    <w:rsid w:val="009F2F83"/>
    <w:rsid w:val="009F41D3"/>
    <w:rsid w:val="009F4E46"/>
    <w:rsid w:val="009F5B65"/>
    <w:rsid w:val="009F5F2E"/>
    <w:rsid w:val="00A00EBE"/>
    <w:rsid w:val="00A01432"/>
    <w:rsid w:val="00A042F5"/>
    <w:rsid w:val="00A04DE4"/>
    <w:rsid w:val="00A04FB7"/>
    <w:rsid w:val="00A05E4D"/>
    <w:rsid w:val="00A06225"/>
    <w:rsid w:val="00A110D1"/>
    <w:rsid w:val="00A12587"/>
    <w:rsid w:val="00A128E6"/>
    <w:rsid w:val="00A144D3"/>
    <w:rsid w:val="00A22AC3"/>
    <w:rsid w:val="00A23F3F"/>
    <w:rsid w:val="00A24067"/>
    <w:rsid w:val="00A24A4B"/>
    <w:rsid w:val="00A2744D"/>
    <w:rsid w:val="00A30D16"/>
    <w:rsid w:val="00A314B8"/>
    <w:rsid w:val="00A34E6C"/>
    <w:rsid w:val="00A34FD0"/>
    <w:rsid w:val="00A3567B"/>
    <w:rsid w:val="00A36398"/>
    <w:rsid w:val="00A37C8D"/>
    <w:rsid w:val="00A4020E"/>
    <w:rsid w:val="00A40FB5"/>
    <w:rsid w:val="00A42826"/>
    <w:rsid w:val="00A429B3"/>
    <w:rsid w:val="00A44EC1"/>
    <w:rsid w:val="00A46A02"/>
    <w:rsid w:val="00A510E4"/>
    <w:rsid w:val="00A5273B"/>
    <w:rsid w:val="00A5356A"/>
    <w:rsid w:val="00A53A9D"/>
    <w:rsid w:val="00A55FEE"/>
    <w:rsid w:val="00A57422"/>
    <w:rsid w:val="00A62C1A"/>
    <w:rsid w:val="00A6426D"/>
    <w:rsid w:val="00A665C1"/>
    <w:rsid w:val="00A673A4"/>
    <w:rsid w:val="00A7001A"/>
    <w:rsid w:val="00A70622"/>
    <w:rsid w:val="00A70977"/>
    <w:rsid w:val="00A70D58"/>
    <w:rsid w:val="00A72DEE"/>
    <w:rsid w:val="00A744F9"/>
    <w:rsid w:val="00A77613"/>
    <w:rsid w:val="00A77B87"/>
    <w:rsid w:val="00A81851"/>
    <w:rsid w:val="00A83483"/>
    <w:rsid w:val="00A8390C"/>
    <w:rsid w:val="00A849CD"/>
    <w:rsid w:val="00A8509D"/>
    <w:rsid w:val="00A86AE0"/>
    <w:rsid w:val="00A91362"/>
    <w:rsid w:val="00A9151C"/>
    <w:rsid w:val="00A919C6"/>
    <w:rsid w:val="00A928BD"/>
    <w:rsid w:val="00A97DE9"/>
    <w:rsid w:val="00AA12CD"/>
    <w:rsid w:val="00AA4D1C"/>
    <w:rsid w:val="00AA52FD"/>
    <w:rsid w:val="00AA7006"/>
    <w:rsid w:val="00AB5856"/>
    <w:rsid w:val="00AC193C"/>
    <w:rsid w:val="00AC30C1"/>
    <w:rsid w:val="00AC4924"/>
    <w:rsid w:val="00AC4DE5"/>
    <w:rsid w:val="00AC4F77"/>
    <w:rsid w:val="00AC5206"/>
    <w:rsid w:val="00AD215B"/>
    <w:rsid w:val="00AD3106"/>
    <w:rsid w:val="00AD4322"/>
    <w:rsid w:val="00AD505D"/>
    <w:rsid w:val="00AE11A5"/>
    <w:rsid w:val="00AE13E2"/>
    <w:rsid w:val="00AE22D3"/>
    <w:rsid w:val="00AE4CC9"/>
    <w:rsid w:val="00AE5A49"/>
    <w:rsid w:val="00AF11D8"/>
    <w:rsid w:val="00AF220A"/>
    <w:rsid w:val="00AF4E94"/>
    <w:rsid w:val="00AF5867"/>
    <w:rsid w:val="00AF62DF"/>
    <w:rsid w:val="00AF68CC"/>
    <w:rsid w:val="00AF70D7"/>
    <w:rsid w:val="00B01FF4"/>
    <w:rsid w:val="00B0290F"/>
    <w:rsid w:val="00B029F9"/>
    <w:rsid w:val="00B0326D"/>
    <w:rsid w:val="00B04D2D"/>
    <w:rsid w:val="00B06478"/>
    <w:rsid w:val="00B07533"/>
    <w:rsid w:val="00B07CFB"/>
    <w:rsid w:val="00B1059E"/>
    <w:rsid w:val="00B1303E"/>
    <w:rsid w:val="00B14A36"/>
    <w:rsid w:val="00B16273"/>
    <w:rsid w:val="00B170A5"/>
    <w:rsid w:val="00B176C8"/>
    <w:rsid w:val="00B17EE5"/>
    <w:rsid w:val="00B205AA"/>
    <w:rsid w:val="00B22E84"/>
    <w:rsid w:val="00B233AD"/>
    <w:rsid w:val="00B2341E"/>
    <w:rsid w:val="00B23E25"/>
    <w:rsid w:val="00B24735"/>
    <w:rsid w:val="00B2483B"/>
    <w:rsid w:val="00B25F75"/>
    <w:rsid w:val="00B26B3F"/>
    <w:rsid w:val="00B2778F"/>
    <w:rsid w:val="00B27F1F"/>
    <w:rsid w:val="00B317ED"/>
    <w:rsid w:val="00B327E2"/>
    <w:rsid w:val="00B33635"/>
    <w:rsid w:val="00B42AF4"/>
    <w:rsid w:val="00B43E90"/>
    <w:rsid w:val="00B45D93"/>
    <w:rsid w:val="00B467DC"/>
    <w:rsid w:val="00B4696B"/>
    <w:rsid w:val="00B5167B"/>
    <w:rsid w:val="00B5392A"/>
    <w:rsid w:val="00B56118"/>
    <w:rsid w:val="00B566E1"/>
    <w:rsid w:val="00B66B82"/>
    <w:rsid w:val="00B6773F"/>
    <w:rsid w:val="00B70035"/>
    <w:rsid w:val="00B707A9"/>
    <w:rsid w:val="00B70EB3"/>
    <w:rsid w:val="00B72906"/>
    <w:rsid w:val="00B7525E"/>
    <w:rsid w:val="00B760FB"/>
    <w:rsid w:val="00B767AB"/>
    <w:rsid w:val="00B801BA"/>
    <w:rsid w:val="00B812D6"/>
    <w:rsid w:val="00B82F59"/>
    <w:rsid w:val="00B8435E"/>
    <w:rsid w:val="00B84D5C"/>
    <w:rsid w:val="00B85AF6"/>
    <w:rsid w:val="00B86108"/>
    <w:rsid w:val="00B94AF7"/>
    <w:rsid w:val="00B956ED"/>
    <w:rsid w:val="00B97961"/>
    <w:rsid w:val="00BA2DA8"/>
    <w:rsid w:val="00BA347C"/>
    <w:rsid w:val="00BA3659"/>
    <w:rsid w:val="00BA6E8C"/>
    <w:rsid w:val="00BB0E24"/>
    <w:rsid w:val="00BB3469"/>
    <w:rsid w:val="00BB5C49"/>
    <w:rsid w:val="00BB6240"/>
    <w:rsid w:val="00BB6285"/>
    <w:rsid w:val="00BB6591"/>
    <w:rsid w:val="00BB69F5"/>
    <w:rsid w:val="00BB737F"/>
    <w:rsid w:val="00BB7EC3"/>
    <w:rsid w:val="00BC470E"/>
    <w:rsid w:val="00BC4B9A"/>
    <w:rsid w:val="00BD02C3"/>
    <w:rsid w:val="00BD6F0C"/>
    <w:rsid w:val="00BD7483"/>
    <w:rsid w:val="00BD784C"/>
    <w:rsid w:val="00BD7911"/>
    <w:rsid w:val="00BE020A"/>
    <w:rsid w:val="00BE0543"/>
    <w:rsid w:val="00BE13DF"/>
    <w:rsid w:val="00BE17A1"/>
    <w:rsid w:val="00BE25D7"/>
    <w:rsid w:val="00BF092C"/>
    <w:rsid w:val="00BF1083"/>
    <w:rsid w:val="00BF27A0"/>
    <w:rsid w:val="00BF498E"/>
    <w:rsid w:val="00BF4CB6"/>
    <w:rsid w:val="00BF5476"/>
    <w:rsid w:val="00C00DA7"/>
    <w:rsid w:val="00C04CDE"/>
    <w:rsid w:val="00C068A6"/>
    <w:rsid w:val="00C12768"/>
    <w:rsid w:val="00C12D70"/>
    <w:rsid w:val="00C16724"/>
    <w:rsid w:val="00C21B09"/>
    <w:rsid w:val="00C22B99"/>
    <w:rsid w:val="00C25C5D"/>
    <w:rsid w:val="00C2673A"/>
    <w:rsid w:val="00C27B58"/>
    <w:rsid w:val="00C27C1C"/>
    <w:rsid w:val="00C33186"/>
    <w:rsid w:val="00C35996"/>
    <w:rsid w:val="00C4181A"/>
    <w:rsid w:val="00C41C5B"/>
    <w:rsid w:val="00C431F7"/>
    <w:rsid w:val="00C4747E"/>
    <w:rsid w:val="00C5133E"/>
    <w:rsid w:val="00C5151E"/>
    <w:rsid w:val="00C5342C"/>
    <w:rsid w:val="00C53B2B"/>
    <w:rsid w:val="00C57465"/>
    <w:rsid w:val="00C60272"/>
    <w:rsid w:val="00C603D4"/>
    <w:rsid w:val="00C61867"/>
    <w:rsid w:val="00C6256A"/>
    <w:rsid w:val="00C627B8"/>
    <w:rsid w:val="00C64EBC"/>
    <w:rsid w:val="00C664D2"/>
    <w:rsid w:val="00C710E2"/>
    <w:rsid w:val="00C71C3F"/>
    <w:rsid w:val="00C725D0"/>
    <w:rsid w:val="00C7409E"/>
    <w:rsid w:val="00C74691"/>
    <w:rsid w:val="00C74D6D"/>
    <w:rsid w:val="00C75600"/>
    <w:rsid w:val="00C76E76"/>
    <w:rsid w:val="00C77891"/>
    <w:rsid w:val="00C829A9"/>
    <w:rsid w:val="00C865F1"/>
    <w:rsid w:val="00C87B80"/>
    <w:rsid w:val="00C90A18"/>
    <w:rsid w:val="00C91449"/>
    <w:rsid w:val="00C92D10"/>
    <w:rsid w:val="00C948B3"/>
    <w:rsid w:val="00C96796"/>
    <w:rsid w:val="00CA48D9"/>
    <w:rsid w:val="00CA7B5D"/>
    <w:rsid w:val="00CB1193"/>
    <w:rsid w:val="00CB4767"/>
    <w:rsid w:val="00CB493D"/>
    <w:rsid w:val="00CC3B97"/>
    <w:rsid w:val="00CD04F3"/>
    <w:rsid w:val="00CD7C0B"/>
    <w:rsid w:val="00CE10C4"/>
    <w:rsid w:val="00CE1425"/>
    <w:rsid w:val="00CE27B5"/>
    <w:rsid w:val="00CE6014"/>
    <w:rsid w:val="00CE6DAF"/>
    <w:rsid w:val="00CF410A"/>
    <w:rsid w:val="00CF50FD"/>
    <w:rsid w:val="00D0321E"/>
    <w:rsid w:val="00D05CFF"/>
    <w:rsid w:val="00D069EB"/>
    <w:rsid w:val="00D07A8A"/>
    <w:rsid w:val="00D11199"/>
    <w:rsid w:val="00D1455A"/>
    <w:rsid w:val="00D14A70"/>
    <w:rsid w:val="00D22093"/>
    <w:rsid w:val="00D234F0"/>
    <w:rsid w:val="00D31150"/>
    <w:rsid w:val="00D3138B"/>
    <w:rsid w:val="00D31FCE"/>
    <w:rsid w:val="00D3280C"/>
    <w:rsid w:val="00D3406A"/>
    <w:rsid w:val="00D40B11"/>
    <w:rsid w:val="00D419EA"/>
    <w:rsid w:val="00D429EC"/>
    <w:rsid w:val="00D434F0"/>
    <w:rsid w:val="00D441F1"/>
    <w:rsid w:val="00D4572C"/>
    <w:rsid w:val="00D469B2"/>
    <w:rsid w:val="00D46EEF"/>
    <w:rsid w:val="00D54B09"/>
    <w:rsid w:val="00D6243E"/>
    <w:rsid w:val="00D635EB"/>
    <w:rsid w:val="00D65658"/>
    <w:rsid w:val="00D67EB2"/>
    <w:rsid w:val="00D72654"/>
    <w:rsid w:val="00D72B6F"/>
    <w:rsid w:val="00D741EB"/>
    <w:rsid w:val="00D7679C"/>
    <w:rsid w:val="00D820F3"/>
    <w:rsid w:val="00D83605"/>
    <w:rsid w:val="00D84934"/>
    <w:rsid w:val="00D866EB"/>
    <w:rsid w:val="00D8761E"/>
    <w:rsid w:val="00D87D1A"/>
    <w:rsid w:val="00D91271"/>
    <w:rsid w:val="00D919F5"/>
    <w:rsid w:val="00D945F6"/>
    <w:rsid w:val="00D94F03"/>
    <w:rsid w:val="00D95161"/>
    <w:rsid w:val="00DA03D3"/>
    <w:rsid w:val="00DA0A82"/>
    <w:rsid w:val="00DA0D14"/>
    <w:rsid w:val="00DA19E3"/>
    <w:rsid w:val="00DA1FC9"/>
    <w:rsid w:val="00DA2CB5"/>
    <w:rsid w:val="00DA4BAC"/>
    <w:rsid w:val="00DB0151"/>
    <w:rsid w:val="00DB50E1"/>
    <w:rsid w:val="00DC0566"/>
    <w:rsid w:val="00DC1499"/>
    <w:rsid w:val="00DC20B0"/>
    <w:rsid w:val="00DC2C3E"/>
    <w:rsid w:val="00DC3137"/>
    <w:rsid w:val="00DC4880"/>
    <w:rsid w:val="00DC6E37"/>
    <w:rsid w:val="00DD1A9C"/>
    <w:rsid w:val="00DD1FEC"/>
    <w:rsid w:val="00DD2C7E"/>
    <w:rsid w:val="00DD42AB"/>
    <w:rsid w:val="00DD78BD"/>
    <w:rsid w:val="00DE06AF"/>
    <w:rsid w:val="00DE63DA"/>
    <w:rsid w:val="00DE6D27"/>
    <w:rsid w:val="00DE74E6"/>
    <w:rsid w:val="00DF0102"/>
    <w:rsid w:val="00DF01F8"/>
    <w:rsid w:val="00DF021D"/>
    <w:rsid w:val="00DF096D"/>
    <w:rsid w:val="00DF217D"/>
    <w:rsid w:val="00DF26A7"/>
    <w:rsid w:val="00DF3277"/>
    <w:rsid w:val="00DF77A1"/>
    <w:rsid w:val="00DF7919"/>
    <w:rsid w:val="00E0207E"/>
    <w:rsid w:val="00E02AE6"/>
    <w:rsid w:val="00E03912"/>
    <w:rsid w:val="00E04748"/>
    <w:rsid w:val="00E078D9"/>
    <w:rsid w:val="00E079E4"/>
    <w:rsid w:val="00E10293"/>
    <w:rsid w:val="00E103A0"/>
    <w:rsid w:val="00E13E60"/>
    <w:rsid w:val="00E15627"/>
    <w:rsid w:val="00E164B3"/>
    <w:rsid w:val="00E16910"/>
    <w:rsid w:val="00E21CFC"/>
    <w:rsid w:val="00E229E0"/>
    <w:rsid w:val="00E239E2"/>
    <w:rsid w:val="00E24E09"/>
    <w:rsid w:val="00E27234"/>
    <w:rsid w:val="00E31B40"/>
    <w:rsid w:val="00E3495C"/>
    <w:rsid w:val="00E42BDB"/>
    <w:rsid w:val="00E471D6"/>
    <w:rsid w:val="00E5726D"/>
    <w:rsid w:val="00E57EEB"/>
    <w:rsid w:val="00E62D94"/>
    <w:rsid w:val="00E62ECC"/>
    <w:rsid w:val="00E64F37"/>
    <w:rsid w:val="00E65091"/>
    <w:rsid w:val="00E65E54"/>
    <w:rsid w:val="00E661C7"/>
    <w:rsid w:val="00E70430"/>
    <w:rsid w:val="00E732C4"/>
    <w:rsid w:val="00E74E41"/>
    <w:rsid w:val="00E80155"/>
    <w:rsid w:val="00E8109A"/>
    <w:rsid w:val="00E8134B"/>
    <w:rsid w:val="00E81E0D"/>
    <w:rsid w:val="00E81F28"/>
    <w:rsid w:val="00E83426"/>
    <w:rsid w:val="00E84320"/>
    <w:rsid w:val="00E848C0"/>
    <w:rsid w:val="00E84F84"/>
    <w:rsid w:val="00E85D04"/>
    <w:rsid w:val="00E86F92"/>
    <w:rsid w:val="00E91B96"/>
    <w:rsid w:val="00E935DA"/>
    <w:rsid w:val="00E93D1E"/>
    <w:rsid w:val="00E941A1"/>
    <w:rsid w:val="00E95CE3"/>
    <w:rsid w:val="00EA0856"/>
    <w:rsid w:val="00EA0B77"/>
    <w:rsid w:val="00EA252F"/>
    <w:rsid w:val="00EA2825"/>
    <w:rsid w:val="00EA6518"/>
    <w:rsid w:val="00EA71A2"/>
    <w:rsid w:val="00EA7466"/>
    <w:rsid w:val="00EA7EDE"/>
    <w:rsid w:val="00EB0B63"/>
    <w:rsid w:val="00EB11DA"/>
    <w:rsid w:val="00EB1936"/>
    <w:rsid w:val="00EB3545"/>
    <w:rsid w:val="00EB37BE"/>
    <w:rsid w:val="00EB4105"/>
    <w:rsid w:val="00EB4BAE"/>
    <w:rsid w:val="00EB5088"/>
    <w:rsid w:val="00EB5A79"/>
    <w:rsid w:val="00EC2726"/>
    <w:rsid w:val="00EC6811"/>
    <w:rsid w:val="00ED1644"/>
    <w:rsid w:val="00ED2593"/>
    <w:rsid w:val="00ED2D59"/>
    <w:rsid w:val="00ED7D55"/>
    <w:rsid w:val="00ED7D9C"/>
    <w:rsid w:val="00EE1BB4"/>
    <w:rsid w:val="00EE31A2"/>
    <w:rsid w:val="00EF0069"/>
    <w:rsid w:val="00EF44A0"/>
    <w:rsid w:val="00EF4580"/>
    <w:rsid w:val="00EF4FED"/>
    <w:rsid w:val="00EF5F45"/>
    <w:rsid w:val="00EF5FBA"/>
    <w:rsid w:val="00EF6843"/>
    <w:rsid w:val="00EF6FB3"/>
    <w:rsid w:val="00F007C6"/>
    <w:rsid w:val="00F0172E"/>
    <w:rsid w:val="00F0457F"/>
    <w:rsid w:val="00F050BD"/>
    <w:rsid w:val="00F05657"/>
    <w:rsid w:val="00F05AB0"/>
    <w:rsid w:val="00F124D5"/>
    <w:rsid w:val="00F12C74"/>
    <w:rsid w:val="00F13223"/>
    <w:rsid w:val="00F1559A"/>
    <w:rsid w:val="00F16E2D"/>
    <w:rsid w:val="00F17CB1"/>
    <w:rsid w:val="00F17ED6"/>
    <w:rsid w:val="00F20676"/>
    <w:rsid w:val="00F209E2"/>
    <w:rsid w:val="00F23533"/>
    <w:rsid w:val="00F25578"/>
    <w:rsid w:val="00F258E5"/>
    <w:rsid w:val="00F25B9C"/>
    <w:rsid w:val="00F2675A"/>
    <w:rsid w:val="00F26CC6"/>
    <w:rsid w:val="00F300BC"/>
    <w:rsid w:val="00F3263C"/>
    <w:rsid w:val="00F3334E"/>
    <w:rsid w:val="00F3428D"/>
    <w:rsid w:val="00F36CCB"/>
    <w:rsid w:val="00F374E5"/>
    <w:rsid w:val="00F37B93"/>
    <w:rsid w:val="00F37BAD"/>
    <w:rsid w:val="00F37ECA"/>
    <w:rsid w:val="00F40A1C"/>
    <w:rsid w:val="00F43AF2"/>
    <w:rsid w:val="00F45216"/>
    <w:rsid w:val="00F46611"/>
    <w:rsid w:val="00F5007E"/>
    <w:rsid w:val="00F50EC4"/>
    <w:rsid w:val="00F52232"/>
    <w:rsid w:val="00F52DC2"/>
    <w:rsid w:val="00F550CF"/>
    <w:rsid w:val="00F553D2"/>
    <w:rsid w:val="00F57A6D"/>
    <w:rsid w:val="00F62F19"/>
    <w:rsid w:val="00F638CC"/>
    <w:rsid w:val="00F647A2"/>
    <w:rsid w:val="00F64C9E"/>
    <w:rsid w:val="00F64CC1"/>
    <w:rsid w:val="00F72317"/>
    <w:rsid w:val="00F73DC1"/>
    <w:rsid w:val="00F75BB8"/>
    <w:rsid w:val="00F76686"/>
    <w:rsid w:val="00F77AB8"/>
    <w:rsid w:val="00F80475"/>
    <w:rsid w:val="00F80E6E"/>
    <w:rsid w:val="00F81390"/>
    <w:rsid w:val="00F81F7A"/>
    <w:rsid w:val="00F8247A"/>
    <w:rsid w:val="00F82B3B"/>
    <w:rsid w:val="00F82E5C"/>
    <w:rsid w:val="00F83F58"/>
    <w:rsid w:val="00F85206"/>
    <w:rsid w:val="00F87CEA"/>
    <w:rsid w:val="00F9629A"/>
    <w:rsid w:val="00F97EFC"/>
    <w:rsid w:val="00FA0C7C"/>
    <w:rsid w:val="00FA1BDD"/>
    <w:rsid w:val="00FA256A"/>
    <w:rsid w:val="00FA305C"/>
    <w:rsid w:val="00FA462E"/>
    <w:rsid w:val="00FA4DD5"/>
    <w:rsid w:val="00FA5883"/>
    <w:rsid w:val="00FA6055"/>
    <w:rsid w:val="00FB0B39"/>
    <w:rsid w:val="00FB322F"/>
    <w:rsid w:val="00FB442F"/>
    <w:rsid w:val="00FB7A0F"/>
    <w:rsid w:val="00FC118C"/>
    <w:rsid w:val="00FC1408"/>
    <w:rsid w:val="00FC1929"/>
    <w:rsid w:val="00FC3C60"/>
    <w:rsid w:val="00FC573B"/>
    <w:rsid w:val="00FC5B46"/>
    <w:rsid w:val="00FD1D4F"/>
    <w:rsid w:val="00FD24BF"/>
    <w:rsid w:val="00FD3B6E"/>
    <w:rsid w:val="00FD57EB"/>
    <w:rsid w:val="00FD6744"/>
    <w:rsid w:val="00FD6D8E"/>
    <w:rsid w:val="00FE0663"/>
    <w:rsid w:val="00FE0897"/>
    <w:rsid w:val="00FE0E94"/>
    <w:rsid w:val="00FE2735"/>
    <w:rsid w:val="00FE369C"/>
    <w:rsid w:val="00FE3CD9"/>
    <w:rsid w:val="00FE5445"/>
    <w:rsid w:val="00FE57DF"/>
    <w:rsid w:val="00FE7EC1"/>
    <w:rsid w:val="00FF00BD"/>
    <w:rsid w:val="00FF0B13"/>
    <w:rsid w:val="00FF1ED4"/>
    <w:rsid w:val="00FF2801"/>
    <w:rsid w:val="00FF28BE"/>
    <w:rsid w:val="00FF4264"/>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E1425"/>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E1425"/>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customStyle="1" w:styleId="table">
    <w:name w:val="table"/>
    <w:basedOn w:val="Normal"/>
    <w:link w:val="tableChar"/>
    <w:qFormat/>
    <w:rsid w:val="000F73F9"/>
    <w:pPr>
      <w:spacing w:after="220" w:line="360" w:lineRule="auto"/>
    </w:pPr>
    <w:rPr>
      <w:rFonts w:ascii="Sabon" w:hAnsi="Sabon"/>
      <w:sz w:val="22"/>
      <w:szCs w:val="22"/>
      <w:lang w:eastAsia="en-US"/>
    </w:rPr>
  </w:style>
  <w:style w:type="character" w:customStyle="1" w:styleId="form-strength">
    <w:name w:val="form-strength"/>
    <w:basedOn w:val="DefaultParagraphFont"/>
    <w:rsid w:val="000F73F9"/>
  </w:style>
  <w:style w:type="character" w:customStyle="1" w:styleId="tableChar">
    <w:name w:val="table Char"/>
    <w:basedOn w:val="DefaultParagraphFont"/>
    <w:link w:val="table"/>
    <w:rsid w:val="000F73F9"/>
    <w:rPr>
      <w:rFonts w:ascii="Sabon" w:hAnsi="Sabon"/>
      <w:sz w:val="22"/>
      <w:szCs w:val="22"/>
      <w:lang w:eastAsia="en-US"/>
    </w:rPr>
  </w:style>
  <w:style w:type="paragraph" w:styleId="NormalWeb">
    <w:name w:val="Normal (Web)"/>
    <w:basedOn w:val="Normal"/>
    <w:semiHidden/>
    <w:unhideWhenUsed/>
    <w:rsid w:val="008A1D52"/>
    <w:rPr>
      <w:rFonts w:ascii="Times New Roman" w:hAnsi="Times New Roman"/>
    </w:rPr>
  </w:style>
  <w:style w:type="paragraph" w:styleId="FootnoteText">
    <w:name w:val="footnote text"/>
    <w:basedOn w:val="Normal"/>
    <w:link w:val="FootnoteTextChar"/>
    <w:semiHidden/>
    <w:unhideWhenUsed/>
    <w:rsid w:val="008A1D52"/>
    <w:rPr>
      <w:sz w:val="20"/>
      <w:szCs w:val="20"/>
    </w:rPr>
  </w:style>
  <w:style w:type="character" w:customStyle="1" w:styleId="FootnoteTextChar">
    <w:name w:val="Footnote Text Char"/>
    <w:basedOn w:val="DefaultParagraphFont"/>
    <w:link w:val="FootnoteText"/>
    <w:semiHidden/>
    <w:rsid w:val="008A1D52"/>
    <w:rPr>
      <w:rFonts w:ascii="Calibri" w:hAnsi="Calibri"/>
    </w:rPr>
  </w:style>
  <w:style w:type="character" w:styleId="FootnoteReference">
    <w:name w:val="footnote reference"/>
    <w:basedOn w:val="DefaultParagraphFont"/>
    <w:uiPriority w:val="99"/>
    <w:semiHidden/>
    <w:unhideWhenUsed/>
    <w:rsid w:val="008A1D52"/>
    <w:rPr>
      <w:vertAlign w:val="superscript"/>
    </w:rPr>
  </w:style>
  <w:style w:type="paragraph" w:customStyle="1" w:styleId="3-SubsectionHeading">
    <w:name w:val="3-Subsection Heading"/>
    <w:basedOn w:val="Heading2"/>
    <w:next w:val="Normal"/>
    <w:link w:val="3-SubsectionHeadingChar"/>
    <w:qFormat/>
    <w:rsid w:val="00B4696B"/>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B4696B"/>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963951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2696129">
      <w:bodyDiv w:val="1"/>
      <w:marLeft w:val="0"/>
      <w:marRight w:val="0"/>
      <w:marTop w:val="0"/>
      <w:marBottom w:val="0"/>
      <w:divBdr>
        <w:top w:val="none" w:sz="0" w:space="0" w:color="auto"/>
        <w:left w:val="none" w:sz="0" w:space="0" w:color="auto"/>
        <w:bottom w:val="none" w:sz="0" w:space="0" w:color="auto"/>
        <w:right w:val="none" w:sz="0" w:space="0" w:color="auto"/>
      </w:divBdr>
    </w:div>
    <w:div w:id="532573358">
      <w:bodyDiv w:val="1"/>
      <w:marLeft w:val="0"/>
      <w:marRight w:val="0"/>
      <w:marTop w:val="0"/>
      <w:marBottom w:val="0"/>
      <w:divBdr>
        <w:top w:val="none" w:sz="0" w:space="0" w:color="auto"/>
        <w:left w:val="none" w:sz="0" w:space="0" w:color="auto"/>
        <w:bottom w:val="none" w:sz="0" w:space="0" w:color="auto"/>
        <w:right w:val="none" w:sz="0" w:space="0" w:color="auto"/>
      </w:divBdr>
      <w:divsChild>
        <w:div w:id="601961574">
          <w:marLeft w:val="0"/>
          <w:marRight w:val="0"/>
          <w:marTop w:val="0"/>
          <w:marBottom w:val="0"/>
          <w:divBdr>
            <w:top w:val="none" w:sz="0" w:space="0" w:color="auto"/>
            <w:left w:val="none" w:sz="0" w:space="0" w:color="auto"/>
            <w:bottom w:val="none" w:sz="0" w:space="0" w:color="auto"/>
            <w:right w:val="none" w:sz="0" w:space="0" w:color="auto"/>
          </w:divBdr>
          <w:divsChild>
            <w:div w:id="1379281794">
              <w:marLeft w:val="0"/>
              <w:marRight w:val="0"/>
              <w:marTop w:val="0"/>
              <w:marBottom w:val="0"/>
              <w:divBdr>
                <w:top w:val="none" w:sz="0" w:space="0" w:color="auto"/>
                <w:left w:val="none" w:sz="0" w:space="0" w:color="auto"/>
                <w:bottom w:val="none" w:sz="0" w:space="0" w:color="auto"/>
                <w:right w:val="none" w:sz="0" w:space="0" w:color="auto"/>
              </w:divBdr>
            </w:div>
          </w:divsChild>
        </w:div>
        <w:div w:id="1227182279">
          <w:marLeft w:val="0"/>
          <w:marRight w:val="0"/>
          <w:marTop w:val="0"/>
          <w:marBottom w:val="0"/>
          <w:divBdr>
            <w:top w:val="none" w:sz="0" w:space="0" w:color="auto"/>
            <w:left w:val="none" w:sz="0" w:space="0" w:color="auto"/>
            <w:bottom w:val="none" w:sz="0" w:space="0" w:color="auto"/>
            <w:right w:val="none" w:sz="0" w:space="0" w:color="auto"/>
          </w:divBdr>
          <w:divsChild>
            <w:div w:id="906575411">
              <w:marLeft w:val="0"/>
              <w:marRight w:val="0"/>
              <w:marTop w:val="0"/>
              <w:marBottom w:val="0"/>
              <w:divBdr>
                <w:top w:val="none" w:sz="0" w:space="0" w:color="auto"/>
                <w:left w:val="none" w:sz="0" w:space="0" w:color="auto"/>
                <w:bottom w:val="none" w:sz="0" w:space="0" w:color="auto"/>
                <w:right w:val="none" w:sz="0" w:space="0" w:color="auto"/>
              </w:divBdr>
            </w:div>
          </w:divsChild>
        </w:div>
        <w:div w:id="1945071945">
          <w:marLeft w:val="0"/>
          <w:marRight w:val="0"/>
          <w:marTop w:val="0"/>
          <w:marBottom w:val="0"/>
          <w:divBdr>
            <w:top w:val="none" w:sz="0" w:space="0" w:color="auto"/>
            <w:left w:val="none" w:sz="0" w:space="0" w:color="auto"/>
            <w:bottom w:val="none" w:sz="0" w:space="0" w:color="auto"/>
            <w:right w:val="none" w:sz="0" w:space="0" w:color="auto"/>
          </w:divBdr>
          <w:divsChild>
            <w:div w:id="2007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657154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0522116">
      <w:bodyDiv w:val="1"/>
      <w:marLeft w:val="0"/>
      <w:marRight w:val="0"/>
      <w:marTop w:val="0"/>
      <w:marBottom w:val="0"/>
      <w:divBdr>
        <w:top w:val="none" w:sz="0" w:space="0" w:color="auto"/>
        <w:left w:val="none" w:sz="0" w:space="0" w:color="auto"/>
        <w:bottom w:val="none" w:sz="0" w:space="0" w:color="auto"/>
        <w:right w:val="none" w:sz="0" w:space="0" w:color="auto"/>
      </w:divBdr>
    </w:div>
    <w:div w:id="1014263699">
      <w:bodyDiv w:val="1"/>
      <w:marLeft w:val="0"/>
      <w:marRight w:val="0"/>
      <w:marTop w:val="0"/>
      <w:marBottom w:val="0"/>
      <w:divBdr>
        <w:top w:val="none" w:sz="0" w:space="0" w:color="auto"/>
        <w:left w:val="none" w:sz="0" w:space="0" w:color="auto"/>
        <w:bottom w:val="none" w:sz="0" w:space="0" w:color="auto"/>
        <w:right w:val="none" w:sz="0" w:space="0" w:color="auto"/>
      </w:divBdr>
    </w:div>
    <w:div w:id="104838119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7384121">
      <w:bodyDiv w:val="1"/>
      <w:marLeft w:val="0"/>
      <w:marRight w:val="0"/>
      <w:marTop w:val="0"/>
      <w:marBottom w:val="0"/>
      <w:divBdr>
        <w:top w:val="none" w:sz="0" w:space="0" w:color="auto"/>
        <w:left w:val="none" w:sz="0" w:space="0" w:color="auto"/>
        <w:bottom w:val="none" w:sz="0" w:space="0" w:color="auto"/>
        <w:right w:val="none" w:sz="0" w:space="0" w:color="auto"/>
      </w:divBdr>
    </w:div>
    <w:div w:id="1376193094">
      <w:bodyDiv w:val="1"/>
      <w:marLeft w:val="0"/>
      <w:marRight w:val="0"/>
      <w:marTop w:val="0"/>
      <w:marBottom w:val="0"/>
      <w:divBdr>
        <w:top w:val="none" w:sz="0" w:space="0" w:color="auto"/>
        <w:left w:val="none" w:sz="0" w:space="0" w:color="auto"/>
        <w:bottom w:val="none" w:sz="0" w:space="0" w:color="auto"/>
        <w:right w:val="none" w:sz="0" w:space="0" w:color="auto"/>
      </w:divBdr>
    </w:div>
    <w:div w:id="1459495406">
      <w:bodyDiv w:val="1"/>
      <w:marLeft w:val="0"/>
      <w:marRight w:val="0"/>
      <w:marTop w:val="0"/>
      <w:marBottom w:val="0"/>
      <w:divBdr>
        <w:top w:val="none" w:sz="0" w:space="0" w:color="auto"/>
        <w:left w:val="none" w:sz="0" w:space="0" w:color="auto"/>
        <w:bottom w:val="none" w:sz="0" w:space="0" w:color="auto"/>
        <w:right w:val="none" w:sz="0" w:space="0" w:color="auto"/>
      </w:divBdr>
    </w:div>
    <w:div w:id="152791247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6698071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5811942">
      <w:bodyDiv w:val="1"/>
      <w:marLeft w:val="0"/>
      <w:marRight w:val="0"/>
      <w:marTop w:val="0"/>
      <w:marBottom w:val="0"/>
      <w:divBdr>
        <w:top w:val="none" w:sz="0" w:space="0" w:color="auto"/>
        <w:left w:val="none" w:sz="0" w:space="0" w:color="auto"/>
        <w:bottom w:val="none" w:sz="0" w:space="0" w:color="auto"/>
        <w:right w:val="none" w:sz="0" w:space="0" w:color="auto"/>
      </w:divBdr>
    </w:div>
    <w:div w:id="1991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7B20F-0F47-4FE6-932A-8A5621EA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1959</Words>
  <Characters>10793</Characters>
  <Application>Microsoft Office Word</Application>
  <DocSecurity>0</DocSecurity>
  <Lines>89</Lines>
  <Paragraphs>25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6.24	SECUKINUMAB, Injection 150 mg in 1 mL pre-filled pen, Cosentyx®, Novartis P</vt:lpstr>
      <vt:lpstr>Purpose of Application </vt:lpstr>
      <vt:lpstr>Background</vt:lpstr>
      <vt:lpstr>    Registration status</vt:lpstr>
      <vt:lpstr>    Previous PBAC Considerations</vt:lpstr>
      <vt:lpstr>Requested listing</vt:lpstr>
      <vt:lpstr>Consideration of the evidence</vt:lpstr>
      <vt:lpstr>    Sponsor hearing</vt:lpstr>
      <vt:lpstr>    Consumer comments</vt:lpstr>
      <vt:lpstr>    Estimated PBS utilisation and financial implications</vt:lpstr>
      <vt:lpstr>PBAC Outcome</vt:lpstr>
      <vt:lpstr>Context for Decision</vt:lpstr>
      <vt:lpstr>Sponsor’s Comment</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2021-11-07T23:20:00Z</dcterms:created>
  <dcterms:modified xsi:type="dcterms:W3CDTF">2021-11-07T23:20:00Z</dcterms:modified>
</cp:coreProperties>
</file>