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CBA" w:rsidRDefault="00083F05" w:rsidP="00621DD1">
      <w:pPr>
        <w:ind w:left="720" w:hanging="720"/>
        <w:rPr>
          <w:b/>
          <w:sz w:val="36"/>
          <w:szCs w:val="36"/>
        </w:rPr>
      </w:pPr>
      <w:bookmarkStart w:id="0" w:name="_Toc341702043"/>
      <w:bookmarkStart w:id="1" w:name="_Toc380742621"/>
      <w:bookmarkStart w:id="2" w:name="_Toc380746188"/>
      <w:bookmarkStart w:id="3" w:name="_Toc380746314"/>
      <w:bookmarkStart w:id="4" w:name="_Toc380746595"/>
      <w:r>
        <w:rPr>
          <w:b/>
          <w:sz w:val="36"/>
          <w:szCs w:val="36"/>
        </w:rPr>
        <w:t>5</w:t>
      </w:r>
      <w:r w:rsidRPr="00C12C14">
        <w:rPr>
          <w:b/>
          <w:sz w:val="36"/>
          <w:szCs w:val="36"/>
        </w:rPr>
        <w:t>.</w:t>
      </w:r>
      <w:r>
        <w:rPr>
          <w:b/>
          <w:sz w:val="36"/>
          <w:szCs w:val="36"/>
        </w:rPr>
        <w:t>1</w:t>
      </w:r>
      <w:r w:rsidR="00364DB1">
        <w:rPr>
          <w:b/>
          <w:sz w:val="36"/>
          <w:szCs w:val="36"/>
        </w:rPr>
        <w:t>4</w:t>
      </w:r>
      <w:r w:rsidRPr="00C12C14">
        <w:rPr>
          <w:b/>
          <w:sz w:val="36"/>
          <w:szCs w:val="36"/>
        </w:rPr>
        <w:tab/>
      </w:r>
      <w:r>
        <w:rPr>
          <w:b/>
          <w:sz w:val="36"/>
          <w:szCs w:val="36"/>
        </w:rPr>
        <w:t>RIPRETINIB</w:t>
      </w:r>
      <w:r w:rsidRPr="00C12C14">
        <w:rPr>
          <w:b/>
          <w:sz w:val="36"/>
          <w:szCs w:val="36"/>
        </w:rPr>
        <w:t xml:space="preserve">, </w:t>
      </w:r>
    </w:p>
    <w:p w:rsidR="00AA7CBA" w:rsidRDefault="00083F05" w:rsidP="00AA7CBA">
      <w:pPr>
        <w:ind w:firstLine="720"/>
        <w:rPr>
          <w:b/>
          <w:sz w:val="36"/>
          <w:szCs w:val="36"/>
        </w:rPr>
      </w:pPr>
      <w:r>
        <w:rPr>
          <w:b/>
          <w:sz w:val="36"/>
          <w:szCs w:val="36"/>
        </w:rPr>
        <w:t>Tablet</w:t>
      </w:r>
      <w:r w:rsidRPr="00C12C14">
        <w:rPr>
          <w:b/>
          <w:sz w:val="36"/>
          <w:szCs w:val="36"/>
        </w:rPr>
        <w:t xml:space="preserve"> </w:t>
      </w:r>
      <w:r>
        <w:rPr>
          <w:b/>
          <w:sz w:val="36"/>
          <w:szCs w:val="36"/>
        </w:rPr>
        <w:t>50 mg</w:t>
      </w:r>
      <w:r w:rsidRPr="00C12C14">
        <w:rPr>
          <w:b/>
          <w:sz w:val="36"/>
          <w:szCs w:val="36"/>
        </w:rPr>
        <w:t xml:space="preserve">, </w:t>
      </w:r>
    </w:p>
    <w:p w:rsidR="00AA7CBA" w:rsidRDefault="00B423CC" w:rsidP="00AA7CBA">
      <w:pPr>
        <w:ind w:firstLine="720"/>
        <w:rPr>
          <w:b/>
          <w:sz w:val="36"/>
          <w:szCs w:val="36"/>
        </w:rPr>
      </w:pPr>
      <w:r>
        <w:rPr>
          <w:b/>
          <w:sz w:val="36"/>
          <w:szCs w:val="36"/>
        </w:rPr>
        <w:t>Qinlock</w:t>
      </w:r>
      <w:r w:rsidR="00083F05" w:rsidRPr="00C12C14">
        <w:rPr>
          <w:b/>
          <w:sz w:val="36"/>
          <w:szCs w:val="36"/>
          <w:vertAlign w:val="superscript"/>
        </w:rPr>
        <w:t>®</w:t>
      </w:r>
      <w:r w:rsidR="00083F05" w:rsidRPr="00C12C14">
        <w:rPr>
          <w:b/>
          <w:sz w:val="36"/>
          <w:szCs w:val="36"/>
        </w:rPr>
        <w:t xml:space="preserve">, </w:t>
      </w:r>
      <w:r w:rsidR="00AA7CBA">
        <w:rPr>
          <w:b/>
          <w:sz w:val="36"/>
          <w:szCs w:val="36"/>
        </w:rPr>
        <w:tab/>
      </w:r>
    </w:p>
    <w:p w:rsidR="00083F05" w:rsidRDefault="00052DC0" w:rsidP="00AA7CBA">
      <w:pPr>
        <w:ind w:firstLine="720"/>
        <w:rPr>
          <w:b/>
          <w:sz w:val="36"/>
          <w:szCs w:val="36"/>
        </w:rPr>
      </w:pPr>
      <w:r>
        <w:rPr>
          <w:b/>
          <w:sz w:val="36"/>
          <w:szCs w:val="36"/>
        </w:rPr>
        <w:t>Specialised T</w:t>
      </w:r>
      <w:r w:rsidR="00083F05">
        <w:rPr>
          <w:b/>
          <w:sz w:val="36"/>
          <w:szCs w:val="36"/>
        </w:rPr>
        <w:t>herapeutics PM</w:t>
      </w:r>
      <w:r w:rsidR="00364DB1">
        <w:rPr>
          <w:b/>
          <w:sz w:val="36"/>
          <w:szCs w:val="36"/>
        </w:rPr>
        <w:t xml:space="preserve"> Pty Ltd</w:t>
      </w:r>
      <w:r w:rsidR="00083F05" w:rsidRPr="00C12C14">
        <w:rPr>
          <w:b/>
          <w:sz w:val="36"/>
          <w:szCs w:val="36"/>
        </w:rPr>
        <w:t>.</w:t>
      </w:r>
    </w:p>
    <w:p w:rsidR="00083F05" w:rsidRDefault="00083F05" w:rsidP="00083F05"/>
    <w:p w:rsidR="00083F05" w:rsidRPr="00407F2D" w:rsidRDefault="00083F05" w:rsidP="00273251">
      <w:pPr>
        <w:pStyle w:val="2-SectionHeading"/>
        <w:numPr>
          <w:ilvl w:val="0"/>
          <w:numId w:val="2"/>
        </w:numPr>
      </w:pPr>
      <w:bookmarkStart w:id="5" w:name="_Toc62040421"/>
      <w:r w:rsidRPr="00407F2D">
        <w:t>Purpose of Application</w:t>
      </w:r>
      <w:bookmarkEnd w:id="5"/>
    </w:p>
    <w:p w:rsidR="00083F05" w:rsidRPr="008B1757" w:rsidRDefault="00766781" w:rsidP="0074236E">
      <w:pPr>
        <w:pStyle w:val="ListParagraph"/>
        <w:keepNext/>
        <w:widowControl/>
        <w:numPr>
          <w:ilvl w:val="1"/>
          <w:numId w:val="2"/>
        </w:numPr>
      </w:pPr>
      <w:r>
        <w:t xml:space="preserve">The submission requested a </w:t>
      </w:r>
      <w:r w:rsidR="00083F05" w:rsidRPr="004B3DDB">
        <w:t xml:space="preserve">Section </w:t>
      </w:r>
      <w:r w:rsidR="00083F05">
        <w:t>85</w:t>
      </w:r>
      <w:r w:rsidR="00083F05" w:rsidRPr="004B3DDB">
        <w:t>, Authority Require</w:t>
      </w:r>
      <w:r w:rsidR="00083F05">
        <w:t>d</w:t>
      </w:r>
      <w:r w:rsidR="00083F05" w:rsidRPr="004B3DDB">
        <w:t xml:space="preserve"> listing for </w:t>
      </w:r>
      <w:r w:rsidR="00083F05">
        <w:t>ripretinib</w:t>
      </w:r>
      <w:r w:rsidR="00083F05" w:rsidRPr="004B3DDB">
        <w:t xml:space="preserve"> for treatment of </w:t>
      </w:r>
      <w:r w:rsidR="00083F05">
        <w:t xml:space="preserve">advanced gastrointestinal stromal tumour </w:t>
      </w:r>
      <w:r w:rsidR="00444D1F">
        <w:t xml:space="preserve">(GIST) </w:t>
      </w:r>
      <w:r w:rsidR="00083F05">
        <w:t xml:space="preserve">after failure </w:t>
      </w:r>
      <w:r w:rsidR="00444D1F">
        <w:t xml:space="preserve">of </w:t>
      </w:r>
      <w:r w:rsidR="00083F05">
        <w:t xml:space="preserve">or intolerance to imatinib and sunitinib. This is the first submission for ripretinib in GIST. </w:t>
      </w:r>
    </w:p>
    <w:p w:rsidR="00083F05" w:rsidRDefault="00083F05" w:rsidP="00083F05">
      <w:pPr>
        <w:pStyle w:val="ListParagraph"/>
        <w:widowControl/>
        <w:numPr>
          <w:ilvl w:val="1"/>
          <w:numId w:val="2"/>
        </w:numPr>
        <w:spacing w:after="120"/>
      </w:pPr>
      <w:r>
        <w:t>T</w:t>
      </w:r>
      <w:r w:rsidRPr="008B1757">
        <w:t xml:space="preserve">he requested basis for listing </w:t>
      </w:r>
      <w:r>
        <w:t xml:space="preserve">is a cost utility analysis against the comparator of </w:t>
      </w:r>
      <w:r w:rsidR="00840F49">
        <w:t>best supportive care (</w:t>
      </w:r>
      <w:r>
        <w:t>BSC</w:t>
      </w:r>
      <w:r w:rsidR="00840F49">
        <w:t>)</w:t>
      </w:r>
      <w:r>
        <w:t xml:space="preserve"> alone. </w:t>
      </w:r>
    </w:p>
    <w:p w:rsidR="00083F05" w:rsidRDefault="00083F05" w:rsidP="00083F05">
      <w:pPr>
        <w:pStyle w:val="ListParagraph"/>
        <w:widowControl/>
        <w:numPr>
          <w:ilvl w:val="1"/>
          <w:numId w:val="2"/>
        </w:numPr>
        <w:spacing w:after="120"/>
      </w:pPr>
      <w:r w:rsidRPr="00931E35">
        <w:rPr>
          <w:rStyle w:val="CommentReference"/>
          <w:rFonts w:ascii="Calibri" w:hAnsi="Calibri"/>
          <w:b w:val="0"/>
          <w:sz w:val="24"/>
          <w:szCs w:val="22"/>
        </w:rPr>
        <w:t>Table 1</w:t>
      </w:r>
      <w:r w:rsidRPr="00931E35">
        <w:t xml:space="preserve"> presents the key components of the clinical issues addressed by the submission.</w:t>
      </w:r>
    </w:p>
    <w:p w:rsidR="00083F05" w:rsidRPr="00D33691" w:rsidRDefault="00083F05" w:rsidP="00AA1B0E">
      <w:pPr>
        <w:keepNext/>
      </w:pPr>
      <w:bookmarkStart w:id="6" w:name="_Ref58315918"/>
      <w:r>
        <w:rPr>
          <w:rStyle w:val="CommentReference"/>
        </w:rPr>
        <w:t xml:space="preserve">Table </w:t>
      </w:r>
      <w:r>
        <w:rPr>
          <w:rStyle w:val="CommentReference"/>
          <w:noProof/>
        </w:rPr>
        <w:t>1</w:t>
      </w:r>
      <w:bookmarkEnd w:id="6"/>
      <w:r>
        <w:rPr>
          <w:rStyle w:val="CommentReference"/>
        </w:rPr>
        <w:t xml:space="preserve">:  </w:t>
      </w:r>
      <w:r w:rsidRPr="00D33691">
        <w:rPr>
          <w:rStyle w:val="CommentReference"/>
        </w:rPr>
        <w:t>Key components of the clinical issue addressed by the submission</w:t>
      </w:r>
      <w:r w:rsidR="002B6334">
        <w:rPr>
          <w:rStyle w:val="CommentReference"/>
        </w:rPr>
        <w:t xml:space="preserve">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083F05" w:rsidRPr="00D33691" w:rsidTr="00994A71">
        <w:tc>
          <w:tcPr>
            <w:tcW w:w="1668" w:type="dxa"/>
            <w:vAlign w:val="center"/>
          </w:tcPr>
          <w:p w:rsidR="00083F05" w:rsidRPr="00D33691" w:rsidRDefault="00083F05" w:rsidP="00AA1B0E">
            <w:pPr>
              <w:pStyle w:val="Tabletext"/>
              <w:keepNext/>
              <w:rPr>
                <w:b/>
              </w:rPr>
            </w:pPr>
            <w:r w:rsidRPr="00D33691">
              <w:rPr>
                <w:b/>
              </w:rPr>
              <w:t>Component</w:t>
            </w:r>
          </w:p>
        </w:tc>
        <w:tc>
          <w:tcPr>
            <w:tcW w:w="7488" w:type="dxa"/>
            <w:vAlign w:val="center"/>
          </w:tcPr>
          <w:p w:rsidR="00083F05" w:rsidRPr="00D33691" w:rsidRDefault="00083F05" w:rsidP="00AA1B0E">
            <w:pPr>
              <w:pStyle w:val="Tabletext"/>
              <w:keepNext/>
              <w:jc w:val="center"/>
              <w:rPr>
                <w:b/>
              </w:rPr>
            </w:pPr>
            <w:r w:rsidRPr="00D33691">
              <w:rPr>
                <w:b/>
              </w:rPr>
              <w:t>Description</w:t>
            </w:r>
          </w:p>
        </w:tc>
      </w:tr>
      <w:tr w:rsidR="00083F05" w:rsidRPr="00D33691" w:rsidTr="00994A71">
        <w:tc>
          <w:tcPr>
            <w:tcW w:w="1668" w:type="dxa"/>
            <w:vAlign w:val="center"/>
          </w:tcPr>
          <w:p w:rsidR="00083F05" w:rsidRPr="00D33691" w:rsidRDefault="00083F05" w:rsidP="00AA1B0E">
            <w:pPr>
              <w:pStyle w:val="Tabletext"/>
              <w:keepNext/>
            </w:pPr>
            <w:r w:rsidRPr="00D33691">
              <w:t>Population</w:t>
            </w:r>
          </w:p>
        </w:tc>
        <w:tc>
          <w:tcPr>
            <w:tcW w:w="7488" w:type="dxa"/>
            <w:vAlign w:val="center"/>
          </w:tcPr>
          <w:p w:rsidR="00083F05" w:rsidRPr="00D33691" w:rsidRDefault="00083F05" w:rsidP="00AA1B0E">
            <w:pPr>
              <w:pStyle w:val="Tabletext"/>
              <w:keepNext/>
            </w:pPr>
            <w:r w:rsidRPr="00D33691">
              <w:t xml:space="preserve">Patients with advanced unresectable or metastatic GIST who have progressed or </w:t>
            </w:r>
            <w:r>
              <w:t xml:space="preserve">are </w:t>
            </w:r>
            <w:r w:rsidRPr="00D33691">
              <w:t>intolerant to imatinib and sunitinib</w:t>
            </w:r>
          </w:p>
        </w:tc>
      </w:tr>
      <w:tr w:rsidR="00083F05" w:rsidRPr="00D33691" w:rsidTr="00994A71">
        <w:tc>
          <w:tcPr>
            <w:tcW w:w="1668" w:type="dxa"/>
            <w:vAlign w:val="center"/>
          </w:tcPr>
          <w:p w:rsidR="00083F05" w:rsidRPr="00D33691" w:rsidRDefault="00083F05" w:rsidP="00AA1B0E">
            <w:pPr>
              <w:pStyle w:val="Tabletext"/>
              <w:keepNext/>
            </w:pPr>
            <w:r w:rsidRPr="00D33691">
              <w:t>Intervention</w:t>
            </w:r>
          </w:p>
        </w:tc>
        <w:tc>
          <w:tcPr>
            <w:tcW w:w="7488" w:type="dxa"/>
            <w:vAlign w:val="center"/>
          </w:tcPr>
          <w:p w:rsidR="00083F05" w:rsidRPr="00D33691" w:rsidRDefault="00083F05" w:rsidP="00AA1B0E">
            <w:pPr>
              <w:pStyle w:val="Tabletext"/>
              <w:keepNext/>
            </w:pPr>
            <w:r w:rsidRPr="00D33691">
              <w:t>Ripretinib 150mg daily</w:t>
            </w:r>
          </w:p>
        </w:tc>
      </w:tr>
      <w:tr w:rsidR="00083F05" w:rsidRPr="00D33691" w:rsidTr="00994A71">
        <w:tc>
          <w:tcPr>
            <w:tcW w:w="1668" w:type="dxa"/>
            <w:vAlign w:val="center"/>
          </w:tcPr>
          <w:p w:rsidR="00083F05" w:rsidRPr="00D33691" w:rsidRDefault="00083F05" w:rsidP="00AA1B0E">
            <w:pPr>
              <w:pStyle w:val="Tabletext"/>
              <w:keepNext/>
            </w:pPr>
            <w:r w:rsidRPr="00D33691">
              <w:t>Comparator</w:t>
            </w:r>
          </w:p>
        </w:tc>
        <w:tc>
          <w:tcPr>
            <w:tcW w:w="7488" w:type="dxa"/>
            <w:vAlign w:val="center"/>
          </w:tcPr>
          <w:p w:rsidR="00083F05" w:rsidRPr="00D33691" w:rsidRDefault="00083F05" w:rsidP="00AA1B0E">
            <w:pPr>
              <w:pStyle w:val="Tabletext"/>
              <w:keepNext/>
            </w:pPr>
            <w:r w:rsidRPr="00D33691">
              <w:t>Best Supportive Care</w:t>
            </w:r>
          </w:p>
        </w:tc>
      </w:tr>
      <w:tr w:rsidR="00083F05" w:rsidRPr="00D33691" w:rsidTr="00994A71">
        <w:tc>
          <w:tcPr>
            <w:tcW w:w="1668" w:type="dxa"/>
            <w:vAlign w:val="center"/>
          </w:tcPr>
          <w:p w:rsidR="00083F05" w:rsidRPr="00D33691" w:rsidRDefault="00083F05" w:rsidP="00AA1B0E">
            <w:pPr>
              <w:pStyle w:val="Tabletext"/>
              <w:keepNext/>
            </w:pPr>
            <w:r w:rsidRPr="00D33691">
              <w:t>Outcomes</w:t>
            </w:r>
          </w:p>
        </w:tc>
        <w:tc>
          <w:tcPr>
            <w:tcW w:w="7488" w:type="dxa"/>
            <w:vAlign w:val="center"/>
          </w:tcPr>
          <w:p w:rsidR="00083F05" w:rsidRPr="00D33691" w:rsidRDefault="00083F05" w:rsidP="00AA1B0E">
            <w:pPr>
              <w:pStyle w:val="Tabletext"/>
              <w:keepNext/>
            </w:pPr>
            <w:r w:rsidRPr="00D33691">
              <w:t>PFS, ORR, OS, TTP, time to best response, duration of response, HRQoL, safety</w:t>
            </w:r>
          </w:p>
        </w:tc>
      </w:tr>
      <w:tr w:rsidR="00083F05" w:rsidRPr="00D33691" w:rsidTr="00994A71">
        <w:tc>
          <w:tcPr>
            <w:tcW w:w="1668" w:type="dxa"/>
            <w:vAlign w:val="center"/>
          </w:tcPr>
          <w:p w:rsidR="00083F05" w:rsidRPr="00D33691" w:rsidRDefault="00083F05" w:rsidP="00AA1B0E">
            <w:pPr>
              <w:pStyle w:val="Tabletext"/>
              <w:keepNext/>
            </w:pPr>
            <w:r w:rsidRPr="00D33691">
              <w:t>Clinical claim</w:t>
            </w:r>
          </w:p>
        </w:tc>
        <w:tc>
          <w:tcPr>
            <w:tcW w:w="7488" w:type="dxa"/>
            <w:vAlign w:val="center"/>
          </w:tcPr>
          <w:p w:rsidR="00083F05" w:rsidRPr="00D33691" w:rsidRDefault="00083F05" w:rsidP="00AA1B0E">
            <w:pPr>
              <w:pStyle w:val="Tabletext"/>
              <w:keepNext/>
            </w:pPr>
            <w:r w:rsidRPr="00D33691">
              <w:t>In patients with advanced GIST in the</w:t>
            </w:r>
            <w:r w:rsidR="0074236E">
              <w:t xml:space="preserve"> three or more line (</w:t>
            </w:r>
            <w:r w:rsidRPr="00D33691">
              <w:t>≥3L</w:t>
            </w:r>
            <w:r w:rsidR="0074236E">
              <w:t>)</w:t>
            </w:r>
            <w:r w:rsidRPr="00D33691">
              <w:t xml:space="preserve"> treatment setting following imatinib and sunitinib, ripretinib is an effective treatment option that offers clinically meaningful and durable r</w:t>
            </w:r>
            <w:r w:rsidR="00766781">
              <w:t>esponses compared with placebo/</w:t>
            </w:r>
            <w:r w:rsidRPr="00D33691">
              <w:t xml:space="preserve">BSC, along with </w:t>
            </w:r>
            <w:r w:rsidR="002B6334">
              <w:t xml:space="preserve">significant </w:t>
            </w:r>
            <w:r w:rsidRPr="00D33691">
              <w:t>improvements in PFS and prolongation of OS. Ripretinib offers an acceptable safety profile and maintains HRQoL</w:t>
            </w:r>
          </w:p>
        </w:tc>
      </w:tr>
    </w:tbl>
    <w:p w:rsidR="00DE37B6" w:rsidRDefault="00083F05" w:rsidP="00840F49">
      <w:pPr>
        <w:pStyle w:val="TableFooter"/>
      </w:pPr>
      <w:r w:rsidRPr="00D33691">
        <w:t>Source: Table 1.1, p5 of the submission. BSC: best supportive care; EORTC QLQ-C30: European Organisation for Research and Treatment of Cancer Quality of Life Questionnaire for Cancer 30-item; EQ-VAS: EuroQol visual analogue scale; EQ-5D-5L: EuroQol 5 dimensions 5 levels; GIST: gastrointestinal stromal tumours; HRQoL: health-related quality of life; ORR: objective response rate; OS: overall survival; PFS: progression-free survival; TKI: tyrosine kinase inhibitor; TTP: time to progression; 3L: third</w:t>
      </w:r>
      <w:r w:rsidR="004C4C7F">
        <w:t xml:space="preserve"> </w:t>
      </w:r>
      <w:r w:rsidRPr="00D33691">
        <w:t>line; ≥3L: third</w:t>
      </w:r>
      <w:r w:rsidR="004C4C7F">
        <w:t xml:space="preserve"> </w:t>
      </w:r>
      <w:r w:rsidRPr="00D33691">
        <w:t>line or later; ≥4L: fourth</w:t>
      </w:r>
      <w:r w:rsidR="004C4C7F">
        <w:t xml:space="preserve"> </w:t>
      </w:r>
      <w:r w:rsidRPr="00D33691">
        <w:t>line or later</w:t>
      </w:r>
    </w:p>
    <w:p w:rsidR="00DE37B6" w:rsidRDefault="00DE37B6">
      <w:pPr>
        <w:widowControl/>
        <w:jc w:val="left"/>
        <w:rPr>
          <w:rFonts w:ascii="Arial Narrow" w:hAnsi="Arial Narrow"/>
          <w:sz w:val="18"/>
        </w:rPr>
      </w:pPr>
      <w:r>
        <w:br w:type="page"/>
      </w:r>
    </w:p>
    <w:p w:rsidR="00E436BE" w:rsidRPr="00407F2D" w:rsidRDefault="00E436BE" w:rsidP="00E436BE">
      <w:pPr>
        <w:pStyle w:val="2-SectionHeading"/>
        <w:numPr>
          <w:ilvl w:val="0"/>
          <w:numId w:val="2"/>
        </w:numPr>
      </w:pPr>
      <w:bookmarkStart w:id="7" w:name="_Toc62040423"/>
      <w:bookmarkStart w:id="8" w:name="_Toc62040422"/>
      <w:r w:rsidRPr="00407F2D">
        <w:lastRenderedPageBreak/>
        <w:t>Background</w:t>
      </w:r>
      <w:bookmarkEnd w:id="7"/>
    </w:p>
    <w:p w:rsidR="00E436BE" w:rsidRPr="004151CF" w:rsidRDefault="00E436BE" w:rsidP="00E436BE">
      <w:pPr>
        <w:rPr>
          <w:b/>
          <w:i/>
          <w:sz w:val="28"/>
          <w:szCs w:val="28"/>
        </w:rPr>
      </w:pPr>
      <w:r w:rsidRPr="004151CF">
        <w:rPr>
          <w:b/>
          <w:i/>
          <w:sz w:val="28"/>
          <w:szCs w:val="28"/>
        </w:rPr>
        <w:t>Registration status</w:t>
      </w:r>
    </w:p>
    <w:p w:rsidR="00E436BE" w:rsidRPr="00882085" w:rsidRDefault="00E436BE" w:rsidP="00E436BE"/>
    <w:p w:rsidR="00E436BE" w:rsidRDefault="00E436BE" w:rsidP="00E436BE">
      <w:pPr>
        <w:pStyle w:val="ListParagraph"/>
        <w:widowControl/>
        <w:numPr>
          <w:ilvl w:val="1"/>
          <w:numId w:val="2"/>
        </w:numPr>
      </w:pPr>
      <w:r>
        <w:t>Ripretinib</w:t>
      </w:r>
      <w:r w:rsidRPr="003371B0">
        <w:t xml:space="preserve"> was TGA registered on</w:t>
      </w:r>
      <w:r>
        <w:t xml:space="preserve"> 13 July for 2020 for the following indication:</w:t>
      </w:r>
    </w:p>
    <w:p w:rsidR="00E436BE" w:rsidRDefault="00E436BE" w:rsidP="008F571B">
      <w:pPr>
        <w:pStyle w:val="ListParagraph"/>
        <w:numPr>
          <w:ilvl w:val="0"/>
          <w:numId w:val="5"/>
        </w:numPr>
      </w:pPr>
      <w:r>
        <w:t>the treatment of adult patients with advanced GIST who have received prior treatment with 3 or more kinase inhibitors, including imatinib.</w:t>
      </w:r>
    </w:p>
    <w:p w:rsidR="00E436BE" w:rsidRDefault="00E436BE" w:rsidP="00E436BE">
      <w:pPr>
        <w:pStyle w:val="ListParagraph"/>
        <w:widowControl/>
        <w:numPr>
          <w:ilvl w:val="1"/>
          <w:numId w:val="2"/>
        </w:numPr>
      </w:pPr>
      <w:r w:rsidRPr="00882085">
        <w:t xml:space="preserve">At the time of </w:t>
      </w:r>
      <w:r>
        <w:t xml:space="preserve">evaluation for </w:t>
      </w:r>
      <w:r w:rsidRPr="00882085">
        <w:t>P</w:t>
      </w:r>
      <w:r>
        <w:t>BAC consideration, the TGA Delegate’s overview and final TGA Delegate’s recommendation were available</w:t>
      </w:r>
      <w:r w:rsidRPr="00882085">
        <w:t xml:space="preserve">.  </w:t>
      </w:r>
    </w:p>
    <w:p w:rsidR="00083F05" w:rsidRDefault="00083F05" w:rsidP="00273251">
      <w:pPr>
        <w:pStyle w:val="2-SectionHeading"/>
        <w:numPr>
          <w:ilvl w:val="0"/>
          <w:numId w:val="2"/>
        </w:numPr>
      </w:pPr>
      <w:r w:rsidRPr="00407F2D">
        <w:t>Requested listing</w:t>
      </w:r>
      <w:bookmarkEnd w:id="8"/>
    </w:p>
    <w:p w:rsidR="0024259E" w:rsidRPr="0024259E" w:rsidRDefault="0024259E" w:rsidP="0024259E">
      <w:pPr>
        <w:pStyle w:val="ListParagraph"/>
        <w:widowControl/>
        <w:numPr>
          <w:ilvl w:val="1"/>
          <w:numId w:val="2"/>
        </w:numPr>
      </w:pPr>
      <w:r w:rsidRPr="0024259E">
        <w:t xml:space="preserve">Suggestions and additions proposed by the Secretariat are added in italics and suggested deletions are crossed out with strikethrough.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6"/>
        <w:gridCol w:w="993"/>
        <w:gridCol w:w="992"/>
        <w:gridCol w:w="992"/>
        <w:gridCol w:w="851"/>
        <w:gridCol w:w="850"/>
        <w:gridCol w:w="1701"/>
        <w:gridCol w:w="1701"/>
      </w:tblGrid>
      <w:tr w:rsidR="0024259E" w:rsidRPr="0024259E" w:rsidTr="0024259E">
        <w:trPr>
          <w:cantSplit/>
          <w:trHeight w:val="471"/>
        </w:trPr>
        <w:tc>
          <w:tcPr>
            <w:tcW w:w="1980" w:type="dxa"/>
            <w:gridSpan w:val="3"/>
          </w:tcPr>
          <w:p w:rsidR="0024259E" w:rsidRPr="0024259E" w:rsidRDefault="0024259E" w:rsidP="00552251">
            <w:pPr>
              <w:keepNext/>
              <w:ind w:left="22"/>
              <w:rPr>
                <w:rFonts w:ascii="Arial Narrow" w:hAnsi="Arial Narrow"/>
                <w:b/>
                <w:bCs/>
                <w:sz w:val="18"/>
                <w:szCs w:val="18"/>
              </w:rPr>
            </w:pPr>
            <w:r w:rsidRPr="0024259E">
              <w:rPr>
                <w:rFonts w:ascii="Arial Narrow" w:hAnsi="Arial Narrow"/>
                <w:b/>
                <w:bCs/>
                <w:sz w:val="18"/>
                <w:szCs w:val="18"/>
              </w:rPr>
              <w:t>MEDICINAL PRODUCT</w:t>
            </w:r>
          </w:p>
          <w:p w:rsidR="0024259E" w:rsidRPr="0024259E" w:rsidRDefault="0024259E" w:rsidP="00552251">
            <w:pPr>
              <w:keepNext/>
              <w:ind w:left="22"/>
              <w:rPr>
                <w:rFonts w:ascii="Arial Narrow" w:hAnsi="Arial Narrow"/>
                <w:b/>
                <w:sz w:val="18"/>
                <w:szCs w:val="18"/>
              </w:rPr>
            </w:pPr>
            <w:r w:rsidRPr="0024259E">
              <w:rPr>
                <w:rFonts w:ascii="Arial Narrow" w:hAnsi="Arial Narrow"/>
                <w:b/>
                <w:bCs/>
                <w:sz w:val="18"/>
                <w:szCs w:val="18"/>
              </w:rPr>
              <w:t>medicinal product pack</w:t>
            </w:r>
          </w:p>
        </w:tc>
        <w:tc>
          <w:tcPr>
            <w:tcW w:w="992" w:type="dxa"/>
          </w:tcPr>
          <w:p w:rsidR="0024259E" w:rsidRPr="0024259E" w:rsidRDefault="0024259E" w:rsidP="00552251">
            <w:pPr>
              <w:keepNext/>
              <w:ind w:left="-108"/>
              <w:jc w:val="center"/>
              <w:rPr>
                <w:rFonts w:ascii="Arial Narrow" w:hAnsi="Arial Narrow"/>
                <w:b/>
                <w:sz w:val="18"/>
                <w:szCs w:val="18"/>
              </w:rPr>
            </w:pPr>
            <w:r w:rsidRPr="0024259E">
              <w:rPr>
                <w:rFonts w:ascii="Arial Narrow" w:hAnsi="Arial Narrow"/>
                <w:b/>
                <w:sz w:val="18"/>
                <w:szCs w:val="18"/>
              </w:rPr>
              <w:t>PBS item code</w:t>
            </w:r>
          </w:p>
        </w:tc>
        <w:tc>
          <w:tcPr>
            <w:tcW w:w="992" w:type="dxa"/>
          </w:tcPr>
          <w:p w:rsidR="0024259E" w:rsidRPr="0024259E" w:rsidRDefault="0024259E" w:rsidP="00552251">
            <w:pPr>
              <w:keepNext/>
              <w:ind w:left="-108"/>
              <w:jc w:val="center"/>
              <w:rPr>
                <w:rFonts w:ascii="Arial Narrow" w:hAnsi="Arial Narrow"/>
                <w:b/>
                <w:sz w:val="18"/>
                <w:szCs w:val="18"/>
              </w:rPr>
            </w:pPr>
            <w:r w:rsidRPr="0024259E">
              <w:rPr>
                <w:rFonts w:ascii="Arial Narrow" w:hAnsi="Arial Narrow"/>
                <w:b/>
                <w:sz w:val="18"/>
                <w:szCs w:val="18"/>
              </w:rPr>
              <w:t>Max. qty packs</w:t>
            </w:r>
          </w:p>
        </w:tc>
        <w:tc>
          <w:tcPr>
            <w:tcW w:w="851" w:type="dxa"/>
          </w:tcPr>
          <w:p w:rsidR="0024259E" w:rsidRPr="0024259E" w:rsidRDefault="0024259E" w:rsidP="00552251">
            <w:pPr>
              <w:keepNext/>
              <w:ind w:left="-108"/>
              <w:jc w:val="center"/>
              <w:rPr>
                <w:rFonts w:ascii="Arial Narrow" w:hAnsi="Arial Narrow"/>
                <w:b/>
                <w:sz w:val="18"/>
                <w:szCs w:val="18"/>
              </w:rPr>
            </w:pPr>
            <w:r w:rsidRPr="0024259E">
              <w:rPr>
                <w:rFonts w:ascii="Arial Narrow" w:hAnsi="Arial Narrow"/>
                <w:b/>
                <w:sz w:val="18"/>
                <w:szCs w:val="18"/>
              </w:rPr>
              <w:t>Max. qty units</w:t>
            </w:r>
          </w:p>
        </w:tc>
        <w:tc>
          <w:tcPr>
            <w:tcW w:w="850" w:type="dxa"/>
          </w:tcPr>
          <w:p w:rsidR="0024259E" w:rsidRPr="0024259E" w:rsidRDefault="0024259E" w:rsidP="00552251">
            <w:pPr>
              <w:keepNext/>
              <w:ind w:left="-108"/>
              <w:jc w:val="center"/>
              <w:rPr>
                <w:rFonts w:ascii="Arial Narrow" w:hAnsi="Arial Narrow"/>
                <w:b/>
                <w:sz w:val="18"/>
                <w:szCs w:val="18"/>
              </w:rPr>
            </w:pPr>
            <w:r w:rsidRPr="0024259E">
              <w:rPr>
                <w:rFonts w:ascii="Arial Narrow" w:hAnsi="Arial Narrow"/>
                <w:b/>
                <w:sz w:val="18"/>
                <w:szCs w:val="18"/>
              </w:rPr>
              <w:t>№.of</w:t>
            </w:r>
          </w:p>
          <w:p w:rsidR="0024259E" w:rsidRPr="0024259E" w:rsidRDefault="0024259E" w:rsidP="00552251">
            <w:pPr>
              <w:keepNext/>
              <w:ind w:left="-108"/>
              <w:jc w:val="center"/>
              <w:rPr>
                <w:rFonts w:ascii="Arial Narrow" w:hAnsi="Arial Narrow"/>
                <w:b/>
                <w:sz w:val="18"/>
                <w:szCs w:val="18"/>
              </w:rPr>
            </w:pPr>
            <w:r w:rsidRPr="0024259E">
              <w:rPr>
                <w:rFonts w:ascii="Arial Narrow" w:hAnsi="Arial Narrow"/>
                <w:b/>
                <w:sz w:val="18"/>
                <w:szCs w:val="18"/>
              </w:rPr>
              <w:t>Rpts</w:t>
            </w:r>
          </w:p>
        </w:tc>
        <w:tc>
          <w:tcPr>
            <w:tcW w:w="1701" w:type="dxa"/>
          </w:tcPr>
          <w:p w:rsidR="0024259E" w:rsidRPr="0024259E" w:rsidRDefault="0024259E" w:rsidP="0024259E">
            <w:pPr>
              <w:keepNext/>
              <w:ind w:left="-108"/>
              <w:jc w:val="center"/>
              <w:rPr>
                <w:rFonts w:ascii="Arial Narrow" w:hAnsi="Arial Narrow"/>
                <w:b/>
                <w:sz w:val="18"/>
                <w:szCs w:val="18"/>
              </w:rPr>
            </w:pPr>
            <w:r w:rsidRPr="0024259E">
              <w:rPr>
                <w:rFonts w:ascii="Arial Narrow" w:hAnsi="Arial Narrow"/>
                <w:b/>
                <w:sz w:val="18"/>
                <w:szCs w:val="18"/>
              </w:rPr>
              <w:t>Dispensed price for maximum quantity</w:t>
            </w:r>
          </w:p>
        </w:tc>
        <w:tc>
          <w:tcPr>
            <w:tcW w:w="1701" w:type="dxa"/>
          </w:tcPr>
          <w:p w:rsidR="0024259E" w:rsidRPr="0024259E" w:rsidRDefault="0024259E" w:rsidP="00552251">
            <w:pPr>
              <w:keepNext/>
              <w:rPr>
                <w:rFonts w:ascii="Arial Narrow" w:hAnsi="Arial Narrow"/>
                <w:b/>
                <w:sz w:val="18"/>
                <w:szCs w:val="18"/>
                <w:lang w:val="fr-FR"/>
              </w:rPr>
            </w:pPr>
            <w:r w:rsidRPr="0024259E">
              <w:rPr>
                <w:rFonts w:ascii="Arial Narrow" w:hAnsi="Arial Narrow"/>
                <w:b/>
                <w:sz w:val="18"/>
                <w:szCs w:val="18"/>
              </w:rPr>
              <w:t>Available brands</w:t>
            </w:r>
          </w:p>
        </w:tc>
      </w:tr>
      <w:tr w:rsidR="0024259E" w:rsidRPr="0024259E" w:rsidTr="00552251">
        <w:trPr>
          <w:cantSplit/>
          <w:trHeight w:val="224"/>
        </w:trPr>
        <w:tc>
          <w:tcPr>
            <w:tcW w:w="9067" w:type="dxa"/>
            <w:gridSpan w:val="9"/>
          </w:tcPr>
          <w:p w:rsidR="0024259E" w:rsidRPr="0024259E" w:rsidRDefault="0024259E" w:rsidP="00552251">
            <w:pPr>
              <w:keepNext/>
              <w:ind w:left="22"/>
              <w:rPr>
                <w:rFonts w:ascii="Arial Narrow" w:hAnsi="Arial Narrow"/>
                <w:sz w:val="18"/>
                <w:szCs w:val="18"/>
              </w:rPr>
            </w:pPr>
            <w:r w:rsidRPr="0024259E">
              <w:rPr>
                <w:rFonts w:ascii="Arial Narrow" w:hAnsi="Arial Narrow"/>
                <w:color w:val="000000" w:themeColor="text1"/>
                <w:sz w:val="18"/>
                <w:szCs w:val="18"/>
              </w:rPr>
              <w:t>RIPRETINIB</w:t>
            </w:r>
            <w:r w:rsidRPr="0024259E">
              <w:rPr>
                <w:rFonts w:ascii="Arial Narrow" w:hAnsi="Arial Narrow"/>
                <w:sz w:val="18"/>
                <w:szCs w:val="18"/>
              </w:rPr>
              <w:t xml:space="preserve">  </w:t>
            </w:r>
          </w:p>
        </w:tc>
      </w:tr>
      <w:tr w:rsidR="0024259E" w:rsidRPr="0024259E" w:rsidTr="0024259E">
        <w:trPr>
          <w:cantSplit/>
          <w:trHeight w:val="553"/>
        </w:trPr>
        <w:tc>
          <w:tcPr>
            <w:tcW w:w="1980" w:type="dxa"/>
            <w:gridSpan w:val="3"/>
          </w:tcPr>
          <w:p w:rsidR="0024259E" w:rsidRPr="0024259E" w:rsidRDefault="0024259E" w:rsidP="00552251">
            <w:pPr>
              <w:keepNext/>
              <w:ind w:left="22"/>
              <w:rPr>
                <w:rFonts w:ascii="Arial Narrow" w:hAnsi="Arial Narrow"/>
                <w:sz w:val="18"/>
                <w:szCs w:val="18"/>
              </w:rPr>
            </w:pPr>
            <w:r w:rsidRPr="0024259E">
              <w:rPr>
                <w:rFonts w:ascii="Arial Narrow" w:hAnsi="Arial Narrow"/>
                <w:sz w:val="18"/>
                <w:szCs w:val="18"/>
              </w:rPr>
              <w:t>ripretinib 50 mg tablet, 90</w:t>
            </w:r>
          </w:p>
        </w:tc>
        <w:tc>
          <w:tcPr>
            <w:tcW w:w="992" w:type="dxa"/>
          </w:tcPr>
          <w:p w:rsidR="0024259E" w:rsidRPr="0024259E" w:rsidRDefault="0024259E" w:rsidP="00552251">
            <w:pPr>
              <w:keepNext/>
              <w:jc w:val="center"/>
              <w:rPr>
                <w:rFonts w:ascii="Arial Narrow" w:hAnsi="Arial Narrow"/>
                <w:sz w:val="18"/>
                <w:szCs w:val="18"/>
              </w:rPr>
            </w:pPr>
            <w:r w:rsidRPr="0024259E">
              <w:rPr>
                <w:rFonts w:ascii="Arial Narrow" w:hAnsi="Arial Narrow"/>
                <w:sz w:val="18"/>
                <w:szCs w:val="18"/>
              </w:rPr>
              <w:t>NEW</w:t>
            </w:r>
          </w:p>
        </w:tc>
        <w:tc>
          <w:tcPr>
            <w:tcW w:w="992" w:type="dxa"/>
          </w:tcPr>
          <w:p w:rsidR="0024259E" w:rsidRPr="0024259E" w:rsidRDefault="0024259E" w:rsidP="00552251">
            <w:pPr>
              <w:keepNext/>
              <w:jc w:val="center"/>
              <w:rPr>
                <w:rFonts w:ascii="Arial Narrow" w:hAnsi="Arial Narrow"/>
                <w:sz w:val="18"/>
                <w:szCs w:val="18"/>
              </w:rPr>
            </w:pPr>
            <w:r w:rsidRPr="0024259E">
              <w:rPr>
                <w:rFonts w:ascii="Arial Narrow" w:hAnsi="Arial Narrow"/>
                <w:sz w:val="18"/>
                <w:szCs w:val="18"/>
              </w:rPr>
              <w:t>1</w:t>
            </w:r>
          </w:p>
        </w:tc>
        <w:tc>
          <w:tcPr>
            <w:tcW w:w="851" w:type="dxa"/>
          </w:tcPr>
          <w:p w:rsidR="0024259E" w:rsidRPr="0024259E" w:rsidRDefault="0024259E" w:rsidP="00552251">
            <w:pPr>
              <w:keepNext/>
              <w:jc w:val="center"/>
              <w:rPr>
                <w:rFonts w:ascii="Arial Narrow" w:hAnsi="Arial Narrow"/>
                <w:sz w:val="18"/>
                <w:szCs w:val="18"/>
              </w:rPr>
            </w:pPr>
            <w:r w:rsidRPr="0024259E">
              <w:rPr>
                <w:rFonts w:ascii="Arial Narrow" w:hAnsi="Arial Narrow"/>
                <w:sz w:val="18"/>
                <w:szCs w:val="18"/>
              </w:rPr>
              <w:t>90</w:t>
            </w:r>
          </w:p>
        </w:tc>
        <w:tc>
          <w:tcPr>
            <w:tcW w:w="850" w:type="dxa"/>
          </w:tcPr>
          <w:p w:rsidR="0024259E" w:rsidRPr="0024259E" w:rsidRDefault="0024259E" w:rsidP="00552251">
            <w:pPr>
              <w:keepNext/>
              <w:jc w:val="center"/>
              <w:rPr>
                <w:rFonts w:ascii="Arial Narrow" w:hAnsi="Arial Narrow"/>
                <w:sz w:val="18"/>
                <w:szCs w:val="18"/>
              </w:rPr>
            </w:pPr>
            <w:r w:rsidRPr="0024259E">
              <w:rPr>
                <w:rFonts w:ascii="Arial Narrow" w:hAnsi="Arial Narrow"/>
                <w:sz w:val="18"/>
                <w:szCs w:val="18"/>
              </w:rPr>
              <w:t>1</w:t>
            </w:r>
          </w:p>
        </w:tc>
        <w:tc>
          <w:tcPr>
            <w:tcW w:w="1701" w:type="dxa"/>
          </w:tcPr>
          <w:p w:rsidR="0024259E" w:rsidRPr="0024259E" w:rsidRDefault="0024259E" w:rsidP="0024259E">
            <w:pPr>
              <w:keepNext/>
              <w:jc w:val="left"/>
              <w:rPr>
                <w:rFonts w:ascii="Arial Narrow" w:hAnsi="Arial Narrow"/>
                <w:sz w:val="18"/>
                <w:szCs w:val="18"/>
              </w:rPr>
            </w:pPr>
            <w:r w:rsidRPr="0024259E">
              <w:rPr>
                <w:rFonts w:ascii="Arial Narrow" w:hAnsi="Arial Narrow"/>
                <w:sz w:val="18"/>
                <w:szCs w:val="18"/>
              </w:rPr>
              <w:t>$</w:t>
            </w:r>
            <w:r w:rsidR="00E45AE8">
              <w:rPr>
                <w:rFonts w:ascii="Arial Narrow" w:hAnsi="Arial Narrow"/>
                <w:noProof/>
                <w:color w:val="000000"/>
                <w:sz w:val="18"/>
                <w:szCs w:val="18"/>
                <w:highlight w:val="black"/>
              </w:rPr>
              <w:t>''''''''''''''''</w:t>
            </w:r>
            <w:r w:rsidRPr="0024259E">
              <w:rPr>
                <w:rFonts w:ascii="Arial Narrow" w:hAnsi="Arial Narrow"/>
                <w:sz w:val="18"/>
                <w:szCs w:val="18"/>
              </w:rPr>
              <w:t xml:space="preserve"> published price</w:t>
            </w:r>
          </w:p>
          <w:p w:rsidR="0024259E" w:rsidRPr="0024259E" w:rsidRDefault="0024259E" w:rsidP="0024259E">
            <w:pPr>
              <w:keepNext/>
              <w:jc w:val="left"/>
              <w:rPr>
                <w:rFonts w:ascii="Arial Narrow" w:hAnsi="Arial Narrow"/>
                <w:sz w:val="18"/>
                <w:szCs w:val="18"/>
              </w:rPr>
            </w:pPr>
            <w:r w:rsidRPr="0024259E">
              <w:rPr>
                <w:rFonts w:ascii="Arial Narrow" w:hAnsi="Arial Narrow"/>
                <w:sz w:val="18"/>
                <w:szCs w:val="18"/>
              </w:rPr>
              <w:t>$</w:t>
            </w:r>
            <w:r w:rsidR="00E45AE8">
              <w:rPr>
                <w:rFonts w:ascii="Arial Narrow" w:hAnsi="Arial Narrow"/>
                <w:noProof/>
                <w:color w:val="000000"/>
                <w:sz w:val="18"/>
                <w:szCs w:val="18"/>
                <w:highlight w:val="black"/>
              </w:rPr>
              <w:t>'''''''''''''''</w:t>
            </w:r>
            <w:r w:rsidRPr="0024259E">
              <w:rPr>
                <w:rFonts w:ascii="Arial Narrow" w:hAnsi="Arial Narrow"/>
                <w:sz w:val="18"/>
                <w:szCs w:val="18"/>
              </w:rPr>
              <w:t xml:space="preserve"> effective price</w:t>
            </w:r>
          </w:p>
        </w:tc>
        <w:tc>
          <w:tcPr>
            <w:tcW w:w="1701" w:type="dxa"/>
          </w:tcPr>
          <w:p w:rsidR="0024259E" w:rsidRPr="0024259E" w:rsidRDefault="0024259E" w:rsidP="00552251">
            <w:pPr>
              <w:keepNext/>
              <w:rPr>
                <w:rFonts w:ascii="Arial Narrow" w:hAnsi="Arial Narrow"/>
                <w:sz w:val="18"/>
                <w:szCs w:val="18"/>
              </w:rPr>
            </w:pPr>
            <w:r w:rsidRPr="0024259E">
              <w:rPr>
                <w:rFonts w:ascii="Arial Narrow" w:hAnsi="Arial Narrow"/>
                <w:sz w:val="18"/>
                <w:szCs w:val="18"/>
              </w:rPr>
              <w:t>Qinlock</w:t>
            </w:r>
          </w:p>
        </w:tc>
      </w:tr>
      <w:tr w:rsidR="0024259E" w:rsidRPr="0024259E" w:rsidTr="00552251">
        <w:tblPrEx>
          <w:tblCellMar>
            <w:top w:w="15" w:type="dxa"/>
            <w:left w:w="15" w:type="dxa"/>
            <w:bottom w:w="15" w:type="dxa"/>
            <w:right w:w="15" w:type="dxa"/>
          </w:tblCellMar>
          <w:tblLook w:val="04A0" w:firstRow="1" w:lastRow="0" w:firstColumn="1" w:lastColumn="0" w:noHBand="0" w:noVBand="1"/>
        </w:tblPrEx>
        <w:tc>
          <w:tcPr>
            <w:tcW w:w="9067" w:type="dxa"/>
            <w:gridSpan w:val="9"/>
            <w:tcBorders>
              <w:top w:val="single" w:sz="4" w:space="0" w:color="auto"/>
              <w:left w:val="single" w:sz="4" w:space="0" w:color="auto"/>
              <w:right w:val="single" w:sz="4" w:space="0" w:color="auto"/>
            </w:tcBorders>
          </w:tcPr>
          <w:p w:rsidR="0024259E" w:rsidRPr="0024259E" w:rsidRDefault="0024259E" w:rsidP="00552251">
            <w:pPr>
              <w:rPr>
                <w:rFonts w:ascii="Arial Narrow" w:hAnsi="Arial Narrow"/>
                <w:b/>
                <w:sz w:val="18"/>
                <w:szCs w:val="18"/>
              </w:rPr>
            </w:pPr>
          </w:p>
        </w:tc>
      </w:tr>
      <w:tr w:rsidR="0024259E" w:rsidRPr="0024259E" w:rsidTr="00552251">
        <w:tblPrEx>
          <w:tblCellMar>
            <w:top w:w="15" w:type="dxa"/>
            <w:left w:w="15" w:type="dxa"/>
            <w:bottom w:w="15" w:type="dxa"/>
            <w:right w:w="15" w:type="dxa"/>
          </w:tblCellMar>
          <w:tblLook w:val="04A0" w:firstRow="1" w:lastRow="0" w:firstColumn="1" w:lastColumn="0" w:noHBand="0" w:noVBand="1"/>
        </w:tblPrEx>
        <w:tc>
          <w:tcPr>
            <w:tcW w:w="9067" w:type="dxa"/>
            <w:gridSpan w:val="9"/>
            <w:tcBorders>
              <w:top w:val="single" w:sz="4" w:space="0" w:color="auto"/>
              <w:left w:val="single" w:sz="4" w:space="0" w:color="auto"/>
              <w:right w:val="single" w:sz="4" w:space="0" w:color="auto"/>
            </w:tcBorders>
          </w:tcPr>
          <w:p w:rsidR="0024259E" w:rsidRPr="0024259E" w:rsidRDefault="0024259E" w:rsidP="00552251">
            <w:pPr>
              <w:ind w:left="57"/>
              <w:rPr>
                <w:rFonts w:ascii="Arial Narrow" w:hAnsi="Arial Narrow"/>
                <w:b/>
                <w:sz w:val="18"/>
                <w:szCs w:val="18"/>
              </w:rPr>
            </w:pPr>
            <w:r w:rsidRPr="0024259E">
              <w:rPr>
                <w:rFonts w:ascii="Arial Narrow" w:hAnsi="Arial Narrow"/>
                <w:b/>
                <w:sz w:val="18"/>
                <w:szCs w:val="18"/>
              </w:rPr>
              <w:t>Restriction Summary [new] 4567 / Treatment of Concept: [new] 1234</w:t>
            </w:r>
          </w:p>
        </w:tc>
      </w:tr>
      <w:tr w:rsidR="0024259E" w:rsidRPr="0024259E" w:rsidTr="00552251">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24259E" w:rsidRPr="0024259E" w:rsidRDefault="0024259E" w:rsidP="00552251">
            <w:pPr>
              <w:rPr>
                <w:rFonts w:ascii="Arial Narrow" w:hAnsi="Arial Narrow"/>
                <w:i/>
                <w:sz w:val="18"/>
                <w:szCs w:val="18"/>
              </w:rPr>
            </w:pPr>
          </w:p>
          <w:p w:rsidR="0024259E" w:rsidRPr="0024259E" w:rsidRDefault="0024259E" w:rsidP="00552251">
            <w:pPr>
              <w:rPr>
                <w:rFonts w:ascii="Arial Narrow" w:hAnsi="Arial Narrow"/>
                <w:b/>
                <w:sz w:val="18"/>
                <w:szCs w:val="18"/>
              </w:rPr>
            </w:pPr>
          </w:p>
        </w:tc>
        <w:tc>
          <w:tcPr>
            <w:tcW w:w="8086" w:type="dxa"/>
            <w:gridSpan w:val="8"/>
            <w:tcBorders>
              <w:top w:val="single" w:sz="4" w:space="0" w:color="auto"/>
              <w:left w:val="single" w:sz="4" w:space="0" w:color="auto"/>
              <w:bottom w:val="single" w:sz="4" w:space="0" w:color="auto"/>
              <w:right w:val="single" w:sz="4" w:space="0" w:color="auto"/>
            </w:tcBorders>
          </w:tcPr>
          <w:p w:rsidR="0024259E" w:rsidRPr="0024259E" w:rsidRDefault="0024259E" w:rsidP="00552251">
            <w:pPr>
              <w:rPr>
                <w:rFonts w:ascii="Arial Narrow" w:hAnsi="Arial Narrow"/>
                <w:sz w:val="18"/>
                <w:szCs w:val="18"/>
              </w:rPr>
            </w:pPr>
            <w:r w:rsidRPr="0024259E">
              <w:rPr>
                <w:rFonts w:ascii="Arial Narrow" w:hAnsi="Arial Narrow"/>
                <w:b/>
                <w:sz w:val="18"/>
                <w:szCs w:val="18"/>
              </w:rPr>
              <w:t xml:space="preserve">Category / Program:   </w:t>
            </w:r>
            <w:r w:rsidRPr="0024259E">
              <w:rPr>
                <w:rFonts w:ascii="Arial Narrow" w:hAnsi="Arial Narrow"/>
                <w:sz w:val="18"/>
                <w:szCs w:val="18"/>
              </w:rPr>
              <w:t xml:space="preserve">GENERAL – General Schedule (Code GE) </w:t>
            </w:r>
          </w:p>
        </w:tc>
      </w:tr>
      <w:tr w:rsidR="0024259E" w:rsidRPr="0024259E" w:rsidTr="00552251">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24259E" w:rsidRPr="0024259E" w:rsidRDefault="0024259E" w:rsidP="00552251">
            <w:pPr>
              <w:rPr>
                <w:rFonts w:ascii="Arial Narrow" w:hAnsi="Arial Narrow"/>
                <w:sz w:val="18"/>
                <w:szCs w:val="18"/>
              </w:rPr>
            </w:pPr>
          </w:p>
        </w:tc>
        <w:tc>
          <w:tcPr>
            <w:tcW w:w="8086" w:type="dxa"/>
            <w:gridSpan w:val="8"/>
            <w:tcBorders>
              <w:top w:val="single" w:sz="4" w:space="0" w:color="auto"/>
              <w:left w:val="single" w:sz="4" w:space="0" w:color="auto"/>
              <w:bottom w:val="single" w:sz="4" w:space="0" w:color="auto"/>
              <w:right w:val="single" w:sz="4" w:space="0" w:color="auto"/>
            </w:tcBorders>
          </w:tcPr>
          <w:p w:rsidR="0024259E" w:rsidRPr="0024259E" w:rsidRDefault="0024259E" w:rsidP="00552251">
            <w:pPr>
              <w:rPr>
                <w:rFonts w:ascii="Arial Narrow" w:hAnsi="Arial Narrow"/>
                <w:b/>
                <w:sz w:val="18"/>
                <w:szCs w:val="18"/>
              </w:rPr>
            </w:pPr>
            <w:r w:rsidRPr="0024259E">
              <w:rPr>
                <w:rFonts w:ascii="Arial Narrow" w:hAnsi="Arial Narrow"/>
                <w:b/>
                <w:sz w:val="18"/>
                <w:szCs w:val="18"/>
              </w:rPr>
              <w:t>Prescriber type:</w:t>
            </w:r>
            <w:r w:rsidRPr="0024259E">
              <w:rPr>
                <w:rFonts w:ascii="Arial Narrow" w:hAnsi="Arial Narrow"/>
                <w:sz w:val="18"/>
                <w:szCs w:val="18"/>
              </w:rPr>
              <w:t xml:space="preserve"> </w:t>
            </w:r>
            <w:r w:rsidRPr="0024259E">
              <w:rPr>
                <w:rFonts w:ascii="Arial Narrow" w:hAnsi="Arial Narrow"/>
                <w:sz w:val="18"/>
                <w:szCs w:val="18"/>
              </w:rPr>
              <w:fldChar w:fldCharType="begin">
                <w:ffData>
                  <w:name w:val=""/>
                  <w:enabled/>
                  <w:calcOnExit w:val="0"/>
                  <w:checkBox>
                    <w:sizeAuto/>
                    <w:default w:val="1"/>
                  </w:checkBox>
                </w:ffData>
              </w:fldChar>
            </w:r>
            <w:r w:rsidRPr="0024259E">
              <w:rPr>
                <w:rFonts w:ascii="Arial Narrow" w:hAnsi="Arial Narrow"/>
                <w:sz w:val="18"/>
                <w:szCs w:val="18"/>
              </w:rPr>
              <w:instrText xml:space="preserve"> FORMCHECKBOX </w:instrText>
            </w:r>
            <w:r w:rsidR="00B045E4">
              <w:rPr>
                <w:rFonts w:ascii="Arial Narrow" w:hAnsi="Arial Narrow"/>
                <w:sz w:val="18"/>
                <w:szCs w:val="18"/>
              </w:rPr>
            </w:r>
            <w:r w:rsidR="00B045E4">
              <w:rPr>
                <w:rFonts w:ascii="Arial Narrow" w:hAnsi="Arial Narrow"/>
                <w:sz w:val="18"/>
                <w:szCs w:val="18"/>
              </w:rPr>
              <w:fldChar w:fldCharType="separate"/>
            </w:r>
            <w:r w:rsidRPr="0024259E">
              <w:rPr>
                <w:rFonts w:ascii="Arial Narrow" w:hAnsi="Arial Narrow"/>
                <w:sz w:val="18"/>
                <w:szCs w:val="18"/>
              </w:rPr>
              <w:fldChar w:fldCharType="end"/>
            </w:r>
            <w:r w:rsidRPr="0024259E">
              <w:rPr>
                <w:rFonts w:ascii="Arial Narrow" w:hAnsi="Arial Narrow"/>
                <w:sz w:val="18"/>
                <w:szCs w:val="18"/>
              </w:rPr>
              <w:t xml:space="preserve">Medical Practitioners    </w:t>
            </w:r>
          </w:p>
        </w:tc>
      </w:tr>
      <w:tr w:rsidR="0024259E" w:rsidRPr="0024259E" w:rsidTr="00552251">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rsidR="0024259E" w:rsidRPr="0024259E" w:rsidRDefault="0024259E" w:rsidP="00552251">
            <w:pPr>
              <w:rPr>
                <w:rFonts w:ascii="Arial Narrow" w:hAnsi="Arial Narrow"/>
                <w:sz w:val="18"/>
                <w:szCs w:val="18"/>
              </w:rPr>
            </w:pPr>
          </w:p>
        </w:tc>
        <w:tc>
          <w:tcPr>
            <w:tcW w:w="8086" w:type="dxa"/>
            <w:gridSpan w:val="8"/>
            <w:tcBorders>
              <w:top w:val="single" w:sz="4" w:space="0" w:color="auto"/>
              <w:left w:val="single" w:sz="4" w:space="0" w:color="auto"/>
              <w:bottom w:val="single" w:sz="4" w:space="0" w:color="auto"/>
              <w:right w:val="single" w:sz="4" w:space="0" w:color="auto"/>
            </w:tcBorders>
          </w:tcPr>
          <w:p w:rsidR="0024259E" w:rsidRPr="0024259E" w:rsidRDefault="0024259E" w:rsidP="00552251">
            <w:pPr>
              <w:rPr>
                <w:rFonts w:ascii="Arial Narrow" w:hAnsi="Arial Narrow"/>
                <w:b/>
                <w:sz w:val="18"/>
                <w:szCs w:val="18"/>
              </w:rPr>
            </w:pPr>
            <w:r w:rsidRPr="0024259E">
              <w:rPr>
                <w:rFonts w:ascii="Arial Narrow" w:hAnsi="Arial Narrow"/>
                <w:b/>
                <w:sz w:val="18"/>
                <w:szCs w:val="18"/>
              </w:rPr>
              <w:t xml:space="preserve">Restriction type: </w:t>
            </w:r>
          </w:p>
          <w:p w:rsidR="0024259E" w:rsidRPr="0024259E" w:rsidRDefault="0024259E" w:rsidP="00552251">
            <w:pPr>
              <w:rPr>
                <w:rFonts w:ascii="Arial Narrow" w:eastAsia="Calibri" w:hAnsi="Arial Narrow"/>
                <w:color w:val="FF00FF"/>
                <w:sz w:val="18"/>
                <w:szCs w:val="18"/>
              </w:rPr>
            </w:pPr>
            <w:r w:rsidRPr="0024259E">
              <w:rPr>
                <w:rFonts w:ascii="Arial Narrow" w:eastAsia="Calibri" w:hAnsi="Arial Narrow"/>
                <w:sz w:val="18"/>
                <w:szCs w:val="18"/>
              </w:rPr>
              <w:fldChar w:fldCharType="begin">
                <w:ffData>
                  <w:name w:val=""/>
                  <w:enabled/>
                  <w:calcOnExit w:val="0"/>
                  <w:checkBox>
                    <w:sizeAuto/>
                    <w:default w:val="1"/>
                  </w:checkBox>
                </w:ffData>
              </w:fldChar>
            </w:r>
            <w:r w:rsidRPr="0024259E">
              <w:rPr>
                <w:rFonts w:ascii="Arial Narrow" w:eastAsia="Calibri" w:hAnsi="Arial Narrow"/>
                <w:sz w:val="18"/>
                <w:szCs w:val="18"/>
              </w:rPr>
              <w:instrText xml:space="preserve"> FORMCHECKBOX </w:instrText>
            </w:r>
            <w:r w:rsidR="00B045E4">
              <w:rPr>
                <w:rFonts w:ascii="Arial Narrow" w:eastAsia="Calibri" w:hAnsi="Arial Narrow"/>
                <w:sz w:val="18"/>
                <w:szCs w:val="18"/>
              </w:rPr>
            </w:r>
            <w:r w:rsidR="00B045E4">
              <w:rPr>
                <w:rFonts w:ascii="Arial Narrow" w:eastAsia="Calibri" w:hAnsi="Arial Narrow"/>
                <w:sz w:val="18"/>
                <w:szCs w:val="18"/>
              </w:rPr>
              <w:fldChar w:fldCharType="separate"/>
            </w:r>
            <w:r w:rsidRPr="0024259E">
              <w:rPr>
                <w:rFonts w:ascii="Arial Narrow" w:eastAsia="Calibri" w:hAnsi="Arial Narrow"/>
                <w:sz w:val="18"/>
                <w:szCs w:val="18"/>
              </w:rPr>
              <w:fldChar w:fldCharType="end"/>
            </w:r>
            <w:r w:rsidRPr="0024259E">
              <w:rPr>
                <w:rFonts w:ascii="Arial Narrow" w:eastAsia="Calibri" w:hAnsi="Arial Narrow"/>
                <w:sz w:val="18"/>
                <w:szCs w:val="18"/>
              </w:rPr>
              <w:t xml:space="preserve">Authority Required – non-immediate/delayed assessment by Services Australia (In-writing only via mail/postal service or electronic upload to Hobart) </w:t>
            </w:r>
          </w:p>
        </w:tc>
      </w:tr>
      <w:tr w:rsidR="0024259E" w:rsidRPr="0024259E" w:rsidTr="00552251">
        <w:tblPrEx>
          <w:tblCellMar>
            <w:top w:w="15" w:type="dxa"/>
            <w:left w:w="15" w:type="dxa"/>
            <w:bottom w:w="15" w:type="dxa"/>
            <w:right w:w="15" w:type="dxa"/>
          </w:tblCellMar>
          <w:tblLook w:val="04A0" w:firstRow="1" w:lastRow="0" w:firstColumn="1" w:lastColumn="0" w:noHBand="0" w:noVBand="1"/>
        </w:tblPrEx>
        <w:tc>
          <w:tcPr>
            <w:tcW w:w="987" w:type="dxa"/>
            <w:gridSpan w:val="2"/>
            <w:vAlign w:val="center"/>
          </w:tcPr>
          <w:p w:rsidR="0024259E" w:rsidRPr="0024259E" w:rsidRDefault="0024259E" w:rsidP="00552251">
            <w:pPr>
              <w:jc w:val="center"/>
              <w:rPr>
                <w:rFonts w:ascii="Arial Narrow" w:hAnsi="Arial Narrow"/>
                <w:color w:val="333333"/>
                <w:sz w:val="18"/>
                <w:szCs w:val="18"/>
                <w:lang w:eastAsia="en-AU"/>
              </w:rPr>
            </w:pPr>
          </w:p>
        </w:tc>
        <w:tc>
          <w:tcPr>
            <w:tcW w:w="8080" w:type="dxa"/>
            <w:gridSpan w:val="7"/>
            <w:vAlign w:val="center"/>
          </w:tcPr>
          <w:p w:rsidR="0024259E" w:rsidRPr="0024259E" w:rsidRDefault="0024259E" w:rsidP="00552251">
            <w:pPr>
              <w:rPr>
                <w:rFonts w:ascii="Arial Narrow" w:hAnsi="Arial Narrow"/>
                <w:i/>
                <w:color w:val="333333"/>
                <w:sz w:val="18"/>
                <w:szCs w:val="18"/>
                <w:lang w:eastAsia="en-AU"/>
              </w:rPr>
            </w:pPr>
            <w:r w:rsidRPr="0024259E">
              <w:rPr>
                <w:rFonts w:ascii="Arial Narrow" w:hAnsi="Arial Narrow"/>
                <w:b/>
                <w:bCs/>
                <w:i/>
                <w:color w:val="333333"/>
                <w:sz w:val="18"/>
                <w:szCs w:val="18"/>
                <w:lang w:eastAsia="en-AU"/>
              </w:rPr>
              <w:t>Administrative Advice:</w:t>
            </w:r>
          </w:p>
          <w:p w:rsidR="0024259E" w:rsidRPr="0024259E" w:rsidRDefault="0024259E" w:rsidP="00552251">
            <w:pPr>
              <w:rPr>
                <w:rFonts w:ascii="Arial Narrow" w:hAnsi="Arial Narrow"/>
                <w:i/>
                <w:color w:val="333333"/>
                <w:sz w:val="18"/>
                <w:szCs w:val="18"/>
                <w:lang w:eastAsia="en-AU"/>
              </w:rPr>
            </w:pPr>
            <w:r w:rsidRPr="0024259E">
              <w:rPr>
                <w:rFonts w:ascii="Arial Narrow" w:hAnsi="Arial Narrow"/>
                <w:i/>
                <w:color w:val="333333"/>
                <w:sz w:val="18"/>
                <w:szCs w:val="18"/>
                <w:lang w:eastAsia="en-AU"/>
              </w:rPr>
              <w:t>No increase in the maximum quantity or number of units may be authorised.</w:t>
            </w:r>
          </w:p>
        </w:tc>
      </w:tr>
      <w:tr w:rsidR="0024259E" w:rsidRPr="0024259E" w:rsidTr="00552251">
        <w:tblPrEx>
          <w:tblCellMar>
            <w:top w:w="15" w:type="dxa"/>
            <w:left w:w="15" w:type="dxa"/>
            <w:bottom w:w="15" w:type="dxa"/>
            <w:right w:w="15" w:type="dxa"/>
          </w:tblCellMar>
          <w:tblLook w:val="04A0" w:firstRow="1" w:lastRow="0" w:firstColumn="1" w:lastColumn="0" w:noHBand="0" w:noVBand="1"/>
        </w:tblPrEx>
        <w:tc>
          <w:tcPr>
            <w:tcW w:w="987" w:type="dxa"/>
            <w:gridSpan w:val="2"/>
            <w:vAlign w:val="center"/>
          </w:tcPr>
          <w:p w:rsidR="0024259E" w:rsidRPr="0024259E" w:rsidRDefault="0024259E" w:rsidP="00552251">
            <w:pPr>
              <w:jc w:val="center"/>
              <w:rPr>
                <w:rFonts w:ascii="Arial Narrow" w:hAnsi="Arial Narrow"/>
                <w:color w:val="333333"/>
                <w:sz w:val="18"/>
                <w:szCs w:val="18"/>
                <w:lang w:eastAsia="en-AU"/>
              </w:rPr>
            </w:pPr>
          </w:p>
        </w:tc>
        <w:tc>
          <w:tcPr>
            <w:tcW w:w="8080" w:type="dxa"/>
            <w:gridSpan w:val="7"/>
            <w:vAlign w:val="center"/>
          </w:tcPr>
          <w:p w:rsidR="0024259E" w:rsidRPr="0024259E" w:rsidRDefault="0024259E" w:rsidP="00552251">
            <w:pPr>
              <w:rPr>
                <w:rFonts w:ascii="Arial Narrow" w:hAnsi="Arial Narrow"/>
                <w:i/>
                <w:color w:val="333333"/>
                <w:sz w:val="18"/>
                <w:szCs w:val="18"/>
                <w:lang w:eastAsia="en-AU"/>
              </w:rPr>
            </w:pPr>
            <w:r w:rsidRPr="0024259E">
              <w:rPr>
                <w:rFonts w:ascii="Arial Narrow" w:hAnsi="Arial Narrow"/>
                <w:b/>
                <w:bCs/>
                <w:i/>
                <w:color w:val="333333"/>
                <w:sz w:val="18"/>
                <w:szCs w:val="18"/>
                <w:lang w:eastAsia="en-AU"/>
              </w:rPr>
              <w:t>Administrative Advice:</w:t>
            </w:r>
          </w:p>
          <w:p w:rsidR="0024259E" w:rsidRPr="0024259E" w:rsidRDefault="0024259E" w:rsidP="00552251">
            <w:pPr>
              <w:rPr>
                <w:rFonts w:ascii="Arial Narrow" w:hAnsi="Arial Narrow"/>
                <w:b/>
                <w:bCs/>
                <w:i/>
                <w:color w:val="333333"/>
                <w:sz w:val="18"/>
                <w:szCs w:val="18"/>
                <w:lang w:eastAsia="en-AU"/>
              </w:rPr>
            </w:pPr>
            <w:r w:rsidRPr="0024259E">
              <w:rPr>
                <w:rFonts w:ascii="Arial Narrow" w:hAnsi="Arial Narrow"/>
                <w:i/>
                <w:color w:val="333333"/>
                <w:sz w:val="18"/>
                <w:szCs w:val="18"/>
                <w:lang w:eastAsia="en-AU"/>
              </w:rPr>
              <w:t>No increase in the maximum number of repeats may be authorised.</w:t>
            </w:r>
          </w:p>
        </w:tc>
      </w:tr>
      <w:tr w:rsidR="0024259E" w:rsidRPr="0024259E" w:rsidTr="00552251">
        <w:tblPrEx>
          <w:tblCellMar>
            <w:top w:w="15" w:type="dxa"/>
            <w:left w:w="15" w:type="dxa"/>
            <w:bottom w:w="15" w:type="dxa"/>
            <w:right w:w="15" w:type="dxa"/>
          </w:tblCellMar>
          <w:tblLook w:val="04A0" w:firstRow="1" w:lastRow="0" w:firstColumn="1" w:lastColumn="0" w:noHBand="0" w:noVBand="1"/>
        </w:tblPrEx>
        <w:trPr>
          <w:trHeight w:val="485"/>
        </w:trPr>
        <w:tc>
          <w:tcPr>
            <w:tcW w:w="987" w:type="dxa"/>
            <w:gridSpan w:val="2"/>
            <w:vAlign w:val="center"/>
          </w:tcPr>
          <w:p w:rsidR="0024259E" w:rsidRPr="0024259E" w:rsidRDefault="0024259E" w:rsidP="00552251">
            <w:pPr>
              <w:jc w:val="center"/>
              <w:rPr>
                <w:rFonts w:ascii="Arial Narrow" w:hAnsi="Arial Narrow"/>
                <w:color w:val="333333"/>
                <w:sz w:val="18"/>
                <w:szCs w:val="18"/>
                <w:lang w:eastAsia="en-AU"/>
              </w:rPr>
            </w:pPr>
          </w:p>
        </w:tc>
        <w:tc>
          <w:tcPr>
            <w:tcW w:w="8080" w:type="dxa"/>
            <w:gridSpan w:val="7"/>
            <w:vAlign w:val="center"/>
          </w:tcPr>
          <w:p w:rsidR="0024259E" w:rsidRPr="0024259E" w:rsidRDefault="0024259E" w:rsidP="00552251">
            <w:pPr>
              <w:rPr>
                <w:rFonts w:ascii="Arial Narrow" w:hAnsi="Arial Narrow"/>
                <w:i/>
                <w:color w:val="333333"/>
                <w:sz w:val="18"/>
                <w:szCs w:val="18"/>
                <w:lang w:eastAsia="en-AU"/>
              </w:rPr>
            </w:pPr>
            <w:r w:rsidRPr="0024259E">
              <w:rPr>
                <w:rFonts w:ascii="Arial Narrow" w:hAnsi="Arial Narrow"/>
                <w:b/>
                <w:bCs/>
                <w:i/>
                <w:color w:val="333333"/>
                <w:sz w:val="18"/>
                <w:szCs w:val="18"/>
                <w:lang w:eastAsia="en-AU"/>
              </w:rPr>
              <w:t>Administrative Advice:</w:t>
            </w:r>
          </w:p>
          <w:p w:rsidR="0024259E" w:rsidRPr="0024259E" w:rsidRDefault="0024259E" w:rsidP="00552251">
            <w:pPr>
              <w:rPr>
                <w:rFonts w:ascii="Arial Narrow" w:hAnsi="Arial Narrow"/>
                <w:b/>
                <w:bCs/>
                <w:i/>
                <w:color w:val="333333"/>
                <w:sz w:val="18"/>
                <w:szCs w:val="18"/>
                <w:lang w:eastAsia="en-AU"/>
              </w:rPr>
            </w:pPr>
            <w:r w:rsidRPr="0024259E">
              <w:rPr>
                <w:rFonts w:ascii="Arial Narrow" w:hAnsi="Arial Narrow"/>
                <w:i/>
                <w:color w:val="333333"/>
                <w:sz w:val="18"/>
                <w:szCs w:val="18"/>
                <w:lang w:eastAsia="en-AU"/>
              </w:rPr>
              <w:t>Special Pricing Arrangements apply.</w:t>
            </w:r>
          </w:p>
        </w:tc>
      </w:tr>
      <w:tr w:rsidR="0024259E" w:rsidRPr="0024259E" w:rsidTr="00552251">
        <w:tblPrEx>
          <w:tblCellMar>
            <w:top w:w="15" w:type="dxa"/>
            <w:left w:w="15" w:type="dxa"/>
            <w:bottom w:w="15" w:type="dxa"/>
            <w:right w:w="15" w:type="dxa"/>
          </w:tblCellMar>
          <w:tblLook w:val="04A0" w:firstRow="1" w:lastRow="0" w:firstColumn="1" w:lastColumn="0" w:noHBand="0" w:noVBand="1"/>
        </w:tblPrEx>
        <w:tc>
          <w:tcPr>
            <w:tcW w:w="981" w:type="dxa"/>
            <w:vMerge w:val="restart"/>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8"/>
            <w:vAlign w:val="center"/>
          </w:tcPr>
          <w:p w:rsidR="0024259E" w:rsidRPr="0024259E" w:rsidRDefault="0024259E" w:rsidP="00552251">
            <w:pPr>
              <w:rPr>
                <w:rFonts w:ascii="Arial Narrow" w:hAnsi="Arial Narrow"/>
                <w:bCs/>
                <w:color w:val="333333"/>
                <w:sz w:val="18"/>
                <w:szCs w:val="18"/>
                <w:lang w:eastAsia="en-AU"/>
              </w:rPr>
            </w:pPr>
            <w:r w:rsidRPr="0024259E">
              <w:rPr>
                <w:rFonts w:ascii="Arial Narrow" w:hAnsi="Arial Narrow"/>
                <w:b/>
                <w:bCs/>
                <w:color w:val="333333"/>
                <w:sz w:val="18"/>
                <w:szCs w:val="18"/>
                <w:lang w:eastAsia="en-AU"/>
              </w:rPr>
              <w:t xml:space="preserve">Episodicity: </w:t>
            </w:r>
            <w:r w:rsidRPr="0024259E">
              <w:rPr>
                <w:rFonts w:ascii="Arial Narrow" w:hAnsi="Arial Narrow"/>
                <w:bCs/>
                <w:color w:val="333333"/>
                <w:sz w:val="18"/>
                <w:szCs w:val="18"/>
                <w:lang w:eastAsia="en-AU"/>
              </w:rPr>
              <w:t>blank</w:t>
            </w:r>
          </w:p>
        </w:tc>
      </w:tr>
      <w:tr w:rsidR="0024259E" w:rsidRPr="0024259E" w:rsidTr="00552251">
        <w:tblPrEx>
          <w:tblCellMar>
            <w:top w:w="15" w:type="dxa"/>
            <w:left w:w="15" w:type="dxa"/>
            <w:bottom w:w="15" w:type="dxa"/>
            <w:right w:w="15" w:type="dxa"/>
          </w:tblCellMar>
          <w:tblLook w:val="04A0" w:firstRow="1" w:lastRow="0" w:firstColumn="1" w:lastColumn="0" w:noHBand="0" w:noVBand="1"/>
        </w:tblPrEx>
        <w:tc>
          <w:tcPr>
            <w:tcW w:w="981" w:type="dxa"/>
            <w:vMerge/>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8"/>
            <w:vAlign w:val="center"/>
          </w:tcPr>
          <w:p w:rsidR="0024259E" w:rsidRPr="0024259E" w:rsidRDefault="0024259E" w:rsidP="00552251">
            <w:pPr>
              <w:rPr>
                <w:rFonts w:ascii="Arial Narrow" w:hAnsi="Arial Narrow"/>
                <w:b/>
                <w:bCs/>
                <w:color w:val="333333"/>
                <w:sz w:val="18"/>
                <w:szCs w:val="18"/>
                <w:lang w:eastAsia="en-AU"/>
              </w:rPr>
            </w:pPr>
            <w:r w:rsidRPr="0024259E">
              <w:rPr>
                <w:rFonts w:ascii="Arial Narrow" w:hAnsi="Arial Narrow"/>
                <w:b/>
                <w:bCs/>
                <w:color w:val="333333"/>
                <w:sz w:val="18"/>
                <w:szCs w:val="18"/>
                <w:lang w:eastAsia="en-AU"/>
              </w:rPr>
              <w:t xml:space="preserve">Severity: </w:t>
            </w:r>
            <w:r w:rsidRPr="0024259E">
              <w:rPr>
                <w:rFonts w:ascii="Arial Narrow" w:hAnsi="Arial Narrow"/>
                <w:bCs/>
                <w:color w:val="000000" w:themeColor="text1"/>
                <w:sz w:val="18"/>
                <w:szCs w:val="18"/>
                <w:lang w:eastAsia="en-AU"/>
              </w:rPr>
              <w:t>Metastatic or unresectable</w:t>
            </w:r>
          </w:p>
        </w:tc>
      </w:tr>
      <w:tr w:rsidR="0024259E" w:rsidRPr="0024259E" w:rsidTr="00552251">
        <w:tblPrEx>
          <w:tblCellMar>
            <w:top w:w="15" w:type="dxa"/>
            <w:left w:w="15" w:type="dxa"/>
            <w:bottom w:w="15" w:type="dxa"/>
            <w:right w:w="15" w:type="dxa"/>
          </w:tblCellMar>
          <w:tblLook w:val="04A0" w:firstRow="1" w:lastRow="0" w:firstColumn="1" w:lastColumn="0" w:noHBand="0" w:noVBand="1"/>
        </w:tblPrEx>
        <w:tc>
          <w:tcPr>
            <w:tcW w:w="981" w:type="dxa"/>
            <w:vMerge/>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8"/>
            <w:vAlign w:val="center"/>
          </w:tcPr>
          <w:p w:rsidR="0024259E" w:rsidRPr="0024259E" w:rsidRDefault="0024259E" w:rsidP="00552251">
            <w:pPr>
              <w:rPr>
                <w:rFonts w:ascii="Arial Narrow" w:hAnsi="Arial Narrow"/>
                <w:b/>
                <w:bCs/>
                <w:color w:val="333333"/>
                <w:sz w:val="18"/>
                <w:szCs w:val="18"/>
                <w:lang w:eastAsia="en-AU"/>
              </w:rPr>
            </w:pPr>
            <w:r w:rsidRPr="0024259E">
              <w:rPr>
                <w:rFonts w:ascii="Arial Narrow" w:hAnsi="Arial Narrow"/>
                <w:b/>
                <w:bCs/>
                <w:color w:val="333333"/>
                <w:sz w:val="18"/>
                <w:szCs w:val="18"/>
                <w:lang w:eastAsia="en-AU"/>
              </w:rPr>
              <w:t xml:space="preserve">Condition: </w:t>
            </w:r>
            <w:r w:rsidRPr="0024259E">
              <w:rPr>
                <w:rFonts w:ascii="Arial Narrow" w:hAnsi="Arial Narrow"/>
                <w:bCs/>
                <w:color w:val="000000" w:themeColor="text1"/>
                <w:sz w:val="18"/>
                <w:szCs w:val="18"/>
                <w:lang w:eastAsia="en-AU"/>
              </w:rPr>
              <w:t>Malignant gastrointestinal stromal tumour</w:t>
            </w:r>
          </w:p>
        </w:tc>
      </w:tr>
      <w:tr w:rsidR="0024259E" w:rsidRPr="0024259E" w:rsidTr="00B423CC">
        <w:tblPrEx>
          <w:tblCellMar>
            <w:top w:w="15" w:type="dxa"/>
            <w:left w:w="15" w:type="dxa"/>
            <w:bottom w:w="15" w:type="dxa"/>
            <w:right w:w="15" w:type="dxa"/>
          </w:tblCellMar>
          <w:tblLook w:val="04A0" w:firstRow="1" w:lastRow="0" w:firstColumn="1" w:lastColumn="0" w:noHBand="0" w:noVBand="1"/>
        </w:tblPrEx>
        <w:tc>
          <w:tcPr>
            <w:tcW w:w="981" w:type="dxa"/>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8"/>
            <w:vAlign w:val="center"/>
            <w:hideMark/>
          </w:tcPr>
          <w:p w:rsidR="0024259E" w:rsidRPr="0024259E" w:rsidRDefault="0024259E" w:rsidP="00552251">
            <w:pPr>
              <w:rPr>
                <w:rFonts w:ascii="Arial Narrow" w:hAnsi="Arial Narrow"/>
                <w:color w:val="333333"/>
                <w:sz w:val="18"/>
                <w:szCs w:val="18"/>
                <w:lang w:eastAsia="en-AU"/>
              </w:rPr>
            </w:pPr>
            <w:r w:rsidRPr="0024259E">
              <w:rPr>
                <w:rFonts w:ascii="Arial Narrow" w:hAnsi="Arial Narrow"/>
                <w:b/>
                <w:bCs/>
                <w:color w:val="333333"/>
                <w:sz w:val="18"/>
                <w:szCs w:val="18"/>
                <w:lang w:eastAsia="en-AU"/>
              </w:rPr>
              <w:t>Indication:</w:t>
            </w:r>
            <w:r w:rsidRPr="0024259E">
              <w:rPr>
                <w:rFonts w:ascii="Arial Narrow" w:hAnsi="Arial Narrow"/>
                <w:color w:val="333333"/>
                <w:sz w:val="18"/>
                <w:szCs w:val="18"/>
                <w:lang w:eastAsia="en-AU"/>
              </w:rPr>
              <w:t xml:space="preserve"> </w:t>
            </w:r>
            <w:r w:rsidRPr="0024259E">
              <w:rPr>
                <w:rFonts w:ascii="Arial Narrow" w:hAnsi="Arial Narrow"/>
                <w:color w:val="000000" w:themeColor="text1"/>
                <w:sz w:val="18"/>
                <w:szCs w:val="18"/>
                <w:lang w:eastAsia="en-AU"/>
              </w:rPr>
              <w:t>Metastatic or unresectable malignant gastrointestinal stromal tumour</w:t>
            </w:r>
          </w:p>
        </w:tc>
      </w:tr>
      <w:tr w:rsidR="0024259E" w:rsidRPr="0024259E" w:rsidTr="00B423CC">
        <w:tblPrEx>
          <w:tblCellMar>
            <w:top w:w="15" w:type="dxa"/>
            <w:left w:w="15" w:type="dxa"/>
            <w:bottom w:w="15" w:type="dxa"/>
            <w:right w:w="15" w:type="dxa"/>
          </w:tblCellMar>
          <w:tblLook w:val="04A0" w:firstRow="1" w:lastRow="0" w:firstColumn="1" w:lastColumn="0" w:noHBand="0" w:noVBand="1"/>
        </w:tblPrEx>
        <w:tc>
          <w:tcPr>
            <w:tcW w:w="981" w:type="dxa"/>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8"/>
            <w:vAlign w:val="center"/>
            <w:hideMark/>
          </w:tcPr>
          <w:p w:rsidR="0024259E" w:rsidRPr="0024259E" w:rsidRDefault="0024259E" w:rsidP="00552251">
            <w:pPr>
              <w:rPr>
                <w:rFonts w:ascii="Arial Narrow" w:hAnsi="Arial Narrow"/>
                <w:color w:val="FF00FF"/>
                <w:sz w:val="18"/>
                <w:szCs w:val="18"/>
                <w:lang w:eastAsia="en-AU"/>
              </w:rPr>
            </w:pPr>
            <w:r w:rsidRPr="0024259E">
              <w:rPr>
                <w:rFonts w:ascii="Arial Narrow" w:hAnsi="Arial Narrow"/>
                <w:b/>
                <w:bCs/>
                <w:color w:val="333333"/>
                <w:sz w:val="18"/>
                <w:szCs w:val="18"/>
                <w:lang w:eastAsia="en-AU"/>
              </w:rPr>
              <w:t>Treatment Phase:</w:t>
            </w:r>
            <w:r w:rsidRPr="0024259E">
              <w:rPr>
                <w:rFonts w:ascii="Arial Narrow" w:hAnsi="Arial Narrow"/>
                <w:color w:val="333333"/>
                <w:sz w:val="18"/>
                <w:szCs w:val="18"/>
                <w:lang w:eastAsia="en-AU"/>
              </w:rPr>
              <w:t xml:space="preserve"> </w:t>
            </w:r>
            <w:r w:rsidRPr="0024259E">
              <w:rPr>
                <w:rFonts w:ascii="Arial Narrow" w:hAnsi="Arial Narrow"/>
                <w:color w:val="000000" w:themeColor="text1"/>
                <w:sz w:val="18"/>
                <w:szCs w:val="18"/>
                <w:lang w:eastAsia="en-AU"/>
              </w:rPr>
              <w:t>Initial treatment</w:t>
            </w:r>
            <w:r w:rsidRPr="0024259E">
              <w:rPr>
                <w:rFonts w:ascii="Arial Narrow" w:hAnsi="Arial Narrow"/>
                <w:color w:val="FF00FF"/>
                <w:sz w:val="18"/>
                <w:szCs w:val="18"/>
                <w:lang w:eastAsia="en-AU"/>
              </w:rPr>
              <w:t xml:space="preserve"> </w:t>
            </w:r>
          </w:p>
        </w:tc>
      </w:tr>
      <w:tr w:rsidR="0024259E" w:rsidRPr="0024259E" w:rsidTr="00B423CC">
        <w:tblPrEx>
          <w:tblCellMar>
            <w:top w:w="15" w:type="dxa"/>
            <w:left w:w="15" w:type="dxa"/>
            <w:bottom w:w="15" w:type="dxa"/>
            <w:right w:w="15" w:type="dxa"/>
          </w:tblCellMar>
          <w:tblLook w:val="04A0" w:firstRow="1" w:lastRow="0" w:firstColumn="1" w:lastColumn="0" w:noHBand="0" w:noVBand="1"/>
        </w:tblPrEx>
        <w:tc>
          <w:tcPr>
            <w:tcW w:w="981" w:type="dxa"/>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8"/>
            <w:vAlign w:val="center"/>
            <w:hideMark/>
          </w:tcPr>
          <w:p w:rsidR="0024259E" w:rsidRPr="0024259E" w:rsidRDefault="0024259E" w:rsidP="00552251">
            <w:pPr>
              <w:rPr>
                <w:rFonts w:ascii="Arial Narrow" w:hAnsi="Arial Narrow"/>
                <w:color w:val="FF00FF"/>
                <w:sz w:val="18"/>
                <w:szCs w:val="18"/>
                <w:lang w:eastAsia="en-AU"/>
              </w:rPr>
            </w:pPr>
            <w:r w:rsidRPr="0024259E">
              <w:rPr>
                <w:rFonts w:ascii="Arial Narrow" w:hAnsi="Arial Narrow"/>
                <w:b/>
                <w:bCs/>
                <w:color w:val="333333"/>
                <w:sz w:val="18"/>
                <w:szCs w:val="18"/>
                <w:lang w:eastAsia="en-AU"/>
              </w:rPr>
              <w:t xml:space="preserve">Clinical criteria: </w:t>
            </w:r>
          </w:p>
        </w:tc>
      </w:tr>
      <w:tr w:rsidR="0024259E" w:rsidRPr="0024259E" w:rsidTr="00552251">
        <w:tblPrEx>
          <w:tblCellMar>
            <w:top w:w="15" w:type="dxa"/>
            <w:left w:w="15" w:type="dxa"/>
            <w:bottom w:w="15" w:type="dxa"/>
            <w:right w:w="15" w:type="dxa"/>
          </w:tblCellMar>
          <w:tblLook w:val="04A0" w:firstRow="1" w:lastRow="0" w:firstColumn="1" w:lastColumn="0" w:noHBand="0" w:noVBand="1"/>
        </w:tblPrEx>
        <w:trPr>
          <w:trHeight w:val="270"/>
        </w:trPr>
        <w:tc>
          <w:tcPr>
            <w:tcW w:w="981" w:type="dxa"/>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8"/>
            <w:vAlign w:val="center"/>
          </w:tcPr>
          <w:p w:rsidR="0024259E" w:rsidRPr="0024259E" w:rsidRDefault="0024259E" w:rsidP="00552251">
            <w:pPr>
              <w:rPr>
                <w:rFonts w:ascii="Arial Narrow" w:hAnsi="Arial Narrow"/>
                <w:b/>
                <w:bCs/>
                <w:color w:val="000000" w:themeColor="text1"/>
                <w:sz w:val="18"/>
                <w:szCs w:val="18"/>
                <w:lang w:eastAsia="en-AU"/>
              </w:rPr>
            </w:pPr>
            <w:r w:rsidRPr="0024259E">
              <w:rPr>
                <w:rFonts w:ascii="Arial Narrow" w:hAnsi="Arial Narrow"/>
                <w:color w:val="000000" w:themeColor="text1"/>
                <w:sz w:val="18"/>
                <w:szCs w:val="18"/>
                <w:lang w:eastAsia="en-AU"/>
              </w:rPr>
              <w:t>The treatment must be as monotherapy</w:t>
            </w:r>
          </w:p>
        </w:tc>
      </w:tr>
      <w:tr w:rsidR="0024259E" w:rsidRPr="0024259E" w:rsidTr="00B423CC">
        <w:tblPrEx>
          <w:tblCellMar>
            <w:top w:w="15" w:type="dxa"/>
            <w:left w:w="15" w:type="dxa"/>
            <w:bottom w:w="15" w:type="dxa"/>
            <w:right w:w="15" w:type="dxa"/>
          </w:tblCellMar>
          <w:tblLook w:val="04A0" w:firstRow="1" w:lastRow="0" w:firstColumn="1" w:lastColumn="0" w:noHBand="0" w:noVBand="1"/>
        </w:tblPrEx>
        <w:tc>
          <w:tcPr>
            <w:tcW w:w="981" w:type="dxa"/>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8"/>
            <w:vAlign w:val="center"/>
            <w:hideMark/>
          </w:tcPr>
          <w:p w:rsidR="0024259E" w:rsidRPr="0024259E" w:rsidRDefault="0024259E" w:rsidP="00552251">
            <w:pPr>
              <w:rPr>
                <w:rFonts w:ascii="Arial Narrow" w:hAnsi="Arial Narrow"/>
                <w:color w:val="333333"/>
                <w:sz w:val="18"/>
                <w:szCs w:val="18"/>
                <w:lang w:eastAsia="en-AU"/>
              </w:rPr>
            </w:pPr>
            <w:r w:rsidRPr="0024259E">
              <w:rPr>
                <w:rFonts w:ascii="Arial Narrow" w:hAnsi="Arial Narrow"/>
                <w:b/>
                <w:bCs/>
                <w:color w:val="333333"/>
                <w:sz w:val="18"/>
                <w:szCs w:val="18"/>
                <w:lang w:eastAsia="en-AU"/>
              </w:rPr>
              <w:t>AND</w:t>
            </w:r>
          </w:p>
        </w:tc>
      </w:tr>
      <w:tr w:rsidR="0024259E" w:rsidRPr="0024259E" w:rsidTr="00552251">
        <w:tblPrEx>
          <w:tblCellMar>
            <w:top w:w="15" w:type="dxa"/>
            <w:left w:w="15" w:type="dxa"/>
            <w:bottom w:w="15" w:type="dxa"/>
            <w:right w:w="15" w:type="dxa"/>
          </w:tblCellMar>
          <w:tblLook w:val="04A0" w:firstRow="1" w:lastRow="0" w:firstColumn="1" w:lastColumn="0" w:noHBand="0" w:noVBand="1"/>
        </w:tblPrEx>
        <w:tc>
          <w:tcPr>
            <w:tcW w:w="981" w:type="dxa"/>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8"/>
            <w:vAlign w:val="center"/>
            <w:hideMark/>
          </w:tcPr>
          <w:p w:rsidR="0024259E" w:rsidRPr="0024259E" w:rsidRDefault="0024259E" w:rsidP="00552251">
            <w:pPr>
              <w:rPr>
                <w:rFonts w:ascii="Arial Narrow" w:hAnsi="Arial Narrow"/>
                <w:color w:val="333333"/>
                <w:sz w:val="18"/>
                <w:szCs w:val="18"/>
                <w:lang w:eastAsia="en-AU"/>
              </w:rPr>
            </w:pPr>
            <w:r w:rsidRPr="0024259E">
              <w:rPr>
                <w:rFonts w:ascii="Arial Narrow" w:hAnsi="Arial Narrow"/>
                <w:b/>
                <w:bCs/>
                <w:color w:val="333333"/>
                <w:sz w:val="18"/>
                <w:szCs w:val="18"/>
                <w:lang w:eastAsia="en-AU"/>
              </w:rPr>
              <w:t>Clinical criteria:</w:t>
            </w:r>
          </w:p>
        </w:tc>
      </w:tr>
      <w:tr w:rsidR="0024259E" w:rsidRPr="0024259E" w:rsidTr="00552251">
        <w:tblPrEx>
          <w:tblCellMar>
            <w:top w:w="15" w:type="dxa"/>
            <w:left w:w="15" w:type="dxa"/>
            <w:bottom w:w="15" w:type="dxa"/>
            <w:right w:w="15" w:type="dxa"/>
          </w:tblCellMar>
          <w:tblLook w:val="04A0" w:firstRow="1" w:lastRow="0" w:firstColumn="1" w:lastColumn="0" w:noHBand="0" w:noVBand="1"/>
        </w:tblPrEx>
        <w:tc>
          <w:tcPr>
            <w:tcW w:w="981" w:type="dxa"/>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8"/>
            <w:vAlign w:val="center"/>
            <w:hideMark/>
          </w:tcPr>
          <w:p w:rsidR="0024259E" w:rsidRPr="0024259E" w:rsidRDefault="0024259E" w:rsidP="00552251">
            <w:pPr>
              <w:rPr>
                <w:rFonts w:ascii="Arial Narrow" w:hAnsi="Arial Narrow"/>
                <w:i/>
                <w:color w:val="333333"/>
                <w:sz w:val="18"/>
                <w:szCs w:val="18"/>
                <w:lang w:eastAsia="en-AU"/>
              </w:rPr>
            </w:pPr>
            <w:r w:rsidRPr="0024259E">
              <w:rPr>
                <w:rFonts w:ascii="Arial Narrow" w:hAnsi="Arial Narrow"/>
                <w:color w:val="000000" w:themeColor="text1"/>
                <w:sz w:val="18"/>
                <w:szCs w:val="18"/>
                <w:lang w:eastAsia="en-AU"/>
              </w:rPr>
              <w:t xml:space="preserve">Patient must have previously failed or be intolerant to imatinib mesilate </w:t>
            </w:r>
            <w:r w:rsidRPr="0024259E">
              <w:rPr>
                <w:rFonts w:ascii="Arial Narrow" w:hAnsi="Arial Narrow"/>
                <w:i/>
                <w:color w:val="000000" w:themeColor="text1"/>
                <w:sz w:val="18"/>
                <w:szCs w:val="18"/>
                <w:lang w:eastAsia="en-AU"/>
              </w:rPr>
              <w:t>for this condition</w:t>
            </w:r>
          </w:p>
        </w:tc>
      </w:tr>
      <w:tr w:rsidR="0024259E" w:rsidRPr="0024259E" w:rsidTr="00552251">
        <w:tblPrEx>
          <w:tblCellMar>
            <w:top w:w="15" w:type="dxa"/>
            <w:left w:w="15" w:type="dxa"/>
            <w:bottom w:w="15" w:type="dxa"/>
            <w:right w:w="15" w:type="dxa"/>
          </w:tblCellMar>
          <w:tblLook w:val="04A0" w:firstRow="1" w:lastRow="0" w:firstColumn="1" w:lastColumn="0" w:noHBand="0" w:noVBand="1"/>
        </w:tblPrEx>
        <w:tc>
          <w:tcPr>
            <w:tcW w:w="981" w:type="dxa"/>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8"/>
          </w:tcPr>
          <w:p w:rsidR="0024259E" w:rsidRPr="0024259E" w:rsidRDefault="0024259E" w:rsidP="00552251">
            <w:pPr>
              <w:rPr>
                <w:rFonts w:ascii="Arial Narrow" w:hAnsi="Arial Narrow"/>
                <w:b/>
                <w:bCs/>
                <w:color w:val="333333"/>
                <w:sz w:val="18"/>
                <w:szCs w:val="18"/>
                <w:lang w:eastAsia="en-AU"/>
              </w:rPr>
            </w:pPr>
            <w:r w:rsidRPr="0024259E">
              <w:rPr>
                <w:rFonts w:ascii="Arial Narrow" w:hAnsi="Arial Narrow"/>
                <w:b/>
                <w:bCs/>
                <w:color w:val="333333"/>
                <w:sz w:val="18"/>
                <w:szCs w:val="18"/>
                <w:lang w:eastAsia="en-AU"/>
              </w:rPr>
              <w:t>AND</w:t>
            </w:r>
          </w:p>
        </w:tc>
      </w:tr>
      <w:tr w:rsidR="0024259E" w:rsidRPr="0024259E" w:rsidTr="00552251">
        <w:tblPrEx>
          <w:tblCellMar>
            <w:top w:w="15" w:type="dxa"/>
            <w:left w:w="15" w:type="dxa"/>
            <w:bottom w:w="15" w:type="dxa"/>
            <w:right w:w="15" w:type="dxa"/>
          </w:tblCellMar>
          <w:tblLook w:val="04A0" w:firstRow="1" w:lastRow="0" w:firstColumn="1" w:lastColumn="0" w:noHBand="0" w:noVBand="1"/>
        </w:tblPrEx>
        <w:tc>
          <w:tcPr>
            <w:tcW w:w="981" w:type="dxa"/>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8"/>
          </w:tcPr>
          <w:p w:rsidR="0024259E" w:rsidRPr="0024259E" w:rsidRDefault="0024259E" w:rsidP="00552251">
            <w:pPr>
              <w:rPr>
                <w:rFonts w:ascii="Arial Narrow" w:hAnsi="Arial Narrow"/>
                <w:b/>
                <w:bCs/>
                <w:color w:val="333333"/>
                <w:sz w:val="18"/>
                <w:szCs w:val="18"/>
                <w:lang w:eastAsia="en-AU"/>
              </w:rPr>
            </w:pPr>
            <w:r w:rsidRPr="0024259E">
              <w:rPr>
                <w:rFonts w:ascii="Arial Narrow" w:hAnsi="Arial Narrow"/>
                <w:b/>
                <w:bCs/>
                <w:color w:val="333333"/>
                <w:sz w:val="18"/>
                <w:szCs w:val="18"/>
                <w:lang w:eastAsia="en-AU"/>
              </w:rPr>
              <w:t>Clinical criteria:</w:t>
            </w:r>
          </w:p>
        </w:tc>
      </w:tr>
      <w:tr w:rsidR="0024259E" w:rsidRPr="0024259E" w:rsidTr="00552251">
        <w:tblPrEx>
          <w:tblCellMar>
            <w:top w:w="15" w:type="dxa"/>
            <w:left w:w="15" w:type="dxa"/>
            <w:bottom w:w="15" w:type="dxa"/>
            <w:right w:w="15" w:type="dxa"/>
          </w:tblCellMar>
          <w:tblLook w:val="04A0" w:firstRow="1" w:lastRow="0" w:firstColumn="1" w:lastColumn="0" w:noHBand="0" w:noVBand="1"/>
        </w:tblPrEx>
        <w:tc>
          <w:tcPr>
            <w:tcW w:w="981" w:type="dxa"/>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8"/>
          </w:tcPr>
          <w:p w:rsidR="0024259E" w:rsidRPr="0024259E" w:rsidRDefault="0024259E" w:rsidP="00552251">
            <w:pPr>
              <w:rPr>
                <w:rFonts w:ascii="Arial Narrow" w:hAnsi="Arial Narrow"/>
                <w:b/>
                <w:bCs/>
                <w:i/>
                <w:color w:val="333333"/>
                <w:sz w:val="18"/>
                <w:szCs w:val="18"/>
                <w:lang w:eastAsia="en-AU"/>
              </w:rPr>
            </w:pPr>
            <w:r w:rsidRPr="0024259E">
              <w:rPr>
                <w:rFonts w:ascii="Arial Narrow" w:hAnsi="Arial Narrow"/>
                <w:color w:val="000000" w:themeColor="text1"/>
                <w:sz w:val="18"/>
                <w:szCs w:val="18"/>
                <w:lang w:eastAsia="en-AU"/>
              </w:rPr>
              <w:t xml:space="preserve">Patient must have previously failed or be intolerant to sunitinib </w:t>
            </w:r>
            <w:r w:rsidRPr="0024259E">
              <w:rPr>
                <w:rFonts w:ascii="Arial Narrow" w:hAnsi="Arial Narrow"/>
                <w:i/>
                <w:color w:val="000000" w:themeColor="text1"/>
                <w:sz w:val="18"/>
                <w:szCs w:val="18"/>
                <w:lang w:eastAsia="en-AU"/>
              </w:rPr>
              <w:t>for this condition</w:t>
            </w:r>
          </w:p>
        </w:tc>
      </w:tr>
      <w:tr w:rsidR="0024259E" w:rsidRPr="0024259E" w:rsidTr="00552251">
        <w:tblPrEx>
          <w:tblCellMar>
            <w:top w:w="15" w:type="dxa"/>
            <w:left w:w="15" w:type="dxa"/>
            <w:bottom w:w="15" w:type="dxa"/>
            <w:right w:w="15" w:type="dxa"/>
          </w:tblCellMar>
          <w:tblLook w:val="04A0" w:firstRow="1" w:lastRow="0" w:firstColumn="1" w:lastColumn="0" w:noHBand="0" w:noVBand="1"/>
        </w:tblPrEx>
        <w:tc>
          <w:tcPr>
            <w:tcW w:w="981" w:type="dxa"/>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8"/>
            <w:vAlign w:val="center"/>
            <w:hideMark/>
          </w:tcPr>
          <w:p w:rsidR="0024259E" w:rsidRPr="0024259E" w:rsidRDefault="0024259E" w:rsidP="00552251">
            <w:pPr>
              <w:rPr>
                <w:rFonts w:ascii="Arial Narrow" w:hAnsi="Arial Narrow"/>
                <w:color w:val="333333"/>
                <w:sz w:val="18"/>
                <w:szCs w:val="18"/>
                <w:lang w:eastAsia="en-AU"/>
              </w:rPr>
            </w:pPr>
            <w:r w:rsidRPr="0024259E">
              <w:rPr>
                <w:rFonts w:ascii="Arial Narrow" w:hAnsi="Arial Narrow"/>
                <w:b/>
                <w:bCs/>
                <w:color w:val="333333"/>
                <w:sz w:val="18"/>
                <w:szCs w:val="18"/>
                <w:lang w:eastAsia="en-AU"/>
              </w:rPr>
              <w:t>AND</w:t>
            </w:r>
          </w:p>
        </w:tc>
      </w:tr>
      <w:tr w:rsidR="0024259E" w:rsidRPr="0024259E" w:rsidTr="00552251">
        <w:tblPrEx>
          <w:tblCellMar>
            <w:top w:w="15" w:type="dxa"/>
            <w:left w:w="15" w:type="dxa"/>
            <w:bottom w:w="15" w:type="dxa"/>
            <w:right w:w="15" w:type="dxa"/>
          </w:tblCellMar>
          <w:tblLook w:val="04A0" w:firstRow="1" w:lastRow="0" w:firstColumn="1" w:lastColumn="0" w:noHBand="0" w:noVBand="1"/>
        </w:tblPrEx>
        <w:tc>
          <w:tcPr>
            <w:tcW w:w="981" w:type="dxa"/>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8"/>
            <w:vAlign w:val="center"/>
            <w:hideMark/>
          </w:tcPr>
          <w:p w:rsidR="0024259E" w:rsidRPr="0024259E" w:rsidRDefault="0024259E" w:rsidP="00552251">
            <w:pPr>
              <w:rPr>
                <w:rFonts w:ascii="Arial Narrow" w:hAnsi="Arial Narrow"/>
                <w:color w:val="333333"/>
                <w:sz w:val="18"/>
                <w:szCs w:val="18"/>
                <w:lang w:eastAsia="en-AU"/>
              </w:rPr>
            </w:pPr>
            <w:r w:rsidRPr="0024259E">
              <w:rPr>
                <w:rFonts w:ascii="Arial Narrow" w:hAnsi="Arial Narrow"/>
                <w:b/>
                <w:bCs/>
                <w:color w:val="333333"/>
                <w:sz w:val="18"/>
                <w:szCs w:val="18"/>
                <w:lang w:eastAsia="en-AU"/>
              </w:rPr>
              <w:t>Clinical criteria:</w:t>
            </w:r>
          </w:p>
        </w:tc>
      </w:tr>
      <w:tr w:rsidR="0024259E" w:rsidRPr="0024259E" w:rsidTr="00552251">
        <w:tblPrEx>
          <w:tblCellMar>
            <w:top w:w="15" w:type="dxa"/>
            <w:left w:w="15" w:type="dxa"/>
            <w:bottom w:w="15" w:type="dxa"/>
            <w:right w:w="15" w:type="dxa"/>
          </w:tblCellMar>
          <w:tblLook w:val="04A0" w:firstRow="1" w:lastRow="0" w:firstColumn="1" w:lastColumn="0" w:noHBand="0" w:noVBand="1"/>
        </w:tblPrEx>
        <w:tc>
          <w:tcPr>
            <w:tcW w:w="981" w:type="dxa"/>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8"/>
            <w:vAlign w:val="center"/>
            <w:hideMark/>
          </w:tcPr>
          <w:p w:rsidR="0024259E" w:rsidRPr="0024259E" w:rsidRDefault="0024259E" w:rsidP="00552251">
            <w:pPr>
              <w:rPr>
                <w:rFonts w:ascii="Arial Narrow" w:hAnsi="Arial Narrow"/>
                <w:i/>
                <w:color w:val="000000" w:themeColor="text1"/>
                <w:sz w:val="18"/>
                <w:szCs w:val="18"/>
                <w:lang w:eastAsia="en-AU"/>
              </w:rPr>
            </w:pPr>
            <w:r w:rsidRPr="0024259E">
              <w:rPr>
                <w:rFonts w:ascii="Arial Narrow" w:hAnsi="Arial Narrow"/>
                <w:color w:val="000000" w:themeColor="text1"/>
                <w:sz w:val="18"/>
                <w:szCs w:val="18"/>
                <w:lang w:eastAsia="en-AU"/>
              </w:rPr>
              <w:t xml:space="preserve">Patient must have a WHO performance status of </w:t>
            </w:r>
            <w:r w:rsidRPr="0024259E">
              <w:rPr>
                <w:rFonts w:ascii="Arial Narrow" w:hAnsi="Arial Narrow"/>
                <w:strike/>
                <w:color w:val="000000" w:themeColor="text1"/>
                <w:sz w:val="18"/>
                <w:szCs w:val="18"/>
                <w:lang w:eastAsia="en-AU"/>
              </w:rPr>
              <w:t>0 to 2</w:t>
            </w:r>
            <w:r w:rsidRPr="0024259E">
              <w:rPr>
                <w:rFonts w:ascii="Arial Narrow" w:hAnsi="Arial Narrow"/>
                <w:i/>
                <w:color w:val="000000" w:themeColor="text1"/>
                <w:sz w:val="18"/>
                <w:szCs w:val="18"/>
                <w:lang w:eastAsia="en-AU"/>
              </w:rPr>
              <w:t xml:space="preserve"> of 2 or less</w:t>
            </w:r>
          </w:p>
        </w:tc>
      </w:tr>
      <w:tr w:rsidR="0024259E" w:rsidRPr="0024259E" w:rsidTr="00B423CC">
        <w:tblPrEx>
          <w:tblCellMar>
            <w:top w:w="15" w:type="dxa"/>
            <w:left w:w="15" w:type="dxa"/>
            <w:bottom w:w="15" w:type="dxa"/>
            <w:right w:w="15" w:type="dxa"/>
          </w:tblCellMar>
          <w:tblLook w:val="04A0" w:firstRow="1" w:lastRow="0" w:firstColumn="1" w:lastColumn="0" w:noHBand="0" w:noVBand="1"/>
        </w:tblPrEx>
        <w:tc>
          <w:tcPr>
            <w:tcW w:w="981" w:type="dxa"/>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8"/>
            <w:vAlign w:val="center"/>
            <w:hideMark/>
          </w:tcPr>
          <w:p w:rsidR="0024259E" w:rsidRPr="0024259E" w:rsidRDefault="0024259E" w:rsidP="00552251">
            <w:pPr>
              <w:rPr>
                <w:rFonts w:ascii="Arial Narrow" w:hAnsi="Arial Narrow"/>
                <w:color w:val="000000" w:themeColor="text1"/>
                <w:sz w:val="18"/>
                <w:szCs w:val="18"/>
                <w:lang w:eastAsia="en-AU"/>
              </w:rPr>
            </w:pPr>
            <w:r w:rsidRPr="0024259E">
              <w:rPr>
                <w:rFonts w:ascii="Arial Narrow" w:hAnsi="Arial Narrow"/>
                <w:b/>
                <w:bCs/>
                <w:color w:val="000000" w:themeColor="text1"/>
                <w:sz w:val="18"/>
                <w:szCs w:val="18"/>
                <w:lang w:eastAsia="en-AU"/>
              </w:rPr>
              <w:t>Prescribing Instructions:</w:t>
            </w:r>
            <w:r w:rsidRPr="0024259E">
              <w:rPr>
                <w:rFonts w:ascii="Arial Narrow" w:hAnsi="Arial Narrow"/>
                <w:color w:val="000000" w:themeColor="text1"/>
                <w:sz w:val="18"/>
                <w:szCs w:val="18"/>
                <w:lang w:eastAsia="en-AU"/>
              </w:rPr>
              <w:t xml:space="preserve"> Patients who progress while on ripretinib will not be eligible to receive further PBS-subsidised treatment with this drug for this condition.</w:t>
            </w:r>
          </w:p>
          <w:p w:rsidR="0024259E" w:rsidRPr="0024259E" w:rsidRDefault="0024259E" w:rsidP="00552251">
            <w:pPr>
              <w:rPr>
                <w:rFonts w:ascii="Arial Narrow" w:hAnsi="Arial Narrow"/>
                <w:color w:val="000000" w:themeColor="text1"/>
                <w:sz w:val="18"/>
                <w:szCs w:val="18"/>
                <w:lang w:eastAsia="en-AU"/>
              </w:rPr>
            </w:pPr>
            <w:r w:rsidRPr="0024259E">
              <w:rPr>
                <w:rFonts w:ascii="Arial Narrow" w:hAnsi="Arial Narrow"/>
                <w:color w:val="000000" w:themeColor="text1"/>
                <w:sz w:val="18"/>
                <w:szCs w:val="18"/>
                <w:lang w:eastAsia="en-AU"/>
              </w:rPr>
              <w:t>Applications for authorisation must be in writing and must include:</w:t>
            </w:r>
          </w:p>
          <w:p w:rsidR="0024259E" w:rsidRPr="0024259E" w:rsidRDefault="0024259E" w:rsidP="00552251">
            <w:pPr>
              <w:rPr>
                <w:rFonts w:ascii="Arial Narrow" w:hAnsi="Arial Narrow"/>
                <w:color w:val="000000" w:themeColor="text1"/>
                <w:sz w:val="18"/>
                <w:szCs w:val="18"/>
                <w:lang w:eastAsia="en-AU"/>
              </w:rPr>
            </w:pPr>
            <w:r w:rsidRPr="0024259E">
              <w:rPr>
                <w:rFonts w:ascii="Arial Narrow" w:hAnsi="Arial Narrow"/>
                <w:color w:val="000000" w:themeColor="text1"/>
                <w:sz w:val="18"/>
                <w:szCs w:val="18"/>
                <w:lang w:eastAsia="en-AU"/>
              </w:rPr>
              <w:t>(1) a completed authority prescription form</w:t>
            </w:r>
          </w:p>
          <w:p w:rsidR="0024259E" w:rsidRPr="0024259E" w:rsidRDefault="0024259E" w:rsidP="00552251">
            <w:pPr>
              <w:rPr>
                <w:rFonts w:ascii="Arial Narrow" w:hAnsi="Arial Narrow"/>
                <w:color w:val="000000" w:themeColor="text1"/>
                <w:sz w:val="18"/>
                <w:szCs w:val="18"/>
                <w:lang w:eastAsia="en-AU"/>
              </w:rPr>
            </w:pPr>
            <w:r w:rsidRPr="0024259E">
              <w:rPr>
                <w:rFonts w:ascii="Arial Narrow" w:hAnsi="Arial Narrow"/>
                <w:color w:val="000000" w:themeColor="text1"/>
                <w:sz w:val="18"/>
                <w:szCs w:val="18"/>
                <w:lang w:eastAsia="en-AU"/>
              </w:rPr>
              <w:t xml:space="preserve">(2) a completed ripretinib </w:t>
            </w:r>
            <w:r w:rsidRPr="00B745E4">
              <w:rPr>
                <w:rFonts w:ascii="Arial Narrow" w:hAnsi="Arial Narrow"/>
                <w:strike/>
                <w:color w:val="000000" w:themeColor="text1"/>
                <w:sz w:val="18"/>
                <w:szCs w:val="18"/>
                <w:lang w:eastAsia="en-AU"/>
              </w:rPr>
              <w:t>(QINLOCK)</w:t>
            </w:r>
            <w:r w:rsidRPr="0024259E">
              <w:rPr>
                <w:rFonts w:ascii="Arial Narrow" w:hAnsi="Arial Narrow"/>
                <w:color w:val="000000" w:themeColor="text1"/>
                <w:sz w:val="18"/>
                <w:szCs w:val="18"/>
                <w:lang w:eastAsia="en-AU"/>
              </w:rPr>
              <w:t xml:space="preserve"> PBS Authority Application for Use in the Treatment of Gastrointestinal Stromal Tumour</w:t>
            </w:r>
            <w:r w:rsidRPr="0024259E">
              <w:rPr>
                <w:rFonts w:ascii="Arial Narrow" w:hAnsi="Arial Narrow"/>
                <w:strike/>
                <w:color w:val="000000" w:themeColor="text1"/>
                <w:sz w:val="18"/>
                <w:szCs w:val="18"/>
                <w:lang w:eastAsia="en-AU"/>
              </w:rPr>
              <w:t>s</w:t>
            </w:r>
            <w:r w:rsidRPr="0024259E">
              <w:rPr>
                <w:rFonts w:ascii="Arial Narrow" w:hAnsi="Arial Narrow"/>
                <w:color w:val="000000" w:themeColor="text1"/>
                <w:sz w:val="18"/>
                <w:szCs w:val="18"/>
                <w:lang w:eastAsia="en-AU"/>
              </w:rPr>
              <w:t xml:space="preserve"> – </w:t>
            </w:r>
            <w:r w:rsidRPr="0024259E">
              <w:rPr>
                <w:rFonts w:ascii="Arial Narrow" w:hAnsi="Arial Narrow"/>
                <w:i/>
                <w:color w:val="000000" w:themeColor="text1"/>
                <w:sz w:val="18"/>
                <w:szCs w:val="18"/>
                <w:lang w:eastAsia="en-AU"/>
              </w:rPr>
              <w:t>Supporting Information Form</w:t>
            </w:r>
            <w:r w:rsidRPr="0024259E">
              <w:rPr>
                <w:rFonts w:ascii="Arial Narrow" w:hAnsi="Arial Narrow"/>
                <w:strike/>
                <w:color w:val="000000" w:themeColor="text1"/>
                <w:sz w:val="18"/>
                <w:szCs w:val="18"/>
                <w:lang w:eastAsia="en-AU"/>
              </w:rPr>
              <w:t>; and</w:t>
            </w:r>
            <w:r w:rsidRPr="0024259E">
              <w:rPr>
                <w:rFonts w:ascii="Arial Narrow" w:hAnsi="Arial Narrow"/>
                <w:color w:val="000000" w:themeColor="text1"/>
                <w:sz w:val="18"/>
                <w:szCs w:val="18"/>
                <w:lang w:eastAsia="en-AU"/>
              </w:rPr>
              <w:t xml:space="preserve"> </w:t>
            </w:r>
          </w:p>
          <w:p w:rsidR="0024259E" w:rsidRPr="0024259E" w:rsidRDefault="0024259E" w:rsidP="00552251">
            <w:pPr>
              <w:rPr>
                <w:rFonts w:ascii="Arial Narrow" w:hAnsi="Arial Narrow"/>
                <w:strike/>
                <w:color w:val="000000" w:themeColor="text1"/>
                <w:sz w:val="18"/>
                <w:szCs w:val="18"/>
                <w:lang w:eastAsia="en-AU"/>
              </w:rPr>
            </w:pPr>
            <w:r w:rsidRPr="0024259E">
              <w:rPr>
                <w:rFonts w:ascii="Arial Narrow" w:hAnsi="Arial Narrow"/>
                <w:strike/>
                <w:color w:val="000000" w:themeColor="text1"/>
                <w:sz w:val="18"/>
                <w:szCs w:val="18"/>
                <w:lang w:eastAsia="en-AU"/>
              </w:rPr>
              <w:t>(3) a signed patient acknowledgement indicating they understand and acknowledge that they will not be eligible to receive further PBS-subsidised treatment with this drug for this condition if they progress while on ripretinib.</w:t>
            </w:r>
          </w:p>
        </w:tc>
      </w:tr>
      <w:tr w:rsidR="0024259E" w:rsidRPr="0024259E" w:rsidTr="00B423CC">
        <w:tblPrEx>
          <w:tblCellMar>
            <w:top w:w="15" w:type="dxa"/>
            <w:left w:w="15" w:type="dxa"/>
            <w:bottom w:w="15" w:type="dxa"/>
            <w:right w:w="15" w:type="dxa"/>
          </w:tblCellMar>
          <w:tblLook w:val="04A0" w:firstRow="1" w:lastRow="0" w:firstColumn="1" w:lastColumn="0" w:noHBand="0" w:noVBand="1"/>
        </w:tblPrEx>
        <w:tc>
          <w:tcPr>
            <w:tcW w:w="981" w:type="dxa"/>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8"/>
            <w:vAlign w:val="center"/>
            <w:hideMark/>
          </w:tcPr>
          <w:p w:rsidR="0024259E" w:rsidRPr="0024259E" w:rsidRDefault="0024259E" w:rsidP="00552251">
            <w:pPr>
              <w:rPr>
                <w:rFonts w:ascii="Arial Narrow" w:hAnsi="Arial Narrow"/>
                <w:strike/>
                <w:color w:val="000000" w:themeColor="text1"/>
                <w:sz w:val="18"/>
                <w:szCs w:val="18"/>
                <w:lang w:eastAsia="en-AU"/>
              </w:rPr>
            </w:pPr>
            <w:r w:rsidRPr="0024259E">
              <w:rPr>
                <w:rFonts w:ascii="Arial Narrow" w:hAnsi="Arial Narrow"/>
                <w:b/>
                <w:bCs/>
                <w:color w:val="000000" w:themeColor="text1"/>
                <w:sz w:val="18"/>
                <w:szCs w:val="18"/>
                <w:lang w:eastAsia="en-AU"/>
              </w:rPr>
              <w:t xml:space="preserve">Administrative Advice: </w:t>
            </w:r>
            <w:r w:rsidRPr="0024259E">
              <w:rPr>
                <w:rFonts w:ascii="Arial Narrow" w:hAnsi="Arial Narrow"/>
                <w:strike/>
                <w:color w:val="000000" w:themeColor="text1"/>
                <w:sz w:val="18"/>
                <w:szCs w:val="18"/>
                <w:lang w:eastAsia="en-AU"/>
              </w:rPr>
              <w:t xml:space="preserve">Any queries concerning the arrangements to prescribe may be directed to the Department of Human Services on 1800 700 270 (hours of operation 8 a.m. to 5 p.m. EST Monday to Friday). </w:t>
            </w:r>
          </w:p>
          <w:p w:rsidR="0024259E" w:rsidRPr="0024259E" w:rsidRDefault="0024259E" w:rsidP="00552251">
            <w:pPr>
              <w:rPr>
                <w:rFonts w:ascii="Arial Narrow" w:hAnsi="Arial Narrow"/>
                <w:strike/>
                <w:color w:val="000000" w:themeColor="text1"/>
                <w:sz w:val="18"/>
                <w:szCs w:val="18"/>
                <w:lang w:eastAsia="en-AU"/>
              </w:rPr>
            </w:pPr>
            <w:r w:rsidRPr="0024259E">
              <w:rPr>
                <w:rFonts w:ascii="Arial Narrow" w:hAnsi="Arial Narrow"/>
                <w:strike/>
                <w:color w:val="000000" w:themeColor="text1"/>
                <w:sz w:val="18"/>
                <w:szCs w:val="18"/>
                <w:lang w:eastAsia="en-AU"/>
              </w:rPr>
              <w:t>Prescribing information (including Authority Application forms and other relevant documentation as applicable) is available on the Department of Human Services website at www.humanservices.gov.au</w:t>
            </w:r>
          </w:p>
          <w:p w:rsidR="0024259E" w:rsidRPr="0024259E" w:rsidRDefault="0024259E" w:rsidP="00552251">
            <w:pPr>
              <w:rPr>
                <w:rFonts w:ascii="Arial Narrow" w:hAnsi="Arial Narrow"/>
                <w:strike/>
                <w:color w:val="000000" w:themeColor="text1"/>
                <w:sz w:val="18"/>
                <w:szCs w:val="18"/>
                <w:lang w:eastAsia="en-AU"/>
              </w:rPr>
            </w:pPr>
            <w:r w:rsidRPr="0024259E">
              <w:rPr>
                <w:rFonts w:ascii="Arial Narrow" w:hAnsi="Arial Narrow"/>
                <w:strike/>
                <w:color w:val="000000" w:themeColor="text1"/>
                <w:sz w:val="18"/>
                <w:szCs w:val="18"/>
                <w:lang w:eastAsia="en-AU"/>
              </w:rPr>
              <w:t xml:space="preserve">Applications for authority to prescribe should be forwarded to: </w:t>
            </w:r>
          </w:p>
          <w:p w:rsidR="0024259E" w:rsidRPr="0024259E" w:rsidRDefault="0024259E" w:rsidP="00552251">
            <w:pPr>
              <w:rPr>
                <w:rFonts w:ascii="Arial Narrow" w:hAnsi="Arial Narrow"/>
                <w:strike/>
                <w:color w:val="000000" w:themeColor="text1"/>
                <w:sz w:val="18"/>
                <w:szCs w:val="18"/>
                <w:lang w:eastAsia="en-AU"/>
              </w:rPr>
            </w:pPr>
            <w:r w:rsidRPr="0024259E">
              <w:rPr>
                <w:rFonts w:ascii="Arial Narrow" w:hAnsi="Arial Narrow"/>
                <w:strike/>
                <w:color w:val="000000" w:themeColor="text1"/>
                <w:sz w:val="18"/>
                <w:szCs w:val="18"/>
                <w:lang w:eastAsia="en-AU"/>
              </w:rPr>
              <w:t>Department of Human Services</w:t>
            </w:r>
          </w:p>
          <w:p w:rsidR="0024259E" w:rsidRPr="0024259E" w:rsidRDefault="0024259E" w:rsidP="00552251">
            <w:pPr>
              <w:rPr>
                <w:rFonts w:ascii="Arial Narrow" w:hAnsi="Arial Narrow"/>
                <w:strike/>
                <w:color w:val="000000" w:themeColor="text1"/>
                <w:sz w:val="18"/>
                <w:szCs w:val="18"/>
                <w:lang w:eastAsia="en-AU"/>
              </w:rPr>
            </w:pPr>
            <w:r w:rsidRPr="0024259E">
              <w:rPr>
                <w:rFonts w:ascii="Arial Narrow" w:hAnsi="Arial Narrow"/>
                <w:strike/>
                <w:color w:val="000000" w:themeColor="text1"/>
                <w:sz w:val="18"/>
                <w:szCs w:val="18"/>
                <w:lang w:eastAsia="en-AU"/>
              </w:rPr>
              <w:t xml:space="preserve">Prior Written Approval of Complex Drugs </w:t>
            </w:r>
          </w:p>
          <w:p w:rsidR="0024259E" w:rsidRPr="0024259E" w:rsidRDefault="0024259E" w:rsidP="00552251">
            <w:pPr>
              <w:rPr>
                <w:rFonts w:ascii="Arial Narrow" w:hAnsi="Arial Narrow"/>
                <w:strike/>
                <w:color w:val="000000" w:themeColor="text1"/>
                <w:sz w:val="18"/>
                <w:szCs w:val="18"/>
                <w:lang w:eastAsia="en-AU"/>
              </w:rPr>
            </w:pPr>
            <w:r w:rsidRPr="0024259E">
              <w:rPr>
                <w:rFonts w:ascii="Arial Narrow" w:hAnsi="Arial Narrow"/>
                <w:strike/>
                <w:color w:val="000000" w:themeColor="text1"/>
                <w:sz w:val="18"/>
                <w:szCs w:val="18"/>
                <w:lang w:eastAsia="en-AU"/>
              </w:rPr>
              <w:t xml:space="preserve">Reply Paid 9826 </w:t>
            </w:r>
          </w:p>
          <w:p w:rsidR="0024259E" w:rsidRPr="0024259E" w:rsidRDefault="0024259E" w:rsidP="00552251">
            <w:pPr>
              <w:rPr>
                <w:rFonts w:ascii="Arial Narrow" w:hAnsi="Arial Narrow"/>
                <w:strike/>
                <w:color w:val="000000" w:themeColor="text1"/>
                <w:sz w:val="18"/>
                <w:szCs w:val="18"/>
                <w:lang w:eastAsia="en-AU"/>
              </w:rPr>
            </w:pPr>
            <w:r w:rsidRPr="0024259E">
              <w:rPr>
                <w:rFonts w:ascii="Arial Narrow" w:hAnsi="Arial Narrow"/>
                <w:strike/>
                <w:color w:val="000000" w:themeColor="text1"/>
                <w:sz w:val="18"/>
                <w:szCs w:val="18"/>
                <w:lang w:eastAsia="en-AU"/>
              </w:rPr>
              <w:t xml:space="preserve">GPO Box 9826 </w:t>
            </w:r>
          </w:p>
          <w:p w:rsidR="0024259E" w:rsidRPr="0024259E" w:rsidRDefault="0024259E" w:rsidP="00552251">
            <w:pPr>
              <w:rPr>
                <w:rFonts w:ascii="Arial Narrow" w:hAnsi="Arial Narrow"/>
                <w:strike/>
                <w:color w:val="333333"/>
                <w:sz w:val="18"/>
                <w:szCs w:val="18"/>
                <w:lang w:eastAsia="en-AU"/>
              </w:rPr>
            </w:pPr>
            <w:r w:rsidRPr="0024259E">
              <w:rPr>
                <w:rFonts w:ascii="Arial Narrow" w:hAnsi="Arial Narrow"/>
                <w:strike/>
                <w:color w:val="000000" w:themeColor="text1"/>
                <w:sz w:val="18"/>
                <w:szCs w:val="18"/>
                <w:lang w:eastAsia="en-AU"/>
              </w:rPr>
              <w:t>HOBART TAS 7001</w:t>
            </w:r>
          </w:p>
          <w:p w:rsidR="0024259E" w:rsidRPr="0024259E" w:rsidRDefault="0024259E" w:rsidP="00552251">
            <w:pPr>
              <w:rPr>
                <w:rFonts w:ascii="Arial Narrow" w:hAnsi="Arial Narrow"/>
                <w:i/>
                <w:color w:val="000000" w:themeColor="text1"/>
                <w:sz w:val="18"/>
                <w:szCs w:val="18"/>
                <w:lang w:eastAsia="en-AU"/>
              </w:rPr>
            </w:pPr>
            <w:r w:rsidRPr="0024259E">
              <w:rPr>
                <w:rFonts w:ascii="Arial Narrow" w:hAnsi="Arial Narrow"/>
                <w:i/>
                <w:color w:val="000000" w:themeColor="text1"/>
                <w:sz w:val="18"/>
                <w:szCs w:val="18"/>
                <w:lang w:eastAsia="en-AU"/>
              </w:rPr>
              <w:t>Any queries concerning the arrangements to prescribe may be directed to Services Australia on 1800 700 270 (hours of operation 8 a.m. to 5 p.m. EST Monday to Friday).</w:t>
            </w:r>
          </w:p>
          <w:p w:rsidR="0024259E" w:rsidRPr="0024259E" w:rsidRDefault="0024259E" w:rsidP="00552251">
            <w:pPr>
              <w:rPr>
                <w:rFonts w:ascii="Arial Narrow" w:hAnsi="Arial Narrow"/>
                <w:i/>
                <w:color w:val="000000" w:themeColor="text1"/>
                <w:sz w:val="18"/>
                <w:szCs w:val="18"/>
                <w:lang w:eastAsia="en-AU"/>
              </w:rPr>
            </w:pPr>
            <w:r w:rsidRPr="0024259E">
              <w:rPr>
                <w:rFonts w:ascii="Arial Narrow" w:hAnsi="Arial Narrow"/>
                <w:i/>
                <w:color w:val="000000" w:themeColor="text1"/>
                <w:sz w:val="18"/>
                <w:szCs w:val="18"/>
                <w:lang w:eastAsia="en-AU"/>
              </w:rPr>
              <w:t>Prescribing information (including Authority Application forms and other relevant documentation as applicable) is available on the Services Australia website at www.servicesaustralia.gov.au</w:t>
            </w:r>
          </w:p>
          <w:p w:rsidR="0024259E" w:rsidRPr="0024259E" w:rsidRDefault="0024259E" w:rsidP="00552251">
            <w:pPr>
              <w:rPr>
                <w:rFonts w:ascii="Arial Narrow" w:hAnsi="Arial Narrow"/>
                <w:i/>
                <w:color w:val="000000" w:themeColor="text1"/>
                <w:sz w:val="18"/>
                <w:szCs w:val="18"/>
                <w:lang w:eastAsia="en-AU"/>
              </w:rPr>
            </w:pPr>
            <w:r w:rsidRPr="0024259E">
              <w:rPr>
                <w:rFonts w:ascii="Arial Narrow" w:hAnsi="Arial Narrow"/>
                <w:i/>
                <w:color w:val="000000" w:themeColor="text1"/>
                <w:sz w:val="18"/>
                <w:szCs w:val="18"/>
                <w:lang w:eastAsia="en-AU"/>
              </w:rPr>
              <w:t>Applications for authority to prescribe should be submitted online using the form upload facility in Health Professional Online Services (HPOS) at www.servicesaustralia.gov.au/hpos</w:t>
            </w:r>
          </w:p>
          <w:p w:rsidR="0024259E" w:rsidRPr="0024259E" w:rsidRDefault="0024259E" w:rsidP="00552251">
            <w:pPr>
              <w:rPr>
                <w:rFonts w:ascii="Arial Narrow" w:hAnsi="Arial Narrow"/>
                <w:i/>
                <w:color w:val="000000" w:themeColor="text1"/>
                <w:sz w:val="18"/>
                <w:szCs w:val="18"/>
                <w:lang w:eastAsia="en-AU"/>
              </w:rPr>
            </w:pPr>
            <w:r w:rsidRPr="0024259E">
              <w:rPr>
                <w:rFonts w:ascii="Arial Narrow" w:hAnsi="Arial Narrow"/>
                <w:i/>
                <w:color w:val="000000" w:themeColor="text1"/>
                <w:sz w:val="18"/>
                <w:szCs w:val="18"/>
                <w:lang w:eastAsia="en-AU"/>
              </w:rPr>
              <w:t>Or mailed to:</w:t>
            </w:r>
          </w:p>
          <w:p w:rsidR="0024259E" w:rsidRPr="0024259E" w:rsidRDefault="0024259E" w:rsidP="00552251">
            <w:pPr>
              <w:rPr>
                <w:rFonts w:ascii="Arial Narrow" w:hAnsi="Arial Narrow"/>
                <w:i/>
                <w:color w:val="000000" w:themeColor="text1"/>
                <w:sz w:val="18"/>
                <w:szCs w:val="18"/>
                <w:lang w:eastAsia="en-AU"/>
              </w:rPr>
            </w:pPr>
            <w:r w:rsidRPr="0024259E">
              <w:rPr>
                <w:rFonts w:ascii="Arial Narrow" w:hAnsi="Arial Narrow"/>
                <w:i/>
                <w:color w:val="000000" w:themeColor="text1"/>
                <w:sz w:val="18"/>
                <w:szCs w:val="18"/>
                <w:lang w:eastAsia="en-AU"/>
              </w:rPr>
              <w:t>Services Australia</w:t>
            </w:r>
          </w:p>
          <w:p w:rsidR="0024259E" w:rsidRPr="0024259E" w:rsidRDefault="0024259E" w:rsidP="00552251">
            <w:pPr>
              <w:rPr>
                <w:rFonts w:ascii="Arial Narrow" w:hAnsi="Arial Narrow"/>
                <w:i/>
                <w:color w:val="000000" w:themeColor="text1"/>
                <w:sz w:val="18"/>
                <w:szCs w:val="18"/>
                <w:lang w:eastAsia="en-AU"/>
              </w:rPr>
            </w:pPr>
            <w:r w:rsidRPr="0024259E">
              <w:rPr>
                <w:rFonts w:ascii="Arial Narrow" w:hAnsi="Arial Narrow"/>
                <w:i/>
                <w:color w:val="000000" w:themeColor="text1"/>
                <w:sz w:val="18"/>
                <w:szCs w:val="18"/>
                <w:lang w:eastAsia="en-AU"/>
              </w:rPr>
              <w:t>Complex Drugs</w:t>
            </w:r>
          </w:p>
          <w:p w:rsidR="0024259E" w:rsidRPr="0024259E" w:rsidRDefault="0024259E" w:rsidP="00552251">
            <w:pPr>
              <w:rPr>
                <w:rFonts w:ascii="Arial Narrow" w:hAnsi="Arial Narrow"/>
                <w:i/>
                <w:color w:val="000000" w:themeColor="text1"/>
                <w:sz w:val="18"/>
                <w:szCs w:val="18"/>
                <w:lang w:eastAsia="en-AU"/>
              </w:rPr>
            </w:pPr>
            <w:r w:rsidRPr="0024259E">
              <w:rPr>
                <w:rFonts w:ascii="Arial Narrow" w:hAnsi="Arial Narrow"/>
                <w:i/>
                <w:color w:val="000000" w:themeColor="text1"/>
                <w:sz w:val="18"/>
                <w:szCs w:val="18"/>
                <w:lang w:eastAsia="en-AU"/>
              </w:rPr>
              <w:t>Reply Paid 9826</w:t>
            </w:r>
          </w:p>
          <w:p w:rsidR="0024259E" w:rsidRPr="0024259E" w:rsidRDefault="0024259E" w:rsidP="00552251">
            <w:pPr>
              <w:rPr>
                <w:rFonts w:ascii="Arial Narrow" w:hAnsi="Arial Narrow"/>
                <w:i/>
                <w:color w:val="000000" w:themeColor="text1"/>
                <w:sz w:val="18"/>
                <w:szCs w:val="18"/>
                <w:lang w:eastAsia="en-AU"/>
              </w:rPr>
            </w:pPr>
            <w:r w:rsidRPr="0024259E">
              <w:rPr>
                <w:rFonts w:ascii="Arial Narrow" w:hAnsi="Arial Narrow"/>
                <w:i/>
                <w:color w:val="000000" w:themeColor="text1"/>
                <w:sz w:val="18"/>
                <w:szCs w:val="18"/>
                <w:lang w:eastAsia="en-AU"/>
              </w:rPr>
              <w:t>HOBART TAS 7001</w:t>
            </w:r>
          </w:p>
        </w:tc>
      </w:tr>
      <w:tr w:rsidR="0024259E" w:rsidRPr="0024259E" w:rsidTr="00552251">
        <w:tblPrEx>
          <w:tblCellMar>
            <w:top w:w="15" w:type="dxa"/>
            <w:left w:w="15" w:type="dxa"/>
            <w:bottom w:w="15" w:type="dxa"/>
            <w:right w:w="15" w:type="dxa"/>
          </w:tblCellMar>
          <w:tblLook w:val="04A0" w:firstRow="1" w:lastRow="0" w:firstColumn="1" w:lastColumn="0" w:noHBand="0" w:noVBand="1"/>
        </w:tblPrEx>
        <w:tc>
          <w:tcPr>
            <w:tcW w:w="981" w:type="dxa"/>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8"/>
            <w:vAlign w:val="center"/>
          </w:tcPr>
          <w:p w:rsidR="0024259E" w:rsidRPr="0024259E" w:rsidRDefault="0024259E" w:rsidP="00552251">
            <w:pPr>
              <w:rPr>
                <w:rFonts w:ascii="Arial Narrow" w:hAnsi="Arial Narrow"/>
                <w:b/>
                <w:i/>
                <w:color w:val="000000" w:themeColor="text1"/>
                <w:sz w:val="18"/>
                <w:szCs w:val="18"/>
                <w:u w:val="single"/>
                <w:lang w:eastAsia="en-AU"/>
              </w:rPr>
            </w:pPr>
            <w:r w:rsidRPr="0024259E">
              <w:rPr>
                <w:rFonts w:ascii="Arial Narrow" w:hAnsi="Arial Narrow"/>
                <w:b/>
                <w:bCs/>
                <w:color w:val="000000" w:themeColor="text1"/>
                <w:sz w:val="18"/>
                <w:szCs w:val="18"/>
                <w:lang w:eastAsia="en-AU"/>
              </w:rPr>
              <w:t>Administrative Advice:</w:t>
            </w:r>
          </w:p>
          <w:p w:rsidR="0024259E" w:rsidRPr="0024259E" w:rsidRDefault="0024259E" w:rsidP="00552251">
            <w:pPr>
              <w:rPr>
                <w:rFonts w:ascii="Arial Narrow" w:hAnsi="Arial Narrow"/>
                <w:b/>
                <w:i/>
                <w:color w:val="000000" w:themeColor="text1"/>
                <w:sz w:val="18"/>
                <w:szCs w:val="18"/>
                <w:u w:val="single"/>
                <w:lang w:eastAsia="en-AU"/>
              </w:rPr>
            </w:pPr>
            <w:r w:rsidRPr="0024259E">
              <w:rPr>
                <w:rFonts w:ascii="Arial Narrow" w:hAnsi="Arial Narrow"/>
                <w:b/>
                <w:i/>
                <w:color w:val="000000" w:themeColor="text1"/>
                <w:sz w:val="18"/>
                <w:szCs w:val="18"/>
                <w:u w:val="single"/>
                <w:lang w:eastAsia="en-AU"/>
              </w:rPr>
              <w:t>Note</w:t>
            </w:r>
          </w:p>
          <w:p w:rsidR="0024259E" w:rsidRPr="0024259E" w:rsidRDefault="0024259E" w:rsidP="00552251">
            <w:pPr>
              <w:rPr>
                <w:rFonts w:ascii="Arial Narrow" w:hAnsi="Arial Narrow"/>
                <w:b/>
                <w:bCs/>
                <w:color w:val="000000" w:themeColor="text1"/>
                <w:sz w:val="18"/>
                <w:szCs w:val="18"/>
                <w:lang w:eastAsia="en-AU"/>
              </w:rPr>
            </w:pPr>
            <w:r w:rsidRPr="0024259E">
              <w:rPr>
                <w:rFonts w:ascii="Arial Narrow" w:hAnsi="Arial Narrow"/>
                <w:i/>
                <w:color w:val="000000" w:themeColor="text1"/>
                <w:sz w:val="18"/>
                <w:szCs w:val="18"/>
                <w:lang w:eastAsia="en-AU"/>
              </w:rPr>
              <w:t>Ripretinib is not PBS-subsidised for the treatment of patients with resectable malignant gastrointestinal stromal tumours.</w:t>
            </w:r>
          </w:p>
        </w:tc>
      </w:tr>
    </w:tbl>
    <w:p w:rsidR="0024259E" w:rsidRPr="0024259E" w:rsidRDefault="0024259E" w:rsidP="0024259E">
      <w:pPr>
        <w:ind w:left="360"/>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81"/>
        <w:gridCol w:w="6"/>
        <w:gridCol w:w="8080"/>
      </w:tblGrid>
      <w:tr w:rsidR="0024259E" w:rsidRPr="0024259E" w:rsidTr="00552251">
        <w:tc>
          <w:tcPr>
            <w:tcW w:w="9067" w:type="dxa"/>
            <w:gridSpan w:val="3"/>
            <w:tcBorders>
              <w:top w:val="single" w:sz="4" w:space="0" w:color="auto"/>
              <w:left w:val="single" w:sz="4" w:space="0" w:color="auto"/>
              <w:right w:val="single" w:sz="4" w:space="0" w:color="auto"/>
            </w:tcBorders>
          </w:tcPr>
          <w:p w:rsidR="0024259E" w:rsidRPr="0024259E" w:rsidRDefault="0024259E" w:rsidP="00552251">
            <w:pPr>
              <w:keepNext/>
              <w:ind w:left="57"/>
              <w:rPr>
                <w:rFonts w:ascii="Arial Narrow" w:hAnsi="Arial Narrow"/>
                <w:b/>
                <w:sz w:val="18"/>
                <w:szCs w:val="18"/>
              </w:rPr>
            </w:pPr>
            <w:r w:rsidRPr="0024259E">
              <w:rPr>
                <w:rFonts w:ascii="Arial Narrow" w:hAnsi="Arial Narrow"/>
                <w:b/>
                <w:sz w:val="18"/>
                <w:szCs w:val="18"/>
              </w:rPr>
              <w:t>Restriction Summary [new] 4567 / Treatment of Concept: [new] 1234</w:t>
            </w:r>
          </w:p>
        </w:tc>
      </w:tr>
      <w:tr w:rsidR="0024259E" w:rsidRPr="0024259E" w:rsidTr="00552251">
        <w:tc>
          <w:tcPr>
            <w:tcW w:w="981" w:type="dxa"/>
            <w:vMerge w:val="restart"/>
            <w:tcBorders>
              <w:top w:val="single" w:sz="4" w:space="0" w:color="auto"/>
              <w:left w:val="single" w:sz="4" w:space="0" w:color="auto"/>
              <w:right w:val="single" w:sz="4" w:space="0" w:color="auto"/>
            </w:tcBorders>
          </w:tcPr>
          <w:p w:rsidR="0024259E" w:rsidRPr="0024259E" w:rsidRDefault="0024259E" w:rsidP="00552251">
            <w:pPr>
              <w:keepNext/>
              <w:rPr>
                <w:rFonts w:ascii="Arial Narrow" w:hAnsi="Arial Narrow"/>
                <w:i/>
                <w:sz w:val="18"/>
                <w:szCs w:val="18"/>
              </w:rPr>
            </w:pPr>
          </w:p>
          <w:p w:rsidR="0024259E" w:rsidRPr="0024259E" w:rsidRDefault="0024259E" w:rsidP="00552251">
            <w:pPr>
              <w:keepNext/>
              <w:rPr>
                <w:rFonts w:ascii="Arial Narrow" w:hAnsi="Arial Narrow"/>
                <w:b/>
                <w:sz w:val="18"/>
                <w:szCs w:val="18"/>
              </w:rPr>
            </w:pPr>
          </w:p>
        </w:tc>
        <w:tc>
          <w:tcPr>
            <w:tcW w:w="8086" w:type="dxa"/>
            <w:gridSpan w:val="2"/>
            <w:tcBorders>
              <w:top w:val="single" w:sz="4" w:space="0" w:color="auto"/>
              <w:left w:val="single" w:sz="4" w:space="0" w:color="auto"/>
              <w:bottom w:val="single" w:sz="4" w:space="0" w:color="auto"/>
              <w:right w:val="single" w:sz="4" w:space="0" w:color="auto"/>
            </w:tcBorders>
          </w:tcPr>
          <w:p w:rsidR="0024259E" w:rsidRPr="0024259E" w:rsidRDefault="0024259E" w:rsidP="00552251">
            <w:pPr>
              <w:keepNext/>
              <w:rPr>
                <w:rFonts w:ascii="Arial Narrow" w:hAnsi="Arial Narrow"/>
                <w:sz w:val="18"/>
                <w:szCs w:val="18"/>
              </w:rPr>
            </w:pPr>
            <w:r w:rsidRPr="0024259E">
              <w:rPr>
                <w:rFonts w:ascii="Arial Narrow" w:hAnsi="Arial Narrow"/>
                <w:b/>
                <w:sz w:val="18"/>
                <w:szCs w:val="18"/>
              </w:rPr>
              <w:t xml:space="preserve">Category / Program:   </w:t>
            </w:r>
            <w:r w:rsidRPr="0024259E">
              <w:rPr>
                <w:rFonts w:ascii="Arial Narrow" w:hAnsi="Arial Narrow"/>
                <w:sz w:val="18"/>
                <w:szCs w:val="18"/>
              </w:rPr>
              <w:t xml:space="preserve">GENERAL – General Schedule (Code GE) </w:t>
            </w:r>
          </w:p>
        </w:tc>
      </w:tr>
      <w:tr w:rsidR="0024259E" w:rsidRPr="0024259E" w:rsidTr="00552251">
        <w:trPr>
          <w:trHeight w:val="240"/>
        </w:trPr>
        <w:tc>
          <w:tcPr>
            <w:tcW w:w="981" w:type="dxa"/>
            <w:vMerge/>
            <w:tcBorders>
              <w:left w:val="single" w:sz="4" w:space="0" w:color="auto"/>
              <w:right w:val="single" w:sz="4" w:space="0" w:color="auto"/>
            </w:tcBorders>
          </w:tcPr>
          <w:p w:rsidR="0024259E" w:rsidRPr="0024259E" w:rsidRDefault="0024259E" w:rsidP="00552251">
            <w:pPr>
              <w:keepNext/>
              <w:rPr>
                <w:rFonts w:ascii="Arial Narrow" w:hAnsi="Arial Narrow"/>
                <w:sz w:val="18"/>
                <w:szCs w:val="18"/>
              </w:rPr>
            </w:pPr>
          </w:p>
        </w:tc>
        <w:tc>
          <w:tcPr>
            <w:tcW w:w="8086" w:type="dxa"/>
            <w:gridSpan w:val="2"/>
            <w:tcBorders>
              <w:top w:val="single" w:sz="4" w:space="0" w:color="auto"/>
              <w:left w:val="single" w:sz="4" w:space="0" w:color="auto"/>
              <w:bottom w:val="single" w:sz="4" w:space="0" w:color="auto"/>
              <w:right w:val="single" w:sz="4" w:space="0" w:color="auto"/>
            </w:tcBorders>
          </w:tcPr>
          <w:p w:rsidR="0024259E" w:rsidRPr="0024259E" w:rsidRDefault="0024259E" w:rsidP="00552251">
            <w:pPr>
              <w:keepNext/>
              <w:rPr>
                <w:rFonts w:ascii="Arial Narrow" w:hAnsi="Arial Narrow"/>
                <w:b/>
                <w:sz w:val="18"/>
                <w:szCs w:val="18"/>
              </w:rPr>
            </w:pPr>
            <w:r w:rsidRPr="0024259E">
              <w:rPr>
                <w:rFonts w:ascii="Arial Narrow" w:hAnsi="Arial Narrow"/>
                <w:b/>
                <w:sz w:val="18"/>
                <w:szCs w:val="18"/>
              </w:rPr>
              <w:t>Prescriber type:</w:t>
            </w:r>
            <w:r w:rsidRPr="0024259E">
              <w:rPr>
                <w:rFonts w:ascii="Arial Narrow" w:hAnsi="Arial Narrow"/>
                <w:sz w:val="18"/>
                <w:szCs w:val="18"/>
              </w:rPr>
              <w:t xml:space="preserve"> </w:t>
            </w:r>
            <w:r w:rsidRPr="0024259E">
              <w:rPr>
                <w:rFonts w:ascii="Arial Narrow" w:hAnsi="Arial Narrow"/>
                <w:sz w:val="18"/>
                <w:szCs w:val="18"/>
              </w:rPr>
              <w:fldChar w:fldCharType="begin">
                <w:ffData>
                  <w:name w:val=""/>
                  <w:enabled/>
                  <w:calcOnExit w:val="0"/>
                  <w:checkBox>
                    <w:sizeAuto/>
                    <w:default w:val="1"/>
                  </w:checkBox>
                </w:ffData>
              </w:fldChar>
            </w:r>
            <w:r w:rsidRPr="0024259E">
              <w:rPr>
                <w:rFonts w:ascii="Arial Narrow" w:hAnsi="Arial Narrow"/>
                <w:sz w:val="18"/>
                <w:szCs w:val="18"/>
              </w:rPr>
              <w:instrText xml:space="preserve"> FORMCHECKBOX </w:instrText>
            </w:r>
            <w:r w:rsidR="00B045E4">
              <w:rPr>
                <w:rFonts w:ascii="Arial Narrow" w:hAnsi="Arial Narrow"/>
                <w:sz w:val="18"/>
                <w:szCs w:val="18"/>
              </w:rPr>
            </w:r>
            <w:r w:rsidR="00B045E4">
              <w:rPr>
                <w:rFonts w:ascii="Arial Narrow" w:hAnsi="Arial Narrow"/>
                <w:sz w:val="18"/>
                <w:szCs w:val="18"/>
              </w:rPr>
              <w:fldChar w:fldCharType="separate"/>
            </w:r>
            <w:r w:rsidRPr="0024259E">
              <w:rPr>
                <w:rFonts w:ascii="Arial Narrow" w:hAnsi="Arial Narrow"/>
                <w:sz w:val="18"/>
                <w:szCs w:val="18"/>
              </w:rPr>
              <w:fldChar w:fldCharType="end"/>
            </w:r>
            <w:r w:rsidRPr="0024259E">
              <w:rPr>
                <w:rFonts w:ascii="Arial Narrow" w:hAnsi="Arial Narrow"/>
                <w:sz w:val="18"/>
                <w:szCs w:val="18"/>
              </w:rPr>
              <w:t xml:space="preserve">Medical Practitioners    </w:t>
            </w:r>
          </w:p>
        </w:tc>
      </w:tr>
      <w:tr w:rsidR="0024259E" w:rsidRPr="0024259E" w:rsidTr="00552251">
        <w:tc>
          <w:tcPr>
            <w:tcW w:w="981" w:type="dxa"/>
            <w:vMerge/>
            <w:tcBorders>
              <w:left w:val="single" w:sz="4" w:space="0" w:color="auto"/>
              <w:bottom w:val="single" w:sz="4" w:space="0" w:color="auto"/>
              <w:right w:val="single" w:sz="4" w:space="0" w:color="auto"/>
            </w:tcBorders>
          </w:tcPr>
          <w:p w:rsidR="0024259E" w:rsidRPr="0024259E" w:rsidRDefault="0024259E" w:rsidP="00552251">
            <w:pPr>
              <w:keepNext/>
              <w:rPr>
                <w:rFonts w:ascii="Arial Narrow" w:hAnsi="Arial Narrow"/>
                <w:sz w:val="18"/>
                <w:szCs w:val="18"/>
              </w:rPr>
            </w:pPr>
          </w:p>
        </w:tc>
        <w:tc>
          <w:tcPr>
            <w:tcW w:w="8086" w:type="dxa"/>
            <w:gridSpan w:val="2"/>
            <w:tcBorders>
              <w:top w:val="single" w:sz="4" w:space="0" w:color="auto"/>
              <w:left w:val="single" w:sz="4" w:space="0" w:color="auto"/>
              <w:bottom w:val="single" w:sz="4" w:space="0" w:color="auto"/>
              <w:right w:val="single" w:sz="4" w:space="0" w:color="auto"/>
            </w:tcBorders>
          </w:tcPr>
          <w:p w:rsidR="0024259E" w:rsidRPr="0024259E" w:rsidRDefault="0024259E" w:rsidP="00552251">
            <w:pPr>
              <w:keepNext/>
              <w:rPr>
                <w:rFonts w:ascii="Arial Narrow" w:hAnsi="Arial Narrow"/>
                <w:b/>
                <w:sz w:val="18"/>
                <w:szCs w:val="18"/>
              </w:rPr>
            </w:pPr>
            <w:r w:rsidRPr="0024259E">
              <w:rPr>
                <w:rFonts w:ascii="Arial Narrow" w:hAnsi="Arial Narrow"/>
                <w:b/>
                <w:sz w:val="18"/>
                <w:szCs w:val="18"/>
              </w:rPr>
              <w:t xml:space="preserve">Restriction type: </w:t>
            </w:r>
          </w:p>
          <w:p w:rsidR="0024259E" w:rsidRPr="0024259E" w:rsidRDefault="0024259E" w:rsidP="00552251">
            <w:pPr>
              <w:keepNext/>
              <w:rPr>
                <w:rFonts w:ascii="Arial Narrow" w:eastAsia="Calibri" w:hAnsi="Arial Narrow"/>
                <w:strike/>
                <w:color w:val="FF00FF"/>
                <w:sz w:val="18"/>
                <w:szCs w:val="18"/>
              </w:rPr>
            </w:pPr>
            <w:r w:rsidRPr="0024259E">
              <w:rPr>
                <w:rFonts w:ascii="Arial Narrow" w:eastAsia="Calibri" w:hAnsi="Arial Narrow"/>
                <w:sz w:val="18"/>
                <w:szCs w:val="18"/>
              </w:rPr>
              <w:fldChar w:fldCharType="begin">
                <w:ffData>
                  <w:name w:val=""/>
                  <w:enabled/>
                  <w:calcOnExit w:val="0"/>
                  <w:checkBox>
                    <w:sizeAuto/>
                    <w:default w:val="1"/>
                  </w:checkBox>
                </w:ffData>
              </w:fldChar>
            </w:r>
            <w:r w:rsidRPr="0024259E">
              <w:rPr>
                <w:rFonts w:ascii="Arial Narrow" w:eastAsia="Calibri" w:hAnsi="Arial Narrow"/>
                <w:sz w:val="18"/>
                <w:szCs w:val="18"/>
              </w:rPr>
              <w:instrText xml:space="preserve"> FORMCHECKBOX </w:instrText>
            </w:r>
            <w:r w:rsidR="00B045E4">
              <w:rPr>
                <w:rFonts w:ascii="Arial Narrow" w:eastAsia="Calibri" w:hAnsi="Arial Narrow"/>
                <w:sz w:val="18"/>
                <w:szCs w:val="18"/>
              </w:rPr>
            </w:r>
            <w:r w:rsidR="00B045E4">
              <w:rPr>
                <w:rFonts w:ascii="Arial Narrow" w:eastAsia="Calibri" w:hAnsi="Arial Narrow"/>
                <w:sz w:val="18"/>
                <w:szCs w:val="18"/>
              </w:rPr>
              <w:fldChar w:fldCharType="separate"/>
            </w:r>
            <w:r w:rsidRPr="0024259E">
              <w:rPr>
                <w:rFonts w:ascii="Arial Narrow" w:eastAsia="Calibri" w:hAnsi="Arial Narrow"/>
                <w:sz w:val="18"/>
                <w:szCs w:val="18"/>
              </w:rPr>
              <w:fldChar w:fldCharType="end"/>
            </w:r>
            <w:r w:rsidRPr="0024259E">
              <w:rPr>
                <w:rFonts w:ascii="Arial Narrow" w:eastAsia="Calibri" w:hAnsi="Arial Narrow"/>
                <w:strike/>
                <w:sz w:val="18"/>
                <w:szCs w:val="18"/>
              </w:rPr>
              <w:t xml:space="preserve">Authority Required – Streamlined [new/existing code] </w:t>
            </w:r>
          </w:p>
          <w:p w:rsidR="0024259E" w:rsidRPr="0024259E" w:rsidRDefault="0024259E" w:rsidP="00552251">
            <w:pPr>
              <w:keepNext/>
              <w:rPr>
                <w:rFonts w:ascii="Arial Narrow" w:eastAsia="Calibri" w:hAnsi="Arial Narrow"/>
                <w:sz w:val="18"/>
                <w:szCs w:val="18"/>
              </w:rPr>
            </w:pPr>
            <w:r w:rsidRPr="0024259E">
              <w:rPr>
                <w:rFonts w:ascii="Arial Narrow" w:eastAsia="Calibri" w:hAnsi="Arial Narrow"/>
                <w:sz w:val="18"/>
                <w:szCs w:val="18"/>
              </w:rPr>
              <w:fldChar w:fldCharType="begin">
                <w:ffData>
                  <w:name w:val="Check3"/>
                  <w:enabled/>
                  <w:calcOnExit w:val="0"/>
                  <w:checkBox>
                    <w:sizeAuto/>
                    <w:default w:val="1"/>
                  </w:checkBox>
                </w:ffData>
              </w:fldChar>
            </w:r>
            <w:r w:rsidRPr="0024259E">
              <w:rPr>
                <w:rFonts w:ascii="Arial Narrow" w:eastAsia="Calibri" w:hAnsi="Arial Narrow"/>
                <w:sz w:val="18"/>
                <w:szCs w:val="18"/>
              </w:rPr>
              <w:instrText xml:space="preserve"> FORMCHECKBOX </w:instrText>
            </w:r>
            <w:r w:rsidR="00B045E4">
              <w:rPr>
                <w:rFonts w:ascii="Arial Narrow" w:eastAsia="Calibri" w:hAnsi="Arial Narrow"/>
                <w:sz w:val="18"/>
                <w:szCs w:val="18"/>
              </w:rPr>
            </w:r>
            <w:r w:rsidR="00B045E4">
              <w:rPr>
                <w:rFonts w:ascii="Arial Narrow" w:eastAsia="Calibri" w:hAnsi="Arial Narrow"/>
                <w:sz w:val="18"/>
                <w:szCs w:val="18"/>
              </w:rPr>
              <w:fldChar w:fldCharType="separate"/>
            </w:r>
            <w:r w:rsidRPr="0024259E">
              <w:rPr>
                <w:rFonts w:ascii="Arial Narrow" w:eastAsia="Calibri" w:hAnsi="Arial Narrow"/>
                <w:sz w:val="18"/>
                <w:szCs w:val="18"/>
              </w:rPr>
              <w:fldChar w:fldCharType="end"/>
            </w:r>
            <w:r w:rsidRPr="0024259E">
              <w:rPr>
                <w:rFonts w:ascii="Arial Narrow" w:eastAsia="Calibri" w:hAnsi="Arial Narrow"/>
                <w:sz w:val="18"/>
                <w:szCs w:val="18"/>
              </w:rPr>
              <w:t>Authority Required – immediate/real time assessment by Services Australia (telephone/online)</w:t>
            </w:r>
          </w:p>
          <w:p w:rsidR="0024259E" w:rsidRPr="0024259E" w:rsidRDefault="0024259E" w:rsidP="00552251">
            <w:pPr>
              <w:keepNext/>
              <w:rPr>
                <w:rFonts w:ascii="Arial Narrow" w:eastAsia="Calibri" w:hAnsi="Arial Narrow"/>
                <w:color w:val="FF00FF"/>
                <w:sz w:val="18"/>
                <w:szCs w:val="18"/>
              </w:rPr>
            </w:pPr>
            <w:r w:rsidRPr="0024259E">
              <w:rPr>
                <w:rFonts w:ascii="Arial Narrow" w:eastAsia="Calibri" w:hAnsi="Arial Narrow"/>
                <w:sz w:val="18"/>
                <w:szCs w:val="18"/>
              </w:rPr>
              <w:fldChar w:fldCharType="begin">
                <w:ffData>
                  <w:name w:val=""/>
                  <w:enabled/>
                  <w:calcOnExit w:val="0"/>
                  <w:checkBox>
                    <w:sizeAuto/>
                    <w:default w:val="1"/>
                  </w:checkBox>
                </w:ffData>
              </w:fldChar>
            </w:r>
            <w:r w:rsidRPr="0024259E">
              <w:rPr>
                <w:rFonts w:ascii="Arial Narrow" w:eastAsia="Calibri" w:hAnsi="Arial Narrow"/>
                <w:sz w:val="18"/>
                <w:szCs w:val="18"/>
              </w:rPr>
              <w:instrText xml:space="preserve"> FORMCHECKBOX </w:instrText>
            </w:r>
            <w:r w:rsidR="00B045E4">
              <w:rPr>
                <w:rFonts w:ascii="Arial Narrow" w:eastAsia="Calibri" w:hAnsi="Arial Narrow"/>
                <w:sz w:val="18"/>
                <w:szCs w:val="18"/>
              </w:rPr>
            </w:r>
            <w:r w:rsidR="00B045E4">
              <w:rPr>
                <w:rFonts w:ascii="Arial Narrow" w:eastAsia="Calibri" w:hAnsi="Arial Narrow"/>
                <w:sz w:val="18"/>
                <w:szCs w:val="18"/>
              </w:rPr>
              <w:fldChar w:fldCharType="separate"/>
            </w:r>
            <w:r w:rsidRPr="0024259E">
              <w:rPr>
                <w:rFonts w:ascii="Arial Narrow" w:eastAsia="Calibri" w:hAnsi="Arial Narrow"/>
                <w:sz w:val="18"/>
                <w:szCs w:val="18"/>
              </w:rPr>
              <w:fldChar w:fldCharType="end"/>
            </w:r>
            <w:r w:rsidRPr="0024259E">
              <w:rPr>
                <w:rFonts w:ascii="Arial Narrow" w:eastAsia="Calibri" w:hAnsi="Arial Narrow"/>
                <w:strike/>
                <w:sz w:val="18"/>
                <w:szCs w:val="18"/>
              </w:rPr>
              <w:t>Authority Required – non-immediate/delayed assessment by Services Australia (In-writing only via mail/postal service or electronic upload to Hobart)</w:t>
            </w:r>
            <w:r w:rsidRPr="0024259E">
              <w:rPr>
                <w:rFonts w:ascii="Arial Narrow" w:eastAsia="Calibri" w:hAnsi="Arial Narrow"/>
                <w:sz w:val="18"/>
                <w:szCs w:val="18"/>
              </w:rPr>
              <w:t xml:space="preserve"> </w:t>
            </w:r>
          </w:p>
        </w:tc>
      </w:tr>
      <w:tr w:rsidR="0024259E" w:rsidRPr="0024259E" w:rsidTr="00552251">
        <w:tc>
          <w:tcPr>
            <w:tcW w:w="987" w:type="dxa"/>
            <w:gridSpan w:val="2"/>
            <w:vAlign w:val="center"/>
          </w:tcPr>
          <w:p w:rsidR="0024259E" w:rsidRPr="0024259E" w:rsidRDefault="0024259E" w:rsidP="00552251">
            <w:pPr>
              <w:keepNext/>
              <w:jc w:val="center"/>
              <w:rPr>
                <w:rFonts w:ascii="Arial Narrow" w:hAnsi="Arial Narrow"/>
                <w:color w:val="333333"/>
                <w:sz w:val="18"/>
                <w:szCs w:val="18"/>
                <w:lang w:eastAsia="en-AU"/>
              </w:rPr>
            </w:pPr>
          </w:p>
        </w:tc>
        <w:tc>
          <w:tcPr>
            <w:tcW w:w="8080" w:type="dxa"/>
            <w:vAlign w:val="center"/>
          </w:tcPr>
          <w:p w:rsidR="0024259E" w:rsidRPr="0024259E" w:rsidRDefault="0024259E" w:rsidP="00552251">
            <w:pPr>
              <w:keepNext/>
              <w:rPr>
                <w:rFonts w:ascii="Arial Narrow" w:hAnsi="Arial Narrow"/>
                <w:i/>
                <w:color w:val="333333"/>
                <w:sz w:val="18"/>
                <w:szCs w:val="18"/>
                <w:lang w:eastAsia="en-AU"/>
              </w:rPr>
            </w:pPr>
            <w:r w:rsidRPr="0024259E">
              <w:rPr>
                <w:rFonts w:ascii="Arial Narrow" w:hAnsi="Arial Narrow"/>
                <w:b/>
                <w:bCs/>
                <w:i/>
                <w:color w:val="333333"/>
                <w:sz w:val="18"/>
                <w:szCs w:val="18"/>
                <w:lang w:eastAsia="en-AU"/>
              </w:rPr>
              <w:t>Administrative Advice:</w:t>
            </w:r>
          </w:p>
          <w:p w:rsidR="0024259E" w:rsidRPr="0024259E" w:rsidRDefault="0024259E" w:rsidP="00552251">
            <w:pPr>
              <w:keepNext/>
              <w:rPr>
                <w:rFonts w:ascii="Arial Narrow" w:hAnsi="Arial Narrow"/>
                <w:i/>
                <w:color w:val="333333"/>
                <w:sz w:val="18"/>
                <w:szCs w:val="18"/>
                <w:lang w:eastAsia="en-AU"/>
              </w:rPr>
            </w:pPr>
            <w:r w:rsidRPr="0024259E">
              <w:rPr>
                <w:rFonts w:ascii="Arial Narrow" w:hAnsi="Arial Narrow"/>
                <w:i/>
                <w:color w:val="333333"/>
                <w:sz w:val="18"/>
                <w:szCs w:val="18"/>
                <w:lang w:eastAsia="en-AU"/>
              </w:rPr>
              <w:t>No increase in the maximum quantity or number of units may be authorised.</w:t>
            </w:r>
          </w:p>
        </w:tc>
      </w:tr>
      <w:tr w:rsidR="0024259E" w:rsidRPr="0024259E" w:rsidTr="00552251">
        <w:tc>
          <w:tcPr>
            <w:tcW w:w="987" w:type="dxa"/>
            <w:gridSpan w:val="2"/>
            <w:vAlign w:val="center"/>
          </w:tcPr>
          <w:p w:rsidR="0024259E" w:rsidRPr="0024259E" w:rsidRDefault="0024259E" w:rsidP="00552251">
            <w:pPr>
              <w:jc w:val="center"/>
              <w:rPr>
                <w:rFonts w:ascii="Arial Narrow" w:hAnsi="Arial Narrow"/>
                <w:color w:val="333333"/>
                <w:sz w:val="18"/>
                <w:szCs w:val="18"/>
                <w:lang w:eastAsia="en-AU"/>
              </w:rPr>
            </w:pPr>
          </w:p>
        </w:tc>
        <w:tc>
          <w:tcPr>
            <w:tcW w:w="8080" w:type="dxa"/>
            <w:vAlign w:val="center"/>
          </w:tcPr>
          <w:p w:rsidR="0024259E" w:rsidRPr="0024259E" w:rsidRDefault="0024259E" w:rsidP="00552251">
            <w:pPr>
              <w:rPr>
                <w:rFonts w:ascii="Arial Narrow" w:hAnsi="Arial Narrow"/>
                <w:i/>
                <w:color w:val="333333"/>
                <w:sz w:val="18"/>
                <w:szCs w:val="18"/>
                <w:lang w:eastAsia="en-AU"/>
              </w:rPr>
            </w:pPr>
            <w:r w:rsidRPr="0024259E">
              <w:rPr>
                <w:rFonts w:ascii="Arial Narrow" w:hAnsi="Arial Narrow"/>
                <w:b/>
                <w:bCs/>
                <w:i/>
                <w:color w:val="333333"/>
                <w:sz w:val="18"/>
                <w:szCs w:val="18"/>
                <w:lang w:eastAsia="en-AU"/>
              </w:rPr>
              <w:t>Administrative Advice:</w:t>
            </w:r>
          </w:p>
          <w:p w:rsidR="0024259E" w:rsidRPr="0024259E" w:rsidRDefault="0024259E" w:rsidP="00552251">
            <w:pPr>
              <w:rPr>
                <w:rFonts w:ascii="Arial Narrow" w:hAnsi="Arial Narrow"/>
                <w:b/>
                <w:bCs/>
                <w:i/>
                <w:color w:val="333333"/>
                <w:sz w:val="18"/>
                <w:szCs w:val="18"/>
                <w:lang w:eastAsia="en-AU"/>
              </w:rPr>
            </w:pPr>
            <w:r w:rsidRPr="0024259E">
              <w:rPr>
                <w:rFonts w:ascii="Arial Narrow" w:hAnsi="Arial Narrow"/>
                <w:i/>
                <w:color w:val="333333"/>
                <w:sz w:val="18"/>
                <w:szCs w:val="18"/>
                <w:lang w:eastAsia="en-AU"/>
              </w:rPr>
              <w:t>No increase in the maximum number of repeats may be authorised.</w:t>
            </w:r>
          </w:p>
        </w:tc>
      </w:tr>
      <w:tr w:rsidR="0024259E" w:rsidRPr="0024259E" w:rsidTr="00552251">
        <w:trPr>
          <w:trHeight w:val="446"/>
        </w:trPr>
        <w:tc>
          <w:tcPr>
            <w:tcW w:w="987" w:type="dxa"/>
            <w:gridSpan w:val="2"/>
            <w:vAlign w:val="center"/>
          </w:tcPr>
          <w:p w:rsidR="0024259E" w:rsidRPr="0024259E" w:rsidRDefault="0024259E" w:rsidP="00552251">
            <w:pPr>
              <w:jc w:val="center"/>
              <w:rPr>
                <w:rFonts w:ascii="Arial Narrow" w:hAnsi="Arial Narrow"/>
                <w:color w:val="333333"/>
                <w:sz w:val="18"/>
                <w:szCs w:val="18"/>
                <w:lang w:eastAsia="en-AU"/>
              </w:rPr>
            </w:pPr>
          </w:p>
        </w:tc>
        <w:tc>
          <w:tcPr>
            <w:tcW w:w="8080" w:type="dxa"/>
            <w:vAlign w:val="center"/>
          </w:tcPr>
          <w:p w:rsidR="0024259E" w:rsidRPr="0024259E" w:rsidRDefault="0024259E" w:rsidP="00552251">
            <w:pPr>
              <w:rPr>
                <w:rFonts w:ascii="Arial Narrow" w:hAnsi="Arial Narrow"/>
                <w:i/>
                <w:color w:val="333333"/>
                <w:sz w:val="18"/>
                <w:szCs w:val="18"/>
                <w:lang w:eastAsia="en-AU"/>
              </w:rPr>
            </w:pPr>
            <w:r w:rsidRPr="0024259E">
              <w:rPr>
                <w:rFonts w:ascii="Arial Narrow" w:hAnsi="Arial Narrow"/>
                <w:b/>
                <w:bCs/>
                <w:i/>
                <w:color w:val="333333"/>
                <w:sz w:val="18"/>
                <w:szCs w:val="18"/>
                <w:lang w:eastAsia="en-AU"/>
              </w:rPr>
              <w:t>Administrative Advice:</w:t>
            </w:r>
          </w:p>
          <w:p w:rsidR="0024259E" w:rsidRPr="0024259E" w:rsidRDefault="0024259E" w:rsidP="00552251">
            <w:pPr>
              <w:rPr>
                <w:rFonts w:ascii="Arial Narrow" w:hAnsi="Arial Narrow"/>
                <w:b/>
                <w:bCs/>
                <w:i/>
                <w:color w:val="333333"/>
                <w:sz w:val="18"/>
                <w:szCs w:val="18"/>
                <w:lang w:eastAsia="en-AU"/>
              </w:rPr>
            </w:pPr>
            <w:r w:rsidRPr="0024259E">
              <w:rPr>
                <w:rFonts w:ascii="Arial Narrow" w:hAnsi="Arial Narrow"/>
                <w:i/>
                <w:color w:val="333333"/>
                <w:sz w:val="18"/>
                <w:szCs w:val="18"/>
                <w:lang w:eastAsia="en-AU"/>
              </w:rPr>
              <w:t>Special Pricing Arrangements apply.</w:t>
            </w:r>
          </w:p>
        </w:tc>
      </w:tr>
      <w:tr w:rsidR="0024259E" w:rsidRPr="0024259E" w:rsidTr="00552251">
        <w:tc>
          <w:tcPr>
            <w:tcW w:w="981" w:type="dxa"/>
            <w:vMerge w:val="restart"/>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2"/>
            <w:vAlign w:val="center"/>
          </w:tcPr>
          <w:p w:rsidR="0024259E" w:rsidRPr="0024259E" w:rsidRDefault="0024259E" w:rsidP="00552251">
            <w:pPr>
              <w:rPr>
                <w:rFonts w:ascii="Arial Narrow" w:hAnsi="Arial Narrow"/>
                <w:bCs/>
                <w:color w:val="333333"/>
                <w:sz w:val="18"/>
                <w:szCs w:val="18"/>
                <w:lang w:eastAsia="en-AU"/>
              </w:rPr>
            </w:pPr>
            <w:r w:rsidRPr="0024259E">
              <w:rPr>
                <w:rFonts w:ascii="Arial Narrow" w:hAnsi="Arial Narrow"/>
                <w:b/>
                <w:bCs/>
                <w:color w:val="333333"/>
                <w:sz w:val="18"/>
                <w:szCs w:val="18"/>
                <w:lang w:eastAsia="en-AU"/>
              </w:rPr>
              <w:t xml:space="preserve">Episodicity: </w:t>
            </w:r>
            <w:r w:rsidRPr="0024259E">
              <w:rPr>
                <w:rFonts w:ascii="Arial Narrow" w:hAnsi="Arial Narrow"/>
                <w:bCs/>
                <w:color w:val="333333"/>
                <w:sz w:val="18"/>
                <w:szCs w:val="18"/>
                <w:lang w:eastAsia="en-AU"/>
              </w:rPr>
              <w:t>blank</w:t>
            </w:r>
          </w:p>
        </w:tc>
      </w:tr>
      <w:tr w:rsidR="0024259E" w:rsidRPr="0024259E" w:rsidTr="00552251">
        <w:tc>
          <w:tcPr>
            <w:tcW w:w="981" w:type="dxa"/>
            <w:vMerge/>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2"/>
            <w:vAlign w:val="center"/>
          </w:tcPr>
          <w:p w:rsidR="0024259E" w:rsidRPr="0024259E" w:rsidRDefault="0024259E" w:rsidP="00552251">
            <w:pPr>
              <w:rPr>
                <w:rFonts w:ascii="Arial Narrow" w:hAnsi="Arial Narrow"/>
                <w:b/>
                <w:bCs/>
                <w:color w:val="333333"/>
                <w:sz w:val="18"/>
                <w:szCs w:val="18"/>
                <w:lang w:eastAsia="en-AU"/>
              </w:rPr>
            </w:pPr>
            <w:r w:rsidRPr="0024259E">
              <w:rPr>
                <w:rFonts w:ascii="Arial Narrow" w:hAnsi="Arial Narrow"/>
                <w:b/>
                <w:bCs/>
                <w:color w:val="333333"/>
                <w:sz w:val="18"/>
                <w:szCs w:val="18"/>
                <w:lang w:eastAsia="en-AU"/>
              </w:rPr>
              <w:t xml:space="preserve">Severity: </w:t>
            </w:r>
            <w:r w:rsidRPr="0024259E">
              <w:rPr>
                <w:rFonts w:ascii="Arial Narrow" w:hAnsi="Arial Narrow"/>
                <w:bCs/>
                <w:color w:val="000000" w:themeColor="text1"/>
                <w:sz w:val="18"/>
                <w:szCs w:val="18"/>
                <w:lang w:eastAsia="en-AU"/>
              </w:rPr>
              <w:t>Metastatic or unresectable</w:t>
            </w:r>
          </w:p>
        </w:tc>
      </w:tr>
      <w:tr w:rsidR="0024259E" w:rsidRPr="0024259E" w:rsidTr="00552251">
        <w:tc>
          <w:tcPr>
            <w:tcW w:w="981" w:type="dxa"/>
            <w:vMerge/>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2"/>
            <w:vAlign w:val="center"/>
          </w:tcPr>
          <w:p w:rsidR="0024259E" w:rsidRPr="0024259E" w:rsidRDefault="0024259E" w:rsidP="00552251">
            <w:pPr>
              <w:rPr>
                <w:rFonts w:ascii="Arial Narrow" w:hAnsi="Arial Narrow"/>
                <w:b/>
                <w:bCs/>
                <w:color w:val="333333"/>
                <w:sz w:val="18"/>
                <w:szCs w:val="18"/>
                <w:lang w:eastAsia="en-AU"/>
              </w:rPr>
            </w:pPr>
            <w:r w:rsidRPr="0024259E">
              <w:rPr>
                <w:rFonts w:ascii="Arial Narrow" w:hAnsi="Arial Narrow"/>
                <w:b/>
                <w:bCs/>
                <w:color w:val="333333"/>
                <w:sz w:val="18"/>
                <w:szCs w:val="18"/>
                <w:lang w:eastAsia="en-AU"/>
              </w:rPr>
              <w:t xml:space="preserve">Condition: </w:t>
            </w:r>
            <w:r w:rsidRPr="0024259E">
              <w:rPr>
                <w:rFonts w:ascii="Arial Narrow" w:hAnsi="Arial Narrow"/>
                <w:bCs/>
                <w:color w:val="000000" w:themeColor="text1"/>
                <w:sz w:val="18"/>
                <w:szCs w:val="18"/>
                <w:lang w:eastAsia="en-AU"/>
              </w:rPr>
              <w:t>Malignant gastrointestinal stromal tumour</w:t>
            </w:r>
          </w:p>
        </w:tc>
      </w:tr>
      <w:tr w:rsidR="0024259E" w:rsidRPr="0024259E" w:rsidTr="00B423CC">
        <w:tc>
          <w:tcPr>
            <w:tcW w:w="981" w:type="dxa"/>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2"/>
            <w:vAlign w:val="center"/>
            <w:hideMark/>
          </w:tcPr>
          <w:p w:rsidR="0024259E" w:rsidRPr="0024259E" w:rsidRDefault="0024259E" w:rsidP="00552251">
            <w:pPr>
              <w:rPr>
                <w:rFonts w:ascii="Arial Narrow" w:hAnsi="Arial Narrow"/>
                <w:color w:val="333333"/>
                <w:sz w:val="18"/>
                <w:szCs w:val="18"/>
                <w:lang w:eastAsia="en-AU"/>
              </w:rPr>
            </w:pPr>
            <w:r w:rsidRPr="0024259E">
              <w:rPr>
                <w:rFonts w:ascii="Arial Narrow" w:hAnsi="Arial Narrow"/>
                <w:b/>
                <w:bCs/>
                <w:color w:val="333333"/>
                <w:sz w:val="18"/>
                <w:szCs w:val="18"/>
                <w:lang w:eastAsia="en-AU"/>
              </w:rPr>
              <w:t>Indication:</w:t>
            </w:r>
            <w:r w:rsidRPr="0024259E">
              <w:rPr>
                <w:rFonts w:ascii="Arial Narrow" w:hAnsi="Arial Narrow"/>
                <w:color w:val="333333"/>
                <w:sz w:val="18"/>
                <w:szCs w:val="18"/>
                <w:lang w:eastAsia="en-AU"/>
              </w:rPr>
              <w:t xml:space="preserve"> </w:t>
            </w:r>
            <w:r w:rsidRPr="0024259E">
              <w:rPr>
                <w:rFonts w:ascii="Arial Narrow" w:hAnsi="Arial Narrow"/>
                <w:color w:val="000000" w:themeColor="text1"/>
                <w:sz w:val="18"/>
                <w:szCs w:val="18"/>
                <w:lang w:eastAsia="en-AU"/>
              </w:rPr>
              <w:t>Metastatic or unresectable malignant gastrointestinal stromal tumour</w:t>
            </w:r>
          </w:p>
        </w:tc>
      </w:tr>
      <w:tr w:rsidR="0024259E" w:rsidRPr="0024259E" w:rsidTr="00B423CC">
        <w:tc>
          <w:tcPr>
            <w:tcW w:w="981" w:type="dxa"/>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2"/>
            <w:vAlign w:val="center"/>
            <w:hideMark/>
          </w:tcPr>
          <w:p w:rsidR="0024259E" w:rsidRPr="0024259E" w:rsidRDefault="0024259E" w:rsidP="00552251">
            <w:pPr>
              <w:rPr>
                <w:rFonts w:ascii="Arial Narrow" w:hAnsi="Arial Narrow"/>
                <w:color w:val="FF00FF"/>
                <w:sz w:val="18"/>
                <w:szCs w:val="18"/>
                <w:lang w:eastAsia="en-AU"/>
              </w:rPr>
            </w:pPr>
            <w:r w:rsidRPr="0024259E">
              <w:rPr>
                <w:rFonts w:ascii="Arial Narrow" w:hAnsi="Arial Narrow"/>
                <w:b/>
                <w:bCs/>
                <w:color w:val="333333"/>
                <w:sz w:val="18"/>
                <w:szCs w:val="18"/>
                <w:lang w:eastAsia="en-AU"/>
              </w:rPr>
              <w:t>Treatment Phase:</w:t>
            </w:r>
            <w:r w:rsidRPr="0024259E">
              <w:rPr>
                <w:rFonts w:ascii="Arial Narrow" w:hAnsi="Arial Narrow"/>
                <w:color w:val="333333"/>
                <w:sz w:val="18"/>
                <w:szCs w:val="18"/>
                <w:lang w:eastAsia="en-AU"/>
              </w:rPr>
              <w:t xml:space="preserve"> </w:t>
            </w:r>
            <w:r w:rsidRPr="0024259E">
              <w:rPr>
                <w:rFonts w:ascii="Arial Narrow" w:hAnsi="Arial Narrow"/>
                <w:color w:val="000000" w:themeColor="text1"/>
                <w:sz w:val="18"/>
                <w:szCs w:val="18"/>
                <w:lang w:eastAsia="en-AU"/>
              </w:rPr>
              <w:t>Continuing treatment</w:t>
            </w:r>
            <w:r w:rsidRPr="0024259E">
              <w:rPr>
                <w:rFonts w:ascii="Arial Narrow" w:hAnsi="Arial Narrow"/>
                <w:color w:val="FF00FF"/>
                <w:sz w:val="18"/>
                <w:szCs w:val="18"/>
                <w:lang w:eastAsia="en-AU"/>
              </w:rPr>
              <w:t xml:space="preserve"> </w:t>
            </w:r>
          </w:p>
        </w:tc>
      </w:tr>
      <w:tr w:rsidR="0024259E" w:rsidRPr="0024259E" w:rsidTr="00552251">
        <w:tc>
          <w:tcPr>
            <w:tcW w:w="981" w:type="dxa"/>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2"/>
            <w:vAlign w:val="center"/>
          </w:tcPr>
          <w:p w:rsidR="0024259E" w:rsidRPr="0024259E" w:rsidRDefault="0024259E" w:rsidP="00552251">
            <w:pPr>
              <w:rPr>
                <w:rFonts w:ascii="Arial Narrow" w:hAnsi="Arial Narrow"/>
                <w:b/>
                <w:bCs/>
                <w:color w:val="333333"/>
                <w:sz w:val="18"/>
                <w:szCs w:val="18"/>
                <w:lang w:eastAsia="en-AU"/>
              </w:rPr>
            </w:pPr>
            <w:r w:rsidRPr="0024259E">
              <w:rPr>
                <w:rFonts w:ascii="Arial Narrow" w:hAnsi="Arial Narrow"/>
                <w:b/>
                <w:bCs/>
                <w:color w:val="333333"/>
                <w:sz w:val="18"/>
                <w:szCs w:val="18"/>
                <w:lang w:eastAsia="en-AU"/>
              </w:rPr>
              <w:t>Clinical criteria:</w:t>
            </w:r>
          </w:p>
        </w:tc>
      </w:tr>
      <w:tr w:rsidR="0024259E" w:rsidRPr="0024259E" w:rsidTr="00552251">
        <w:tc>
          <w:tcPr>
            <w:tcW w:w="981" w:type="dxa"/>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2"/>
            <w:vAlign w:val="center"/>
          </w:tcPr>
          <w:p w:rsidR="0024259E" w:rsidRPr="0024259E" w:rsidRDefault="0024259E" w:rsidP="00552251">
            <w:pPr>
              <w:pStyle w:val="Default"/>
              <w:rPr>
                <w:rFonts w:ascii="Arial Narrow" w:hAnsi="Arial Narrow" w:cs="Times New Roman"/>
                <w:strike/>
                <w:color w:val="000000" w:themeColor="text1"/>
                <w:sz w:val="18"/>
                <w:szCs w:val="18"/>
                <w:lang w:eastAsia="en-AU"/>
              </w:rPr>
            </w:pPr>
            <w:r w:rsidRPr="0024259E">
              <w:rPr>
                <w:rFonts w:ascii="Arial Narrow" w:hAnsi="Arial Narrow" w:cs="Times New Roman"/>
                <w:strike/>
                <w:color w:val="000000" w:themeColor="text1"/>
                <w:sz w:val="18"/>
                <w:szCs w:val="18"/>
                <w:lang w:eastAsia="en-AU"/>
              </w:rPr>
              <w:t xml:space="preserve">Patient must have previously received PBS-subsidised therapy with this drug for this condition </w:t>
            </w:r>
          </w:p>
          <w:p w:rsidR="0024259E" w:rsidRPr="0024259E" w:rsidRDefault="0024259E" w:rsidP="00552251">
            <w:pPr>
              <w:pStyle w:val="Default"/>
              <w:rPr>
                <w:i/>
                <w:sz w:val="18"/>
                <w:szCs w:val="18"/>
              </w:rPr>
            </w:pPr>
            <w:r w:rsidRPr="0024259E">
              <w:rPr>
                <w:rFonts w:ascii="Arial Narrow" w:hAnsi="Arial Narrow" w:cs="Times New Roman"/>
                <w:i/>
                <w:color w:val="000000" w:themeColor="text1"/>
                <w:sz w:val="18"/>
                <w:szCs w:val="18"/>
                <w:lang w:eastAsia="en-AU"/>
              </w:rPr>
              <w:t>Patient must have received PBS-subsidised treatment with this drug for this condition</w:t>
            </w:r>
          </w:p>
        </w:tc>
      </w:tr>
      <w:tr w:rsidR="0024259E" w:rsidRPr="0024259E" w:rsidTr="00552251">
        <w:tc>
          <w:tcPr>
            <w:tcW w:w="981" w:type="dxa"/>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2"/>
            <w:vAlign w:val="center"/>
          </w:tcPr>
          <w:p w:rsidR="0024259E" w:rsidRPr="0024259E" w:rsidRDefault="0024259E" w:rsidP="00552251">
            <w:pPr>
              <w:pStyle w:val="Default"/>
              <w:rPr>
                <w:rFonts w:ascii="Arial Narrow" w:hAnsi="Arial Narrow" w:cs="Times New Roman"/>
                <w:strike/>
                <w:color w:val="000000" w:themeColor="text1"/>
                <w:sz w:val="18"/>
                <w:szCs w:val="18"/>
                <w:lang w:eastAsia="en-AU"/>
              </w:rPr>
            </w:pPr>
            <w:r w:rsidRPr="0024259E">
              <w:rPr>
                <w:rFonts w:ascii="Arial Narrow" w:eastAsia="Times New Roman" w:hAnsi="Arial Narrow"/>
                <w:b/>
                <w:bCs/>
                <w:color w:val="333333"/>
                <w:sz w:val="18"/>
                <w:szCs w:val="18"/>
                <w:lang w:eastAsia="en-AU"/>
              </w:rPr>
              <w:t>AND</w:t>
            </w:r>
          </w:p>
        </w:tc>
      </w:tr>
      <w:tr w:rsidR="0024259E" w:rsidRPr="0024259E" w:rsidTr="00B423CC">
        <w:tc>
          <w:tcPr>
            <w:tcW w:w="981" w:type="dxa"/>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2"/>
            <w:vAlign w:val="center"/>
            <w:hideMark/>
          </w:tcPr>
          <w:p w:rsidR="0024259E" w:rsidRPr="0024259E" w:rsidRDefault="0024259E" w:rsidP="00552251">
            <w:pPr>
              <w:rPr>
                <w:rFonts w:ascii="Arial Narrow" w:hAnsi="Arial Narrow"/>
                <w:color w:val="FF00FF"/>
                <w:sz w:val="18"/>
                <w:szCs w:val="18"/>
                <w:lang w:eastAsia="en-AU"/>
              </w:rPr>
            </w:pPr>
            <w:r w:rsidRPr="0024259E">
              <w:rPr>
                <w:rFonts w:ascii="Arial Narrow" w:hAnsi="Arial Narrow"/>
                <w:b/>
                <w:bCs/>
                <w:color w:val="333333"/>
                <w:sz w:val="18"/>
                <w:szCs w:val="18"/>
                <w:lang w:eastAsia="en-AU"/>
              </w:rPr>
              <w:t xml:space="preserve">Clinical criteria: </w:t>
            </w:r>
          </w:p>
        </w:tc>
      </w:tr>
      <w:tr w:rsidR="0024259E" w:rsidRPr="0024259E" w:rsidTr="00552251">
        <w:trPr>
          <w:trHeight w:val="270"/>
        </w:trPr>
        <w:tc>
          <w:tcPr>
            <w:tcW w:w="981" w:type="dxa"/>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2"/>
            <w:vAlign w:val="center"/>
          </w:tcPr>
          <w:p w:rsidR="0024259E" w:rsidRPr="0024259E" w:rsidRDefault="0024259E" w:rsidP="00552251">
            <w:pPr>
              <w:rPr>
                <w:rFonts w:ascii="Arial Narrow" w:hAnsi="Arial Narrow"/>
                <w:b/>
                <w:bCs/>
                <w:color w:val="000000" w:themeColor="text1"/>
                <w:sz w:val="18"/>
                <w:szCs w:val="18"/>
                <w:lang w:eastAsia="en-AU"/>
              </w:rPr>
            </w:pPr>
            <w:r w:rsidRPr="0024259E">
              <w:rPr>
                <w:rFonts w:ascii="Arial Narrow" w:hAnsi="Arial Narrow"/>
                <w:color w:val="000000" w:themeColor="text1"/>
                <w:sz w:val="18"/>
                <w:szCs w:val="18"/>
                <w:lang w:eastAsia="en-AU"/>
              </w:rPr>
              <w:t>The treatment must be as monotherapy</w:t>
            </w:r>
          </w:p>
        </w:tc>
      </w:tr>
      <w:tr w:rsidR="0024259E" w:rsidRPr="0024259E" w:rsidTr="00B423CC">
        <w:tc>
          <w:tcPr>
            <w:tcW w:w="981" w:type="dxa"/>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2"/>
            <w:vAlign w:val="center"/>
            <w:hideMark/>
          </w:tcPr>
          <w:p w:rsidR="0024259E" w:rsidRPr="0024259E" w:rsidRDefault="0024259E" w:rsidP="00552251">
            <w:pPr>
              <w:rPr>
                <w:rFonts w:ascii="Arial Narrow" w:hAnsi="Arial Narrow"/>
                <w:color w:val="333333"/>
                <w:sz w:val="18"/>
                <w:szCs w:val="18"/>
                <w:lang w:eastAsia="en-AU"/>
              </w:rPr>
            </w:pPr>
            <w:r w:rsidRPr="0024259E">
              <w:rPr>
                <w:rFonts w:ascii="Arial Narrow" w:hAnsi="Arial Narrow"/>
                <w:b/>
                <w:bCs/>
                <w:color w:val="333333"/>
                <w:sz w:val="18"/>
                <w:szCs w:val="18"/>
                <w:lang w:eastAsia="en-AU"/>
              </w:rPr>
              <w:t>AND</w:t>
            </w:r>
          </w:p>
        </w:tc>
      </w:tr>
      <w:tr w:rsidR="0024259E" w:rsidRPr="0024259E" w:rsidTr="00552251">
        <w:tc>
          <w:tcPr>
            <w:tcW w:w="981" w:type="dxa"/>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2"/>
          </w:tcPr>
          <w:p w:rsidR="0024259E" w:rsidRPr="0024259E" w:rsidRDefault="0024259E" w:rsidP="00552251">
            <w:pPr>
              <w:rPr>
                <w:rFonts w:ascii="Arial Narrow" w:hAnsi="Arial Narrow"/>
                <w:b/>
                <w:bCs/>
                <w:color w:val="333333"/>
                <w:sz w:val="18"/>
                <w:szCs w:val="18"/>
                <w:lang w:eastAsia="en-AU"/>
              </w:rPr>
            </w:pPr>
            <w:r w:rsidRPr="0024259E">
              <w:rPr>
                <w:rFonts w:ascii="Arial Narrow" w:hAnsi="Arial Narrow"/>
                <w:b/>
                <w:bCs/>
                <w:color w:val="333333"/>
                <w:sz w:val="18"/>
                <w:szCs w:val="18"/>
                <w:lang w:eastAsia="en-AU"/>
              </w:rPr>
              <w:t>Clinical criteria:</w:t>
            </w:r>
          </w:p>
        </w:tc>
      </w:tr>
      <w:tr w:rsidR="0024259E" w:rsidRPr="0024259E" w:rsidTr="00552251">
        <w:tc>
          <w:tcPr>
            <w:tcW w:w="981" w:type="dxa"/>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2"/>
          </w:tcPr>
          <w:p w:rsidR="0024259E" w:rsidRPr="0024259E" w:rsidRDefault="0024259E" w:rsidP="00552251">
            <w:pPr>
              <w:pStyle w:val="Default"/>
              <w:rPr>
                <w:rFonts w:ascii="Arial Narrow" w:hAnsi="Arial Narrow" w:cs="Times New Roman"/>
                <w:strike/>
                <w:color w:val="000000" w:themeColor="text1"/>
                <w:sz w:val="18"/>
                <w:szCs w:val="18"/>
                <w:lang w:eastAsia="en-AU"/>
              </w:rPr>
            </w:pPr>
            <w:r w:rsidRPr="0024259E">
              <w:rPr>
                <w:rFonts w:ascii="Arial Narrow" w:hAnsi="Arial Narrow" w:cs="Times New Roman"/>
                <w:strike/>
                <w:color w:val="000000" w:themeColor="text1"/>
                <w:sz w:val="18"/>
                <w:szCs w:val="18"/>
                <w:lang w:eastAsia="en-AU"/>
              </w:rPr>
              <w:t xml:space="preserve">Patient must not have had disease progression while receiving treatment with this drug </w:t>
            </w:r>
          </w:p>
          <w:p w:rsidR="0024259E" w:rsidRPr="0024259E" w:rsidRDefault="0024259E" w:rsidP="00552251">
            <w:pPr>
              <w:textAlignment w:val="center"/>
              <w:rPr>
                <w:rFonts w:ascii="Arial Narrow" w:hAnsi="Arial Narrow"/>
                <w:i/>
                <w:color w:val="000000" w:themeColor="text1"/>
                <w:sz w:val="18"/>
                <w:szCs w:val="18"/>
                <w:lang w:eastAsia="en-AU"/>
              </w:rPr>
            </w:pPr>
            <w:r w:rsidRPr="0024259E">
              <w:rPr>
                <w:rFonts w:ascii="Arial Narrow" w:hAnsi="Arial Narrow"/>
                <w:i/>
                <w:color w:val="000000" w:themeColor="text1"/>
                <w:sz w:val="18"/>
                <w:szCs w:val="18"/>
                <w:lang w:eastAsia="en-AU"/>
              </w:rPr>
              <w:t>Patient must not have progressive disease while receiving treatment with this drug for this condition.</w:t>
            </w:r>
          </w:p>
        </w:tc>
      </w:tr>
      <w:tr w:rsidR="0024259E" w:rsidRPr="0024259E" w:rsidTr="00552251">
        <w:tc>
          <w:tcPr>
            <w:tcW w:w="981" w:type="dxa"/>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2"/>
            <w:vAlign w:val="center"/>
            <w:hideMark/>
          </w:tcPr>
          <w:p w:rsidR="0024259E" w:rsidRPr="0024259E" w:rsidRDefault="0024259E" w:rsidP="00552251">
            <w:pPr>
              <w:rPr>
                <w:rFonts w:ascii="Arial Narrow" w:hAnsi="Arial Narrow"/>
                <w:color w:val="333333"/>
                <w:sz w:val="18"/>
                <w:szCs w:val="18"/>
                <w:lang w:eastAsia="en-AU"/>
              </w:rPr>
            </w:pPr>
            <w:r w:rsidRPr="0024259E">
              <w:rPr>
                <w:rFonts w:ascii="Arial Narrow" w:hAnsi="Arial Narrow"/>
                <w:b/>
                <w:bCs/>
                <w:color w:val="333333"/>
                <w:sz w:val="18"/>
                <w:szCs w:val="18"/>
                <w:lang w:eastAsia="en-AU"/>
              </w:rPr>
              <w:t>AND</w:t>
            </w:r>
          </w:p>
        </w:tc>
      </w:tr>
      <w:tr w:rsidR="0024259E" w:rsidRPr="0024259E" w:rsidTr="00552251">
        <w:tc>
          <w:tcPr>
            <w:tcW w:w="981" w:type="dxa"/>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2"/>
            <w:vAlign w:val="center"/>
            <w:hideMark/>
          </w:tcPr>
          <w:p w:rsidR="0024259E" w:rsidRPr="0024259E" w:rsidRDefault="0024259E" w:rsidP="00552251">
            <w:pPr>
              <w:rPr>
                <w:rFonts w:ascii="Arial Narrow" w:hAnsi="Arial Narrow"/>
                <w:color w:val="333333"/>
                <w:sz w:val="18"/>
                <w:szCs w:val="18"/>
                <w:lang w:eastAsia="en-AU"/>
              </w:rPr>
            </w:pPr>
            <w:r w:rsidRPr="0024259E">
              <w:rPr>
                <w:rFonts w:ascii="Arial Narrow" w:hAnsi="Arial Narrow"/>
                <w:b/>
                <w:bCs/>
                <w:color w:val="333333"/>
                <w:sz w:val="18"/>
                <w:szCs w:val="18"/>
                <w:lang w:eastAsia="en-AU"/>
              </w:rPr>
              <w:t>Clinical criteria:</w:t>
            </w:r>
          </w:p>
        </w:tc>
      </w:tr>
      <w:tr w:rsidR="0024259E" w:rsidRPr="0024259E" w:rsidTr="00552251">
        <w:tc>
          <w:tcPr>
            <w:tcW w:w="981" w:type="dxa"/>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2"/>
            <w:vAlign w:val="center"/>
            <w:hideMark/>
          </w:tcPr>
          <w:p w:rsidR="0024259E" w:rsidRPr="0024259E" w:rsidRDefault="0024259E" w:rsidP="00552251">
            <w:pPr>
              <w:rPr>
                <w:rFonts w:ascii="Arial Narrow" w:hAnsi="Arial Narrow"/>
                <w:i/>
                <w:color w:val="000000" w:themeColor="text1"/>
                <w:sz w:val="18"/>
                <w:szCs w:val="18"/>
                <w:lang w:eastAsia="en-AU"/>
              </w:rPr>
            </w:pPr>
            <w:r w:rsidRPr="0024259E">
              <w:rPr>
                <w:rFonts w:ascii="Arial Narrow" w:hAnsi="Arial Narrow"/>
                <w:color w:val="000000" w:themeColor="text1"/>
                <w:sz w:val="18"/>
                <w:szCs w:val="18"/>
                <w:lang w:eastAsia="en-AU"/>
              </w:rPr>
              <w:t xml:space="preserve">Patient must have a WHO performance status of </w:t>
            </w:r>
            <w:r w:rsidRPr="0024259E">
              <w:rPr>
                <w:rFonts w:ascii="Arial Narrow" w:hAnsi="Arial Narrow"/>
                <w:strike/>
                <w:color w:val="000000" w:themeColor="text1"/>
                <w:sz w:val="18"/>
                <w:szCs w:val="18"/>
                <w:lang w:eastAsia="en-AU"/>
              </w:rPr>
              <w:t>0 to 2</w:t>
            </w:r>
            <w:r w:rsidRPr="0024259E">
              <w:rPr>
                <w:rFonts w:ascii="Arial Narrow" w:hAnsi="Arial Narrow"/>
                <w:i/>
                <w:color w:val="000000" w:themeColor="text1"/>
                <w:sz w:val="18"/>
                <w:szCs w:val="18"/>
                <w:lang w:eastAsia="en-AU"/>
              </w:rPr>
              <w:t xml:space="preserve"> 2 or less</w:t>
            </w:r>
          </w:p>
        </w:tc>
      </w:tr>
      <w:tr w:rsidR="0024259E" w:rsidRPr="0024259E" w:rsidTr="00B423CC">
        <w:tc>
          <w:tcPr>
            <w:tcW w:w="981" w:type="dxa"/>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2"/>
            <w:vAlign w:val="center"/>
            <w:hideMark/>
          </w:tcPr>
          <w:p w:rsidR="0024259E" w:rsidRPr="0024259E" w:rsidRDefault="0024259E" w:rsidP="00552251">
            <w:pPr>
              <w:rPr>
                <w:rFonts w:ascii="Arial Narrow" w:hAnsi="Arial Narrow"/>
                <w:strike/>
                <w:color w:val="000000" w:themeColor="text1"/>
                <w:sz w:val="18"/>
                <w:szCs w:val="18"/>
                <w:lang w:eastAsia="en-AU"/>
              </w:rPr>
            </w:pPr>
            <w:r w:rsidRPr="0024259E">
              <w:rPr>
                <w:rFonts w:ascii="Arial Narrow" w:hAnsi="Arial Narrow"/>
                <w:b/>
                <w:bCs/>
                <w:strike/>
                <w:color w:val="000000" w:themeColor="text1"/>
                <w:sz w:val="18"/>
                <w:szCs w:val="18"/>
                <w:lang w:eastAsia="en-AU"/>
              </w:rPr>
              <w:t>Prescribing Instructions:</w:t>
            </w:r>
            <w:r w:rsidRPr="0024259E">
              <w:rPr>
                <w:rFonts w:ascii="Arial Narrow" w:hAnsi="Arial Narrow"/>
                <w:strike/>
                <w:color w:val="000000" w:themeColor="text1"/>
                <w:sz w:val="18"/>
                <w:szCs w:val="18"/>
                <w:lang w:eastAsia="en-AU"/>
              </w:rPr>
              <w:t xml:space="preserve"> Patients who progress while on ripretinib will not be eligible to receive further PBS-subsidised treatment with this drug for this condition.</w:t>
            </w:r>
          </w:p>
        </w:tc>
      </w:tr>
      <w:tr w:rsidR="0024259E" w:rsidRPr="0024259E" w:rsidTr="00B423CC">
        <w:tc>
          <w:tcPr>
            <w:tcW w:w="981" w:type="dxa"/>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2"/>
            <w:vAlign w:val="center"/>
            <w:hideMark/>
          </w:tcPr>
          <w:p w:rsidR="0024259E" w:rsidRPr="0024259E" w:rsidRDefault="0024259E" w:rsidP="00552251">
            <w:pPr>
              <w:rPr>
                <w:rFonts w:ascii="Arial Narrow" w:hAnsi="Arial Narrow"/>
                <w:i/>
                <w:color w:val="000000" w:themeColor="text1"/>
                <w:sz w:val="18"/>
                <w:szCs w:val="18"/>
                <w:lang w:eastAsia="en-AU"/>
              </w:rPr>
            </w:pPr>
            <w:r w:rsidRPr="0024259E">
              <w:rPr>
                <w:rFonts w:ascii="Arial Narrow" w:hAnsi="Arial Narrow"/>
                <w:b/>
                <w:bCs/>
                <w:color w:val="000000" w:themeColor="text1"/>
                <w:sz w:val="18"/>
                <w:szCs w:val="18"/>
                <w:lang w:eastAsia="en-AU"/>
              </w:rPr>
              <w:t xml:space="preserve">Administrative Advice: </w:t>
            </w:r>
          </w:p>
          <w:p w:rsidR="0024259E" w:rsidRPr="0024259E" w:rsidRDefault="0024259E" w:rsidP="00552251">
            <w:pPr>
              <w:pStyle w:val="Default"/>
              <w:rPr>
                <w:rFonts w:ascii="Arial Narrow" w:hAnsi="Arial Narrow" w:cs="Times New Roman"/>
                <w:strike/>
                <w:color w:val="000000" w:themeColor="text1"/>
                <w:sz w:val="18"/>
                <w:szCs w:val="18"/>
                <w:lang w:eastAsia="en-AU"/>
              </w:rPr>
            </w:pPr>
            <w:r w:rsidRPr="0024259E">
              <w:rPr>
                <w:rFonts w:ascii="Arial Narrow" w:hAnsi="Arial Narrow" w:cs="Times New Roman"/>
                <w:strike/>
                <w:color w:val="000000" w:themeColor="text1"/>
                <w:sz w:val="18"/>
                <w:szCs w:val="18"/>
                <w:lang w:eastAsia="en-AU"/>
              </w:rPr>
              <w:t xml:space="preserve">Authority applications for continuing treatment may be made by telephone to the Department of Human Services on 1800 700 270 (hours of operation 8 a.m. to 5 p.m. EST Monday to Friday). </w:t>
            </w:r>
          </w:p>
          <w:p w:rsidR="0024259E" w:rsidRPr="0024259E" w:rsidRDefault="0024259E" w:rsidP="00552251">
            <w:pPr>
              <w:pStyle w:val="Default"/>
              <w:rPr>
                <w:rFonts w:ascii="Arial Narrow" w:hAnsi="Arial Narrow" w:cs="Times New Roman"/>
                <w:strike/>
                <w:color w:val="000000" w:themeColor="text1"/>
                <w:sz w:val="18"/>
                <w:szCs w:val="18"/>
                <w:lang w:eastAsia="en-AU"/>
              </w:rPr>
            </w:pPr>
            <w:r w:rsidRPr="0024259E">
              <w:rPr>
                <w:rFonts w:ascii="Arial Narrow" w:hAnsi="Arial Narrow" w:cs="Times New Roman"/>
                <w:i/>
                <w:color w:val="000000" w:themeColor="text1"/>
                <w:sz w:val="18"/>
                <w:szCs w:val="18"/>
                <w:lang w:eastAsia="en-AU"/>
              </w:rPr>
              <w:t xml:space="preserve">Applications for authorisation under this restriction may be made in real time using the Online PBS Authorities system (see </w:t>
            </w:r>
            <w:r w:rsidRPr="0024259E">
              <w:rPr>
                <w:rFonts w:ascii="Arial Narrow" w:hAnsi="Arial Narrow"/>
                <w:color w:val="000000" w:themeColor="text1"/>
                <w:sz w:val="18"/>
                <w:szCs w:val="18"/>
                <w:lang w:eastAsia="en-AU"/>
              </w:rPr>
              <w:t>www.servicesaustralia.gov.au/HPOS</w:t>
            </w:r>
            <w:r w:rsidRPr="0024259E">
              <w:rPr>
                <w:rFonts w:ascii="Arial Narrow" w:hAnsi="Arial Narrow" w:cs="Times New Roman"/>
                <w:i/>
                <w:color w:val="000000" w:themeColor="text1"/>
                <w:sz w:val="18"/>
                <w:szCs w:val="18"/>
                <w:lang w:eastAsia="en-AU"/>
              </w:rPr>
              <w:t>) or by telephone by contacting Services Australia on 1800 700 270 (hours of operation 8 a.m. to 5 p.m. EST Monday to Friday).</w:t>
            </w:r>
          </w:p>
        </w:tc>
      </w:tr>
      <w:tr w:rsidR="0024259E" w:rsidRPr="00997C27" w:rsidTr="00552251">
        <w:tc>
          <w:tcPr>
            <w:tcW w:w="981" w:type="dxa"/>
            <w:vAlign w:val="center"/>
          </w:tcPr>
          <w:p w:rsidR="0024259E" w:rsidRPr="0024259E" w:rsidRDefault="0024259E" w:rsidP="00552251">
            <w:pPr>
              <w:jc w:val="center"/>
              <w:rPr>
                <w:rFonts w:ascii="Arial Narrow" w:hAnsi="Arial Narrow"/>
                <w:color w:val="333333"/>
                <w:sz w:val="18"/>
                <w:szCs w:val="18"/>
                <w:lang w:eastAsia="en-AU"/>
              </w:rPr>
            </w:pPr>
          </w:p>
        </w:tc>
        <w:tc>
          <w:tcPr>
            <w:tcW w:w="8086" w:type="dxa"/>
            <w:gridSpan w:val="2"/>
            <w:vAlign w:val="center"/>
          </w:tcPr>
          <w:p w:rsidR="0024259E" w:rsidRPr="0024259E" w:rsidRDefault="0024259E" w:rsidP="00552251">
            <w:pPr>
              <w:rPr>
                <w:rFonts w:ascii="Arial Narrow" w:hAnsi="Arial Narrow"/>
                <w:b/>
                <w:i/>
                <w:color w:val="000000" w:themeColor="text1"/>
                <w:sz w:val="18"/>
                <w:szCs w:val="18"/>
                <w:u w:val="single"/>
                <w:lang w:eastAsia="en-AU"/>
              </w:rPr>
            </w:pPr>
            <w:r w:rsidRPr="0024259E">
              <w:rPr>
                <w:rFonts w:ascii="Arial Narrow" w:hAnsi="Arial Narrow"/>
                <w:b/>
                <w:bCs/>
                <w:color w:val="000000" w:themeColor="text1"/>
                <w:sz w:val="18"/>
                <w:szCs w:val="18"/>
                <w:lang w:eastAsia="en-AU"/>
              </w:rPr>
              <w:t>Administrative Advice:</w:t>
            </w:r>
          </w:p>
          <w:p w:rsidR="0024259E" w:rsidRPr="0024259E" w:rsidRDefault="0024259E" w:rsidP="00552251">
            <w:pPr>
              <w:rPr>
                <w:rFonts w:ascii="Arial Narrow" w:hAnsi="Arial Narrow"/>
                <w:b/>
                <w:i/>
                <w:color w:val="000000" w:themeColor="text1"/>
                <w:sz w:val="18"/>
                <w:szCs w:val="18"/>
                <w:u w:val="single"/>
                <w:lang w:eastAsia="en-AU"/>
              </w:rPr>
            </w:pPr>
            <w:r w:rsidRPr="0024259E">
              <w:rPr>
                <w:rFonts w:ascii="Arial Narrow" w:hAnsi="Arial Narrow"/>
                <w:b/>
                <w:i/>
                <w:color w:val="000000" w:themeColor="text1"/>
                <w:sz w:val="18"/>
                <w:szCs w:val="18"/>
                <w:u w:val="single"/>
                <w:lang w:eastAsia="en-AU"/>
              </w:rPr>
              <w:t>Note</w:t>
            </w:r>
          </w:p>
          <w:p w:rsidR="0024259E" w:rsidRPr="00997C27" w:rsidRDefault="0024259E" w:rsidP="00552251">
            <w:pPr>
              <w:rPr>
                <w:rFonts w:ascii="Arial Narrow" w:hAnsi="Arial Narrow"/>
                <w:b/>
                <w:bCs/>
                <w:color w:val="000000" w:themeColor="text1"/>
                <w:sz w:val="18"/>
                <w:szCs w:val="18"/>
                <w:lang w:eastAsia="en-AU"/>
              </w:rPr>
            </w:pPr>
            <w:r w:rsidRPr="0024259E">
              <w:rPr>
                <w:rFonts w:ascii="Arial Narrow" w:hAnsi="Arial Narrow"/>
                <w:i/>
                <w:color w:val="000000" w:themeColor="text1"/>
                <w:sz w:val="18"/>
                <w:szCs w:val="18"/>
                <w:lang w:eastAsia="en-AU"/>
              </w:rPr>
              <w:t>Ripretinib is not PBS-subsidised for the treatment of patients with resectable malignant gastrointestinal stromal tumours.</w:t>
            </w:r>
          </w:p>
        </w:tc>
      </w:tr>
    </w:tbl>
    <w:p w:rsidR="00083F05" w:rsidRPr="000A70B6" w:rsidRDefault="00083F05" w:rsidP="00083F05">
      <w:pPr>
        <w:pStyle w:val="TableFooter"/>
      </w:pPr>
    </w:p>
    <w:p w:rsidR="00083F05" w:rsidRDefault="00083F05" w:rsidP="00083F05">
      <w:pPr>
        <w:pStyle w:val="ListParagraph"/>
        <w:widowControl/>
        <w:numPr>
          <w:ilvl w:val="1"/>
          <w:numId w:val="2"/>
        </w:numPr>
        <w:rPr>
          <w:color w:val="000000" w:themeColor="text1"/>
        </w:rPr>
      </w:pPr>
      <w:r w:rsidRPr="004042E8">
        <w:rPr>
          <w:color w:val="000000" w:themeColor="text1"/>
        </w:rPr>
        <w:t>The submission requested a special pricing arrangement.</w:t>
      </w:r>
    </w:p>
    <w:p w:rsidR="003B71EE" w:rsidRPr="003B71EE" w:rsidRDefault="003B71EE" w:rsidP="003B71EE">
      <w:pPr>
        <w:pStyle w:val="ListParagraph"/>
        <w:widowControl/>
        <w:numPr>
          <w:ilvl w:val="1"/>
          <w:numId w:val="2"/>
        </w:numPr>
      </w:pPr>
      <w:r w:rsidRPr="003B71EE">
        <w:t>The</w:t>
      </w:r>
      <w:r w:rsidR="002C3B4A">
        <w:t xml:space="preserve"> PBAC noted the</w:t>
      </w:r>
      <w:r w:rsidRPr="003B71EE">
        <w:t xml:space="preserve"> requested Authority Required (written) listi</w:t>
      </w:r>
      <w:r w:rsidR="002C3B4A">
        <w:t>ng for the initial restriction wa</w:t>
      </w:r>
      <w:r w:rsidRPr="003B71EE">
        <w:t xml:space="preserve">s consistent with that of sunitinib. </w:t>
      </w:r>
      <w:r w:rsidR="002C3B4A">
        <w:t xml:space="preserve">However, in contrast to the current sunitinib listing, the PBAC considered that </w:t>
      </w:r>
      <w:r>
        <w:t xml:space="preserve">an </w:t>
      </w:r>
      <w:r w:rsidRPr="003B71EE">
        <w:t>Authority Required (Telephone) listing</w:t>
      </w:r>
      <w:r w:rsidR="002C3B4A">
        <w:t xml:space="preserve"> </w:t>
      </w:r>
      <w:r w:rsidRPr="003B71EE">
        <w:t>would be appropriate for</w:t>
      </w:r>
      <w:r w:rsidR="00BA6714">
        <w:t xml:space="preserve"> a </w:t>
      </w:r>
      <w:r w:rsidRPr="003B71EE">
        <w:t xml:space="preserve">ripretinib </w:t>
      </w:r>
      <w:r>
        <w:t>continuing restriction</w:t>
      </w:r>
      <w:r w:rsidRPr="003B71EE">
        <w:t>.</w:t>
      </w:r>
    </w:p>
    <w:p w:rsidR="00083F05" w:rsidRPr="003B71EE" w:rsidRDefault="00083F05" w:rsidP="003B71EE">
      <w:pPr>
        <w:pStyle w:val="ListParagraph"/>
        <w:widowControl/>
        <w:numPr>
          <w:ilvl w:val="1"/>
          <w:numId w:val="2"/>
        </w:numPr>
        <w:rPr>
          <w:color w:val="000000" w:themeColor="text1"/>
        </w:rPr>
      </w:pPr>
      <w:r w:rsidRPr="00C31FED">
        <w:t>The submission acknowledged that the requested restriction deviates from the TGA-approved labelled indication, which is for fourth or later line</w:t>
      </w:r>
      <w:r w:rsidR="006C5CD8">
        <w:t xml:space="preserve"> (</w:t>
      </w:r>
      <w:r w:rsidR="006C5CD8" w:rsidRPr="003B71EE">
        <w:rPr>
          <w:rFonts w:cs="Calibri"/>
        </w:rPr>
        <w:t>≥</w:t>
      </w:r>
      <w:r w:rsidR="006C5CD8">
        <w:t>4L)</w:t>
      </w:r>
      <w:r w:rsidRPr="00C31FED">
        <w:t xml:space="preserve"> use following prior treatment with at least three </w:t>
      </w:r>
      <w:r w:rsidR="000A310D">
        <w:t>tyrosine kinase inhibitors (</w:t>
      </w:r>
      <w:r w:rsidRPr="00C31FED">
        <w:t>TKIs</w:t>
      </w:r>
      <w:r w:rsidR="000A310D">
        <w:t>)</w:t>
      </w:r>
      <w:r w:rsidRPr="00C31FED">
        <w:t xml:space="preserve">. </w:t>
      </w:r>
      <w:r w:rsidR="006C5CD8">
        <w:t>Comparatively, t</w:t>
      </w:r>
      <w:r w:rsidRPr="00C31FED">
        <w:t xml:space="preserve">he proposed restriction requested reimbursement of ripretinib at </w:t>
      </w:r>
      <w:r w:rsidR="006C5CD8">
        <w:t xml:space="preserve">third line (3L) of treatment </w:t>
      </w:r>
      <w:r w:rsidRPr="00C31FED">
        <w:t xml:space="preserve">following disease progression after second line </w:t>
      </w:r>
      <w:r w:rsidR="006C5CD8">
        <w:t xml:space="preserve">(2L) </w:t>
      </w:r>
      <w:r w:rsidRPr="00C31FED">
        <w:t xml:space="preserve">sunitinib as there are currently no other </w:t>
      </w:r>
      <w:r w:rsidR="000A310D">
        <w:t xml:space="preserve">active </w:t>
      </w:r>
      <w:r w:rsidRPr="00C31FED">
        <w:t xml:space="preserve">treatment options available to Australian patients in the third or later line </w:t>
      </w:r>
      <w:r w:rsidR="006C5CD8">
        <w:t>(</w:t>
      </w:r>
      <w:r w:rsidR="006C5CD8" w:rsidRPr="003B71EE">
        <w:rPr>
          <w:rFonts w:cs="Calibri"/>
        </w:rPr>
        <w:t>≥</w:t>
      </w:r>
      <w:r w:rsidR="006C5CD8">
        <w:t xml:space="preserve">3L) </w:t>
      </w:r>
      <w:r w:rsidRPr="00C31FED">
        <w:t xml:space="preserve">setting </w:t>
      </w:r>
      <w:r w:rsidR="000A310D">
        <w:t xml:space="preserve">listed on the PBS </w:t>
      </w:r>
      <w:r w:rsidRPr="00C31FED">
        <w:t xml:space="preserve">(regorafenib is not PBS-listed and salvage imatinib therapy is rarely used). As such, the submission stated that listing for ripretinib in the </w:t>
      </w:r>
      <w:r w:rsidR="006C5CD8" w:rsidRPr="003B71EE">
        <w:rPr>
          <w:rFonts w:cs="Calibri"/>
        </w:rPr>
        <w:t>≥</w:t>
      </w:r>
      <w:r w:rsidR="006C5CD8">
        <w:t xml:space="preserve">4L setting </w:t>
      </w:r>
      <w:r w:rsidRPr="00C31FED">
        <w:t xml:space="preserve">would not be considered </w:t>
      </w:r>
      <w:r w:rsidR="00F81D5A" w:rsidRPr="00C31FED">
        <w:t>practical</w:t>
      </w:r>
      <w:r w:rsidRPr="00C31FED">
        <w:t xml:space="preserve"> or consistent with clinical practice.</w:t>
      </w:r>
      <w:r w:rsidR="001F60DE">
        <w:t xml:space="preserve"> </w:t>
      </w:r>
      <w:r w:rsidR="00A173D2" w:rsidRPr="00954D37">
        <w:t xml:space="preserve">The ESC considered that </w:t>
      </w:r>
      <w:r w:rsidR="00CA7F08" w:rsidRPr="00954D37">
        <w:t>3L regorafenib was not routinely used in Australia due to cost (as it is not PBS-listed) and toxicity.</w:t>
      </w:r>
    </w:p>
    <w:p w:rsidR="00BB4B1D" w:rsidRDefault="00BA6714" w:rsidP="00BB4B1D">
      <w:pPr>
        <w:pStyle w:val="ListParagraph"/>
        <w:widowControl/>
        <w:numPr>
          <w:ilvl w:val="1"/>
          <w:numId w:val="2"/>
        </w:numPr>
      </w:pPr>
      <w:r>
        <w:t>T</w:t>
      </w:r>
      <w:r w:rsidR="002C3B4A">
        <w:t xml:space="preserve">he INVICTUS study required a histologically confirmed diagnosis of GIST </w:t>
      </w:r>
      <w:r w:rsidR="003B71EE" w:rsidRPr="003B71EE">
        <w:t>with at least 1 measurable lesion based on the mRECIST version 1.1 criteria</w:t>
      </w:r>
      <w:r>
        <w:t xml:space="preserve">. The PBAC considered that such requirements would be adequately established during earlier lines of therapy and hence specification in restriction clinical criteria was not required in this instance.  </w:t>
      </w:r>
    </w:p>
    <w:p w:rsidR="008F07E0" w:rsidRPr="008F07E0" w:rsidRDefault="008F07E0" w:rsidP="008F07E0">
      <w:pPr>
        <w:pStyle w:val="ListParagraph"/>
        <w:widowControl/>
        <w:rPr>
          <w:i/>
          <w:color w:val="000000" w:themeColor="text1"/>
        </w:rPr>
      </w:pPr>
      <w:r w:rsidRPr="008F07E0">
        <w:rPr>
          <w:i/>
          <w:color w:val="000000" w:themeColor="text1"/>
        </w:rPr>
        <w:t>For more detail on PBAC’s view, see section 7 PBAC outcome.</w:t>
      </w:r>
    </w:p>
    <w:p w:rsidR="00083F05" w:rsidRPr="00407F2D" w:rsidRDefault="00083F05" w:rsidP="00273251">
      <w:pPr>
        <w:pStyle w:val="2-SectionHeading"/>
        <w:numPr>
          <w:ilvl w:val="0"/>
          <w:numId w:val="2"/>
        </w:numPr>
      </w:pPr>
      <w:bookmarkStart w:id="9" w:name="_Toc62040424"/>
      <w:r>
        <w:lastRenderedPageBreak/>
        <w:t>Population and disease</w:t>
      </w:r>
      <w:bookmarkEnd w:id="9"/>
    </w:p>
    <w:p w:rsidR="00083F05" w:rsidRDefault="00027C1C" w:rsidP="00083F05">
      <w:pPr>
        <w:pStyle w:val="ListParagraph"/>
        <w:widowControl/>
        <w:numPr>
          <w:ilvl w:val="1"/>
          <w:numId w:val="2"/>
        </w:numPr>
      </w:pPr>
      <w:r>
        <w:t>GISTs</w:t>
      </w:r>
      <w:r w:rsidR="00083F05" w:rsidRPr="00997C27">
        <w:t xml:space="preserve"> are subset of </w:t>
      </w:r>
      <w:r>
        <w:t>soft tissue sarcomas (STS</w:t>
      </w:r>
      <w:r w:rsidR="00083F05">
        <w:t xml:space="preserve">) </w:t>
      </w:r>
      <w:r w:rsidR="00083F05" w:rsidRPr="00997C27">
        <w:t xml:space="preserve">and are the most common mesenchymal </w:t>
      </w:r>
      <w:r w:rsidR="00EA2E18">
        <w:t xml:space="preserve">(nonepithelial) </w:t>
      </w:r>
      <w:r w:rsidR="00083F05" w:rsidRPr="00997C27">
        <w:t>tumour of the gastrointestinal (GI) tract</w:t>
      </w:r>
      <w:r w:rsidR="00083F05">
        <w:t xml:space="preserve"> (Blay 2010; Miettinen 2006a). According to Gamboa 2020, a</w:t>
      </w:r>
      <w:r w:rsidR="00083F05" w:rsidRPr="00997C27">
        <w:t>pproximately 7% of STS cases are GIST</w:t>
      </w:r>
      <w:r>
        <w:t xml:space="preserve">. </w:t>
      </w:r>
      <w:r w:rsidR="00083F05" w:rsidRPr="00931E35">
        <w:t xml:space="preserve">Common symptoms </w:t>
      </w:r>
      <w:r w:rsidR="00083F05">
        <w:t>initially</w:t>
      </w:r>
      <w:r w:rsidR="00083F05" w:rsidRPr="00931E35">
        <w:t xml:space="preserve"> include pain, vomiting of blood, black stools indicating </w:t>
      </w:r>
      <w:r>
        <w:t xml:space="preserve">GI </w:t>
      </w:r>
      <w:r w:rsidR="00083F05" w:rsidRPr="00931E35">
        <w:t>bleeding, obstructive symptoms and anaemia</w:t>
      </w:r>
      <w:r w:rsidR="00083F05">
        <w:t xml:space="preserve">. However, </w:t>
      </w:r>
      <w:r w:rsidR="00083F05" w:rsidRPr="00931E35">
        <w:t>up to a third of patients are asymptomatic, with tumours discovered incidentally during other therapeutic procedures</w:t>
      </w:r>
      <w:r w:rsidR="0074236E">
        <w:t>.</w:t>
      </w:r>
    </w:p>
    <w:p w:rsidR="004B2C11" w:rsidRDefault="004B2C11" w:rsidP="004B2C11">
      <w:pPr>
        <w:pStyle w:val="ListParagraph"/>
        <w:keepNext/>
        <w:widowControl/>
        <w:numPr>
          <w:ilvl w:val="1"/>
          <w:numId w:val="2"/>
        </w:numPr>
      </w:pPr>
      <w:r w:rsidRPr="001B446D">
        <w:t>The target patient population f</w:t>
      </w:r>
      <w:r>
        <w:t xml:space="preserve">or ripretinib was patients with </w:t>
      </w:r>
      <w:r w:rsidRPr="001B446D">
        <w:t>metastatic or unresectable GIST who have had disease progression</w:t>
      </w:r>
      <w:r>
        <w:t xml:space="preserve"> with, or are intolerant to treatment</w:t>
      </w:r>
      <w:r w:rsidRPr="001B446D">
        <w:t xml:space="preserve"> </w:t>
      </w:r>
      <w:r>
        <w:t xml:space="preserve">with, first line (1L) </w:t>
      </w:r>
      <w:r w:rsidRPr="001B446D">
        <w:t xml:space="preserve">imatinib and </w:t>
      </w:r>
      <w:r>
        <w:t xml:space="preserve">second line (2L) </w:t>
      </w:r>
      <w:r w:rsidRPr="001B446D">
        <w:t>sunitinib</w:t>
      </w:r>
      <w:r>
        <w:t xml:space="preserve"> treatment</w:t>
      </w:r>
      <w:r w:rsidRPr="001B446D">
        <w:t>.</w:t>
      </w:r>
      <w:r>
        <w:t xml:space="preserve"> </w:t>
      </w:r>
      <w:r w:rsidRPr="00954D37">
        <w:t>The ESC considered metastatic or unresectable GIST to be a rare cancer with an unmet need for effective</w:t>
      </w:r>
      <w:r w:rsidR="00611029" w:rsidRPr="00954D37">
        <w:t xml:space="preserve"> 3L</w:t>
      </w:r>
      <w:r w:rsidRPr="00954D37">
        <w:t xml:space="preserve"> treatment</w:t>
      </w:r>
      <w:r w:rsidR="00611029" w:rsidRPr="00954D37">
        <w:t>.</w:t>
      </w:r>
    </w:p>
    <w:p w:rsidR="008F07E0" w:rsidRPr="008F07E0" w:rsidRDefault="008F07E0" w:rsidP="008F07E0">
      <w:pPr>
        <w:pStyle w:val="ListParagraph"/>
        <w:keepNext/>
        <w:widowControl/>
        <w:rPr>
          <w:i/>
        </w:rPr>
      </w:pPr>
      <w:r w:rsidRPr="008F07E0">
        <w:rPr>
          <w:i/>
        </w:rPr>
        <w:t>For more detail on PBAC’s view, see section 7 PBAC outcome.</w:t>
      </w:r>
    </w:p>
    <w:p w:rsidR="00083F05" w:rsidRPr="00407F2D" w:rsidRDefault="00083F05" w:rsidP="00273251">
      <w:pPr>
        <w:pStyle w:val="2-SectionHeading"/>
        <w:numPr>
          <w:ilvl w:val="0"/>
          <w:numId w:val="2"/>
        </w:numPr>
      </w:pPr>
      <w:bookmarkStart w:id="10" w:name="_Toc62040425"/>
      <w:r w:rsidRPr="00407F2D">
        <w:t>Comparator</w:t>
      </w:r>
      <w:bookmarkEnd w:id="10"/>
    </w:p>
    <w:p w:rsidR="00083F05" w:rsidRDefault="00083F05" w:rsidP="00083F05">
      <w:pPr>
        <w:pStyle w:val="ListParagraph"/>
        <w:widowControl/>
        <w:numPr>
          <w:ilvl w:val="1"/>
          <w:numId w:val="2"/>
        </w:numPr>
      </w:pPr>
      <w:r w:rsidRPr="00D33691">
        <w:t>The submission nominated BSC</w:t>
      </w:r>
      <w:r w:rsidR="00F81D5A">
        <w:t xml:space="preserve"> as the main comparator. </w:t>
      </w:r>
      <w:r w:rsidRPr="00D33691">
        <w:t>The main arguments provided in support of this nomination were that regorafenib is not listed on the PBS</w:t>
      </w:r>
      <w:r w:rsidR="00027C1C">
        <w:t>, and therefore</w:t>
      </w:r>
      <w:r w:rsidRPr="00D33691">
        <w:t xml:space="preserve"> is rarely used following sunitinib and imatinib due to high cost. Likewise, imatinib rechallenge </w:t>
      </w:r>
      <w:r w:rsidR="00027C1C">
        <w:t xml:space="preserve">is rarely used post sunitinib. </w:t>
      </w:r>
      <w:r w:rsidRPr="00D33691">
        <w:t xml:space="preserve">The submission also noted that in the March 2015 Public Summary Document for regorafenib, the PBAC agreed that BSC was the most </w:t>
      </w:r>
      <w:r w:rsidR="00027C1C">
        <w:t xml:space="preserve">appropriate comparator in the </w:t>
      </w:r>
      <w:r w:rsidR="004C4A51">
        <w:t xml:space="preserve">3L </w:t>
      </w:r>
      <w:r w:rsidRPr="00D33691">
        <w:t>setting, and there have been no new therapies approved in this line of therapy since</w:t>
      </w:r>
      <w:r w:rsidRPr="00954D37">
        <w:t xml:space="preserve">. </w:t>
      </w:r>
      <w:r w:rsidR="00027C1C" w:rsidRPr="00954D37">
        <w:t>The</w:t>
      </w:r>
      <w:r w:rsidR="009D26D1" w:rsidRPr="00954D37">
        <w:t xml:space="preserve"> ESC considered the</w:t>
      </w:r>
      <w:r w:rsidR="00027C1C" w:rsidRPr="00954D37">
        <w:t xml:space="preserve"> nomination of BSC as the comparator</w:t>
      </w:r>
      <w:r w:rsidRPr="00954D37">
        <w:t xml:space="preserve"> was reasonable.  </w:t>
      </w:r>
    </w:p>
    <w:p w:rsidR="008F07E0" w:rsidRPr="008F07E0" w:rsidRDefault="008F07E0" w:rsidP="008F07E0">
      <w:pPr>
        <w:pStyle w:val="ListParagraph"/>
        <w:widowControl/>
        <w:rPr>
          <w:i/>
        </w:rPr>
      </w:pPr>
      <w:r w:rsidRPr="008F07E0">
        <w:rPr>
          <w:i/>
        </w:rPr>
        <w:t>For more detail on PBAC’s view, see section 7 PBAC outcome.</w:t>
      </w:r>
    </w:p>
    <w:p w:rsidR="00083F05" w:rsidRDefault="00083F05" w:rsidP="00273251">
      <w:pPr>
        <w:pStyle w:val="2-SectionHeading"/>
        <w:numPr>
          <w:ilvl w:val="0"/>
          <w:numId w:val="2"/>
        </w:numPr>
      </w:pPr>
      <w:bookmarkStart w:id="11" w:name="_Toc62040426"/>
      <w:r w:rsidRPr="00273251">
        <w:t>Consideration of the evidence</w:t>
      </w:r>
      <w:bookmarkEnd w:id="11"/>
    </w:p>
    <w:p w:rsidR="008F07E0" w:rsidRPr="003A0CA4" w:rsidRDefault="008F07E0" w:rsidP="003A0CA4">
      <w:pPr>
        <w:pStyle w:val="Heading2"/>
      </w:pPr>
      <w:r w:rsidRPr="003A0CA4">
        <w:t>Sponsor hearing</w:t>
      </w:r>
    </w:p>
    <w:p w:rsidR="008F07E0" w:rsidRPr="008F07E0" w:rsidRDefault="008F07E0" w:rsidP="008F07E0">
      <w:pPr>
        <w:widowControl/>
        <w:numPr>
          <w:ilvl w:val="1"/>
          <w:numId w:val="2"/>
        </w:numPr>
        <w:spacing w:after="120"/>
        <w:jc w:val="left"/>
        <w:rPr>
          <w:rFonts w:asciiTheme="minorHAnsi" w:hAnsiTheme="minorHAnsi"/>
          <w:bCs/>
          <w:szCs w:val="24"/>
        </w:rPr>
      </w:pPr>
      <w:r w:rsidRPr="008F07E0">
        <w:rPr>
          <w:rFonts w:asciiTheme="minorHAnsi" w:hAnsiTheme="minorHAnsi"/>
          <w:bCs/>
          <w:szCs w:val="24"/>
        </w:rPr>
        <w:t>The</w:t>
      </w:r>
      <w:r>
        <w:rPr>
          <w:rFonts w:asciiTheme="minorHAnsi" w:hAnsiTheme="minorHAnsi"/>
          <w:bCs/>
          <w:szCs w:val="24"/>
        </w:rPr>
        <w:t>re was no hearing for this item</w:t>
      </w:r>
      <w:r w:rsidRPr="008F07E0">
        <w:rPr>
          <w:rFonts w:asciiTheme="minorHAnsi" w:hAnsiTheme="minorHAnsi"/>
          <w:bCs/>
          <w:szCs w:val="24"/>
        </w:rPr>
        <w:t>.</w:t>
      </w:r>
    </w:p>
    <w:p w:rsidR="008F07E0" w:rsidRPr="003A0CA4" w:rsidRDefault="008F07E0" w:rsidP="003A0CA4">
      <w:pPr>
        <w:pStyle w:val="Heading2"/>
      </w:pPr>
      <w:r w:rsidRPr="003A0CA4">
        <w:t>Consumer comments</w:t>
      </w:r>
    </w:p>
    <w:p w:rsidR="003318B9" w:rsidRPr="0059540B" w:rsidRDefault="008F07E0" w:rsidP="0059540B">
      <w:pPr>
        <w:pStyle w:val="ListParagraph"/>
        <w:widowControl/>
        <w:numPr>
          <w:ilvl w:val="1"/>
          <w:numId w:val="2"/>
        </w:numPr>
        <w:rPr>
          <w:rFonts w:cs="Calibri"/>
          <w:szCs w:val="24"/>
        </w:rPr>
      </w:pPr>
      <w:r w:rsidRPr="0059540B">
        <w:rPr>
          <w:rFonts w:cs="Calibri"/>
          <w:szCs w:val="24"/>
        </w:rPr>
        <w:t xml:space="preserve">The PBAC noted and welcomed the input from individuals (98), health care professionals (3) and organisations (4) via the Consumer Comments facility on the PBS website.  The comments </w:t>
      </w:r>
      <w:r w:rsidR="00063B7F" w:rsidRPr="0059540B">
        <w:rPr>
          <w:rFonts w:cs="Calibri"/>
          <w:szCs w:val="24"/>
        </w:rPr>
        <w:t xml:space="preserve">from individuals </w:t>
      </w:r>
      <w:r w:rsidRPr="0059540B">
        <w:rPr>
          <w:rFonts w:cs="Calibri"/>
          <w:szCs w:val="24"/>
        </w:rPr>
        <w:t xml:space="preserve">described </w:t>
      </w:r>
      <w:r w:rsidR="00063B7F" w:rsidRPr="0059540B">
        <w:rPr>
          <w:rFonts w:cs="Calibri"/>
          <w:szCs w:val="24"/>
        </w:rPr>
        <w:t>the fear and anxiety associated with not having additional GIST treatment options once progression occurs</w:t>
      </w:r>
      <w:r w:rsidR="006F1FE5" w:rsidRPr="0059540B">
        <w:rPr>
          <w:rFonts w:cs="Calibri"/>
          <w:szCs w:val="24"/>
        </w:rPr>
        <w:t xml:space="preserve">. Comments </w:t>
      </w:r>
      <w:r w:rsidR="000629A6" w:rsidRPr="0059540B">
        <w:rPr>
          <w:rFonts w:cs="Calibri"/>
          <w:szCs w:val="24"/>
        </w:rPr>
        <w:t>note</w:t>
      </w:r>
      <w:r w:rsidR="00552251">
        <w:rPr>
          <w:rFonts w:cs="Calibri"/>
          <w:szCs w:val="24"/>
        </w:rPr>
        <w:t>d</w:t>
      </w:r>
      <w:r w:rsidR="000629A6" w:rsidRPr="0059540B">
        <w:rPr>
          <w:rFonts w:cs="Calibri"/>
          <w:szCs w:val="24"/>
        </w:rPr>
        <w:t xml:space="preserve"> that the disease is associated with significant morbidity and loss of function, as well as reduced quality of life if not controlled. The comments also highlight</w:t>
      </w:r>
      <w:r w:rsidR="00552251">
        <w:rPr>
          <w:rFonts w:cs="Calibri"/>
          <w:szCs w:val="24"/>
        </w:rPr>
        <w:t>ed</w:t>
      </w:r>
      <w:r w:rsidR="000629A6" w:rsidRPr="0059540B">
        <w:rPr>
          <w:rFonts w:cs="Calibri"/>
          <w:szCs w:val="24"/>
        </w:rPr>
        <w:t xml:space="preserve"> the impact of GIST on families as a result of the typically younger patient population affected by the condition</w:t>
      </w:r>
      <w:r w:rsidR="003318B9" w:rsidRPr="0059540B">
        <w:rPr>
          <w:rFonts w:cs="Calibri"/>
          <w:szCs w:val="24"/>
        </w:rPr>
        <w:t xml:space="preserve">. </w:t>
      </w:r>
      <w:r w:rsidR="000629A6" w:rsidRPr="0059540B">
        <w:rPr>
          <w:rFonts w:cs="Calibri"/>
          <w:szCs w:val="24"/>
        </w:rPr>
        <w:t xml:space="preserve">The Life Raft Group </w:t>
      </w:r>
      <w:r w:rsidR="003318B9" w:rsidRPr="0059540B">
        <w:rPr>
          <w:rFonts w:cs="Calibri"/>
          <w:szCs w:val="24"/>
        </w:rPr>
        <w:t>reported</w:t>
      </w:r>
      <w:r w:rsidR="000629A6" w:rsidRPr="0059540B">
        <w:rPr>
          <w:rFonts w:cs="Calibri"/>
          <w:szCs w:val="24"/>
        </w:rPr>
        <w:t xml:space="preserve"> 51 years to be the average age at diagnosis for the 2,000 patients included in its registry.  </w:t>
      </w:r>
    </w:p>
    <w:p w:rsidR="008F07E0" w:rsidRPr="003318B9" w:rsidRDefault="008F07E0" w:rsidP="0059540B">
      <w:pPr>
        <w:pStyle w:val="ListParagraph"/>
        <w:widowControl/>
        <w:numPr>
          <w:ilvl w:val="1"/>
          <w:numId w:val="2"/>
        </w:numPr>
        <w:rPr>
          <w:rFonts w:asciiTheme="minorHAnsi" w:hAnsiTheme="minorHAnsi"/>
          <w:bCs/>
          <w:szCs w:val="24"/>
        </w:rPr>
      </w:pPr>
      <w:r w:rsidRPr="0059540B">
        <w:rPr>
          <w:rFonts w:cs="Calibri"/>
          <w:szCs w:val="24"/>
        </w:rPr>
        <w:lastRenderedPageBreak/>
        <w:t>The Medical Oncology Group of Australia (MOGA) also expressed</w:t>
      </w:r>
      <w:r w:rsidR="003318B9" w:rsidRPr="0059540B">
        <w:rPr>
          <w:rFonts w:cs="Calibri"/>
          <w:szCs w:val="24"/>
        </w:rPr>
        <w:t xml:space="preserve"> its strong support for the ripretinib</w:t>
      </w:r>
      <w:r w:rsidRPr="0059540B">
        <w:rPr>
          <w:rFonts w:cs="Calibri"/>
          <w:szCs w:val="24"/>
        </w:rPr>
        <w:t xml:space="preserve"> submission, categorising it as one of the therapies of “high priority for PBS l</w:t>
      </w:r>
      <w:r w:rsidR="003318B9" w:rsidRPr="0059540B">
        <w:rPr>
          <w:rFonts w:cs="Calibri"/>
          <w:szCs w:val="24"/>
        </w:rPr>
        <w:t>isting” on the basis of the INVICTUS</w:t>
      </w:r>
      <w:r w:rsidRPr="0059540B">
        <w:rPr>
          <w:rFonts w:cs="Calibri"/>
          <w:szCs w:val="24"/>
        </w:rPr>
        <w:t xml:space="preserve"> trial. The PBAC noted that the MOGA presented a European Society for Medical Oncology Magnitude of Clinical Be</w:t>
      </w:r>
      <w:r w:rsidR="003318B9" w:rsidRPr="0059540B">
        <w:rPr>
          <w:rFonts w:cs="Calibri"/>
          <w:szCs w:val="24"/>
        </w:rPr>
        <w:t>nefit Scale (ESMO-MCBS) for ripretinib, which was limited to 3</w:t>
      </w:r>
      <w:r w:rsidRPr="0059540B">
        <w:rPr>
          <w:rFonts w:cs="Calibri"/>
          <w:szCs w:val="24"/>
        </w:rPr>
        <w:t xml:space="preserve"> (out of a maximum of 5, where 5 and 4 represent the grades with substantial improvement)</w:t>
      </w:r>
      <w:r w:rsidR="003318B9" w:rsidRPr="0059540B">
        <w:rPr>
          <w:rFonts w:cs="Calibri"/>
          <w:vertAlign w:val="superscript"/>
        </w:rPr>
        <w:footnoteReference w:id="1"/>
      </w:r>
      <w:r w:rsidRPr="0059540B">
        <w:rPr>
          <w:rFonts w:cs="Calibri"/>
          <w:szCs w:val="24"/>
        </w:rPr>
        <w:t>,</w:t>
      </w:r>
      <w:r w:rsidR="003318B9" w:rsidRPr="0059540B">
        <w:rPr>
          <w:rFonts w:cs="Calibri"/>
          <w:szCs w:val="24"/>
        </w:rPr>
        <w:t xml:space="preserve"> based on a comparison with placebo.</w:t>
      </w:r>
    </w:p>
    <w:p w:rsidR="00083F05" w:rsidRPr="00C9624D" w:rsidRDefault="00083F05" w:rsidP="00083F05">
      <w:pPr>
        <w:pStyle w:val="Heading2"/>
      </w:pPr>
      <w:bookmarkStart w:id="12" w:name="_Toc62040427"/>
      <w:r w:rsidRPr="00C9624D">
        <w:t>Clinical trials</w:t>
      </w:r>
      <w:bookmarkEnd w:id="12"/>
    </w:p>
    <w:p w:rsidR="00083F05" w:rsidRPr="00882085" w:rsidRDefault="00083F05" w:rsidP="00083F05"/>
    <w:p w:rsidR="00083F05" w:rsidRDefault="00083F05" w:rsidP="00083F05">
      <w:pPr>
        <w:pStyle w:val="ListParagraph"/>
        <w:widowControl/>
        <w:numPr>
          <w:ilvl w:val="1"/>
          <w:numId w:val="2"/>
        </w:numPr>
        <w:rPr>
          <w:rFonts w:cs="Calibri"/>
          <w:szCs w:val="24"/>
        </w:rPr>
      </w:pPr>
      <w:r w:rsidRPr="00555822">
        <w:rPr>
          <w:rFonts w:cs="Calibri"/>
          <w:szCs w:val="24"/>
        </w:rPr>
        <w:t xml:space="preserve">The submission was based on a single randomised </w:t>
      </w:r>
      <w:r w:rsidR="00AF71A8">
        <w:rPr>
          <w:rFonts w:cs="Calibri"/>
          <w:szCs w:val="24"/>
        </w:rPr>
        <w:t xml:space="preserve">(2:1) </w:t>
      </w:r>
      <w:r w:rsidRPr="00555822">
        <w:rPr>
          <w:rFonts w:cs="Calibri"/>
          <w:szCs w:val="24"/>
        </w:rPr>
        <w:t>controlled trial (INVICTUS, n=129) comparing ripretinib (+ BSC) to placebo (+ BSC</w:t>
      </w:r>
      <w:r>
        <w:rPr>
          <w:rFonts w:cs="Calibri"/>
          <w:szCs w:val="24"/>
        </w:rPr>
        <w:t>).</w:t>
      </w:r>
      <w:r w:rsidRPr="00555822">
        <w:rPr>
          <w:rFonts w:cs="Calibri"/>
          <w:szCs w:val="24"/>
        </w:rPr>
        <w:t xml:space="preserve"> </w:t>
      </w:r>
      <w:r w:rsidRPr="00200039">
        <w:rPr>
          <w:rFonts w:cs="Calibri"/>
          <w:szCs w:val="24"/>
        </w:rPr>
        <w:t>Patients randomised to placebo in INVICTUS were assumed to be representative of BSC patients in the economic evaluation.</w:t>
      </w:r>
      <w:r>
        <w:rPr>
          <w:rFonts w:cs="Calibri"/>
          <w:i/>
          <w:szCs w:val="24"/>
        </w:rPr>
        <w:t xml:space="preserve"> </w:t>
      </w:r>
      <w:r>
        <w:rPr>
          <w:rFonts w:cs="Calibri"/>
          <w:szCs w:val="24"/>
        </w:rPr>
        <w:t xml:space="preserve">INVICTUS </w:t>
      </w:r>
      <w:r w:rsidRPr="00555822">
        <w:rPr>
          <w:rFonts w:cs="Calibri"/>
          <w:szCs w:val="24"/>
        </w:rPr>
        <w:t>was double blind up to disease progression</w:t>
      </w:r>
      <w:r w:rsidR="006C5CD8">
        <w:rPr>
          <w:rFonts w:cs="Calibri"/>
          <w:szCs w:val="24"/>
        </w:rPr>
        <w:t xml:space="preserve">, after which patients randomised to ripretinib </w:t>
      </w:r>
      <w:r w:rsidR="00F645B9">
        <w:rPr>
          <w:rFonts w:cs="Calibri"/>
          <w:szCs w:val="24"/>
        </w:rPr>
        <w:t>could</w:t>
      </w:r>
      <w:r w:rsidR="006C5CD8">
        <w:rPr>
          <w:rFonts w:cs="Calibri"/>
          <w:szCs w:val="24"/>
        </w:rPr>
        <w:t xml:space="preserve"> continue to be treated with ripretinib and patients randomised to placebo could cross over to receive ripretinib and enter the </w:t>
      </w:r>
      <w:r w:rsidRPr="00555822">
        <w:rPr>
          <w:rFonts w:cs="Calibri"/>
          <w:szCs w:val="24"/>
        </w:rPr>
        <w:t xml:space="preserve">open label </w:t>
      </w:r>
      <w:r w:rsidR="006C5CD8">
        <w:rPr>
          <w:rFonts w:cs="Calibri"/>
          <w:szCs w:val="24"/>
        </w:rPr>
        <w:t>phase</w:t>
      </w:r>
      <w:r>
        <w:rPr>
          <w:rFonts w:cs="Calibri"/>
          <w:szCs w:val="24"/>
        </w:rPr>
        <w:t>.</w:t>
      </w:r>
    </w:p>
    <w:p w:rsidR="00083F05" w:rsidRPr="00C31FED" w:rsidRDefault="00083F05" w:rsidP="00083F05">
      <w:pPr>
        <w:pStyle w:val="ListParagraph"/>
        <w:widowControl/>
        <w:numPr>
          <w:ilvl w:val="1"/>
          <w:numId w:val="2"/>
        </w:numPr>
        <w:rPr>
          <w:rFonts w:cs="Calibri"/>
          <w:szCs w:val="24"/>
        </w:rPr>
      </w:pPr>
      <w:r w:rsidRPr="00C31FED">
        <w:rPr>
          <w:rFonts w:cs="Calibri"/>
          <w:szCs w:val="24"/>
        </w:rPr>
        <w:t xml:space="preserve">As </w:t>
      </w:r>
      <w:r w:rsidR="006C5CD8">
        <w:rPr>
          <w:rFonts w:cs="Calibri"/>
          <w:szCs w:val="24"/>
        </w:rPr>
        <w:t>the population of INVICTUS (</w:t>
      </w:r>
      <w:r w:rsidR="004C4A51">
        <w:rPr>
          <w:rFonts w:cs="Calibri"/>
          <w:szCs w:val="24"/>
        </w:rPr>
        <w:t>≥4L</w:t>
      </w:r>
      <w:r w:rsidR="006C5CD8">
        <w:rPr>
          <w:rFonts w:cs="Calibri"/>
          <w:szCs w:val="24"/>
        </w:rPr>
        <w:t>)</w:t>
      </w:r>
      <w:r w:rsidRPr="00C31FED">
        <w:rPr>
          <w:rFonts w:cs="Calibri"/>
          <w:szCs w:val="24"/>
        </w:rPr>
        <w:t xml:space="preserve"> differed f</w:t>
      </w:r>
      <w:r w:rsidR="006C5CD8">
        <w:rPr>
          <w:rFonts w:cs="Calibri"/>
          <w:szCs w:val="24"/>
        </w:rPr>
        <w:t>rom the requested population (</w:t>
      </w:r>
      <w:r w:rsidR="004C4A51">
        <w:rPr>
          <w:rFonts w:cs="Calibri"/>
          <w:szCs w:val="24"/>
        </w:rPr>
        <w:t>3L</w:t>
      </w:r>
      <w:r w:rsidRPr="00C31FED">
        <w:rPr>
          <w:rFonts w:cs="Calibri"/>
          <w:szCs w:val="24"/>
        </w:rPr>
        <w:t xml:space="preserve">), a phase 1 non-randomised dose escalation study (NCT02571036) across treatment lines (2L, 3L and 4L) was also presented to </w:t>
      </w:r>
      <w:r w:rsidR="004C4A51">
        <w:rPr>
          <w:rFonts w:cs="Calibri"/>
          <w:szCs w:val="24"/>
        </w:rPr>
        <w:t xml:space="preserve">support the </w:t>
      </w:r>
      <w:r w:rsidRPr="00C31FED">
        <w:rPr>
          <w:rFonts w:cs="Calibri"/>
          <w:szCs w:val="24"/>
        </w:rPr>
        <w:t xml:space="preserve">efficacy </w:t>
      </w:r>
      <w:r w:rsidR="004C4A51">
        <w:rPr>
          <w:rFonts w:cs="Calibri"/>
          <w:szCs w:val="24"/>
        </w:rPr>
        <w:t xml:space="preserve">of ripretinib in different </w:t>
      </w:r>
      <w:r w:rsidR="00F81D5A">
        <w:rPr>
          <w:rFonts w:cs="Calibri"/>
          <w:szCs w:val="24"/>
        </w:rPr>
        <w:t>treatment</w:t>
      </w:r>
      <w:r w:rsidR="004C4A51">
        <w:rPr>
          <w:rFonts w:cs="Calibri"/>
          <w:szCs w:val="24"/>
        </w:rPr>
        <w:t xml:space="preserve"> lines</w:t>
      </w:r>
      <w:r w:rsidRPr="00C31FED">
        <w:rPr>
          <w:rFonts w:cs="Calibri"/>
          <w:szCs w:val="24"/>
        </w:rPr>
        <w:t>.</w:t>
      </w:r>
    </w:p>
    <w:p w:rsidR="00083F05" w:rsidRPr="00B50DB8" w:rsidRDefault="00083F05" w:rsidP="00083F05">
      <w:pPr>
        <w:pStyle w:val="ListParagraph"/>
        <w:widowControl/>
        <w:numPr>
          <w:ilvl w:val="1"/>
          <w:numId w:val="2"/>
        </w:numPr>
      </w:pPr>
      <w:r>
        <w:rPr>
          <w:rFonts w:cs="Calibri"/>
          <w:snapToGrid/>
          <w:szCs w:val="24"/>
          <w:lang w:val="en-US" w:eastAsia="en-AU"/>
        </w:rPr>
        <w:t xml:space="preserve">Details of the trials presented in the submission are provided in </w:t>
      </w:r>
      <w:r w:rsidRPr="00931E35">
        <w:t>Table 2</w:t>
      </w:r>
      <w:r w:rsidR="00F645B9">
        <w:t>.</w:t>
      </w:r>
    </w:p>
    <w:p w:rsidR="00083F05" w:rsidRPr="007C3BA3" w:rsidRDefault="00083F05" w:rsidP="004C4A51">
      <w:pPr>
        <w:keepNext/>
        <w:keepLines/>
        <w:rPr>
          <w:rFonts w:ascii="Arial Narrow" w:hAnsi="Arial Narrow"/>
          <w:b/>
          <w:sz w:val="20"/>
          <w:szCs w:val="16"/>
        </w:rPr>
      </w:pPr>
      <w:bookmarkStart w:id="13" w:name="_Ref58315884"/>
      <w:r w:rsidRPr="008E0D3C">
        <w:rPr>
          <w:rStyle w:val="CommentReference"/>
        </w:rPr>
        <w:lastRenderedPageBreak/>
        <w:t xml:space="preserve">Table </w:t>
      </w:r>
      <w:r>
        <w:rPr>
          <w:rStyle w:val="CommentReference"/>
          <w:noProof/>
        </w:rPr>
        <w:t>2</w:t>
      </w:r>
      <w:bookmarkEnd w:id="13"/>
      <w:r w:rsidRPr="008E0D3C">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23"/>
        <w:gridCol w:w="5375"/>
        <w:gridCol w:w="2519"/>
      </w:tblGrid>
      <w:tr w:rsidR="00083F05" w:rsidRPr="00D33691" w:rsidTr="00994A71">
        <w:trPr>
          <w:tblHeader/>
        </w:trPr>
        <w:tc>
          <w:tcPr>
            <w:tcW w:w="596" w:type="pct"/>
            <w:tcBorders>
              <w:bottom w:val="single" w:sz="4" w:space="0" w:color="auto"/>
            </w:tcBorders>
            <w:vAlign w:val="center"/>
          </w:tcPr>
          <w:p w:rsidR="00083F05" w:rsidRPr="00D33691" w:rsidRDefault="00083F05" w:rsidP="004C4A51">
            <w:pPr>
              <w:pStyle w:val="Tabletext"/>
              <w:keepNext/>
              <w:keepLines/>
              <w:rPr>
                <w:b/>
              </w:rPr>
            </w:pPr>
            <w:r w:rsidRPr="00D33691">
              <w:rPr>
                <w:b/>
              </w:rPr>
              <w:t>Trial ID</w:t>
            </w:r>
          </w:p>
        </w:tc>
        <w:tc>
          <w:tcPr>
            <w:tcW w:w="2994" w:type="pct"/>
            <w:tcBorders>
              <w:bottom w:val="single" w:sz="4" w:space="0" w:color="auto"/>
            </w:tcBorders>
            <w:vAlign w:val="center"/>
          </w:tcPr>
          <w:p w:rsidR="00083F05" w:rsidRPr="00D33691" w:rsidRDefault="00083F05" w:rsidP="004C4A51">
            <w:pPr>
              <w:pStyle w:val="Tabletext"/>
              <w:keepNext/>
              <w:keepLines/>
              <w:jc w:val="center"/>
              <w:rPr>
                <w:b/>
              </w:rPr>
            </w:pPr>
            <w:r w:rsidRPr="00D33691">
              <w:rPr>
                <w:b/>
              </w:rPr>
              <w:t>Protocol title/ Publication title</w:t>
            </w:r>
          </w:p>
        </w:tc>
        <w:tc>
          <w:tcPr>
            <w:tcW w:w="1410" w:type="pct"/>
            <w:tcBorders>
              <w:bottom w:val="single" w:sz="4" w:space="0" w:color="auto"/>
            </w:tcBorders>
            <w:vAlign w:val="center"/>
          </w:tcPr>
          <w:p w:rsidR="00083F05" w:rsidRPr="00D33691" w:rsidRDefault="00083F05" w:rsidP="004C4A51">
            <w:pPr>
              <w:pStyle w:val="Tabletext"/>
              <w:keepNext/>
              <w:keepLines/>
              <w:jc w:val="center"/>
              <w:rPr>
                <w:b/>
              </w:rPr>
            </w:pPr>
            <w:r w:rsidRPr="00D33691">
              <w:rPr>
                <w:b/>
              </w:rPr>
              <w:t>Publication citation</w:t>
            </w:r>
          </w:p>
        </w:tc>
      </w:tr>
      <w:tr w:rsidR="00083F05" w:rsidRPr="00D33691" w:rsidTr="00994A71">
        <w:trPr>
          <w:tblHeader/>
        </w:trPr>
        <w:tc>
          <w:tcPr>
            <w:tcW w:w="596" w:type="pct"/>
            <w:tcBorders>
              <w:right w:val="nil"/>
            </w:tcBorders>
            <w:vAlign w:val="center"/>
          </w:tcPr>
          <w:p w:rsidR="00083F05" w:rsidRPr="00D33691" w:rsidRDefault="00083F05" w:rsidP="004C4A51">
            <w:pPr>
              <w:pStyle w:val="Tabletext"/>
              <w:keepNext/>
              <w:keepLines/>
              <w:rPr>
                <w:b/>
              </w:rPr>
            </w:pPr>
            <w:r w:rsidRPr="00D33691">
              <w:rPr>
                <w:b/>
              </w:rPr>
              <w:t>Pivotal evidence</w:t>
            </w:r>
          </w:p>
        </w:tc>
        <w:tc>
          <w:tcPr>
            <w:tcW w:w="2994" w:type="pct"/>
            <w:tcBorders>
              <w:left w:val="nil"/>
              <w:right w:val="nil"/>
            </w:tcBorders>
            <w:vAlign w:val="center"/>
          </w:tcPr>
          <w:p w:rsidR="00083F05" w:rsidRPr="00D33691" w:rsidRDefault="00083F05" w:rsidP="004C4A51">
            <w:pPr>
              <w:pStyle w:val="Tabletext"/>
              <w:keepNext/>
              <w:keepLines/>
              <w:jc w:val="center"/>
              <w:rPr>
                <w:b/>
              </w:rPr>
            </w:pPr>
          </w:p>
        </w:tc>
        <w:tc>
          <w:tcPr>
            <w:tcW w:w="1410" w:type="pct"/>
            <w:tcBorders>
              <w:left w:val="nil"/>
            </w:tcBorders>
            <w:vAlign w:val="center"/>
          </w:tcPr>
          <w:p w:rsidR="00083F05" w:rsidRPr="00D33691" w:rsidRDefault="00083F05" w:rsidP="004C4A51">
            <w:pPr>
              <w:pStyle w:val="Tabletext"/>
              <w:keepNext/>
              <w:keepLines/>
              <w:jc w:val="center"/>
              <w:rPr>
                <w:b/>
              </w:rPr>
            </w:pPr>
          </w:p>
        </w:tc>
      </w:tr>
      <w:tr w:rsidR="00083F05" w:rsidRPr="00D33691" w:rsidTr="00994A71">
        <w:tc>
          <w:tcPr>
            <w:tcW w:w="596" w:type="pct"/>
            <w:tcBorders>
              <w:bottom w:val="nil"/>
            </w:tcBorders>
            <w:vAlign w:val="center"/>
          </w:tcPr>
          <w:p w:rsidR="00083F05" w:rsidRPr="00D33691" w:rsidRDefault="00083F05" w:rsidP="004C4A51">
            <w:pPr>
              <w:pStyle w:val="Tabletext"/>
              <w:keepNext/>
              <w:keepLines/>
              <w:rPr>
                <w:rFonts w:ascii="Times" w:hAnsi="Times"/>
              </w:rPr>
            </w:pPr>
          </w:p>
        </w:tc>
        <w:tc>
          <w:tcPr>
            <w:tcW w:w="2994" w:type="pct"/>
            <w:tcBorders>
              <w:bottom w:val="nil"/>
            </w:tcBorders>
          </w:tcPr>
          <w:p w:rsidR="00083F05" w:rsidRPr="00D33691" w:rsidRDefault="00083F05" w:rsidP="004C4A51">
            <w:pPr>
              <w:pStyle w:val="Tabletext"/>
              <w:keepNext/>
              <w:keepLines/>
              <w:rPr>
                <w:szCs w:val="18"/>
              </w:rPr>
            </w:pPr>
            <w:r w:rsidRPr="00D33691">
              <w:t xml:space="preserve">Clinical study report DCC-2618-03-001: A phase 3, interventional, double-blind, placebo-controlled study to assess the safety and efficacy of DCC-2618 in patients with advanced gastrointestinal stromal tumors who have received treatment with prior anticancer therapies (INVICTUS). Clinical Study Report. </w:t>
            </w:r>
          </w:p>
        </w:tc>
        <w:tc>
          <w:tcPr>
            <w:tcW w:w="1410" w:type="pct"/>
            <w:tcBorders>
              <w:bottom w:val="nil"/>
            </w:tcBorders>
            <w:vAlign w:val="center"/>
          </w:tcPr>
          <w:p w:rsidR="00083F05" w:rsidRPr="00D33691" w:rsidRDefault="00083F05" w:rsidP="004C4A51">
            <w:pPr>
              <w:pStyle w:val="Tabletext"/>
              <w:keepNext/>
              <w:keepLines/>
              <w:rPr>
                <w:rFonts w:ascii="Times" w:hAnsi="Times"/>
              </w:rPr>
            </w:pPr>
            <w:r w:rsidRPr="00D33691">
              <w:t>13 November 2019.</w:t>
            </w:r>
          </w:p>
        </w:tc>
      </w:tr>
      <w:tr w:rsidR="00083F05" w:rsidRPr="00D33691" w:rsidTr="00994A71">
        <w:tc>
          <w:tcPr>
            <w:tcW w:w="596" w:type="pct"/>
            <w:tcBorders>
              <w:top w:val="nil"/>
              <w:bottom w:val="nil"/>
            </w:tcBorders>
            <w:vAlign w:val="center"/>
          </w:tcPr>
          <w:p w:rsidR="00083F05" w:rsidRPr="00D33691" w:rsidRDefault="00083F05" w:rsidP="004C4A51">
            <w:pPr>
              <w:pStyle w:val="Tabletext"/>
              <w:keepNext/>
              <w:keepLines/>
            </w:pPr>
            <w:r w:rsidRPr="00D33691">
              <w:t>INVICTUS</w:t>
            </w:r>
          </w:p>
        </w:tc>
        <w:tc>
          <w:tcPr>
            <w:tcW w:w="2994" w:type="pct"/>
            <w:tcBorders>
              <w:top w:val="nil"/>
              <w:bottom w:val="nil"/>
            </w:tcBorders>
            <w:vAlign w:val="center"/>
          </w:tcPr>
          <w:p w:rsidR="00083F05" w:rsidRPr="00D33691" w:rsidRDefault="00083F05" w:rsidP="004C4A51">
            <w:pPr>
              <w:pStyle w:val="Tabletext"/>
              <w:keepNext/>
              <w:keepLines/>
              <w:rPr>
                <w:szCs w:val="18"/>
                <w:lang w:eastAsia="en-AU"/>
              </w:rPr>
            </w:pPr>
            <w:r w:rsidRPr="00D33691">
              <w:rPr>
                <w:szCs w:val="18"/>
              </w:rPr>
              <w:t xml:space="preserve">Blay JY, Serrano C, Heinrich MC, et al. </w:t>
            </w:r>
            <w:r w:rsidRPr="00D33691">
              <w:t>Ripretinib in patients with advanced gastrointestinal stromal tumours (INVICTUS): a double-blind, randomised, placebo-controlled, phase 3 trial.</w:t>
            </w:r>
            <w:r w:rsidRPr="00D33691">
              <w:rPr>
                <w:i/>
                <w:iCs/>
                <w:szCs w:val="18"/>
              </w:rPr>
              <w:t xml:space="preserve"> </w:t>
            </w:r>
          </w:p>
        </w:tc>
        <w:tc>
          <w:tcPr>
            <w:tcW w:w="1410" w:type="pct"/>
            <w:tcBorders>
              <w:top w:val="nil"/>
              <w:bottom w:val="nil"/>
            </w:tcBorders>
            <w:vAlign w:val="center"/>
          </w:tcPr>
          <w:p w:rsidR="00083F05" w:rsidRPr="00D33691" w:rsidRDefault="00083F05" w:rsidP="004C4A51">
            <w:pPr>
              <w:pStyle w:val="Tabletext"/>
              <w:keepNext/>
              <w:keepLines/>
              <w:rPr>
                <w:szCs w:val="18"/>
                <w:lang w:eastAsia="en-AU"/>
              </w:rPr>
            </w:pPr>
            <w:r w:rsidRPr="00D33691">
              <w:rPr>
                <w:iCs/>
                <w:szCs w:val="18"/>
              </w:rPr>
              <w:t>The Lancet Oncology.</w:t>
            </w:r>
            <w:r w:rsidRPr="00D33691">
              <w:rPr>
                <w:szCs w:val="18"/>
              </w:rPr>
              <w:t xml:space="preserve"> 2020;21(7):923–34</w:t>
            </w:r>
          </w:p>
        </w:tc>
      </w:tr>
      <w:tr w:rsidR="00083F05" w:rsidRPr="00D33691" w:rsidTr="00994A71">
        <w:tc>
          <w:tcPr>
            <w:tcW w:w="596" w:type="pct"/>
            <w:tcBorders>
              <w:top w:val="nil"/>
              <w:bottom w:val="nil"/>
            </w:tcBorders>
            <w:vAlign w:val="center"/>
          </w:tcPr>
          <w:p w:rsidR="00083F05" w:rsidRPr="00D33691" w:rsidRDefault="00083F05" w:rsidP="004C4A51">
            <w:pPr>
              <w:pStyle w:val="Tabletext"/>
              <w:keepNext/>
              <w:keepLines/>
            </w:pPr>
          </w:p>
        </w:tc>
        <w:tc>
          <w:tcPr>
            <w:tcW w:w="2994" w:type="pct"/>
            <w:tcBorders>
              <w:top w:val="nil"/>
              <w:bottom w:val="nil"/>
            </w:tcBorders>
            <w:vAlign w:val="center"/>
          </w:tcPr>
          <w:p w:rsidR="00083F05" w:rsidRPr="00D33691" w:rsidRDefault="00083F05" w:rsidP="004C4A51">
            <w:pPr>
              <w:pStyle w:val="Tabletext"/>
              <w:keepNext/>
              <w:keepLines/>
              <w:rPr>
                <w:szCs w:val="18"/>
                <w:lang w:eastAsia="en-AU"/>
              </w:rPr>
            </w:pPr>
            <w:r w:rsidRPr="00D33691">
              <w:rPr>
                <w:szCs w:val="18"/>
              </w:rPr>
              <w:t xml:space="preserve">Correction to </w:t>
            </w:r>
            <w:r w:rsidRPr="00D33691">
              <w:rPr>
                <w:i/>
                <w:iCs/>
                <w:szCs w:val="18"/>
              </w:rPr>
              <w:t>Lancet Oncol</w:t>
            </w:r>
            <w:r w:rsidRPr="00D33691">
              <w:rPr>
                <w:szCs w:val="18"/>
              </w:rPr>
              <w:t xml:space="preserve"> 2020;21:923–34.</w:t>
            </w:r>
            <w:r w:rsidRPr="00D33691">
              <w:t xml:space="preserve"> </w:t>
            </w:r>
          </w:p>
        </w:tc>
        <w:tc>
          <w:tcPr>
            <w:tcW w:w="1410" w:type="pct"/>
            <w:tcBorders>
              <w:top w:val="nil"/>
              <w:bottom w:val="nil"/>
            </w:tcBorders>
            <w:vAlign w:val="center"/>
          </w:tcPr>
          <w:p w:rsidR="00083F05" w:rsidRPr="00D33691" w:rsidRDefault="00083F05" w:rsidP="004C4A51">
            <w:pPr>
              <w:pStyle w:val="Tabletext"/>
              <w:keepNext/>
              <w:keepLines/>
              <w:rPr>
                <w:i/>
                <w:szCs w:val="18"/>
                <w:lang w:eastAsia="en-AU"/>
              </w:rPr>
            </w:pPr>
            <w:r w:rsidRPr="00D33691">
              <w:rPr>
                <w:iCs/>
                <w:szCs w:val="18"/>
              </w:rPr>
              <w:t>The Lancet Oncology</w:t>
            </w:r>
            <w:r w:rsidRPr="00D33691">
              <w:rPr>
                <w:szCs w:val="18"/>
              </w:rPr>
              <w:t>. 21(7) (pp e341),:July 2020</w:t>
            </w:r>
          </w:p>
        </w:tc>
      </w:tr>
      <w:tr w:rsidR="00083F05" w:rsidRPr="00D33691" w:rsidTr="00994A71">
        <w:tc>
          <w:tcPr>
            <w:tcW w:w="596" w:type="pct"/>
            <w:tcBorders>
              <w:top w:val="nil"/>
              <w:bottom w:val="nil"/>
            </w:tcBorders>
            <w:vAlign w:val="center"/>
          </w:tcPr>
          <w:p w:rsidR="00083F05" w:rsidRPr="00D33691" w:rsidRDefault="00083F05" w:rsidP="004C4A51">
            <w:pPr>
              <w:pStyle w:val="Tabletext"/>
              <w:keepNext/>
              <w:keepLines/>
            </w:pPr>
          </w:p>
        </w:tc>
        <w:tc>
          <w:tcPr>
            <w:tcW w:w="2994" w:type="pct"/>
            <w:tcBorders>
              <w:top w:val="nil"/>
              <w:bottom w:val="nil"/>
            </w:tcBorders>
            <w:vAlign w:val="center"/>
          </w:tcPr>
          <w:p w:rsidR="00083F05" w:rsidRPr="00D33691" w:rsidRDefault="00083F05" w:rsidP="004C4A51">
            <w:pPr>
              <w:pStyle w:val="Tabletext"/>
              <w:keepNext/>
              <w:keepLines/>
              <w:rPr>
                <w:szCs w:val="18"/>
                <w:lang w:eastAsia="en-AU"/>
              </w:rPr>
            </w:pPr>
            <w:r w:rsidRPr="00D33691">
              <w:rPr>
                <w:szCs w:val="18"/>
              </w:rPr>
              <w:t xml:space="preserve">Serrano C, Heinrich MC, George S, et al. </w:t>
            </w:r>
            <w:r w:rsidRPr="00D33691">
              <w:t>Efficacy and safety of ripretinib as ≥4th-line therapy for patients with gastrointestinal stromal tumor (GIST) following crossover from placebo: Analyses from INVICTUS.</w:t>
            </w:r>
            <w:r w:rsidRPr="00D33691">
              <w:rPr>
                <w:szCs w:val="18"/>
              </w:rPr>
              <w:t xml:space="preserve"> </w:t>
            </w:r>
          </w:p>
        </w:tc>
        <w:tc>
          <w:tcPr>
            <w:tcW w:w="1410" w:type="pct"/>
            <w:tcBorders>
              <w:top w:val="nil"/>
              <w:bottom w:val="nil"/>
            </w:tcBorders>
            <w:vAlign w:val="center"/>
          </w:tcPr>
          <w:p w:rsidR="00083F05" w:rsidRPr="00D33691" w:rsidRDefault="00083F05" w:rsidP="004C4A51">
            <w:pPr>
              <w:pStyle w:val="Tabletext"/>
              <w:keepNext/>
              <w:keepLines/>
              <w:rPr>
                <w:i/>
                <w:szCs w:val="18"/>
                <w:lang w:eastAsia="en-AU"/>
              </w:rPr>
            </w:pPr>
            <w:r w:rsidRPr="00D33691">
              <w:rPr>
                <w:szCs w:val="18"/>
              </w:rPr>
              <w:t>[Presentation] the ESMO World Congress on Gastrointestinal Cancer Virtual Meeting; July 1-4, 2020</w:t>
            </w:r>
          </w:p>
        </w:tc>
      </w:tr>
      <w:tr w:rsidR="00083F05" w:rsidRPr="00D33691" w:rsidTr="00994A71">
        <w:tc>
          <w:tcPr>
            <w:tcW w:w="596" w:type="pct"/>
            <w:tcBorders>
              <w:top w:val="nil"/>
              <w:bottom w:val="nil"/>
            </w:tcBorders>
            <w:vAlign w:val="center"/>
          </w:tcPr>
          <w:p w:rsidR="00083F05" w:rsidRPr="00D33691" w:rsidRDefault="00083F05" w:rsidP="004C4A51">
            <w:pPr>
              <w:pStyle w:val="Tabletext"/>
              <w:keepNext/>
              <w:keepLines/>
            </w:pPr>
          </w:p>
        </w:tc>
        <w:tc>
          <w:tcPr>
            <w:tcW w:w="2994" w:type="pct"/>
            <w:tcBorders>
              <w:top w:val="nil"/>
              <w:bottom w:val="nil"/>
            </w:tcBorders>
            <w:vAlign w:val="center"/>
          </w:tcPr>
          <w:p w:rsidR="00083F05" w:rsidRPr="00D33691" w:rsidRDefault="00083F05" w:rsidP="004C4A51">
            <w:pPr>
              <w:pStyle w:val="Tabletext"/>
              <w:keepNext/>
              <w:keepLines/>
              <w:rPr>
                <w:szCs w:val="18"/>
                <w:lang w:eastAsia="en-AU"/>
              </w:rPr>
            </w:pPr>
            <w:r w:rsidRPr="00D33691">
              <w:rPr>
                <w:szCs w:val="18"/>
              </w:rPr>
              <w:t xml:space="preserve">Heinrich MC, George S, Zalcberg JR, et al. Quality of life (QoL) and self-reported function with ripretinib in ≥4th-line therapy for patients with gastrointestinal stromal tumors (GIST): Analyses from INVICTUS </w:t>
            </w:r>
          </w:p>
        </w:tc>
        <w:tc>
          <w:tcPr>
            <w:tcW w:w="1410" w:type="pct"/>
            <w:tcBorders>
              <w:top w:val="nil"/>
              <w:bottom w:val="nil"/>
            </w:tcBorders>
            <w:vAlign w:val="center"/>
          </w:tcPr>
          <w:p w:rsidR="00083F05" w:rsidRPr="00D33691" w:rsidRDefault="00083F05" w:rsidP="004C4A51">
            <w:pPr>
              <w:pStyle w:val="Tabletext"/>
              <w:keepNext/>
              <w:keepLines/>
              <w:rPr>
                <w:i/>
                <w:szCs w:val="18"/>
                <w:lang w:eastAsia="en-AU"/>
              </w:rPr>
            </w:pPr>
            <w:r w:rsidRPr="00D33691">
              <w:rPr>
                <w:szCs w:val="18"/>
              </w:rPr>
              <w:t xml:space="preserve">[Poster] 423 ASCO 2020, Virtual Congress May 29-31, 2020]. </w:t>
            </w:r>
            <w:r w:rsidRPr="00D33691">
              <w:rPr>
                <w:i/>
                <w:iCs/>
                <w:szCs w:val="18"/>
              </w:rPr>
              <w:t>JCO</w:t>
            </w:r>
            <w:r w:rsidRPr="00D33691">
              <w:rPr>
                <w:szCs w:val="18"/>
              </w:rPr>
              <w:t>. 2020;38(15_suppl):11535-11535.</w:t>
            </w:r>
          </w:p>
        </w:tc>
      </w:tr>
      <w:tr w:rsidR="00083F05" w:rsidRPr="00D33691" w:rsidTr="00994A71">
        <w:tc>
          <w:tcPr>
            <w:tcW w:w="596" w:type="pct"/>
            <w:tcBorders>
              <w:top w:val="nil"/>
              <w:bottom w:val="nil"/>
            </w:tcBorders>
            <w:vAlign w:val="center"/>
          </w:tcPr>
          <w:p w:rsidR="00083F05" w:rsidRPr="00D33691" w:rsidRDefault="00083F05" w:rsidP="004C4A51">
            <w:pPr>
              <w:pStyle w:val="Tabletext"/>
              <w:keepNext/>
              <w:keepLines/>
            </w:pPr>
          </w:p>
        </w:tc>
        <w:tc>
          <w:tcPr>
            <w:tcW w:w="2994" w:type="pct"/>
            <w:tcBorders>
              <w:top w:val="nil"/>
              <w:bottom w:val="nil"/>
            </w:tcBorders>
            <w:vAlign w:val="center"/>
          </w:tcPr>
          <w:p w:rsidR="00083F05" w:rsidRPr="00D33691" w:rsidRDefault="00083F05" w:rsidP="004C4A51">
            <w:pPr>
              <w:pStyle w:val="Tabletext"/>
              <w:keepNext/>
              <w:keepLines/>
              <w:rPr>
                <w:szCs w:val="18"/>
                <w:lang w:eastAsia="en-AU"/>
              </w:rPr>
            </w:pPr>
            <w:r w:rsidRPr="00D33691">
              <w:rPr>
                <w:szCs w:val="18"/>
              </w:rPr>
              <w:t>George S, Heinrich MC, Zalcberg JR, et al. Safety profile of ripretinib, including impact of alopecia, and Palmar-Plantar Erythrodysesthesia Syndrome (PPES) on patient-reported outcomes (PROs), in ≥ fourth-line advanced gastrointestinal stromal tumors (GIST): Analyses from INVICTUS</w:t>
            </w:r>
          </w:p>
        </w:tc>
        <w:tc>
          <w:tcPr>
            <w:tcW w:w="1410" w:type="pct"/>
            <w:tcBorders>
              <w:top w:val="nil"/>
              <w:bottom w:val="nil"/>
            </w:tcBorders>
            <w:vAlign w:val="center"/>
          </w:tcPr>
          <w:p w:rsidR="00083F05" w:rsidRPr="00D33691" w:rsidRDefault="00083F05" w:rsidP="004C4A51">
            <w:pPr>
              <w:pStyle w:val="Tabletext"/>
              <w:keepNext/>
              <w:keepLines/>
              <w:rPr>
                <w:i/>
                <w:szCs w:val="18"/>
                <w:lang w:eastAsia="en-AU"/>
              </w:rPr>
            </w:pPr>
            <w:r w:rsidRPr="00D33691">
              <w:rPr>
                <w:szCs w:val="18"/>
              </w:rPr>
              <w:t xml:space="preserve">[Poster] 427 ASCO 2020, Virtual Congress May 29-31, 2020]. </w:t>
            </w:r>
            <w:r w:rsidRPr="00D33691">
              <w:rPr>
                <w:iCs/>
                <w:szCs w:val="18"/>
              </w:rPr>
              <w:t>JCO</w:t>
            </w:r>
            <w:r w:rsidRPr="00D33691">
              <w:rPr>
                <w:szCs w:val="18"/>
              </w:rPr>
              <w:t>. 2020;38(15_suppl):11539-11539.</w:t>
            </w:r>
          </w:p>
        </w:tc>
      </w:tr>
      <w:tr w:rsidR="00083F05" w:rsidRPr="00D33691" w:rsidTr="00994A71">
        <w:tc>
          <w:tcPr>
            <w:tcW w:w="596" w:type="pct"/>
            <w:tcBorders>
              <w:top w:val="nil"/>
              <w:bottom w:val="nil"/>
            </w:tcBorders>
            <w:vAlign w:val="center"/>
          </w:tcPr>
          <w:p w:rsidR="00083F05" w:rsidRPr="00D33691" w:rsidRDefault="00083F05" w:rsidP="004C4A51">
            <w:pPr>
              <w:pStyle w:val="Tabletext"/>
              <w:keepNext/>
              <w:keepLines/>
            </w:pPr>
          </w:p>
        </w:tc>
        <w:tc>
          <w:tcPr>
            <w:tcW w:w="2994" w:type="pct"/>
            <w:tcBorders>
              <w:top w:val="nil"/>
              <w:bottom w:val="nil"/>
            </w:tcBorders>
            <w:vAlign w:val="center"/>
          </w:tcPr>
          <w:p w:rsidR="00083F05" w:rsidRPr="00D33691" w:rsidRDefault="00083F05" w:rsidP="004C4A51">
            <w:pPr>
              <w:pStyle w:val="Tabletext"/>
              <w:keepNext/>
              <w:keepLines/>
              <w:rPr>
                <w:szCs w:val="18"/>
                <w:lang w:eastAsia="en-AU"/>
              </w:rPr>
            </w:pPr>
            <w:r w:rsidRPr="00D33691">
              <w:rPr>
                <w:szCs w:val="18"/>
              </w:rPr>
              <w:t>von Mehren M, Serrano C, Bauer S, et al. INVICTUS: A phase III, interventional, double-blind, placebo-controlled study to assess the safety and efficacy of ripretinib as ≥ 4th-line therapy in patients with advanced gastrointestinal stromal tumors (GIST) who have received treatment with prior anticancer therapies (NCT03353753)</w:t>
            </w:r>
          </w:p>
        </w:tc>
        <w:tc>
          <w:tcPr>
            <w:tcW w:w="1410" w:type="pct"/>
            <w:tcBorders>
              <w:top w:val="nil"/>
              <w:bottom w:val="nil"/>
            </w:tcBorders>
            <w:vAlign w:val="center"/>
          </w:tcPr>
          <w:p w:rsidR="00083F05" w:rsidRPr="00D33691" w:rsidRDefault="00083F05" w:rsidP="004C4A51">
            <w:pPr>
              <w:pStyle w:val="Tabletext"/>
              <w:keepNext/>
              <w:keepLines/>
              <w:rPr>
                <w:i/>
                <w:szCs w:val="18"/>
                <w:lang w:eastAsia="en-AU"/>
              </w:rPr>
            </w:pPr>
            <w:r w:rsidRPr="00D33691">
              <w:rPr>
                <w:szCs w:val="18"/>
              </w:rPr>
              <w:t xml:space="preserve">[Presentation] 44th ESMO Congress, Barcelona 2019 Sep 27-Oct 01, 2019]. </w:t>
            </w:r>
            <w:r w:rsidRPr="00D33691">
              <w:rPr>
                <w:iCs/>
                <w:szCs w:val="18"/>
              </w:rPr>
              <w:t>Annals of Oncology</w:t>
            </w:r>
            <w:r w:rsidRPr="00D33691">
              <w:rPr>
                <w:szCs w:val="18"/>
              </w:rPr>
              <w:t>. 2019;30(Supplement 5):v925-v926.</w:t>
            </w:r>
          </w:p>
        </w:tc>
      </w:tr>
      <w:tr w:rsidR="00083F05" w:rsidRPr="00D33691" w:rsidTr="00994A71">
        <w:tc>
          <w:tcPr>
            <w:tcW w:w="596" w:type="pct"/>
            <w:tcBorders>
              <w:top w:val="nil"/>
              <w:bottom w:val="nil"/>
            </w:tcBorders>
            <w:vAlign w:val="center"/>
          </w:tcPr>
          <w:p w:rsidR="00083F05" w:rsidRPr="00D33691" w:rsidRDefault="00083F05" w:rsidP="004C4A51">
            <w:pPr>
              <w:pStyle w:val="Tabletext"/>
              <w:keepNext/>
              <w:keepLines/>
            </w:pPr>
          </w:p>
        </w:tc>
        <w:tc>
          <w:tcPr>
            <w:tcW w:w="2994" w:type="pct"/>
            <w:tcBorders>
              <w:top w:val="nil"/>
              <w:bottom w:val="nil"/>
            </w:tcBorders>
            <w:vAlign w:val="center"/>
          </w:tcPr>
          <w:p w:rsidR="00083F05" w:rsidRPr="00D33691" w:rsidRDefault="00083F05" w:rsidP="004C4A51">
            <w:pPr>
              <w:pStyle w:val="Tabletext"/>
              <w:keepNext/>
              <w:keepLines/>
              <w:rPr>
                <w:szCs w:val="18"/>
                <w:lang w:eastAsia="en-AU"/>
              </w:rPr>
            </w:pPr>
            <w:r w:rsidRPr="00D33691">
              <w:rPr>
                <w:szCs w:val="18"/>
              </w:rPr>
              <w:t xml:space="preserve">Zalcberg JR, Heinrich M, George S, et al. Clinical benefit with ripretinib as ≥4th line treatment in patients with advanced gastrointestinal stromal tumors (GIST): Update from the phase III INVICTUS study </w:t>
            </w:r>
          </w:p>
        </w:tc>
        <w:tc>
          <w:tcPr>
            <w:tcW w:w="1410" w:type="pct"/>
            <w:tcBorders>
              <w:top w:val="nil"/>
              <w:bottom w:val="nil"/>
            </w:tcBorders>
            <w:vAlign w:val="center"/>
          </w:tcPr>
          <w:p w:rsidR="00083F05" w:rsidRPr="00D33691" w:rsidRDefault="00083F05" w:rsidP="004C4A51">
            <w:pPr>
              <w:pStyle w:val="Tabletext"/>
              <w:keepNext/>
              <w:keepLines/>
              <w:rPr>
                <w:i/>
                <w:szCs w:val="18"/>
                <w:lang w:eastAsia="en-AU"/>
              </w:rPr>
            </w:pPr>
            <w:r w:rsidRPr="00D33691">
              <w:rPr>
                <w:szCs w:val="18"/>
              </w:rPr>
              <w:t xml:space="preserve">[Presentation] at ESMO Virtual Congress 2020 Sep 19-21, 2020. </w:t>
            </w:r>
            <w:r w:rsidRPr="00D33691">
              <w:rPr>
                <w:iCs/>
                <w:szCs w:val="18"/>
              </w:rPr>
              <w:t>Annals of Oncology</w:t>
            </w:r>
            <w:r w:rsidRPr="00D33691">
              <w:rPr>
                <w:szCs w:val="18"/>
              </w:rPr>
              <w:t>. 2020;31(Supplement 4):S973-S974.</w:t>
            </w:r>
          </w:p>
        </w:tc>
      </w:tr>
      <w:tr w:rsidR="00083F05" w:rsidRPr="00D33691" w:rsidTr="00994A71">
        <w:tc>
          <w:tcPr>
            <w:tcW w:w="596" w:type="pct"/>
            <w:tcBorders>
              <w:top w:val="nil"/>
              <w:bottom w:val="nil"/>
            </w:tcBorders>
            <w:vAlign w:val="center"/>
          </w:tcPr>
          <w:p w:rsidR="00083F05" w:rsidRPr="00D33691" w:rsidRDefault="00083F05" w:rsidP="004C4A51">
            <w:pPr>
              <w:pStyle w:val="Tabletext"/>
              <w:keepNext/>
              <w:keepLines/>
            </w:pPr>
          </w:p>
        </w:tc>
        <w:tc>
          <w:tcPr>
            <w:tcW w:w="2994" w:type="pct"/>
            <w:tcBorders>
              <w:top w:val="nil"/>
              <w:bottom w:val="nil"/>
            </w:tcBorders>
            <w:vAlign w:val="center"/>
          </w:tcPr>
          <w:p w:rsidR="00083F05" w:rsidRPr="00D33691" w:rsidRDefault="00083F05" w:rsidP="004C4A51">
            <w:pPr>
              <w:pStyle w:val="Tabletext"/>
              <w:keepNext/>
              <w:keepLines/>
              <w:rPr>
                <w:szCs w:val="18"/>
                <w:lang w:eastAsia="en-AU"/>
              </w:rPr>
            </w:pPr>
            <w:r w:rsidRPr="00D33691">
              <w:rPr>
                <w:szCs w:val="18"/>
                <w:lang w:eastAsia="en-AU"/>
              </w:rPr>
              <w:t xml:space="preserve">Phase 3 Study of DCC-2618 vs Placebo in Advanced GIST Patients Who Have Been Treated With Prior Anticancer Therapies (INVICTUS) </w:t>
            </w:r>
          </w:p>
        </w:tc>
        <w:tc>
          <w:tcPr>
            <w:tcW w:w="1410" w:type="pct"/>
            <w:tcBorders>
              <w:top w:val="nil"/>
              <w:bottom w:val="nil"/>
            </w:tcBorders>
            <w:vAlign w:val="center"/>
          </w:tcPr>
          <w:p w:rsidR="00083F05" w:rsidRPr="00D33691" w:rsidRDefault="00083F05" w:rsidP="004C4A51">
            <w:pPr>
              <w:pStyle w:val="Tabletext"/>
              <w:keepNext/>
              <w:keepLines/>
              <w:rPr>
                <w:szCs w:val="18"/>
                <w:lang w:eastAsia="en-AU"/>
              </w:rPr>
            </w:pPr>
            <w:r w:rsidRPr="00D33691">
              <w:rPr>
                <w:szCs w:val="18"/>
                <w:lang w:eastAsia="en-AU"/>
              </w:rPr>
              <w:t>ClinicalTrials.gov Identifier: NCT03353753</w:t>
            </w:r>
          </w:p>
        </w:tc>
      </w:tr>
      <w:tr w:rsidR="00083F05" w:rsidRPr="00C31FED" w:rsidTr="00994A71">
        <w:tc>
          <w:tcPr>
            <w:tcW w:w="596" w:type="pct"/>
            <w:tcBorders>
              <w:top w:val="single" w:sz="4" w:space="0" w:color="auto"/>
              <w:bottom w:val="single" w:sz="4" w:space="0" w:color="auto"/>
              <w:right w:val="nil"/>
            </w:tcBorders>
            <w:vAlign w:val="center"/>
          </w:tcPr>
          <w:p w:rsidR="00083F05" w:rsidRPr="00C31FED" w:rsidRDefault="00083F05" w:rsidP="004C4A51">
            <w:pPr>
              <w:pStyle w:val="Tabletext"/>
              <w:keepNext/>
              <w:keepLines/>
              <w:rPr>
                <w:b/>
                <w:bCs/>
              </w:rPr>
            </w:pPr>
            <w:r w:rsidRPr="00C31FED">
              <w:rPr>
                <w:b/>
                <w:bCs/>
              </w:rPr>
              <w:t>Supporting Evidence</w:t>
            </w:r>
          </w:p>
        </w:tc>
        <w:tc>
          <w:tcPr>
            <w:tcW w:w="2994" w:type="pct"/>
            <w:tcBorders>
              <w:top w:val="single" w:sz="4" w:space="0" w:color="auto"/>
              <w:left w:val="nil"/>
              <w:bottom w:val="single" w:sz="4" w:space="0" w:color="auto"/>
              <w:right w:val="nil"/>
            </w:tcBorders>
            <w:vAlign w:val="center"/>
          </w:tcPr>
          <w:p w:rsidR="00083F05" w:rsidRPr="00C31FED" w:rsidRDefault="00083F05" w:rsidP="004C4A51">
            <w:pPr>
              <w:pStyle w:val="Tabletext"/>
              <w:keepNext/>
              <w:keepLines/>
              <w:rPr>
                <w:b/>
                <w:bCs/>
                <w:szCs w:val="18"/>
              </w:rPr>
            </w:pPr>
          </w:p>
        </w:tc>
        <w:tc>
          <w:tcPr>
            <w:tcW w:w="1410" w:type="pct"/>
            <w:tcBorders>
              <w:top w:val="single" w:sz="4" w:space="0" w:color="auto"/>
              <w:left w:val="nil"/>
              <w:bottom w:val="single" w:sz="4" w:space="0" w:color="auto"/>
            </w:tcBorders>
            <w:vAlign w:val="center"/>
          </w:tcPr>
          <w:p w:rsidR="00083F05" w:rsidRPr="00C31FED" w:rsidRDefault="00083F05" w:rsidP="004C4A51">
            <w:pPr>
              <w:pStyle w:val="Tabletext"/>
              <w:keepNext/>
              <w:keepLines/>
              <w:rPr>
                <w:b/>
                <w:bCs/>
                <w:i/>
              </w:rPr>
            </w:pPr>
          </w:p>
        </w:tc>
      </w:tr>
      <w:tr w:rsidR="00083F05" w:rsidRPr="00D33691" w:rsidTr="00994A71">
        <w:tc>
          <w:tcPr>
            <w:tcW w:w="596" w:type="pct"/>
            <w:tcBorders>
              <w:top w:val="single" w:sz="4" w:space="0" w:color="auto"/>
              <w:bottom w:val="nil"/>
            </w:tcBorders>
            <w:vAlign w:val="center"/>
          </w:tcPr>
          <w:p w:rsidR="00083F05" w:rsidRPr="00D33691" w:rsidRDefault="00083F05" w:rsidP="004C4A51">
            <w:pPr>
              <w:pStyle w:val="Tabletext"/>
              <w:keepNext/>
              <w:keepLines/>
            </w:pPr>
          </w:p>
        </w:tc>
        <w:tc>
          <w:tcPr>
            <w:tcW w:w="2994" w:type="pct"/>
            <w:tcBorders>
              <w:top w:val="single" w:sz="4" w:space="0" w:color="auto"/>
              <w:bottom w:val="nil"/>
            </w:tcBorders>
            <w:vAlign w:val="center"/>
          </w:tcPr>
          <w:p w:rsidR="00083F05" w:rsidRPr="00D33691" w:rsidRDefault="00083F05" w:rsidP="004C4A51">
            <w:pPr>
              <w:pStyle w:val="Tabletext"/>
              <w:keepNext/>
              <w:keepLines/>
              <w:rPr>
                <w:rFonts w:ascii="Times" w:hAnsi="Times"/>
              </w:rPr>
            </w:pPr>
            <w:r w:rsidRPr="00D33691">
              <w:rPr>
                <w:szCs w:val="18"/>
              </w:rPr>
              <w:t>Janku F, Abdul Razak AR, Chi P, et al. Switch Control Inhibition of KIT and PDGFRA in Patients With Advanced Gastrointestinal Stromal Tumor: A Phase I Study of Ripretinib.</w:t>
            </w:r>
          </w:p>
        </w:tc>
        <w:tc>
          <w:tcPr>
            <w:tcW w:w="1410" w:type="pct"/>
            <w:tcBorders>
              <w:top w:val="single" w:sz="4" w:space="0" w:color="auto"/>
              <w:bottom w:val="nil"/>
            </w:tcBorders>
            <w:vAlign w:val="center"/>
          </w:tcPr>
          <w:p w:rsidR="00083F05" w:rsidRPr="00D33691" w:rsidRDefault="00083F05" w:rsidP="004C4A51">
            <w:pPr>
              <w:pStyle w:val="Tabletext"/>
              <w:keepNext/>
              <w:keepLines/>
              <w:rPr>
                <w:rFonts w:ascii="Times" w:hAnsi="Times"/>
              </w:rPr>
            </w:pPr>
            <w:r w:rsidRPr="00D33691">
              <w:rPr>
                <w:szCs w:val="18"/>
              </w:rPr>
              <w:t>J Clin Oncol. 2020;38(28):3294-3303.</w:t>
            </w:r>
          </w:p>
        </w:tc>
      </w:tr>
      <w:tr w:rsidR="00083F05" w:rsidRPr="00D33691" w:rsidTr="00994A71">
        <w:tc>
          <w:tcPr>
            <w:tcW w:w="596" w:type="pct"/>
            <w:tcBorders>
              <w:top w:val="nil"/>
              <w:bottom w:val="single" w:sz="4" w:space="0" w:color="auto"/>
            </w:tcBorders>
            <w:vAlign w:val="center"/>
          </w:tcPr>
          <w:p w:rsidR="00083F05" w:rsidRPr="00D33691" w:rsidRDefault="00083F05" w:rsidP="004C4A51">
            <w:pPr>
              <w:pStyle w:val="Tabletext"/>
              <w:keepNext/>
              <w:keepLines/>
            </w:pPr>
            <w:r w:rsidRPr="00D33691">
              <w:t>NCT02571036</w:t>
            </w:r>
          </w:p>
        </w:tc>
        <w:tc>
          <w:tcPr>
            <w:tcW w:w="2994" w:type="pct"/>
            <w:tcBorders>
              <w:top w:val="nil"/>
              <w:bottom w:val="single" w:sz="4" w:space="0" w:color="auto"/>
            </w:tcBorders>
            <w:vAlign w:val="center"/>
          </w:tcPr>
          <w:p w:rsidR="00083F05" w:rsidRPr="00D33691" w:rsidRDefault="00083F05" w:rsidP="004C4A51">
            <w:pPr>
              <w:pStyle w:val="Tabletext"/>
              <w:keepNext/>
              <w:keepLines/>
              <w:rPr>
                <w:szCs w:val="18"/>
              </w:rPr>
            </w:pPr>
            <w:r w:rsidRPr="00D33691">
              <w:rPr>
                <w:szCs w:val="18"/>
              </w:rPr>
              <w:t xml:space="preserve">Chi P, Janku F, Heinrich M, et al. Updated results of phase 1 study of ripretinib (DCC-2618), a broad-spectrum KIT and PDGFRA inhibitor, in patients with gastrointestinal stromal tumor (GIST) by line of therapy (NCT02571036) </w:t>
            </w:r>
          </w:p>
        </w:tc>
        <w:tc>
          <w:tcPr>
            <w:tcW w:w="1410" w:type="pct"/>
            <w:tcBorders>
              <w:top w:val="nil"/>
              <w:bottom w:val="single" w:sz="4" w:space="0" w:color="auto"/>
            </w:tcBorders>
            <w:vAlign w:val="center"/>
          </w:tcPr>
          <w:p w:rsidR="00083F05" w:rsidRPr="00D33691" w:rsidRDefault="00083F05" w:rsidP="004C4A51">
            <w:pPr>
              <w:pStyle w:val="Tabletext"/>
              <w:keepNext/>
              <w:keepLines/>
            </w:pPr>
            <w:r w:rsidRPr="00D33691">
              <w:rPr>
                <w:szCs w:val="18"/>
              </w:rPr>
              <w:t>[Abstract] International Conference on Molecular Targets and Cancer Therapeutics; Boston, MA, 2019. Mol Cancer Ther. 201</w:t>
            </w:r>
            <w:r w:rsidR="001604F2">
              <w:rPr>
                <w:szCs w:val="18"/>
              </w:rPr>
              <w:t>9;18 (12 Supplement):C077-C077</w:t>
            </w:r>
          </w:p>
        </w:tc>
      </w:tr>
    </w:tbl>
    <w:p w:rsidR="00083F05" w:rsidRPr="00B1011F" w:rsidRDefault="00083F05" w:rsidP="004C4A51">
      <w:pPr>
        <w:pStyle w:val="TableFooter"/>
        <w:keepNext/>
        <w:keepLines/>
        <w:rPr>
          <w:sz w:val="20"/>
        </w:rPr>
      </w:pPr>
      <w:r>
        <w:t xml:space="preserve">Source: Table 2-2, p40 of the submission, and p40-41 of the submission. </w:t>
      </w:r>
    </w:p>
    <w:p w:rsidR="00083F05" w:rsidRPr="008F120A" w:rsidRDefault="00083F05" w:rsidP="00083F05">
      <w:pPr>
        <w:widowControl/>
      </w:pPr>
    </w:p>
    <w:p w:rsidR="00083F05" w:rsidRDefault="00083F05" w:rsidP="00083F05">
      <w:pPr>
        <w:pStyle w:val="ListParagraph"/>
        <w:widowControl/>
        <w:numPr>
          <w:ilvl w:val="1"/>
          <w:numId w:val="2"/>
        </w:numPr>
      </w:pPr>
      <w:r w:rsidRPr="00B50DB8">
        <w:t>The key features of</w:t>
      </w:r>
      <w:r w:rsidR="0006111E">
        <w:t xml:space="preserve"> the included</w:t>
      </w:r>
      <w:r w:rsidRPr="00B50DB8">
        <w:t xml:space="preserve"> </w:t>
      </w:r>
      <w:r>
        <w:t>evidence</w:t>
      </w:r>
      <w:r w:rsidRPr="00B50DB8">
        <w:t xml:space="preserve"> </w:t>
      </w:r>
      <w:r w:rsidR="00F645B9">
        <w:t>are</w:t>
      </w:r>
      <w:r w:rsidRPr="00B50DB8">
        <w:t xml:space="preserve"> summarised in </w:t>
      </w:r>
      <w:r w:rsidRPr="008E7343">
        <w:t>Table 3</w:t>
      </w:r>
      <w:r w:rsidR="00F406DE">
        <w:t>.</w:t>
      </w:r>
    </w:p>
    <w:p w:rsidR="00083F05" w:rsidRPr="00E2771E" w:rsidRDefault="00083F05" w:rsidP="004C4A51">
      <w:pPr>
        <w:keepNext/>
        <w:keepLines/>
        <w:rPr>
          <w:rStyle w:val="CommentReference"/>
        </w:rPr>
      </w:pPr>
      <w:bookmarkStart w:id="14" w:name="_Ref58316678"/>
      <w:r w:rsidRPr="00E2771E">
        <w:rPr>
          <w:rStyle w:val="CommentReference"/>
        </w:rPr>
        <w:lastRenderedPageBreak/>
        <w:t xml:space="preserve">Table </w:t>
      </w:r>
      <w:r>
        <w:rPr>
          <w:rStyle w:val="CommentReference"/>
          <w:noProof/>
        </w:rPr>
        <w:t>3</w:t>
      </w:r>
      <w:bookmarkEnd w:id="14"/>
      <w:r w:rsidRPr="00E2771E">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95"/>
        <w:gridCol w:w="568"/>
        <w:gridCol w:w="994"/>
        <w:gridCol w:w="1416"/>
        <w:gridCol w:w="1847"/>
        <w:gridCol w:w="1134"/>
        <w:gridCol w:w="1363"/>
      </w:tblGrid>
      <w:tr w:rsidR="004C4A51" w:rsidRPr="00E618F5" w:rsidTr="004C4A51">
        <w:tc>
          <w:tcPr>
            <w:tcW w:w="940" w:type="pct"/>
            <w:shd w:val="clear" w:color="auto" w:fill="auto"/>
            <w:vAlign w:val="center"/>
          </w:tcPr>
          <w:p w:rsidR="00083F05" w:rsidRPr="00E618F5" w:rsidRDefault="00083F05" w:rsidP="004C4A51">
            <w:pPr>
              <w:pStyle w:val="Tabletext"/>
              <w:keepNext/>
              <w:keepLines/>
              <w:rPr>
                <w:b/>
              </w:rPr>
            </w:pPr>
            <w:r w:rsidRPr="00E618F5">
              <w:rPr>
                <w:b/>
              </w:rPr>
              <w:t>Trial</w:t>
            </w:r>
          </w:p>
        </w:tc>
        <w:tc>
          <w:tcPr>
            <w:tcW w:w="315" w:type="pct"/>
            <w:shd w:val="clear" w:color="auto" w:fill="auto"/>
            <w:vAlign w:val="center"/>
          </w:tcPr>
          <w:p w:rsidR="00083F05" w:rsidRPr="00E618F5" w:rsidRDefault="00083F05" w:rsidP="004C4A51">
            <w:pPr>
              <w:pStyle w:val="Tabletext"/>
              <w:keepNext/>
              <w:keepLines/>
              <w:jc w:val="center"/>
              <w:rPr>
                <w:b/>
              </w:rPr>
            </w:pPr>
            <w:r w:rsidRPr="00E618F5">
              <w:rPr>
                <w:b/>
              </w:rPr>
              <w:t>N</w:t>
            </w:r>
          </w:p>
        </w:tc>
        <w:tc>
          <w:tcPr>
            <w:tcW w:w="551" w:type="pct"/>
            <w:shd w:val="clear" w:color="auto" w:fill="auto"/>
            <w:vAlign w:val="center"/>
          </w:tcPr>
          <w:p w:rsidR="00083F05" w:rsidRPr="00E618F5" w:rsidRDefault="00083F05" w:rsidP="004C4A51">
            <w:pPr>
              <w:pStyle w:val="Tabletext"/>
              <w:keepNext/>
              <w:keepLines/>
              <w:jc w:val="center"/>
              <w:rPr>
                <w:b/>
              </w:rPr>
            </w:pPr>
            <w:r w:rsidRPr="00E618F5">
              <w:rPr>
                <w:b/>
              </w:rPr>
              <w:t>Design/ duration</w:t>
            </w:r>
          </w:p>
        </w:tc>
        <w:tc>
          <w:tcPr>
            <w:tcW w:w="785" w:type="pct"/>
            <w:shd w:val="clear" w:color="auto" w:fill="auto"/>
            <w:vAlign w:val="center"/>
          </w:tcPr>
          <w:p w:rsidR="00083F05" w:rsidRPr="00E618F5" w:rsidRDefault="00083F05" w:rsidP="004C4A51">
            <w:pPr>
              <w:pStyle w:val="Tabletext"/>
              <w:keepNext/>
              <w:keepLines/>
              <w:jc w:val="center"/>
              <w:rPr>
                <w:b/>
              </w:rPr>
            </w:pPr>
            <w:r w:rsidRPr="00E618F5">
              <w:rPr>
                <w:b/>
              </w:rPr>
              <w:t>Risk of bias</w:t>
            </w:r>
          </w:p>
        </w:tc>
        <w:tc>
          <w:tcPr>
            <w:tcW w:w="1024" w:type="pct"/>
            <w:shd w:val="clear" w:color="auto" w:fill="auto"/>
            <w:vAlign w:val="center"/>
          </w:tcPr>
          <w:p w:rsidR="00083F05" w:rsidRPr="00E618F5" w:rsidRDefault="00083F05" w:rsidP="004C4A51">
            <w:pPr>
              <w:pStyle w:val="Tabletext"/>
              <w:keepNext/>
              <w:keepLines/>
              <w:jc w:val="center"/>
              <w:rPr>
                <w:b/>
              </w:rPr>
            </w:pPr>
            <w:r w:rsidRPr="00E618F5">
              <w:rPr>
                <w:b/>
              </w:rPr>
              <w:t>Patient population</w:t>
            </w:r>
          </w:p>
        </w:tc>
        <w:tc>
          <w:tcPr>
            <w:tcW w:w="629" w:type="pct"/>
            <w:shd w:val="clear" w:color="auto" w:fill="auto"/>
            <w:vAlign w:val="center"/>
          </w:tcPr>
          <w:p w:rsidR="00083F05" w:rsidRPr="00E618F5" w:rsidRDefault="004C4A51" w:rsidP="004C4A51">
            <w:pPr>
              <w:pStyle w:val="Tabletext"/>
              <w:keepNext/>
              <w:keepLines/>
              <w:jc w:val="center"/>
              <w:rPr>
                <w:b/>
              </w:rPr>
            </w:pPr>
            <w:r>
              <w:rPr>
                <w:b/>
              </w:rPr>
              <w:t>Outcomes</w:t>
            </w:r>
          </w:p>
        </w:tc>
        <w:tc>
          <w:tcPr>
            <w:tcW w:w="756" w:type="pct"/>
            <w:shd w:val="clear" w:color="auto" w:fill="auto"/>
            <w:vAlign w:val="center"/>
          </w:tcPr>
          <w:p w:rsidR="00083F05" w:rsidRPr="00E618F5" w:rsidRDefault="00083F05" w:rsidP="004C4A51">
            <w:pPr>
              <w:pStyle w:val="Tabletext"/>
              <w:keepNext/>
              <w:keepLines/>
              <w:jc w:val="center"/>
              <w:rPr>
                <w:b/>
              </w:rPr>
            </w:pPr>
            <w:r w:rsidRPr="00E618F5">
              <w:rPr>
                <w:b/>
              </w:rPr>
              <w:t>Use in modelled evaluation</w:t>
            </w:r>
          </w:p>
        </w:tc>
      </w:tr>
      <w:tr w:rsidR="00083F05" w:rsidRPr="00E618F5" w:rsidTr="00994A71">
        <w:tc>
          <w:tcPr>
            <w:tcW w:w="5000" w:type="pct"/>
            <w:gridSpan w:val="7"/>
            <w:shd w:val="clear" w:color="auto" w:fill="auto"/>
            <w:vAlign w:val="center"/>
          </w:tcPr>
          <w:p w:rsidR="00083F05" w:rsidRPr="00E618F5" w:rsidRDefault="00083F05" w:rsidP="004C4A51">
            <w:pPr>
              <w:pStyle w:val="Tabletext"/>
              <w:keepNext/>
              <w:keepLines/>
              <w:rPr>
                <w:b/>
              </w:rPr>
            </w:pPr>
            <w:r w:rsidRPr="00E618F5">
              <w:rPr>
                <w:b/>
              </w:rPr>
              <w:t>Ripretinib plus BSC versus placebo versus BSC</w:t>
            </w:r>
          </w:p>
        </w:tc>
      </w:tr>
      <w:tr w:rsidR="004C4A51" w:rsidRPr="00E618F5" w:rsidTr="004C4A51">
        <w:tc>
          <w:tcPr>
            <w:tcW w:w="940" w:type="pct"/>
            <w:shd w:val="clear" w:color="auto" w:fill="auto"/>
            <w:vAlign w:val="center"/>
          </w:tcPr>
          <w:p w:rsidR="00083F05" w:rsidRPr="00E618F5" w:rsidRDefault="00083F05" w:rsidP="004C4A51">
            <w:pPr>
              <w:pStyle w:val="Tabletext"/>
              <w:keepNext/>
              <w:keepLines/>
            </w:pPr>
            <w:r w:rsidRPr="00E618F5">
              <w:t>INVICTUS</w:t>
            </w:r>
          </w:p>
        </w:tc>
        <w:tc>
          <w:tcPr>
            <w:tcW w:w="315" w:type="pct"/>
            <w:shd w:val="clear" w:color="auto" w:fill="auto"/>
            <w:vAlign w:val="center"/>
          </w:tcPr>
          <w:p w:rsidR="00083F05" w:rsidRPr="00E618F5" w:rsidRDefault="00083F05" w:rsidP="004C4A51">
            <w:pPr>
              <w:pStyle w:val="Tabletext"/>
              <w:keepNext/>
              <w:keepLines/>
              <w:jc w:val="center"/>
            </w:pPr>
            <w:r w:rsidRPr="00E618F5">
              <w:t>129</w:t>
            </w:r>
          </w:p>
        </w:tc>
        <w:tc>
          <w:tcPr>
            <w:tcW w:w="551" w:type="pct"/>
            <w:shd w:val="clear" w:color="auto" w:fill="auto"/>
            <w:vAlign w:val="center"/>
          </w:tcPr>
          <w:p w:rsidR="00083F05" w:rsidRPr="00E618F5" w:rsidRDefault="00083F05" w:rsidP="004C4A51">
            <w:pPr>
              <w:pStyle w:val="Tabletext"/>
              <w:keepNext/>
              <w:keepLines/>
              <w:jc w:val="center"/>
            </w:pPr>
            <w:r w:rsidRPr="00E618F5">
              <w:t>R, DB*</w:t>
            </w:r>
          </w:p>
        </w:tc>
        <w:tc>
          <w:tcPr>
            <w:tcW w:w="785" w:type="pct"/>
            <w:shd w:val="clear" w:color="auto" w:fill="auto"/>
            <w:vAlign w:val="center"/>
          </w:tcPr>
          <w:p w:rsidR="00083F05" w:rsidRPr="00E618F5" w:rsidRDefault="00083F05" w:rsidP="004C4A51">
            <w:pPr>
              <w:pStyle w:val="Tabletext"/>
              <w:keepNext/>
              <w:keepLines/>
              <w:jc w:val="center"/>
            </w:pPr>
            <w:r w:rsidRPr="00E618F5">
              <w:t>Low</w:t>
            </w:r>
          </w:p>
        </w:tc>
        <w:tc>
          <w:tcPr>
            <w:tcW w:w="1024" w:type="pct"/>
            <w:shd w:val="clear" w:color="auto" w:fill="auto"/>
            <w:vAlign w:val="center"/>
          </w:tcPr>
          <w:p w:rsidR="00083F05" w:rsidRPr="00E618F5" w:rsidRDefault="00083F05" w:rsidP="004C4A51">
            <w:pPr>
              <w:pStyle w:val="Tabletext"/>
              <w:keepNext/>
              <w:keepLines/>
              <w:jc w:val="center"/>
            </w:pPr>
            <w:r w:rsidRPr="00E618F5">
              <w:t>GIST 4</w:t>
            </w:r>
            <w:r w:rsidRPr="00E618F5">
              <w:rPr>
                <w:vertAlign w:val="superscript"/>
              </w:rPr>
              <w:t>th</w:t>
            </w:r>
            <w:r w:rsidRPr="00E618F5">
              <w:t xml:space="preserve"> line or later </w:t>
            </w:r>
          </w:p>
        </w:tc>
        <w:tc>
          <w:tcPr>
            <w:tcW w:w="629" w:type="pct"/>
            <w:shd w:val="clear" w:color="auto" w:fill="auto"/>
            <w:vAlign w:val="center"/>
          </w:tcPr>
          <w:p w:rsidR="00083F05" w:rsidRPr="00E618F5" w:rsidRDefault="00083F05" w:rsidP="004C4A51">
            <w:pPr>
              <w:pStyle w:val="Tabletext"/>
              <w:keepNext/>
              <w:keepLines/>
              <w:jc w:val="center"/>
            </w:pPr>
            <w:r w:rsidRPr="00E618F5">
              <w:t>OS, PFS ORR, HRQoL</w:t>
            </w:r>
          </w:p>
        </w:tc>
        <w:tc>
          <w:tcPr>
            <w:tcW w:w="756" w:type="pct"/>
            <w:shd w:val="clear" w:color="auto" w:fill="auto"/>
            <w:vAlign w:val="center"/>
          </w:tcPr>
          <w:p w:rsidR="00083F05" w:rsidRPr="00E618F5" w:rsidRDefault="00083F05" w:rsidP="004C4A51">
            <w:pPr>
              <w:pStyle w:val="Tabletext"/>
              <w:keepNext/>
              <w:keepLines/>
              <w:jc w:val="center"/>
            </w:pPr>
            <w:r w:rsidRPr="00E618F5">
              <w:t>OS, PFS, HRQoL</w:t>
            </w:r>
          </w:p>
        </w:tc>
      </w:tr>
      <w:tr w:rsidR="00083F05" w:rsidRPr="00E618F5" w:rsidTr="00994A71">
        <w:tc>
          <w:tcPr>
            <w:tcW w:w="5000" w:type="pct"/>
            <w:gridSpan w:val="7"/>
            <w:shd w:val="clear" w:color="auto" w:fill="auto"/>
            <w:vAlign w:val="center"/>
          </w:tcPr>
          <w:p w:rsidR="00083F05" w:rsidRPr="00E618F5" w:rsidRDefault="00083F05" w:rsidP="004C4A51">
            <w:pPr>
              <w:pStyle w:val="Tabletext"/>
              <w:keepNext/>
              <w:keepLines/>
              <w:rPr>
                <w:b/>
              </w:rPr>
            </w:pPr>
            <w:r w:rsidRPr="00E618F5">
              <w:rPr>
                <w:b/>
              </w:rPr>
              <w:t>Supportive evidence – non randomised dose escalation</w:t>
            </w:r>
          </w:p>
        </w:tc>
      </w:tr>
      <w:tr w:rsidR="004C4A51" w:rsidRPr="00E618F5" w:rsidTr="004C4A51">
        <w:tc>
          <w:tcPr>
            <w:tcW w:w="940" w:type="pct"/>
            <w:shd w:val="clear" w:color="auto" w:fill="auto"/>
            <w:vAlign w:val="center"/>
          </w:tcPr>
          <w:p w:rsidR="00083F05" w:rsidRPr="00E618F5" w:rsidRDefault="00083F05" w:rsidP="004C4A51">
            <w:pPr>
              <w:pStyle w:val="Tabletext"/>
              <w:keepNext/>
              <w:keepLines/>
            </w:pPr>
            <w:r w:rsidRPr="00E618F5">
              <w:t>NCT02571036 (GIST sub population)</w:t>
            </w:r>
          </w:p>
        </w:tc>
        <w:tc>
          <w:tcPr>
            <w:tcW w:w="315" w:type="pct"/>
            <w:shd w:val="clear" w:color="auto" w:fill="auto"/>
            <w:vAlign w:val="center"/>
          </w:tcPr>
          <w:p w:rsidR="00083F05" w:rsidRPr="00E618F5" w:rsidRDefault="00083F05" w:rsidP="004C4A51">
            <w:pPr>
              <w:pStyle w:val="Tabletext"/>
              <w:keepNext/>
              <w:keepLines/>
              <w:jc w:val="center"/>
            </w:pPr>
            <w:r w:rsidRPr="00E618F5">
              <w:t>142</w:t>
            </w:r>
          </w:p>
        </w:tc>
        <w:tc>
          <w:tcPr>
            <w:tcW w:w="551" w:type="pct"/>
            <w:shd w:val="clear" w:color="auto" w:fill="auto"/>
            <w:vAlign w:val="center"/>
          </w:tcPr>
          <w:p w:rsidR="00083F05" w:rsidRPr="00E618F5" w:rsidRDefault="00083F05" w:rsidP="004C4A51">
            <w:pPr>
              <w:pStyle w:val="Tabletext"/>
              <w:keepNext/>
              <w:keepLines/>
              <w:jc w:val="center"/>
            </w:pPr>
            <w:r w:rsidRPr="00E618F5">
              <w:t>NR, OL</w:t>
            </w:r>
          </w:p>
        </w:tc>
        <w:tc>
          <w:tcPr>
            <w:tcW w:w="785" w:type="pct"/>
            <w:shd w:val="clear" w:color="auto" w:fill="auto"/>
            <w:vAlign w:val="center"/>
          </w:tcPr>
          <w:p w:rsidR="00083F05" w:rsidRPr="00E618F5" w:rsidRDefault="00083F05" w:rsidP="004C4A51">
            <w:pPr>
              <w:pStyle w:val="Tabletext"/>
              <w:keepNext/>
              <w:keepLines/>
              <w:jc w:val="center"/>
            </w:pPr>
            <w:r w:rsidRPr="00E618F5">
              <w:t>High</w:t>
            </w:r>
          </w:p>
        </w:tc>
        <w:tc>
          <w:tcPr>
            <w:tcW w:w="1024" w:type="pct"/>
            <w:shd w:val="clear" w:color="auto" w:fill="auto"/>
            <w:vAlign w:val="center"/>
          </w:tcPr>
          <w:p w:rsidR="00083F05" w:rsidRPr="00E618F5" w:rsidRDefault="00083F05" w:rsidP="004C4A51">
            <w:pPr>
              <w:pStyle w:val="Tabletext"/>
              <w:keepNext/>
              <w:keepLines/>
              <w:jc w:val="center"/>
            </w:pPr>
            <w:r w:rsidRPr="00E618F5">
              <w:t xml:space="preserve">GIST, across </w:t>
            </w:r>
            <w:r>
              <w:t>lines of treatment</w:t>
            </w:r>
          </w:p>
        </w:tc>
        <w:tc>
          <w:tcPr>
            <w:tcW w:w="629" w:type="pct"/>
            <w:shd w:val="clear" w:color="auto" w:fill="auto"/>
            <w:vAlign w:val="center"/>
          </w:tcPr>
          <w:p w:rsidR="00083F05" w:rsidRPr="00E618F5" w:rsidRDefault="00083F05" w:rsidP="004C4A51">
            <w:pPr>
              <w:pStyle w:val="Tabletext"/>
              <w:keepNext/>
              <w:keepLines/>
              <w:jc w:val="center"/>
            </w:pPr>
            <w:r>
              <w:t>ORR</w:t>
            </w:r>
          </w:p>
        </w:tc>
        <w:tc>
          <w:tcPr>
            <w:tcW w:w="756" w:type="pct"/>
            <w:shd w:val="clear" w:color="auto" w:fill="auto"/>
            <w:vAlign w:val="center"/>
          </w:tcPr>
          <w:p w:rsidR="00083F05" w:rsidRPr="00E618F5" w:rsidRDefault="00083F05" w:rsidP="004C4A51">
            <w:pPr>
              <w:pStyle w:val="Tabletext"/>
              <w:keepNext/>
              <w:keepLines/>
              <w:jc w:val="center"/>
            </w:pPr>
            <w:r>
              <w:t>Not used.</w:t>
            </w:r>
          </w:p>
        </w:tc>
      </w:tr>
    </w:tbl>
    <w:p w:rsidR="00083F05" w:rsidRDefault="00083F05" w:rsidP="004C4A51">
      <w:pPr>
        <w:pStyle w:val="TableFooter"/>
        <w:keepNext/>
        <w:keepLines/>
      </w:pPr>
      <w:r>
        <w:t>Source: pp42-45 and pp83-89 of the submission.</w:t>
      </w:r>
    </w:p>
    <w:p w:rsidR="00083F05" w:rsidRDefault="00083F05" w:rsidP="004C4A51">
      <w:pPr>
        <w:pStyle w:val="TableFooter"/>
        <w:keepNext/>
        <w:keepLines/>
      </w:pPr>
      <w:r w:rsidRPr="0072416F">
        <w:t xml:space="preserve">DB=double blind; </w:t>
      </w:r>
      <w:r>
        <w:t>GIST = gastro intestinal stromal tumour</w:t>
      </w:r>
      <w:r w:rsidR="00F81D5A">
        <w:t>; HRQoL</w:t>
      </w:r>
      <w:r>
        <w:t xml:space="preserve"> = health related quality of life; </w:t>
      </w:r>
      <w:r w:rsidRPr="0072416F">
        <w:t xml:space="preserve">MC=multi-centre; OL=open label; </w:t>
      </w:r>
      <w:r>
        <w:t xml:space="preserve">ORR = objective response rate; </w:t>
      </w:r>
      <w:r w:rsidRPr="0072416F">
        <w:t>OS=overall survival; PFS=progression-free survival; R=randomised.</w:t>
      </w:r>
    </w:p>
    <w:p w:rsidR="00083F05" w:rsidRPr="0072416F" w:rsidRDefault="00083F05" w:rsidP="004C4A51">
      <w:pPr>
        <w:pStyle w:val="TableFooter"/>
        <w:keepNext/>
        <w:keepLines/>
      </w:pPr>
      <w:r>
        <w:t xml:space="preserve">*Double blind until progression and open label after. </w:t>
      </w:r>
      <w:r w:rsidR="00F81D5A">
        <w:t>All</w:t>
      </w:r>
      <w:r>
        <w:t xml:space="preserve"> key endpoints were based on the double blind reporting period except for overall survival, which was based on combined double blind and open label period </w:t>
      </w:r>
    </w:p>
    <w:p w:rsidR="00083F05" w:rsidRDefault="00083F05" w:rsidP="00083F05"/>
    <w:p w:rsidR="00747D71" w:rsidRPr="00200039" w:rsidRDefault="00083F05" w:rsidP="00747D71">
      <w:pPr>
        <w:pStyle w:val="ListParagraph"/>
        <w:widowControl/>
        <w:numPr>
          <w:ilvl w:val="1"/>
          <w:numId w:val="2"/>
        </w:numPr>
      </w:pPr>
      <w:r w:rsidRPr="00200039">
        <w:t xml:space="preserve">The eligibility criteria of INVICTUS, and consequently the baseline characteristics, were not consistent with the proposed listing because the trial only </w:t>
      </w:r>
      <w:r w:rsidR="00A10A1D" w:rsidRPr="00200039">
        <w:t xml:space="preserve">included </w:t>
      </w:r>
      <w:r w:rsidRPr="00200039">
        <w:t>patients who failed at least three lines of therapy, while the requested restriction is for patients who have only failed two.</w:t>
      </w:r>
      <w:r w:rsidR="00747D71">
        <w:t xml:space="preserve"> </w:t>
      </w:r>
      <w:r w:rsidR="00747D71" w:rsidRPr="00E9550E">
        <w:t>The submission noted that 36% of patients in the ripretinib group of INV</w:t>
      </w:r>
      <w:r w:rsidR="00766781">
        <w:t>IC</w:t>
      </w:r>
      <w:r w:rsidR="00747D71" w:rsidRPr="00E9550E">
        <w:t xml:space="preserve">TUS had prior treatment with four to seven therapies, representing a more advanced and refractory patient population. </w:t>
      </w:r>
    </w:p>
    <w:p w:rsidR="00311C96" w:rsidRPr="00200039" w:rsidRDefault="00311C96" w:rsidP="00083F05">
      <w:pPr>
        <w:pStyle w:val="ListParagraph"/>
        <w:widowControl/>
        <w:numPr>
          <w:ilvl w:val="1"/>
          <w:numId w:val="2"/>
        </w:numPr>
      </w:pPr>
      <w:r w:rsidRPr="00200039">
        <w:t>Most patients enrolled in INVICTUS were ECOG 0 or 1</w:t>
      </w:r>
      <w:r w:rsidR="0006111E">
        <w:t xml:space="preserve">. </w:t>
      </w:r>
      <w:r w:rsidR="0006111E" w:rsidRPr="00200039">
        <w:t>7% of patients in the ripretinib arm and 9% of p</w:t>
      </w:r>
      <w:r w:rsidR="0006111E">
        <w:t xml:space="preserve">atients in the placebo arm were </w:t>
      </w:r>
      <w:r w:rsidR="0006111E" w:rsidRPr="00200039">
        <w:t>ECOG 2</w:t>
      </w:r>
      <w:r w:rsidRPr="00200039">
        <w:t>. The median age was 60 years (range 29-83).</w:t>
      </w:r>
      <w:r w:rsidR="00135E83" w:rsidRPr="00200039">
        <w:t xml:space="preserve"> </w:t>
      </w:r>
    </w:p>
    <w:p w:rsidR="00E228A8" w:rsidRDefault="00AD59F0" w:rsidP="00B554D5">
      <w:pPr>
        <w:pStyle w:val="ListParagraph"/>
        <w:numPr>
          <w:ilvl w:val="1"/>
          <w:numId w:val="2"/>
        </w:numPr>
      </w:pPr>
      <w:r>
        <w:t xml:space="preserve">The pre-specified primary endpoint </w:t>
      </w:r>
      <w:r w:rsidR="009D26D1">
        <w:t xml:space="preserve">in INVICTUS </w:t>
      </w:r>
      <w:r>
        <w:t xml:space="preserve">was </w:t>
      </w:r>
      <w:r w:rsidR="00E228A8" w:rsidRPr="00B554D5">
        <w:t>progression free survival (PFS)</w:t>
      </w:r>
      <w:r w:rsidRPr="00B554D5">
        <w:t xml:space="preserve">. The pre-specified key secondary endpoint was </w:t>
      </w:r>
      <w:r w:rsidR="00E228A8" w:rsidRPr="00B554D5">
        <w:t>objective response rate (ORR)</w:t>
      </w:r>
      <w:r w:rsidRPr="00B554D5">
        <w:t>.</w:t>
      </w:r>
      <w:r>
        <w:t xml:space="preserve"> Other secondary endpoints </w:t>
      </w:r>
      <w:r w:rsidR="009D26D1">
        <w:t>included</w:t>
      </w:r>
      <w:r w:rsidR="00B554D5">
        <w:t xml:space="preserve"> in the </w:t>
      </w:r>
      <w:r w:rsidR="00B554D5" w:rsidRPr="00B554D5">
        <w:t xml:space="preserve">hierarchical hypothesis testing approach </w:t>
      </w:r>
      <w:r w:rsidR="009D26D1">
        <w:t>(</w:t>
      </w:r>
      <w:r w:rsidR="00F406DE">
        <w:t xml:space="preserve">used </w:t>
      </w:r>
      <w:r w:rsidR="00B554D5" w:rsidRPr="00B554D5">
        <w:t>to protect against Type 1 error</w:t>
      </w:r>
      <w:r w:rsidR="009D26D1">
        <w:t>)</w:t>
      </w:r>
      <w:r w:rsidR="00B554D5">
        <w:t xml:space="preserve"> </w:t>
      </w:r>
      <w:r>
        <w:t>were</w:t>
      </w:r>
      <w:r w:rsidR="00E228A8" w:rsidRPr="00E228A8">
        <w:t xml:space="preserve"> </w:t>
      </w:r>
      <w:r w:rsidR="00E228A8">
        <w:t>o</w:t>
      </w:r>
      <w:r w:rsidR="00E228A8" w:rsidRPr="00E228A8">
        <w:t>verall survival (OS)</w:t>
      </w:r>
      <w:r w:rsidR="00B554D5">
        <w:t xml:space="preserve"> and</w:t>
      </w:r>
      <w:r w:rsidR="00E228A8">
        <w:t xml:space="preserve"> </w:t>
      </w:r>
      <w:r w:rsidR="00E228A8" w:rsidRPr="00B554D5">
        <w:t>health related quality of life (HRQoL)</w:t>
      </w:r>
      <w:r w:rsidR="00B554D5">
        <w:t>.</w:t>
      </w:r>
    </w:p>
    <w:p w:rsidR="00083F05" w:rsidRPr="004C4A51" w:rsidRDefault="00083F05" w:rsidP="00083F05">
      <w:pPr>
        <w:pStyle w:val="Heading2"/>
      </w:pPr>
      <w:bookmarkStart w:id="15" w:name="_Toc62040428"/>
      <w:r w:rsidRPr="004C4A51">
        <w:t>Comparative effectiveness</w:t>
      </w:r>
      <w:bookmarkEnd w:id="15"/>
    </w:p>
    <w:p w:rsidR="00083F05" w:rsidRPr="004C4A51" w:rsidRDefault="00083F05" w:rsidP="00083F05">
      <w:pPr>
        <w:widowControl/>
      </w:pPr>
    </w:p>
    <w:p w:rsidR="002E3385" w:rsidRDefault="009D1F17" w:rsidP="002E3385">
      <w:pPr>
        <w:pStyle w:val="ListParagraph"/>
        <w:widowControl/>
        <w:numPr>
          <w:ilvl w:val="1"/>
          <w:numId w:val="2"/>
        </w:numPr>
      </w:pPr>
      <w:r>
        <w:t xml:space="preserve">Table 4 </w:t>
      </w:r>
      <w:r w:rsidR="002E3385" w:rsidRPr="004C4A51">
        <w:t>presents a summary of PFS results in the double</w:t>
      </w:r>
      <w:r w:rsidR="002E3385">
        <w:t>-</w:t>
      </w:r>
      <w:r w:rsidR="002E3385" w:rsidRPr="004C4A51">
        <w:t>blind phase of INVICTUS.</w:t>
      </w:r>
    </w:p>
    <w:p w:rsidR="00B773DD" w:rsidRPr="00B773DD" w:rsidRDefault="00B773DD" w:rsidP="00B773DD">
      <w:pPr>
        <w:pStyle w:val="PBACHeading1"/>
        <w:numPr>
          <w:ilvl w:val="0"/>
          <w:numId w:val="0"/>
        </w:numPr>
        <w:rPr>
          <w:rStyle w:val="CommentReference"/>
          <w:b/>
        </w:rPr>
      </w:pPr>
      <w:r w:rsidRPr="00B773DD">
        <w:rPr>
          <w:rStyle w:val="CommentReference"/>
          <w:b/>
        </w:rPr>
        <w:t xml:space="preserve">Table </w:t>
      </w:r>
      <w:r w:rsidRPr="00B773DD">
        <w:rPr>
          <w:rStyle w:val="CommentReference"/>
          <w:b/>
          <w:noProof/>
        </w:rPr>
        <w:t>4</w:t>
      </w:r>
      <w:r w:rsidRPr="00B773DD">
        <w:rPr>
          <w:rStyle w:val="CommentReference"/>
          <w:b/>
        </w:rPr>
        <w:t>: Summary of PFS in INVICTUS ITT population, double blind phas</w:t>
      </w:r>
      <w:r w:rsidRPr="00505C18">
        <w:rPr>
          <w:rStyle w:val="CommentReference"/>
          <w:b/>
        </w:rPr>
        <w:t>e</w:t>
      </w:r>
    </w:p>
    <w:tbl>
      <w:tblPr>
        <w:tblStyle w:val="TableGrid"/>
        <w:tblW w:w="5000" w:type="pct"/>
        <w:tblLook w:val="04A0" w:firstRow="1" w:lastRow="0" w:firstColumn="1" w:lastColumn="0" w:noHBand="0" w:noVBand="1"/>
        <w:tblCaption w:val="Table 4: Summary of PFS in INVICTUS ITT population, double blind phase"/>
      </w:tblPr>
      <w:tblGrid>
        <w:gridCol w:w="2866"/>
        <w:gridCol w:w="2869"/>
        <w:gridCol w:w="3282"/>
      </w:tblGrid>
      <w:tr w:rsidR="00B773DD" w:rsidRPr="00D33691" w:rsidTr="00E45C8E">
        <w:trPr>
          <w:trHeight w:val="57"/>
          <w:tblHeader/>
        </w:trPr>
        <w:tc>
          <w:tcPr>
            <w:tcW w:w="1589" w:type="pct"/>
          </w:tcPr>
          <w:p w:rsidR="00B773DD" w:rsidRPr="00D33691" w:rsidRDefault="00B773DD" w:rsidP="00BE35A0">
            <w:pPr>
              <w:pStyle w:val="TableText0"/>
              <w:spacing w:before="0" w:after="0"/>
              <w:rPr>
                <w:b/>
              </w:rPr>
            </w:pPr>
          </w:p>
        </w:tc>
        <w:tc>
          <w:tcPr>
            <w:tcW w:w="1591" w:type="pct"/>
          </w:tcPr>
          <w:p w:rsidR="00B773DD" w:rsidRPr="00D33691" w:rsidRDefault="00B773DD" w:rsidP="00BE35A0">
            <w:pPr>
              <w:pStyle w:val="TableText0"/>
              <w:spacing w:before="0" w:after="0"/>
              <w:jc w:val="center"/>
              <w:rPr>
                <w:b/>
              </w:rPr>
            </w:pPr>
            <w:r w:rsidRPr="00D33691">
              <w:rPr>
                <w:b/>
              </w:rPr>
              <w:t>Ripretinib (n=85)</w:t>
            </w:r>
          </w:p>
        </w:tc>
        <w:tc>
          <w:tcPr>
            <w:tcW w:w="1820" w:type="pct"/>
          </w:tcPr>
          <w:p w:rsidR="00B773DD" w:rsidRPr="00D33691" w:rsidRDefault="00B773DD" w:rsidP="00BE35A0">
            <w:pPr>
              <w:pStyle w:val="TableText0"/>
              <w:spacing w:before="0" w:after="0"/>
              <w:jc w:val="center"/>
              <w:rPr>
                <w:b/>
              </w:rPr>
            </w:pPr>
            <w:r w:rsidRPr="00D33691">
              <w:rPr>
                <w:b/>
              </w:rPr>
              <w:t>Placebo (n=44)</w:t>
            </w:r>
          </w:p>
        </w:tc>
      </w:tr>
      <w:tr w:rsidR="00B773DD" w:rsidRPr="00D33691" w:rsidTr="00BE35A0">
        <w:trPr>
          <w:trHeight w:val="57"/>
        </w:trPr>
        <w:tc>
          <w:tcPr>
            <w:tcW w:w="1589" w:type="pct"/>
          </w:tcPr>
          <w:p w:rsidR="00B773DD" w:rsidRPr="00D33691" w:rsidRDefault="00B773DD" w:rsidP="00BE35A0">
            <w:pPr>
              <w:pStyle w:val="TableText0"/>
              <w:spacing w:before="0" w:after="0"/>
            </w:pPr>
            <w:r w:rsidRPr="00D33691">
              <w:t>PFS event, n (%)</w:t>
            </w:r>
          </w:p>
        </w:tc>
        <w:tc>
          <w:tcPr>
            <w:tcW w:w="1591" w:type="pct"/>
          </w:tcPr>
          <w:p w:rsidR="00B773DD" w:rsidRPr="00D33691" w:rsidRDefault="00B773DD" w:rsidP="00BE35A0">
            <w:pPr>
              <w:pStyle w:val="TableText0"/>
              <w:spacing w:before="0" w:after="0"/>
              <w:jc w:val="center"/>
            </w:pPr>
            <w:r w:rsidRPr="00D33691">
              <w:t>51 (60)</w:t>
            </w:r>
          </w:p>
        </w:tc>
        <w:tc>
          <w:tcPr>
            <w:tcW w:w="1820" w:type="pct"/>
          </w:tcPr>
          <w:p w:rsidR="00B773DD" w:rsidRPr="00D33691" w:rsidRDefault="00B773DD" w:rsidP="00BE35A0">
            <w:pPr>
              <w:pStyle w:val="TableText0"/>
              <w:spacing w:before="0" w:after="0"/>
              <w:jc w:val="center"/>
            </w:pPr>
            <w:r w:rsidRPr="00D33691">
              <w:t>37 (84)</w:t>
            </w:r>
          </w:p>
        </w:tc>
      </w:tr>
      <w:tr w:rsidR="00B773DD" w:rsidRPr="00D33691" w:rsidTr="00BE35A0">
        <w:trPr>
          <w:trHeight w:val="57"/>
        </w:trPr>
        <w:tc>
          <w:tcPr>
            <w:tcW w:w="1589" w:type="pct"/>
          </w:tcPr>
          <w:p w:rsidR="00B773DD" w:rsidRPr="00D33691" w:rsidRDefault="00B773DD" w:rsidP="00BE35A0">
            <w:pPr>
              <w:pStyle w:val="TableText0"/>
              <w:spacing w:before="0" w:after="0"/>
            </w:pPr>
            <w:r w:rsidRPr="00D33691">
              <w:t>Patients censored, n (%)</w:t>
            </w:r>
          </w:p>
        </w:tc>
        <w:tc>
          <w:tcPr>
            <w:tcW w:w="1591" w:type="pct"/>
          </w:tcPr>
          <w:p w:rsidR="00B773DD" w:rsidRPr="00D33691" w:rsidRDefault="00B773DD" w:rsidP="00BE35A0">
            <w:pPr>
              <w:pStyle w:val="TableText0"/>
              <w:spacing w:before="0" w:after="0"/>
              <w:jc w:val="center"/>
            </w:pPr>
            <w:r w:rsidRPr="00D33691">
              <w:t>34 (40)</w:t>
            </w:r>
          </w:p>
        </w:tc>
        <w:tc>
          <w:tcPr>
            <w:tcW w:w="1820" w:type="pct"/>
          </w:tcPr>
          <w:p w:rsidR="00B773DD" w:rsidRPr="00D33691" w:rsidRDefault="00B773DD" w:rsidP="00BE35A0">
            <w:pPr>
              <w:pStyle w:val="TableText0"/>
              <w:spacing w:before="0" w:after="0"/>
              <w:jc w:val="center"/>
            </w:pPr>
            <w:r w:rsidRPr="00D33691">
              <w:t>7 (16)</w:t>
            </w:r>
          </w:p>
        </w:tc>
      </w:tr>
      <w:tr w:rsidR="00B773DD" w:rsidRPr="00D33691" w:rsidTr="00BE35A0">
        <w:trPr>
          <w:trHeight w:val="57"/>
        </w:trPr>
        <w:tc>
          <w:tcPr>
            <w:tcW w:w="1589" w:type="pct"/>
          </w:tcPr>
          <w:p w:rsidR="00B773DD" w:rsidRPr="00D33691" w:rsidRDefault="00B773DD" w:rsidP="00BE35A0">
            <w:pPr>
              <w:pStyle w:val="TableText0"/>
              <w:spacing w:before="0" w:after="0"/>
            </w:pPr>
            <w:r w:rsidRPr="00D33691">
              <w:t>Median PFS, months (95% CI)</w:t>
            </w:r>
          </w:p>
        </w:tc>
        <w:tc>
          <w:tcPr>
            <w:tcW w:w="1591" w:type="pct"/>
          </w:tcPr>
          <w:p w:rsidR="00B773DD" w:rsidRPr="00D33691" w:rsidRDefault="00B773DD" w:rsidP="00BE35A0">
            <w:pPr>
              <w:pStyle w:val="TableText0"/>
              <w:spacing w:before="0" w:after="0"/>
              <w:jc w:val="center"/>
            </w:pPr>
            <w:r w:rsidRPr="00D33691">
              <w:t>6.3 (4.6, 6.9)</w:t>
            </w:r>
          </w:p>
        </w:tc>
        <w:tc>
          <w:tcPr>
            <w:tcW w:w="1820" w:type="pct"/>
          </w:tcPr>
          <w:p w:rsidR="00B773DD" w:rsidRPr="00D33691" w:rsidRDefault="00B773DD" w:rsidP="00BE35A0">
            <w:pPr>
              <w:pStyle w:val="TableText0"/>
              <w:spacing w:before="0" w:after="0"/>
              <w:jc w:val="center"/>
            </w:pPr>
            <w:r w:rsidRPr="00D33691">
              <w:t>1.0 (0.9, 1.7)</w:t>
            </w:r>
          </w:p>
        </w:tc>
      </w:tr>
      <w:tr w:rsidR="00B773DD" w:rsidRPr="00D33691" w:rsidTr="00BE35A0">
        <w:trPr>
          <w:trHeight w:val="57"/>
        </w:trPr>
        <w:tc>
          <w:tcPr>
            <w:tcW w:w="1589" w:type="pct"/>
          </w:tcPr>
          <w:p w:rsidR="00B773DD" w:rsidRPr="00D33691" w:rsidRDefault="00C02EBE" w:rsidP="00BE35A0">
            <w:pPr>
              <w:pStyle w:val="TableText0"/>
              <w:spacing w:before="0" w:after="0"/>
            </w:pPr>
            <w:r>
              <w:t>HR (95% CI)</w:t>
            </w:r>
          </w:p>
        </w:tc>
        <w:tc>
          <w:tcPr>
            <w:tcW w:w="3411" w:type="pct"/>
            <w:gridSpan w:val="2"/>
          </w:tcPr>
          <w:p w:rsidR="00B773DD" w:rsidRPr="00D33691" w:rsidRDefault="00B773DD" w:rsidP="00BE35A0">
            <w:pPr>
              <w:pStyle w:val="TableText0"/>
              <w:spacing w:before="0" w:after="0"/>
              <w:jc w:val="center"/>
            </w:pPr>
            <w:r w:rsidRPr="00D33691">
              <w:t>0.15 (0.09, 0.25)</w:t>
            </w:r>
          </w:p>
        </w:tc>
      </w:tr>
      <w:tr w:rsidR="00B773DD" w:rsidRPr="00D33691" w:rsidTr="00BE35A0">
        <w:trPr>
          <w:trHeight w:val="57"/>
        </w:trPr>
        <w:tc>
          <w:tcPr>
            <w:tcW w:w="1589" w:type="pct"/>
          </w:tcPr>
          <w:p w:rsidR="00B773DD" w:rsidRPr="00D33691" w:rsidRDefault="00B773DD" w:rsidP="00BE35A0">
            <w:pPr>
              <w:pStyle w:val="TableText0"/>
              <w:spacing w:before="0" w:after="0"/>
            </w:pPr>
            <w:r w:rsidRPr="00D33691">
              <w:t>P-value</w:t>
            </w:r>
          </w:p>
        </w:tc>
        <w:tc>
          <w:tcPr>
            <w:tcW w:w="3411" w:type="pct"/>
            <w:gridSpan w:val="2"/>
          </w:tcPr>
          <w:p w:rsidR="00B773DD" w:rsidRPr="00D33691" w:rsidRDefault="00B773DD" w:rsidP="00BE35A0">
            <w:pPr>
              <w:pStyle w:val="TableText0"/>
              <w:spacing w:before="0" w:after="0"/>
              <w:jc w:val="center"/>
            </w:pPr>
            <w:r w:rsidRPr="00D33691">
              <w:t>p&lt;0.0001</w:t>
            </w:r>
          </w:p>
        </w:tc>
      </w:tr>
    </w:tbl>
    <w:p w:rsidR="00B773DD" w:rsidRPr="00B773DD" w:rsidRDefault="00B773DD" w:rsidP="00B773DD">
      <w:pPr>
        <w:pStyle w:val="PBACHeading1"/>
        <w:numPr>
          <w:ilvl w:val="0"/>
          <w:numId w:val="0"/>
        </w:numPr>
        <w:ind w:left="720" w:hanging="720"/>
        <w:rPr>
          <w:rFonts w:ascii="Arial Narrow" w:hAnsi="Arial Narrow"/>
          <w:b w:val="0"/>
          <w:sz w:val="18"/>
        </w:rPr>
      </w:pPr>
      <w:r w:rsidRPr="00B773DD">
        <w:rPr>
          <w:rFonts w:ascii="Arial Narrow" w:hAnsi="Arial Narrow"/>
          <w:b w:val="0"/>
          <w:sz w:val="18"/>
        </w:rPr>
        <w:t xml:space="preserve">Source: Table 2-12, p66 of the submission. </w:t>
      </w:r>
    </w:p>
    <w:p w:rsidR="00B773DD" w:rsidRPr="00B773DD" w:rsidRDefault="00B773DD" w:rsidP="00B773DD">
      <w:pPr>
        <w:pStyle w:val="PBACHeading1"/>
        <w:numPr>
          <w:ilvl w:val="0"/>
          <w:numId w:val="0"/>
        </w:numPr>
        <w:ind w:left="720" w:hanging="720"/>
        <w:rPr>
          <w:rFonts w:ascii="Arial Narrow" w:hAnsi="Arial Narrow"/>
          <w:b w:val="0"/>
          <w:sz w:val="18"/>
        </w:rPr>
      </w:pPr>
      <w:r w:rsidRPr="00B773DD">
        <w:rPr>
          <w:rFonts w:ascii="Arial Narrow" w:hAnsi="Arial Narrow"/>
          <w:b w:val="0"/>
          <w:sz w:val="18"/>
        </w:rPr>
        <w:t>CI = confidence interval; HR = hazard ratio; PFS = progression free survival</w:t>
      </w:r>
    </w:p>
    <w:p w:rsidR="00B773DD" w:rsidRDefault="00B773DD" w:rsidP="00B773DD">
      <w:pPr>
        <w:widowControl/>
      </w:pPr>
    </w:p>
    <w:p w:rsidR="00B773DD" w:rsidRPr="004C4A51" w:rsidRDefault="00B773DD" w:rsidP="00B773DD">
      <w:pPr>
        <w:widowControl/>
      </w:pPr>
    </w:p>
    <w:p w:rsidR="00083F05" w:rsidRPr="004C4A51" w:rsidRDefault="00083F05" w:rsidP="00083F05">
      <w:pPr>
        <w:pStyle w:val="ListParagraph"/>
        <w:widowControl/>
        <w:numPr>
          <w:ilvl w:val="1"/>
          <w:numId w:val="2"/>
        </w:numPr>
      </w:pPr>
      <w:r w:rsidRPr="004C4A51">
        <w:t>Median</w:t>
      </w:r>
      <w:r w:rsidR="008E0F13">
        <w:t xml:space="preserve"> </w:t>
      </w:r>
      <w:r w:rsidRPr="004C4A51">
        <w:t xml:space="preserve">PFS in the ripretinib 150 mg </w:t>
      </w:r>
      <w:r w:rsidR="00F645B9">
        <w:t>once daily (</w:t>
      </w:r>
      <w:r w:rsidRPr="004C4A51">
        <w:t>QD</w:t>
      </w:r>
      <w:r w:rsidR="00F645B9">
        <w:t>)</w:t>
      </w:r>
      <w:r w:rsidRPr="004C4A51">
        <w:t xml:space="preserve"> group was 6.3 months (95% CI 4.6 to 6.9 months) versus 1.0 month (95% CI 0.9 to 1.7 months) in the placebo arm, as assessed by </w:t>
      </w:r>
      <w:r w:rsidR="004C4A51">
        <w:t>blinded independent central review (</w:t>
      </w:r>
      <w:r w:rsidRPr="004C4A51">
        <w:t>BICR</w:t>
      </w:r>
      <w:r w:rsidR="004C4A51">
        <w:t>)</w:t>
      </w:r>
      <w:r w:rsidRPr="004C4A51">
        <w:t>.</w:t>
      </w:r>
    </w:p>
    <w:p w:rsidR="00083F05" w:rsidRPr="004C4A51" w:rsidRDefault="00083F05" w:rsidP="00083F05">
      <w:pPr>
        <w:pStyle w:val="ListParagraph"/>
        <w:widowControl/>
        <w:numPr>
          <w:ilvl w:val="1"/>
          <w:numId w:val="2"/>
        </w:numPr>
      </w:pPr>
      <w:r w:rsidRPr="00954D37">
        <w:lastRenderedPageBreak/>
        <w:t xml:space="preserve">The </w:t>
      </w:r>
      <w:r w:rsidR="00B773DD" w:rsidRPr="00954D37">
        <w:t xml:space="preserve">ESC noted </w:t>
      </w:r>
      <w:r w:rsidRPr="00954D37">
        <w:t>that</w:t>
      </w:r>
      <w:r w:rsidRPr="004C4A51">
        <w:t xml:space="preserve"> patients treated with ripretinib had a </w:t>
      </w:r>
      <w:r w:rsidR="0075687F">
        <w:t xml:space="preserve">statistically </w:t>
      </w:r>
      <w:r w:rsidRPr="004C4A51">
        <w:t xml:space="preserve">significantly reduced </w:t>
      </w:r>
      <w:r w:rsidR="0075687F">
        <w:t>hazard rate</w:t>
      </w:r>
      <w:r w:rsidR="0075687F" w:rsidRPr="004C4A51">
        <w:t xml:space="preserve"> </w:t>
      </w:r>
      <w:r w:rsidRPr="004C4A51">
        <w:t>of disease progression or death by 85% compared with placebo (HR 0.15; 95% CI 0.09 to 0.25; p&lt;0.0001)</w:t>
      </w:r>
      <w:r w:rsidR="00F645B9">
        <w:t>.</w:t>
      </w:r>
    </w:p>
    <w:p w:rsidR="00083F05" w:rsidRPr="001E245B" w:rsidRDefault="00083F05" w:rsidP="00083F05">
      <w:pPr>
        <w:pStyle w:val="ListParagraph"/>
        <w:widowControl/>
        <w:numPr>
          <w:ilvl w:val="1"/>
          <w:numId w:val="2"/>
        </w:numPr>
      </w:pPr>
      <w:r w:rsidRPr="004D25FE">
        <w:t>Figure 1</w:t>
      </w:r>
      <w:r w:rsidR="001E245B">
        <w:t xml:space="preserve"> presents the Kaplan-</w:t>
      </w:r>
      <w:r>
        <w:t xml:space="preserve">Meier </w:t>
      </w:r>
      <w:r w:rsidR="001E245B">
        <w:t xml:space="preserve">(KM) curve </w:t>
      </w:r>
      <w:r>
        <w:t>of PFS as assessed by BICR in the double</w:t>
      </w:r>
      <w:r w:rsidR="00F645B9">
        <w:t>-</w:t>
      </w:r>
      <w:r>
        <w:t>blind phase, ITT population.</w:t>
      </w:r>
    </w:p>
    <w:p w:rsidR="00083F05" w:rsidRPr="00D33691" w:rsidRDefault="00083F05" w:rsidP="00083F05">
      <w:pPr>
        <w:pStyle w:val="TableText0"/>
        <w:keepLines/>
        <w:rPr>
          <w:rStyle w:val="CommentReference"/>
        </w:rPr>
      </w:pPr>
      <w:bookmarkStart w:id="16" w:name="_Ref58318450"/>
      <w:r>
        <w:rPr>
          <w:rStyle w:val="CommentReference"/>
        </w:rPr>
        <w:t xml:space="preserve">Figure </w:t>
      </w:r>
      <w:r w:rsidR="00462A67">
        <w:rPr>
          <w:rStyle w:val="CommentReference"/>
          <w:noProof/>
        </w:rPr>
        <w:t>1</w:t>
      </w:r>
      <w:bookmarkEnd w:id="16"/>
      <w:r>
        <w:rPr>
          <w:rStyle w:val="CommentReference"/>
        </w:rPr>
        <w:t xml:space="preserve">: </w:t>
      </w:r>
      <w:r w:rsidRPr="00D33691">
        <w:rPr>
          <w:rStyle w:val="CommentReference"/>
        </w:rPr>
        <w:t>Kaplan-Meier of INVICTUS PFS curve as assessed by BICR (ITT population, double blind phase)</w:t>
      </w:r>
    </w:p>
    <w:p w:rsidR="00083F05" w:rsidRPr="00D33691" w:rsidRDefault="00083F05" w:rsidP="00083F05">
      <w:pPr>
        <w:keepNext/>
        <w:keepLines/>
      </w:pPr>
      <w:r w:rsidRPr="00D33691">
        <w:rPr>
          <w:noProof/>
          <w:lang w:eastAsia="en-AU"/>
        </w:rPr>
        <w:drawing>
          <wp:inline distT="0" distB="0" distL="0" distR="0" wp14:anchorId="10305F6E" wp14:editId="2AC9CA1E">
            <wp:extent cx="5732145" cy="2465996"/>
            <wp:effectExtent l="0" t="0" r="0" b="0"/>
            <wp:docPr id="11" name="Picture 1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2350"/>
                    <a:stretch/>
                  </pic:blipFill>
                  <pic:spPr bwMode="auto">
                    <a:xfrm>
                      <a:off x="0" y="0"/>
                      <a:ext cx="5732145" cy="2465996"/>
                    </a:xfrm>
                    <a:prstGeom prst="rect">
                      <a:avLst/>
                    </a:prstGeom>
                    <a:ln>
                      <a:noFill/>
                    </a:ln>
                    <a:extLst>
                      <a:ext uri="{53640926-AAD7-44D8-BBD7-CCE9431645EC}">
                        <a14:shadowObscured xmlns:a14="http://schemas.microsoft.com/office/drawing/2010/main"/>
                      </a:ext>
                    </a:extLst>
                  </pic:spPr>
                </pic:pic>
              </a:graphicData>
            </a:graphic>
          </wp:inline>
        </w:drawing>
      </w:r>
    </w:p>
    <w:p w:rsidR="00083F05" w:rsidRPr="00D33691" w:rsidRDefault="00083F05" w:rsidP="00083F05">
      <w:pPr>
        <w:pStyle w:val="TableFooter"/>
        <w:keepNext/>
        <w:keepLines/>
        <w:jc w:val="left"/>
      </w:pPr>
      <w:r w:rsidRPr="00D33691">
        <w:t>Source: Figure 2-4, p65 of the submission.</w:t>
      </w:r>
    </w:p>
    <w:p w:rsidR="00083F05" w:rsidRPr="00D33691" w:rsidRDefault="00083F05" w:rsidP="00083F05">
      <w:pPr>
        <w:pStyle w:val="TableFooter"/>
        <w:keepNext/>
        <w:keepLines/>
        <w:jc w:val="left"/>
      </w:pPr>
      <w:r w:rsidRPr="00D33691">
        <w:t>BICR: blinded independent central review; CI: confidence interval; HR: hazard ratio; ITT: intent-to-treat; PFS: progression-free survival</w:t>
      </w:r>
    </w:p>
    <w:p w:rsidR="00083F05" w:rsidRPr="004C4A51" w:rsidRDefault="00083F05" w:rsidP="00B773DD">
      <w:pPr>
        <w:pStyle w:val="TableFooter"/>
        <w:keepNext/>
        <w:keepLines/>
        <w:jc w:val="left"/>
      </w:pPr>
      <w:r w:rsidRPr="00D33691">
        <w:t>Note: crosses denote censoring of data</w:t>
      </w:r>
    </w:p>
    <w:p w:rsidR="00083F05" w:rsidRPr="004C4A51" w:rsidRDefault="00083F05" w:rsidP="00083F05">
      <w:pPr>
        <w:keepNext/>
      </w:pPr>
    </w:p>
    <w:p w:rsidR="00505A28" w:rsidRPr="00954D37" w:rsidRDefault="003E4B7C" w:rsidP="003E4B7C">
      <w:pPr>
        <w:pStyle w:val="ListParagraph"/>
        <w:widowControl/>
        <w:numPr>
          <w:ilvl w:val="1"/>
          <w:numId w:val="2"/>
        </w:numPr>
      </w:pPr>
      <w:r>
        <w:t>ORR was the pre-specified key secondary endpoint. 8/85 (</w:t>
      </w:r>
      <w:r w:rsidR="00D21D62">
        <w:t>9</w:t>
      </w:r>
      <w:r>
        <w:t>%)</w:t>
      </w:r>
      <w:r w:rsidR="00C43312">
        <w:t xml:space="preserve"> had ORR in the ripretinib arm versus </w:t>
      </w:r>
      <w:r w:rsidR="00D21D62">
        <w:t>0/44 (0%)</w:t>
      </w:r>
      <w:r w:rsidR="00C43312">
        <w:t xml:space="preserve"> in the placebo arm</w:t>
      </w:r>
      <w:r w:rsidR="00D21D62">
        <w:t xml:space="preserve">. The difference was not statistically significant, p=0.05. </w:t>
      </w:r>
      <w:r w:rsidR="003963B8" w:rsidRPr="00954D37">
        <w:t xml:space="preserve">The </w:t>
      </w:r>
      <w:r w:rsidR="00982963">
        <w:t>Pre-Sub-Committee Response</w:t>
      </w:r>
      <w:r w:rsidR="00982963" w:rsidRPr="00954D37">
        <w:t xml:space="preserve"> </w:t>
      </w:r>
      <w:r w:rsidR="00982963">
        <w:t>(</w:t>
      </w:r>
      <w:r w:rsidR="003963B8" w:rsidRPr="00954D37">
        <w:t>PSCR</w:t>
      </w:r>
      <w:r w:rsidR="00982963">
        <w:t>)</w:t>
      </w:r>
      <w:r w:rsidR="003963B8" w:rsidRPr="00954D37">
        <w:t xml:space="preserve"> stated that, historically, achieving a high Response Evaluation Criteria in Solid Tumors (RECIST</w:t>
      </w:r>
      <w:r w:rsidR="001F3BD1" w:rsidRPr="00954D37">
        <w:t>) ‐</w:t>
      </w:r>
      <w:r w:rsidR="00611029" w:rsidRPr="00954D37">
        <w:t xml:space="preserve"> </w:t>
      </w:r>
      <w:r w:rsidR="003963B8" w:rsidRPr="00954D37">
        <w:t xml:space="preserve">confirmed ORR has been challenging in GIST in the post‐imatinib setting. The PSCR argued that </w:t>
      </w:r>
      <w:r w:rsidR="00081210" w:rsidRPr="00954D37">
        <w:t>stable disease wa</w:t>
      </w:r>
      <w:r w:rsidR="003963B8" w:rsidRPr="00954D37">
        <w:t xml:space="preserve">s instead considered a more appropriate clinically successful tumour response, and is generally more predictive of PFS and OS benefit in patients with advanced GIST (Blay et al., 2020). </w:t>
      </w:r>
      <w:r w:rsidR="002C3305" w:rsidRPr="00954D37">
        <w:t>The PSCR noted that c</w:t>
      </w:r>
      <w:r w:rsidR="003963B8" w:rsidRPr="00954D37">
        <w:t>ompared with outcomes seen in the pivotal</w:t>
      </w:r>
      <w:r w:rsidR="00081210" w:rsidRPr="00954D37">
        <w:t xml:space="preserve"> studies of </w:t>
      </w:r>
      <w:r w:rsidR="003963B8" w:rsidRPr="00954D37">
        <w:t>sunitinib and regorafenib in earlier lines of advance</w:t>
      </w:r>
      <w:r w:rsidR="00081210" w:rsidRPr="00954D37">
        <w:t>d GIST</w:t>
      </w:r>
      <w:r w:rsidR="003963B8" w:rsidRPr="00954D37">
        <w:t xml:space="preserve">, high ORR rates were not achieved (7% and 4.5%, respectively) despite significant gains in PFS (Demetri et al., 2013; Demetri et al., 2006). </w:t>
      </w:r>
      <w:r w:rsidR="002C3305" w:rsidRPr="00954D37">
        <w:t>The PSCR argued that a</w:t>
      </w:r>
      <w:r w:rsidR="003963B8" w:rsidRPr="00954D37">
        <w:t xml:space="preserve">lthough not statistically significant, ripretinib achieved an </w:t>
      </w:r>
      <w:r w:rsidR="002C3305" w:rsidRPr="00954D37">
        <w:t>ORR of 9</w:t>
      </w:r>
      <w:r w:rsidR="003963B8" w:rsidRPr="00954D37">
        <w:t xml:space="preserve">% in this advanced study population with </w:t>
      </w:r>
      <w:r w:rsidR="00081210" w:rsidRPr="00954D37">
        <w:br/>
      </w:r>
      <w:r w:rsidR="003963B8" w:rsidRPr="00954D37">
        <w:t>7 of the 8 responders obtaining durable responses (median duration of response not yet reached).</w:t>
      </w:r>
      <w:r w:rsidR="002C3305" w:rsidRPr="00954D37">
        <w:t xml:space="preserve"> The ESC agreed with the PSCR that ORR &gt; 10% are historically not achieved in GIST in the post imatinib setting. </w:t>
      </w:r>
      <w:r w:rsidR="003963B8" w:rsidRPr="00954D37">
        <w:rPr>
          <w:rFonts w:ascii="Cambria" w:hAnsi="Cambria"/>
          <w:szCs w:val="24"/>
        </w:rPr>
        <w:t xml:space="preserve"> </w:t>
      </w:r>
      <w:r w:rsidR="003963B8" w:rsidRPr="00954D37">
        <w:t xml:space="preserve"> </w:t>
      </w:r>
    </w:p>
    <w:p w:rsidR="00505A28" w:rsidRDefault="009D1F17" w:rsidP="00505A28">
      <w:pPr>
        <w:pStyle w:val="ListParagraph"/>
        <w:widowControl/>
        <w:numPr>
          <w:ilvl w:val="1"/>
          <w:numId w:val="2"/>
        </w:numPr>
      </w:pPr>
      <w:r>
        <w:t xml:space="preserve">Table 5 </w:t>
      </w:r>
      <w:r w:rsidR="00505A28" w:rsidRPr="00E9550E">
        <w:t>presents a summary of the OS results in the double</w:t>
      </w:r>
      <w:r w:rsidR="00505A28">
        <w:t>-</w:t>
      </w:r>
      <w:r w:rsidR="00505A28" w:rsidRPr="00E9550E">
        <w:t>blind and open</w:t>
      </w:r>
      <w:r w:rsidR="00505A28">
        <w:t>-</w:t>
      </w:r>
      <w:r w:rsidR="00505A28" w:rsidRPr="00E9550E">
        <w:t>label periods of the INVICTUS trial.</w:t>
      </w:r>
      <w:r w:rsidR="005B0347">
        <w:t xml:space="preserve"> A</w:t>
      </w:r>
      <w:r w:rsidR="005B0347" w:rsidRPr="00200039">
        <w:t xml:space="preserve"> hierarchical hypothesis testing approach </w:t>
      </w:r>
      <w:r w:rsidR="005B0347">
        <w:t xml:space="preserve">was used in the trial </w:t>
      </w:r>
      <w:r w:rsidR="005B0347" w:rsidRPr="00200039">
        <w:t xml:space="preserve">to protect against Type 1 error (in this case, the risk of claiming effect when </w:t>
      </w:r>
      <w:r w:rsidR="005B0347" w:rsidRPr="00200039">
        <w:lastRenderedPageBreak/>
        <w:t>there is none) in testing multiple outcomes. Consequently, as no statistical difference was observed in the outcome in the hierarchy (ORR) prior to OS, it was not possible to claim statistically significant differences in OS between treatment arms in INVICTUS based on the pre-specified statistical plan.</w:t>
      </w:r>
    </w:p>
    <w:p w:rsidR="00505A28" w:rsidRPr="00D33691" w:rsidRDefault="00505A28" w:rsidP="00505A28">
      <w:pPr>
        <w:keepNext/>
        <w:keepLines/>
        <w:rPr>
          <w:rStyle w:val="CommentReference"/>
        </w:rPr>
      </w:pPr>
      <w:r>
        <w:rPr>
          <w:rStyle w:val="CommentReference"/>
          <w:lang w:val="en-GB"/>
        </w:rPr>
        <w:t xml:space="preserve">Table </w:t>
      </w:r>
      <w:r>
        <w:rPr>
          <w:rStyle w:val="CommentReference"/>
          <w:noProof/>
        </w:rPr>
        <w:t>5</w:t>
      </w:r>
      <w:r>
        <w:rPr>
          <w:rStyle w:val="CommentReference"/>
        </w:rPr>
        <w:t>:</w:t>
      </w:r>
      <w:r>
        <w:rPr>
          <w:rStyle w:val="CommentReference"/>
          <w:lang w:val="en-GB"/>
        </w:rPr>
        <w:t xml:space="preserve"> </w:t>
      </w:r>
      <w:r w:rsidRPr="00D33691">
        <w:rPr>
          <w:rStyle w:val="CommentReference"/>
        </w:rPr>
        <w:t>Summary of OS results (ITT population</w:t>
      </w:r>
      <w:r>
        <w:rPr>
          <w:rStyle w:val="CommentReference"/>
        </w:rPr>
        <w:t xml:space="preserve"> double blind and open label period</w:t>
      </w:r>
      <w:r w:rsidRPr="00D33691">
        <w:rPr>
          <w:rStyle w:val="CommentReference"/>
        </w:rPr>
        <w:t>)</w:t>
      </w:r>
    </w:p>
    <w:tbl>
      <w:tblPr>
        <w:tblStyle w:val="TableGrid"/>
        <w:tblW w:w="5000" w:type="pct"/>
        <w:tblLook w:val="04A0" w:firstRow="1" w:lastRow="0" w:firstColumn="1" w:lastColumn="0" w:noHBand="0" w:noVBand="1"/>
        <w:tblCaption w:val="Table 5: Summary of OS results (ITT population double blind and open label period)"/>
      </w:tblPr>
      <w:tblGrid>
        <w:gridCol w:w="3129"/>
        <w:gridCol w:w="2871"/>
        <w:gridCol w:w="3017"/>
      </w:tblGrid>
      <w:tr w:rsidR="00505A28" w:rsidRPr="00D33691" w:rsidTr="00E45C8E">
        <w:trPr>
          <w:tblHeader/>
        </w:trPr>
        <w:tc>
          <w:tcPr>
            <w:tcW w:w="1735" w:type="pct"/>
          </w:tcPr>
          <w:p w:rsidR="00505A28" w:rsidRPr="00D33691" w:rsidRDefault="00505A28" w:rsidP="00BE35A0">
            <w:pPr>
              <w:pStyle w:val="TableText0"/>
              <w:keepLines/>
              <w:spacing w:before="0" w:after="0"/>
              <w:rPr>
                <w:b/>
              </w:rPr>
            </w:pPr>
            <w:r w:rsidRPr="00D33691">
              <w:rPr>
                <w:b/>
              </w:rPr>
              <w:t xml:space="preserve"> </w:t>
            </w:r>
          </w:p>
        </w:tc>
        <w:tc>
          <w:tcPr>
            <w:tcW w:w="1592" w:type="pct"/>
          </w:tcPr>
          <w:p w:rsidR="00505A28" w:rsidRPr="00D33691" w:rsidRDefault="00505A28" w:rsidP="00BE35A0">
            <w:pPr>
              <w:pStyle w:val="TableText0"/>
              <w:keepLines/>
              <w:spacing w:before="0" w:after="0"/>
              <w:jc w:val="center"/>
              <w:rPr>
                <w:b/>
              </w:rPr>
            </w:pPr>
            <w:r w:rsidRPr="00D33691">
              <w:rPr>
                <w:b/>
              </w:rPr>
              <w:t>Ripretinib (n=85)</w:t>
            </w:r>
          </w:p>
        </w:tc>
        <w:tc>
          <w:tcPr>
            <w:tcW w:w="1673" w:type="pct"/>
          </w:tcPr>
          <w:p w:rsidR="00505A28" w:rsidRPr="00D33691" w:rsidRDefault="00505A28" w:rsidP="00BE35A0">
            <w:pPr>
              <w:pStyle w:val="TableText0"/>
              <w:keepLines/>
              <w:spacing w:before="0" w:after="0"/>
              <w:jc w:val="center"/>
              <w:rPr>
                <w:b/>
              </w:rPr>
            </w:pPr>
            <w:r w:rsidRPr="00D33691">
              <w:rPr>
                <w:b/>
              </w:rPr>
              <w:t>Placebo (n=44)</w:t>
            </w:r>
          </w:p>
        </w:tc>
      </w:tr>
      <w:tr w:rsidR="00505A28" w:rsidRPr="00D33691" w:rsidTr="00BE35A0">
        <w:tc>
          <w:tcPr>
            <w:tcW w:w="1735" w:type="pct"/>
          </w:tcPr>
          <w:p w:rsidR="00505A28" w:rsidRPr="00D33691" w:rsidRDefault="00505A28" w:rsidP="00BE35A0">
            <w:pPr>
              <w:pStyle w:val="TableText0"/>
              <w:keepLines/>
              <w:spacing w:before="0" w:after="0"/>
            </w:pPr>
            <w:r w:rsidRPr="00D33691">
              <w:t>OS event, n (%)</w:t>
            </w:r>
          </w:p>
        </w:tc>
        <w:tc>
          <w:tcPr>
            <w:tcW w:w="1592" w:type="pct"/>
          </w:tcPr>
          <w:p w:rsidR="00505A28" w:rsidRPr="00D33691" w:rsidRDefault="00505A28" w:rsidP="00BE35A0">
            <w:pPr>
              <w:pStyle w:val="TableText0"/>
              <w:keepLines/>
              <w:spacing w:before="0" w:after="0"/>
              <w:jc w:val="center"/>
            </w:pPr>
            <w:r w:rsidRPr="00D33691">
              <w:t>26 (31)</w:t>
            </w:r>
          </w:p>
        </w:tc>
        <w:tc>
          <w:tcPr>
            <w:tcW w:w="1673" w:type="pct"/>
          </w:tcPr>
          <w:p w:rsidR="00505A28" w:rsidRPr="00D33691" w:rsidRDefault="00505A28" w:rsidP="00BE35A0">
            <w:pPr>
              <w:pStyle w:val="TableText0"/>
              <w:keepLines/>
              <w:spacing w:before="0" w:after="0"/>
              <w:jc w:val="center"/>
            </w:pPr>
            <w:r w:rsidRPr="00D33691">
              <w:t>26 (59)</w:t>
            </w:r>
          </w:p>
        </w:tc>
      </w:tr>
      <w:tr w:rsidR="00505A28" w:rsidRPr="00D33691" w:rsidTr="00BE35A0">
        <w:tc>
          <w:tcPr>
            <w:tcW w:w="1735" w:type="pct"/>
          </w:tcPr>
          <w:p w:rsidR="00505A28" w:rsidRPr="00D33691" w:rsidRDefault="00505A28" w:rsidP="00BE35A0">
            <w:pPr>
              <w:pStyle w:val="TableText0"/>
              <w:keepLines/>
              <w:spacing w:before="0" w:after="0"/>
            </w:pPr>
            <w:r w:rsidRPr="00D33691">
              <w:t>Patients censored, n (%)</w:t>
            </w:r>
          </w:p>
        </w:tc>
        <w:tc>
          <w:tcPr>
            <w:tcW w:w="1592" w:type="pct"/>
          </w:tcPr>
          <w:p w:rsidR="00505A28" w:rsidRPr="00D33691" w:rsidRDefault="00505A28" w:rsidP="00BE35A0">
            <w:pPr>
              <w:pStyle w:val="TableText0"/>
              <w:keepLines/>
              <w:spacing w:before="0" w:after="0"/>
              <w:jc w:val="center"/>
            </w:pPr>
            <w:r w:rsidRPr="00D33691">
              <w:t>59 (69)</w:t>
            </w:r>
          </w:p>
        </w:tc>
        <w:tc>
          <w:tcPr>
            <w:tcW w:w="1673" w:type="pct"/>
          </w:tcPr>
          <w:p w:rsidR="00505A28" w:rsidRPr="00D33691" w:rsidRDefault="00505A28" w:rsidP="00BE35A0">
            <w:pPr>
              <w:pStyle w:val="TableText0"/>
              <w:keepLines/>
              <w:spacing w:before="0" w:after="0"/>
              <w:jc w:val="center"/>
            </w:pPr>
            <w:r w:rsidRPr="00D33691">
              <w:t>18 (41)</w:t>
            </w:r>
          </w:p>
        </w:tc>
      </w:tr>
      <w:tr w:rsidR="00505A28" w:rsidRPr="00D33691" w:rsidTr="00BE35A0">
        <w:tc>
          <w:tcPr>
            <w:tcW w:w="1735" w:type="pct"/>
          </w:tcPr>
          <w:p w:rsidR="00505A28" w:rsidRPr="00D33691" w:rsidRDefault="00505A28" w:rsidP="00BE35A0">
            <w:pPr>
              <w:pStyle w:val="TableText0"/>
              <w:keepLines/>
              <w:spacing w:before="0" w:after="0"/>
            </w:pPr>
            <w:r w:rsidRPr="00D33691">
              <w:t>Median OS, months (95% CI)</w:t>
            </w:r>
          </w:p>
        </w:tc>
        <w:tc>
          <w:tcPr>
            <w:tcW w:w="1592" w:type="pct"/>
          </w:tcPr>
          <w:p w:rsidR="00505A28" w:rsidRPr="00D33691" w:rsidRDefault="00505A28" w:rsidP="00BE35A0">
            <w:pPr>
              <w:pStyle w:val="TableText0"/>
              <w:keepLines/>
              <w:spacing w:before="0" w:after="0"/>
              <w:jc w:val="center"/>
            </w:pPr>
            <w:r w:rsidRPr="00D33691">
              <w:t>15.1 (12.3, 15.1)</w:t>
            </w:r>
          </w:p>
        </w:tc>
        <w:tc>
          <w:tcPr>
            <w:tcW w:w="1673" w:type="pct"/>
          </w:tcPr>
          <w:p w:rsidR="00505A28" w:rsidRPr="00D33691" w:rsidRDefault="00505A28" w:rsidP="00BE35A0">
            <w:pPr>
              <w:pStyle w:val="TableText0"/>
              <w:keepLines/>
              <w:spacing w:before="0" w:after="0"/>
              <w:jc w:val="center"/>
            </w:pPr>
            <w:r w:rsidRPr="00D33691">
              <w:t>6.6 (4.1, 11.6)</w:t>
            </w:r>
          </w:p>
        </w:tc>
      </w:tr>
      <w:tr w:rsidR="00505A28" w:rsidRPr="00D33691" w:rsidTr="00BE35A0">
        <w:tc>
          <w:tcPr>
            <w:tcW w:w="1735" w:type="pct"/>
          </w:tcPr>
          <w:p w:rsidR="00505A28" w:rsidRPr="00D33691" w:rsidRDefault="00505A28" w:rsidP="00BE35A0">
            <w:pPr>
              <w:pStyle w:val="TableText0"/>
              <w:keepLines/>
              <w:spacing w:before="0" w:after="0"/>
            </w:pPr>
            <w:r w:rsidRPr="00D33691">
              <w:t>HR (95% CI)*</w:t>
            </w:r>
          </w:p>
        </w:tc>
        <w:tc>
          <w:tcPr>
            <w:tcW w:w="3265" w:type="pct"/>
            <w:gridSpan w:val="2"/>
          </w:tcPr>
          <w:p w:rsidR="00505A28" w:rsidRPr="00D33691" w:rsidRDefault="00505A28" w:rsidP="00BE35A0">
            <w:pPr>
              <w:pStyle w:val="TableText0"/>
              <w:keepLines/>
              <w:spacing w:before="0" w:after="0"/>
              <w:jc w:val="center"/>
            </w:pPr>
            <w:r w:rsidRPr="00D33691">
              <w:t>0.36 (0.21, 0.62)</w:t>
            </w:r>
          </w:p>
        </w:tc>
      </w:tr>
      <w:tr w:rsidR="00505A28" w:rsidRPr="00D33691" w:rsidTr="00BE35A0">
        <w:tc>
          <w:tcPr>
            <w:tcW w:w="1735" w:type="pct"/>
          </w:tcPr>
          <w:p w:rsidR="00505A28" w:rsidRPr="00D33691" w:rsidRDefault="00505A28" w:rsidP="00BE35A0">
            <w:pPr>
              <w:pStyle w:val="TableText0"/>
              <w:keepLines/>
              <w:spacing w:before="0" w:after="0"/>
            </w:pPr>
            <w:r w:rsidRPr="00D33691">
              <w:t>P-value</w:t>
            </w:r>
            <w:r w:rsidR="002C3305">
              <w:t>**</w:t>
            </w:r>
          </w:p>
        </w:tc>
        <w:tc>
          <w:tcPr>
            <w:tcW w:w="3265" w:type="pct"/>
            <w:gridSpan w:val="2"/>
          </w:tcPr>
          <w:p w:rsidR="00505A28" w:rsidRPr="00D33691" w:rsidRDefault="00505A28" w:rsidP="00BE35A0">
            <w:pPr>
              <w:pStyle w:val="TableText0"/>
              <w:keepLines/>
              <w:spacing w:before="0" w:after="0"/>
              <w:jc w:val="center"/>
            </w:pPr>
            <w:r w:rsidRPr="00D33691">
              <w:t>p=0.0004</w:t>
            </w:r>
          </w:p>
        </w:tc>
      </w:tr>
    </w:tbl>
    <w:p w:rsidR="00505A28" w:rsidRDefault="00505A28" w:rsidP="00505A28">
      <w:pPr>
        <w:pStyle w:val="TableFooter"/>
        <w:keepNext/>
        <w:keepLines/>
      </w:pPr>
      <w:r>
        <w:t>Source: Table 2-15, p70 of the submission.</w:t>
      </w:r>
    </w:p>
    <w:p w:rsidR="00505A28" w:rsidRPr="00D33691" w:rsidRDefault="00505A28" w:rsidP="00505A28">
      <w:pPr>
        <w:pStyle w:val="TableFooter"/>
        <w:keepNext/>
        <w:keepLines/>
      </w:pPr>
      <w:r w:rsidRPr="00D33691">
        <w:t>BICR: blinded independent central review; CI: confidence interval; HR: hazard ratio; ITT: intent-to-treat; N/A: not applicable; OS: overall survival; PFS: progression-free survival</w:t>
      </w:r>
    </w:p>
    <w:p w:rsidR="00505A28" w:rsidRDefault="00505A28" w:rsidP="00505A28">
      <w:pPr>
        <w:pStyle w:val="TableFooter"/>
        <w:keepNext/>
        <w:keepLines/>
      </w:pPr>
      <w:r w:rsidRPr="00D33691">
        <w:t>* Calculated using the Cox regression model, which includes treatment and randomisation stratification factors as fixed factors; 95% CI based on Wald method</w:t>
      </w:r>
    </w:p>
    <w:p w:rsidR="002C3305" w:rsidRPr="00D33691" w:rsidRDefault="002C3305" w:rsidP="00505A28">
      <w:pPr>
        <w:pStyle w:val="TableFooter"/>
        <w:keepNext/>
        <w:keepLines/>
      </w:pPr>
      <w:r>
        <w:t>**</w:t>
      </w:r>
      <w:r w:rsidRPr="002C3305">
        <w:t xml:space="preserve"> </w:t>
      </w:r>
      <w:r w:rsidRPr="00D33691">
        <w:t>Due to the hierarchal testing procedure of the endpoints, OS could not be formally tested for statistical significance because the objective response was not significant; the nominal p-value displayed is based on 2-sided stratified log-rank test</w:t>
      </w:r>
    </w:p>
    <w:p w:rsidR="002C3305" w:rsidRDefault="00505A28" w:rsidP="00505A28">
      <w:pPr>
        <w:pStyle w:val="TableFooter"/>
        <w:keepNext/>
        <w:keepLines/>
      </w:pPr>
      <w:r w:rsidRPr="00D33691">
        <w:t xml:space="preserve">Note: OS is defined as the time interval between the date of randomisation until the date of death or censored at the date of last follow-up; patient groups are based on the treatment initially assigned. </w:t>
      </w:r>
    </w:p>
    <w:p w:rsidR="003E4B7C" w:rsidRPr="004C4A51" w:rsidRDefault="003E4B7C" w:rsidP="005B0347"/>
    <w:p w:rsidR="00083F05" w:rsidRDefault="00083F05" w:rsidP="00083F05">
      <w:pPr>
        <w:pStyle w:val="ListParagraph"/>
        <w:widowControl/>
        <w:numPr>
          <w:ilvl w:val="1"/>
          <w:numId w:val="2"/>
        </w:numPr>
      </w:pPr>
      <w:r w:rsidRPr="004C4A51">
        <w:t xml:space="preserve">Figure 2 presents the </w:t>
      </w:r>
      <w:r w:rsidR="001E245B" w:rsidRPr="004C4A51">
        <w:t>KM</w:t>
      </w:r>
      <w:r w:rsidRPr="004C4A51">
        <w:t xml:space="preserve"> OS results for the double</w:t>
      </w:r>
      <w:r w:rsidR="00F645B9">
        <w:t>-</w:t>
      </w:r>
      <w:r w:rsidRPr="004C4A51">
        <w:t>blind and open label periods of INVICTUS.</w:t>
      </w:r>
    </w:p>
    <w:p w:rsidR="00083F05" w:rsidRPr="00D33691" w:rsidRDefault="00083F05" w:rsidP="00083F05">
      <w:pPr>
        <w:pStyle w:val="TableFooter"/>
        <w:keepNext/>
        <w:keepLines/>
        <w:jc w:val="left"/>
        <w:rPr>
          <w:rStyle w:val="CommentReference"/>
        </w:rPr>
      </w:pPr>
      <w:bookmarkStart w:id="17" w:name="_Ref58319112"/>
      <w:r>
        <w:rPr>
          <w:rStyle w:val="CommentReference"/>
        </w:rPr>
        <w:t xml:space="preserve">Figure </w:t>
      </w:r>
      <w:r w:rsidR="00462A67">
        <w:rPr>
          <w:rStyle w:val="CommentReference"/>
          <w:noProof/>
        </w:rPr>
        <w:t>2</w:t>
      </w:r>
      <w:bookmarkEnd w:id="17"/>
      <w:r>
        <w:rPr>
          <w:rStyle w:val="CommentReference"/>
        </w:rPr>
        <w:t xml:space="preserve">: </w:t>
      </w:r>
      <w:r w:rsidR="00F81D5A" w:rsidRPr="00D33691">
        <w:rPr>
          <w:rStyle w:val="CommentReference"/>
        </w:rPr>
        <w:t xml:space="preserve">KM </w:t>
      </w:r>
      <w:r w:rsidR="00F81D5A">
        <w:rPr>
          <w:rStyle w:val="CommentReference"/>
        </w:rPr>
        <w:t>Overall</w:t>
      </w:r>
      <w:r>
        <w:rPr>
          <w:rStyle w:val="CommentReference"/>
        </w:rPr>
        <w:t xml:space="preserve"> survival </w:t>
      </w:r>
      <w:r w:rsidRPr="00D33691">
        <w:rPr>
          <w:rStyle w:val="CommentReference"/>
        </w:rPr>
        <w:t>results in the double blind and open - label periods of INVICTUS</w:t>
      </w:r>
    </w:p>
    <w:p w:rsidR="00083F05" w:rsidRPr="00D33691" w:rsidRDefault="00083F05" w:rsidP="00083F05">
      <w:pPr>
        <w:keepNext/>
        <w:keepLines/>
        <w:jc w:val="left"/>
      </w:pPr>
      <w:r w:rsidRPr="00D33691">
        <w:rPr>
          <w:noProof/>
          <w:lang w:eastAsia="en-AU"/>
        </w:rPr>
        <w:drawing>
          <wp:inline distT="0" distB="0" distL="0" distR="0" wp14:anchorId="1A5B9B7F" wp14:editId="47690C43">
            <wp:extent cx="5541329" cy="2443277"/>
            <wp:effectExtent l="0" t="0" r="2540" b="0"/>
            <wp:docPr id="12" name="Picture 1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04195" cy="2470996"/>
                    </a:xfrm>
                    <a:prstGeom prst="rect">
                      <a:avLst/>
                    </a:prstGeom>
                  </pic:spPr>
                </pic:pic>
              </a:graphicData>
            </a:graphic>
          </wp:inline>
        </w:drawing>
      </w:r>
    </w:p>
    <w:p w:rsidR="00083F05" w:rsidRPr="00D33691" w:rsidRDefault="00083F05" w:rsidP="00083F05">
      <w:pPr>
        <w:pStyle w:val="TableFooter"/>
        <w:keepNext/>
        <w:keepLines/>
        <w:jc w:val="left"/>
      </w:pPr>
      <w:r w:rsidRPr="00D33691">
        <w:t>CI: confidence interval; HR: hazard ratio; OS: overall survival</w:t>
      </w:r>
    </w:p>
    <w:p w:rsidR="00083F05" w:rsidRDefault="00083F05" w:rsidP="00083F05">
      <w:pPr>
        <w:pStyle w:val="TableFooter"/>
        <w:keepNext/>
        <w:keepLines/>
        <w:jc w:val="left"/>
      </w:pPr>
      <w:r w:rsidRPr="00D33691">
        <w:t>* Owing to the hierarchical testing procedures of the endpoints, OS endpoint could not be formally tested because the objective response rate was not statistically significant.</w:t>
      </w:r>
    </w:p>
    <w:p w:rsidR="00083F05" w:rsidRPr="00D33691" w:rsidRDefault="00083F05" w:rsidP="00083F05">
      <w:pPr>
        <w:pStyle w:val="TableFooter"/>
        <w:keepNext/>
        <w:keepLines/>
        <w:jc w:val="left"/>
      </w:pPr>
      <w:r>
        <w:t>Source: Figure 2-7, p67 of the submission</w:t>
      </w:r>
    </w:p>
    <w:p w:rsidR="00083F05" w:rsidRPr="004C4A51" w:rsidRDefault="00083F05" w:rsidP="00083F05">
      <w:pPr>
        <w:widowControl/>
      </w:pPr>
    </w:p>
    <w:p w:rsidR="004C4A51" w:rsidRPr="00200039" w:rsidRDefault="00083F05" w:rsidP="004C4A51">
      <w:pPr>
        <w:pStyle w:val="ListParagraph"/>
        <w:widowControl/>
        <w:numPr>
          <w:ilvl w:val="1"/>
          <w:numId w:val="2"/>
        </w:numPr>
      </w:pPr>
      <w:bookmarkStart w:id="18" w:name="_Ref58880378"/>
      <w:r w:rsidRPr="00D33691">
        <w:t xml:space="preserve">The submission claimed that patients achieved a clinically meaningful survival benefit when treated with ripretinib versus patients on placebo. The median OS was </w:t>
      </w:r>
      <w:r>
        <w:t xml:space="preserve">reported as </w:t>
      </w:r>
      <w:r w:rsidRPr="00D33691">
        <w:t xml:space="preserve">15.1 months (95% CI 12.3 to 15.1 months) in the ripretinib group and 6.6 months (95% CI 4.1 to 11.6 months) in the placebo group, inclusive of the double-blind and open-label periods. </w:t>
      </w:r>
      <w:r w:rsidRPr="00200039">
        <w:t>Though the submission reported median survival estimates</w:t>
      </w:r>
      <w:r w:rsidR="008E0F13" w:rsidRPr="00200039">
        <w:t xml:space="preserve"> for the </w:t>
      </w:r>
      <w:r w:rsidR="008E0F13" w:rsidRPr="00200039">
        <w:lastRenderedPageBreak/>
        <w:t>ripretinib arm</w:t>
      </w:r>
      <w:r w:rsidRPr="00200039">
        <w:t xml:space="preserve">, Figure 2 </w:t>
      </w:r>
      <w:r w:rsidR="004C4A51" w:rsidRPr="00200039">
        <w:t xml:space="preserve">showed that median survival was actually not reached (&gt;50% still assumed alive at end of follow up) and </w:t>
      </w:r>
      <w:r w:rsidR="00230085" w:rsidRPr="00200039">
        <w:t>seems to be estimated by drawing</w:t>
      </w:r>
      <w:r w:rsidR="004C4A51" w:rsidRPr="00200039">
        <w:t xml:space="preserve"> a vertical line to 0 from the last point of observation</w:t>
      </w:r>
      <w:r w:rsidRPr="00200039">
        <w:t xml:space="preserve">. </w:t>
      </w:r>
      <w:bookmarkEnd w:id="18"/>
    </w:p>
    <w:p w:rsidR="00083F05" w:rsidRPr="00B132FC" w:rsidRDefault="00C43312" w:rsidP="008E0F13">
      <w:pPr>
        <w:pStyle w:val="ListParagraph"/>
        <w:widowControl/>
        <w:numPr>
          <w:ilvl w:val="1"/>
          <w:numId w:val="2"/>
        </w:numPr>
      </w:pPr>
      <w:r w:rsidRPr="00200039">
        <w:t>M</w:t>
      </w:r>
      <w:r w:rsidR="008E0F13" w:rsidRPr="00200039">
        <w:t xml:space="preserve">edian survival was not reached in the ripretinib arm in INVICTUS </w:t>
      </w:r>
      <w:r w:rsidR="00D80787" w:rsidRPr="00200039">
        <w:t>as last follow up occurred before death in censored patients</w:t>
      </w:r>
      <w:r w:rsidRPr="00200039">
        <w:t xml:space="preserve"> (</w:t>
      </w:r>
      <w:r w:rsidR="008E0F13" w:rsidRPr="00200039">
        <w:t xml:space="preserve">59/85 (69%) </w:t>
      </w:r>
      <w:r w:rsidRPr="00200039">
        <w:t xml:space="preserve">of </w:t>
      </w:r>
      <w:r w:rsidR="008E0F13" w:rsidRPr="00200039">
        <w:t>ripretinib patients were censored</w:t>
      </w:r>
      <w:r w:rsidRPr="00200039">
        <w:t>)</w:t>
      </w:r>
      <w:r w:rsidR="008E0F13" w:rsidRPr="00200039">
        <w:t xml:space="preserve">. Therefore, while a median OS for ripretinib was estimated by the submission, this estimate was </w:t>
      </w:r>
      <w:r w:rsidR="00D80787" w:rsidRPr="00200039">
        <w:t xml:space="preserve">immature and </w:t>
      </w:r>
      <w:r w:rsidR="008E0F13" w:rsidRPr="00200039">
        <w:t xml:space="preserve">unreliable. </w:t>
      </w:r>
      <w:r w:rsidR="007309BB" w:rsidRPr="00954D37">
        <w:t xml:space="preserve">The PSCR argued that median survival not being reached in the ripretinib arm </w:t>
      </w:r>
      <w:r w:rsidR="005B0347" w:rsidRPr="00954D37">
        <w:t>reflected the durability of response to treatment. In contrast, the low median O</w:t>
      </w:r>
      <w:r w:rsidR="007309BB" w:rsidRPr="00954D37">
        <w:t>S observed with placebo reflected</w:t>
      </w:r>
      <w:r w:rsidR="005B0347" w:rsidRPr="00954D37">
        <w:t xml:space="preserve"> the aggressive nature of GIST in patients with advanced disease experiencing progression. Together, </w:t>
      </w:r>
      <w:r w:rsidR="007309BB" w:rsidRPr="00954D37">
        <w:t xml:space="preserve">the PSCR argued that </w:t>
      </w:r>
      <w:r w:rsidR="005B0347" w:rsidRPr="00954D37">
        <w:t xml:space="preserve">these findings </w:t>
      </w:r>
      <w:r w:rsidR="00F85DBA" w:rsidRPr="00954D37">
        <w:t>signified</w:t>
      </w:r>
      <w:r w:rsidR="005B0347" w:rsidRPr="00954D37">
        <w:t xml:space="preserve"> the strong trend towards efficacy of ripretinib in extending OS over </w:t>
      </w:r>
      <w:r w:rsidR="005D6ECA" w:rsidRPr="00954D37">
        <w:t>BSC</w:t>
      </w:r>
      <w:r w:rsidR="005B0347" w:rsidRPr="00954D37">
        <w:t xml:space="preserve"> (placebo). </w:t>
      </w:r>
      <w:r w:rsidR="007309BB" w:rsidRPr="00954D37">
        <w:t>The PSCR stated that no patients were lost to follow-up and given that all still in the trial had</w:t>
      </w:r>
      <w:r w:rsidR="005B0347" w:rsidRPr="00954D37">
        <w:t xml:space="preserve"> been enrolled for more than 16 months, the OS for the ripretinib arm is likely to be longer than 15.1 months, and certainly no worse, when mature.</w:t>
      </w:r>
      <w:r w:rsidR="007309BB" w:rsidRPr="00954D37">
        <w:t xml:space="preserve"> </w:t>
      </w:r>
      <w:r w:rsidR="00191C93" w:rsidRPr="00954D37">
        <w:t xml:space="preserve">The ESC considered the </w:t>
      </w:r>
      <w:r w:rsidR="00F85DBA" w:rsidRPr="00954D37">
        <w:t xml:space="preserve">OS difference to be clinically meaningful </w:t>
      </w:r>
      <w:r w:rsidR="006C1F1B" w:rsidRPr="00954D37">
        <w:t xml:space="preserve">in this rare cancer </w:t>
      </w:r>
      <w:r w:rsidR="00F85DBA" w:rsidRPr="00954D37">
        <w:t>and agreed with the PSCR that the OS difference is unlikely to be</w:t>
      </w:r>
      <w:r w:rsidR="00470115" w:rsidRPr="00954D37">
        <w:t>come less clinically meaningful</w:t>
      </w:r>
      <w:r w:rsidR="00F85DBA" w:rsidRPr="00954D37">
        <w:t xml:space="preserve"> with longer follow-up.</w:t>
      </w:r>
      <w:r w:rsidR="00F85DBA" w:rsidRPr="00B132FC">
        <w:t xml:space="preserve"> </w:t>
      </w:r>
    </w:p>
    <w:p w:rsidR="00907218" w:rsidRDefault="00083F05" w:rsidP="00083F05">
      <w:pPr>
        <w:pStyle w:val="ListParagraph"/>
        <w:widowControl/>
        <w:numPr>
          <w:ilvl w:val="1"/>
          <w:numId w:val="2"/>
        </w:numPr>
      </w:pPr>
      <w:r w:rsidRPr="00E9550E">
        <w:t xml:space="preserve">The submission stated that no adjustments </w:t>
      </w:r>
      <w:r w:rsidR="00E9550E">
        <w:t xml:space="preserve">for crossover </w:t>
      </w:r>
      <w:r w:rsidRPr="00E9550E">
        <w:t>were made for OS analyses</w:t>
      </w:r>
      <w:r w:rsidR="00E9550E">
        <w:t xml:space="preserve"> in the open label phase</w:t>
      </w:r>
      <w:r w:rsidRPr="00E9550E">
        <w:t>.</w:t>
      </w:r>
      <w:r w:rsidR="00907218">
        <w:t xml:space="preserve"> </w:t>
      </w:r>
      <w:r w:rsidR="00552251">
        <w:t>The PBAC considered that by not adjusting for crossover OS differences associated with ripretinib may be underestimated.</w:t>
      </w:r>
    </w:p>
    <w:p w:rsidR="00083F05" w:rsidRPr="00E9550E" w:rsidRDefault="00083F05" w:rsidP="00083F05">
      <w:pPr>
        <w:pStyle w:val="ListParagraph"/>
        <w:widowControl/>
        <w:numPr>
          <w:ilvl w:val="1"/>
          <w:numId w:val="2"/>
        </w:numPr>
      </w:pPr>
      <w:r w:rsidRPr="00E9550E">
        <w:t xml:space="preserve">The submission considered that as there are no alternative treatment options for patients with advanced unresectable or metastatic GIST in </w:t>
      </w:r>
      <w:r w:rsidR="00F81D5A">
        <w:rPr>
          <w:rFonts w:cs="Calibri"/>
        </w:rPr>
        <w:t>≥</w:t>
      </w:r>
      <w:r w:rsidR="00F81D5A">
        <w:t xml:space="preserve">3L </w:t>
      </w:r>
      <w:r w:rsidRPr="00E9550E">
        <w:t>setting, the pattern of treatment switching in INV</w:t>
      </w:r>
      <w:r w:rsidR="008609B5">
        <w:t>I</w:t>
      </w:r>
      <w:r w:rsidRPr="00E9550E">
        <w:t xml:space="preserve">CTUS, wherein patients were able to cross over from placebo to active treatment with ripretinib after disease progression, reflects what would reasonably be expected to occur in clinical practice if ripretinib were listed on the PBS. </w:t>
      </w:r>
    </w:p>
    <w:p w:rsidR="00D80787" w:rsidRPr="00200039" w:rsidRDefault="00083F05" w:rsidP="00E9550E">
      <w:pPr>
        <w:pStyle w:val="ListParagraph"/>
        <w:widowControl/>
        <w:numPr>
          <w:ilvl w:val="1"/>
          <w:numId w:val="2"/>
        </w:numPr>
      </w:pPr>
      <w:r w:rsidRPr="00200039">
        <w:t>The placebo arm in INVICTUS would not be expected to and is not intended to reflect what may occur in clinical practice after listing of ripretinib because it is the comparator arm. Consequently</w:t>
      </w:r>
      <w:r w:rsidR="00F81D5A" w:rsidRPr="00200039">
        <w:t>,</w:t>
      </w:r>
      <w:r w:rsidRPr="00200039">
        <w:t xml:space="preserve"> the relevant question is whether the placebo arm reflects current practice without listing of ripretinib. </w:t>
      </w:r>
      <w:r w:rsidR="00E9550E" w:rsidRPr="00200039">
        <w:t>It would be unreasonable to assume that 3L treatment with BSC will be followed with 4L ripretinib in a scenario in which ripretinib was not PBS subsidised, noting that lack of PBS listing was the reason why regorafenib was not considered to be a valid comparator.</w:t>
      </w:r>
    </w:p>
    <w:p w:rsidR="000815FE" w:rsidRDefault="00AF6078" w:rsidP="000815FE">
      <w:pPr>
        <w:pStyle w:val="ListParagraph"/>
        <w:widowControl/>
        <w:numPr>
          <w:ilvl w:val="1"/>
          <w:numId w:val="2"/>
        </w:numPr>
      </w:pPr>
      <w:r>
        <w:t>For regorafenib,</w:t>
      </w:r>
      <w:r w:rsidR="00A80BCC">
        <w:t xml:space="preserve"> adjustment for </w:t>
      </w:r>
      <w:r w:rsidR="00984E59">
        <w:t>crossover</w:t>
      </w:r>
      <w:r w:rsidR="00A80BCC">
        <w:t xml:space="preserve"> had a substantial impact on effect estimates</w:t>
      </w:r>
      <w:r w:rsidR="00847545">
        <w:t xml:space="preserve"> in the GRID trial</w:t>
      </w:r>
      <w:r w:rsidR="00A80BCC">
        <w:t xml:space="preserve">. </w:t>
      </w:r>
      <w:r>
        <w:t xml:space="preserve"> </w:t>
      </w:r>
      <w:r w:rsidR="00A80BCC">
        <w:t>B</w:t>
      </w:r>
      <w:r>
        <w:t>ased on the post final analysis cut-off</w:t>
      </w:r>
      <w:r w:rsidR="00D80787">
        <w:rPr>
          <w:rStyle w:val="FootnoteReference"/>
        </w:rPr>
        <w:footnoteReference w:id="2"/>
      </w:r>
      <w:r w:rsidR="001D6CE3">
        <w:t xml:space="preserve">, </w:t>
      </w:r>
      <w:r w:rsidR="00687FFA">
        <w:t xml:space="preserve">a significant difference in overall survival </w:t>
      </w:r>
      <w:r w:rsidR="00B4317A">
        <w:t xml:space="preserve">for regorafenib </w:t>
      </w:r>
      <w:r w:rsidR="00457D28">
        <w:t xml:space="preserve">compared to placebo </w:t>
      </w:r>
      <w:r w:rsidR="00687FFA">
        <w:t>was not observed (</w:t>
      </w:r>
      <w:r w:rsidR="001D6CE3">
        <w:t>HR</w:t>
      </w:r>
      <w:r w:rsidR="00687FFA">
        <w:t xml:space="preserve"> </w:t>
      </w:r>
      <w:r w:rsidR="001D6CE3">
        <w:t>0.91</w:t>
      </w:r>
      <w:r w:rsidR="00687FFA">
        <w:t xml:space="preserve">; </w:t>
      </w:r>
      <w:r w:rsidR="00643D5A">
        <w:t xml:space="preserve">95% </w:t>
      </w:r>
      <w:r w:rsidR="00643D5A">
        <w:lastRenderedPageBreak/>
        <w:t xml:space="preserve">CI </w:t>
      </w:r>
      <w:r w:rsidR="001D6CE3">
        <w:t>0.65</w:t>
      </w:r>
      <w:r w:rsidR="00687FFA">
        <w:t xml:space="preserve"> to</w:t>
      </w:r>
      <w:r w:rsidR="001D6CE3">
        <w:t xml:space="preserve"> 1.27). However, with adjustment for cross</w:t>
      </w:r>
      <w:r w:rsidR="001F3BD1">
        <w:t xml:space="preserve"> </w:t>
      </w:r>
      <w:r w:rsidR="001D6CE3">
        <w:t>over,</w:t>
      </w:r>
      <w:r w:rsidR="00A80BCC">
        <w:t xml:space="preserve"> the </w:t>
      </w:r>
      <w:r w:rsidR="00687FFA">
        <w:t xml:space="preserve">hazard ratio for overall survival </w:t>
      </w:r>
      <w:r w:rsidR="00A80BCC">
        <w:t xml:space="preserve">was </w:t>
      </w:r>
      <w:r w:rsidR="001D6CE3">
        <w:t>0.</w:t>
      </w:r>
      <w:r w:rsidR="00847545">
        <w:t>59 (95% CI 0.42</w:t>
      </w:r>
      <w:r w:rsidR="00687FFA">
        <w:t xml:space="preserve"> to</w:t>
      </w:r>
      <w:r w:rsidR="00847545">
        <w:t xml:space="preserve"> 0.82)</w:t>
      </w:r>
      <w:r w:rsidR="001D6CE3">
        <w:t>.</w:t>
      </w:r>
      <w:r w:rsidR="006C1F1B">
        <w:t xml:space="preserve"> </w:t>
      </w:r>
    </w:p>
    <w:p w:rsidR="00AF6078" w:rsidRPr="00954D37" w:rsidRDefault="000815FE" w:rsidP="00C331C0">
      <w:pPr>
        <w:pStyle w:val="ListParagraph"/>
        <w:widowControl/>
        <w:numPr>
          <w:ilvl w:val="1"/>
          <w:numId w:val="2"/>
        </w:numPr>
        <w:rPr>
          <w:iCs/>
        </w:rPr>
      </w:pPr>
      <w:r w:rsidRPr="000815FE">
        <w:rPr>
          <w:iCs/>
        </w:rPr>
        <w:t xml:space="preserve">The exploratory </w:t>
      </w:r>
      <w:r>
        <w:rPr>
          <w:iCs/>
        </w:rPr>
        <w:t xml:space="preserve">HRQoL </w:t>
      </w:r>
      <w:r w:rsidRPr="000815FE">
        <w:rPr>
          <w:iCs/>
        </w:rPr>
        <w:t xml:space="preserve">outcomes of European Organisation for Research and Treatment of Cancer Quality of Life Questionnaire for Cancer 30-item </w:t>
      </w:r>
      <w:r>
        <w:rPr>
          <w:iCs/>
        </w:rPr>
        <w:t>(</w:t>
      </w:r>
      <w:r w:rsidRPr="000815FE">
        <w:rPr>
          <w:iCs/>
        </w:rPr>
        <w:t>EORTC QLQ-C30</w:t>
      </w:r>
      <w:r>
        <w:rPr>
          <w:iCs/>
        </w:rPr>
        <w:t>)</w:t>
      </w:r>
      <w:r w:rsidRPr="000815FE">
        <w:rPr>
          <w:iCs/>
        </w:rPr>
        <w:t xml:space="preserve"> and</w:t>
      </w:r>
      <w:r>
        <w:rPr>
          <w:iCs/>
        </w:rPr>
        <w:t xml:space="preserve"> EuroQoL Visual Analogue Scale</w:t>
      </w:r>
      <w:r w:rsidRPr="000815FE">
        <w:rPr>
          <w:iCs/>
        </w:rPr>
        <w:t xml:space="preserve"> </w:t>
      </w:r>
      <w:r>
        <w:rPr>
          <w:iCs/>
        </w:rPr>
        <w:t>(</w:t>
      </w:r>
      <w:r w:rsidRPr="000815FE">
        <w:rPr>
          <w:iCs/>
        </w:rPr>
        <w:t>EQ-VAS</w:t>
      </w:r>
      <w:r>
        <w:rPr>
          <w:iCs/>
        </w:rPr>
        <w:t>)</w:t>
      </w:r>
      <w:r w:rsidRPr="000815FE">
        <w:rPr>
          <w:iCs/>
        </w:rPr>
        <w:t xml:space="preserve"> showed significant differences between r</w:t>
      </w:r>
      <w:r w:rsidR="0039164D">
        <w:rPr>
          <w:iCs/>
        </w:rPr>
        <w:t>i</w:t>
      </w:r>
      <w:r w:rsidRPr="000815FE">
        <w:rPr>
          <w:iCs/>
        </w:rPr>
        <w:t>pr</w:t>
      </w:r>
      <w:r w:rsidR="0039164D">
        <w:rPr>
          <w:iCs/>
        </w:rPr>
        <w:t>e</w:t>
      </w:r>
      <w:r w:rsidRPr="000815FE">
        <w:rPr>
          <w:iCs/>
        </w:rPr>
        <w:t>tinib and placebo</w:t>
      </w:r>
      <w:r w:rsidR="00C331C0">
        <w:rPr>
          <w:iCs/>
        </w:rPr>
        <w:t>, favouring ripretinib,</w:t>
      </w:r>
      <w:r w:rsidRPr="000815FE">
        <w:rPr>
          <w:iCs/>
        </w:rPr>
        <w:t xml:space="preserve"> in changes from baseline to Cycle 2, Day 1 mean scores.</w:t>
      </w:r>
      <w:r>
        <w:rPr>
          <w:iCs/>
        </w:rPr>
        <w:t xml:space="preserve"> </w:t>
      </w:r>
      <w:r w:rsidRPr="00200039">
        <w:t xml:space="preserve">The submission did not present EuroQoL 5 Dimensions 5 Level </w:t>
      </w:r>
      <w:r w:rsidR="00C331C0" w:rsidRPr="00200039">
        <w:t>(</w:t>
      </w:r>
      <w:r w:rsidRPr="00200039">
        <w:t>EQ-5D-5L</w:t>
      </w:r>
      <w:r w:rsidR="00C331C0" w:rsidRPr="00200039">
        <w:t>)</w:t>
      </w:r>
      <w:r w:rsidRPr="00200039">
        <w:t xml:space="preserve"> results, which were the basis of the utilities used in the economic evaluation.</w:t>
      </w:r>
      <w:r w:rsidRPr="00200039">
        <w:rPr>
          <w:iCs/>
        </w:rPr>
        <w:t xml:space="preserve"> </w:t>
      </w:r>
      <w:r w:rsidR="006C1F1B" w:rsidRPr="00954D37">
        <w:rPr>
          <w:iCs/>
        </w:rPr>
        <w:t xml:space="preserve">The PSCR presented </w:t>
      </w:r>
      <w:r w:rsidR="00081210" w:rsidRPr="00954D37">
        <w:rPr>
          <w:iCs/>
        </w:rPr>
        <w:t xml:space="preserve">the EQ-5D-5L results (see Table 6). </w:t>
      </w:r>
      <w:r w:rsidR="001371D8" w:rsidRPr="00954D37">
        <w:rPr>
          <w:iCs/>
        </w:rPr>
        <w:t>The ESC noted the EQ-5D-5L results showed no statistically significant differences between placebo and ripretinib and considered this may due to the instrum</w:t>
      </w:r>
      <w:r w:rsidR="00B53EC7" w:rsidRPr="00954D37">
        <w:rPr>
          <w:iCs/>
        </w:rPr>
        <w:t xml:space="preserve">ent not being disease specific </w:t>
      </w:r>
      <w:r w:rsidR="001371D8" w:rsidRPr="00954D37">
        <w:rPr>
          <w:iCs/>
        </w:rPr>
        <w:t>and the short duration of follow-up for this outcome (baseline to cycle 2, day 1).</w:t>
      </w:r>
    </w:p>
    <w:p w:rsidR="00081210" w:rsidRPr="00081210" w:rsidRDefault="00081210" w:rsidP="00081210">
      <w:pPr>
        <w:pStyle w:val="PBACHeading1"/>
        <w:keepNext/>
        <w:keepLines/>
        <w:numPr>
          <w:ilvl w:val="0"/>
          <w:numId w:val="0"/>
        </w:numPr>
        <w:rPr>
          <w:rStyle w:val="CommentReference"/>
          <w:b/>
        </w:rPr>
      </w:pPr>
      <w:r>
        <w:rPr>
          <w:rStyle w:val="CommentReference"/>
          <w:b/>
        </w:rPr>
        <w:t>Table 6</w:t>
      </w:r>
      <w:r w:rsidRPr="00081210">
        <w:rPr>
          <w:rStyle w:val="CommentReference"/>
          <w:b/>
        </w:rPr>
        <w:t>: EQ-5D-5L Index (Utility) Score and Change from Baseline to Cycle 2 Day 1 in Double-Blind Treatment Period (Intention-to-Treat Population)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2989"/>
        <w:gridCol w:w="3016"/>
      </w:tblGrid>
      <w:tr w:rsidR="00081210" w:rsidRPr="00C54DBE" w:rsidTr="00BE35A0">
        <w:tc>
          <w:tcPr>
            <w:tcW w:w="3485" w:type="dxa"/>
            <w:shd w:val="clear" w:color="auto" w:fill="auto"/>
          </w:tcPr>
          <w:p w:rsidR="00081210" w:rsidRPr="00C54DBE" w:rsidRDefault="00081210" w:rsidP="00081210">
            <w:pPr>
              <w:pStyle w:val="TableHeading"/>
              <w:keepLines/>
            </w:pPr>
            <w:r w:rsidRPr="00C54DBE">
              <w:t>Statistic</w:t>
            </w:r>
          </w:p>
        </w:tc>
        <w:tc>
          <w:tcPr>
            <w:tcW w:w="3485" w:type="dxa"/>
            <w:shd w:val="clear" w:color="auto" w:fill="auto"/>
          </w:tcPr>
          <w:p w:rsidR="00081210" w:rsidRPr="00C54DBE" w:rsidRDefault="00081210" w:rsidP="00081210">
            <w:pPr>
              <w:pStyle w:val="TableHeading"/>
              <w:keepLines/>
              <w:jc w:val="center"/>
            </w:pPr>
            <w:r w:rsidRPr="00C54DBE">
              <w:t>Placebo (N=44)</w:t>
            </w:r>
          </w:p>
        </w:tc>
        <w:tc>
          <w:tcPr>
            <w:tcW w:w="3486" w:type="dxa"/>
            <w:shd w:val="clear" w:color="auto" w:fill="auto"/>
          </w:tcPr>
          <w:p w:rsidR="00081210" w:rsidRPr="00C54DBE" w:rsidRDefault="00081210" w:rsidP="00081210">
            <w:pPr>
              <w:pStyle w:val="TableHeading"/>
              <w:keepLines/>
              <w:jc w:val="center"/>
            </w:pPr>
            <w:r w:rsidRPr="00C54DBE">
              <w:t>Ripretinib (N=85)</w:t>
            </w:r>
          </w:p>
        </w:tc>
      </w:tr>
      <w:tr w:rsidR="00081210" w:rsidTr="00BE35A0">
        <w:tc>
          <w:tcPr>
            <w:tcW w:w="3485" w:type="dxa"/>
            <w:shd w:val="clear" w:color="auto" w:fill="auto"/>
          </w:tcPr>
          <w:p w:rsidR="00081210" w:rsidRPr="00A02FA2" w:rsidRDefault="00081210" w:rsidP="00081210">
            <w:pPr>
              <w:pStyle w:val="TableHeading"/>
              <w:keepLines/>
              <w:rPr>
                <w:b w:val="0"/>
                <w:bCs w:val="0"/>
              </w:rPr>
            </w:pPr>
            <w:r w:rsidRPr="00A02FA2">
              <w:rPr>
                <w:b w:val="0"/>
                <w:bCs w:val="0"/>
              </w:rPr>
              <w:t>Baseline (n, SD)</w:t>
            </w:r>
          </w:p>
        </w:tc>
        <w:tc>
          <w:tcPr>
            <w:tcW w:w="3485" w:type="dxa"/>
            <w:shd w:val="clear" w:color="auto" w:fill="auto"/>
          </w:tcPr>
          <w:p w:rsidR="00081210" w:rsidRPr="00E45AE8" w:rsidRDefault="00081210" w:rsidP="00081210">
            <w:pPr>
              <w:pStyle w:val="TableHeading"/>
              <w:keepLines/>
              <w:jc w:val="center"/>
              <w:rPr>
                <w:b w:val="0"/>
                <w:bCs w:val="0"/>
              </w:rPr>
            </w:pPr>
            <w:r w:rsidRPr="00E45AE8">
              <w:rPr>
                <w:b w:val="0"/>
                <w:bCs w:val="0"/>
              </w:rPr>
              <w:t>0.7547 (42, 0.2521)</w:t>
            </w:r>
          </w:p>
        </w:tc>
        <w:tc>
          <w:tcPr>
            <w:tcW w:w="3486" w:type="dxa"/>
            <w:shd w:val="clear" w:color="auto" w:fill="auto"/>
          </w:tcPr>
          <w:p w:rsidR="00081210" w:rsidRPr="00E45AE8" w:rsidRDefault="00081210" w:rsidP="00081210">
            <w:pPr>
              <w:pStyle w:val="TableHeading"/>
              <w:keepLines/>
              <w:jc w:val="center"/>
              <w:rPr>
                <w:b w:val="0"/>
                <w:bCs w:val="0"/>
              </w:rPr>
            </w:pPr>
            <w:r w:rsidRPr="00E45AE8">
              <w:rPr>
                <w:b w:val="0"/>
                <w:bCs w:val="0"/>
              </w:rPr>
              <w:t>0.7606 (74, 0.2085)</w:t>
            </w:r>
          </w:p>
        </w:tc>
      </w:tr>
      <w:tr w:rsidR="00081210" w:rsidTr="00BE35A0">
        <w:tc>
          <w:tcPr>
            <w:tcW w:w="3485" w:type="dxa"/>
            <w:shd w:val="clear" w:color="auto" w:fill="auto"/>
          </w:tcPr>
          <w:p w:rsidR="00081210" w:rsidRPr="00A02FA2" w:rsidRDefault="00081210" w:rsidP="00081210">
            <w:pPr>
              <w:pStyle w:val="TableHeading"/>
              <w:keepLines/>
              <w:rPr>
                <w:b w:val="0"/>
                <w:bCs w:val="0"/>
              </w:rPr>
            </w:pPr>
            <w:r w:rsidRPr="00A02FA2">
              <w:rPr>
                <w:b w:val="0"/>
                <w:bCs w:val="0"/>
              </w:rPr>
              <w:t>Cycle 2, day 1 (n, SD)</w:t>
            </w:r>
          </w:p>
        </w:tc>
        <w:tc>
          <w:tcPr>
            <w:tcW w:w="3485" w:type="dxa"/>
            <w:shd w:val="clear" w:color="auto" w:fill="auto"/>
          </w:tcPr>
          <w:p w:rsidR="00081210" w:rsidRPr="00E45AE8" w:rsidRDefault="00081210" w:rsidP="00081210">
            <w:pPr>
              <w:pStyle w:val="TableHeading"/>
              <w:keepLines/>
              <w:jc w:val="center"/>
              <w:rPr>
                <w:b w:val="0"/>
                <w:bCs w:val="0"/>
              </w:rPr>
            </w:pPr>
            <w:r w:rsidRPr="00E45AE8">
              <w:rPr>
                <w:b w:val="0"/>
                <w:bCs w:val="0"/>
              </w:rPr>
              <w:t>0.7545 (33, 0.2201)</w:t>
            </w:r>
          </w:p>
        </w:tc>
        <w:tc>
          <w:tcPr>
            <w:tcW w:w="3486" w:type="dxa"/>
            <w:shd w:val="clear" w:color="auto" w:fill="auto"/>
          </w:tcPr>
          <w:p w:rsidR="00081210" w:rsidRPr="00E45AE8" w:rsidRDefault="00081210" w:rsidP="00081210">
            <w:pPr>
              <w:pStyle w:val="TableHeading"/>
              <w:keepLines/>
              <w:jc w:val="center"/>
              <w:rPr>
                <w:b w:val="0"/>
                <w:bCs w:val="0"/>
              </w:rPr>
            </w:pPr>
            <w:r w:rsidRPr="00E45AE8">
              <w:rPr>
                <w:b w:val="0"/>
                <w:bCs w:val="0"/>
              </w:rPr>
              <w:t>0.7762 (78, 0.1680)</w:t>
            </w:r>
          </w:p>
        </w:tc>
      </w:tr>
      <w:tr w:rsidR="00081210" w:rsidTr="00BE35A0">
        <w:tc>
          <w:tcPr>
            <w:tcW w:w="3485" w:type="dxa"/>
            <w:shd w:val="clear" w:color="auto" w:fill="auto"/>
          </w:tcPr>
          <w:p w:rsidR="00081210" w:rsidRPr="00A02FA2" w:rsidRDefault="00081210" w:rsidP="00081210">
            <w:pPr>
              <w:pStyle w:val="TableHeading"/>
              <w:keepLines/>
              <w:rPr>
                <w:b w:val="0"/>
                <w:bCs w:val="0"/>
              </w:rPr>
            </w:pPr>
            <w:r w:rsidRPr="00A02FA2">
              <w:rPr>
                <w:b w:val="0"/>
                <w:bCs w:val="0"/>
              </w:rPr>
              <w:t>Mean change (n, SD)</w:t>
            </w:r>
          </w:p>
        </w:tc>
        <w:tc>
          <w:tcPr>
            <w:tcW w:w="3485" w:type="dxa"/>
            <w:shd w:val="clear" w:color="auto" w:fill="auto"/>
          </w:tcPr>
          <w:p w:rsidR="00081210" w:rsidRPr="00E45AE8" w:rsidRDefault="00081210" w:rsidP="00081210">
            <w:pPr>
              <w:pStyle w:val="TableHeading"/>
              <w:keepLines/>
              <w:jc w:val="center"/>
              <w:rPr>
                <w:b w:val="0"/>
                <w:bCs w:val="0"/>
              </w:rPr>
            </w:pPr>
            <w:r w:rsidRPr="00E45AE8">
              <w:rPr>
                <w:b w:val="0"/>
                <w:bCs w:val="0"/>
              </w:rPr>
              <w:t>0.0596 (32, 0.1954)</w:t>
            </w:r>
          </w:p>
        </w:tc>
        <w:tc>
          <w:tcPr>
            <w:tcW w:w="3486" w:type="dxa"/>
            <w:shd w:val="clear" w:color="auto" w:fill="auto"/>
          </w:tcPr>
          <w:p w:rsidR="00081210" w:rsidRPr="00E45AE8" w:rsidRDefault="00081210" w:rsidP="00081210">
            <w:pPr>
              <w:pStyle w:val="TableHeading"/>
              <w:keepLines/>
              <w:jc w:val="center"/>
              <w:rPr>
                <w:b w:val="0"/>
                <w:bCs w:val="0"/>
              </w:rPr>
            </w:pPr>
            <w:r w:rsidRPr="00E45AE8">
              <w:rPr>
                <w:b w:val="0"/>
                <w:bCs w:val="0"/>
              </w:rPr>
              <w:t>0.0058 (70, 0.1399)</w:t>
            </w:r>
          </w:p>
        </w:tc>
      </w:tr>
      <w:tr w:rsidR="00081210" w:rsidTr="00BE35A0">
        <w:tc>
          <w:tcPr>
            <w:tcW w:w="3485" w:type="dxa"/>
            <w:shd w:val="clear" w:color="auto" w:fill="auto"/>
          </w:tcPr>
          <w:p w:rsidR="00081210" w:rsidRPr="00A02FA2" w:rsidRDefault="00081210" w:rsidP="00081210">
            <w:pPr>
              <w:pStyle w:val="TableHeading"/>
              <w:keepLines/>
              <w:rPr>
                <w:b w:val="0"/>
                <w:bCs w:val="0"/>
              </w:rPr>
            </w:pPr>
            <w:r w:rsidRPr="00A02FA2">
              <w:rPr>
                <w:b w:val="0"/>
                <w:bCs w:val="0"/>
              </w:rPr>
              <w:t>Treatment difference (95% CI)</w:t>
            </w:r>
          </w:p>
        </w:tc>
        <w:tc>
          <w:tcPr>
            <w:tcW w:w="6971" w:type="dxa"/>
            <w:gridSpan w:val="2"/>
            <w:shd w:val="clear" w:color="auto" w:fill="auto"/>
          </w:tcPr>
          <w:p w:rsidR="00081210" w:rsidRPr="00E45AE8" w:rsidRDefault="00081210" w:rsidP="00081210">
            <w:pPr>
              <w:pStyle w:val="TableHeading"/>
              <w:keepLines/>
              <w:jc w:val="center"/>
              <w:rPr>
                <w:b w:val="0"/>
                <w:bCs w:val="0"/>
              </w:rPr>
            </w:pPr>
            <w:r w:rsidRPr="00E45AE8">
              <w:rPr>
                <w:b w:val="0"/>
                <w:bCs w:val="0"/>
              </w:rPr>
              <w:t>0.05 (-0.02, 0.12))</w:t>
            </w:r>
          </w:p>
        </w:tc>
      </w:tr>
    </w:tbl>
    <w:p w:rsidR="00081210" w:rsidRPr="00081210" w:rsidRDefault="00081210" w:rsidP="00081210">
      <w:pPr>
        <w:pStyle w:val="PBACHeading1"/>
        <w:keepNext/>
        <w:keepLines/>
        <w:numPr>
          <w:ilvl w:val="0"/>
          <w:numId w:val="0"/>
        </w:numPr>
        <w:ind w:left="720" w:hanging="720"/>
        <w:rPr>
          <w:rFonts w:ascii="Arial Narrow" w:hAnsi="Arial Narrow"/>
          <w:b w:val="0"/>
          <w:sz w:val="18"/>
        </w:rPr>
      </w:pPr>
      <w:r w:rsidRPr="00081210">
        <w:rPr>
          <w:rFonts w:ascii="Arial Narrow" w:hAnsi="Arial Narrow"/>
          <w:b w:val="0"/>
          <w:sz w:val="18"/>
        </w:rPr>
        <w:t xml:space="preserve">Source: Table 1, p5 of PSCR. </w:t>
      </w:r>
    </w:p>
    <w:p w:rsidR="00081210" w:rsidRPr="00081210" w:rsidRDefault="00081210" w:rsidP="00081210">
      <w:pPr>
        <w:widowControl/>
        <w:rPr>
          <w:i/>
          <w:iCs/>
        </w:rPr>
      </w:pPr>
    </w:p>
    <w:p w:rsidR="00083F05" w:rsidRPr="00E9550E" w:rsidRDefault="00083F05" w:rsidP="00083F05">
      <w:pPr>
        <w:pStyle w:val="ListParagraph"/>
        <w:widowControl/>
        <w:numPr>
          <w:ilvl w:val="1"/>
          <w:numId w:val="2"/>
        </w:numPr>
      </w:pPr>
      <w:r w:rsidRPr="00E9550E">
        <w:t xml:space="preserve">The submission did not anticipate the Australian patient population being in an earlier treatment setting </w:t>
      </w:r>
      <w:r w:rsidR="00987FA2">
        <w:t xml:space="preserve">would </w:t>
      </w:r>
      <w:r w:rsidRPr="00E9550E">
        <w:t>result in poorer efficacy or safety outcomes to tho</w:t>
      </w:r>
      <w:r w:rsidR="00E9550E">
        <w:t>se seen in the INVICTUS trial. T</w:t>
      </w:r>
      <w:r w:rsidRPr="00E9550E">
        <w:t>he submission cit</w:t>
      </w:r>
      <w:r w:rsidR="00E9550E">
        <w:t xml:space="preserve">ed findings from Phase 1 study, NCT02571036, to demonstrate </w:t>
      </w:r>
      <w:r w:rsidRPr="00E9550E">
        <w:t xml:space="preserve">a </w:t>
      </w:r>
      <w:r w:rsidR="00E9550E">
        <w:t xml:space="preserve">comparable </w:t>
      </w:r>
      <w:r w:rsidRPr="00E9550E">
        <w:t xml:space="preserve">efficacy and safety profile in the </w:t>
      </w:r>
      <w:r w:rsidR="00E9550E">
        <w:t xml:space="preserve">3L </w:t>
      </w:r>
      <w:r w:rsidRPr="00E9550E">
        <w:t xml:space="preserve">setting </w:t>
      </w:r>
      <w:r w:rsidR="00E9550E">
        <w:t xml:space="preserve">to </w:t>
      </w:r>
      <w:r w:rsidRPr="00E9550E">
        <w:t xml:space="preserve">that observed in INVICTUS. </w:t>
      </w:r>
    </w:p>
    <w:p w:rsidR="00083F05" w:rsidRPr="00954D37" w:rsidRDefault="00232889" w:rsidP="00232889">
      <w:pPr>
        <w:pStyle w:val="ListParagraph"/>
        <w:widowControl/>
        <w:numPr>
          <w:ilvl w:val="1"/>
          <w:numId w:val="2"/>
        </w:numPr>
      </w:pPr>
      <w:r>
        <w:t>I</w:t>
      </w:r>
      <w:r w:rsidRPr="00232889">
        <w:t xml:space="preserve">n NCT02571036, </w:t>
      </w:r>
      <w:r>
        <w:t xml:space="preserve">patients with advanced GIST treated with 3L </w:t>
      </w:r>
      <w:r w:rsidRPr="00D33691">
        <w:t xml:space="preserve">ripretinib </w:t>
      </w:r>
      <w:r>
        <w:t xml:space="preserve">at a 150 mg daily dose was well </w:t>
      </w:r>
      <w:r w:rsidRPr="00D33691">
        <w:t>tolerated</w:t>
      </w:r>
      <w:r w:rsidRPr="00232889">
        <w:t>. The submission acknowledged that the 3L GIST cohort included only a small number of patients (n=28) and cross-trial comparisons with INVICTUS cannot be drawn directly. However the submission suggested that as PFS and ORR outcomes in the NCT02571036, 3L GIST cohort (PFS = 8.3 months, ORR = 14.3%) exceeded those in the ≥4L ripretinib group in INVICT</w:t>
      </w:r>
      <w:r w:rsidR="00707400">
        <w:t>US (median PFS: 6.3 months; ORR =</w:t>
      </w:r>
      <w:r w:rsidRPr="00232889">
        <w:t xml:space="preserve"> 9.4%), ripretinib may have greater efficacy in proposed PBS population than in the INVICTUS population. The submission noted the steady decline in PFS and ORR across the 2L to ≥4L GIST cohorts in the phase 1 study (</w:t>
      </w:r>
      <w:r w:rsidR="003E4B7C">
        <w:t>2L</w:t>
      </w:r>
      <w:r w:rsidR="00F45A23">
        <w:t>,</w:t>
      </w:r>
      <w:r w:rsidR="003E4B7C">
        <w:t xml:space="preserve"> n=31, </w:t>
      </w:r>
      <w:r w:rsidR="007C794B">
        <w:t xml:space="preserve">PFS = 10.7 months, </w:t>
      </w:r>
      <w:r w:rsidR="003E4B7C">
        <w:t>ORR</w:t>
      </w:r>
      <w:r w:rsidR="00707400">
        <w:t xml:space="preserve"> </w:t>
      </w:r>
      <w:r w:rsidR="003E4B7C">
        <w:t>=</w:t>
      </w:r>
      <w:r w:rsidR="00707400">
        <w:t xml:space="preserve"> </w:t>
      </w:r>
      <w:r w:rsidR="003E4B7C">
        <w:t>19</w:t>
      </w:r>
      <w:r w:rsidR="00C30801">
        <w:t>.4</w:t>
      </w:r>
      <w:r w:rsidR="003E4B7C">
        <w:t>%</w:t>
      </w:r>
      <w:r w:rsidR="00F45A23">
        <w:t>;</w:t>
      </w:r>
      <w:r w:rsidR="003E4B7C">
        <w:t xml:space="preserve"> 3L, n=28, </w:t>
      </w:r>
      <w:r w:rsidR="007C794B">
        <w:t xml:space="preserve">PFS = 8.3 months, </w:t>
      </w:r>
      <w:r w:rsidR="003E4B7C">
        <w:t>ORR=14</w:t>
      </w:r>
      <w:r w:rsidR="00C30801">
        <w:t>.3</w:t>
      </w:r>
      <w:r w:rsidR="003E4B7C">
        <w:t>%</w:t>
      </w:r>
      <w:r w:rsidR="00F45A23">
        <w:t>;</w:t>
      </w:r>
      <w:r w:rsidR="003E4B7C">
        <w:t xml:space="preserve"> 4L, n=83, </w:t>
      </w:r>
      <w:r w:rsidR="007C794B">
        <w:t xml:space="preserve">PFS = 5.5 months, </w:t>
      </w:r>
      <w:r w:rsidR="003E4B7C">
        <w:t>ORR</w:t>
      </w:r>
      <w:r w:rsidR="00707400">
        <w:t xml:space="preserve"> </w:t>
      </w:r>
      <w:r w:rsidR="003E4B7C">
        <w:t>=</w:t>
      </w:r>
      <w:r w:rsidR="00707400">
        <w:t xml:space="preserve"> </w:t>
      </w:r>
      <w:r w:rsidR="003E4B7C">
        <w:t>7</w:t>
      </w:r>
      <w:r w:rsidR="00C30801">
        <w:t>.2</w:t>
      </w:r>
      <w:r w:rsidR="003E4B7C">
        <w:t>%</w:t>
      </w:r>
      <w:r w:rsidR="00000AFC">
        <w:t>).</w:t>
      </w:r>
      <w:r w:rsidR="001371D8">
        <w:t xml:space="preserve"> </w:t>
      </w:r>
      <w:r w:rsidR="005F4E21" w:rsidRPr="00954D37">
        <w:t xml:space="preserve">The PSCR stated that the steady decline in PFS and ORR across the 2L to ≥4L GIST cohorts in NCT02571036 </w:t>
      </w:r>
      <w:r w:rsidR="008F2B4A" w:rsidRPr="00954D37">
        <w:t>wa</w:t>
      </w:r>
      <w:r w:rsidR="005F4E21" w:rsidRPr="00954D37">
        <w:t xml:space="preserve">s consistent with the variation in efficacy with subsequent lines of treatment seen with other therapeutic agents used in the treatment of GIST. </w:t>
      </w:r>
    </w:p>
    <w:p w:rsidR="00232889" w:rsidRPr="007C794B" w:rsidRDefault="00232889" w:rsidP="00232889">
      <w:pPr>
        <w:pStyle w:val="ListParagraph"/>
        <w:widowControl/>
        <w:numPr>
          <w:ilvl w:val="1"/>
          <w:numId w:val="2"/>
        </w:numPr>
        <w:rPr>
          <w:rStyle w:val="CommentReference"/>
          <w:rFonts w:ascii="Calibri" w:hAnsi="Calibri"/>
          <w:b w:val="0"/>
          <w:iCs/>
          <w:sz w:val="24"/>
          <w:szCs w:val="22"/>
        </w:rPr>
      </w:pPr>
      <w:r w:rsidRPr="00200039">
        <w:rPr>
          <w:rStyle w:val="CommentReference"/>
          <w:rFonts w:ascii="Calibri" w:hAnsi="Calibri"/>
          <w:b w:val="0"/>
          <w:sz w:val="24"/>
          <w:szCs w:val="22"/>
        </w:rPr>
        <w:lastRenderedPageBreak/>
        <w:t xml:space="preserve">Comparatively, the PFS for ≥4L in NCT02571036 was 5.5 months (95% CI 3.6, 6.2), which was shorter than the PFS reported in INVICTUS (6.3 months, 95% CI 4.6, 6.9). This may suggest that the PFS benefit observed in INVICTUS may be uncertain, though noting that it might also be reflective of the small patient numbers enrolled in both INVICTUS and NCT02571036.  </w:t>
      </w:r>
      <w:r w:rsidR="003E4B7C" w:rsidRPr="00200039">
        <w:rPr>
          <w:rStyle w:val="CommentReference"/>
          <w:rFonts w:ascii="Calibri" w:hAnsi="Calibri"/>
          <w:b w:val="0"/>
          <w:sz w:val="24"/>
          <w:szCs w:val="22"/>
        </w:rPr>
        <w:t>Also, PFS is difficult to interpret in a single-arm study.</w:t>
      </w:r>
    </w:p>
    <w:p w:rsidR="007C794B" w:rsidRPr="00954D37" w:rsidRDefault="007C794B" w:rsidP="00232889">
      <w:pPr>
        <w:pStyle w:val="ListParagraph"/>
        <w:widowControl/>
        <w:numPr>
          <w:ilvl w:val="1"/>
          <w:numId w:val="2"/>
        </w:numPr>
        <w:rPr>
          <w:rStyle w:val="CommentReference"/>
          <w:rFonts w:ascii="Calibri" w:hAnsi="Calibri"/>
          <w:b w:val="0"/>
          <w:sz w:val="24"/>
          <w:szCs w:val="22"/>
        </w:rPr>
      </w:pPr>
      <w:r w:rsidRPr="00954D37">
        <w:rPr>
          <w:rStyle w:val="CommentReference"/>
          <w:rFonts w:ascii="Calibri" w:hAnsi="Calibri"/>
          <w:b w:val="0"/>
          <w:sz w:val="24"/>
          <w:szCs w:val="22"/>
        </w:rPr>
        <w:t xml:space="preserve">The ESC considered </w:t>
      </w:r>
      <w:r w:rsidR="005F4E21" w:rsidRPr="00954D37">
        <w:rPr>
          <w:rStyle w:val="CommentReference"/>
          <w:rFonts w:ascii="Calibri" w:hAnsi="Calibri"/>
          <w:b w:val="0"/>
          <w:sz w:val="24"/>
          <w:szCs w:val="22"/>
        </w:rPr>
        <w:t xml:space="preserve">that while </w:t>
      </w:r>
      <w:r w:rsidR="00BE35A0" w:rsidRPr="00954D37">
        <w:rPr>
          <w:rStyle w:val="CommentReference"/>
          <w:rFonts w:ascii="Calibri" w:hAnsi="Calibri"/>
          <w:b w:val="0"/>
          <w:sz w:val="24"/>
          <w:szCs w:val="22"/>
        </w:rPr>
        <w:t>the results of the small phase 1 non-randomised dose escalation study (NCT02571036) should be interpreted with caution</w:t>
      </w:r>
      <w:r w:rsidR="004C4C7F" w:rsidRPr="00954D37">
        <w:rPr>
          <w:rStyle w:val="CommentReference"/>
          <w:rFonts w:ascii="Calibri" w:hAnsi="Calibri"/>
          <w:b w:val="0"/>
          <w:sz w:val="24"/>
          <w:szCs w:val="22"/>
        </w:rPr>
        <w:t xml:space="preserve"> </w:t>
      </w:r>
      <w:r w:rsidR="005F4E21" w:rsidRPr="00954D37">
        <w:rPr>
          <w:rStyle w:val="CommentReference"/>
          <w:rFonts w:ascii="Calibri" w:hAnsi="Calibri"/>
          <w:b w:val="0"/>
          <w:sz w:val="24"/>
          <w:szCs w:val="22"/>
        </w:rPr>
        <w:t xml:space="preserve">they </w:t>
      </w:r>
      <w:r w:rsidR="004C4C7F" w:rsidRPr="00954D37">
        <w:rPr>
          <w:rStyle w:val="CommentReference"/>
          <w:rFonts w:ascii="Calibri" w:hAnsi="Calibri"/>
          <w:b w:val="0"/>
          <w:sz w:val="24"/>
          <w:szCs w:val="22"/>
        </w:rPr>
        <w:t>suggest ripretinib efficacy in the 3L setting. Furthermore</w:t>
      </w:r>
      <w:r w:rsidR="00BE35A0" w:rsidRPr="00954D37">
        <w:rPr>
          <w:rStyle w:val="CommentReference"/>
          <w:rFonts w:ascii="Calibri" w:hAnsi="Calibri"/>
          <w:b w:val="0"/>
          <w:sz w:val="24"/>
          <w:szCs w:val="22"/>
        </w:rPr>
        <w:t xml:space="preserve">, </w:t>
      </w:r>
      <w:r w:rsidR="00852960" w:rsidRPr="00954D37">
        <w:rPr>
          <w:iCs/>
        </w:rPr>
        <w:t xml:space="preserve">while acknowledging the uncertainty, </w:t>
      </w:r>
      <w:r w:rsidR="00BE35A0" w:rsidRPr="00954D37">
        <w:rPr>
          <w:rStyle w:val="CommentReference"/>
          <w:rFonts w:ascii="Calibri" w:hAnsi="Calibri"/>
          <w:b w:val="0"/>
          <w:sz w:val="24"/>
          <w:szCs w:val="22"/>
        </w:rPr>
        <w:t xml:space="preserve">the ESC considered </w:t>
      </w:r>
      <w:r w:rsidR="00852960" w:rsidRPr="00954D37">
        <w:rPr>
          <w:rStyle w:val="CommentReference"/>
          <w:rFonts w:ascii="Calibri" w:hAnsi="Calibri"/>
          <w:b w:val="0"/>
          <w:sz w:val="24"/>
          <w:szCs w:val="22"/>
        </w:rPr>
        <w:t>that clinically</w:t>
      </w:r>
      <w:r w:rsidR="00BE35A0" w:rsidRPr="00954D37">
        <w:rPr>
          <w:rStyle w:val="CommentReference"/>
          <w:rFonts w:ascii="Calibri" w:hAnsi="Calibri"/>
          <w:b w:val="0"/>
          <w:sz w:val="24"/>
          <w:szCs w:val="22"/>
        </w:rPr>
        <w:t xml:space="preserve"> it </w:t>
      </w:r>
      <w:r w:rsidR="007B2F1E" w:rsidRPr="00954D37">
        <w:rPr>
          <w:rStyle w:val="CommentReference"/>
          <w:rFonts w:ascii="Calibri" w:hAnsi="Calibri"/>
          <w:b w:val="0"/>
          <w:sz w:val="24"/>
          <w:szCs w:val="22"/>
        </w:rPr>
        <w:t xml:space="preserve">was reasonable to assume that effectiveness in the 3L GIST setting would not be less than that </w:t>
      </w:r>
      <w:r w:rsidR="00BE35A0" w:rsidRPr="00954D37">
        <w:rPr>
          <w:rStyle w:val="CommentReference"/>
          <w:rFonts w:ascii="Calibri" w:hAnsi="Calibri"/>
          <w:b w:val="0"/>
          <w:sz w:val="24"/>
          <w:szCs w:val="22"/>
        </w:rPr>
        <w:t xml:space="preserve">observed in the </w:t>
      </w:r>
      <w:r w:rsidR="00BE35A0" w:rsidRPr="00954D37">
        <w:t>≥</w:t>
      </w:r>
      <w:r w:rsidR="00BE35A0" w:rsidRPr="00954D37">
        <w:rPr>
          <w:rStyle w:val="CommentReference"/>
          <w:rFonts w:ascii="Calibri" w:hAnsi="Calibri"/>
          <w:b w:val="0"/>
          <w:sz w:val="24"/>
          <w:szCs w:val="22"/>
        </w:rPr>
        <w:t xml:space="preserve">4L ripretinib group in INVICTUS. </w:t>
      </w:r>
    </w:p>
    <w:p w:rsidR="00182FE3" w:rsidRPr="00954D37" w:rsidRDefault="00182FE3" w:rsidP="00232889">
      <w:pPr>
        <w:pStyle w:val="ListParagraph"/>
        <w:widowControl/>
        <w:numPr>
          <w:ilvl w:val="1"/>
          <w:numId w:val="2"/>
        </w:numPr>
        <w:rPr>
          <w:rStyle w:val="CommentReference"/>
          <w:rFonts w:ascii="Calibri" w:hAnsi="Calibri"/>
          <w:b w:val="0"/>
          <w:iCs/>
          <w:sz w:val="24"/>
          <w:szCs w:val="22"/>
        </w:rPr>
      </w:pPr>
      <w:r w:rsidRPr="00954D37">
        <w:rPr>
          <w:rStyle w:val="CommentReference"/>
          <w:rFonts w:ascii="Calibri" w:hAnsi="Calibri"/>
          <w:b w:val="0"/>
          <w:sz w:val="24"/>
          <w:szCs w:val="22"/>
        </w:rPr>
        <w:t>A second</w:t>
      </w:r>
      <w:r w:rsidR="004C4C7F" w:rsidRPr="00954D37">
        <w:rPr>
          <w:rStyle w:val="CommentReference"/>
          <w:rFonts w:ascii="Calibri" w:hAnsi="Calibri"/>
          <w:b w:val="0"/>
          <w:sz w:val="24"/>
          <w:szCs w:val="22"/>
        </w:rPr>
        <w:t xml:space="preserve"> </w:t>
      </w:r>
      <w:r w:rsidRPr="00954D37">
        <w:rPr>
          <w:rStyle w:val="CommentReference"/>
          <w:rFonts w:ascii="Calibri" w:hAnsi="Calibri"/>
          <w:b w:val="0"/>
          <w:sz w:val="24"/>
          <w:szCs w:val="22"/>
        </w:rPr>
        <w:t>line randomised study is underway of ripretinib versus sunitinib</w:t>
      </w:r>
      <w:r w:rsidR="001C33CB" w:rsidRPr="00954D37">
        <w:rPr>
          <w:rStyle w:val="CommentReference"/>
          <w:rFonts w:ascii="Calibri" w:hAnsi="Calibri"/>
          <w:b w:val="0"/>
          <w:sz w:val="24"/>
          <w:szCs w:val="22"/>
        </w:rPr>
        <w:t xml:space="preserve"> (</w:t>
      </w:r>
      <w:r w:rsidR="001C33CB" w:rsidRPr="00954D37">
        <w:t>NCT03673501)</w:t>
      </w:r>
      <w:r w:rsidRPr="00954D37">
        <w:rPr>
          <w:rStyle w:val="CommentReference"/>
          <w:rFonts w:ascii="Calibri" w:hAnsi="Calibri"/>
          <w:b w:val="0"/>
          <w:sz w:val="24"/>
          <w:szCs w:val="22"/>
        </w:rPr>
        <w:t>.</w:t>
      </w:r>
      <w:r w:rsidR="007C794B" w:rsidRPr="00954D37">
        <w:rPr>
          <w:rStyle w:val="CommentReference"/>
          <w:rFonts w:ascii="Calibri" w:hAnsi="Calibri"/>
          <w:b w:val="0"/>
          <w:sz w:val="24"/>
          <w:szCs w:val="22"/>
        </w:rPr>
        <w:t xml:space="preserve"> </w:t>
      </w:r>
      <w:r w:rsidR="00D3429E" w:rsidRPr="00954D37">
        <w:t xml:space="preserve">The sample size is </w:t>
      </w:r>
      <w:r w:rsidR="001C33CB" w:rsidRPr="00954D37">
        <w:t xml:space="preserve">213 </w:t>
      </w:r>
      <w:r w:rsidR="00D3429E" w:rsidRPr="00954D37">
        <w:t xml:space="preserve">in each arm. </w:t>
      </w:r>
      <w:r w:rsidR="007C794B" w:rsidRPr="00954D37">
        <w:t xml:space="preserve">The ESC noted the primary completion date of the INTRIGUE trial was June 2021 and considered it likely that the results of the trial would not be available until </w:t>
      </w:r>
      <w:r w:rsidR="001C33CB" w:rsidRPr="00954D37">
        <w:t xml:space="preserve">at least </w:t>
      </w:r>
      <w:r w:rsidR="007C794B" w:rsidRPr="00954D37">
        <w:t xml:space="preserve">late 2021. </w:t>
      </w:r>
      <w:r w:rsidR="003B42D1">
        <w:t xml:space="preserve">The PBAC would welcome consideration of ripretinib in the 2L setting versus sunitinib following presentation of the INTRIGUE trial results. </w:t>
      </w:r>
    </w:p>
    <w:p w:rsidR="00083F05" w:rsidRPr="00C9624D" w:rsidRDefault="00083F05" w:rsidP="00083F05">
      <w:pPr>
        <w:pStyle w:val="Heading2"/>
      </w:pPr>
      <w:bookmarkStart w:id="19" w:name="_Toc62040429"/>
      <w:r w:rsidRPr="00C9624D">
        <w:t>Comparative harms</w:t>
      </w:r>
      <w:bookmarkEnd w:id="19"/>
    </w:p>
    <w:p w:rsidR="00083F05" w:rsidRPr="00882085" w:rsidRDefault="00083F05" w:rsidP="00083F05">
      <w:pPr>
        <w:ind w:left="720" w:hanging="720"/>
      </w:pPr>
    </w:p>
    <w:p w:rsidR="00083F05" w:rsidRPr="00B32048" w:rsidRDefault="00083F05" w:rsidP="00083F05">
      <w:pPr>
        <w:pStyle w:val="ListParagraph"/>
        <w:widowControl/>
        <w:numPr>
          <w:ilvl w:val="1"/>
          <w:numId w:val="2"/>
        </w:numPr>
      </w:pPr>
      <w:r w:rsidRPr="00D33691">
        <w:t>The submission stated that safety analyses were conducted for the safety population during the double-blind period. The safety population was defined as all patients who received at least one dose of study drug, and included all 85 patients randomised to ripretinib 150 mg QD and 43 out of the 44 patients randomised to placebo (128 in total).</w:t>
      </w:r>
      <w:r>
        <w:t xml:space="preserve"> </w:t>
      </w:r>
      <w:r w:rsidRPr="00D33691">
        <w:t xml:space="preserve">The submission considered that </w:t>
      </w:r>
      <w:r w:rsidRPr="00C762E1">
        <w:rPr>
          <w:rFonts w:eastAsia="Helvetica"/>
        </w:rPr>
        <w:t>ripretinib</w:t>
      </w:r>
      <w:r w:rsidRPr="00C762E1">
        <w:rPr>
          <w:rFonts w:ascii="Helvetica" w:eastAsia="Helvetica" w:hAnsi="Helvetica" w:cs="Times New Roman"/>
          <w:snapToGrid/>
          <w:color w:val="000000"/>
          <w:szCs w:val="24"/>
          <w:lang w:eastAsia="en-GB"/>
        </w:rPr>
        <w:t xml:space="preserve"> </w:t>
      </w:r>
      <w:r w:rsidRPr="00C762E1">
        <w:rPr>
          <w:rFonts w:eastAsia="Helvetica"/>
        </w:rPr>
        <w:t xml:space="preserve">was generally </w:t>
      </w:r>
      <w:r w:rsidR="00F81D5A" w:rsidRPr="00C762E1">
        <w:rPr>
          <w:rFonts w:eastAsia="Helvetica"/>
        </w:rPr>
        <w:t>well tolerated</w:t>
      </w:r>
      <w:r w:rsidRPr="00C762E1">
        <w:rPr>
          <w:rFonts w:eastAsia="Helvetica"/>
        </w:rPr>
        <w:t xml:space="preserve"> and associated with an acceptable safety profile in INVICTUS.</w:t>
      </w:r>
    </w:p>
    <w:p w:rsidR="00083F05" w:rsidRDefault="00081210" w:rsidP="00083F05">
      <w:pPr>
        <w:pStyle w:val="ListParagraph"/>
        <w:widowControl/>
        <w:numPr>
          <w:ilvl w:val="1"/>
          <w:numId w:val="2"/>
        </w:numPr>
      </w:pPr>
      <w:r>
        <w:t>Table 7</w:t>
      </w:r>
      <w:r w:rsidR="00083F05" w:rsidRPr="00B32048">
        <w:t xml:space="preserve"> </w:t>
      </w:r>
      <w:r w:rsidR="00083F05">
        <w:t>presents a summary of the treatment emergent adverse events in the double</w:t>
      </w:r>
      <w:r w:rsidR="00F645B9">
        <w:t>-</w:t>
      </w:r>
      <w:r w:rsidR="00083F05">
        <w:t>blind phase of INVICTUS</w:t>
      </w:r>
      <w:r w:rsidR="00F645B9">
        <w:t>.</w:t>
      </w:r>
      <w:r w:rsidR="00083F05">
        <w:t xml:space="preserve"> </w:t>
      </w:r>
    </w:p>
    <w:p w:rsidR="00083F05" w:rsidRPr="00D33691" w:rsidRDefault="00083F05" w:rsidP="00083F05">
      <w:pPr>
        <w:keepNext/>
        <w:rPr>
          <w:rStyle w:val="CommentReference"/>
        </w:rPr>
      </w:pPr>
      <w:bookmarkStart w:id="20" w:name="_Ref58320560"/>
      <w:r>
        <w:rPr>
          <w:rStyle w:val="CommentReference"/>
          <w:lang w:val="en-GB"/>
        </w:rPr>
        <w:lastRenderedPageBreak/>
        <w:t xml:space="preserve">Table </w:t>
      </w:r>
      <w:bookmarkEnd w:id="20"/>
      <w:r w:rsidR="00081210">
        <w:rPr>
          <w:rStyle w:val="CommentReference"/>
        </w:rPr>
        <w:t>7</w:t>
      </w:r>
      <w:r>
        <w:rPr>
          <w:rStyle w:val="CommentReference"/>
        </w:rPr>
        <w:t xml:space="preserve">: </w:t>
      </w:r>
      <w:r w:rsidRPr="00D33691">
        <w:rPr>
          <w:rStyle w:val="CommentReference"/>
        </w:rPr>
        <w:t>Summary of TEAEs in the double-blind phase (safety population)</w:t>
      </w:r>
    </w:p>
    <w:tbl>
      <w:tblPr>
        <w:tblStyle w:val="TableGrid"/>
        <w:tblW w:w="0" w:type="auto"/>
        <w:tblLook w:val="04A0" w:firstRow="1" w:lastRow="0" w:firstColumn="1" w:lastColumn="0" w:noHBand="0" w:noVBand="1"/>
        <w:tblCaption w:val="Table 7: Summary of TEAEs in the double-blind phase (safety population)"/>
      </w:tblPr>
      <w:tblGrid>
        <w:gridCol w:w="5098"/>
        <w:gridCol w:w="1306"/>
        <w:gridCol w:w="1306"/>
        <w:gridCol w:w="1307"/>
      </w:tblGrid>
      <w:tr w:rsidR="00083F05" w:rsidRPr="00D33691" w:rsidTr="00E45C8E">
        <w:trPr>
          <w:tblHeader/>
        </w:trPr>
        <w:tc>
          <w:tcPr>
            <w:tcW w:w="5098" w:type="dxa"/>
          </w:tcPr>
          <w:p w:rsidR="00083F05" w:rsidRPr="00D33691" w:rsidRDefault="00083F05" w:rsidP="00994A71">
            <w:pPr>
              <w:pStyle w:val="TableText0"/>
              <w:keepLines/>
              <w:spacing w:before="0" w:after="0"/>
              <w:rPr>
                <w:b/>
              </w:rPr>
            </w:pPr>
            <w:r w:rsidRPr="00D33691">
              <w:rPr>
                <w:b/>
              </w:rPr>
              <w:t>Categories</w:t>
            </w:r>
          </w:p>
        </w:tc>
        <w:tc>
          <w:tcPr>
            <w:tcW w:w="1306" w:type="dxa"/>
          </w:tcPr>
          <w:p w:rsidR="00083F05" w:rsidRPr="00D33691" w:rsidRDefault="00083F05" w:rsidP="00994A71">
            <w:pPr>
              <w:pStyle w:val="TableText0"/>
              <w:keepLines/>
              <w:spacing w:before="0" w:after="0"/>
              <w:jc w:val="center"/>
              <w:rPr>
                <w:b/>
              </w:rPr>
            </w:pPr>
            <w:r w:rsidRPr="00D33691">
              <w:rPr>
                <w:b/>
              </w:rPr>
              <w:t>Ripretinib (n=85)</w:t>
            </w:r>
          </w:p>
          <w:p w:rsidR="00083F05" w:rsidRPr="00D33691" w:rsidRDefault="00083F05" w:rsidP="00994A71">
            <w:pPr>
              <w:pStyle w:val="TableText0"/>
              <w:keepLines/>
              <w:spacing w:before="0" w:after="0"/>
              <w:jc w:val="center"/>
              <w:rPr>
                <w:b/>
              </w:rPr>
            </w:pPr>
            <w:r w:rsidRPr="00D33691">
              <w:rPr>
                <w:b/>
              </w:rPr>
              <w:t>n (%)</w:t>
            </w:r>
          </w:p>
        </w:tc>
        <w:tc>
          <w:tcPr>
            <w:tcW w:w="1306" w:type="dxa"/>
          </w:tcPr>
          <w:p w:rsidR="00083F05" w:rsidRPr="00D33691" w:rsidRDefault="00083F05" w:rsidP="00994A71">
            <w:pPr>
              <w:pStyle w:val="TableText0"/>
              <w:keepLines/>
              <w:spacing w:before="0" w:after="0"/>
              <w:jc w:val="center"/>
              <w:rPr>
                <w:b/>
              </w:rPr>
            </w:pPr>
            <w:r w:rsidRPr="00D33691">
              <w:rPr>
                <w:b/>
              </w:rPr>
              <w:t>Placebo (n=43)*</w:t>
            </w:r>
          </w:p>
          <w:p w:rsidR="00083F05" w:rsidRPr="00D33691" w:rsidRDefault="00083F05" w:rsidP="00994A71">
            <w:pPr>
              <w:pStyle w:val="TableText0"/>
              <w:keepLines/>
              <w:spacing w:before="0" w:after="0"/>
              <w:jc w:val="center"/>
              <w:rPr>
                <w:b/>
              </w:rPr>
            </w:pPr>
            <w:r w:rsidRPr="00D33691">
              <w:rPr>
                <w:b/>
              </w:rPr>
              <w:t>n (%)</w:t>
            </w:r>
          </w:p>
        </w:tc>
        <w:tc>
          <w:tcPr>
            <w:tcW w:w="1307" w:type="dxa"/>
          </w:tcPr>
          <w:p w:rsidR="00083F05" w:rsidRPr="00D33691" w:rsidRDefault="00083F05" w:rsidP="00994A71">
            <w:pPr>
              <w:pStyle w:val="TableText0"/>
              <w:keepLines/>
              <w:spacing w:before="0" w:after="0"/>
              <w:jc w:val="center"/>
              <w:rPr>
                <w:b/>
              </w:rPr>
            </w:pPr>
            <w:r>
              <w:rPr>
                <w:b/>
              </w:rPr>
              <w:t>Risk difference % (95%CI) ***</w:t>
            </w:r>
          </w:p>
        </w:tc>
      </w:tr>
      <w:tr w:rsidR="00083F05" w:rsidRPr="00D33691" w:rsidTr="00994A71">
        <w:tc>
          <w:tcPr>
            <w:tcW w:w="5098" w:type="dxa"/>
          </w:tcPr>
          <w:p w:rsidR="00083F05" w:rsidRPr="00D33691" w:rsidRDefault="00083F05" w:rsidP="00994A71">
            <w:pPr>
              <w:pStyle w:val="TableText0"/>
              <w:keepLines/>
              <w:spacing w:before="0" w:after="0"/>
            </w:pPr>
            <w:r w:rsidRPr="00D33691">
              <w:t>Any TEAE</w:t>
            </w:r>
          </w:p>
        </w:tc>
        <w:tc>
          <w:tcPr>
            <w:tcW w:w="1306" w:type="dxa"/>
          </w:tcPr>
          <w:p w:rsidR="00083F05" w:rsidRPr="00D33691" w:rsidRDefault="00083F05" w:rsidP="00994A71">
            <w:pPr>
              <w:pStyle w:val="TableText0"/>
              <w:keepLines/>
              <w:spacing w:before="0" w:after="0"/>
              <w:jc w:val="center"/>
            </w:pPr>
            <w:r w:rsidRPr="00D33691">
              <w:t>84 (98.8)</w:t>
            </w:r>
          </w:p>
        </w:tc>
        <w:tc>
          <w:tcPr>
            <w:tcW w:w="1306" w:type="dxa"/>
          </w:tcPr>
          <w:p w:rsidR="00083F05" w:rsidRPr="00D33691" w:rsidRDefault="00083F05" w:rsidP="00994A71">
            <w:pPr>
              <w:pStyle w:val="TableText0"/>
              <w:keepLines/>
              <w:spacing w:before="0" w:after="0"/>
              <w:jc w:val="center"/>
            </w:pPr>
            <w:r w:rsidRPr="00D33691">
              <w:t>42 (97.7)</w:t>
            </w:r>
          </w:p>
        </w:tc>
        <w:tc>
          <w:tcPr>
            <w:tcW w:w="1307" w:type="dxa"/>
          </w:tcPr>
          <w:p w:rsidR="00083F05" w:rsidRPr="005D6ECA" w:rsidRDefault="00083F05" w:rsidP="00994A71">
            <w:pPr>
              <w:pStyle w:val="TableText0"/>
              <w:keepLines/>
              <w:spacing w:before="0" w:after="0"/>
              <w:jc w:val="center"/>
            </w:pPr>
            <w:r w:rsidRPr="005D6ECA">
              <w:t>1.0 (-0.4, 11)</w:t>
            </w:r>
          </w:p>
        </w:tc>
      </w:tr>
      <w:tr w:rsidR="00083F05" w:rsidRPr="00D33691" w:rsidTr="00994A71">
        <w:tc>
          <w:tcPr>
            <w:tcW w:w="5098" w:type="dxa"/>
          </w:tcPr>
          <w:p w:rsidR="00083F05" w:rsidRPr="00D33691" w:rsidRDefault="00083F05" w:rsidP="00994A71">
            <w:pPr>
              <w:pStyle w:val="TableText0"/>
              <w:keepLines/>
              <w:spacing w:before="0" w:after="0"/>
            </w:pPr>
            <w:r w:rsidRPr="00D33691">
              <w:t>Any grade 3/4 TEAE</w:t>
            </w:r>
          </w:p>
        </w:tc>
        <w:tc>
          <w:tcPr>
            <w:tcW w:w="1306" w:type="dxa"/>
          </w:tcPr>
          <w:p w:rsidR="00083F05" w:rsidRPr="00D33691" w:rsidRDefault="00083F05" w:rsidP="00994A71">
            <w:pPr>
              <w:pStyle w:val="TableText0"/>
              <w:keepLines/>
              <w:spacing w:before="0" w:after="0"/>
              <w:jc w:val="center"/>
            </w:pPr>
            <w:r w:rsidRPr="00D33691">
              <w:t>42 (49.4)</w:t>
            </w:r>
          </w:p>
        </w:tc>
        <w:tc>
          <w:tcPr>
            <w:tcW w:w="1306" w:type="dxa"/>
          </w:tcPr>
          <w:p w:rsidR="00083F05" w:rsidRPr="00D33691" w:rsidRDefault="00083F05" w:rsidP="00994A71">
            <w:pPr>
              <w:pStyle w:val="TableText0"/>
              <w:keepLines/>
              <w:spacing w:before="0" w:after="0"/>
              <w:jc w:val="center"/>
            </w:pPr>
            <w:r w:rsidRPr="00D33691">
              <w:t>19 (44.2)</w:t>
            </w:r>
          </w:p>
        </w:tc>
        <w:tc>
          <w:tcPr>
            <w:tcW w:w="1307" w:type="dxa"/>
          </w:tcPr>
          <w:p w:rsidR="00083F05" w:rsidRPr="005D6ECA" w:rsidRDefault="00083F05" w:rsidP="00994A71">
            <w:pPr>
              <w:pStyle w:val="TableText0"/>
              <w:keepLines/>
              <w:spacing w:before="0" w:after="0"/>
              <w:jc w:val="center"/>
            </w:pPr>
            <w:r w:rsidRPr="005D6ECA">
              <w:t>0.5 (-13, 23)</w:t>
            </w:r>
          </w:p>
        </w:tc>
      </w:tr>
      <w:tr w:rsidR="00083F05" w:rsidRPr="00D33691" w:rsidTr="00994A71">
        <w:tc>
          <w:tcPr>
            <w:tcW w:w="5098" w:type="dxa"/>
          </w:tcPr>
          <w:p w:rsidR="00083F05" w:rsidRPr="00D33691" w:rsidRDefault="00083F05" w:rsidP="00994A71">
            <w:pPr>
              <w:pStyle w:val="TableText0"/>
              <w:keepLines/>
              <w:spacing w:before="0" w:after="0"/>
            </w:pPr>
            <w:r w:rsidRPr="00D33691">
              <w:t>Any treatment-emergent SAE</w:t>
            </w:r>
          </w:p>
        </w:tc>
        <w:tc>
          <w:tcPr>
            <w:tcW w:w="1306" w:type="dxa"/>
          </w:tcPr>
          <w:p w:rsidR="00083F05" w:rsidRPr="00D33691" w:rsidRDefault="00083F05" w:rsidP="00994A71">
            <w:pPr>
              <w:pStyle w:val="TableText0"/>
              <w:keepLines/>
              <w:spacing w:before="0" w:after="0"/>
              <w:jc w:val="center"/>
            </w:pPr>
            <w:r w:rsidRPr="00D33691">
              <w:t>26 (30.6)</w:t>
            </w:r>
          </w:p>
        </w:tc>
        <w:tc>
          <w:tcPr>
            <w:tcW w:w="1306" w:type="dxa"/>
          </w:tcPr>
          <w:p w:rsidR="00083F05" w:rsidRPr="00D33691" w:rsidRDefault="00083F05" w:rsidP="00994A71">
            <w:pPr>
              <w:pStyle w:val="TableText0"/>
              <w:keepLines/>
              <w:spacing w:before="0" w:after="0"/>
              <w:jc w:val="center"/>
            </w:pPr>
            <w:r w:rsidRPr="00D33691">
              <w:t>19 (44.2)</w:t>
            </w:r>
          </w:p>
        </w:tc>
        <w:tc>
          <w:tcPr>
            <w:tcW w:w="1307" w:type="dxa"/>
          </w:tcPr>
          <w:p w:rsidR="00083F05" w:rsidRPr="005D6ECA" w:rsidRDefault="00083F05" w:rsidP="00994A71">
            <w:pPr>
              <w:pStyle w:val="TableText0"/>
              <w:keepLines/>
              <w:spacing w:before="0" w:after="0"/>
              <w:jc w:val="center"/>
            </w:pPr>
            <w:r w:rsidRPr="005D6ECA">
              <w:t>-14 (-31, 4)</w:t>
            </w:r>
          </w:p>
        </w:tc>
      </w:tr>
      <w:tr w:rsidR="00083F05" w:rsidRPr="00D33691" w:rsidTr="00994A71">
        <w:tc>
          <w:tcPr>
            <w:tcW w:w="5098" w:type="dxa"/>
          </w:tcPr>
          <w:p w:rsidR="00083F05" w:rsidRPr="00D33691" w:rsidRDefault="00083F05" w:rsidP="00994A71">
            <w:pPr>
              <w:pStyle w:val="TableText0"/>
              <w:keepLines/>
              <w:spacing w:before="0" w:after="0"/>
            </w:pPr>
            <w:r w:rsidRPr="00D33691">
              <w:t>Any treatment-related TEAE</w:t>
            </w:r>
          </w:p>
        </w:tc>
        <w:tc>
          <w:tcPr>
            <w:tcW w:w="1306" w:type="dxa"/>
          </w:tcPr>
          <w:p w:rsidR="00083F05" w:rsidRPr="00D33691" w:rsidRDefault="00083F05" w:rsidP="00994A71">
            <w:pPr>
              <w:pStyle w:val="TableText0"/>
              <w:keepLines/>
              <w:spacing w:before="0" w:after="0"/>
              <w:jc w:val="center"/>
            </w:pPr>
            <w:r w:rsidRPr="00D33691">
              <w:t>72 (84.7)</w:t>
            </w:r>
          </w:p>
        </w:tc>
        <w:tc>
          <w:tcPr>
            <w:tcW w:w="1306" w:type="dxa"/>
          </w:tcPr>
          <w:p w:rsidR="00083F05" w:rsidRPr="00D33691" w:rsidRDefault="00083F05" w:rsidP="00994A71">
            <w:pPr>
              <w:pStyle w:val="TableText0"/>
              <w:keepLines/>
              <w:spacing w:before="0" w:after="0"/>
              <w:jc w:val="center"/>
            </w:pPr>
            <w:r w:rsidRPr="00D33691">
              <w:t>26 (60.5)</w:t>
            </w:r>
          </w:p>
        </w:tc>
        <w:tc>
          <w:tcPr>
            <w:tcW w:w="1307" w:type="dxa"/>
          </w:tcPr>
          <w:p w:rsidR="00083F05" w:rsidRPr="005D6ECA" w:rsidRDefault="00083F05" w:rsidP="00994A71">
            <w:pPr>
              <w:pStyle w:val="TableText0"/>
              <w:keepLines/>
              <w:spacing w:before="0" w:after="0"/>
              <w:jc w:val="center"/>
              <w:rPr>
                <w:b/>
              </w:rPr>
            </w:pPr>
            <w:r w:rsidRPr="005D6ECA">
              <w:rPr>
                <w:b/>
              </w:rPr>
              <w:t>24 (8, 41)</w:t>
            </w:r>
          </w:p>
        </w:tc>
      </w:tr>
      <w:tr w:rsidR="00083F05" w:rsidRPr="00D33691" w:rsidTr="00994A71">
        <w:tc>
          <w:tcPr>
            <w:tcW w:w="5098" w:type="dxa"/>
          </w:tcPr>
          <w:p w:rsidR="00083F05" w:rsidRPr="00D33691" w:rsidRDefault="00083F05" w:rsidP="00994A71">
            <w:pPr>
              <w:pStyle w:val="TableText0"/>
              <w:keepLines/>
              <w:spacing w:before="0" w:after="0"/>
            </w:pPr>
            <w:r w:rsidRPr="00D33691">
              <w:t>Any grade 3/4 treatment-related TEAE</w:t>
            </w:r>
          </w:p>
        </w:tc>
        <w:tc>
          <w:tcPr>
            <w:tcW w:w="1306" w:type="dxa"/>
          </w:tcPr>
          <w:p w:rsidR="00083F05" w:rsidRPr="00D33691" w:rsidRDefault="00083F05" w:rsidP="00994A71">
            <w:pPr>
              <w:pStyle w:val="TableText0"/>
              <w:keepLines/>
              <w:spacing w:before="0" w:after="0"/>
              <w:jc w:val="center"/>
            </w:pPr>
            <w:r w:rsidRPr="00D33691">
              <w:t>21 (24.7)</w:t>
            </w:r>
          </w:p>
        </w:tc>
        <w:tc>
          <w:tcPr>
            <w:tcW w:w="1306" w:type="dxa"/>
          </w:tcPr>
          <w:p w:rsidR="00083F05" w:rsidRPr="00D33691" w:rsidRDefault="00083F05" w:rsidP="00994A71">
            <w:pPr>
              <w:pStyle w:val="TableText0"/>
              <w:keepLines/>
              <w:spacing w:before="0" w:after="0"/>
              <w:jc w:val="center"/>
            </w:pPr>
            <w:r w:rsidRPr="00D33691">
              <w:t>7 (16.3)</w:t>
            </w:r>
          </w:p>
        </w:tc>
        <w:tc>
          <w:tcPr>
            <w:tcW w:w="1307" w:type="dxa"/>
          </w:tcPr>
          <w:p w:rsidR="00083F05" w:rsidRPr="005D6ECA" w:rsidRDefault="00083F05" w:rsidP="00994A71">
            <w:pPr>
              <w:pStyle w:val="TableText0"/>
              <w:keepLines/>
              <w:spacing w:before="0" w:after="0"/>
              <w:jc w:val="center"/>
            </w:pPr>
            <w:r w:rsidRPr="005D6ECA">
              <w:t>8 (-7, 22)</w:t>
            </w:r>
          </w:p>
        </w:tc>
      </w:tr>
      <w:tr w:rsidR="00083F05" w:rsidRPr="00D33691" w:rsidTr="00994A71">
        <w:tc>
          <w:tcPr>
            <w:tcW w:w="5098" w:type="dxa"/>
          </w:tcPr>
          <w:p w:rsidR="00083F05" w:rsidRPr="00D33691" w:rsidRDefault="00083F05" w:rsidP="00994A71">
            <w:pPr>
              <w:pStyle w:val="TableText0"/>
              <w:keepLines/>
              <w:spacing w:before="0" w:after="0"/>
            </w:pPr>
            <w:r w:rsidRPr="00D33691">
              <w:t>Any treatment-related treatment-emergent SAE</w:t>
            </w:r>
          </w:p>
        </w:tc>
        <w:tc>
          <w:tcPr>
            <w:tcW w:w="1306" w:type="dxa"/>
          </w:tcPr>
          <w:p w:rsidR="00083F05" w:rsidRPr="00D33691" w:rsidRDefault="00083F05" w:rsidP="00994A71">
            <w:pPr>
              <w:pStyle w:val="TableText0"/>
              <w:keepLines/>
              <w:spacing w:before="0" w:after="0"/>
              <w:jc w:val="center"/>
            </w:pPr>
            <w:r w:rsidRPr="00D33691">
              <w:t>8 (9.4)</w:t>
            </w:r>
          </w:p>
        </w:tc>
        <w:tc>
          <w:tcPr>
            <w:tcW w:w="1306" w:type="dxa"/>
          </w:tcPr>
          <w:p w:rsidR="00083F05" w:rsidRPr="00D33691" w:rsidRDefault="00083F05" w:rsidP="00994A71">
            <w:pPr>
              <w:pStyle w:val="TableText0"/>
              <w:keepLines/>
              <w:spacing w:before="0" w:after="0"/>
              <w:jc w:val="center"/>
            </w:pPr>
            <w:r w:rsidRPr="00D33691">
              <w:t>3 (7.0)</w:t>
            </w:r>
          </w:p>
        </w:tc>
        <w:tc>
          <w:tcPr>
            <w:tcW w:w="1307" w:type="dxa"/>
          </w:tcPr>
          <w:p w:rsidR="00083F05" w:rsidRPr="005D6ECA" w:rsidRDefault="00083F05" w:rsidP="00994A71">
            <w:pPr>
              <w:pStyle w:val="TableText0"/>
              <w:keepLines/>
              <w:spacing w:before="0" w:after="0"/>
              <w:jc w:val="center"/>
            </w:pPr>
            <w:r w:rsidRPr="005D6ECA">
              <w:t>2 (-10, 12)</w:t>
            </w:r>
          </w:p>
        </w:tc>
      </w:tr>
      <w:tr w:rsidR="00083F05" w:rsidRPr="00D33691" w:rsidTr="00994A71">
        <w:tc>
          <w:tcPr>
            <w:tcW w:w="5098" w:type="dxa"/>
          </w:tcPr>
          <w:p w:rsidR="00083F05" w:rsidRPr="00D33691" w:rsidRDefault="00083F05" w:rsidP="00994A71">
            <w:pPr>
              <w:pStyle w:val="TableText0"/>
              <w:keepLines/>
              <w:spacing w:before="0" w:after="0"/>
            </w:pPr>
            <w:r w:rsidRPr="00D33691">
              <w:t>Any TEAE leading to dose reduction</w:t>
            </w:r>
          </w:p>
        </w:tc>
        <w:tc>
          <w:tcPr>
            <w:tcW w:w="1306" w:type="dxa"/>
          </w:tcPr>
          <w:p w:rsidR="00083F05" w:rsidRPr="00D33691" w:rsidRDefault="00083F05" w:rsidP="00994A71">
            <w:pPr>
              <w:pStyle w:val="TableText0"/>
              <w:keepLines/>
              <w:spacing w:before="0" w:after="0"/>
              <w:jc w:val="center"/>
            </w:pPr>
            <w:r w:rsidRPr="00D33691">
              <w:t>6 (7.1)</w:t>
            </w:r>
          </w:p>
        </w:tc>
        <w:tc>
          <w:tcPr>
            <w:tcW w:w="1306" w:type="dxa"/>
          </w:tcPr>
          <w:p w:rsidR="00083F05" w:rsidRPr="00D33691" w:rsidRDefault="00083F05" w:rsidP="00994A71">
            <w:pPr>
              <w:pStyle w:val="TableText0"/>
              <w:keepLines/>
              <w:spacing w:before="0" w:after="0"/>
              <w:jc w:val="center"/>
            </w:pPr>
            <w:r w:rsidRPr="00D33691">
              <w:t>1 (2.3)</w:t>
            </w:r>
          </w:p>
        </w:tc>
        <w:tc>
          <w:tcPr>
            <w:tcW w:w="1307" w:type="dxa"/>
          </w:tcPr>
          <w:p w:rsidR="00083F05" w:rsidRPr="005D6ECA" w:rsidRDefault="00083F05" w:rsidP="00994A71">
            <w:pPr>
              <w:pStyle w:val="TableText0"/>
              <w:keepLines/>
              <w:spacing w:before="0" w:after="0"/>
              <w:jc w:val="center"/>
            </w:pPr>
            <w:r w:rsidRPr="005D6ECA">
              <w:t>5 (-6, 13)</w:t>
            </w:r>
          </w:p>
        </w:tc>
      </w:tr>
      <w:tr w:rsidR="00083F05" w:rsidRPr="00D33691" w:rsidTr="00994A71">
        <w:tc>
          <w:tcPr>
            <w:tcW w:w="5098" w:type="dxa"/>
          </w:tcPr>
          <w:p w:rsidR="00083F05" w:rsidRPr="00D33691" w:rsidRDefault="00083F05" w:rsidP="00994A71">
            <w:pPr>
              <w:pStyle w:val="TableText0"/>
              <w:keepLines/>
              <w:spacing w:before="0" w:after="0"/>
            </w:pPr>
            <w:r w:rsidRPr="00D33691">
              <w:t>Any TEAE leading to dose interruption</w:t>
            </w:r>
          </w:p>
        </w:tc>
        <w:tc>
          <w:tcPr>
            <w:tcW w:w="1306" w:type="dxa"/>
          </w:tcPr>
          <w:p w:rsidR="00083F05" w:rsidRPr="00D33691" w:rsidRDefault="00083F05" w:rsidP="00994A71">
            <w:pPr>
              <w:pStyle w:val="TableText0"/>
              <w:keepLines/>
              <w:spacing w:before="0" w:after="0"/>
              <w:jc w:val="center"/>
            </w:pPr>
            <w:r w:rsidRPr="00D33691">
              <w:t>20 (23.5)</w:t>
            </w:r>
          </w:p>
        </w:tc>
        <w:tc>
          <w:tcPr>
            <w:tcW w:w="1306" w:type="dxa"/>
          </w:tcPr>
          <w:p w:rsidR="00083F05" w:rsidRPr="00D33691" w:rsidRDefault="00083F05" w:rsidP="00994A71">
            <w:pPr>
              <w:pStyle w:val="TableText0"/>
              <w:keepLines/>
              <w:spacing w:before="0" w:after="0"/>
              <w:jc w:val="center"/>
            </w:pPr>
            <w:r w:rsidRPr="00D33691">
              <w:t>9 (20.9)</w:t>
            </w:r>
          </w:p>
        </w:tc>
        <w:tc>
          <w:tcPr>
            <w:tcW w:w="1307" w:type="dxa"/>
          </w:tcPr>
          <w:p w:rsidR="00083F05" w:rsidRPr="005D6ECA" w:rsidRDefault="00083F05" w:rsidP="00994A71">
            <w:pPr>
              <w:pStyle w:val="TableText0"/>
              <w:keepLines/>
              <w:spacing w:before="0" w:after="0"/>
              <w:jc w:val="center"/>
            </w:pPr>
            <w:r w:rsidRPr="005D6ECA">
              <w:t>3 (-14, 17)</w:t>
            </w:r>
          </w:p>
        </w:tc>
      </w:tr>
      <w:tr w:rsidR="00083F05" w:rsidRPr="00D33691" w:rsidTr="00994A71">
        <w:tc>
          <w:tcPr>
            <w:tcW w:w="5098" w:type="dxa"/>
          </w:tcPr>
          <w:p w:rsidR="00083F05" w:rsidRPr="00D33691" w:rsidRDefault="00083F05" w:rsidP="00994A71">
            <w:pPr>
              <w:pStyle w:val="TableText0"/>
              <w:keepLines/>
              <w:spacing w:before="0" w:after="0"/>
            </w:pPr>
            <w:r w:rsidRPr="00D33691">
              <w:t>Any TEAE leading to treatment discontinuation</w:t>
            </w:r>
          </w:p>
        </w:tc>
        <w:tc>
          <w:tcPr>
            <w:tcW w:w="1306" w:type="dxa"/>
          </w:tcPr>
          <w:p w:rsidR="00083F05" w:rsidRPr="006F3376" w:rsidRDefault="00083F05" w:rsidP="00994A71">
            <w:pPr>
              <w:pStyle w:val="TableText0"/>
              <w:keepLines/>
              <w:spacing w:before="0" w:after="0"/>
              <w:jc w:val="center"/>
            </w:pPr>
            <w:r w:rsidRPr="006F3376">
              <w:t>7 (8.2)</w:t>
            </w:r>
          </w:p>
        </w:tc>
        <w:tc>
          <w:tcPr>
            <w:tcW w:w="1306" w:type="dxa"/>
          </w:tcPr>
          <w:p w:rsidR="00083F05" w:rsidRPr="006F3376" w:rsidRDefault="00083F05" w:rsidP="00994A71">
            <w:pPr>
              <w:pStyle w:val="TableText0"/>
              <w:keepLines/>
              <w:spacing w:before="0" w:after="0"/>
              <w:jc w:val="center"/>
            </w:pPr>
            <w:r w:rsidRPr="006F3376">
              <w:t>5 (11.6)</w:t>
            </w:r>
          </w:p>
        </w:tc>
        <w:tc>
          <w:tcPr>
            <w:tcW w:w="1307" w:type="dxa"/>
          </w:tcPr>
          <w:p w:rsidR="00083F05" w:rsidRPr="005D6ECA" w:rsidRDefault="00083F05" w:rsidP="00994A71">
            <w:pPr>
              <w:pStyle w:val="TableText0"/>
              <w:keepLines/>
              <w:spacing w:before="0" w:after="0"/>
              <w:jc w:val="center"/>
            </w:pPr>
            <w:r w:rsidRPr="005D6ECA">
              <w:t>-3 (-17, 7)</w:t>
            </w:r>
          </w:p>
        </w:tc>
      </w:tr>
      <w:tr w:rsidR="00083F05" w:rsidRPr="00D33691" w:rsidTr="00994A71">
        <w:tc>
          <w:tcPr>
            <w:tcW w:w="5098" w:type="dxa"/>
          </w:tcPr>
          <w:p w:rsidR="00083F05" w:rsidRPr="00D33691" w:rsidRDefault="00083F05" w:rsidP="00994A71">
            <w:pPr>
              <w:pStyle w:val="TableText0"/>
              <w:keepLines/>
              <w:spacing w:before="0" w:after="0"/>
            </w:pPr>
            <w:r w:rsidRPr="00D33691">
              <w:t>Any TEAE leading to death</w:t>
            </w:r>
          </w:p>
        </w:tc>
        <w:tc>
          <w:tcPr>
            <w:tcW w:w="1306" w:type="dxa"/>
          </w:tcPr>
          <w:p w:rsidR="00083F05" w:rsidRPr="00D33691" w:rsidRDefault="00083F05" w:rsidP="00994A71">
            <w:pPr>
              <w:pStyle w:val="TableText0"/>
              <w:keepLines/>
              <w:spacing w:before="0" w:after="0"/>
              <w:jc w:val="center"/>
            </w:pPr>
            <w:r w:rsidRPr="00D33691">
              <w:t>5 (5.9)</w:t>
            </w:r>
          </w:p>
        </w:tc>
        <w:tc>
          <w:tcPr>
            <w:tcW w:w="1306" w:type="dxa"/>
          </w:tcPr>
          <w:p w:rsidR="00083F05" w:rsidRPr="00D33691" w:rsidRDefault="00083F05" w:rsidP="00994A71">
            <w:pPr>
              <w:pStyle w:val="TableText0"/>
              <w:keepLines/>
              <w:spacing w:before="0" w:after="0"/>
              <w:jc w:val="center"/>
            </w:pPr>
            <w:r w:rsidRPr="00D33691">
              <w:t>10 (23.3)</w:t>
            </w:r>
          </w:p>
        </w:tc>
        <w:tc>
          <w:tcPr>
            <w:tcW w:w="1307" w:type="dxa"/>
          </w:tcPr>
          <w:p w:rsidR="00083F05" w:rsidRPr="005D6ECA" w:rsidRDefault="00083F05" w:rsidP="00994A71">
            <w:pPr>
              <w:pStyle w:val="TableText0"/>
              <w:keepLines/>
              <w:spacing w:before="0" w:after="0"/>
              <w:jc w:val="center"/>
              <w:rPr>
                <w:b/>
              </w:rPr>
            </w:pPr>
            <w:r w:rsidRPr="005D6ECA">
              <w:rPr>
                <w:b/>
              </w:rPr>
              <w:t>-17 (-33, -5)</w:t>
            </w:r>
          </w:p>
        </w:tc>
      </w:tr>
      <w:tr w:rsidR="00083F05" w:rsidRPr="00D33691" w:rsidTr="00994A71">
        <w:tc>
          <w:tcPr>
            <w:tcW w:w="5098" w:type="dxa"/>
          </w:tcPr>
          <w:p w:rsidR="00083F05" w:rsidRPr="00D33691" w:rsidRDefault="00083F05" w:rsidP="00994A71">
            <w:pPr>
              <w:pStyle w:val="TableText0"/>
              <w:keepLines/>
              <w:spacing w:before="0" w:after="0"/>
            </w:pPr>
            <w:r w:rsidRPr="00D33691">
              <w:t>Any treatment-related TEAE leading to dose reduction</w:t>
            </w:r>
          </w:p>
        </w:tc>
        <w:tc>
          <w:tcPr>
            <w:tcW w:w="1306" w:type="dxa"/>
          </w:tcPr>
          <w:p w:rsidR="00083F05" w:rsidRPr="00D33691" w:rsidRDefault="00083F05" w:rsidP="00994A71">
            <w:pPr>
              <w:pStyle w:val="TableText0"/>
              <w:keepLines/>
              <w:spacing w:before="0" w:after="0"/>
              <w:jc w:val="center"/>
            </w:pPr>
            <w:r w:rsidRPr="00D33691">
              <w:t>5 (5.9)</w:t>
            </w:r>
          </w:p>
        </w:tc>
        <w:tc>
          <w:tcPr>
            <w:tcW w:w="1306" w:type="dxa"/>
          </w:tcPr>
          <w:p w:rsidR="00083F05" w:rsidRPr="00D33691" w:rsidRDefault="00083F05" w:rsidP="00994A71">
            <w:pPr>
              <w:pStyle w:val="TableText0"/>
              <w:keepLines/>
              <w:spacing w:before="0" w:after="0"/>
              <w:jc w:val="center"/>
            </w:pPr>
            <w:r w:rsidRPr="00D33691">
              <w:t>1 (2.3)</w:t>
            </w:r>
          </w:p>
        </w:tc>
        <w:tc>
          <w:tcPr>
            <w:tcW w:w="1307" w:type="dxa"/>
          </w:tcPr>
          <w:p w:rsidR="00083F05" w:rsidRPr="005D6ECA" w:rsidRDefault="00083F05" w:rsidP="00994A71">
            <w:pPr>
              <w:pStyle w:val="TableText0"/>
              <w:keepLines/>
              <w:spacing w:before="0" w:after="0"/>
              <w:jc w:val="center"/>
            </w:pPr>
            <w:r w:rsidRPr="005D6ECA">
              <w:t>4 (-7, 11)</w:t>
            </w:r>
          </w:p>
        </w:tc>
      </w:tr>
      <w:tr w:rsidR="00083F05" w:rsidRPr="00D33691" w:rsidTr="00994A71">
        <w:tc>
          <w:tcPr>
            <w:tcW w:w="5098" w:type="dxa"/>
          </w:tcPr>
          <w:p w:rsidR="00083F05" w:rsidRPr="00D33691" w:rsidRDefault="00083F05" w:rsidP="00994A71">
            <w:pPr>
              <w:pStyle w:val="TableText0"/>
              <w:keepLines/>
              <w:spacing w:before="0" w:after="0"/>
            </w:pPr>
            <w:r w:rsidRPr="00D33691">
              <w:t>Any treatment-related TEAE leading to dose interruption</w:t>
            </w:r>
          </w:p>
        </w:tc>
        <w:tc>
          <w:tcPr>
            <w:tcW w:w="1306" w:type="dxa"/>
          </w:tcPr>
          <w:p w:rsidR="00083F05" w:rsidRPr="00D33691" w:rsidRDefault="00083F05" w:rsidP="00994A71">
            <w:pPr>
              <w:pStyle w:val="TableText0"/>
              <w:keepLines/>
              <w:spacing w:before="0" w:after="0"/>
              <w:jc w:val="center"/>
            </w:pPr>
            <w:r w:rsidRPr="00D33691">
              <w:t>12 (14.1)</w:t>
            </w:r>
          </w:p>
        </w:tc>
        <w:tc>
          <w:tcPr>
            <w:tcW w:w="1306" w:type="dxa"/>
          </w:tcPr>
          <w:p w:rsidR="00083F05" w:rsidRPr="00D33691" w:rsidRDefault="00083F05" w:rsidP="00994A71">
            <w:pPr>
              <w:pStyle w:val="TableText0"/>
              <w:keepLines/>
              <w:spacing w:before="0" w:after="0"/>
              <w:jc w:val="center"/>
            </w:pPr>
            <w:r w:rsidRPr="00D33691">
              <w:t>3 (7.0)</w:t>
            </w:r>
          </w:p>
        </w:tc>
        <w:tc>
          <w:tcPr>
            <w:tcW w:w="1307" w:type="dxa"/>
          </w:tcPr>
          <w:p w:rsidR="00083F05" w:rsidRPr="005D6ECA" w:rsidRDefault="00083F05" w:rsidP="00994A71">
            <w:pPr>
              <w:pStyle w:val="TableText0"/>
              <w:keepLines/>
              <w:spacing w:before="0" w:after="0"/>
              <w:jc w:val="center"/>
            </w:pPr>
            <w:r w:rsidRPr="005D6ECA">
              <w:t>7 (-6, 18)</w:t>
            </w:r>
          </w:p>
        </w:tc>
      </w:tr>
      <w:tr w:rsidR="00083F05" w:rsidRPr="00D33691" w:rsidTr="00994A71">
        <w:tc>
          <w:tcPr>
            <w:tcW w:w="5098" w:type="dxa"/>
          </w:tcPr>
          <w:p w:rsidR="00083F05" w:rsidRPr="00D33691" w:rsidRDefault="00083F05" w:rsidP="00994A71">
            <w:pPr>
              <w:pStyle w:val="TableText0"/>
              <w:keepLines/>
              <w:spacing w:before="0" w:after="0"/>
            </w:pPr>
            <w:r w:rsidRPr="00D33691">
              <w:t>Any treatment-related TEAE leading to treatment discontinuation</w:t>
            </w:r>
          </w:p>
        </w:tc>
        <w:tc>
          <w:tcPr>
            <w:tcW w:w="1306" w:type="dxa"/>
          </w:tcPr>
          <w:p w:rsidR="00083F05" w:rsidRPr="00D33691" w:rsidRDefault="00083F05" w:rsidP="00994A71">
            <w:pPr>
              <w:pStyle w:val="TableText0"/>
              <w:keepLines/>
              <w:spacing w:before="0" w:after="0"/>
              <w:jc w:val="center"/>
            </w:pPr>
            <w:r w:rsidRPr="00D33691">
              <w:t>4 (4.7)</w:t>
            </w:r>
          </w:p>
        </w:tc>
        <w:tc>
          <w:tcPr>
            <w:tcW w:w="1306" w:type="dxa"/>
          </w:tcPr>
          <w:p w:rsidR="00083F05" w:rsidRPr="00D33691" w:rsidRDefault="00083F05" w:rsidP="00994A71">
            <w:pPr>
              <w:pStyle w:val="TableText0"/>
              <w:keepLines/>
              <w:spacing w:before="0" w:after="0"/>
              <w:jc w:val="center"/>
            </w:pPr>
            <w:r w:rsidRPr="00D33691">
              <w:t>1 (2.3)</w:t>
            </w:r>
          </w:p>
        </w:tc>
        <w:tc>
          <w:tcPr>
            <w:tcW w:w="1307" w:type="dxa"/>
          </w:tcPr>
          <w:p w:rsidR="00083F05" w:rsidRPr="005D6ECA" w:rsidRDefault="00083F05" w:rsidP="00994A71">
            <w:pPr>
              <w:pStyle w:val="TableText0"/>
              <w:keepLines/>
              <w:spacing w:before="0" w:after="0"/>
              <w:jc w:val="center"/>
            </w:pPr>
            <w:r w:rsidRPr="005D6ECA">
              <w:t>2 (-8, 10)</w:t>
            </w:r>
          </w:p>
        </w:tc>
      </w:tr>
      <w:tr w:rsidR="00083F05" w:rsidRPr="00D33691" w:rsidTr="00994A71">
        <w:tc>
          <w:tcPr>
            <w:tcW w:w="5098" w:type="dxa"/>
          </w:tcPr>
          <w:p w:rsidR="00083F05" w:rsidRPr="00D33691" w:rsidRDefault="00083F05" w:rsidP="00994A71">
            <w:pPr>
              <w:pStyle w:val="TableText0"/>
              <w:keepLines/>
              <w:spacing w:before="0" w:after="0"/>
            </w:pPr>
            <w:r w:rsidRPr="00D33691">
              <w:t>Any treatment-related TEAE leading to death</w:t>
            </w:r>
          </w:p>
        </w:tc>
        <w:tc>
          <w:tcPr>
            <w:tcW w:w="1306" w:type="dxa"/>
          </w:tcPr>
          <w:p w:rsidR="00083F05" w:rsidRPr="00D33691" w:rsidRDefault="00083F05" w:rsidP="00994A71">
            <w:pPr>
              <w:pStyle w:val="TableText0"/>
              <w:keepLines/>
              <w:spacing w:before="0" w:after="0"/>
              <w:jc w:val="center"/>
            </w:pPr>
            <w:r w:rsidRPr="00D33691">
              <w:t>1 (1.2)</w:t>
            </w:r>
          </w:p>
        </w:tc>
        <w:tc>
          <w:tcPr>
            <w:tcW w:w="1306" w:type="dxa"/>
          </w:tcPr>
          <w:p w:rsidR="00083F05" w:rsidRPr="00D33691" w:rsidRDefault="00083F05" w:rsidP="00994A71">
            <w:pPr>
              <w:pStyle w:val="TableText0"/>
              <w:keepLines/>
              <w:spacing w:before="0" w:after="0"/>
              <w:jc w:val="center"/>
            </w:pPr>
            <w:r w:rsidRPr="00D33691">
              <w:t>1 (2.3)</w:t>
            </w:r>
          </w:p>
        </w:tc>
        <w:tc>
          <w:tcPr>
            <w:tcW w:w="1307" w:type="dxa"/>
          </w:tcPr>
          <w:p w:rsidR="00083F05" w:rsidRPr="005D6ECA" w:rsidRDefault="00083F05" w:rsidP="00994A71">
            <w:pPr>
              <w:pStyle w:val="TableText0"/>
              <w:keepLines/>
              <w:spacing w:before="0" w:after="0"/>
              <w:jc w:val="center"/>
            </w:pPr>
            <w:r w:rsidRPr="005D6ECA">
              <w:t>-1 (-11, 4)</w:t>
            </w:r>
          </w:p>
        </w:tc>
      </w:tr>
      <w:tr w:rsidR="00083F05" w:rsidRPr="00D33691" w:rsidTr="00994A71">
        <w:tc>
          <w:tcPr>
            <w:tcW w:w="5098" w:type="dxa"/>
          </w:tcPr>
          <w:p w:rsidR="00083F05" w:rsidRPr="00D33691" w:rsidRDefault="00083F05" w:rsidP="00994A71">
            <w:pPr>
              <w:pStyle w:val="TableText0"/>
              <w:keepLines/>
              <w:spacing w:before="0" w:after="0"/>
            </w:pPr>
            <w:r w:rsidRPr="00D33691">
              <w:t>Death</w:t>
            </w:r>
          </w:p>
        </w:tc>
        <w:tc>
          <w:tcPr>
            <w:tcW w:w="1306" w:type="dxa"/>
          </w:tcPr>
          <w:p w:rsidR="00083F05" w:rsidRPr="00D33691" w:rsidRDefault="00083F05" w:rsidP="00994A71">
            <w:pPr>
              <w:pStyle w:val="TableText0"/>
              <w:keepLines/>
              <w:spacing w:before="0" w:after="0"/>
              <w:jc w:val="center"/>
            </w:pPr>
            <w:r w:rsidRPr="00D33691">
              <w:t>1 (1.2)</w:t>
            </w:r>
          </w:p>
        </w:tc>
        <w:tc>
          <w:tcPr>
            <w:tcW w:w="1306" w:type="dxa"/>
          </w:tcPr>
          <w:p w:rsidR="00083F05" w:rsidRPr="00D33691" w:rsidRDefault="00083F05" w:rsidP="00994A71">
            <w:pPr>
              <w:pStyle w:val="TableText0"/>
              <w:keepLines/>
              <w:spacing w:before="0" w:after="0"/>
              <w:jc w:val="center"/>
            </w:pPr>
            <w:r w:rsidRPr="00D33691">
              <w:t>0</w:t>
            </w:r>
          </w:p>
        </w:tc>
        <w:tc>
          <w:tcPr>
            <w:tcW w:w="1307" w:type="dxa"/>
          </w:tcPr>
          <w:p w:rsidR="00083F05" w:rsidRPr="005D6ECA" w:rsidRDefault="00083F05" w:rsidP="00994A71">
            <w:pPr>
              <w:pStyle w:val="TableText0"/>
              <w:keepLines/>
              <w:spacing w:before="0" w:after="0"/>
              <w:jc w:val="center"/>
            </w:pPr>
            <w:r w:rsidRPr="005D6ECA">
              <w:t>1 (-7, 6)</w:t>
            </w:r>
          </w:p>
        </w:tc>
      </w:tr>
      <w:tr w:rsidR="00083F05" w:rsidRPr="00D33691" w:rsidTr="00994A71">
        <w:tc>
          <w:tcPr>
            <w:tcW w:w="5098" w:type="dxa"/>
          </w:tcPr>
          <w:p w:rsidR="00083F05" w:rsidRPr="00D33691" w:rsidRDefault="00083F05" w:rsidP="00994A71">
            <w:pPr>
              <w:pStyle w:val="TableText0"/>
              <w:keepLines/>
              <w:spacing w:before="0" w:after="0"/>
            </w:pPr>
            <w:r w:rsidRPr="00D33691">
              <w:t>Pulmonary oedema</w:t>
            </w:r>
          </w:p>
        </w:tc>
        <w:tc>
          <w:tcPr>
            <w:tcW w:w="1306" w:type="dxa"/>
          </w:tcPr>
          <w:p w:rsidR="00083F05" w:rsidRPr="00D33691" w:rsidRDefault="00083F05" w:rsidP="00994A71">
            <w:pPr>
              <w:pStyle w:val="TableText0"/>
              <w:keepLines/>
              <w:spacing w:before="0" w:after="0"/>
              <w:jc w:val="center"/>
            </w:pPr>
            <w:r w:rsidRPr="00D33691">
              <w:t>0</w:t>
            </w:r>
          </w:p>
        </w:tc>
        <w:tc>
          <w:tcPr>
            <w:tcW w:w="1306" w:type="dxa"/>
          </w:tcPr>
          <w:p w:rsidR="00083F05" w:rsidRPr="00D33691" w:rsidRDefault="00083F05" w:rsidP="00994A71">
            <w:pPr>
              <w:pStyle w:val="TableText0"/>
              <w:keepLines/>
              <w:spacing w:before="0" w:after="0"/>
              <w:jc w:val="center"/>
            </w:pPr>
            <w:r w:rsidRPr="00D33691">
              <w:t>1 (2.3)**</w:t>
            </w:r>
          </w:p>
        </w:tc>
        <w:tc>
          <w:tcPr>
            <w:tcW w:w="1307" w:type="dxa"/>
          </w:tcPr>
          <w:p w:rsidR="00083F05" w:rsidRPr="005D6ECA" w:rsidRDefault="00083F05" w:rsidP="00994A71">
            <w:pPr>
              <w:pStyle w:val="TableText0"/>
              <w:keepLines/>
              <w:spacing w:before="0" w:after="0"/>
              <w:jc w:val="center"/>
            </w:pPr>
            <w:r w:rsidRPr="005D6ECA">
              <w:t>-2 (-12, 2)</w:t>
            </w:r>
          </w:p>
        </w:tc>
      </w:tr>
      <w:tr w:rsidR="00083F05" w:rsidRPr="00D33691" w:rsidTr="00994A71">
        <w:tc>
          <w:tcPr>
            <w:tcW w:w="5098" w:type="dxa"/>
          </w:tcPr>
          <w:p w:rsidR="00083F05" w:rsidRPr="00D33691" w:rsidRDefault="00083F05" w:rsidP="00994A71">
            <w:pPr>
              <w:pStyle w:val="TableText0"/>
              <w:keepLines/>
              <w:spacing w:before="0" w:after="0"/>
            </w:pPr>
            <w:r w:rsidRPr="00D33691">
              <w:t>Septic shock</w:t>
            </w:r>
          </w:p>
        </w:tc>
        <w:tc>
          <w:tcPr>
            <w:tcW w:w="1306" w:type="dxa"/>
          </w:tcPr>
          <w:p w:rsidR="00083F05" w:rsidRPr="00D33691" w:rsidRDefault="00083F05" w:rsidP="00994A71">
            <w:pPr>
              <w:pStyle w:val="TableText0"/>
              <w:keepLines/>
              <w:spacing w:before="0" w:after="0"/>
              <w:jc w:val="center"/>
            </w:pPr>
            <w:r w:rsidRPr="00D33691">
              <w:t>0</w:t>
            </w:r>
          </w:p>
        </w:tc>
        <w:tc>
          <w:tcPr>
            <w:tcW w:w="1306" w:type="dxa"/>
          </w:tcPr>
          <w:p w:rsidR="00083F05" w:rsidRPr="00D33691" w:rsidRDefault="00083F05" w:rsidP="00994A71">
            <w:pPr>
              <w:pStyle w:val="TableText0"/>
              <w:keepLines/>
              <w:spacing w:before="0" w:after="0"/>
              <w:jc w:val="center"/>
            </w:pPr>
            <w:r w:rsidRPr="00D33691">
              <w:t>1 (2.3)**</w:t>
            </w:r>
          </w:p>
        </w:tc>
        <w:tc>
          <w:tcPr>
            <w:tcW w:w="1307" w:type="dxa"/>
          </w:tcPr>
          <w:p w:rsidR="00083F05" w:rsidRPr="005D6ECA" w:rsidRDefault="00083F05" w:rsidP="00994A71">
            <w:pPr>
              <w:pStyle w:val="TableText0"/>
              <w:keepLines/>
              <w:spacing w:before="0" w:after="0"/>
              <w:jc w:val="center"/>
            </w:pPr>
            <w:r w:rsidRPr="005D6ECA">
              <w:t>-2 (-12, 2)</w:t>
            </w:r>
          </w:p>
        </w:tc>
      </w:tr>
    </w:tbl>
    <w:p w:rsidR="00083F05" w:rsidRPr="00D33691" w:rsidRDefault="00083F05" w:rsidP="00083F05">
      <w:pPr>
        <w:pStyle w:val="TableFooter"/>
      </w:pPr>
      <w:r w:rsidRPr="00D33691">
        <w:t>Source: Table 2-17, pp77-78 of the submission.</w:t>
      </w:r>
    </w:p>
    <w:p w:rsidR="00083F05" w:rsidRPr="00D33691" w:rsidRDefault="00083F05" w:rsidP="00083F05">
      <w:pPr>
        <w:pStyle w:val="TableFooter"/>
      </w:pPr>
      <w:r w:rsidRPr="00D33691">
        <w:t>SAE: serious adverse event; QD: once a day; TEAE: treatment-emergent adverse event</w:t>
      </w:r>
    </w:p>
    <w:p w:rsidR="00083F05" w:rsidRPr="00D33691" w:rsidRDefault="00083F05" w:rsidP="00083F05">
      <w:pPr>
        <w:pStyle w:val="TableFooter"/>
      </w:pPr>
      <w:r w:rsidRPr="00D33691">
        <w:t>* 44 patients randomised to placebo yet one did not receive treatment</w:t>
      </w:r>
    </w:p>
    <w:p w:rsidR="00083F05" w:rsidRDefault="00083F05" w:rsidP="00083F05">
      <w:pPr>
        <w:pStyle w:val="TableFooter"/>
      </w:pPr>
      <w:r w:rsidRPr="00D33691">
        <w:t>** Pulmonary oedema and septic shock were reported in the same patient</w:t>
      </w:r>
    </w:p>
    <w:p w:rsidR="00083F05" w:rsidRDefault="00083F05" w:rsidP="00083F05">
      <w:pPr>
        <w:pStyle w:val="TableFooter"/>
      </w:pPr>
      <w:r>
        <w:t xml:space="preserve">*** calculated during evaluation using </w:t>
      </w:r>
      <w:r w:rsidR="00F81D5A">
        <w:t>StatsDirect</w:t>
      </w:r>
      <w:r>
        <w:t xml:space="preserve"> v3.3.4</w:t>
      </w:r>
    </w:p>
    <w:p w:rsidR="00083F05" w:rsidRPr="00D33691" w:rsidRDefault="00083F05" w:rsidP="00083F05">
      <w:pPr>
        <w:pStyle w:val="TableFooter"/>
      </w:pPr>
      <w:r>
        <w:t xml:space="preserve">Text in bold indicates statistically significant differences </w:t>
      </w:r>
    </w:p>
    <w:p w:rsidR="00083F05" w:rsidRPr="00D33691" w:rsidRDefault="00083F05" w:rsidP="00083F05">
      <w:pPr>
        <w:pStyle w:val="TableFooter"/>
      </w:pPr>
      <w:r w:rsidRPr="00D33691">
        <w:t>Note: One treatment-emergent “FEVER” which misses severity grade is summarised as grade 3 (“severe”). TEAEs occurring during the double-blind treatment period are summarised by treatment arms. Incidences are based on the number of patients who initially received placebo or ripretinib 150 mg QD.</w:t>
      </w:r>
    </w:p>
    <w:p w:rsidR="00083F05" w:rsidRPr="00B32048" w:rsidRDefault="00083F05" w:rsidP="00083F05">
      <w:pPr>
        <w:keepNext/>
      </w:pPr>
    </w:p>
    <w:p w:rsidR="00083F05" w:rsidRDefault="00083F05" w:rsidP="00DF1F9F">
      <w:pPr>
        <w:pStyle w:val="ListParagraph"/>
        <w:keepNext/>
        <w:keepLines/>
        <w:widowControl/>
        <w:numPr>
          <w:ilvl w:val="1"/>
          <w:numId w:val="2"/>
        </w:numPr>
      </w:pPr>
      <w:r>
        <w:t xml:space="preserve">A summary of specific adverse events is presented in </w:t>
      </w:r>
      <w:r w:rsidR="00850223">
        <w:t xml:space="preserve">Table </w:t>
      </w:r>
      <w:r w:rsidR="00081210">
        <w:t>8</w:t>
      </w:r>
      <w:r>
        <w:t>.</w:t>
      </w:r>
    </w:p>
    <w:p w:rsidR="00083F05" w:rsidRPr="00D33691" w:rsidRDefault="00083F05" w:rsidP="00DF1F9F">
      <w:pPr>
        <w:keepNext/>
        <w:keepLines/>
        <w:rPr>
          <w:rStyle w:val="CommentReference"/>
        </w:rPr>
      </w:pPr>
      <w:bookmarkStart w:id="21" w:name="_Ref58426317"/>
      <w:r>
        <w:rPr>
          <w:rStyle w:val="CommentReference"/>
          <w:lang w:val="en-GB"/>
        </w:rPr>
        <w:t xml:space="preserve">Table </w:t>
      </w:r>
      <w:bookmarkEnd w:id="21"/>
      <w:r w:rsidR="00081210">
        <w:rPr>
          <w:rStyle w:val="CommentReference"/>
        </w:rPr>
        <w:t>8</w:t>
      </w:r>
      <w:r>
        <w:rPr>
          <w:rStyle w:val="CommentReference"/>
        </w:rPr>
        <w:t>:</w:t>
      </w:r>
      <w:r w:rsidRPr="00C762E1">
        <w:rPr>
          <w:rStyle w:val="CommentReference"/>
        </w:rPr>
        <w:t xml:space="preserve"> </w:t>
      </w:r>
      <w:r w:rsidRPr="00D33691">
        <w:rPr>
          <w:rStyle w:val="CommentReference"/>
        </w:rPr>
        <w:t>TEAEs in &gt;10% of patients in the ripretinib group vs placebo – double-blind period (safety population)</w:t>
      </w:r>
    </w:p>
    <w:tbl>
      <w:tblPr>
        <w:tblStyle w:val="TableGrid"/>
        <w:tblW w:w="9017" w:type="dxa"/>
        <w:tblLook w:val="04A0" w:firstRow="1" w:lastRow="0" w:firstColumn="1" w:lastColumn="0" w:noHBand="0" w:noVBand="1"/>
        <w:tblCaption w:val="Table 8: TEAEs in &gt;10% of patients in the ripretinib group vs placebo – double-blind period (safety population)"/>
      </w:tblPr>
      <w:tblGrid>
        <w:gridCol w:w="1570"/>
        <w:gridCol w:w="1260"/>
        <w:gridCol w:w="993"/>
        <w:gridCol w:w="1330"/>
        <w:gridCol w:w="1210"/>
        <w:gridCol w:w="1287"/>
        <w:gridCol w:w="1367"/>
      </w:tblGrid>
      <w:tr w:rsidR="00083F05" w:rsidRPr="00B25391" w:rsidTr="00E45C8E">
        <w:trPr>
          <w:trHeight w:val="521"/>
          <w:tblHeader/>
        </w:trPr>
        <w:tc>
          <w:tcPr>
            <w:tcW w:w="1570" w:type="dxa"/>
          </w:tcPr>
          <w:p w:rsidR="00083F05" w:rsidRPr="00B25391" w:rsidRDefault="00083F05" w:rsidP="00DF1F9F">
            <w:pPr>
              <w:pStyle w:val="TableText0"/>
              <w:keepLines/>
              <w:spacing w:before="0" w:after="0"/>
              <w:rPr>
                <w:b/>
                <w:sz w:val="18"/>
                <w:szCs w:val="18"/>
              </w:rPr>
            </w:pPr>
            <w:r w:rsidRPr="00B25391">
              <w:rPr>
                <w:b/>
                <w:sz w:val="18"/>
                <w:szCs w:val="18"/>
              </w:rPr>
              <w:t>TEAE, n (%)</w:t>
            </w:r>
          </w:p>
        </w:tc>
        <w:tc>
          <w:tcPr>
            <w:tcW w:w="1260" w:type="dxa"/>
          </w:tcPr>
          <w:p w:rsidR="00083F05" w:rsidRPr="00B25391" w:rsidRDefault="00083F05" w:rsidP="00DF1F9F">
            <w:pPr>
              <w:pStyle w:val="TableText0"/>
              <w:keepLines/>
              <w:spacing w:before="0" w:after="0"/>
              <w:jc w:val="center"/>
              <w:rPr>
                <w:b/>
                <w:sz w:val="18"/>
                <w:szCs w:val="18"/>
              </w:rPr>
            </w:pPr>
            <w:r w:rsidRPr="00B25391">
              <w:rPr>
                <w:b/>
                <w:sz w:val="18"/>
                <w:szCs w:val="18"/>
              </w:rPr>
              <w:t>Ripretinib 150 mg QD any grade (n=85)</w:t>
            </w:r>
          </w:p>
        </w:tc>
        <w:tc>
          <w:tcPr>
            <w:tcW w:w="993" w:type="dxa"/>
          </w:tcPr>
          <w:p w:rsidR="00083F05" w:rsidRPr="00B25391" w:rsidRDefault="00083F05" w:rsidP="00DF1F9F">
            <w:pPr>
              <w:pStyle w:val="TableText0"/>
              <w:keepLines/>
              <w:spacing w:before="0" w:after="0"/>
              <w:jc w:val="center"/>
              <w:rPr>
                <w:b/>
                <w:sz w:val="18"/>
                <w:szCs w:val="18"/>
              </w:rPr>
            </w:pPr>
            <w:r w:rsidRPr="00B25391">
              <w:rPr>
                <w:b/>
                <w:sz w:val="18"/>
                <w:szCs w:val="18"/>
              </w:rPr>
              <w:t>Placebo any grade (n=43)*</w:t>
            </w:r>
          </w:p>
        </w:tc>
        <w:tc>
          <w:tcPr>
            <w:tcW w:w="1330" w:type="dxa"/>
          </w:tcPr>
          <w:p w:rsidR="00083F05" w:rsidRPr="00B25391" w:rsidRDefault="00083F05" w:rsidP="00DF1F9F">
            <w:pPr>
              <w:pStyle w:val="TableText0"/>
              <w:keepLines/>
              <w:spacing w:before="0" w:after="0"/>
              <w:jc w:val="center"/>
              <w:rPr>
                <w:b/>
                <w:sz w:val="18"/>
                <w:szCs w:val="18"/>
              </w:rPr>
            </w:pPr>
            <w:r w:rsidRPr="00B25391">
              <w:rPr>
                <w:b/>
                <w:sz w:val="18"/>
                <w:szCs w:val="18"/>
              </w:rPr>
              <w:t>Risk difference % (95%CI) ***</w:t>
            </w:r>
          </w:p>
        </w:tc>
        <w:tc>
          <w:tcPr>
            <w:tcW w:w="1210" w:type="dxa"/>
          </w:tcPr>
          <w:p w:rsidR="00083F05" w:rsidRPr="00B25391" w:rsidRDefault="00083F05" w:rsidP="00DF1F9F">
            <w:pPr>
              <w:pStyle w:val="TableText0"/>
              <w:keepLines/>
              <w:spacing w:before="0" w:after="0"/>
              <w:jc w:val="center"/>
              <w:rPr>
                <w:b/>
                <w:sz w:val="18"/>
                <w:szCs w:val="18"/>
              </w:rPr>
            </w:pPr>
            <w:r w:rsidRPr="00B25391">
              <w:rPr>
                <w:b/>
                <w:sz w:val="18"/>
                <w:szCs w:val="18"/>
              </w:rPr>
              <w:t>Ripretinib 150 mg QD grade 3/4 (n=85)</w:t>
            </w:r>
            <w:r w:rsidRPr="00B25391">
              <w:rPr>
                <w:b/>
                <w:sz w:val="18"/>
                <w:szCs w:val="18"/>
                <w:vertAlign w:val="superscript"/>
              </w:rPr>
              <w:t>†</w:t>
            </w:r>
          </w:p>
        </w:tc>
        <w:tc>
          <w:tcPr>
            <w:tcW w:w="1287" w:type="dxa"/>
          </w:tcPr>
          <w:p w:rsidR="00083F05" w:rsidRPr="00B25391" w:rsidRDefault="00083F05" w:rsidP="00DF1F9F">
            <w:pPr>
              <w:pStyle w:val="TableText0"/>
              <w:keepLines/>
              <w:spacing w:before="0" w:after="0"/>
              <w:jc w:val="center"/>
              <w:rPr>
                <w:b/>
                <w:sz w:val="18"/>
                <w:szCs w:val="18"/>
              </w:rPr>
            </w:pPr>
            <w:r w:rsidRPr="00B25391">
              <w:rPr>
                <w:b/>
                <w:sz w:val="18"/>
                <w:szCs w:val="18"/>
              </w:rPr>
              <w:t>Placebo grade 3/4 (n=43)*</w:t>
            </w:r>
            <w:r w:rsidRPr="00B25391">
              <w:rPr>
                <w:b/>
                <w:sz w:val="18"/>
                <w:szCs w:val="18"/>
                <w:vertAlign w:val="superscript"/>
              </w:rPr>
              <w:t>†</w:t>
            </w:r>
          </w:p>
        </w:tc>
        <w:tc>
          <w:tcPr>
            <w:tcW w:w="1367" w:type="dxa"/>
          </w:tcPr>
          <w:p w:rsidR="00083F05" w:rsidRPr="00B25391" w:rsidRDefault="00083F05" w:rsidP="00DF1F9F">
            <w:pPr>
              <w:pStyle w:val="TableText0"/>
              <w:keepLines/>
              <w:spacing w:before="0" w:after="0"/>
              <w:jc w:val="center"/>
              <w:rPr>
                <w:b/>
                <w:sz w:val="18"/>
                <w:szCs w:val="18"/>
              </w:rPr>
            </w:pPr>
            <w:r w:rsidRPr="00B25391">
              <w:rPr>
                <w:b/>
                <w:sz w:val="18"/>
                <w:szCs w:val="18"/>
              </w:rPr>
              <w:t>Risk difference % (95%CI) ***</w:t>
            </w:r>
          </w:p>
        </w:tc>
      </w:tr>
      <w:tr w:rsidR="00083F05" w:rsidRPr="00B25391" w:rsidTr="00994A71">
        <w:trPr>
          <w:trHeight w:val="185"/>
        </w:trPr>
        <w:tc>
          <w:tcPr>
            <w:tcW w:w="1570" w:type="dxa"/>
          </w:tcPr>
          <w:p w:rsidR="00083F05" w:rsidRPr="00B25391" w:rsidRDefault="00083F05" w:rsidP="00DF1F9F">
            <w:pPr>
              <w:pStyle w:val="TableText0"/>
              <w:keepLines/>
              <w:spacing w:before="0" w:after="0"/>
              <w:rPr>
                <w:sz w:val="18"/>
                <w:szCs w:val="18"/>
              </w:rPr>
            </w:pPr>
            <w:r w:rsidRPr="00B25391">
              <w:rPr>
                <w:sz w:val="18"/>
                <w:szCs w:val="18"/>
              </w:rPr>
              <w:t>Any TEAE or grade 3/4 TEAE**</w:t>
            </w:r>
          </w:p>
        </w:tc>
        <w:tc>
          <w:tcPr>
            <w:tcW w:w="1260" w:type="dxa"/>
            <w:vAlign w:val="center"/>
          </w:tcPr>
          <w:p w:rsidR="00083F05" w:rsidRPr="00B25391" w:rsidRDefault="00083F05" w:rsidP="00DF1F9F">
            <w:pPr>
              <w:pStyle w:val="TableText0"/>
              <w:keepLines/>
              <w:spacing w:before="0" w:after="0"/>
              <w:jc w:val="center"/>
              <w:rPr>
                <w:sz w:val="18"/>
                <w:szCs w:val="18"/>
              </w:rPr>
            </w:pPr>
            <w:r w:rsidRPr="00B25391">
              <w:rPr>
                <w:sz w:val="18"/>
                <w:szCs w:val="18"/>
              </w:rPr>
              <w:t>84 (98.8)</w:t>
            </w:r>
          </w:p>
        </w:tc>
        <w:tc>
          <w:tcPr>
            <w:tcW w:w="993" w:type="dxa"/>
            <w:vAlign w:val="center"/>
          </w:tcPr>
          <w:p w:rsidR="00083F05" w:rsidRPr="00B25391" w:rsidRDefault="00083F05" w:rsidP="00DF1F9F">
            <w:pPr>
              <w:pStyle w:val="TableText0"/>
              <w:keepLines/>
              <w:spacing w:before="0" w:after="0"/>
              <w:jc w:val="center"/>
              <w:rPr>
                <w:sz w:val="18"/>
                <w:szCs w:val="18"/>
              </w:rPr>
            </w:pPr>
            <w:r w:rsidRPr="00B25391">
              <w:rPr>
                <w:sz w:val="18"/>
                <w:szCs w:val="18"/>
              </w:rPr>
              <w:t>42 (97.7%)</w:t>
            </w:r>
          </w:p>
        </w:tc>
        <w:tc>
          <w:tcPr>
            <w:tcW w:w="1330"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1.1 (-4.4, 11)</w:t>
            </w:r>
          </w:p>
        </w:tc>
        <w:tc>
          <w:tcPr>
            <w:tcW w:w="1210"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42 (49.4%)</w:t>
            </w:r>
          </w:p>
        </w:tc>
        <w:tc>
          <w:tcPr>
            <w:tcW w:w="1287"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19 (44.2%)</w:t>
            </w:r>
          </w:p>
        </w:tc>
        <w:tc>
          <w:tcPr>
            <w:tcW w:w="1367"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5.3 (-13.0, 22.9)</w:t>
            </w:r>
          </w:p>
        </w:tc>
      </w:tr>
      <w:tr w:rsidR="00083F05" w:rsidRPr="00B25391" w:rsidTr="00994A71">
        <w:trPr>
          <w:trHeight w:val="135"/>
        </w:trPr>
        <w:tc>
          <w:tcPr>
            <w:tcW w:w="1570" w:type="dxa"/>
          </w:tcPr>
          <w:p w:rsidR="00083F05" w:rsidRPr="00B25391" w:rsidRDefault="00083F05" w:rsidP="00DF1F9F">
            <w:pPr>
              <w:pStyle w:val="TableText0"/>
              <w:keepLines/>
              <w:spacing w:before="0" w:after="0"/>
              <w:rPr>
                <w:sz w:val="18"/>
                <w:szCs w:val="18"/>
              </w:rPr>
            </w:pPr>
            <w:r w:rsidRPr="00B25391">
              <w:rPr>
                <w:sz w:val="18"/>
                <w:szCs w:val="18"/>
              </w:rPr>
              <w:t>Alopecia</w:t>
            </w:r>
          </w:p>
        </w:tc>
        <w:tc>
          <w:tcPr>
            <w:tcW w:w="1260" w:type="dxa"/>
            <w:vAlign w:val="center"/>
          </w:tcPr>
          <w:p w:rsidR="00083F05" w:rsidRPr="00B25391" w:rsidRDefault="00083F05" w:rsidP="00DF1F9F">
            <w:pPr>
              <w:pStyle w:val="TableText0"/>
              <w:keepLines/>
              <w:spacing w:before="0" w:after="0"/>
              <w:jc w:val="center"/>
              <w:rPr>
                <w:sz w:val="18"/>
                <w:szCs w:val="18"/>
              </w:rPr>
            </w:pPr>
            <w:r w:rsidRPr="00B25391">
              <w:rPr>
                <w:sz w:val="18"/>
                <w:szCs w:val="18"/>
              </w:rPr>
              <w:t>44 (51.8)</w:t>
            </w:r>
          </w:p>
        </w:tc>
        <w:tc>
          <w:tcPr>
            <w:tcW w:w="993" w:type="dxa"/>
            <w:vAlign w:val="center"/>
          </w:tcPr>
          <w:p w:rsidR="00083F05" w:rsidRPr="00B25391" w:rsidRDefault="00083F05" w:rsidP="00DF1F9F">
            <w:pPr>
              <w:pStyle w:val="TableText0"/>
              <w:keepLines/>
              <w:spacing w:before="0" w:after="0"/>
              <w:jc w:val="center"/>
              <w:rPr>
                <w:sz w:val="18"/>
                <w:szCs w:val="18"/>
              </w:rPr>
            </w:pPr>
            <w:r w:rsidRPr="00B25391">
              <w:rPr>
                <w:sz w:val="18"/>
                <w:szCs w:val="18"/>
              </w:rPr>
              <w:t>2 (4.7)</w:t>
            </w:r>
          </w:p>
        </w:tc>
        <w:tc>
          <w:tcPr>
            <w:tcW w:w="1330" w:type="dxa"/>
            <w:vAlign w:val="center"/>
          </w:tcPr>
          <w:p w:rsidR="00083F05" w:rsidRPr="00200039" w:rsidRDefault="00083F05" w:rsidP="00DF1F9F">
            <w:pPr>
              <w:pStyle w:val="TableText0"/>
              <w:keepLines/>
              <w:spacing w:before="0" w:after="0"/>
              <w:jc w:val="center"/>
              <w:rPr>
                <w:b/>
                <w:sz w:val="18"/>
                <w:szCs w:val="18"/>
              </w:rPr>
            </w:pPr>
            <w:r w:rsidRPr="00200039">
              <w:rPr>
                <w:b/>
                <w:sz w:val="18"/>
                <w:szCs w:val="18"/>
              </w:rPr>
              <w:t>47.1 (33, 58.6)</w:t>
            </w:r>
          </w:p>
        </w:tc>
        <w:tc>
          <w:tcPr>
            <w:tcW w:w="1210"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0</w:t>
            </w:r>
          </w:p>
        </w:tc>
        <w:tc>
          <w:tcPr>
            <w:tcW w:w="1287"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0</w:t>
            </w:r>
          </w:p>
        </w:tc>
        <w:tc>
          <w:tcPr>
            <w:tcW w:w="1367"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0 (-8.3, 4.4)</w:t>
            </w:r>
          </w:p>
        </w:tc>
      </w:tr>
      <w:tr w:rsidR="00083F05" w:rsidRPr="00B25391" w:rsidTr="00994A71">
        <w:trPr>
          <w:trHeight w:val="163"/>
        </w:trPr>
        <w:tc>
          <w:tcPr>
            <w:tcW w:w="1570" w:type="dxa"/>
          </w:tcPr>
          <w:p w:rsidR="00083F05" w:rsidRPr="00B25391" w:rsidRDefault="00083F05" w:rsidP="00DF1F9F">
            <w:pPr>
              <w:pStyle w:val="TableText0"/>
              <w:keepLines/>
              <w:spacing w:before="0" w:after="0"/>
              <w:rPr>
                <w:sz w:val="18"/>
                <w:szCs w:val="18"/>
              </w:rPr>
            </w:pPr>
            <w:r w:rsidRPr="00B25391">
              <w:rPr>
                <w:sz w:val="18"/>
                <w:szCs w:val="18"/>
              </w:rPr>
              <w:t>Fatigue</w:t>
            </w:r>
          </w:p>
        </w:tc>
        <w:tc>
          <w:tcPr>
            <w:tcW w:w="1260" w:type="dxa"/>
            <w:vAlign w:val="center"/>
          </w:tcPr>
          <w:p w:rsidR="00083F05" w:rsidRPr="00B25391" w:rsidRDefault="00083F05" w:rsidP="00DF1F9F">
            <w:pPr>
              <w:pStyle w:val="TableText0"/>
              <w:keepLines/>
              <w:spacing w:before="0" w:after="0"/>
              <w:jc w:val="center"/>
              <w:rPr>
                <w:sz w:val="18"/>
                <w:szCs w:val="18"/>
              </w:rPr>
            </w:pPr>
            <w:r w:rsidRPr="00B25391">
              <w:rPr>
                <w:sz w:val="18"/>
                <w:szCs w:val="18"/>
              </w:rPr>
              <w:t>36 (42.4)</w:t>
            </w:r>
          </w:p>
        </w:tc>
        <w:tc>
          <w:tcPr>
            <w:tcW w:w="993" w:type="dxa"/>
            <w:vAlign w:val="center"/>
          </w:tcPr>
          <w:p w:rsidR="00083F05" w:rsidRPr="00B25391" w:rsidRDefault="00083F05" w:rsidP="00DF1F9F">
            <w:pPr>
              <w:pStyle w:val="TableText0"/>
              <w:keepLines/>
              <w:spacing w:before="0" w:after="0"/>
              <w:jc w:val="center"/>
              <w:rPr>
                <w:sz w:val="18"/>
                <w:szCs w:val="18"/>
              </w:rPr>
            </w:pPr>
            <w:r w:rsidRPr="00B25391">
              <w:rPr>
                <w:sz w:val="18"/>
                <w:szCs w:val="18"/>
              </w:rPr>
              <w:t>10 (23.3)</w:t>
            </w:r>
          </w:p>
        </w:tc>
        <w:tc>
          <w:tcPr>
            <w:tcW w:w="1330" w:type="dxa"/>
            <w:vAlign w:val="center"/>
          </w:tcPr>
          <w:p w:rsidR="00083F05" w:rsidRPr="00200039" w:rsidRDefault="00083F05" w:rsidP="00DF1F9F">
            <w:pPr>
              <w:pStyle w:val="TableText0"/>
              <w:keepLines/>
              <w:spacing w:before="0" w:after="0"/>
              <w:jc w:val="center"/>
              <w:rPr>
                <w:b/>
                <w:sz w:val="18"/>
                <w:szCs w:val="18"/>
              </w:rPr>
            </w:pPr>
            <w:r w:rsidRPr="00200039">
              <w:rPr>
                <w:b/>
                <w:sz w:val="18"/>
                <w:szCs w:val="18"/>
              </w:rPr>
              <w:t>19.1 (1.5, 34.3)</w:t>
            </w:r>
          </w:p>
        </w:tc>
        <w:tc>
          <w:tcPr>
            <w:tcW w:w="1210"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3 (3.5)</w:t>
            </w:r>
          </w:p>
        </w:tc>
        <w:tc>
          <w:tcPr>
            <w:tcW w:w="1287"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1 (2.3)</w:t>
            </w:r>
          </w:p>
        </w:tc>
        <w:tc>
          <w:tcPr>
            <w:tcW w:w="1367"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1.2 (-8.9, 8.0)</w:t>
            </w:r>
          </w:p>
        </w:tc>
      </w:tr>
      <w:tr w:rsidR="00083F05" w:rsidRPr="00B25391" w:rsidTr="00994A71">
        <w:trPr>
          <w:trHeight w:val="199"/>
        </w:trPr>
        <w:tc>
          <w:tcPr>
            <w:tcW w:w="1570" w:type="dxa"/>
          </w:tcPr>
          <w:p w:rsidR="00083F05" w:rsidRPr="00B25391" w:rsidRDefault="00083F05" w:rsidP="00DF1F9F">
            <w:pPr>
              <w:pStyle w:val="TableText0"/>
              <w:keepLines/>
              <w:spacing w:before="0" w:after="0"/>
              <w:rPr>
                <w:sz w:val="18"/>
                <w:szCs w:val="18"/>
              </w:rPr>
            </w:pPr>
            <w:r w:rsidRPr="00B25391">
              <w:rPr>
                <w:sz w:val="18"/>
                <w:szCs w:val="18"/>
              </w:rPr>
              <w:t>Nausea</w:t>
            </w:r>
          </w:p>
        </w:tc>
        <w:tc>
          <w:tcPr>
            <w:tcW w:w="1260" w:type="dxa"/>
            <w:vAlign w:val="center"/>
          </w:tcPr>
          <w:p w:rsidR="00083F05" w:rsidRPr="00B25391" w:rsidRDefault="00083F05" w:rsidP="00DF1F9F">
            <w:pPr>
              <w:pStyle w:val="TableText0"/>
              <w:keepLines/>
              <w:spacing w:before="0" w:after="0"/>
              <w:jc w:val="center"/>
              <w:rPr>
                <w:sz w:val="18"/>
                <w:szCs w:val="18"/>
              </w:rPr>
            </w:pPr>
            <w:r w:rsidRPr="00B25391">
              <w:rPr>
                <w:sz w:val="18"/>
                <w:szCs w:val="18"/>
              </w:rPr>
              <w:t>33 (38.8)</w:t>
            </w:r>
          </w:p>
        </w:tc>
        <w:tc>
          <w:tcPr>
            <w:tcW w:w="993" w:type="dxa"/>
            <w:vAlign w:val="center"/>
          </w:tcPr>
          <w:p w:rsidR="00083F05" w:rsidRPr="00B25391" w:rsidRDefault="00083F05" w:rsidP="00DF1F9F">
            <w:pPr>
              <w:pStyle w:val="TableText0"/>
              <w:keepLines/>
              <w:spacing w:before="0" w:after="0"/>
              <w:jc w:val="center"/>
              <w:rPr>
                <w:sz w:val="18"/>
                <w:szCs w:val="18"/>
              </w:rPr>
            </w:pPr>
            <w:r w:rsidRPr="00B25391">
              <w:rPr>
                <w:sz w:val="18"/>
                <w:szCs w:val="18"/>
              </w:rPr>
              <w:t>5 (11.6)</w:t>
            </w:r>
          </w:p>
        </w:tc>
        <w:tc>
          <w:tcPr>
            <w:tcW w:w="1330" w:type="dxa"/>
            <w:vAlign w:val="center"/>
          </w:tcPr>
          <w:p w:rsidR="00083F05" w:rsidRPr="00200039" w:rsidRDefault="00083F05" w:rsidP="00DF1F9F">
            <w:pPr>
              <w:pStyle w:val="TableText0"/>
              <w:keepLines/>
              <w:spacing w:before="0" w:after="0"/>
              <w:jc w:val="center"/>
              <w:rPr>
                <w:b/>
                <w:sz w:val="18"/>
                <w:szCs w:val="18"/>
              </w:rPr>
            </w:pPr>
            <w:r w:rsidRPr="00200039">
              <w:rPr>
                <w:b/>
                <w:sz w:val="18"/>
                <w:szCs w:val="18"/>
              </w:rPr>
              <w:t>27.2 (11.4, 40.3)</w:t>
            </w:r>
          </w:p>
        </w:tc>
        <w:tc>
          <w:tcPr>
            <w:tcW w:w="1210"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3 (3.5)</w:t>
            </w:r>
          </w:p>
        </w:tc>
        <w:tc>
          <w:tcPr>
            <w:tcW w:w="1287"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0</w:t>
            </w:r>
          </w:p>
        </w:tc>
        <w:tc>
          <w:tcPr>
            <w:tcW w:w="1367"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3.5 (-4.8, 9.9)</w:t>
            </w:r>
          </w:p>
        </w:tc>
      </w:tr>
      <w:tr w:rsidR="00083F05" w:rsidRPr="00B25391" w:rsidTr="00994A71">
        <w:trPr>
          <w:trHeight w:val="92"/>
        </w:trPr>
        <w:tc>
          <w:tcPr>
            <w:tcW w:w="1570" w:type="dxa"/>
          </w:tcPr>
          <w:p w:rsidR="00083F05" w:rsidRPr="00B25391" w:rsidRDefault="00083F05" w:rsidP="00DF1F9F">
            <w:pPr>
              <w:pStyle w:val="TableText0"/>
              <w:keepLines/>
              <w:spacing w:before="0" w:after="0"/>
              <w:rPr>
                <w:sz w:val="18"/>
                <w:szCs w:val="18"/>
              </w:rPr>
            </w:pPr>
            <w:r w:rsidRPr="00B25391">
              <w:rPr>
                <w:sz w:val="18"/>
                <w:szCs w:val="18"/>
              </w:rPr>
              <w:t>Myalgia</w:t>
            </w:r>
          </w:p>
        </w:tc>
        <w:tc>
          <w:tcPr>
            <w:tcW w:w="1260" w:type="dxa"/>
            <w:vAlign w:val="center"/>
          </w:tcPr>
          <w:p w:rsidR="00083F05" w:rsidRPr="00B25391" w:rsidRDefault="00083F05" w:rsidP="00DF1F9F">
            <w:pPr>
              <w:pStyle w:val="TableText0"/>
              <w:keepLines/>
              <w:spacing w:before="0" w:after="0"/>
              <w:jc w:val="center"/>
              <w:rPr>
                <w:sz w:val="18"/>
                <w:szCs w:val="18"/>
              </w:rPr>
            </w:pPr>
            <w:r w:rsidRPr="00B25391">
              <w:rPr>
                <w:sz w:val="18"/>
                <w:szCs w:val="18"/>
              </w:rPr>
              <w:t>27 (31.8)</w:t>
            </w:r>
          </w:p>
        </w:tc>
        <w:tc>
          <w:tcPr>
            <w:tcW w:w="993" w:type="dxa"/>
            <w:vAlign w:val="center"/>
          </w:tcPr>
          <w:p w:rsidR="00083F05" w:rsidRPr="00B25391" w:rsidRDefault="00083F05" w:rsidP="00DF1F9F">
            <w:pPr>
              <w:pStyle w:val="TableText0"/>
              <w:keepLines/>
              <w:spacing w:before="0" w:after="0"/>
              <w:jc w:val="center"/>
              <w:rPr>
                <w:sz w:val="18"/>
                <w:szCs w:val="18"/>
              </w:rPr>
            </w:pPr>
            <w:r w:rsidRPr="00B25391">
              <w:rPr>
                <w:sz w:val="18"/>
                <w:szCs w:val="18"/>
              </w:rPr>
              <w:t>5 (11.6)</w:t>
            </w:r>
          </w:p>
        </w:tc>
        <w:tc>
          <w:tcPr>
            <w:tcW w:w="1330" w:type="dxa"/>
            <w:vAlign w:val="center"/>
          </w:tcPr>
          <w:p w:rsidR="00083F05" w:rsidRPr="00200039" w:rsidRDefault="00083F05" w:rsidP="00DF1F9F">
            <w:pPr>
              <w:pStyle w:val="TableText0"/>
              <w:keepLines/>
              <w:spacing w:before="0" w:after="0"/>
              <w:jc w:val="center"/>
              <w:rPr>
                <w:b/>
                <w:sz w:val="18"/>
                <w:szCs w:val="18"/>
              </w:rPr>
            </w:pPr>
            <w:r w:rsidRPr="00200039">
              <w:rPr>
                <w:b/>
                <w:sz w:val="18"/>
                <w:szCs w:val="18"/>
              </w:rPr>
              <w:t>20.1 (4.7, 33.1)</w:t>
            </w:r>
          </w:p>
        </w:tc>
        <w:tc>
          <w:tcPr>
            <w:tcW w:w="1210"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1 (1.2)</w:t>
            </w:r>
          </w:p>
        </w:tc>
        <w:tc>
          <w:tcPr>
            <w:tcW w:w="1287"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0</w:t>
            </w:r>
          </w:p>
        </w:tc>
        <w:tc>
          <w:tcPr>
            <w:tcW w:w="1367"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1.2 (-7.1, 6.4)</w:t>
            </w:r>
          </w:p>
        </w:tc>
      </w:tr>
      <w:tr w:rsidR="00083F05" w:rsidRPr="00B25391" w:rsidTr="00994A71">
        <w:trPr>
          <w:trHeight w:val="149"/>
        </w:trPr>
        <w:tc>
          <w:tcPr>
            <w:tcW w:w="1570" w:type="dxa"/>
          </w:tcPr>
          <w:p w:rsidR="00083F05" w:rsidRPr="00B25391" w:rsidRDefault="00083F05" w:rsidP="00DF1F9F">
            <w:pPr>
              <w:pStyle w:val="TableText0"/>
              <w:keepLines/>
              <w:spacing w:before="0" w:after="0"/>
              <w:rPr>
                <w:sz w:val="18"/>
                <w:szCs w:val="18"/>
              </w:rPr>
            </w:pPr>
            <w:r w:rsidRPr="00B25391">
              <w:rPr>
                <w:sz w:val="18"/>
                <w:szCs w:val="18"/>
              </w:rPr>
              <w:t>PPES</w:t>
            </w:r>
          </w:p>
        </w:tc>
        <w:tc>
          <w:tcPr>
            <w:tcW w:w="1260" w:type="dxa"/>
            <w:vAlign w:val="center"/>
          </w:tcPr>
          <w:p w:rsidR="00083F05" w:rsidRPr="00B25391" w:rsidRDefault="00083F05" w:rsidP="00DF1F9F">
            <w:pPr>
              <w:pStyle w:val="TableText0"/>
              <w:keepLines/>
              <w:spacing w:before="0" w:after="0"/>
              <w:jc w:val="center"/>
              <w:rPr>
                <w:sz w:val="18"/>
                <w:szCs w:val="18"/>
              </w:rPr>
            </w:pPr>
            <w:r w:rsidRPr="00B25391">
              <w:rPr>
                <w:sz w:val="18"/>
                <w:szCs w:val="18"/>
              </w:rPr>
              <w:t>18 (21.2)</w:t>
            </w:r>
          </w:p>
        </w:tc>
        <w:tc>
          <w:tcPr>
            <w:tcW w:w="993" w:type="dxa"/>
            <w:vAlign w:val="center"/>
          </w:tcPr>
          <w:p w:rsidR="00083F05" w:rsidRPr="00B25391" w:rsidRDefault="00083F05" w:rsidP="00DF1F9F">
            <w:pPr>
              <w:pStyle w:val="TableText0"/>
              <w:keepLines/>
              <w:spacing w:before="0" w:after="0"/>
              <w:jc w:val="center"/>
              <w:rPr>
                <w:sz w:val="18"/>
                <w:szCs w:val="18"/>
              </w:rPr>
            </w:pPr>
            <w:r w:rsidRPr="00B25391">
              <w:rPr>
                <w:sz w:val="18"/>
                <w:szCs w:val="18"/>
              </w:rPr>
              <w:t>0</w:t>
            </w:r>
          </w:p>
        </w:tc>
        <w:tc>
          <w:tcPr>
            <w:tcW w:w="1330" w:type="dxa"/>
            <w:vAlign w:val="center"/>
          </w:tcPr>
          <w:p w:rsidR="00083F05" w:rsidRPr="00200039" w:rsidRDefault="00083F05" w:rsidP="00DF1F9F">
            <w:pPr>
              <w:pStyle w:val="TableText0"/>
              <w:keepLines/>
              <w:spacing w:before="0" w:after="0"/>
              <w:jc w:val="center"/>
              <w:rPr>
                <w:b/>
                <w:sz w:val="18"/>
                <w:szCs w:val="18"/>
              </w:rPr>
            </w:pPr>
            <w:r w:rsidRPr="00200039">
              <w:rPr>
                <w:b/>
                <w:sz w:val="18"/>
                <w:szCs w:val="18"/>
              </w:rPr>
              <w:t>21.2 (12.4, 31.1)</w:t>
            </w:r>
          </w:p>
        </w:tc>
        <w:tc>
          <w:tcPr>
            <w:tcW w:w="1210"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0</w:t>
            </w:r>
          </w:p>
        </w:tc>
        <w:tc>
          <w:tcPr>
            <w:tcW w:w="1287"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0</w:t>
            </w:r>
          </w:p>
        </w:tc>
        <w:tc>
          <w:tcPr>
            <w:tcW w:w="1367"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0 (-8.3, 4.4)</w:t>
            </w:r>
          </w:p>
        </w:tc>
      </w:tr>
      <w:tr w:rsidR="00083F05" w:rsidRPr="00B25391" w:rsidTr="00994A71">
        <w:trPr>
          <w:trHeight w:val="149"/>
        </w:trPr>
        <w:tc>
          <w:tcPr>
            <w:tcW w:w="1570" w:type="dxa"/>
          </w:tcPr>
          <w:p w:rsidR="00083F05" w:rsidRPr="00B25391" w:rsidRDefault="00083F05" w:rsidP="00DF1F9F">
            <w:pPr>
              <w:pStyle w:val="TableText0"/>
              <w:keepLines/>
              <w:spacing w:before="0" w:after="0"/>
              <w:rPr>
                <w:sz w:val="18"/>
                <w:szCs w:val="18"/>
              </w:rPr>
            </w:pPr>
            <w:r w:rsidRPr="00B25391">
              <w:rPr>
                <w:sz w:val="18"/>
                <w:szCs w:val="18"/>
              </w:rPr>
              <w:t>Vomiting</w:t>
            </w:r>
          </w:p>
        </w:tc>
        <w:tc>
          <w:tcPr>
            <w:tcW w:w="1260" w:type="dxa"/>
            <w:vAlign w:val="center"/>
          </w:tcPr>
          <w:p w:rsidR="00083F05" w:rsidRPr="00B25391" w:rsidRDefault="00083F05" w:rsidP="00DF1F9F">
            <w:pPr>
              <w:pStyle w:val="TableText0"/>
              <w:keepLines/>
              <w:spacing w:before="0" w:after="0"/>
              <w:jc w:val="center"/>
              <w:rPr>
                <w:sz w:val="18"/>
                <w:szCs w:val="18"/>
              </w:rPr>
            </w:pPr>
            <w:r w:rsidRPr="00B25391">
              <w:rPr>
                <w:sz w:val="18"/>
                <w:szCs w:val="18"/>
              </w:rPr>
              <w:t>18 (21.2)</w:t>
            </w:r>
          </w:p>
        </w:tc>
        <w:tc>
          <w:tcPr>
            <w:tcW w:w="993" w:type="dxa"/>
            <w:vAlign w:val="center"/>
          </w:tcPr>
          <w:p w:rsidR="00083F05" w:rsidRPr="00B25391" w:rsidRDefault="00083F05" w:rsidP="00DF1F9F">
            <w:pPr>
              <w:pStyle w:val="TableText0"/>
              <w:keepLines/>
              <w:spacing w:before="0" w:after="0"/>
              <w:jc w:val="center"/>
              <w:rPr>
                <w:sz w:val="18"/>
                <w:szCs w:val="18"/>
              </w:rPr>
            </w:pPr>
            <w:r w:rsidRPr="00B25391">
              <w:rPr>
                <w:sz w:val="18"/>
                <w:szCs w:val="18"/>
              </w:rPr>
              <w:t>3 (7.0)</w:t>
            </w:r>
          </w:p>
        </w:tc>
        <w:tc>
          <w:tcPr>
            <w:tcW w:w="1330" w:type="dxa"/>
            <w:vAlign w:val="center"/>
          </w:tcPr>
          <w:p w:rsidR="00083F05" w:rsidRPr="00200039" w:rsidRDefault="00083F05" w:rsidP="00DF1F9F">
            <w:pPr>
              <w:pStyle w:val="TableText0"/>
              <w:keepLines/>
              <w:spacing w:before="0" w:after="0"/>
              <w:jc w:val="center"/>
              <w:rPr>
                <w:b/>
                <w:sz w:val="18"/>
                <w:szCs w:val="18"/>
              </w:rPr>
            </w:pPr>
            <w:r w:rsidRPr="00200039">
              <w:rPr>
                <w:b/>
                <w:sz w:val="18"/>
                <w:szCs w:val="18"/>
              </w:rPr>
              <w:t>14.2 (0.7, 25.6)</w:t>
            </w:r>
          </w:p>
        </w:tc>
        <w:tc>
          <w:tcPr>
            <w:tcW w:w="1210"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3 (3.5)</w:t>
            </w:r>
          </w:p>
        </w:tc>
        <w:tc>
          <w:tcPr>
            <w:tcW w:w="1287"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0</w:t>
            </w:r>
          </w:p>
        </w:tc>
        <w:tc>
          <w:tcPr>
            <w:tcW w:w="1367"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3.5 (-4.8, 9.9)</w:t>
            </w:r>
          </w:p>
        </w:tc>
      </w:tr>
      <w:tr w:rsidR="00083F05" w:rsidRPr="00B25391" w:rsidTr="00994A71">
        <w:trPr>
          <w:trHeight w:val="206"/>
        </w:trPr>
        <w:tc>
          <w:tcPr>
            <w:tcW w:w="1570" w:type="dxa"/>
          </w:tcPr>
          <w:p w:rsidR="00083F05" w:rsidRPr="00B25391" w:rsidRDefault="00083F05" w:rsidP="00DF1F9F">
            <w:pPr>
              <w:pStyle w:val="TableText0"/>
              <w:keepLines/>
              <w:spacing w:before="0" w:after="0"/>
              <w:rPr>
                <w:sz w:val="18"/>
                <w:szCs w:val="18"/>
              </w:rPr>
            </w:pPr>
            <w:r w:rsidRPr="00B25391">
              <w:rPr>
                <w:sz w:val="18"/>
                <w:szCs w:val="18"/>
              </w:rPr>
              <w:t>Headache</w:t>
            </w:r>
          </w:p>
        </w:tc>
        <w:tc>
          <w:tcPr>
            <w:tcW w:w="1260" w:type="dxa"/>
            <w:vAlign w:val="center"/>
          </w:tcPr>
          <w:p w:rsidR="00083F05" w:rsidRPr="00B25391" w:rsidRDefault="00083F05" w:rsidP="00DF1F9F">
            <w:pPr>
              <w:pStyle w:val="TableText0"/>
              <w:keepLines/>
              <w:spacing w:before="0" w:after="0"/>
              <w:jc w:val="center"/>
              <w:rPr>
                <w:sz w:val="18"/>
                <w:szCs w:val="18"/>
              </w:rPr>
            </w:pPr>
            <w:r w:rsidRPr="00B25391">
              <w:rPr>
                <w:sz w:val="18"/>
                <w:szCs w:val="18"/>
              </w:rPr>
              <w:t>16 (18.8)</w:t>
            </w:r>
          </w:p>
        </w:tc>
        <w:tc>
          <w:tcPr>
            <w:tcW w:w="993" w:type="dxa"/>
            <w:vAlign w:val="center"/>
          </w:tcPr>
          <w:p w:rsidR="00083F05" w:rsidRPr="00B25391" w:rsidRDefault="00083F05" w:rsidP="00DF1F9F">
            <w:pPr>
              <w:pStyle w:val="TableText0"/>
              <w:keepLines/>
              <w:spacing w:before="0" w:after="0"/>
              <w:jc w:val="center"/>
              <w:rPr>
                <w:sz w:val="18"/>
                <w:szCs w:val="18"/>
              </w:rPr>
            </w:pPr>
            <w:r w:rsidRPr="00B25391">
              <w:rPr>
                <w:sz w:val="18"/>
                <w:szCs w:val="18"/>
              </w:rPr>
              <w:t>2 (4.7)</w:t>
            </w:r>
          </w:p>
        </w:tc>
        <w:tc>
          <w:tcPr>
            <w:tcW w:w="1330" w:type="dxa"/>
            <w:vAlign w:val="center"/>
          </w:tcPr>
          <w:p w:rsidR="00083F05" w:rsidRPr="00200039" w:rsidRDefault="00083F05" w:rsidP="00DF1F9F">
            <w:pPr>
              <w:pStyle w:val="TableText0"/>
              <w:keepLines/>
              <w:spacing w:before="0" w:after="0"/>
              <w:jc w:val="center"/>
              <w:rPr>
                <w:b/>
                <w:sz w:val="18"/>
                <w:szCs w:val="18"/>
              </w:rPr>
            </w:pPr>
            <w:r w:rsidRPr="00200039">
              <w:rPr>
                <w:b/>
                <w:sz w:val="18"/>
                <w:szCs w:val="18"/>
              </w:rPr>
              <w:t>14.2 (1.7, 24.8)</w:t>
            </w:r>
          </w:p>
        </w:tc>
        <w:tc>
          <w:tcPr>
            <w:tcW w:w="1210"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0</w:t>
            </w:r>
          </w:p>
        </w:tc>
        <w:tc>
          <w:tcPr>
            <w:tcW w:w="1287"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0</w:t>
            </w:r>
          </w:p>
        </w:tc>
        <w:tc>
          <w:tcPr>
            <w:tcW w:w="1367"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0 (-8.3, 4.4)</w:t>
            </w:r>
          </w:p>
        </w:tc>
      </w:tr>
      <w:tr w:rsidR="00083F05" w:rsidRPr="00B25391" w:rsidTr="00994A71">
        <w:trPr>
          <w:trHeight w:val="135"/>
        </w:trPr>
        <w:tc>
          <w:tcPr>
            <w:tcW w:w="1570" w:type="dxa"/>
          </w:tcPr>
          <w:p w:rsidR="00083F05" w:rsidRPr="00B25391" w:rsidRDefault="00083F05" w:rsidP="00DF1F9F">
            <w:pPr>
              <w:pStyle w:val="TableText0"/>
              <w:keepLines/>
              <w:spacing w:before="0" w:after="0"/>
              <w:rPr>
                <w:sz w:val="18"/>
                <w:szCs w:val="18"/>
              </w:rPr>
            </w:pPr>
            <w:r w:rsidRPr="00B25391">
              <w:rPr>
                <w:sz w:val="18"/>
                <w:szCs w:val="18"/>
              </w:rPr>
              <w:t>Weight decreased</w:t>
            </w:r>
          </w:p>
        </w:tc>
        <w:tc>
          <w:tcPr>
            <w:tcW w:w="1260" w:type="dxa"/>
            <w:vAlign w:val="center"/>
          </w:tcPr>
          <w:p w:rsidR="00083F05" w:rsidRPr="00B25391" w:rsidRDefault="00083F05" w:rsidP="00DF1F9F">
            <w:pPr>
              <w:pStyle w:val="TableText0"/>
              <w:keepLines/>
              <w:spacing w:before="0" w:after="0"/>
              <w:jc w:val="center"/>
              <w:rPr>
                <w:sz w:val="18"/>
                <w:szCs w:val="18"/>
              </w:rPr>
            </w:pPr>
            <w:r w:rsidRPr="00B25391">
              <w:rPr>
                <w:sz w:val="18"/>
                <w:szCs w:val="18"/>
              </w:rPr>
              <w:t>16 (18.8)</w:t>
            </w:r>
          </w:p>
        </w:tc>
        <w:tc>
          <w:tcPr>
            <w:tcW w:w="993" w:type="dxa"/>
            <w:vAlign w:val="center"/>
          </w:tcPr>
          <w:p w:rsidR="00083F05" w:rsidRPr="00B25391" w:rsidRDefault="00083F05" w:rsidP="00DF1F9F">
            <w:pPr>
              <w:pStyle w:val="TableText0"/>
              <w:keepLines/>
              <w:spacing w:before="0" w:after="0"/>
              <w:jc w:val="center"/>
              <w:rPr>
                <w:sz w:val="18"/>
                <w:szCs w:val="18"/>
              </w:rPr>
            </w:pPr>
            <w:r w:rsidRPr="00B25391">
              <w:rPr>
                <w:sz w:val="18"/>
                <w:szCs w:val="18"/>
              </w:rPr>
              <w:t>5 (11.6)</w:t>
            </w:r>
          </w:p>
        </w:tc>
        <w:tc>
          <w:tcPr>
            <w:tcW w:w="1330"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7.2 (-7.4, 19.3)</w:t>
            </w:r>
          </w:p>
        </w:tc>
        <w:tc>
          <w:tcPr>
            <w:tcW w:w="1210"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0</w:t>
            </w:r>
          </w:p>
        </w:tc>
        <w:tc>
          <w:tcPr>
            <w:tcW w:w="1287"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0</w:t>
            </w:r>
          </w:p>
        </w:tc>
        <w:tc>
          <w:tcPr>
            <w:tcW w:w="1367"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0 (-8.3, 4.4)</w:t>
            </w:r>
          </w:p>
        </w:tc>
      </w:tr>
      <w:tr w:rsidR="00083F05" w:rsidRPr="00B25391" w:rsidTr="00994A71">
        <w:trPr>
          <w:trHeight w:val="213"/>
        </w:trPr>
        <w:tc>
          <w:tcPr>
            <w:tcW w:w="1570" w:type="dxa"/>
          </w:tcPr>
          <w:p w:rsidR="00083F05" w:rsidRPr="00B25391" w:rsidRDefault="00083F05" w:rsidP="00DF1F9F">
            <w:pPr>
              <w:pStyle w:val="TableText0"/>
              <w:keepLines/>
              <w:spacing w:before="0" w:after="0"/>
              <w:rPr>
                <w:sz w:val="18"/>
                <w:szCs w:val="18"/>
              </w:rPr>
            </w:pPr>
            <w:r w:rsidRPr="00B25391">
              <w:rPr>
                <w:sz w:val="18"/>
                <w:szCs w:val="18"/>
              </w:rPr>
              <w:t>Arthralgia</w:t>
            </w:r>
          </w:p>
        </w:tc>
        <w:tc>
          <w:tcPr>
            <w:tcW w:w="1260" w:type="dxa"/>
            <w:vAlign w:val="center"/>
          </w:tcPr>
          <w:p w:rsidR="00083F05" w:rsidRPr="00B25391" w:rsidRDefault="00083F05" w:rsidP="00DF1F9F">
            <w:pPr>
              <w:pStyle w:val="TableText0"/>
              <w:keepLines/>
              <w:spacing w:before="0" w:after="0"/>
              <w:jc w:val="center"/>
              <w:rPr>
                <w:sz w:val="18"/>
                <w:szCs w:val="18"/>
              </w:rPr>
            </w:pPr>
            <w:r w:rsidRPr="00B25391">
              <w:rPr>
                <w:sz w:val="18"/>
                <w:szCs w:val="18"/>
              </w:rPr>
              <w:t>15 (17.6)</w:t>
            </w:r>
          </w:p>
        </w:tc>
        <w:tc>
          <w:tcPr>
            <w:tcW w:w="993" w:type="dxa"/>
            <w:vAlign w:val="center"/>
          </w:tcPr>
          <w:p w:rsidR="00083F05" w:rsidRPr="00B25391" w:rsidRDefault="00083F05" w:rsidP="00DF1F9F">
            <w:pPr>
              <w:pStyle w:val="TableText0"/>
              <w:keepLines/>
              <w:spacing w:before="0" w:after="0"/>
              <w:jc w:val="center"/>
              <w:rPr>
                <w:sz w:val="18"/>
                <w:szCs w:val="18"/>
              </w:rPr>
            </w:pPr>
            <w:r w:rsidRPr="00B25391">
              <w:rPr>
                <w:sz w:val="18"/>
                <w:szCs w:val="18"/>
              </w:rPr>
              <w:t>2 (4.7)</w:t>
            </w:r>
          </w:p>
        </w:tc>
        <w:tc>
          <w:tcPr>
            <w:tcW w:w="1330" w:type="dxa"/>
            <w:vAlign w:val="center"/>
          </w:tcPr>
          <w:p w:rsidR="00083F05" w:rsidRPr="00200039" w:rsidRDefault="00083F05" w:rsidP="00DF1F9F">
            <w:pPr>
              <w:pStyle w:val="TableText0"/>
              <w:keepLines/>
              <w:spacing w:before="0" w:after="0"/>
              <w:jc w:val="center"/>
              <w:rPr>
                <w:b/>
                <w:sz w:val="18"/>
                <w:szCs w:val="18"/>
              </w:rPr>
            </w:pPr>
            <w:r w:rsidRPr="00200039">
              <w:rPr>
                <w:b/>
                <w:sz w:val="18"/>
                <w:szCs w:val="18"/>
              </w:rPr>
              <w:t>13.0 (0.6, 23.5)</w:t>
            </w:r>
          </w:p>
        </w:tc>
        <w:tc>
          <w:tcPr>
            <w:tcW w:w="1210"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0</w:t>
            </w:r>
          </w:p>
        </w:tc>
        <w:tc>
          <w:tcPr>
            <w:tcW w:w="1287"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0</w:t>
            </w:r>
          </w:p>
        </w:tc>
        <w:tc>
          <w:tcPr>
            <w:tcW w:w="1367"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0 (-8.3, 4.4)</w:t>
            </w:r>
          </w:p>
        </w:tc>
      </w:tr>
      <w:tr w:rsidR="00083F05" w:rsidRPr="00B25391" w:rsidTr="00994A71">
        <w:trPr>
          <w:trHeight w:val="206"/>
        </w:trPr>
        <w:tc>
          <w:tcPr>
            <w:tcW w:w="1570" w:type="dxa"/>
          </w:tcPr>
          <w:p w:rsidR="00083F05" w:rsidRPr="00B25391" w:rsidRDefault="00083F05" w:rsidP="00DF1F9F">
            <w:pPr>
              <w:pStyle w:val="TableText0"/>
              <w:keepLines/>
              <w:spacing w:before="0" w:after="0"/>
              <w:rPr>
                <w:sz w:val="18"/>
                <w:szCs w:val="18"/>
              </w:rPr>
            </w:pPr>
            <w:r w:rsidRPr="00B25391">
              <w:rPr>
                <w:sz w:val="18"/>
                <w:szCs w:val="18"/>
              </w:rPr>
              <w:t>Blood bilirubin increased</w:t>
            </w:r>
          </w:p>
        </w:tc>
        <w:tc>
          <w:tcPr>
            <w:tcW w:w="1260" w:type="dxa"/>
            <w:vAlign w:val="center"/>
          </w:tcPr>
          <w:p w:rsidR="00083F05" w:rsidRPr="00B25391" w:rsidRDefault="00083F05" w:rsidP="00DF1F9F">
            <w:pPr>
              <w:pStyle w:val="TableText0"/>
              <w:keepLines/>
              <w:spacing w:before="0" w:after="0"/>
              <w:jc w:val="center"/>
              <w:rPr>
                <w:sz w:val="18"/>
                <w:szCs w:val="18"/>
              </w:rPr>
            </w:pPr>
            <w:r w:rsidRPr="00B25391">
              <w:rPr>
                <w:sz w:val="18"/>
                <w:szCs w:val="18"/>
              </w:rPr>
              <w:t>14 (16.5)</w:t>
            </w:r>
          </w:p>
        </w:tc>
        <w:tc>
          <w:tcPr>
            <w:tcW w:w="993" w:type="dxa"/>
            <w:vAlign w:val="center"/>
          </w:tcPr>
          <w:p w:rsidR="00083F05" w:rsidRPr="00B25391" w:rsidRDefault="00083F05" w:rsidP="00DF1F9F">
            <w:pPr>
              <w:pStyle w:val="TableText0"/>
              <w:keepLines/>
              <w:spacing w:before="0" w:after="0"/>
              <w:jc w:val="center"/>
              <w:rPr>
                <w:sz w:val="18"/>
                <w:szCs w:val="18"/>
              </w:rPr>
            </w:pPr>
            <w:r w:rsidRPr="00B25391">
              <w:rPr>
                <w:sz w:val="18"/>
                <w:szCs w:val="18"/>
              </w:rPr>
              <w:t>0</w:t>
            </w:r>
          </w:p>
        </w:tc>
        <w:tc>
          <w:tcPr>
            <w:tcW w:w="1330" w:type="dxa"/>
            <w:vAlign w:val="center"/>
          </w:tcPr>
          <w:p w:rsidR="00083F05" w:rsidRPr="00200039" w:rsidRDefault="00083F05" w:rsidP="00DF1F9F">
            <w:pPr>
              <w:pStyle w:val="TableText0"/>
              <w:keepLines/>
              <w:spacing w:before="0" w:after="0"/>
              <w:jc w:val="center"/>
              <w:rPr>
                <w:b/>
                <w:sz w:val="18"/>
                <w:szCs w:val="18"/>
              </w:rPr>
            </w:pPr>
            <w:r w:rsidRPr="00200039">
              <w:rPr>
                <w:b/>
                <w:sz w:val="18"/>
                <w:szCs w:val="18"/>
              </w:rPr>
              <w:t>16.5 (7.8, 25.8)</w:t>
            </w:r>
          </w:p>
        </w:tc>
        <w:tc>
          <w:tcPr>
            <w:tcW w:w="1210"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1 (1.2)</w:t>
            </w:r>
          </w:p>
        </w:tc>
        <w:tc>
          <w:tcPr>
            <w:tcW w:w="1287"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0</w:t>
            </w:r>
          </w:p>
        </w:tc>
        <w:tc>
          <w:tcPr>
            <w:tcW w:w="1367"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1.2 (-7.1, 6.4)</w:t>
            </w:r>
          </w:p>
        </w:tc>
      </w:tr>
      <w:tr w:rsidR="00083F05" w:rsidRPr="00B25391" w:rsidTr="00994A71">
        <w:trPr>
          <w:trHeight w:val="50"/>
        </w:trPr>
        <w:tc>
          <w:tcPr>
            <w:tcW w:w="1570" w:type="dxa"/>
          </w:tcPr>
          <w:p w:rsidR="00083F05" w:rsidRPr="00B25391" w:rsidRDefault="00F81D5A" w:rsidP="00DF1F9F">
            <w:pPr>
              <w:pStyle w:val="TableText0"/>
              <w:keepLines/>
              <w:spacing w:before="0" w:after="0"/>
              <w:rPr>
                <w:sz w:val="18"/>
                <w:szCs w:val="18"/>
              </w:rPr>
            </w:pPr>
            <w:r w:rsidRPr="00B25391">
              <w:rPr>
                <w:sz w:val="18"/>
                <w:szCs w:val="18"/>
              </w:rPr>
              <w:t>Dyspnoea</w:t>
            </w:r>
          </w:p>
        </w:tc>
        <w:tc>
          <w:tcPr>
            <w:tcW w:w="1260" w:type="dxa"/>
            <w:vAlign w:val="center"/>
          </w:tcPr>
          <w:p w:rsidR="00083F05" w:rsidRPr="00B25391" w:rsidRDefault="00083F05" w:rsidP="00DF1F9F">
            <w:pPr>
              <w:pStyle w:val="TableText0"/>
              <w:keepLines/>
              <w:spacing w:before="0" w:after="0"/>
              <w:jc w:val="center"/>
              <w:rPr>
                <w:sz w:val="18"/>
                <w:szCs w:val="18"/>
              </w:rPr>
            </w:pPr>
            <w:r w:rsidRPr="00B25391">
              <w:rPr>
                <w:sz w:val="18"/>
                <w:szCs w:val="18"/>
              </w:rPr>
              <w:t>11 (12.9)</w:t>
            </w:r>
          </w:p>
        </w:tc>
        <w:tc>
          <w:tcPr>
            <w:tcW w:w="993" w:type="dxa"/>
            <w:vAlign w:val="center"/>
          </w:tcPr>
          <w:p w:rsidR="00083F05" w:rsidRPr="00B25391" w:rsidRDefault="00083F05" w:rsidP="00DF1F9F">
            <w:pPr>
              <w:pStyle w:val="TableText0"/>
              <w:keepLines/>
              <w:spacing w:before="0" w:after="0"/>
              <w:jc w:val="center"/>
              <w:rPr>
                <w:sz w:val="18"/>
                <w:szCs w:val="18"/>
              </w:rPr>
            </w:pPr>
            <w:r w:rsidRPr="00B25391">
              <w:rPr>
                <w:sz w:val="18"/>
                <w:szCs w:val="18"/>
              </w:rPr>
              <w:t>0</w:t>
            </w:r>
          </w:p>
        </w:tc>
        <w:tc>
          <w:tcPr>
            <w:tcW w:w="1330" w:type="dxa"/>
            <w:vAlign w:val="center"/>
          </w:tcPr>
          <w:p w:rsidR="00083F05" w:rsidRPr="00200039" w:rsidRDefault="00083F05" w:rsidP="00DF1F9F">
            <w:pPr>
              <w:pStyle w:val="TableText0"/>
              <w:keepLines/>
              <w:spacing w:before="0" w:after="0"/>
              <w:jc w:val="center"/>
              <w:rPr>
                <w:b/>
                <w:sz w:val="18"/>
                <w:szCs w:val="18"/>
              </w:rPr>
            </w:pPr>
            <w:r w:rsidRPr="00200039">
              <w:rPr>
                <w:b/>
                <w:sz w:val="18"/>
                <w:szCs w:val="18"/>
              </w:rPr>
              <w:t>12.9 (4.3, 21.7)</w:t>
            </w:r>
          </w:p>
        </w:tc>
        <w:tc>
          <w:tcPr>
            <w:tcW w:w="1210"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0</w:t>
            </w:r>
          </w:p>
        </w:tc>
        <w:tc>
          <w:tcPr>
            <w:tcW w:w="1287"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0</w:t>
            </w:r>
          </w:p>
        </w:tc>
        <w:tc>
          <w:tcPr>
            <w:tcW w:w="1367"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0 (-8.3, 4.4)</w:t>
            </w:r>
          </w:p>
        </w:tc>
      </w:tr>
      <w:tr w:rsidR="00083F05" w:rsidRPr="00B25391" w:rsidTr="00994A71">
        <w:trPr>
          <w:trHeight w:val="206"/>
        </w:trPr>
        <w:tc>
          <w:tcPr>
            <w:tcW w:w="1570" w:type="dxa"/>
          </w:tcPr>
          <w:p w:rsidR="00083F05" w:rsidRPr="00B25391" w:rsidRDefault="00083F05" w:rsidP="00DF1F9F">
            <w:pPr>
              <w:pStyle w:val="TableText0"/>
              <w:keepLines/>
              <w:spacing w:before="0" w:after="0"/>
              <w:rPr>
                <w:sz w:val="18"/>
                <w:szCs w:val="18"/>
              </w:rPr>
            </w:pPr>
            <w:r w:rsidRPr="00B25391">
              <w:rPr>
                <w:sz w:val="18"/>
                <w:szCs w:val="18"/>
              </w:rPr>
              <w:t>Hypophosphataemia</w:t>
            </w:r>
          </w:p>
        </w:tc>
        <w:tc>
          <w:tcPr>
            <w:tcW w:w="1260" w:type="dxa"/>
            <w:vAlign w:val="center"/>
          </w:tcPr>
          <w:p w:rsidR="00083F05" w:rsidRPr="00B25391" w:rsidRDefault="00083F05" w:rsidP="00DF1F9F">
            <w:pPr>
              <w:pStyle w:val="TableText0"/>
              <w:keepLines/>
              <w:spacing w:before="0" w:after="0"/>
              <w:jc w:val="center"/>
              <w:rPr>
                <w:sz w:val="18"/>
                <w:szCs w:val="18"/>
              </w:rPr>
            </w:pPr>
            <w:r w:rsidRPr="00B25391">
              <w:rPr>
                <w:sz w:val="18"/>
                <w:szCs w:val="18"/>
              </w:rPr>
              <w:t>9 (10.6)</w:t>
            </w:r>
          </w:p>
        </w:tc>
        <w:tc>
          <w:tcPr>
            <w:tcW w:w="993" w:type="dxa"/>
            <w:vAlign w:val="center"/>
          </w:tcPr>
          <w:p w:rsidR="00083F05" w:rsidRPr="00B25391" w:rsidRDefault="00083F05" w:rsidP="00DF1F9F">
            <w:pPr>
              <w:pStyle w:val="TableText0"/>
              <w:keepLines/>
              <w:spacing w:before="0" w:after="0"/>
              <w:jc w:val="center"/>
              <w:rPr>
                <w:sz w:val="18"/>
                <w:szCs w:val="18"/>
              </w:rPr>
            </w:pPr>
            <w:r w:rsidRPr="00B25391">
              <w:rPr>
                <w:sz w:val="18"/>
                <w:szCs w:val="18"/>
              </w:rPr>
              <w:t>0</w:t>
            </w:r>
          </w:p>
        </w:tc>
        <w:tc>
          <w:tcPr>
            <w:tcW w:w="1330" w:type="dxa"/>
            <w:vAlign w:val="center"/>
          </w:tcPr>
          <w:p w:rsidR="00083F05" w:rsidRPr="00200039" w:rsidRDefault="00083F05" w:rsidP="00DF1F9F">
            <w:pPr>
              <w:pStyle w:val="TableText0"/>
              <w:keepLines/>
              <w:spacing w:before="0" w:after="0"/>
              <w:jc w:val="center"/>
              <w:rPr>
                <w:b/>
                <w:sz w:val="18"/>
                <w:szCs w:val="18"/>
              </w:rPr>
            </w:pPr>
            <w:r w:rsidRPr="00200039">
              <w:rPr>
                <w:b/>
                <w:sz w:val="18"/>
                <w:szCs w:val="18"/>
              </w:rPr>
              <w:t>10.6 (2.0, 19.0)</w:t>
            </w:r>
          </w:p>
        </w:tc>
        <w:tc>
          <w:tcPr>
            <w:tcW w:w="1210"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4 (4.7)</w:t>
            </w:r>
          </w:p>
        </w:tc>
        <w:tc>
          <w:tcPr>
            <w:tcW w:w="1287"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0</w:t>
            </w:r>
          </w:p>
        </w:tc>
        <w:tc>
          <w:tcPr>
            <w:tcW w:w="1367"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4.7 (-3.7, 11.5)</w:t>
            </w:r>
          </w:p>
        </w:tc>
      </w:tr>
      <w:tr w:rsidR="00083F05" w:rsidRPr="00B25391" w:rsidTr="00994A71">
        <w:trPr>
          <w:trHeight w:val="206"/>
        </w:trPr>
        <w:tc>
          <w:tcPr>
            <w:tcW w:w="1570" w:type="dxa"/>
          </w:tcPr>
          <w:p w:rsidR="00083F05" w:rsidRPr="00B25391" w:rsidRDefault="00083F05" w:rsidP="00DF1F9F">
            <w:pPr>
              <w:pStyle w:val="TableText0"/>
              <w:keepLines/>
              <w:spacing w:before="0" w:after="0"/>
              <w:rPr>
                <w:sz w:val="18"/>
                <w:szCs w:val="18"/>
              </w:rPr>
            </w:pPr>
            <w:r w:rsidRPr="00B25391">
              <w:rPr>
                <w:sz w:val="18"/>
                <w:szCs w:val="18"/>
              </w:rPr>
              <w:t>Lipase increased</w:t>
            </w:r>
          </w:p>
        </w:tc>
        <w:tc>
          <w:tcPr>
            <w:tcW w:w="1260" w:type="dxa"/>
            <w:vAlign w:val="center"/>
          </w:tcPr>
          <w:p w:rsidR="00083F05" w:rsidRPr="00B25391" w:rsidRDefault="00083F05" w:rsidP="00DF1F9F">
            <w:pPr>
              <w:pStyle w:val="TableText0"/>
              <w:keepLines/>
              <w:spacing w:before="0" w:after="0"/>
              <w:jc w:val="center"/>
              <w:rPr>
                <w:sz w:val="18"/>
                <w:szCs w:val="18"/>
              </w:rPr>
            </w:pPr>
            <w:r w:rsidRPr="00B25391">
              <w:rPr>
                <w:sz w:val="18"/>
                <w:szCs w:val="18"/>
              </w:rPr>
              <w:t>9 (10.6)</w:t>
            </w:r>
          </w:p>
        </w:tc>
        <w:tc>
          <w:tcPr>
            <w:tcW w:w="993" w:type="dxa"/>
            <w:vAlign w:val="center"/>
          </w:tcPr>
          <w:p w:rsidR="00083F05" w:rsidRPr="00B25391" w:rsidRDefault="00083F05" w:rsidP="00DF1F9F">
            <w:pPr>
              <w:pStyle w:val="TableText0"/>
              <w:keepLines/>
              <w:spacing w:before="0" w:after="0"/>
              <w:jc w:val="center"/>
              <w:rPr>
                <w:sz w:val="18"/>
                <w:szCs w:val="18"/>
              </w:rPr>
            </w:pPr>
            <w:r w:rsidRPr="00B25391">
              <w:rPr>
                <w:sz w:val="18"/>
                <w:szCs w:val="18"/>
              </w:rPr>
              <w:t>0</w:t>
            </w:r>
          </w:p>
        </w:tc>
        <w:tc>
          <w:tcPr>
            <w:tcW w:w="1330" w:type="dxa"/>
            <w:vAlign w:val="center"/>
          </w:tcPr>
          <w:p w:rsidR="00083F05" w:rsidRPr="00200039" w:rsidRDefault="00083F05" w:rsidP="00DF1F9F">
            <w:pPr>
              <w:pStyle w:val="TableText0"/>
              <w:keepLines/>
              <w:spacing w:before="0" w:after="0"/>
              <w:jc w:val="center"/>
              <w:rPr>
                <w:b/>
                <w:sz w:val="18"/>
                <w:szCs w:val="18"/>
              </w:rPr>
            </w:pPr>
            <w:r w:rsidRPr="00200039">
              <w:rPr>
                <w:b/>
                <w:sz w:val="18"/>
                <w:szCs w:val="18"/>
              </w:rPr>
              <w:t>10.6 (2.0, 19.0)</w:t>
            </w:r>
          </w:p>
        </w:tc>
        <w:tc>
          <w:tcPr>
            <w:tcW w:w="1210"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4 (4.7)</w:t>
            </w:r>
          </w:p>
        </w:tc>
        <w:tc>
          <w:tcPr>
            <w:tcW w:w="1287"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0</w:t>
            </w:r>
          </w:p>
        </w:tc>
        <w:tc>
          <w:tcPr>
            <w:tcW w:w="1367"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4.7 (-3.7, 11.5)</w:t>
            </w:r>
          </w:p>
        </w:tc>
      </w:tr>
      <w:tr w:rsidR="00083F05" w:rsidRPr="00B25391" w:rsidTr="00994A71">
        <w:trPr>
          <w:trHeight w:val="206"/>
        </w:trPr>
        <w:tc>
          <w:tcPr>
            <w:tcW w:w="1570" w:type="dxa"/>
          </w:tcPr>
          <w:p w:rsidR="00083F05" w:rsidRPr="00B25391" w:rsidRDefault="00083F05" w:rsidP="00DF1F9F">
            <w:pPr>
              <w:pStyle w:val="TableText0"/>
              <w:keepLines/>
              <w:spacing w:before="0" w:after="0"/>
              <w:rPr>
                <w:sz w:val="18"/>
                <w:szCs w:val="18"/>
              </w:rPr>
            </w:pPr>
            <w:r w:rsidRPr="00B25391">
              <w:rPr>
                <w:sz w:val="18"/>
                <w:szCs w:val="18"/>
              </w:rPr>
              <w:t>Stomatitis</w:t>
            </w:r>
          </w:p>
        </w:tc>
        <w:tc>
          <w:tcPr>
            <w:tcW w:w="1260" w:type="dxa"/>
            <w:vAlign w:val="center"/>
          </w:tcPr>
          <w:p w:rsidR="00083F05" w:rsidRPr="00B25391" w:rsidRDefault="00083F05" w:rsidP="00DF1F9F">
            <w:pPr>
              <w:pStyle w:val="TableText0"/>
              <w:keepLines/>
              <w:spacing w:before="0" w:after="0"/>
              <w:jc w:val="center"/>
              <w:rPr>
                <w:sz w:val="18"/>
                <w:szCs w:val="18"/>
              </w:rPr>
            </w:pPr>
            <w:r w:rsidRPr="00B25391">
              <w:rPr>
                <w:sz w:val="18"/>
                <w:szCs w:val="18"/>
              </w:rPr>
              <w:t>9 (10.6)</w:t>
            </w:r>
          </w:p>
        </w:tc>
        <w:tc>
          <w:tcPr>
            <w:tcW w:w="993" w:type="dxa"/>
            <w:vAlign w:val="center"/>
          </w:tcPr>
          <w:p w:rsidR="00083F05" w:rsidRPr="00B25391" w:rsidRDefault="00083F05" w:rsidP="00DF1F9F">
            <w:pPr>
              <w:pStyle w:val="TableText0"/>
              <w:keepLines/>
              <w:spacing w:before="0" w:after="0"/>
              <w:jc w:val="center"/>
              <w:rPr>
                <w:sz w:val="18"/>
                <w:szCs w:val="18"/>
              </w:rPr>
            </w:pPr>
            <w:r w:rsidRPr="00B25391">
              <w:rPr>
                <w:sz w:val="18"/>
                <w:szCs w:val="18"/>
              </w:rPr>
              <w:t>0</w:t>
            </w:r>
          </w:p>
        </w:tc>
        <w:tc>
          <w:tcPr>
            <w:tcW w:w="1330" w:type="dxa"/>
            <w:vAlign w:val="center"/>
          </w:tcPr>
          <w:p w:rsidR="00083F05" w:rsidRPr="00200039" w:rsidRDefault="00083F05" w:rsidP="00DF1F9F">
            <w:pPr>
              <w:pStyle w:val="TableText0"/>
              <w:keepLines/>
              <w:spacing w:before="0" w:after="0"/>
              <w:jc w:val="center"/>
              <w:rPr>
                <w:b/>
                <w:sz w:val="18"/>
                <w:szCs w:val="18"/>
              </w:rPr>
            </w:pPr>
            <w:r w:rsidRPr="00200039">
              <w:rPr>
                <w:b/>
                <w:sz w:val="18"/>
                <w:szCs w:val="18"/>
              </w:rPr>
              <w:t>10.6 (2.0, 19.0)</w:t>
            </w:r>
          </w:p>
        </w:tc>
        <w:tc>
          <w:tcPr>
            <w:tcW w:w="1210"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0</w:t>
            </w:r>
          </w:p>
        </w:tc>
        <w:tc>
          <w:tcPr>
            <w:tcW w:w="1287"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0</w:t>
            </w:r>
          </w:p>
        </w:tc>
        <w:tc>
          <w:tcPr>
            <w:tcW w:w="1367" w:type="dxa"/>
            <w:vAlign w:val="center"/>
          </w:tcPr>
          <w:p w:rsidR="00083F05" w:rsidRPr="00200039" w:rsidRDefault="00083F05" w:rsidP="00DF1F9F">
            <w:pPr>
              <w:pStyle w:val="TableText0"/>
              <w:keepLines/>
              <w:spacing w:before="0" w:after="0"/>
              <w:jc w:val="center"/>
              <w:rPr>
                <w:sz w:val="18"/>
                <w:szCs w:val="18"/>
              </w:rPr>
            </w:pPr>
            <w:r w:rsidRPr="00200039">
              <w:rPr>
                <w:sz w:val="18"/>
                <w:szCs w:val="18"/>
              </w:rPr>
              <w:t>0 (-8.3, 4.4)</w:t>
            </w:r>
          </w:p>
        </w:tc>
      </w:tr>
    </w:tbl>
    <w:p w:rsidR="00083F05" w:rsidRPr="00D33691" w:rsidRDefault="00083F05" w:rsidP="00DF1F9F">
      <w:pPr>
        <w:pStyle w:val="TableFooter"/>
        <w:keepNext/>
        <w:keepLines/>
      </w:pPr>
      <w:r w:rsidRPr="00D33691">
        <w:t xml:space="preserve">Source: Table 2-18, p79 of the submission. </w:t>
      </w:r>
    </w:p>
    <w:p w:rsidR="00083F05" w:rsidRPr="00D33691" w:rsidRDefault="00083F05" w:rsidP="00DF1F9F">
      <w:pPr>
        <w:pStyle w:val="TableFooter"/>
        <w:keepNext/>
        <w:keepLines/>
      </w:pPr>
      <w:r w:rsidRPr="00D33691">
        <w:t>PPES: palmar-plantar erythrodysaesthesia syndrome; QD: once a day; TEAE: treatment-emergent adverse event</w:t>
      </w:r>
    </w:p>
    <w:p w:rsidR="00083F05" w:rsidRPr="00D33691" w:rsidRDefault="00083F05" w:rsidP="00DF1F9F">
      <w:pPr>
        <w:pStyle w:val="TableFooter"/>
        <w:keepNext/>
        <w:keepLines/>
      </w:pPr>
      <w:r w:rsidRPr="00D33691">
        <w:t>* 44 patients were randomised to placebo, but 1 did not receive treatment</w:t>
      </w:r>
    </w:p>
    <w:p w:rsidR="00083F05" w:rsidRDefault="00083F05" w:rsidP="00DF1F9F">
      <w:pPr>
        <w:pStyle w:val="TableFooter"/>
        <w:keepNext/>
        <w:keepLines/>
      </w:pPr>
      <w:r w:rsidRPr="00D33691">
        <w:t>** Regardless of causality</w:t>
      </w:r>
    </w:p>
    <w:p w:rsidR="00083F05" w:rsidRDefault="00083F05" w:rsidP="00DF1F9F">
      <w:pPr>
        <w:pStyle w:val="TableFooter"/>
        <w:keepNext/>
        <w:keepLines/>
      </w:pPr>
      <w:r>
        <w:t xml:space="preserve">*** calculated during evaluation using </w:t>
      </w:r>
      <w:r w:rsidR="00F81D5A">
        <w:t>StatsDirect</w:t>
      </w:r>
      <w:r>
        <w:t xml:space="preserve"> v3.3.4</w:t>
      </w:r>
    </w:p>
    <w:p w:rsidR="00083F05" w:rsidRDefault="00083F05" w:rsidP="00DF1F9F">
      <w:pPr>
        <w:pStyle w:val="TableFooter"/>
        <w:keepNext/>
        <w:keepLines/>
      </w:pPr>
      <w:r>
        <w:t xml:space="preserve">Text in bold indicate statistically significant differences </w:t>
      </w:r>
    </w:p>
    <w:p w:rsidR="00083F05" w:rsidRPr="00D33691" w:rsidRDefault="00083F05" w:rsidP="00DF1F9F">
      <w:pPr>
        <w:pStyle w:val="TableFooter"/>
        <w:keepNext/>
        <w:keepLines/>
      </w:pPr>
      <w:r w:rsidRPr="00D33691">
        <w:t>† Corresponding grade 3/4 TEAEs to TEAEs in &gt;10% of patients receiving ripretinib</w:t>
      </w:r>
    </w:p>
    <w:p w:rsidR="00083F05" w:rsidRPr="00C762E1" w:rsidRDefault="00083F05" w:rsidP="00DF1F9F">
      <w:pPr>
        <w:keepNext/>
        <w:keepLines/>
        <w:widowControl/>
      </w:pPr>
    </w:p>
    <w:p w:rsidR="0011327D" w:rsidRPr="00200039" w:rsidRDefault="00083F05" w:rsidP="006F3376">
      <w:pPr>
        <w:pStyle w:val="ListParagraph"/>
        <w:widowControl/>
        <w:numPr>
          <w:ilvl w:val="1"/>
          <w:numId w:val="2"/>
        </w:numPr>
      </w:pPr>
      <w:r w:rsidRPr="00200039">
        <w:t xml:space="preserve">There were no statistically significant differences in specific Grade 3 or 4 </w:t>
      </w:r>
      <w:r w:rsidR="006F3376" w:rsidRPr="00200039">
        <w:t>adverse events</w:t>
      </w:r>
      <w:r w:rsidRPr="00200039">
        <w:t xml:space="preserve">. </w:t>
      </w:r>
      <w:r w:rsidR="000B1F07" w:rsidRPr="00200039">
        <w:t>C</w:t>
      </w:r>
      <w:r w:rsidRPr="00200039">
        <w:t xml:space="preserve">onsidering the small sample size, this was expected. Nevertheless, ripretinib was </w:t>
      </w:r>
      <w:r w:rsidR="00232889" w:rsidRPr="00200039">
        <w:t>associated with higher rates of a</w:t>
      </w:r>
      <w:r w:rsidRPr="00200039">
        <w:t xml:space="preserve">ny grade </w:t>
      </w:r>
      <w:r w:rsidR="006F3376" w:rsidRPr="00200039">
        <w:t>treatment-emergent adverse events (</w:t>
      </w:r>
      <w:r w:rsidRPr="00200039">
        <w:t>TEAEs</w:t>
      </w:r>
      <w:r w:rsidR="006F3376" w:rsidRPr="00200039">
        <w:t>)</w:t>
      </w:r>
      <w:r w:rsidR="000B1F07" w:rsidRPr="00200039">
        <w:t>, grade 3/</w:t>
      </w:r>
      <w:r w:rsidRPr="00200039">
        <w:t xml:space="preserve">4 treatment related </w:t>
      </w:r>
      <w:r w:rsidR="000B1F07" w:rsidRPr="00200039">
        <w:t>TEAEs, fatigue, nausea, grade 3</w:t>
      </w:r>
      <w:r w:rsidRPr="00200039">
        <w:t xml:space="preserve">/4 nausea, constipation, myalgia, diarrhoea, PPES, vomiting, headache, arthralgia, peripheral oedema, muscle spasms dyspnoea, hypophosphatemia, </w:t>
      </w:r>
      <w:r w:rsidR="00F81D5A" w:rsidRPr="00200039">
        <w:t>pruritus</w:t>
      </w:r>
      <w:r w:rsidRPr="00200039">
        <w:t xml:space="preserve"> and stomatitis.</w:t>
      </w:r>
    </w:p>
    <w:p w:rsidR="00AF6078" w:rsidRDefault="00AF6078" w:rsidP="0011327D">
      <w:pPr>
        <w:pStyle w:val="ListParagraph"/>
        <w:widowControl/>
        <w:numPr>
          <w:ilvl w:val="1"/>
          <w:numId w:val="2"/>
        </w:numPr>
      </w:pPr>
      <w:r>
        <w:t>8% of patients in the ripretinib arm discontinued treatment due to an adverse event.</w:t>
      </w:r>
    </w:p>
    <w:p w:rsidR="00852960" w:rsidRPr="00954D37" w:rsidRDefault="00852960" w:rsidP="0011327D">
      <w:pPr>
        <w:pStyle w:val="ListParagraph"/>
        <w:widowControl/>
        <w:numPr>
          <w:ilvl w:val="1"/>
          <w:numId w:val="2"/>
        </w:numPr>
      </w:pPr>
      <w:r w:rsidRPr="00954D37">
        <w:t xml:space="preserve">The ESC considered that the safety profile of ripretinib would be unlikely to be different in the 3L versus the 4L setting. </w:t>
      </w:r>
    </w:p>
    <w:p w:rsidR="00083F05" w:rsidRPr="00C9624D" w:rsidRDefault="00083F05" w:rsidP="00083F05">
      <w:pPr>
        <w:pStyle w:val="Heading2"/>
      </w:pPr>
      <w:bookmarkStart w:id="22" w:name="_Toc62040430"/>
      <w:r w:rsidRPr="00C9624D">
        <w:t>Benefits/harms</w:t>
      </w:r>
      <w:bookmarkEnd w:id="22"/>
    </w:p>
    <w:p w:rsidR="00083F05" w:rsidRPr="00232889" w:rsidRDefault="00083F05" w:rsidP="00083F05">
      <w:pPr>
        <w:widowControl/>
      </w:pPr>
    </w:p>
    <w:p w:rsidR="00083F05" w:rsidRPr="00B50DB8" w:rsidRDefault="00083F05" w:rsidP="00083F05">
      <w:pPr>
        <w:pStyle w:val="ListParagraph"/>
        <w:widowControl/>
        <w:numPr>
          <w:ilvl w:val="1"/>
          <w:numId w:val="2"/>
        </w:numPr>
      </w:pPr>
      <w:r w:rsidRPr="00B50DB8">
        <w:t xml:space="preserve">A summary of the comparative benefits and harms for </w:t>
      </w:r>
      <w:r w:rsidR="00F645B9">
        <w:t>r</w:t>
      </w:r>
      <w:r>
        <w:t>ipretinib plus BSC</w:t>
      </w:r>
      <w:r w:rsidRPr="00B50DB8">
        <w:t xml:space="preserve"> </w:t>
      </w:r>
      <w:r w:rsidR="00F81D5A" w:rsidRPr="00B50DB8">
        <w:t xml:space="preserve">versus </w:t>
      </w:r>
      <w:r w:rsidR="00F81D5A">
        <w:t>BSC</w:t>
      </w:r>
      <w:r>
        <w:t xml:space="preserve"> alone (placebo + BSC) </w:t>
      </w:r>
      <w:r w:rsidRPr="00B50DB8">
        <w:t xml:space="preserve">is presented in the table below. </w:t>
      </w:r>
    </w:p>
    <w:p w:rsidR="00083F05" w:rsidRDefault="00083F05" w:rsidP="00083F05">
      <w:pPr>
        <w:widowControl/>
        <w:jc w:val="left"/>
        <w:rPr>
          <w:rStyle w:val="CommentReference"/>
        </w:rPr>
      </w:pPr>
    </w:p>
    <w:p w:rsidR="00083F05" w:rsidRPr="00A578DC" w:rsidRDefault="00083F05" w:rsidP="00874A09">
      <w:pPr>
        <w:keepNext/>
        <w:keepLines/>
        <w:rPr>
          <w:rStyle w:val="CommentReference"/>
        </w:rPr>
      </w:pPr>
      <w:r w:rsidRPr="00A578DC">
        <w:rPr>
          <w:rStyle w:val="CommentReference"/>
        </w:rPr>
        <w:lastRenderedPageBreak/>
        <w:t xml:space="preserve">Table </w:t>
      </w:r>
      <w:r w:rsidR="00081210">
        <w:rPr>
          <w:rStyle w:val="CommentReference"/>
        </w:rPr>
        <w:t>9</w:t>
      </w:r>
      <w:r w:rsidRPr="00A578DC">
        <w:rPr>
          <w:rStyle w:val="CommentReference"/>
        </w:rPr>
        <w:t xml:space="preserve">: Summary of comparative benefits and harms for </w:t>
      </w:r>
      <w:r>
        <w:rPr>
          <w:rStyle w:val="CommentReference"/>
        </w:rPr>
        <w:t>Ripretinib</w:t>
      </w:r>
      <w:r w:rsidRPr="00A578DC">
        <w:rPr>
          <w:rStyle w:val="CommentReference"/>
        </w:rPr>
        <w:t xml:space="preserve"> </w:t>
      </w:r>
      <w:r>
        <w:rPr>
          <w:rStyle w:val="CommentReference"/>
        </w:rPr>
        <w:t>plus BSC versus Placebo plus BSC</w:t>
      </w:r>
    </w:p>
    <w:tbl>
      <w:tblPr>
        <w:tblW w:w="5000" w:type="pct"/>
        <w:tblLayout w:type="fixed"/>
        <w:tblCellMar>
          <w:left w:w="28" w:type="dxa"/>
          <w:right w:w="28" w:type="dxa"/>
        </w:tblCellMar>
        <w:tblLook w:val="04A0" w:firstRow="1" w:lastRow="0" w:firstColumn="1" w:lastColumn="0" w:noHBand="0" w:noVBand="1"/>
      </w:tblPr>
      <w:tblGrid>
        <w:gridCol w:w="2123"/>
        <w:gridCol w:w="566"/>
        <w:gridCol w:w="568"/>
        <w:gridCol w:w="705"/>
        <w:gridCol w:w="287"/>
        <w:gridCol w:w="990"/>
        <w:gridCol w:w="427"/>
        <w:gridCol w:w="1134"/>
        <w:gridCol w:w="139"/>
        <w:gridCol w:w="693"/>
        <w:gridCol w:w="1385"/>
      </w:tblGrid>
      <w:tr w:rsidR="00083F05" w:rsidRPr="00232889" w:rsidTr="00994A71">
        <w:tc>
          <w:tcPr>
            <w:tcW w:w="5000" w:type="pct"/>
            <w:gridSpan w:val="11"/>
            <w:tcBorders>
              <w:top w:val="single" w:sz="4" w:space="0" w:color="auto"/>
              <w:left w:val="single" w:sz="4" w:space="0" w:color="auto"/>
              <w:bottom w:val="double" w:sz="4" w:space="0" w:color="auto"/>
              <w:right w:val="single" w:sz="4" w:space="0" w:color="auto"/>
            </w:tcBorders>
            <w:shd w:val="clear" w:color="auto" w:fill="auto"/>
            <w:vAlign w:val="center"/>
          </w:tcPr>
          <w:p w:rsidR="00083F05" w:rsidRPr="00232889" w:rsidRDefault="00083F05" w:rsidP="00874A09">
            <w:pPr>
              <w:keepNext/>
              <w:keepLines/>
              <w:rPr>
                <w:rFonts w:ascii="Arial Narrow" w:hAnsi="Arial Narrow"/>
                <w:b/>
                <w:color w:val="000000"/>
                <w:sz w:val="20"/>
                <w:szCs w:val="20"/>
              </w:rPr>
            </w:pPr>
            <w:r w:rsidRPr="00232889">
              <w:rPr>
                <w:rFonts w:ascii="Arial Narrow" w:hAnsi="Arial Narrow"/>
                <w:b/>
                <w:color w:val="000000"/>
                <w:sz w:val="20"/>
                <w:szCs w:val="20"/>
              </w:rPr>
              <w:t>Benefits</w:t>
            </w:r>
          </w:p>
        </w:tc>
      </w:tr>
      <w:tr w:rsidR="00083F05" w:rsidRPr="00232889" w:rsidTr="00994A71">
        <w:tc>
          <w:tcPr>
            <w:tcW w:w="5000" w:type="pct"/>
            <w:gridSpan w:val="11"/>
            <w:tcBorders>
              <w:top w:val="double" w:sz="4" w:space="0" w:color="auto"/>
              <w:left w:val="single" w:sz="4" w:space="0" w:color="auto"/>
              <w:bottom w:val="single" w:sz="4" w:space="0" w:color="auto"/>
              <w:right w:val="single" w:sz="4" w:space="0" w:color="auto"/>
            </w:tcBorders>
            <w:shd w:val="clear" w:color="auto" w:fill="auto"/>
            <w:vAlign w:val="center"/>
          </w:tcPr>
          <w:p w:rsidR="00083F05" w:rsidRPr="00232889" w:rsidRDefault="00083F05" w:rsidP="00874A09">
            <w:pPr>
              <w:keepNext/>
              <w:keepLines/>
              <w:rPr>
                <w:rFonts w:ascii="Arial Narrow" w:hAnsi="Arial Narrow"/>
                <w:b/>
                <w:color w:val="000000"/>
                <w:sz w:val="20"/>
                <w:szCs w:val="20"/>
              </w:rPr>
            </w:pPr>
            <w:r w:rsidRPr="00232889">
              <w:rPr>
                <w:rFonts w:ascii="Arial Narrow" w:hAnsi="Arial Narrow"/>
                <w:b/>
                <w:color w:val="000000"/>
                <w:sz w:val="20"/>
                <w:szCs w:val="20"/>
              </w:rPr>
              <w:t>Time to event (PFS and OS) in INVICTUS trial*</w:t>
            </w:r>
          </w:p>
        </w:tc>
      </w:tr>
      <w:tr w:rsidR="00083F05" w:rsidRPr="00232889" w:rsidTr="00874A09">
        <w:tc>
          <w:tcPr>
            <w:tcW w:w="149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83F05" w:rsidRPr="00232889" w:rsidRDefault="00083F05" w:rsidP="00874A09">
            <w:pPr>
              <w:keepNext/>
              <w:keepLines/>
              <w:jc w:val="center"/>
              <w:rPr>
                <w:rFonts w:ascii="Arial Narrow" w:hAnsi="Arial Narrow"/>
                <w:color w:val="000000"/>
                <w:sz w:val="20"/>
                <w:szCs w:val="20"/>
              </w:rPr>
            </w:pPr>
          </w:p>
        </w:tc>
        <w:tc>
          <w:tcPr>
            <w:tcW w:w="706" w:type="pct"/>
            <w:gridSpan w:val="2"/>
            <w:tcBorders>
              <w:top w:val="single" w:sz="4" w:space="0" w:color="auto"/>
              <w:left w:val="single" w:sz="4" w:space="0" w:color="auto"/>
              <w:bottom w:val="single" w:sz="4" w:space="0" w:color="auto"/>
              <w:right w:val="single" w:sz="4" w:space="0" w:color="auto"/>
            </w:tcBorders>
            <w:vAlign w:val="center"/>
          </w:tcPr>
          <w:p w:rsidR="00083F05" w:rsidRPr="00232889" w:rsidRDefault="00083F05" w:rsidP="00874A09">
            <w:pPr>
              <w:keepNext/>
              <w:keepLines/>
              <w:jc w:val="center"/>
              <w:rPr>
                <w:rFonts w:ascii="Arial Narrow" w:hAnsi="Arial Narrow"/>
                <w:b/>
                <w:color w:val="000000"/>
                <w:sz w:val="20"/>
                <w:szCs w:val="20"/>
              </w:rPr>
            </w:pPr>
            <w:r w:rsidRPr="00232889">
              <w:rPr>
                <w:rFonts w:ascii="Arial Narrow" w:hAnsi="Arial Narrow"/>
                <w:b/>
                <w:color w:val="000000"/>
                <w:sz w:val="20"/>
                <w:szCs w:val="20"/>
              </w:rPr>
              <w:t>Ripretinib</w:t>
            </w:r>
          </w:p>
        </w:tc>
        <w:tc>
          <w:tcPr>
            <w:tcW w:w="708" w:type="pct"/>
            <w:gridSpan w:val="2"/>
            <w:tcBorders>
              <w:top w:val="single" w:sz="4" w:space="0" w:color="auto"/>
              <w:left w:val="single" w:sz="4" w:space="0" w:color="auto"/>
              <w:bottom w:val="single" w:sz="4" w:space="0" w:color="auto"/>
              <w:right w:val="single" w:sz="4" w:space="0" w:color="auto"/>
            </w:tcBorders>
            <w:vAlign w:val="center"/>
          </w:tcPr>
          <w:p w:rsidR="00083F05" w:rsidRPr="00232889" w:rsidRDefault="00083F05" w:rsidP="00874A09">
            <w:pPr>
              <w:keepNext/>
              <w:keepLines/>
              <w:jc w:val="center"/>
              <w:rPr>
                <w:rFonts w:ascii="Arial Narrow" w:hAnsi="Arial Narrow"/>
                <w:b/>
                <w:color w:val="000000"/>
                <w:sz w:val="20"/>
                <w:szCs w:val="20"/>
              </w:rPr>
            </w:pPr>
            <w:r w:rsidRPr="00232889">
              <w:rPr>
                <w:rFonts w:ascii="Arial Narrow" w:hAnsi="Arial Narrow"/>
                <w:b/>
                <w:color w:val="000000"/>
                <w:sz w:val="20"/>
                <w:szCs w:val="20"/>
              </w:rPr>
              <w:t>Placebo</w:t>
            </w:r>
          </w:p>
        </w:tc>
        <w:tc>
          <w:tcPr>
            <w:tcW w:w="943" w:type="pct"/>
            <w:gridSpan w:val="3"/>
            <w:tcBorders>
              <w:top w:val="single" w:sz="4" w:space="0" w:color="auto"/>
              <w:left w:val="single" w:sz="4" w:space="0" w:color="auto"/>
              <w:bottom w:val="single" w:sz="4" w:space="0" w:color="auto"/>
              <w:right w:val="single" w:sz="4" w:space="0" w:color="auto"/>
            </w:tcBorders>
            <w:vAlign w:val="center"/>
          </w:tcPr>
          <w:p w:rsidR="00083F05" w:rsidRPr="00232889" w:rsidRDefault="00083F05" w:rsidP="00874A09">
            <w:pPr>
              <w:keepNext/>
              <w:keepLines/>
              <w:jc w:val="center"/>
              <w:rPr>
                <w:rFonts w:ascii="Arial Narrow" w:hAnsi="Arial Narrow"/>
                <w:b/>
                <w:color w:val="000000"/>
                <w:sz w:val="20"/>
                <w:szCs w:val="20"/>
              </w:rPr>
            </w:pPr>
            <w:r w:rsidRPr="00232889">
              <w:rPr>
                <w:rFonts w:ascii="Arial Narrow" w:hAnsi="Arial Narrow"/>
                <w:b/>
                <w:color w:val="000000"/>
                <w:sz w:val="20"/>
                <w:szCs w:val="20"/>
              </w:rPr>
              <w:t>Absolute difference</w:t>
            </w:r>
          </w:p>
        </w:tc>
        <w:tc>
          <w:tcPr>
            <w:tcW w:w="1151" w:type="pct"/>
            <w:gridSpan w:val="2"/>
            <w:tcBorders>
              <w:top w:val="single" w:sz="4" w:space="0" w:color="auto"/>
              <w:left w:val="single" w:sz="4" w:space="0" w:color="auto"/>
              <w:bottom w:val="single" w:sz="4" w:space="0" w:color="auto"/>
              <w:right w:val="single" w:sz="4" w:space="0" w:color="auto"/>
            </w:tcBorders>
            <w:vAlign w:val="center"/>
          </w:tcPr>
          <w:p w:rsidR="00083F05" w:rsidRPr="00232889" w:rsidRDefault="00083F05" w:rsidP="00874A09">
            <w:pPr>
              <w:keepNext/>
              <w:keepLines/>
              <w:jc w:val="center"/>
              <w:rPr>
                <w:rFonts w:ascii="Arial Narrow" w:hAnsi="Arial Narrow"/>
                <w:b/>
                <w:color w:val="000000"/>
                <w:sz w:val="20"/>
                <w:szCs w:val="20"/>
              </w:rPr>
            </w:pPr>
            <w:r w:rsidRPr="00232889">
              <w:rPr>
                <w:rFonts w:ascii="Arial Narrow" w:hAnsi="Arial Narrow"/>
                <w:b/>
                <w:color w:val="000000"/>
                <w:sz w:val="20"/>
                <w:szCs w:val="20"/>
              </w:rPr>
              <w:t>HR (95% CI)</w:t>
            </w:r>
          </w:p>
        </w:tc>
      </w:tr>
      <w:tr w:rsidR="00083F05" w:rsidRPr="00232889" w:rsidTr="00874A09">
        <w:tc>
          <w:tcPr>
            <w:tcW w:w="149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83F05" w:rsidRPr="00232889" w:rsidRDefault="00874A09" w:rsidP="00874A09">
            <w:pPr>
              <w:keepNext/>
              <w:keepLines/>
              <w:rPr>
                <w:rFonts w:ascii="Arial Narrow" w:hAnsi="Arial Narrow"/>
                <w:color w:val="000000"/>
                <w:sz w:val="20"/>
                <w:szCs w:val="20"/>
              </w:rPr>
            </w:pPr>
            <w:r>
              <w:rPr>
                <w:rFonts w:ascii="Arial Narrow" w:hAnsi="Arial Narrow"/>
                <w:color w:val="000000"/>
                <w:sz w:val="20"/>
                <w:szCs w:val="20"/>
              </w:rPr>
              <w:t xml:space="preserve">PFS event, </w:t>
            </w:r>
            <w:r w:rsidR="00083F05" w:rsidRPr="00232889">
              <w:rPr>
                <w:rFonts w:ascii="Arial Narrow" w:hAnsi="Arial Narrow"/>
                <w:color w:val="000000"/>
                <w:sz w:val="20"/>
                <w:szCs w:val="20"/>
              </w:rPr>
              <w:t>n/N (%)</w:t>
            </w:r>
          </w:p>
        </w:tc>
        <w:tc>
          <w:tcPr>
            <w:tcW w:w="706" w:type="pct"/>
            <w:gridSpan w:val="2"/>
            <w:tcBorders>
              <w:top w:val="single" w:sz="4" w:space="0" w:color="auto"/>
              <w:left w:val="single" w:sz="4" w:space="0" w:color="auto"/>
              <w:bottom w:val="single" w:sz="4" w:space="0" w:color="auto"/>
              <w:right w:val="single" w:sz="4" w:space="0" w:color="auto"/>
            </w:tcBorders>
          </w:tcPr>
          <w:p w:rsidR="00083F05" w:rsidRPr="00232889" w:rsidRDefault="00083F05" w:rsidP="00874A09">
            <w:pPr>
              <w:pStyle w:val="TableText0"/>
              <w:keepLines/>
              <w:spacing w:before="0" w:after="0"/>
              <w:jc w:val="center"/>
              <w:rPr>
                <w:szCs w:val="20"/>
              </w:rPr>
            </w:pPr>
            <w:r w:rsidRPr="00232889">
              <w:rPr>
                <w:szCs w:val="20"/>
              </w:rPr>
              <w:t>51/85 (60)</w:t>
            </w:r>
          </w:p>
        </w:tc>
        <w:tc>
          <w:tcPr>
            <w:tcW w:w="708" w:type="pct"/>
            <w:gridSpan w:val="2"/>
            <w:tcBorders>
              <w:top w:val="single" w:sz="4" w:space="0" w:color="auto"/>
              <w:left w:val="single" w:sz="4" w:space="0" w:color="auto"/>
              <w:bottom w:val="single" w:sz="4" w:space="0" w:color="auto"/>
              <w:right w:val="single" w:sz="4" w:space="0" w:color="auto"/>
            </w:tcBorders>
          </w:tcPr>
          <w:p w:rsidR="00083F05" w:rsidRPr="00232889" w:rsidRDefault="00083F05" w:rsidP="00874A09">
            <w:pPr>
              <w:pStyle w:val="TableText0"/>
              <w:keepLines/>
              <w:spacing w:before="0" w:after="0"/>
              <w:jc w:val="center"/>
              <w:rPr>
                <w:szCs w:val="20"/>
              </w:rPr>
            </w:pPr>
            <w:r w:rsidRPr="00232889">
              <w:rPr>
                <w:szCs w:val="20"/>
              </w:rPr>
              <w:t>37/44 (84)</w:t>
            </w:r>
          </w:p>
        </w:tc>
        <w:tc>
          <w:tcPr>
            <w:tcW w:w="943" w:type="pct"/>
            <w:gridSpan w:val="3"/>
            <w:tcBorders>
              <w:top w:val="single" w:sz="4" w:space="0" w:color="auto"/>
              <w:left w:val="single" w:sz="4" w:space="0" w:color="auto"/>
              <w:bottom w:val="single" w:sz="4" w:space="0" w:color="auto"/>
              <w:right w:val="single" w:sz="4" w:space="0" w:color="auto"/>
            </w:tcBorders>
            <w:vAlign w:val="center"/>
          </w:tcPr>
          <w:p w:rsidR="00083F05" w:rsidRPr="00232889" w:rsidRDefault="00083F05" w:rsidP="00874A09">
            <w:pPr>
              <w:keepNext/>
              <w:keepLines/>
              <w:jc w:val="center"/>
              <w:rPr>
                <w:rFonts w:ascii="Arial Narrow" w:hAnsi="Arial Narrow"/>
                <w:color w:val="000000"/>
                <w:sz w:val="20"/>
                <w:szCs w:val="20"/>
              </w:rPr>
            </w:pPr>
            <w:r w:rsidRPr="00232889">
              <w:rPr>
                <w:rFonts w:ascii="Arial Narrow" w:hAnsi="Arial Narrow"/>
                <w:color w:val="000000"/>
                <w:sz w:val="20"/>
                <w:szCs w:val="20"/>
              </w:rPr>
              <w:t>14%</w:t>
            </w:r>
          </w:p>
        </w:tc>
        <w:tc>
          <w:tcPr>
            <w:tcW w:w="1151" w:type="pct"/>
            <w:gridSpan w:val="2"/>
            <w:tcBorders>
              <w:top w:val="single" w:sz="4" w:space="0" w:color="auto"/>
              <w:left w:val="single" w:sz="4" w:space="0" w:color="auto"/>
              <w:bottom w:val="single" w:sz="4" w:space="0" w:color="auto"/>
              <w:right w:val="single" w:sz="4" w:space="0" w:color="auto"/>
            </w:tcBorders>
            <w:vAlign w:val="center"/>
          </w:tcPr>
          <w:p w:rsidR="00083F05" w:rsidRPr="00232889" w:rsidRDefault="00083F05" w:rsidP="00874A09">
            <w:pPr>
              <w:keepNext/>
              <w:keepLines/>
              <w:jc w:val="center"/>
              <w:rPr>
                <w:rFonts w:ascii="Arial Narrow" w:hAnsi="Arial Narrow"/>
                <w:color w:val="000000"/>
                <w:sz w:val="20"/>
                <w:szCs w:val="20"/>
              </w:rPr>
            </w:pPr>
            <w:r w:rsidRPr="00232889">
              <w:rPr>
                <w:rFonts w:ascii="Arial Narrow" w:hAnsi="Arial Narrow"/>
                <w:color w:val="000000"/>
                <w:sz w:val="20"/>
                <w:szCs w:val="20"/>
              </w:rPr>
              <w:t>0.15 (0.09, 0.25)</w:t>
            </w:r>
            <w:r w:rsidR="00874A09">
              <w:rPr>
                <w:rFonts w:ascii="Arial Narrow" w:hAnsi="Arial Narrow"/>
                <w:color w:val="000000"/>
                <w:sz w:val="20"/>
                <w:szCs w:val="20"/>
              </w:rPr>
              <w:t xml:space="preserve">, </w:t>
            </w:r>
            <w:r w:rsidRPr="00232889">
              <w:rPr>
                <w:rFonts w:ascii="Arial Narrow" w:hAnsi="Arial Narrow"/>
                <w:color w:val="000000"/>
                <w:sz w:val="20"/>
                <w:szCs w:val="20"/>
              </w:rPr>
              <w:t>p&lt;0.0001</w:t>
            </w:r>
          </w:p>
        </w:tc>
      </w:tr>
      <w:tr w:rsidR="00083F05" w:rsidRPr="00232889" w:rsidTr="00874A09">
        <w:tc>
          <w:tcPr>
            <w:tcW w:w="1491" w:type="pct"/>
            <w:gridSpan w:val="2"/>
            <w:tcBorders>
              <w:top w:val="single" w:sz="4" w:space="0" w:color="auto"/>
              <w:left w:val="single" w:sz="4" w:space="0" w:color="auto"/>
              <w:bottom w:val="double" w:sz="4" w:space="0" w:color="auto"/>
              <w:right w:val="single" w:sz="4" w:space="0" w:color="auto"/>
            </w:tcBorders>
            <w:shd w:val="clear" w:color="auto" w:fill="auto"/>
          </w:tcPr>
          <w:p w:rsidR="00083F05" w:rsidRPr="00232889" w:rsidRDefault="00083F05" w:rsidP="00874A09">
            <w:pPr>
              <w:pStyle w:val="TableText0"/>
              <w:keepLines/>
              <w:spacing w:before="0" w:after="0"/>
              <w:rPr>
                <w:color w:val="000000"/>
                <w:szCs w:val="20"/>
              </w:rPr>
            </w:pPr>
            <w:r w:rsidRPr="00232889">
              <w:rPr>
                <w:szCs w:val="20"/>
              </w:rPr>
              <w:t>Median PFS, months (95% CI)</w:t>
            </w:r>
          </w:p>
        </w:tc>
        <w:tc>
          <w:tcPr>
            <w:tcW w:w="706" w:type="pct"/>
            <w:gridSpan w:val="2"/>
            <w:tcBorders>
              <w:top w:val="single" w:sz="4" w:space="0" w:color="auto"/>
              <w:left w:val="single" w:sz="4" w:space="0" w:color="auto"/>
              <w:bottom w:val="double" w:sz="4" w:space="0" w:color="auto"/>
              <w:right w:val="single" w:sz="4" w:space="0" w:color="auto"/>
            </w:tcBorders>
          </w:tcPr>
          <w:p w:rsidR="00083F05" w:rsidRPr="00232889" w:rsidRDefault="00083F05" w:rsidP="00874A09">
            <w:pPr>
              <w:pStyle w:val="TableText0"/>
              <w:keepLines/>
              <w:spacing w:before="0" w:after="0"/>
              <w:jc w:val="center"/>
              <w:rPr>
                <w:szCs w:val="20"/>
              </w:rPr>
            </w:pPr>
            <w:r w:rsidRPr="00232889">
              <w:rPr>
                <w:szCs w:val="20"/>
              </w:rPr>
              <w:t>6.3 (4.6, 6.9)</w:t>
            </w:r>
          </w:p>
        </w:tc>
        <w:tc>
          <w:tcPr>
            <w:tcW w:w="708" w:type="pct"/>
            <w:gridSpan w:val="2"/>
            <w:tcBorders>
              <w:top w:val="single" w:sz="4" w:space="0" w:color="auto"/>
              <w:left w:val="single" w:sz="4" w:space="0" w:color="auto"/>
              <w:bottom w:val="double" w:sz="4" w:space="0" w:color="auto"/>
              <w:right w:val="single" w:sz="4" w:space="0" w:color="auto"/>
            </w:tcBorders>
          </w:tcPr>
          <w:p w:rsidR="00083F05" w:rsidRPr="00232889" w:rsidRDefault="00083F05" w:rsidP="00874A09">
            <w:pPr>
              <w:pStyle w:val="TableText0"/>
              <w:keepLines/>
              <w:spacing w:before="0" w:after="0"/>
              <w:jc w:val="center"/>
              <w:rPr>
                <w:szCs w:val="20"/>
              </w:rPr>
            </w:pPr>
            <w:r w:rsidRPr="00232889">
              <w:rPr>
                <w:szCs w:val="20"/>
              </w:rPr>
              <w:t>1.0 (0.9, 1.7)</w:t>
            </w:r>
          </w:p>
        </w:tc>
        <w:tc>
          <w:tcPr>
            <w:tcW w:w="943" w:type="pct"/>
            <w:gridSpan w:val="3"/>
            <w:tcBorders>
              <w:top w:val="single" w:sz="4" w:space="0" w:color="auto"/>
              <w:left w:val="single" w:sz="4" w:space="0" w:color="auto"/>
              <w:bottom w:val="double" w:sz="4" w:space="0" w:color="auto"/>
              <w:right w:val="single" w:sz="4" w:space="0" w:color="auto"/>
            </w:tcBorders>
            <w:vAlign w:val="center"/>
          </w:tcPr>
          <w:p w:rsidR="00083F05" w:rsidRPr="00232889" w:rsidRDefault="00083F05" w:rsidP="00874A09">
            <w:pPr>
              <w:keepNext/>
              <w:keepLines/>
              <w:jc w:val="center"/>
              <w:rPr>
                <w:rFonts w:ascii="Arial Narrow" w:hAnsi="Arial Narrow"/>
                <w:color w:val="000000"/>
                <w:sz w:val="20"/>
                <w:szCs w:val="20"/>
              </w:rPr>
            </w:pPr>
            <w:r w:rsidRPr="00232889">
              <w:rPr>
                <w:rFonts w:ascii="Arial Narrow" w:hAnsi="Arial Narrow"/>
                <w:color w:val="000000"/>
                <w:sz w:val="20"/>
                <w:szCs w:val="20"/>
              </w:rPr>
              <w:t>5.3</w:t>
            </w:r>
          </w:p>
        </w:tc>
        <w:tc>
          <w:tcPr>
            <w:tcW w:w="1151" w:type="pct"/>
            <w:gridSpan w:val="2"/>
            <w:tcBorders>
              <w:top w:val="single" w:sz="4" w:space="0" w:color="auto"/>
              <w:left w:val="single" w:sz="4" w:space="0" w:color="auto"/>
              <w:bottom w:val="double" w:sz="4" w:space="0" w:color="auto"/>
              <w:right w:val="single" w:sz="4" w:space="0" w:color="auto"/>
            </w:tcBorders>
            <w:vAlign w:val="center"/>
          </w:tcPr>
          <w:p w:rsidR="00083F05" w:rsidRPr="00232889" w:rsidRDefault="00083F05" w:rsidP="00874A09">
            <w:pPr>
              <w:keepNext/>
              <w:keepLines/>
              <w:jc w:val="center"/>
              <w:rPr>
                <w:rFonts w:ascii="Arial Narrow" w:hAnsi="Arial Narrow"/>
                <w:color w:val="000000"/>
                <w:sz w:val="20"/>
                <w:szCs w:val="20"/>
              </w:rPr>
            </w:pPr>
            <w:r w:rsidRPr="00232889">
              <w:rPr>
                <w:rFonts w:ascii="Arial Narrow" w:hAnsi="Arial Narrow"/>
                <w:color w:val="000000"/>
                <w:sz w:val="20"/>
                <w:szCs w:val="20"/>
              </w:rPr>
              <w:t>-</w:t>
            </w:r>
          </w:p>
        </w:tc>
      </w:tr>
      <w:tr w:rsidR="00083F05" w:rsidRPr="00232889" w:rsidTr="00994A71">
        <w:tc>
          <w:tcPr>
            <w:tcW w:w="5000" w:type="pct"/>
            <w:gridSpan w:val="11"/>
            <w:tcBorders>
              <w:top w:val="double" w:sz="4" w:space="0" w:color="auto"/>
              <w:left w:val="single" w:sz="4" w:space="0" w:color="auto"/>
              <w:bottom w:val="single" w:sz="4" w:space="0" w:color="auto"/>
              <w:right w:val="single" w:sz="4" w:space="0" w:color="auto"/>
            </w:tcBorders>
            <w:shd w:val="clear" w:color="auto" w:fill="auto"/>
            <w:vAlign w:val="center"/>
          </w:tcPr>
          <w:p w:rsidR="00083F05" w:rsidRPr="00232889" w:rsidRDefault="00083F05" w:rsidP="00874A09">
            <w:pPr>
              <w:keepNext/>
              <w:keepLines/>
              <w:rPr>
                <w:rFonts w:ascii="Arial Narrow" w:hAnsi="Arial Narrow"/>
                <w:b/>
                <w:color w:val="000000"/>
                <w:sz w:val="20"/>
                <w:szCs w:val="20"/>
              </w:rPr>
            </w:pPr>
          </w:p>
        </w:tc>
      </w:tr>
      <w:tr w:rsidR="00083F05" w:rsidRPr="00232889" w:rsidTr="00874A09">
        <w:trPr>
          <w:trHeight w:val="444"/>
        </w:trPr>
        <w:tc>
          <w:tcPr>
            <w:tcW w:w="1491" w:type="pct"/>
            <w:gridSpan w:val="2"/>
            <w:tcBorders>
              <w:top w:val="single" w:sz="4" w:space="0" w:color="auto"/>
              <w:left w:val="single" w:sz="4" w:space="0" w:color="auto"/>
              <w:bottom w:val="double" w:sz="4" w:space="0" w:color="auto"/>
              <w:right w:val="single" w:sz="4" w:space="0" w:color="auto"/>
            </w:tcBorders>
            <w:shd w:val="clear" w:color="auto" w:fill="auto"/>
            <w:vAlign w:val="center"/>
          </w:tcPr>
          <w:p w:rsidR="00083F05" w:rsidRPr="00232889" w:rsidRDefault="00083F05" w:rsidP="00874A09">
            <w:pPr>
              <w:pStyle w:val="TableText0"/>
              <w:keepLines/>
              <w:spacing w:before="0" w:after="0"/>
              <w:rPr>
                <w:color w:val="000000"/>
                <w:szCs w:val="20"/>
              </w:rPr>
            </w:pPr>
            <w:r w:rsidRPr="00232889">
              <w:rPr>
                <w:szCs w:val="20"/>
              </w:rPr>
              <w:t>OS event, n/N (%)</w:t>
            </w:r>
          </w:p>
        </w:tc>
        <w:tc>
          <w:tcPr>
            <w:tcW w:w="706" w:type="pct"/>
            <w:gridSpan w:val="2"/>
            <w:tcBorders>
              <w:top w:val="single" w:sz="4" w:space="0" w:color="auto"/>
              <w:left w:val="single" w:sz="4" w:space="0" w:color="auto"/>
              <w:bottom w:val="double" w:sz="4" w:space="0" w:color="auto"/>
              <w:right w:val="single" w:sz="4" w:space="0" w:color="auto"/>
            </w:tcBorders>
            <w:vAlign w:val="center"/>
          </w:tcPr>
          <w:p w:rsidR="00083F05" w:rsidRPr="00232889" w:rsidRDefault="00083F05" w:rsidP="00874A09">
            <w:pPr>
              <w:pStyle w:val="TableText0"/>
              <w:keepLines/>
              <w:spacing w:before="0" w:after="0"/>
              <w:jc w:val="center"/>
              <w:rPr>
                <w:szCs w:val="20"/>
              </w:rPr>
            </w:pPr>
            <w:r w:rsidRPr="00232889">
              <w:rPr>
                <w:szCs w:val="20"/>
              </w:rPr>
              <w:t>26/85 (31)</w:t>
            </w:r>
          </w:p>
        </w:tc>
        <w:tc>
          <w:tcPr>
            <w:tcW w:w="708" w:type="pct"/>
            <w:gridSpan w:val="2"/>
            <w:tcBorders>
              <w:top w:val="single" w:sz="4" w:space="0" w:color="auto"/>
              <w:left w:val="single" w:sz="4" w:space="0" w:color="auto"/>
              <w:bottom w:val="double" w:sz="4" w:space="0" w:color="auto"/>
              <w:right w:val="single" w:sz="4" w:space="0" w:color="auto"/>
            </w:tcBorders>
            <w:vAlign w:val="center"/>
          </w:tcPr>
          <w:p w:rsidR="00083F05" w:rsidRPr="00232889" w:rsidRDefault="00083F05" w:rsidP="00874A09">
            <w:pPr>
              <w:pStyle w:val="TableText0"/>
              <w:keepLines/>
              <w:spacing w:before="0" w:after="0"/>
              <w:jc w:val="center"/>
              <w:rPr>
                <w:szCs w:val="20"/>
              </w:rPr>
            </w:pPr>
            <w:r w:rsidRPr="00232889">
              <w:rPr>
                <w:szCs w:val="20"/>
              </w:rPr>
              <w:t>26/44 (59)</w:t>
            </w:r>
          </w:p>
        </w:tc>
        <w:tc>
          <w:tcPr>
            <w:tcW w:w="2094" w:type="pct"/>
            <w:gridSpan w:val="5"/>
            <w:vMerge w:val="restart"/>
            <w:tcBorders>
              <w:top w:val="single" w:sz="4" w:space="0" w:color="auto"/>
              <w:left w:val="single" w:sz="4" w:space="0" w:color="auto"/>
              <w:right w:val="single" w:sz="4" w:space="0" w:color="auto"/>
            </w:tcBorders>
            <w:vAlign w:val="center"/>
          </w:tcPr>
          <w:p w:rsidR="00083F05" w:rsidRPr="00232889" w:rsidRDefault="00083F05" w:rsidP="00874A09">
            <w:pPr>
              <w:keepNext/>
              <w:keepLines/>
              <w:jc w:val="center"/>
              <w:rPr>
                <w:rFonts w:ascii="Arial Narrow" w:hAnsi="Arial Narrow"/>
                <w:color w:val="000000"/>
                <w:sz w:val="20"/>
                <w:szCs w:val="20"/>
              </w:rPr>
            </w:pPr>
            <w:r w:rsidRPr="00232889">
              <w:rPr>
                <w:rFonts w:ascii="Arial Narrow" w:hAnsi="Arial Narrow"/>
                <w:color w:val="000000"/>
                <w:sz w:val="20"/>
                <w:szCs w:val="20"/>
              </w:rPr>
              <w:t xml:space="preserve">Not appropriate: because of the hierarchical hypothesis testing in INVICTUS, a comparison of overall survival was not possible due to the absence of a statistically significant result in ORR. </w:t>
            </w:r>
          </w:p>
        </w:tc>
      </w:tr>
      <w:tr w:rsidR="00083F05" w:rsidRPr="00232889" w:rsidTr="00874A09">
        <w:trPr>
          <w:trHeight w:val="444"/>
        </w:trPr>
        <w:tc>
          <w:tcPr>
            <w:tcW w:w="1491" w:type="pct"/>
            <w:gridSpan w:val="2"/>
            <w:tcBorders>
              <w:top w:val="single" w:sz="4" w:space="0" w:color="auto"/>
              <w:left w:val="single" w:sz="4" w:space="0" w:color="auto"/>
              <w:bottom w:val="double" w:sz="4" w:space="0" w:color="auto"/>
              <w:right w:val="single" w:sz="4" w:space="0" w:color="auto"/>
            </w:tcBorders>
            <w:shd w:val="clear" w:color="auto" w:fill="auto"/>
            <w:vAlign w:val="center"/>
          </w:tcPr>
          <w:p w:rsidR="00083F05" w:rsidRPr="00232889" w:rsidRDefault="00083F05" w:rsidP="00874A09">
            <w:pPr>
              <w:pStyle w:val="TableText0"/>
              <w:keepLines/>
              <w:spacing w:before="0" w:after="0"/>
              <w:rPr>
                <w:color w:val="000000"/>
                <w:szCs w:val="20"/>
              </w:rPr>
            </w:pPr>
            <w:r w:rsidRPr="00232889">
              <w:rPr>
                <w:szCs w:val="20"/>
              </w:rPr>
              <w:t>Median OS, months (95% CI)</w:t>
            </w:r>
          </w:p>
        </w:tc>
        <w:tc>
          <w:tcPr>
            <w:tcW w:w="706" w:type="pct"/>
            <w:gridSpan w:val="2"/>
            <w:tcBorders>
              <w:top w:val="single" w:sz="4" w:space="0" w:color="auto"/>
              <w:left w:val="single" w:sz="4" w:space="0" w:color="auto"/>
              <w:bottom w:val="double" w:sz="4" w:space="0" w:color="auto"/>
              <w:right w:val="single" w:sz="4" w:space="0" w:color="auto"/>
            </w:tcBorders>
            <w:vAlign w:val="center"/>
          </w:tcPr>
          <w:p w:rsidR="00083F05" w:rsidRPr="00232889" w:rsidRDefault="00083F05" w:rsidP="00874A09">
            <w:pPr>
              <w:pStyle w:val="TableText0"/>
              <w:keepLines/>
              <w:spacing w:before="0" w:after="0"/>
              <w:jc w:val="center"/>
              <w:rPr>
                <w:szCs w:val="20"/>
              </w:rPr>
            </w:pPr>
            <w:r w:rsidRPr="00232889">
              <w:rPr>
                <w:szCs w:val="20"/>
              </w:rPr>
              <w:t>15.1 (12.3, 15.1)</w:t>
            </w:r>
          </w:p>
        </w:tc>
        <w:tc>
          <w:tcPr>
            <w:tcW w:w="708" w:type="pct"/>
            <w:gridSpan w:val="2"/>
            <w:tcBorders>
              <w:top w:val="single" w:sz="4" w:space="0" w:color="auto"/>
              <w:left w:val="single" w:sz="4" w:space="0" w:color="auto"/>
              <w:bottom w:val="double" w:sz="4" w:space="0" w:color="auto"/>
              <w:right w:val="single" w:sz="4" w:space="0" w:color="auto"/>
            </w:tcBorders>
            <w:vAlign w:val="center"/>
          </w:tcPr>
          <w:p w:rsidR="00083F05" w:rsidRPr="00232889" w:rsidRDefault="00083F05" w:rsidP="00874A09">
            <w:pPr>
              <w:pStyle w:val="TableText0"/>
              <w:keepLines/>
              <w:spacing w:before="0" w:after="0"/>
              <w:jc w:val="center"/>
              <w:rPr>
                <w:szCs w:val="20"/>
              </w:rPr>
            </w:pPr>
            <w:r w:rsidRPr="00232889">
              <w:rPr>
                <w:szCs w:val="20"/>
              </w:rPr>
              <w:t>6.6 (4.1, 11.6)</w:t>
            </w:r>
          </w:p>
        </w:tc>
        <w:tc>
          <w:tcPr>
            <w:tcW w:w="2094" w:type="pct"/>
            <w:gridSpan w:val="5"/>
            <w:vMerge/>
            <w:tcBorders>
              <w:left w:val="single" w:sz="4" w:space="0" w:color="auto"/>
              <w:bottom w:val="double" w:sz="4" w:space="0" w:color="auto"/>
              <w:right w:val="single" w:sz="4" w:space="0" w:color="auto"/>
            </w:tcBorders>
          </w:tcPr>
          <w:p w:rsidR="00083F05" w:rsidRPr="00232889" w:rsidRDefault="00083F05" w:rsidP="00874A09">
            <w:pPr>
              <w:keepNext/>
              <w:keepLines/>
              <w:jc w:val="center"/>
              <w:rPr>
                <w:rFonts w:ascii="Arial Narrow" w:hAnsi="Arial Narrow"/>
                <w:color w:val="000000"/>
                <w:sz w:val="20"/>
                <w:szCs w:val="20"/>
              </w:rPr>
            </w:pPr>
          </w:p>
        </w:tc>
      </w:tr>
      <w:tr w:rsidR="00083F05" w:rsidRPr="00232889" w:rsidTr="00994A71">
        <w:tc>
          <w:tcPr>
            <w:tcW w:w="5000" w:type="pct"/>
            <w:gridSpan w:val="11"/>
            <w:tcBorders>
              <w:top w:val="double" w:sz="4" w:space="0" w:color="auto"/>
              <w:left w:val="single" w:sz="4" w:space="0" w:color="auto"/>
              <w:bottom w:val="single" w:sz="4" w:space="0" w:color="auto"/>
              <w:right w:val="single" w:sz="4" w:space="0" w:color="auto"/>
            </w:tcBorders>
            <w:shd w:val="clear" w:color="auto" w:fill="auto"/>
            <w:vAlign w:val="center"/>
          </w:tcPr>
          <w:p w:rsidR="00083F05" w:rsidRPr="00232889" w:rsidRDefault="00083F05" w:rsidP="00874A09">
            <w:pPr>
              <w:keepNext/>
              <w:keepLines/>
              <w:rPr>
                <w:rFonts w:ascii="Arial Narrow" w:hAnsi="Arial Narrow"/>
                <w:b/>
                <w:color w:val="000000"/>
                <w:sz w:val="20"/>
                <w:szCs w:val="20"/>
              </w:rPr>
            </w:pPr>
            <w:r w:rsidRPr="00232889">
              <w:rPr>
                <w:rFonts w:ascii="Arial Narrow" w:hAnsi="Arial Narrow"/>
                <w:b/>
                <w:color w:val="000000"/>
                <w:sz w:val="20"/>
                <w:szCs w:val="20"/>
              </w:rPr>
              <w:t xml:space="preserve">Harms in INVICTUS trial </w:t>
            </w:r>
          </w:p>
        </w:tc>
      </w:tr>
      <w:tr w:rsidR="00083F05" w:rsidRPr="00232889" w:rsidTr="00874A09">
        <w:trPr>
          <w:trHeight w:val="70"/>
        </w:trPr>
        <w:tc>
          <w:tcPr>
            <w:tcW w:w="117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83F05" w:rsidRPr="00232889" w:rsidRDefault="00083F05" w:rsidP="00874A09">
            <w:pPr>
              <w:keepNext/>
              <w:keepLines/>
              <w:rPr>
                <w:rFonts w:ascii="Arial Narrow" w:hAnsi="Arial Narrow"/>
                <w:b/>
                <w:color w:val="000000"/>
                <w:sz w:val="20"/>
                <w:szCs w:val="20"/>
              </w:rPr>
            </w:pPr>
          </w:p>
        </w:tc>
        <w:tc>
          <w:tcPr>
            <w:tcW w:w="629" w:type="pct"/>
            <w:gridSpan w:val="2"/>
            <w:vMerge w:val="restart"/>
            <w:tcBorders>
              <w:top w:val="single" w:sz="4" w:space="0" w:color="auto"/>
              <w:left w:val="single" w:sz="4" w:space="0" w:color="auto"/>
              <w:bottom w:val="single" w:sz="4" w:space="0" w:color="auto"/>
              <w:right w:val="single" w:sz="4" w:space="0" w:color="auto"/>
            </w:tcBorders>
            <w:vAlign w:val="center"/>
          </w:tcPr>
          <w:p w:rsidR="00083F05" w:rsidRPr="00232889" w:rsidRDefault="00083F05" w:rsidP="00874A09">
            <w:pPr>
              <w:keepNext/>
              <w:keepLines/>
              <w:jc w:val="center"/>
              <w:rPr>
                <w:rFonts w:ascii="Arial Narrow" w:hAnsi="Arial Narrow"/>
                <w:b/>
                <w:color w:val="000000"/>
                <w:sz w:val="20"/>
                <w:szCs w:val="20"/>
              </w:rPr>
            </w:pPr>
            <w:r w:rsidRPr="00232889">
              <w:rPr>
                <w:rFonts w:ascii="Arial Narrow" w:hAnsi="Arial Narrow"/>
                <w:b/>
                <w:color w:val="000000"/>
                <w:sz w:val="20"/>
                <w:szCs w:val="20"/>
              </w:rPr>
              <w:t>Ripretinib</w:t>
            </w:r>
          </w:p>
          <w:p w:rsidR="00083F05" w:rsidRPr="00232889" w:rsidRDefault="00083F05" w:rsidP="00874A09">
            <w:pPr>
              <w:keepNext/>
              <w:keepLines/>
              <w:jc w:val="center"/>
              <w:rPr>
                <w:rFonts w:ascii="Arial Narrow" w:hAnsi="Arial Narrow"/>
                <w:b/>
                <w:color w:val="000000"/>
                <w:sz w:val="20"/>
                <w:szCs w:val="20"/>
              </w:rPr>
            </w:pPr>
            <w:r w:rsidRPr="00232889">
              <w:rPr>
                <w:rFonts w:ascii="Arial Narrow" w:hAnsi="Arial Narrow"/>
                <w:b/>
                <w:color w:val="000000"/>
                <w:sz w:val="20"/>
                <w:szCs w:val="20"/>
              </w:rPr>
              <w:t>n/N</w:t>
            </w:r>
            <w:r w:rsidR="00232889">
              <w:rPr>
                <w:rFonts w:ascii="Arial Narrow" w:hAnsi="Arial Narrow"/>
                <w:b/>
                <w:color w:val="000000"/>
                <w:sz w:val="20"/>
                <w:szCs w:val="20"/>
              </w:rPr>
              <w:t xml:space="preserve"> </w:t>
            </w:r>
          </w:p>
        </w:tc>
        <w:tc>
          <w:tcPr>
            <w:tcW w:w="550" w:type="pct"/>
            <w:gridSpan w:val="2"/>
            <w:vMerge w:val="restart"/>
            <w:tcBorders>
              <w:top w:val="single" w:sz="4" w:space="0" w:color="auto"/>
              <w:left w:val="single" w:sz="4" w:space="0" w:color="auto"/>
              <w:bottom w:val="single" w:sz="4" w:space="0" w:color="auto"/>
              <w:right w:val="single" w:sz="4" w:space="0" w:color="auto"/>
            </w:tcBorders>
            <w:vAlign w:val="center"/>
          </w:tcPr>
          <w:p w:rsidR="00083F05" w:rsidRPr="00232889" w:rsidRDefault="00083F05" w:rsidP="00874A09">
            <w:pPr>
              <w:keepNext/>
              <w:keepLines/>
              <w:jc w:val="center"/>
              <w:rPr>
                <w:rFonts w:ascii="Arial Narrow" w:hAnsi="Arial Narrow"/>
                <w:b/>
                <w:color w:val="000000"/>
                <w:sz w:val="20"/>
                <w:szCs w:val="20"/>
              </w:rPr>
            </w:pPr>
            <w:r w:rsidRPr="00232889">
              <w:rPr>
                <w:rFonts w:ascii="Arial Narrow" w:hAnsi="Arial Narrow"/>
                <w:b/>
                <w:color w:val="000000"/>
                <w:sz w:val="20"/>
                <w:szCs w:val="20"/>
              </w:rPr>
              <w:t>Placebo</w:t>
            </w:r>
          </w:p>
          <w:p w:rsidR="00083F05" w:rsidRPr="00232889" w:rsidRDefault="00083F05" w:rsidP="00874A09">
            <w:pPr>
              <w:keepNext/>
              <w:keepLines/>
              <w:jc w:val="center"/>
              <w:rPr>
                <w:rFonts w:ascii="Arial Narrow" w:hAnsi="Arial Narrow"/>
                <w:b/>
                <w:color w:val="000000"/>
                <w:sz w:val="20"/>
                <w:szCs w:val="20"/>
              </w:rPr>
            </w:pPr>
            <w:r w:rsidRPr="00232889">
              <w:rPr>
                <w:rFonts w:ascii="Arial Narrow" w:hAnsi="Arial Narrow"/>
                <w:b/>
                <w:color w:val="000000"/>
                <w:sz w:val="20"/>
                <w:szCs w:val="20"/>
              </w:rPr>
              <w:t>n/N</w:t>
            </w:r>
          </w:p>
        </w:tc>
        <w:tc>
          <w:tcPr>
            <w:tcW w:w="786" w:type="pct"/>
            <w:gridSpan w:val="2"/>
            <w:vMerge w:val="restart"/>
            <w:tcBorders>
              <w:top w:val="single" w:sz="4" w:space="0" w:color="auto"/>
              <w:left w:val="single" w:sz="4" w:space="0" w:color="auto"/>
              <w:bottom w:val="single" w:sz="4" w:space="0" w:color="auto"/>
              <w:right w:val="single" w:sz="4" w:space="0" w:color="auto"/>
            </w:tcBorders>
            <w:vAlign w:val="center"/>
          </w:tcPr>
          <w:p w:rsidR="00083F05" w:rsidRPr="00874A09" w:rsidRDefault="00083F05" w:rsidP="00874A09">
            <w:pPr>
              <w:keepNext/>
              <w:keepLines/>
              <w:jc w:val="center"/>
              <w:rPr>
                <w:rFonts w:ascii="Arial Narrow" w:hAnsi="Arial Narrow"/>
                <w:b/>
                <w:color w:val="000000"/>
                <w:sz w:val="20"/>
                <w:szCs w:val="20"/>
              </w:rPr>
            </w:pPr>
            <w:r w:rsidRPr="00874A09">
              <w:rPr>
                <w:rFonts w:ascii="Arial Narrow" w:hAnsi="Arial Narrow"/>
                <w:b/>
                <w:color w:val="000000"/>
                <w:sz w:val="20"/>
                <w:szCs w:val="20"/>
              </w:rPr>
              <w:t>RR</w:t>
            </w:r>
          </w:p>
          <w:p w:rsidR="00083F05" w:rsidRPr="00874A09" w:rsidRDefault="00083F05" w:rsidP="00874A09">
            <w:pPr>
              <w:keepNext/>
              <w:keepLines/>
              <w:jc w:val="center"/>
              <w:rPr>
                <w:rFonts w:ascii="Arial Narrow" w:hAnsi="Arial Narrow"/>
                <w:b/>
                <w:color w:val="000000"/>
                <w:sz w:val="20"/>
                <w:szCs w:val="20"/>
              </w:rPr>
            </w:pPr>
            <w:r w:rsidRPr="00874A09">
              <w:rPr>
                <w:rFonts w:ascii="Arial Narrow" w:hAnsi="Arial Narrow"/>
                <w:b/>
                <w:color w:val="000000"/>
                <w:sz w:val="20"/>
                <w:szCs w:val="20"/>
              </w:rPr>
              <w:t>(95% CI)</w:t>
            </w:r>
            <w:r w:rsidR="00200039">
              <w:rPr>
                <w:rFonts w:ascii="Arial Narrow" w:hAnsi="Arial Narrow"/>
                <w:b/>
                <w:color w:val="000000"/>
                <w:sz w:val="20"/>
                <w:szCs w:val="20"/>
              </w:rPr>
              <w:t>**</w:t>
            </w:r>
          </w:p>
        </w:tc>
        <w:tc>
          <w:tcPr>
            <w:tcW w:w="1090" w:type="pct"/>
            <w:gridSpan w:val="3"/>
            <w:tcBorders>
              <w:top w:val="single" w:sz="4" w:space="0" w:color="auto"/>
              <w:left w:val="single" w:sz="4" w:space="0" w:color="auto"/>
              <w:bottom w:val="single" w:sz="4" w:space="0" w:color="auto"/>
              <w:right w:val="single" w:sz="4" w:space="0" w:color="auto"/>
            </w:tcBorders>
            <w:vAlign w:val="center"/>
          </w:tcPr>
          <w:p w:rsidR="00083F05" w:rsidRPr="00874A09" w:rsidRDefault="00083F05" w:rsidP="00874A09">
            <w:pPr>
              <w:keepNext/>
              <w:keepLines/>
              <w:jc w:val="center"/>
              <w:rPr>
                <w:rFonts w:ascii="Arial Narrow" w:hAnsi="Arial Narrow"/>
                <w:b/>
                <w:color w:val="000000"/>
                <w:sz w:val="20"/>
                <w:szCs w:val="20"/>
              </w:rPr>
            </w:pPr>
            <w:r w:rsidRPr="00874A09">
              <w:rPr>
                <w:rFonts w:ascii="Arial Narrow" w:hAnsi="Arial Narrow"/>
                <w:b/>
                <w:color w:val="000000"/>
                <w:sz w:val="20"/>
                <w:szCs w:val="20"/>
              </w:rPr>
              <w:t xml:space="preserve">Event rate/100 patients* </w:t>
            </w:r>
          </w:p>
        </w:tc>
        <w:tc>
          <w:tcPr>
            <w:tcW w:w="768" w:type="pct"/>
            <w:vMerge w:val="restart"/>
            <w:tcBorders>
              <w:top w:val="single" w:sz="4" w:space="0" w:color="auto"/>
              <w:left w:val="single" w:sz="4" w:space="0" w:color="auto"/>
              <w:bottom w:val="single" w:sz="4" w:space="0" w:color="auto"/>
              <w:right w:val="single" w:sz="4" w:space="0" w:color="auto"/>
            </w:tcBorders>
            <w:vAlign w:val="center"/>
          </w:tcPr>
          <w:p w:rsidR="00083F05" w:rsidRPr="00874A09" w:rsidRDefault="00083F05" w:rsidP="00874A09">
            <w:pPr>
              <w:keepNext/>
              <w:keepLines/>
              <w:jc w:val="center"/>
              <w:rPr>
                <w:rFonts w:ascii="Arial Narrow" w:hAnsi="Arial Narrow"/>
                <w:b/>
                <w:color w:val="000000"/>
                <w:sz w:val="20"/>
                <w:szCs w:val="20"/>
              </w:rPr>
            </w:pPr>
            <w:r w:rsidRPr="00874A09">
              <w:rPr>
                <w:rFonts w:ascii="Arial Narrow" w:hAnsi="Arial Narrow"/>
                <w:b/>
                <w:color w:val="000000"/>
                <w:sz w:val="20"/>
                <w:szCs w:val="20"/>
              </w:rPr>
              <w:t>RD</w:t>
            </w:r>
          </w:p>
          <w:p w:rsidR="00083F05" w:rsidRPr="00874A09" w:rsidRDefault="00083F05" w:rsidP="00874A09">
            <w:pPr>
              <w:keepNext/>
              <w:keepLines/>
              <w:jc w:val="center"/>
              <w:rPr>
                <w:rFonts w:ascii="Arial Narrow" w:hAnsi="Arial Narrow"/>
                <w:b/>
                <w:color w:val="000000"/>
                <w:sz w:val="20"/>
                <w:szCs w:val="20"/>
              </w:rPr>
            </w:pPr>
            <w:r w:rsidRPr="00874A09">
              <w:rPr>
                <w:rFonts w:ascii="Arial Narrow" w:hAnsi="Arial Narrow"/>
                <w:b/>
                <w:color w:val="000000"/>
                <w:sz w:val="20"/>
                <w:szCs w:val="20"/>
              </w:rPr>
              <w:t>(95% CI)</w:t>
            </w:r>
            <w:r w:rsidR="00200039">
              <w:rPr>
                <w:rFonts w:ascii="Arial Narrow" w:hAnsi="Arial Narrow"/>
                <w:b/>
                <w:color w:val="000000"/>
                <w:sz w:val="20"/>
                <w:szCs w:val="20"/>
              </w:rPr>
              <w:t>**</w:t>
            </w:r>
          </w:p>
        </w:tc>
      </w:tr>
      <w:tr w:rsidR="00083F05" w:rsidRPr="00232889" w:rsidTr="00874A09">
        <w:trPr>
          <w:trHeight w:val="390"/>
        </w:trPr>
        <w:tc>
          <w:tcPr>
            <w:tcW w:w="1177" w:type="pct"/>
            <w:vMerge/>
            <w:tcBorders>
              <w:top w:val="single" w:sz="4" w:space="0" w:color="auto"/>
              <w:left w:val="single" w:sz="4" w:space="0" w:color="auto"/>
              <w:bottom w:val="single" w:sz="4" w:space="0" w:color="auto"/>
              <w:right w:val="single" w:sz="4" w:space="0" w:color="auto"/>
            </w:tcBorders>
            <w:shd w:val="clear" w:color="auto" w:fill="auto"/>
            <w:vAlign w:val="center"/>
          </w:tcPr>
          <w:p w:rsidR="00083F05" w:rsidRPr="00232889" w:rsidRDefault="00083F05" w:rsidP="00874A09">
            <w:pPr>
              <w:keepNext/>
              <w:keepLines/>
              <w:rPr>
                <w:rFonts w:ascii="Arial Narrow" w:hAnsi="Arial Narrow"/>
                <w:b/>
                <w:color w:val="000000"/>
                <w:sz w:val="20"/>
                <w:szCs w:val="20"/>
              </w:rPr>
            </w:pPr>
          </w:p>
        </w:tc>
        <w:tc>
          <w:tcPr>
            <w:tcW w:w="629" w:type="pct"/>
            <w:gridSpan w:val="2"/>
            <w:vMerge/>
            <w:tcBorders>
              <w:top w:val="single" w:sz="4" w:space="0" w:color="auto"/>
              <w:left w:val="single" w:sz="4" w:space="0" w:color="auto"/>
              <w:bottom w:val="single" w:sz="4" w:space="0" w:color="auto"/>
              <w:right w:val="single" w:sz="4" w:space="0" w:color="auto"/>
            </w:tcBorders>
            <w:vAlign w:val="center"/>
          </w:tcPr>
          <w:p w:rsidR="00083F05" w:rsidRPr="00232889" w:rsidRDefault="00083F05" w:rsidP="00874A09">
            <w:pPr>
              <w:keepNext/>
              <w:keepLines/>
              <w:jc w:val="center"/>
              <w:rPr>
                <w:rFonts w:ascii="Arial Narrow" w:hAnsi="Arial Narrow"/>
                <w:b/>
                <w:color w:val="000000"/>
                <w:sz w:val="20"/>
                <w:szCs w:val="20"/>
              </w:rPr>
            </w:pPr>
          </w:p>
        </w:tc>
        <w:tc>
          <w:tcPr>
            <w:tcW w:w="550" w:type="pct"/>
            <w:gridSpan w:val="2"/>
            <w:vMerge/>
            <w:tcBorders>
              <w:top w:val="single" w:sz="4" w:space="0" w:color="auto"/>
              <w:left w:val="single" w:sz="4" w:space="0" w:color="auto"/>
              <w:bottom w:val="single" w:sz="4" w:space="0" w:color="auto"/>
              <w:right w:val="single" w:sz="4" w:space="0" w:color="auto"/>
            </w:tcBorders>
            <w:vAlign w:val="center"/>
          </w:tcPr>
          <w:p w:rsidR="00083F05" w:rsidRPr="00232889" w:rsidRDefault="00083F05" w:rsidP="00874A09">
            <w:pPr>
              <w:keepNext/>
              <w:keepLines/>
              <w:jc w:val="center"/>
              <w:rPr>
                <w:rFonts w:ascii="Arial Narrow" w:hAnsi="Arial Narrow"/>
                <w:b/>
                <w:color w:val="000000"/>
                <w:sz w:val="20"/>
                <w:szCs w:val="20"/>
              </w:rPr>
            </w:pPr>
          </w:p>
        </w:tc>
        <w:tc>
          <w:tcPr>
            <w:tcW w:w="786" w:type="pct"/>
            <w:gridSpan w:val="2"/>
            <w:vMerge/>
            <w:tcBorders>
              <w:top w:val="single" w:sz="4" w:space="0" w:color="auto"/>
              <w:left w:val="single" w:sz="4" w:space="0" w:color="auto"/>
              <w:bottom w:val="single" w:sz="4" w:space="0" w:color="auto"/>
              <w:right w:val="single" w:sz="4" w:space="0" w:color="auto"/>
            </w:tcBorders>
            <w:vAlign w:val="center"/>
          </w:tcPr>
          <w:p w:rsidR="00083F05" w:rsidRPr="00874A09" w:rsidRDefault="00083F05" w:rsidP="00874A09">
            <w:pPr>
              <w:keepNext/>
              <w:keepLines/>
              <w:jc w:val="center"/>
              <w:rPr>
                <w:rFonts w:ascii="Arial Narrow" w:hAnsi="Arial Narrow"/>
                <w:b/>
                <w:color w:val="000000"/>
                <w:sz w:val="20"/>
                <w:szCs w:val="20"/>
              </w:rPr>
            </w:pPr>
          </w:p>
        </w:tc>
        <w:tc>
          <w:tcPr>
            <w:tcW w:w="629" w:type="pct"/>
            <w:tcBorders>
              <w:top w:val="single" w:sz="4" w:space="0" w:color="auto"/>
              <w:left w:val="single" w:sz="4" w:space="0" w:color="auto"/>
              <w:bottom w:val="single" w:sz="4" w:space="0" w:color="auto"/>
              <w:right w:val="single" w:sz="4" w:space="0" w:color="auto"/>
            </w:tcBorders>
            <w:vAlign w:val="center"/>
          </w:tcPr>
          <w:p w:rsidR="00083F05" w:rsidRPr="00874A09" w:rsidRDefault="00083F05" w:rsidP="00874A09">
            <w:pPr>
              <w:keepNext/>
              <w:keepLines/>
              <w:jc w:val="center"/>
              <w:rPr>
                <w:rFonts w:ascii="Arial Narrow" w:hAnsi="Arial Narrow"/>
                <w:b/>
                <w:color w:val="000000"/>
                <w:sz w:val="20"/>
                <w:szCs w:val="20"/>
              </w:rPr>
            </w:pPr>
            <w:r w:rsidRPr="00874A09">
              <w:rPr>
                <w:rFonts w:ascii="Arial Narrow" w:hAnsi="Arial Narrow"/>
                <w:b/>
                <w:color w:val="000000"/>
                <w:sz w:val="20"/>
                <w:szCs w:val="20"/>
              </w:rPr>
              <w:t>Ripretinib</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083F05" w:rsidRPr="00874A09" w:rsidRDefault="00083F05" w:rsidP="00874A09">
            <w:pPr>
              <w:keepNext/>
              <w:keepLines/>
              <w:jc w:val="center"/>
              <w:rPr>
                <w:rFonts w:ascii="Arial Narrow" w:hAnsi="Arial Narrow"/>
                <w:b/>
                <w:color w:val="000000"/>
                <w:sz w:val="20"/>
                <w:szCs w:val="20"/>
              </w:rPr>
            </w:pPr>
            <w:r w:rsidRPr="00874A09">
              <w:rPr>
                <w:rFonts w:ascii="Arial Narrow" w:hAnsi="Arial Narrow"/>
                <w:b/>
                <w:color w:val="000000"/>
                <w:sz w:val="20"/>
                <w:szCs w:val="20"/>
              </w:rPr>
              <w:t>Placebo</w:t>
            </w:r>
          </w:p>
        </w:tc>
        <w:tc>
          <w:tcPr>
            <w:tcW w:w="768" w:type="pct"/>
            <w:vMerge/>
            <w:tcBorders>
              <w:top w:val="single" w:sz="4" w:space="0" w:color="auto"/>
              <w:left w:val="single" w:sz="4" w:space="0" w:color="auto"/>
              <w:bottom w:val="single" w:sz="4" w:space="0" w:color="auto"/>
              <w:right w:val="single" w:sz="4" w:space="0" w:color="auto"/>
            </w:tcBorders>
            <w:vAlign w:val="center"/>
          </w:tcPr>
          <w:p w:rsidR="00083F05" w:rsidRPr="00874A09" w:rsidRDefault="00083F05" w:rsidP="00874A09">
            <w:pPr>
              <w:keepNext/>
              <w:keepLines/>
              <w:jc w:val="center"/>
              <w:rPr>
                <w:rFonts w:ascii="Arial Narrow" w:hAnsi="Arial Narrow"/>
                <w:b/>
                <w:color w:val="000000"/>
                <w:sz w:val="20"/>
                <w:szCs w:val="20"/>
              </w:rPr>
            </w:pPr>
          </w:p>
        </w:tc>
      </w:tr>
      <w:tr w:rsidR="00232889" w:rsidRPr="00232889" w:rsidTr="00874A09">
        <w:tc>
          <w:tcPr>
            <w:tcW w:w="1177" w:type="pct"/>
            <w:tcBorders>
              <w:top w:val="single" w:sz="4" w:space="0" w:color="auto"/>
              <w:left w:val="single" w:sz="4" w:space="0" w:color="auto"/>
              <w:bottom w:val="single" w:sz="4" w:space="0" w:color="auto"/>
              <w:right w:val="single" w:sz="4" w:space="0" w:color="auto"/>
            </w:tcBorders>
            <w:shd w:val="clear" w:color="auto" w:fill="auto"/>
          </w:tcPr>
          <w:p w:rsidR="00232889" w:rsidRPr="00232889" w:rsidRDefault="00232889" w:rsidP="00874A09">
            <w:pPr>
              <w:pStyle w:val="TableText0"/>
              <w:keepLines/>
              <w:spacing w:before="0" w:after="0"/>
              <w:rPr>
                <w:color w:val="000000"/>
                <w:szCs w:val="20"/>
              </w:rPr>
            </w:pPr>
            <w:r w:rsidRPr="00232889">
              <w:rPr>
                <w:color w:val="000000"/>
                <w:szCs w:val="20"/>
              </w:rPr>
              <w:t>Alopecia</w:t>
            </w:r>
          </w:p>
        </w:tc>
        <w:tc>
          <w:tcPr>
            <w:tcW w:w="629" w:type="pct"/>
            <w:gridSpan w:val="2"/>
            <w:tcBorders>
              <w:top w:val="single" w:sz="4" w:space="0" w:color="auto"/>
              <w:left w:val="single" w:sz="4" w:space="0" w:color="auto"/>
              <w:bottom w:val="single" w:sz="4" w:space="0" w:color="auto"/>
              <w:right w:val="single" w:sz="4" w:space="0" w:color="auto"/>
            </w:tcBorders>
            <w:vAlign w:val="center"/>
          </w:tcPr>
          <w:p w:rsidR="00232889" w:rsidRPr="00232889" w:rsidRDefault="00232889" w:rsidP="00874A09">
            <w:pPr>
              <w:pStyle w:val="TableText0"/>
              <w:keepLines/>
              <w:spacing w:before="0" w:after="0"/>
              <w:jc w:val="center"/>
              <w:rPr>
                <w:szCs w:val="20"/>
              </w:rPr>
            </w:pPr>
            <w:r w:rsidRPr="00232889">
              <w:rPr>
                <w:szCs w:val="20"/>
              </w:rPr>
              <w:t>44/85</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232889" w:rsidRPr="00232889" w:rsidRDefault="00232889" w:rsidP="00874A09">
            <w:pPr>
              <w:pStyle w:val="TableText0"/>
              <w:keepLines/>
              <w:spacing w:before="0" w:after="0"/>
              <w:jc w:val="center"/>
              <w:rPr>
                <w:szCs w:val="20"/>
              </w:rPr>
            </w:pPr>
            <w:r>
              <w:rPr>
                <w:szCs w:val="20"/>
              </w:rPr>
              <w:t>2/43</w:t>
            </w:r>
          </w:p>
        </w:tc>
        <w:tc>
          <w:tcPr>
            <w:tcW w:w="786" w:type="pct"/>
            <w:gridSpan w:val="2"/>
            <w:tcBorders>
              <w:top w:val="single" w:sz="4" w:space="0" w:color="auto"/>
              <w:left w:val="single" w:sz="4" w:space="0" w:color="auto"/>
              <w:bottom w:val="single" w:sz="4" w:space="0" w:color="auto"/>
              <w:right w:val="single" w:sz="4" w:space="0" w:color="auto"/>
            </w:tcBorders>
            <w:vAlign w:val="center"/>
          </w:tcPr>
          <w:p w:rsidR="00232889" w:rsidRPr="00200039" w:rsidRDefault="00232889" w:rsidP="00874A09">
            <w:pPr>
              <w:pStyle w:val="TableText0"/>
              <w:keepLines/>
              <w:spacing w:before="0" w:after="0"/>
              <w:jc w:val="center"/>
              <w:rPr>
                <w:b/>
                <w:bCs/>
                <w:iCs/>
                <w:color w:val="000000"/>
                <w:szCs w:val="20"/>
              </w:rPr>
            </w:pPr>
            <w:r w:rsidRPr="00200039">
              <w:rPr>
                <w:b/>
                <w:bCs/>
                <w:iCs/>
                <w:color w:val="000000"/>
                <w:szCs w:val="20"/>
              </w:rPr>
              <w:t>11.13 (3.3,40.8)</w:t>
            </w:r>
          </w:p>
        </w:tc>
        <w:tc>
          <w:tcPr>
            <w:tcW w:w="629" w:type="pct"/>
            <w:tcBorders>
              <w:top w:val="single" w:sz="4" w:space="0" w:color="auto"/>
              <w:left w:val="single" w:sz="4" w:space="0" w:color="auto"/>
              <w:bottom w:val="single" w:sz="4" w:space="0" w:color="auto"/>
              <w:right w:val="single" w:sz="4" w:space="0" w:color="auto"/>
            </w:tcBorders>
            <w:vAlign w:val="center"/>
          </w:tcPr>
          <w:p w:rsidR="00232889" w:rsidRPr="00874A09" w:rsidRDefault="00874A09" w:rsidP="00874A09">
            <w:pPr>
              <w:keepNext/>
              <w:keepLines/>
              <w:jc w:val="center"/>
              <w:rPr>
                <w:rFonts w:ascii="Arial Narrow" w:hAnsi="Arial Narrow"/>
                <w:color w:val="000000"/>
                <w:sz w:val="20"/>
                <w:szCs w:val="20"/>
              </w:rPr>
            </w:pPr>
            <w:r w:rsidRPr="00874A09">
              <w:rPr>
                <w:rFonts w:ascii="Arial Narrow" w:hAnsi="Arial Narrow"/>
                <w:color w:val="000000"/>
                <w:sz w:val="20"/>
                <w:szCs w:val="20"/>
              </w:rPr>
              <w:t>51.8</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232889" w:rsidRPr="00874A09" w:rsidRDefault="00874A09" w:rsidP="00874A09">
            <w:pPr>
              <w:keepNext/>
              <w:keepLines/>
              <w:jc w:val="center"/>
              <w:rPr>
                <w:rFonts w:ascii="Arial Narrow" w:hAnsi="Arial Narrow"/>
                <w:color w:val="000000"/>
                <w:sz w:val="20"/>
                <w:szCs w:val="20"/>
              </w:rPr>
            </w:pPr>
            <w:r w:rsidRPr="00874A09">
              <w:rPr>
                <w:rFonts w:ascii="Arial Narrow" w:hAnsi="Arial Narrow"/>
                <w:color w:val="000000"/>
                <w:sz w:val="20"/>
                <w:szCs w:val="20"/>
              </w:rPr>
              <w:t>4.7</w:t>
            </w:r>
          </w:p>
        </w:tc>
        <w:tc>
          <w:tcPr>
            <w:tcW w:w="768" w:type="pct"/>
            <w:tcBorders>
              <w:top w:val="single" w:sz="4" w:space="0" w:color="auto"/>
              <w:left w:val="single" w:sz="4" w:space="0" w:color="auto"/>
              <w:bottom w:val="single" w:sz="4" w:space="0" w:color="auto"/>
              <w:right w:val="single" w:sz="4" w:space="0" w:color="auto"/>
            </w:tcBorders>
            <w:vAlign w:val="center"/>
          </w:tcPr>
          <w:p w:rsidR="00232889" w:rsidRPr="00200039" w:rsidRDefault="00232889" w:rsidP="00874A09">
            <w:pPr>
              <w:pStyle w:val="TableText0"/>
              <w:keepLines/>
              <w:spacing w:before="0" w:after="0"/>
              <w:jc w:val="center"/>
              <w:rPr>
                <w:b/>
                <w:bCs/>
                <w:iCs/>
                <w:szCs w:val="20"/>
              </w:rPr>
            </w:pPr>
            <w:r w:rsidRPr="00200039">
              <w:rPr>
                <w:b/>
                <w:bCs/>
                <w:iCs/>
                <w:color w:val="000000"/>
                <w:szCs w:val="20"/>
              </w:rPr>
              <w:t>47.1 (33, 58.6)</w:t>
            </w:r>
          </w:p>
        </w:tc>
      </w:tr>
      <w:tr w:rsidR="00232889" w:rsidRPr="00232889" w:rsidTr="00874A09">
        <w:tc>
          <w:tcPr>
            <w:tcW w:w="1177" w:type="pct"/>
            <w:tcBorders>
              <w:top w:val="single" w:sz="4" w:space="0" w:color="auto"/>
              <w:left w:val="single" w:sz="4" w:space="0" w:color="auto"/>
              <w:bottom w:val="single" w:sz="4" w:space="0" w:color="auto"/>
              <w:right w:val="single" w:sz="4" w:space="0" w:color="auto"/>
            </w:tcBorders>
            <w:shd w:val="clear" w:color="auto" w:fill="auto"/>
          </w:tcPr>
          <w:p w:rsidR="00232889" w:rsidRPr="00232889" w:rsidRDefault="005A4092" w:rsidP="00874A09">
            <w:pPr>
              <w:pStyle w:val="TableText0"/>
              <w:keepLines/>
              <w:spacing w:before="0" w:after="0"/>
              <w:rPr>
                <w:color w:val="000000"/>
                <w:szCs w:val="20"/>
              </w:rPr>
            </w:pPr>
            <w:r>
              <w:rPr>
                <w:color w:val="000000"/>
                <w:szCs w:val="20"/>
              </w:rPr>
              <w:t>Fatigue</w:t>
            </w:r>
          </w:p>
        </w:tc>
        <w:tc>
          <w:tcPr>
            <w:tcW w:w="629" w:type="pct"/>
            <w:gridSpan w:val="2"/>
            <w:tcBorders>
              <w:top w:val="single" w:sz="4" w:space="0" w:color="auto"/>
              <w:left w:val="single" w:sz="4" w:space="0" w:color="auto"/>
              <w:bottom w:val="single" w:sz="4" w:space="0" w:color="auto"/>
              <w:right w:val="single" w:sz="4" w:space="0" w:color="auto"/>
            </w:tcBorders>
            <w:vAlign w:val="center"/>
          </w:tcPr>
          <w:p w:rsidR="00232889" w:rsidRPr="00232889" w:rsidRDefault="005A4092" w:rsidP="00874A09">
            <w:pPr>
              <w:pStyle w:val="TableText0"/>
              <w:keepLines/>
              <w:spacing w:before="0" w:after="0"/>
              <w:jc w:val="center"/>
              <w:rPr>
                <w:szCs w:val="20"/>
              </w:rPr>
            </w:pPr>
            <w:r>
              <w:rPr>
                <w:szCs w:val="20"/>
              </w:rPr>
              <w:t>36/85</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232889" w:rsidRPr="00232889" w:rsidRDefault="00874A09" w:rsidP="00874A09">
            <w:pPr>
              <w:pStyle w:val="TableText0"/>
              <w:keepLines/>
              <w:spacing w:before="0" w:after="0"/>
              <w:jc w:val="center"/>
              <w:rPr>
                <w:szCs w:val="20"/>
              </w:rPr>
            </w:pPr>
            <w:r>
              <w:rPr>
                <w:szCs w:val="20"/>
              </w:rPr>
              <w:t>10/43</w:t>
            </w:r>
          </w:p>
        </w:tc>
        <w:tc>
          <w:tcPr>
            <w:tcW w:w="786" w:type="pct"/>
            <w:gridSpan w:val="2"/>
            <w:tcBorders>
              <w:top w:val="single" w:sz="4" w:space="0" w:color="auto"/>
              <w:left w:val="single" w:sz="4" w:space="0" w:color="auto"/>
              <w:bottom w:val="single" w:sz="4" w:space="0" w:color="auto"/>
              <w:right w:val="single" w:sz="4" w:space="0" w:color="auto"/>
            </w:tcBorders>
            <w:vAlign w:val="center"/>
          </w:tcPr>
          <w:p w:rsidR="00232889" w:rsidRPr="00200039" w:rsidRDefault="005A4092" w:rsidP="00874A09">
            <w:pPr>
              <w:pStyle w:val="TableText0"/>
              <w:keepLines/>
              <w:spacing w:before="0" w:after="0"/>
              <w:jc w:val="center"/>
              <w:rPr>
                <w:b/>
                <w:bCs/>
                <w:iCs/>
                <w:color w:val="000000"/>
                <w:szCs w:val="20"/>
              </w:rPr>
            </w:pPr>
            <w:r w:rsidRPr="00200039">
              <w:rPr>
                <w:b/>
                <w:bCs/>
                <w:iCs/>
                <w:color w:val="000000"/>
                <w:szCs w:val="20"/>
              </w:rPr>
              <w:t>1.82 (1.04, 3.37)</w:t>
            </w:r>
          </w:p>
        </w:tc>
        <w:tc>
          <w:tcPr>
            <w:tcW w:w="629" w:type="pct"/>
            <w:tcBorders>
              <w:top w:val="single" w:sz="4" w:space="0" w:color="auto"/>
              <w:left w:val="single" w:sz="4" w:space="0" w:color="auto"/>
              <w:bottom w:val="single" w:sz="4" w:space="0" w:color="auto"/>
              <w:right w:val="single" w:sz="4" w:space="0" w:color="auto"/>
            </w:tcBorders>
            <w:vAlign w:val="center"/>
          </w:tcPr>
          <w:p w:rsidR="00232889" w:rsidRPr="00874A09" w:rsidRDefault="00874A09" w:rsidP="00874A09">
            <w:pPr>
              <w:keepNext/>
              <w:keepLines/>
              <w:jc w:val="center"/>
              <w:rPr>
                <w:rFonts w:ascii="Arial Narrow" w:hAnsi="Arial Narrow"/>
                <w:color w:val="000000"/>
                <w:sz w:val="20"/>
                <w:szCs w:val="20"/>
              </w:rPr>
            </w:pPr>
            <w:r w:rsidRPr="00874A09">
              <w:rPr>
                <w:rFonts w:ascii="Arial Narrow" w:hAnsi="Arial Narrow"/>
                <w:color w:val="000000"/>
                <w:sz w:val="20"/>
                <w:szCs w:val="20"/>
              </w:rPr>
              <w:t>42.4</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232889" w:rsidRPr="00874A09" w:rsidRDefault="00874A09" w:rsidP="00874A09">
            <w:pPr>
              <w:keepNext/>
              <w:keepLines/>
              <w:jc w:val="center"/>
              <w:rPr>
                <w:rFonts w:ascii="Arial Narrow" w:hAnsi="Arial Narrow"/>
                <w:color w:val="000000"/>
                <w:sz w:val="20"/>
                <w:szCs w:val="20"/>
              </w:rPr>
            </w:pPr>
            <w:r w:rsidRPr="00874A09">
              <w:rPr>
                <w:rFonts w:ascii="Arial Narrow" w:hAnsi="Arial Narrow"/>
                <w:color w:val="000000"/>
                <w:sz w:val="20"/>
                <w:szCs w:val="20"/>
              </w:rPr>
              <w:t>23.3</w:t>
            </w:r>
          </w:p>
        </w:tc>
        <w:tc>
          <w:tcPr>
            <w:tcW w:w="768" w:type="pct"/>
            <w:tcBorders>
              <w:top w:val="single" w:sz="4" w:space="0" w:color="auto"/>
              <w:left w:val="single" w:sz="4" w:space="0" w:color="auto"/>
              <w:bottom w:val="single" w:sz="4" w:space="0" w:color="auto"/>
              <w:right w:val="single" w:sz="4" w:space="0" w:color="auto"/>
            </w:tcBorders>
            <w:vAlign w:val="center"/>
          </w:tcPr>
          <w:p w:rsidR="00232889" w:rsidRPr="00200039" w:rsidRDefault="00874A09" w:rsidP="00874A09">
            <w:pPr>
              <w:pStyle w:val="TableText0"/>
              <w:keepLines/>
              <w:spacing w:before="0" w:after="0"/>
              <w:jc w:val="center"/>
              <w:rPr>
                <w:b/>
                <w:bCs/>
                <w:iCs/>
                <w:szCs w:val="20"/>
              </w:rPr>
            </w:pPr>
            <w:r w:rsidRPr="00200039">
              <w:rPr>
                <w:b/>
                <w:szCs w:val="20"/>
              </w:rPr>
              <w:t>19.1 (1.5, 34.3)</w:t>
            </w:r>
          </w:p>
        </w:tc>
      </w:tr>
      <w:tr w:rsidR="00232889" w:rsidRPr="00232889" w:rsidTr="00874A09">
        <w:tc>
          <w:tcPr>
            <w:tcW w:w="1177" w:type="pct"/>
            <w:tcBorders>
              <w:top w:val="single" w:sz="4" w:space="0" w:color="auto"/>
              <w:left w:val="single" w:sz="4" w:space="0" w:color="auto"/>
              <w:bottom w:val="single" w:sz="4" w:space="0" w:color="auto"/>
              <w:right w:val="single" w:sz="4" w:space="0" w:color="auto"/>
            </w:tcBorders>
            <w:shd w:val="clear" w:color="auto" w:fill="auto"/>
          </w:tcPr>
          <w:p w:rsidR="00232889" w:rsidRPr="00232889" w:rsidRDefault="005A4092" w:rsidP="00874A09">
            <w:pPr>
              <w:pStyle w:val="TableText0"/>
              <w:keepLines/>
              <w:spacing w:before="0" w:after="0"/>
              <w:rPr>
                <w:color w:val="000000"/>
                <w:szCs w:val="20"/>
              </w:rPr>
            </w:pPr>
            <w:r>
              <w:rPr>
                <w:color w:val="000000"/>
                <w:szCs w:val="20"/>
              </w:rPr>
              <w:t>Nausea</w:t>
            </w:r>
          </w:p>
        </w:tc>
        <w:tc>
          <w:tcPr>
            <w:tcW w:w="629" w:type="pct"/>
            <w:gridSpan w:val="2"/>
            <w:tcBorders>
              <w:top w:val="single" w:sz="4" w:space="0" w:color="auto"/>
              <w:left w:val="single" w:sz="4" w:space="0" w:color="auto"/>
              <w:bottom w:val="single" w:sz="4" w:space="0" w:color="auto"/>
              <w:right w:val="single" w:sz="4" w:space="0" w:color="auto"/>
            </w:tcBorders>
            <w:vAlign w:val="center"/>
          </w:tcPr>
          <w:p w:rsidR="00232889" w:rsidRPr="00232889" w:rsidRDefault="00874A09" w:rsidP="00874A09">
            <w:pPr>
              <w:pStyle w:val="TableText0"/>
              <w:keepLines/>
              <w:spacing w:before="0" w:after="0"/>
              <w:jc w:val="center"/>
              <w:rPr>
                <w:szCs w:val="20"/>
              </w:rPr>
            </w:pPr>
            <w:r>
              <w:rPr>
                <w:szCs w:val="20"/>
              </w:rPr>
              <w:t>33/85</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232889" w:rsidRPr="00232889" w:rsidRDefault="00874A09" w:rsidP="00874A09">
            <w:pPr>
              <w:pStyle w:val="TableText0"/>
              <w:keepLines/>
              <w:spacing w:before="0" w:after="0"/>
              <w:jc w:val="center"/>
              <w:rPr>
                <w:szCs w:val="20"/>
              </w:rPr>
            </w:pPr>
            <w:r>
              <w:rPr>
                <w:szCs w:val="20"/>
              </w:rPr>
              <w:t>5/43</w:t>
            </w:r>
          </w:p>
        </w:tc>
        <w:tc>
          <w:tcPr>
            <w:tcW w:w="786" w:type="pct"/>
            <w:gridSpan w:val="2"/>
            <w:tcBorders>
              <w:top w:val="single" w:sz="4" w:space="0" w:color="auto"/>
              <w:left w:val="single" w:sz="4" w:space="0" w:color="auto"/>
              <w:bottom w:val="single" w:sz="4" w:space="0" w:color="auto"/>
              <w:right w:val="single" w:sz="4" w:space="0" w:color="auto"/>
            </w:tcBorders>
            <w:vAlign w:val="center"/>
          </w:tcPr>
          <w:p w:rsidR="00232889" w:rsidRPr="00200039" w:rsidRDefault="005A4092" w:rsidP="00874A09">
            <w:pPr>
              <w:pStyle w:val="TableText0"/>
              <w:keepLines/>
              <w:spacing w:before="0" w:after="0"/>
              <w:jc w:val="center"/>
              <w:rPr>
                <w:b/>
                <w:bCs/>
                <w:iCs/>
                <w:color w:val="000000"/>
                <w:szCs w:val="20"/>
              </w:rPr>
            </w:pPr>
            <w:r w:rsidRPr="00200039">
              <w:rPr>
                <w:b/>
                <w:bCs/>
                <w:iCs/>
                <w:color w:val="000000"/>
                <w:szCs w:val="20"/>
              </w:rPr>
              <w:t>3.31 (1.50, 7.94)</w:t>
            </w:r>
          </w:p>
        </w:tc>
        <w:tc>
          <w:tcPr>
            <w:tcW w:w="629" w:type="pct"/>
            <w:tcBorders>
              <w:top w:val="single" w:sz="4" w:space="0" w:color="auto"/>
              <w:left w:val="single" w:sz="4" w:space="0" w:color="auto"/>
              <w:bottom w:val="single" w:sz="4" w:space="0" w:color="auto"/>
              <w:right w:val="single" w:sz="4" w:space="0" w:color="auto"/>
            </w:tcBorders>
            <w:vAlign w:val="center"/>
          </w:tcPr>
          <w:p w:rsidR="00232889" w:rsidRPr="00874A09" w:rsidRDefault="00874A09" w:rsidP="00874A09">
            <w:pPr>
              <w:keepNext/>
              <w:keepLines/>
              <w:jc w:val="center"/>
              <w:rPr>
                <w:rFonts w:ascii="Arial Narrow" w:hAnsi="Arial Narrow"/>
                <w:color w:val="000000"/>
                <w:sz w:val="20"/>
                <w:szCs w:val="20"/>
              </w:rPr>
            </w:pPr>
            <w:r w:rsidRPr="00874A09">
              <w:rPr>
                <w:rFonts w:ascii="Arial Narrow" w:hAnsi="Arial Narrow"/>
                <w:color w:val="000000"/>
                <w:sz w:val="20"/>
                <w:szCs w:val="20"/>
              </w:rPr>
              <w:t>38.8</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232889" w:rsidRPr="00874A09" w:rsidRDefault="00874A09" w:rsidP="00874A09">
            <w:pPr>
              <w:keepNext/>
              <w:keepLines/>
              <w:jc w:val="center"/>
              <w:rPr>
                <w:rFonts w:ascii="Arial Narrow" w:hAnsi="Arial Narrow"/>
                <w:color w:val="000000"/>
                <w:sz w:val="20"/>
                <w:szCs w:val="20"/>
              </w:rPr>
            </w:pPr>
            <w:r w:rsidRPr="00874A09">
              <w:rPr>
                <w:rFonts w:ascii="Arial Narrow" w:hAnsi="Arial Narrow"/>
                <w:color w:val="000000"/>
                <w:sz w:val="20"/>
                <w:szCs w:val="20"/>
              </w:rPr>
              <w:t>11.6</w:t>
            </w:r>
          </w:p>
        </w:tc>
        <w:tc>
          <w:tcPr>
            <w:tcW w:w="768" w:type="pct"/>
            <w:tcBorders>
              <w:top w:val="single" w:sz="4" w:space="0" w:color="auto"/>
              <w:left w:val="single" w:sz="4" w:space="0" w:color="auto"/>
              <w:bottom w:val="single" w:sz="4" w:space="0" w:color="auto"/>
              <w:right w:val="single" w:sz="4" w:space="0" w:color="auto"/>
            </w:tcBorders>
            <w:vAlign w:val="center"/>
          </w:tcPr>
          <w:p w:rsidR="00232889" w:rsidRPr="00200039" w:rsidRDefault="00874A09" w:rsidP="00874A09">
            <w:pPr>
              <w:pStyle w:val="TableText0"/>
              <w:keepLines/>
              <w:spacing w:before="0" w:after="0"/>
              <w:jc w:val="center"/>
              <w:rPr>
                <w:b/>
                <w:bCs/>
                <w:iCs/>
                <w:szCs w:val="20"/>
              </w:rPr>
            </w:pPr>
            <w:r w:rsidRPr="00200039">
              <w:rPr>
                <w:b/>
                <w:szCs w:val="20"/>
              </w:rPr>
              <w:t>27.2 (11.4, 40.3)</w:t>
            </w:r>
          </w:p>
        </w:tc>
      </w:tr>
      <w:tr w:rsidR="005A4092" w:rsidRPr="00232889" w:rsidTr="00874A09">
        <w:tc>
          <w:tcPr>
            <w:tcW w:w="1177" w:type="pct"/>
            <w:tcBorders>
              <w:top w:val="single" w:sz="4" w:space="0" w:color="auto"/>
              <w:left w:val="single" w:sz="4" w:space="0" w:color="auto"/>
              <w:bottom w:val="single" w:sz="4" w:space="0" w:color="auto"/>
              <w:right w:val="single" w:sz="4" w:space="0" w:color="auto"/>
            </w:tcBorders>
            <w:shd w:val="clear" w:color="auto" w:fill="auto"/>
          </w:tcPr>
          <w:p w:rsidR="005A4092" w:rsidRPr="00232889" w:rsidRDefault="005A4092" w:rsidP="00874A09">
            <w:pPr>
              <w:pStyle w:val="TableText0"/>
              <w:keepLines/>
              <w:spacing w:before="0" w:after="0"/>
              <w:rPr>
                <w:color w:val="000000"/>
                <w:szCs w:val="20"/>
              </w:rPr>
            </w:pPr>
            <w:r>
              <w:rPr>
                <w:color w:val="000000"/>
                <w:szCs w:val="20"/>
              </w:rPr>
              <w:t>Myalgia</w:t>
            </w:r>
          </w:p>
        </w:tc>
        <w:tc>
          <w:tcPr>
            <w:tcW w:w="629" w:type="pct"/>
            <w:gridSpan w:val="2"/>
            <w:tcBorders>
              <w:top w:val="single" w:sz="4" w:space="0" w:color="auto"/>
              <w:left w:val="single" w:sz="4" w:space="0" w:color="auto"/>
              <w:bottom w:val="single" w:sz="4" w:space="0" w:color="auto"/>
              <w:right w:val="single" w:sz="4" w:space="0" w:color="auto"/>
            </w:tcBorders>
            <w:vAlign w:val="center"/>
          </w:tcPr>
          <w:p w:rsidR="005A4092" w:rsidRPr="00232889" w:rsidRDefault="00874A09" w:rsidP="00874A09">
            <w:pPr>
              <w:pStyle w:val="TableText0"/>
              <w:keepLines/>
              <w:spacing w:before="0" w:after="0"/>
              <w:jc w:val="center"/>
              <w:rPr>
                <w:szCs w:val="20"/>
              </w:rPr>
            </w:pPr>
            <w:r>
              <w:rPr>
                <w:szCs w:val="20"/>
              </w:rPr>
              <w:t>27/85</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5A4092" w:rsidRPr="00232889" w:rsidRDefault="00874A09" w:rsidP="00874A09">
            <w:pPr>
              <w:pStyle w:val="TableText0"/>
              <w:keepLines/>
              <w:spacing w:before="0" w:after="0"/>
              <w:jc w:val="center"/>
              <w:rPr>
                <w:szCs w:val="20"/>
              </w:rPr>
            </w:pPr>
            <w:r>
              <w:rPr>
                <w:szCs w:val="20"/>
              </w:rPr>
              <w:t>5/43</w:t>
            </w:r>
          </w:p>
        </w:tc>
        <w:tc>
          <w:tcPr>
            <w:tcW w:w="786" w:type="pct"/>
            <w:gridSpan w:val="2"/>
            <w:tcBorders>
              <w:top w:val="single" w:sz="4" w:space="0" w:color="auto"/>
              <w:left w:val="single" w:sz="4" w:space="0" w:color="auto"/>
              <w:bottom w:val="single" w:sz="4" w:space="0" w:color="auto"/>
              <w:right w:val="single" w:sz="4" w:space="0" w:color="auto"/>
            </w:tcBorders>
            <w:vAlign w:val="center"/>
          </w:tcPr>
          <w:p w:rsidR="005A4092" w:rsidRPr="00200039" w:rsidRDefault="005A4092" w:rsidP="00874A09">
            <w:pPr>
              <w:pStyle w:val="TableText0"/>
              <w:keepLines/>
              <w:spacing w:before="0" w:after="0"/>
              <w:jc w:val="center"/>
              <w:rPr>
                <w:b/>
                <w:bCs/>
                <w:iCs/>
                <w:color w:val="000000"/>
                <w:szCs w:val="20"/>
              </w:rPr>
            </w:pPr>
            <w:r w:rsidRPr="00200039">
              <w:rPr>
                <w:b/>
                <w:bCs/>
                <w:iCs/>
                <w:color w:val="000000"/>
                <w:szCs w:val="20"/>
              </w:rPr>
              <w:t>2.73 (1.21, 6.58)</w:t>
            </w:r>
          </w:p>
        </w:tc>
        <w:tc>
          <w:tcPr>
            <w:tcW w:w="629" w:type="pct"/>
            <w:tcBorders>
              <w:top w:val="single" w:sz="4" w:space="0" w:color="auto"/>
              <w:left w:val="single" w:sz="4" w:space="0" w:color="auto"/>
              <w:bottom w:val="single" w:sz="4" w:space="0" w:color="auto"/>
              <w:right w:val="single" w:sz="4" w:space="0" w:color="auto"/>
            </w:tcBorders>
            <w:vAlign w:val="center"/>
          </w:tcPr>
          <w:p w:rsidR="005A4092" w:rsidRPr="00874A09" w:rsidRDefault="00874A09" w:rsidP="00874A09">
            <w:pPr>
              <w:keepNext/>
              <w:keepLines/>
              <w:jc w:val="center"/>
              <w:rPr>
                <w:rFonts w:ascii="Arial Narrow" w:hAnsi="Arial Narrow"/>
                <w:color w:val="000000"/>
                <w:sz w:val="20"/>
                <w:szCs w:val="20"/>
              </w:rPr>
            </w:pPr>
            <w:r w:rsidRPr="00874A09">
              <w:rPr>
                <w:rFonts w:ascii="Arial Narrow" w:hAnsi="Arial Narrow"/>
                <w:color w:val="000000"/>
                <w:sz w:val="20"/>
                <w:szCs w:val="20"/>
              </w:rPr>
              <w:t>31.8</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5A4092" w:rsidRPr="00874A09" w:rsidRDefault="00874A09" w:rsidP="00874A09">
            <w:pPr>
              <w:keepNext/>
              <w:keepLines/>
              <w:jc w:val="center"/>
              <w:rPr>
                <w:rFonts w:ascii="Arial Narrow" w:hAnsi="Arial Narrow"/>
                <w:color w:val="000000"/>
                <w:sz w:val="20"/>
                <w:szCs w:val="20"/>
              </w:rPr>
            </w:pPr>
            <w:r w:rsidRPr="00874A09">
              <w:rPr>
                <w:rFonts w:ascii="Arial Narrow" w:hAnsi="Arial Narrow"/>
                <w:color w:val="000000"/>
                <w:sz w:val="20"/>
                <w:szCs w:val="20"/>
              </w:rPr>
              <w:t>11.6</w:t>
            </w:r>
          </w:p>
        </w:tc>
        <w:tc>
          <w:tcPr>
            <w:tcW w:w="768" w:type="pct"/>
            <w:tcBorders>
              <w:top w:val="single" w:sz="4" w:space="0" w:color="auto"/>
              <w:left w:val="single" w:sz="4" w:space="0" w:color="auto"/>
              <w:bottom w:val="single" w:sz="4" w:space="0" w:color="auto"/>
              <w:right w:val="single" w:sz="4" w:space="0" w:color="auto"/>
            </w:tcBorders>
            <w:vAlign w:val="center"/>
          </w:tcPr>
          <w:p w:rsidR="005A4092" w:rsidRPr="00200039" w:rsidRDefault="00874A09" w:rsidP="00874A09">
            <w:pPr>
              <w:pStyle w:val="TableText0"/>
              <w:keepLines/>
              <w:spacing w:before="0" w:after="0"/>
              <w:jc w:val="center"/>
              <w:rPr>
                <w:b/>
                <w:bCs/>
                <w:iCs/>
                <w:szCs w:val="20"/>
              </w:rPr>
            </w:pPr>
            <w:r w:rsidRPr="00200039">
              <w:rPr>
                <w:b/>
                <w:szCs w:val="20"/>
              </w:rPr>
              <w:t>20.1 (4.7, 33.1)</w:t>
            </w:r>
          </w:p>
        </w:tc>
      </w:tr>
      <w:tr w:rsidR="00083F05" w:rsidRPr="00232889" w:rsidTr="00874A09">
        <w:tc>
          <w:tcPr>
            <w:tcW w:w="1177" w:type="pct"/>
            <w:tcBorders>
              <w:top w:val="single" w:sz="4" w:space="0" w:color="auto"/>
              <w:left w:val="single" w:sz="4" w:space="0" w:color="auto"/>
              <w:bottom w:val="single" w:sz="4" w:space="0" w:color="auto"/>
              <w:right w:val="single" w:sz="4" w:space="0" w:color="auto"/>
            </w:tcBorders>
            <w:shd w:val="clear" w:color="auto" w:fill="auto"/>
          </w:tcPr>
          <w:p w:rsidR="00083F05" w:rsidRPr="00232889" w:rsidRDefault="00083F05" w:rsidP="00874A09">
            <w:pPr>
              <w:pStyle w:val="TableText0"/>
              <w:keepLines/>
              <w:spacing w:before="0" w:after="0"/>
              <w:rPr>
                <w:color w:val="000000"/>
                <w:szCs w:val="20"/>
              </w:rPr>
            </w:pPr>
            <w:r w:rsidRPr="00232889">
              <w:rPr>
                <w:color w:val="000000"/>
                <w:szCs w:val="20"/>
              </w:rPr>
              <w:t>PPE</w:t>
            </w:r>
          </w:p>
        </w:tc>
        <w:tc>
          <w:tcPr>
            <w:tcW w:w="629" w:type="pct"/>
            <w:gridSpan w:val="2"/>
            <w:tcBorders>
              <w:top w:val="single" w:sz="4" w:space="0" w:color="auto"/>
              <w:left w:val="single" w:sz="4" w:space="0" w:color="auto"/>
              <w:bottom w:val="single" w:sz="4" w:space="0" w:color="auto"/>
              <w:right w:val="single" w:sz="4" w:space="0" w:color="auto"/>
            </w:tcBorders>
            <w:vAlign w:val="center"/>
          </w:tcPr>
          <w:p w:rsidR="00083F05" w:rsidRPr="00232889" w:rsidRDefault="00083F05" w:rsidP="00874A09">
            <w:pPr>
              <w:pStyle w:val="TableText0"/>
              <w:keepLines/>
              <w:spacing w:before="0" w:after="0"/>
              <w:jc w:val="center"/>
              <w:rPr>
                <w:color w:val="000000"/>
                <w:szCs w:val="20"/>
              </w:rPr>
            </w:pPr>
            <w:r w:rsidRPr="00232889">
              <w:rPr>
                <w:szCs w:val="20"/>
              </w:rPr>
              <w:t>18/85</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083F05" w:rsidRPr="00232889" w:rsidRDefault="00083F05" w:rsidP="00874A09">
            <w:pPr>
              <w:pStyle w:val="TableText0"/>
              <w:keepLines/>
              <w:spacing w:before="0" w:after="0"/>
              <w:jc w:val="center"/>
              <w:rPr>
                <w:color w:val="000000"/>
                <w:szCs w:val="20"/>
              </w:rPr>
            </w:pPr>
            <w:r w:rsidRPr="00232889">
              <w:rPr>
                <w:szCs w:val="20"/>
              </w:rPr>
              <w:t>0</w:t>
            </w:r>
            <w:r w:rsidR="00232889">
              <w:rPr>
                <w:szCs w:val="20"/>
              </w:rPr>
              <w:t>/43</w:t>
            </w:r>
          </w:p>
        </w:tc>
        <w:tc>
          <w:tcPr>
            <w:tcW w:w="786" w:type="pct"/>
            <w:gridSpan w:val="2"/>
            <w:tcBorders>
              <w:top w:val="single" w:sz="4" w:space="0" w:color="auto"/>
              <w:left w:val="single" w:sz="4" w:space="0" w:color="auto"/>
              <w:bottom w:val="single" w:sz="4" w:space="0" w:color="auto"/>
              <w:right w:val="single" w:sz="4" w:space="0" w:color="auto"/>
            </w:tcBorders>
            <w:vAlign w:val="center"/>
          </w:tcPr>
          <w:p w:rsidR="00083F05" w:rsidRPr="00200039" w:rsidRDefault="00083F05" w:rsidP="00874A09">
            <w:pPr>
              <w:pStyle w:val="TableText0"/>
              <w:keepLines/>
              <w:spacing w:before="0" w:after="0"/>
              <w:jc w:val="center"/>
              <w:rPr>
                <w:b/>
                <w:bCs/>
                <w:iCs/>
                <w:color w:val="000000"/>
                <w:szCs w:val="20"/>
              </w:rPr>
            </w:pPr>
            <w:r w:rsidRPr="00200039">
              <w:rPr>
                <w:b/>
                <w:bCs/>
                <w:iCs/>
                <w:color w:val="000000"/>
                <w:szCs w:val="20"/>
              </w:rPr>
              <w:t xml:space="preserve">18.9 (1.2, </w:t>
            </w:r>
            <w:r w:rsidR="005A4092" w:rsidRPr="00200039">
              <w:rPr>
                <w:b/>
                <w:bCs/>
                <w:iCs/>
                <w:color w:val="000000"/>
                <w:szCs w:val="20"/>
              </w:rPr>
              <w:t>NE</w:t>
            </w:r>
            <w:r w:rsidRPr="00200039">
              <w:rPr>
                <w:b/>
                <w:bCs/>
                <w:iCs/>
                <w:color w:val="000000"/>
                <w:szCs w:val="20"/>
              </w:rPr>
              <w:t>)</w:t>
            </w:r>
          </w:p>
        </w:tc>
        <w:tc>
          <w:tcPr>
            <w:tcW w:w="629" w:type="pct"/>
            <w:tcBorders>
              <w:top w:val="single" w:sz="4" w:space="0" w:color="auto"/>
              <w:left w:val="single" w:sz="4" w:space="0" w:color="auto"/>
              <w:bottom w:val="single" w:sz="4" w:space="0" w:color="auto"/>
              <w:right w:val="single" w:sz="4" w:space="0" w:color="auto"/>
            </w:tcBorders>
            <w:vAlign w:val="center"/>
          </w:tcPr>
          <w:p w:rsidR="00083F05" w:rsidRPr="00874A09" w:rsidRDefault="00083F05" w:rsidP="00874A09">
            <w:pPr>
              <w:keepNext/>
              <w:keepLines/>
              <w:jc w:val="center"/>
              <w:rPr>
                <w:rFonts w:ascii="Arial Narrow" w:hAnsi="Arial Narrow"/>
                <w:color w:val="000000"/>
                <w:sz w:val="20"/>
                <w:szCs w:val="20"/>
              </w:rPr>
            </w:pPr>
            <w:r w:rsidRPr="00874A09">
              <w:rPr>
                <w:rFonts w:ascii="Arial Narrow" w:hAnsi="Arial Narrow"/>
                <w:color w:val="000000"/>
                <w:sz w:val="20"/>
                <w:szCs w:val="20"/>
              </w:rPr>
              <w:t>21.2</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083F05" w:rsidRPr="00874A09" w:rsidRDefault="00083F05" w:rsidP="00874A09">
            <w:pPr>
              <w:keepNext/>
              <w:keepLines/>
              <w:jc w:val="center"/>
              <w:rPr>
                <w:rFonts w:ascii="Arial Narrow" w:hAnsi="Arial Narrow"/>
                <w:color w:val="000000"/>
                <w:sz w:val="20"/>
                <w:szCs w:val="20"/>
              </w:rPr>
            </w:pPr>
            <w:r w:rsidRPr="00874A09">
              <w:rPr>
                <w:rFonts w:ascii="Arial Narrow" w:hAnsi="Arial Narrow"/>
                <w:color w:val="000000"/>
                <w:sz w:val="20"/>
                <w:szCs w:val="20"/>
              </w:rPr>
              <w:t>0</w:t>
            </w:r>
          </w:p>
        </w:tc>
        <w:tc>
          <w:tcPr>
            <w:tcW w:w="768" w:type="pct"/>
            <w:tcBorders>
              <w:top w:val="single" w:sz="4" w:space="0" w:color="auto"/>
              <w:left w:val="single" w:sz="4" w:space="0" w:color="auto"/>
              <w:bottom w:val="single" w:sz="4" w:space="0" w:color="auto"/>
              <w:right w:val="single" w:sz="4" w:space="0" w:color="auto"/>
            </w:tcBorders>
            <w:vAlign w:val="center"/>
          </w:tcPr>
          <w:p w:rsidR="00083F05" w:rsidRPr="00200039" w:rsidRDefault="00083F05" w:rsidP="00874A09">
            <w:pPr>
              <w:pStyle w:val="TableText0"/>
              <w:keepLines/>
              <w:spacing w:before="0" w:after="0"/>
              <w:jc w:val="center"/>
              <w:rPr>
                <w:color w:val="000000"/>
                <w:szCs w:val="20"/>
              </w:rPr>
            </w:pPr>
            <w:r w:rsidRPr="00200039">
              <w:rPr>
                <w:b/>
                <w:bCs/>
                <w:iCs/>
                <w:szCs w:val="20"/>
              </w:rPr>
              <w:t>21.2</w:t>
            </w:r>
            <w:r w:rsidR="00874A09" w:rsidRPr="00200039">
              <w:rPr>
                <w:b/>
                <w:bCs/>
                <w:iCs/>
                <w:szCs w:val="20"/>
              </w:rPr>
              <w:t xml:space="preserve"> </w:t>
            </w:r>
            <w:r w:rsidRPr="00200039">
              <w:rPr>
                <w:b/>
                <w:bCs/>
                <w:iCs/>
                <w:szCs w:val="20"/>
              </w:rPr>
              <w:t>(12.4, 31.1</w:t>
            </w:r>
            <w:r w:rsidRPr="00200039">
              <w:rPr>
                <w:iCs/>
                <w:szCs w:val="20"/>
              </w:rPr>
              <w:t>)</w:t>
            </w:r>
          </w:p>
        </w:tc>
      </w:tr>
      <w:tr w:rsidR="00083F05" w:rsidRPr="00232889" w:rsidTr="00874A09">
        <w:tc>
          <w:tcPr>
            <w:tcW w:w="1177" w:type="pct"/>
            <w:tcBorders>
              <w:top w:val="single" w:sz="4" w:space="0" w:color="auto"/>
              <w:left w:val="single" w:sz="4" w:space="0" w:color="auto"/>
              <w:bottom w:val="single" w:sz="4" w:space="0" w:color="auto"/>
              <w:right w:val="single" w:sz="4" w:space="0" w:color="auto"/>
            </w:tcBorders>
            <w:shd w:val="clear" w:color="auto" w:fill="auto"/>
            <w:vAlign w:val="center"/>
          </w:tcPr>
          <w:p w:rsidR="00083F05" w:rsidRPr="00232889" w:rsidRDefault="00083F05" w:rsidP="00874A09">
            <w:pPr>
              <w:keepNext/>
              <w:keepLines/>
              <w:rPr>
                <w:rFonts w:ascii="Arial Narrow" w:hAnsi="Arial Narrow"/>
                <w:color w:val="000000"/>
                <w:sz w:val="20"/>
                <w:szCs w:val="20"/>
              </w:rPr>
            </w:pPr>
            <w:r w:rsidRPr="00232889">
              <w:rPr>
                <w:rFonts w:ascii="Arial Narrow" w:hAnsi="Arial Narrow"/>
                <w:color w:val="000000"/>
                <w:sz w:val="20"/>
                <w:szCs w:val="20"/>
              </w:rPr>
              <w:t xml:space="preserve">Vomiting </w:t>
            </w:r>
          </w:p>
        </w:tc>
        <w:tc>
          <w:tcPr>
            <w:tcW w:w="629" w:type="pct"/>
            <w:gridSpan w:val="2"/>
            <w:tcBorders>
              <w:top w:val="single" w:sz="4" w:space="0" w:color="auto"/>
              <w:left w:val="single" w:sz="4" w:space="0" w:color="auto"/>
              <w:bottom w:val="single" w:sz="4" w:space="0" w:color="auto"/>
              <w:right w:val="single" w:sz="4" w:space="0" w:color="auto"/>
            </w:tcBorders>
            <w:vAlign w:val="center"/>
          </w:tcPr>
          <w:p w:rsidR="00083F05" w:rsidRPr="00232889" w:rsidRDefault="00232889" w:rsidP="00874A09">
            <w:pPr>
              <w:pStyle w:val="TableText0"/>
              <w:keepLines/>
              <w:spacing w:before="0" w:after="0"/>
              <w:jc w:val="center"/>
              <w:rPr>
                <w:color w:val="000000"/>
                <w:szCs w:val="20"/>
              </w:rPr>
            </w:pPr>
            <w:r>
              <w:rPr>
                <w:szCs w:val="20"/>
              </w:rPr>
              <w:t>18/85</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083F05" w:rsidRPr="00232889" w:rsidRDefault="00232889" w:rsidP="00874A09">
            <w:pPr>
              <w:pStyle w:val="TableText0"/>
              <w:keepLines/>
              <w:spacing w:before="0" w:after="0"/>
              <w:jc w:val="center"/>
              <w:rPr>
                <w:color w:val="000000"/>
                <w:szCs w:val="20"/>
              </w:rPr>
            </w:pPr>
            <w:r>
              <w:rPr>
                <w:szCs w:val="20"/>
              </w:rPr>
              <w:t>3/43</w:t>
            </w:r>
          </w:p>
        </w:tc>
        <w:tc>
          <w:tcPr>
            <w:tcW w:w="786" w:type="pct"/>
            <w:gridSpan w:val="2"/>
            <w:tcBorders>
              <w:top w:val="single" w:sz="4" w:space="0" w:color="auto"/>
              <w:left w:val="single" w:sz="4" w:space="0" w:color="auto"/>
              <w:bottom w:val="single" w:sz="4" w:space="0" w:color="auto"/>
              <w:right w:val="single" w:sz="4" w:space="0" w:color="auto"/>
            </w:tcBorders>
            <w:vAlign w:val="center"/>
          </w:tcPr>
          <w:p w:rsidR="00083F05" w:rsidRPr="00200039" w:rsidRDefault="005A4092" w:rsidP="00874A09">
            <w:pPr>
              <w:pStyle w:val="TableText0"/>
              <w:keepLines/>
              <w:spacing w:before="0" w:after="0"/>
              <w:jc w:val="center"/>
              <w:rPr>
                <w:b/>
                <w:iCs/>
                <w:color w:val="000000"/>
                <w:szCs w:val="20"/>
              </w:rPr>
            </w:pPr>
            <w:r w:rsidRPr="00200039">
              <w:rPr>
                <w:b/>
                <w:iCs/>
                <w:color w:val="000000"/>
                <w:szCs w:val="20"/>
              </w:rPr>
              <w:t>3.04 (1.04, 9.38)</w:t>
            </w:r>
          </w:p>
        </w:tc>
        <w:tc>
          <w:tcPr>
            <w:tcW w:w="629" w:type="pct"/>
            <w:tcBorders>
              <w:top w:val="single" w:sz="4" w:space="0" w:color="auto"/>
              <w:left w:val="single" w:sz="4" w:space="0" w:color="auto"/>
              <w:bottom w:val="single" w:sz="4" w:space="0" w:color="auto"/>
              <w:right w:val="single" w:sz="4" w:space="0" w:color="auto"/>
            </w:tcBorders>
            <w:vAlign w:val="center"/>
          </w:tcPr>
          <w:p w:rsidR="00083F05" w:rsidRPr="00874A09" w:rsidRDefault="00083F05" w:rsidP="00874A09">
            <w:pPr>
              <w:pStyle w:val="TableText0"/>
              <w:keepLines/>
              <w:spacing w:before="0" w:after="0"/>
              <w:jc w:val="center"/>
              <w:rPr>
                <w:color w:val="000000"/>
                <w:szCs w:val="20"/>
              </w:rPr>
            </w:pPr>
            <w:r w:rsidRPr="00874A09">
              <w:rPr>
                <w:color w:val="000000"/>
                <w:szCs w:val="20"/>
              </w:rPr>
              <w:t>21.2</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083F05" w:rsidRPr="00874A09" w:rsidRDefault="00083F05" w:rsidP="00874A09">
            <w:pPr>
              <w:pStyle w:val="TableText0"/>
              <w:keepLines/>
              <w:spacing w:before="0" w:after="0"/>
              <w:jc w:val="center"/>
              <w:rPr>
                <w:color w:val="000000"/>
                <w:szCs w:val="20"/>
              </w:rPr>
            </w:pPr>
            <w:r w:rsidRPr="00874A09">
              <w:rPr>
                <w:color w:val="000000"/>
                <w:szCs w:val="20"/>
              </w:rPr>
              <w:t>7.0</w:t>
            </w:r>
          </w:p>
        </w:tc>
        <w:tc>
          <w:tcPr>
            <w:tcW w:w="768" w:type="pct"/>
            <w:tcBorders>
              <w:top w:val="single" w:sz="4" w:space="0" w:color="auto"/>
              <w:left w:val="single" w:sz="4" w:space="0" w:color="auto"/>
              <w:bottom w:val="single" w:sz="4" w:space="0" w:color="auto"/>
              <w:right w:val="single" w:sz="4" w:space="0" w:color="auto"/>
            </w:tcBorders>
            <w:vAlign w:val="center"/>
          </w:tcPr>
          <w:p w:rsidR="00083F05" w:rsidRPr="00200039" w:rsidRDefault="00083F05" w:rsidP="00874A09">
            <w:pPr>
              <w:pStyle w:val="TableText0"/>
              <w:keepLines/>
              <w:spacing w:before="0" w:after="0"/>
              <w:jc w:val="center"/>
              <w:rPr>
                <w:color w:val="000000"/>
                <w:szCs w:val="20"/>
              </w:rPr>
            </w:pPr>
            <w:r w:rsidRPr="00200039">
              <w:rPr>
                <w:b/>
                <w:szCs w:val="20"/>
              </w:rPr>
              <w:t>14.2 (0.7, 25.6)</w:t>
            </w:r>
          </w:p>
        </w:tc>
      </w:tr>
      <w:tr w:rsidR="00083F05" w:rsidRPr="00232889" w:rsidTr="00874A09">
        <w:tc>
          <w:tcPr>
            <w:tcW w:w="1177" w:type="pct"/>
            <w:tcBorders>
              <w:top w:val="single" w:sz="4" w:space="0" w:color="auto"/>
              <w:left w:val="single" w:sz="4" w:space="0" w:color="auto"/>
              <w:bottom w:val="single" w:sz="4" w:space="0" w:color="auto"/>
              <w:right w:val="single" w:sz="4" w:space="0" w:color="auto"/>
            </w:tcBorders>
            <w:shd w:val="clear" w:color="auto" w:fill="auto"/>
            <w:vAlign w:val="center"/>
          </w:tcPr>
          <w:p w:rsidR="00083F05" w:rsidRPr="00232889" w:rsidRDefault="00083F05" w:rsidP="00874A09">
            <w:pPr>
              <w:keepNext/>
              <w:keepLines/>
              <w:rPr>
                <w:rFonts w:ascii="Arial Narrow" w:hAnsi="Arial Narrow"/>
                <w:color w:val="000000"/>
                <w:sz w:val="20"/>
                <w:szCs w:val="20"/>
              </w:rPr>
            </w:pPr>
            <w:r w:rsidRPr="00232889">
              <w:rPr>
                <w:rFonts w:ascii="Arial Narrow" w:hAnsi="Arial Narrow"/>
                <w:color w:val="000000"/>
                <w:sz w:val="20"/>
                <w:szCs w:val="20"/>
              </w:rPr>
              <w:t>Headache</w:t>
            </w:r>
          </w:p>
        </w:tc>
        <w:tc>
          <w:tcPr>
            <w:tcW w:w="629" w:type="pct"/>
            <w:gridSpan w:val="2"/>
            <w:tcBorders>
              <w:top w:val="single" w:sz="4" w:space="0" w:color="auto"/>
              <w:left w:val="single" w:sz="4" w:space="0" w:color="auto"/>
              <w:bottom w:val="single" w:sz="4" w:space="0" w:color="auto"/>
              <w:right w:val="single" w:sz="4" w:space="0" w:color="auto"/>
            </w:tcBorders>
            <w:vAlign w:val="center"/>
          </w:tcPr>
          <w:p w:rsidR="00083F05" w:rsidRPr="00232889" w:rsidRDefault="00232889" w:rsidP="00874A09">
            <w:pPr>
              <w:pStyle w:val="TableText0"/>
              <w:keepLines/>
              <w:spacing w:before="0" w:after="0"/>
              <w:jc w:val="center"/>
              <w:rPr>
                <w:color w:val="000000"/>
                <w:szCs w:val="20"/>
              </w:rPr>
            </w:pPr>
            <w:r>
              <w:rPr>
                <w:szCs w:val="20"/>
              </w:rPr>
              <w:t>16/85</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083F05" w:rsidRPr="00232889" w:rsidRDefault="00232889" w:rsidP="00874A09">
            <w:pPr>
              <w:pStyle w:val="TableText0"/>
              <w:keepLines/>
              <w:spacing w:before="0" w:after="0"/>
              <w:jc w:val="center"/>
              <w:rPr>
                <w:color w:val="000000"/>
                <w:szCs w:val="20"/>
              </w:rPr>
            </w:pPr>
            <w:r>
              <w:rPr>
                <w:szCs w:val="20"/>
              </w:rPr>
              <w:t>2/43</w:t>
            </w:r>
          </w:p>
        </w:tc>
        <w:tc>
          <w:tcPr>
            <w:tcW w:w="786" w:type="pct"/>
            <w:gridSpan w:val="2"/>
            <w:tcBorders>
              <w:top w:val="single" w:sz="4" w:space="0" w:color="auto"/>
              <w:left w:val="single" w:sz="4" w:space="0" w:color="auto"/>
              <w:bottom w:val="single" w:sz="4" w:space="0" w:color="auto"/>
              <w:right w:val="single" w:sz="4" w:space="0" w:color="auto"/>
            </w:tcBorders>
            <w:vAlign w:val="center"/>
          </w:tcPr>
          <w:p w:rsidR="00083F05" w:rsidRPr="00200039" w:rsidRDefault="005A4092" w:rsidP="00874A09">
            <w:pPr>
              <w:pStyle w:val="TableText0"/>
              <w:keepLines/>
              <w:spacing w:before="0" w:after="0"/>
              <w:jc w:val="center"/>
              <w:rPr>
                <w:b/>
                <w:iCs/>
                <w:color w:val="000000"/>
                <w:szCs w:val="20"/>
              </w:rPr>
            </w:pPr>
            <w:r w:rsidRPr="00200039">
              <w:rPr>
                <w:b/>
                <w:iCs/>
                <w:color w:val="000000"/>
                <w:szCs w:val="20"/>
              </w:rPr>
              <w:t>4.05 (1.13, 15.48)</w:t>
            </w:r>
          </w:p>
        </w:tc>
        <w:tc>
          <w:tcPr>
            <w:tcW w:w="629" w:type="pct"/>
            <w:tcBorders>
              <w:top w:val="single" w:sz="4" w:space="0" w:color="auto"/>
              <w:left w:val="single" w:sz="4" w:space="0" w:color="auto"/>
              <w:bottom w:val="single" w:sz="4" w:space="0" w:color="auto"/>
              <w:right w:val="single" w:sz="4" w:space="0" w:color="auto"/>
            </w:tcBorders>
            <w:vAlign w:val="center"/>
          </w:tcPr>
          <w:p w:rsidR="00083F05" w:rsidRPr="00874A09" w:rsidRDefault="00083F05" w:rsidP="00874A09">
            <w:pPr>
              <w:keepNext/>
              <w:keepLines/>
              <w:jc w:val="center"/>
              <w:rPr>
                <w:rFonts w:ascii="Arial Narrow" w:hAnsi="Arial Narrow"/>
                <w:color w:val="000000"/>
                <w:sz w:val="20"/>
                <w:szCs w:val="20"/>
              </w:rPr>
            </w:pPr>
            <w:r w:rsidRPr="00874A09">
              <w:rPr>
                <w:rFonts w:ascii="Arial Narrow" w:hAnsi="Arial Narrow"/>
                <w:color w:val="000000"/>
                <w:sz w:val="20"/>
                <w:szCs w:val="20"/>
              </w:rPr>
              <w:t>17.1</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083F05" w:rsidRPr="00874A09" w:rsidRDefault="00083F05" w:rsidP="00874A09">
            <w:pPr>
              <w:keepNext/>
              <w:keepLines/>
              <w:jc w:val="center"/>
              <w:rPr>
                <w:rFonts w:ascii="Arial Narrow" w:hAnsi="Arial Narrow"/>
                <w:color w:val="000000"/>
                <w:sz w:val="20"/>
                <w:szCs w:val="20"/>
              </w:rPr>
            </w:pPr>
            <w:r w:rsidRPr="00874A09">
              <w:rPr>
                <w:rFonts w:ascii="Arial Narrow" w:hAnsi="Arial Narrow"/>
                <w:color w:val="000000"/>
                <w:sz w:val="20"/>
                <w:szCs w:val="20"/>
              </w:rPr>
              <w:t>11.6</w:t>
            </w:r>
          </w:p>
        </w:tc>
        <w:tc>
          <w:tcPr>
            <w:tcW w:w="768" w:type="pct"/>
            <w:tcBorders>
              <w:top w:val="single" w:sz="4" w:space="0" w:color="auto"/>
              <w:left w:val="single" w:sz="4" w:space="0" w:color="auto"/>
              <w:bottom w:val="single" w:sz="4" w:space="0" w:color="auto"/>
              <w:right w:val="single" w:sz="4" w:space="0" w:color="auto"/>
            </w:tcBorders>
            <w:vAlign w:val="center"/>
          </w:tcPr>
          <w:p w:rsidR="00083F05" w:rsidRPr="00200039" w:rsidRDefault="00083F05" w:rsidP="00874A09">
            <w:pPr>
              <w:keepNext/>
              <w:keepLines/>
              <w:jc w:val="center"/>
              <w:rPr>
                <w:rFonts w:ascii="Arial Narrow" w:hAnsi="Arial Narrow"/>
                <w:color w:val="000000"/>
                <w:sz w:val="20"/>
                <w:szCs w:val="20"/>
              </w:rPr>
            </w:pPr>
            <w:r w:rsidRPr="00200039">
              <w:rPr>
                <w:rFonts w:ascii="Arial Narrow" w:hAnsi="Arial Narrow"/>
                <w:b/>
                <w:color w:val="000000"/>
                <w:sz w:val="20"/>
                <w:szCs w:val="20"/>
              </w:rPr>
              <w:t>14.2 (1.7, 24.8)</w:t>
            </w:r>
          </w:p>
        </w:tc>
      </w:tr>
      <w:tr w:rsidR="00874A09" w:rsidRPr="00232889" w:rsidTr="00874A09">
        <w:tc>
          <w:tcPr>
            <w:tcW w:w="1177" w:type="pct"/>
            <w:tcBorders>
              <w:top w:val="single" w:sz="4" w:space="0" w:color="auto"/>
              <w:left w:val="single" w:sz="4" w:space="0" w:color="auto"/>
              <w:bottom w:val="single" w:sz="4" w:space="0" w:color="auto"/>
              <w:right w:val="single" w:sz="4" w:space="0" w:color="auto"/>
            </w:tcBorders>
            <w:shd w:val="clear" w:color="auto" w:fill="auto"/>
            <w:vAlign w:val="center"/>
          </w:tcPr>
          <w:p w:rsidR="00874A09" w:rsidRPr="00232889" w:rsidRDefault="00874A09" w:rsidP="00874A09">
            <w:pPr>
              <w:keepNext/>
              <w:keepLines/>
              <w:rPr>
                <w:rFonts w:ascii="Arial Narrow" w:hAnsi="Arial Narrow"/>
                <w:color w:val="000000"/>
                <w:sz w:val="20"/>
                <w:szCs w:val="20"/>
              </w:rPr>
            </w:pPr>
            <w:r>
              <w:rPr>
                <w:rFonts w:ascii="Arial Narrow" w:hAnsi="Arial Narrow"/>
                <w:color w:val="000000"/>
                <w:sz w:val="20"/>
                <w:szCs w:val="20"/>
              </w:rPr>
              <w:t>Arthralgia</w:t>
            </w:r>
          </w:p>
        </w:tc>
        <w:tc>
          <w:tcPr>
            <w:tcW w:w="629" w:type="pct"/>
            <w:gridSpan w:val="2"/>
            <w:tcBorders>
              <w:top w:val="single" w:sz="4" w:space="0" w:color="auto"/>
              <w:left w:val="single" w:sz="4" w:space="0" w:color="auto"/>
              <w:bottom w:val="single" w:sz="4" w:space="0" w:color="auto"/>
              <w:right w:val="single" w:sz="4" w:space="0" w:color="auto"/>
            </w:tcBorders>
            <w:vAlign w:val="center"/>
          </w:tcPr>
          <w:p w:rsidR="00874A09" w:rsidRDefault="00874A09" w:rsidP="00874A09">
            <w:pPr>
              <w:pStyle w:val="TableText0"/>
              <w:keepLines/>
              <w:spacing w:before="0" w:after="0"/>
              <w:jc w:val="center"/>
              <w:rPr>
                <w:szCs w:val="20"/>
              </w:rPr>
            </w:pPr>
            <w:r>
              <w:rPr>
                <w:szCs w:val="20"/>
              </w:rPr>
              <w:t>15/85</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874A09" w:rsidRDefault="00874A09" w:rsidP="00874A09">
            <w:pPr>
              <w:pStyle w:val="TableText0"/>
              <w:keepLines/>
              <w:spacing w:before="0" w:after="0"/>
              <w:jc w:val="center"/>
              <w:rPr>
                <w:szCs w:val="20"/>
              </w:rPr>
            </w:pPr>
            <w:r>
              <w:rPr>
                <w:szCs w:val="20"/>
              </w:rPr>
              <w:t>2/43</w:t>
            </w:r>
          </w:p>
        </w:tc>
        <w:tc>
          <w:tcPr>
            <w:tcW w:w="786" w:type="pct"/>
            <w:gridSpan w:val="2"/>
            <w:tcBorders>
              <w:top w:val="single" w:sz="4" w:space="0" w:color="auto"/>
              <w:left w:val="single" w:sz="4" w:space="0" w:color="auto"/>
              <w:bottom w:val="single" w:sz="4" w:space="0" w:color="auto"/>
              <w:right w:val="single" w:sz="4" w:space="0" w:color="auto"/>
            </w:tcBorders>
            <w:vAlign w:val="center"/>
          </w:tcPr>
          <w:p w:rsidR="00874A09" w:rsidRPr="00200039" w:rsidRDefault="00874A09" w:rsidP="00874A09">
            <w:pPr>
              <w:pStyle w:val="TableText0"/>
              <w:keepLines/>
              <w:spacing w:before="0" w:after="0"/>
              <w:jc w:val="center"/>
              <w:rPr>
                <w:b/>
                <w:iCs/>
                <w:color w:val="000000"/>
                <w:szCs w:val="20"/>
              </w:rPr>
            </w:pPr>
            <w:r w:rsidRPr="00200039">
              <w:rPr>
                <w:b/>
                <w:iCs/>
                <w:color w:val="000000"/>
                <w:szCs w:val="20"/>
              </w:rPr>
              <w:t>3.79 (1.05, 14.58)</w:t>
            </w:r>
          </w:p>
        </w:tc>
        <w:tc>
          <w:tcPr>
            <w:tcW w:w="629" w:type="pct"/>
            <w:tcBorders>
              <w:top w:val="single" w:sz="4" w:space="0" w:color="auto"/>
              <w:left w:val="single" w:sz="4" w:space="0" w:color="auto"/>
              <w:bottom w:val="single" w:sz="4" w:space="0" w:color="auto"/>
              <w:right w:val="single" w:sz="4" w:space="0" w:color="auto"/>
            </w:tcBorders>
            <w:vAlign w:val="center"/>
          </w:tcPr>
          <w:p w:rsidR="00874A09" w:rsidRPr="00874A09" w:rsidRDefault="00874A09" w:rsidP="00874A09">
            <w:pPr>
              <w:keepNext/>
              <w:keepLines/>
              <w:jc w:val="center"/>
              <w:rPr>
                <w:rFonts w:ascii="Arial Narrow" w:hAnsi="Arial Narrow"/>
                <w:color w:val="000000"/>
                <w:sz w:val="20"/>
                <w:szCs w:val="20"/>
              </w:rPr>
            </w:pPr>
            <w:r w:rsidRPr="00874A09">
              <w:rPr>
                <w:rFonts w:ascii="Arial Narrow" w:hAnsi="Arial Narrow"/>
                <w:color w:val="000000"/>
                <w:sz w:val="20"/>
                <w:szCs w:val="20"/>
              </w:rPr>
              <w:t>17.6</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874A09" w:rsidRPr="00874A09" w:rsidRDefault="00874A09" w:rsidP="00874A09">
            <w:pPr>
              <w:keepNext/>
              <w:keepLines/>
              <w:jc w:val="center"/>
              <w:rPr>
                <w:rFonts w:ascii="Arial Narrow" w:hAnsi="Arial Narrow"/>
                <w:color w:val="000000"/>
                <w:sz w:val="20"/>
                <w:szCs w:val="20"/>
              </w:rPr>
            </w:pPr>
            <w:r w:rsidRPr="00874A09">
              <w:rPr>
                <w:rFonts w:ascii="Arial Narrow" w:hAnsi="Arial Narrow"/>
                <w:color w:val="000000"/>
                <w:sz w:val="20"/>
                <w:szCs w:val="20"/>
              </w:rPr>
              <w:t>4.7</w:t>
            </w:r>
          </w:p>
        </w:tc>
        <w:tc>
          <w:tcPr>
            <w:tcW w:w="768" w:type="pct"/>
            <w:tcBorders>
              <w:top w:val="single" w:sz="4" w:space="0" w:color="auto"/>
              <w:left w:val="single" w:sz="4" w:space="0" w:color="auto"/>
              <w:bottom w:val="single" w:sz="4" w:space="0" w:color="auto"/>
              <w:right w:val="single" w:sz="4" w:space="0" w:color="auto"/>
            </w:tcBorders>
            <w:vAlign w:val="center"/>
          </w:tcPr>
          <w:p w:rsidR="00874A09" w:rsidRPr="00200039" w:rsidRDefault="00874A09" w:rsidP="00874A09">
            <w:pPr>
              <w:keepNext/>
              <w:keepLines/>
              <w:jc w:val="center"/>
              <w:rPr>
                <w:rFonts w:ascii="Arial Narrow" w:hAnsi="Arial Narrow"/>
                <w:b/>
                <w:color w:val="000000"/>
                <w:sz w:val="20"/>
                <w:szCs w:val="20"/>
              </w:rPr>
            </w:pPr>
            <w:r w:rsidRPr="00200039">
              <w:rPr>
                <w:rFonts w:ascii="Arial Narrow" w:hAnsi="Arial Narrow"/>
                <w:b/>
                <w:sz w:val="20"/>
                <w:szCs w:val="20"/>
              </w:rPr>
              <w:t>13.0 (0.6, 23.5)</w:t>
            </w:r>
          </w:p>
        </w:tc>
      </w:tr>
      <w:tr w:rsidR="00874A09" w:rsidRPr="00232889" w:rsidTr="00874A09">
        <w:tc>
          <w:tcPr>
            <w:tcW w:w="1177" w:type="pct"/>
            <w:tcBorders>
              <w:top w:val="single" w:sz="4" w:space="0" w:color="auto"/>
              <w:left w:val="single" w:sz="4" w:space="0" w:color="auto"/>
              <w:bottom w:val="single" w:sz="4" w:space="0" w:color="auto"/>
              <w:right w:val="single" w:sz="4" w:space="0" w:color="auto"/>
            </w:tcBorders>
            <w:shd w:val="clear" w:color="auto" w:fill="auto"/>
            <w:vAlign w:val="center"/>
          </w:tcPr>
          <w:p w:rsidR="00874A09" w:rsidRPr="00232889" w:rsidRDefault="00874A09" w:rsidP="00874A09">
            <w:pPr>
              <w:keepNext/>
              <w:keepLines/>
              <w:rPr>
                <w:rFonts w:ascii="Arial Narrow" w:hAnsi="Arial Narrow"/>
                <w:color w:val="000000"/>
                <w:sz w:val="20"/>
                <w:szCs w:val="20"/>
              </w:rPr>
            </w:pPr>
            <w:r>
              <w:rPr>
                <w:rFonts w:ascii="Arial Narrow" w:hAnsi="Arial Narrow"/>
                <w:color w:val="000000"/>
                <w:sz w:val="20"/>
                <w:szCs w:val="20"/>
              </w:rPr>
              <w:t>Blood bilirubin increased</w:t>
            </w:r>
          </w:p>
        </w:tc>
        <w:tc>
          <w:tcPr>
            <w:tcW w:w="629" w:type="pct"/>
            <w:gridSpan w:val="2"/>
            <w:tcBorders>
              <w:top w:val="single" w:sz="4" w:space="0" w:color="auto"/>
              <w:left w:val="single" w:sz="4" w:space="0" w:color="auto"/>
              <w:bottom w:val="single" w:sz="4" w:space="0" w:color="auto"/>
              <w:right w:val="single" w:sz="4" w:space="0" w:color="auto"/>
            </w:tcBorders>
            <w:vAlign w:val="center"/>
          </w:tcPr>
          <w:p w:rsidR="00874A09" w:rsidRDefault="00874A09" w:rsidP="00874A09">
            <w:pPr>
              <w:pStyle w:val="TableText0"/>
              <w:keepLines/>
              <w:spacing w:before="0" w:after="0"/>
              <w:jc w:val="center"/>
              <w:rPr>
                <w:szCs w:val="20"/>
              </w:rPr>
            </w:pPr>
            <w:r>
              <w:rPr>
                <w:szCs w:val="20"/>
              </w:rPr>
              <w:t>14/85</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874A09" w:rsidRDefault="00874A09" w:rsidP="00874A09">
            <w:pPr>
              <w:pStyle w:val="TableText0"/>
              <w:keepLines/>
              <w:spacing w:before="0" w:after="0"/>
              <w:jc w:val="center"/>
              <w:rPr>
                <w:szCs w:val="20"/>
              </w:rPr>
            </w:pPr>
            <w:r>
              <w:rPr>
                <w:szCs w:val="20"/>
              </w:rPr>
              <w:t>0/43</w:t>
            </w:r>
          </w:p>
        </w:tc>
        <w:tc>
          <w:tcPr>
            <w:tcW w:w="786" w:type="pct"/>
            <w:gridSpan w:val="2"/>
            <w:tcBorders>
              <w:top w:val="single" w:sz="4" w:space="0" w:color="auto"/>
              <w:left w:val="single" w:sz="4" w:space="0" w:color="auto"/>
              <w:bottom w:val="single" w:sz="4" w:space="0" w:color="auto"/>
              <w:right w:val="single" w:sz="4" w:space="0" w:color="auto"/>
            </w:tcBorders>
            <w:vAlign w:val="center"/>
          </w:tcPr>
          <w:p w:rsidR="00874A09" w:rsidRPr="00200039" w:rsidRDefault="00874A09" w:rsidP="00874A09">
            <w:pPr>
              <w:pStyle w:val="TableText0"/>
              <w:keepLines/>
              <w:spacing w:before="0" w:after="0"/>
              <w:jc w:val="center"/>
              <w:rPr>
                <w:b/>
                <w:iCs/>
                <w:color w:val="000000"/>
                <w:szCs w:val="20"/>
              </w:rPr>
            </w:pPr>
            <w:r w:rsidRPr="00200039">
              <w:rPr>
                <w:b/>
                <w:iCs/>
                <w:color w:val="000000"/>
                <w:szCs w:val="20"/>
              </w:rPr>
              <w:t>14.84 (1.98, NE)</w:t>
            </w:r>
          </w:p>
        </w:tc>
        <w:tc>
          <w:tcPr>
            <w:tcW w:w="629" w:type="pct"/>
            <w:tcBorders>
              <w:top w:val="single" w:sz="4" w:space="0" w:color="auto"/>
              <w:left w:val="single" w:sz="4" w:space="0" w:color="auto"/>
              <w:bottom w:val="single" w:sz="4" w:space="0" w:color="auto"/>
              <w:right w:val="single" w:sz="4" w:space="0" w:color="auto"/>
            </w:tcBorders>
            <w:vAlign w:val="center"/>
          </w:tcPr>
          <w:p w:rsidR="00874A09" w:rsidRPr="00874A09" w:rsidRDefault="00874A09" w:rsidP="00874A09">
            <w:pPr>
              <w:keepNext/>
              <w:keepLines/>
              <w:jc w:val="center"/>
              <w:rPr>
                <w:rFonts w:ascii="Arial Narrow" w:hAnsi="Arial Narrow"/>
                <w:color w:val="000000"/>
                <w:sz w:val="20"/>
                <w:szCs w:val="20"/>
              </w:rPr>
            </w:pPr>
            <w:r w:rsidRPr="00874A09">
              <w:rPr>
                <w:rFonts w:ascii="Arial Narrow" w:hAnsi="Arial Narrow"/>
                <w:color w:val="000000"/>
                <w:sz w:val="20"/>
                <w:szCs w:val="20"/>
              </w:rPr>
              <w:t>16.5</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874A09" w:rsidRPr="00874A09" w:rsidRDefault="00874A09" w:rsidP="00874A09">
            <w:pPr>
              <w:keepNext/>
              <w:keepLines/>
              <w:jc w:val="center"/>
              <w:rPr>
                <w:rFonts w:ascii="Arial Narrow" w:hAnsi="Arial Narrow"/>
                <w:color w:val="000000"/>
                <w:sz w:val="20"/>
                <w:szCs w:val="20"/>
              </w:rPr>
            </w:pPr>
            <w:r w:rsidRPr="00874A09">
              <w:rPr>
                <w:rFonts w:ascii="Arial Narrow" w:hAnsi="Arial Narrow"/>
                <w:color w:val="000000"/>
                <w:sz w:val="20"/>
                <w:szCs w:val="20"/>
              </w:rPr>
              <w:t>0</w:t>
            </w:r>
          </w:p>
        </w:tc>
        <w:tc>
          <w:tcPr>
            <w:tcW w:w="768" w:type="pct"/>
            <w:tcBorders>
              <w:top w:val="single" w:sz="4" w:space="0" w:color="auto"/>
              <w:left w:val="single" w:sz="4" w:space="0" w:color="auto"/>
              <w:bottom w:val="single" w:sz="4" w:space="0" w:color="auto"/>
              <w:right w:val="single" w:sz="4" w:space="0" w:color="auto"/>
            </w:tcBorders>
            <w:vAlign w:val="center"/>
          </w:tcPr>
          <w:p w:rsidR="00874A09" w:rsidRPr="00200039" w:rsidRDefault="00874A09" w:rsidP="00874A09">
            <w:pPr>
              <w:keepNext/>
              <w:keepLines/>
              <w:jc w:val="center"/>
              <w:rPr>
                <w:rFonts w:ascii="Arial Narrow" w:hAnsi="Arial Narrow"/>
                <w:b/>
                <w:color w:val="000000"/>
                <w:sz w:val="20"/>
                <w:szCs w:val="20"/>
              </w:rPr>
            </w:pPr>
            <w:r w:rsidRPr="00200039">
              <w:rPr>
                <w:rFonts w:ascii="Arial Narrow" w:hAnsi="Arial Narrow"/>
                <w:b/>
                <w:sz w:val="20"/>
                <w:szCs w:val="20"/>
              </w:rPr>
              <w:t>16.5 (7.8, 25.8)</w:t>
            </w:r>
          </w:p>
        </w:tc>
      </w:tr>
      <w:tr w:rsidR="005A4092" w:rsidRPr="00232889" w:rsidTr="00874A09">
        <w:tc>
          <w:tcPr>
            <w:tcW w:w="1177" w:type="pct"/>
            <w:tcBorders>
              <w:top w:val="single" w:sz="4" w:space="0" w:color="auto"/>
              <w:left w:val="single" w:sz="4" w:space="0" w:color="auto"/>
              <w:bottom w:val="single" w:sz="4" w:space="0" w:color="auto"/>
              <w:right w:val="single" w:sz="4" w:space="0" w:color="auto"/>
            </w:tcBorders>
            <w:shd w:val="clear" w:color="auto" w:fill="auto"/>
            <w:vAlign w:val="center"/>
          </w:tcPr>
          <w:p w:rsidR="005A4092" w:rsidRPr="00232889" w:rsidRDefault="005A4092" w:rsidP="00874A09">
            <w:pPr>
              <w:keepNext/>
              <w:keepLines/>
              <w:rPr>
                <w:rFonts w:ascii="Arial Narrow" w:hAnsi="Arial Narrow"/>
                <w:color w:val="000000"/>
                <w:sz w:val="20"/>
                <w:szCs w:val="20"/>
              </w:rPr>
            </w:pPr>
            <w:r>
              <w:rPr>
                <w:rFonts w:ascii="Arial Narrow" w:hAnsi="Arial Narrow"/>
                <w:color w:val="000000"/>
                <w:sz w:val="20"/>
                <w:szCs w:val="20"/>
              </w:rPr>
              <w:t>Dyspnoea</w:t>
            </w:r>
          </w:p>
        </w:tc>
        <w:tc>
          <w:tcPr>
            <w:tcW w:w="629" w:type="pct"/>
            <w:gridSpan w:val="2"/>
            <w:tcBorders>
              <w:top w:val="single" w:sz="4" w:space="0" w:color="auto"/>
              <w:left w:val="single" w:sz="4" w:space="0" w:color="auto"/>
              <w:bottom w:val="single" w:sz="4" w:space="0" w:color="auto"/>
              <w:right w:val="single" w:sz="4" w:space="0" w:color="auto"/>
            </w:tcBorders>
            <w:vAlign w:val="center"/>
          </w:tcPr>
          <w:p w:rsidR="005A4092" w:rsidRDefault="00874A09" w:rsidP="00874A09">
            <w:pPr>
              <w:pStyle w:val="TableText0"/>
              <w:keepLines/>
              <w:spacing w:before="0" w:after="0"/>
              <w:jc w:val="center"/>
              <w:rPr>
                <w:szCs w:val="20"/>
              </w:rPr>
            </w:pPr>
            <w:r>
              <w:rPr>
                <w:szCs w:val="20"/>
              </w:rPr>
              <w:t>11/85</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5A4092" w:rsidRDefault="00874A09" w:rsidP="00874A09">
            <w:pPr>
              <w:pStyle w:val="TableText0"/>
              <w:keepLines/>
              <w:spacing w:before="0" w:after="0"/>
              <w:jc w:val="center"/>
              <w:rPr>
                <w:szCs w:val="20"/>
              </w:rPr>
            </w:pPr>
            <w:r>
              <w:rPr>
                <w:szCs w:val="20"/>
              </w:rPr>
              <w:t>0/43</w:t>
            </w:r>
          </w:p>
        </w:tc>
        <w:tc>
          <w:tcPr>
            <w:tcW w:w="786" w:type="pct"/>
            <w:gridSpan w:val="2"/>
            <w:tcBorders>
              <w:top w:val="single" w:sz="4" w:space="0" w:color="auto"/>
              <w:left w:val="single" w:sz="4" w:space="0" w:color="auto"/>
              <w:bottom w:val="single" w:sz="4" w:space="0" w:color="auto"/>
              <w:right w:val="single" w:sz="4" w:space="0" w:color="auto"/>
            </w:tcBorders>
            <w:vAlign w:val="center"/>
          </w:tcPr>
          <w:p w:rsidR="005A4092" w:rsidRPr="00200039" w:rsidRDefault="005A4092" w:rsidP="00874A09">
            <w:pPr>
              <w:pStyle w:val="TableText0"/>
              <w:keepLines/>
              <w:spacing w:before="0" w:after="0"/>
              <w:jc w:val="center"/>
              <w:rPr>
                <w:b/>
                <w:iCs/>
                <w:color w:val="000000"/>
                <w:szCs w:val="20"/>
              </w:rPr>
            </w:pPr>
            <w:r w:rsidRPr="00200039">
              <w:rPr>
                <w:b/>
                <w:iCs/>
                <w:color w:val="000000"/>
                <w:szCs w:val="20"/>
              </w:rPr>
              <w:t>11.77 (1.55, NE)</w:t>
            </w:r>
          </w:p>
        </w:tc>
        <w:tc>
          <w:tcPr>
            <w:tcW w:w="629" w:type="pct"/>
            <w:tcBorders>
              <w:top w:val="single" w:sz="4" w:space="0" w:color="auto"/>
              <w:left w:val="single" w:sz="4" w:space="0" w:color="auto"/>
              <w:bottom w:val="single" w:sz="4" w:space="0" w:color="auto"/>
              <w:right w:val="single" w:sz="4" w:space="0" w:color="auto"/>
            </w:tcBorders>
            <w:vAlign w:val="center"/>
          </w:tcPr>
          <w:p w:rsidR="005A4092" w:rsidRPr="00874A09" w:rsidRDefault="00874A09" w:rsidP="00874A09">
            <w:pPr>
              <w:keepNext/>
              <w:keepLines/>
              <w:jc w:val="center"/>
              <w:rPr>
                <w:rFonts w:ascii="Arial Narrow" w:hAnsi="Arial Narrow"/>
                <w:color w:val="000000"/>
                <w:sz w:val="20"/>
                <w:szCs w:val="20"/>
              </w:rPr>
            </w:pPr>
            <w:r w:rsidRPr="00874A09">
              <w:rPr>
                <w:rFonts w:ascii="Arial Narrow" w:hAnsi="Arial Narrow"/>
                <w:color w:val="000000"/>
                <w:sz w:val="20"/>
                <w:szCs w:val="20"/>
              </w:rPr>
              <w:t>12.9</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5A4092" w:rsidRPr="00874A09" w:rsidRDefault="00874A09" w:rsidP="00874A09">
            <w:pPr>
              <w:keepNext/>
              <w:keepLines/>
              <w:jc w:val="center"/>
              <w:rPr>
                <w:rFonts w:ascii="Arial Narrow" w:hAnsi="Arial Narrow"/>
                <w:color w:val="000000"/>
                <w:sz w:val="20"/>
                <w:szCs w:val="20"/>
              </w:rPr>
            </w:pPr>
            <w:r w:rsidRPr="00874A09">
              <w:rPr>
                <w:rFonts w:ascii="Arial Narrow" w:hAnsi="Arial Narrow"/>
                <w:color w:val="000000"/>
                <w:sz w:val="20"/>
                <w:szCs w:val="20"/>
              </w:rPr>
              <w:t>0</w:t>
            </w:r>
          </w:p>
        </w:tc>
        <w:tc>
          <w:tcPr>
            <w:tcW w:w="768" w:type="pct"/>
            <w:tcBorders>
              <w:top w:val="single" w:sz="4" w:space="0" w:color="auto"/>
              <w:left w:val="single" w:sz="4" w:space="0" w:color="auto"/>
              <w:bottom w:val="single" w:sz="4" w:space="0" w:color="auto"/>
              <w:right w:val="single" w:sz="4" w:space="0" w:color="auto"/>
            </w:tcBorders>
            <w:vAlign w:val="center"/>
          </w:tcPr>
          <w:p w:rsidR="005A4092" w:rsidRPr="00200039" w:rsidRDefault="00874A09" w:rsidP="00874A09">
            <w:pPr>
              <w:keepNext/>
              <w:keepLines/>
              <w:jc w:val="center"/>
              <w:rPr>
                <w:rFonts w:ascii="Arial Narrow" w:hAnsi="Arial Narrow"/>
                <w:b/>
                <w:color w:val="000000"/>
                <w:sz w:val="20"/>
                <w:szCs w:val="20"/>
              </w:rPr>
            </w:pPr>
            <w:r w:rsidRPr="00200039">
              <w:rPr>
                <w:rFonts w:ascii="Arial Narrow" w:hAnsi="Arial Narrow"/>
                <w:b/>
                <w:sz w:val="20"/>
                <w:szCs w:val="20"/>
              </w:rPr>
              <w:t>12.9 (4.3, 21.7)</w:t>
            </w:r>
          </w:p>
        </w:tc>
      </w:tr>
      <w:tr w:rsidR="005A4092" w:rsidRPr="00232889" w:rsidTr="00874A09">
        <w:tc>
          <w:tcPr>
            <w:tcW w:w="1177" w:type="pct"/>
            <w:tcBorders>
              <w:top w:val="single" w:sz="4" w:space="0" w:color="auto"/>
              <w:left w:val="single" w:sz="4" w:space="0" w:color="auto"/>
              <w:bottom w:val="single" w:sz="4" w:space="0" w:color="auto"/>
              <w:right w:val="single" w:sz="4" w:space="0" w:color="auto"/>
            </w:tcBorders>
            <w:shd w:val="clear" w:color="auto" w:fill="auto"/>
            <w:vAlign w:val="center"/>
          </w:tcPr>
          <w:p w:rsidR="005A4092" w:rsidRPr="00232889" w:rsidRDefault="005A4092" w:rsidP="00874A09">
            <w:pPr>
              <w:keepNext/>
              <w:keepLines/>
              <w:rPr>
                <w:rFonts w:ascii="Arial Narrow" w:hAnsi="Arial Narrow"/>
                <w:color w:val="000000"/>
                <w:sz w:val="20"/>
                <w:szCs w:val="20"/>
              </w:rPr>
            </w:pPr>
            <w:r>
              <w:rPr>
                <w:rFonts w:ascii="Arial Narrow" w:hAnsi="Arial Narrow"/>
                <w:color w:val="000000"/>
                <w:sz w:val="20"/>
                <w:szCs w:val="20"/>
              </w:rPr>
              <w:t>Hypophosphataemia</w:t>
            </w:r>
          </w:p>
        </w:tc>
        <w:tc>
          <w:tcPr>
            <w:tcW w:w="629" w:type="pct"/>
            <w:gridSpan w:val="2"/>
            <w:tcBorders>
              <w:top w:val="single" w:sz="4" w:space="0" w:color="auto"/>
              <w:left w:val="single" w:sz="4" w:space="0" w:color="auto"/>
              <w:bottom w:val="single" w:sz="4" w:space="0" w:color="auto"/>
              <w:right w:val="single" w:sz="4" w:space="0" w:color="auto"/>
            </w:tcBorders>
            <w:vAlign w:val="center"/>
          </w:tcPr>
          <w:p w:rsidR="005A4092" w:rsidRDefault="005A4092" w:rsidP="00874A09">
            <w:pPr>
              <w:pStyle w:val="TableText0"/>
              <w:keepLines/>
              <w:spacing w:before="0" w:after="0"/>
              <w:jc w:val="center"/>
              <w:rPr>
                <w:szCs w:val="20"/>
              </w:rPr>
            </w:pPr>
            <w:r>
              <w:rPr>
                <w:szCs w:val="20"/>
              </w:rPr>
              <w:t>9/85</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5A4092" w:rsidRDefault="005A4092" w:rsidP="00874A09">
            <w:pPr>
              <w:pStyle w:val="TableText0"/>
              <w:keepLines/>
              <w:spacing w:before="0" w:after="0"/>
              <w:jc w:val="center"/>
              <w:rPr>
                <w:szCs w:val="20"/>
              </w:rPr>
            </w:pPr>
            <w:r>
              <w:rPr>
                <w:szCs w:val="20"/>
              </w:rPr>
              <w:t>0/43</w:t>
            </w:r>
          </w:p>
        </w:tc>
        <w:tc>
          <w:tcPr>
            <w:tcW w:w="786" w:type="pct"/>
            <w:gridSpan w:val="2"/>
            <w:tcBorders>
              <w:top w:val="single" w:sz="4" w:space="0" w:color="auto"/>
              <w:left w:val="single" w:sz="4" w:space="0" w:color="auto"/>
              <w:bottom w:val="single" w:sz="4" w:space="0" w:color="auto"/>
              <w:right w:val="single" w:sz="4" w:space="0" w:color="auto"/>
            </w:tcBorders>
            <w:vAlign w:val="center"/>
          </w:tcPr>
          <w:p w:rsidR="005A4092" w:rsidRPr="00200039" w:rsidRDefault="005A4092" w:rsidP="00874A09">
            <w:pPr>
              <w:pStyle w:val="TableText0"/>
              <w:keepLines/>
              <w:spacing w:before="0" w:after="0"/>
              <w:jc w:val="center"/>
              <w:rPr>
                <w:b/>
                <w:iCs/>
                <w:color w:val="000000"/>
                <w:szCs w:val="20"/>
              </w:rPr>
            </w:pPr>
            <w:r w:rsidRPr="00200039">
              <w:rPr>
                <w:b/>
                <w:iCs/>
                <w:color w:val="000000"/>
                <w:szCs w:val="20"/>
              </w:rPr>
              <w:t>9.72 (1.26, NE)</w:t>
            </w:r>
          </w:p>
        </w:tc>
        <w:tc>
          <w:tcPr>
            <w:tcW w:w="629" w:type="pct"/>
            <w:tcBorders>
              <w:top w:val="single" w:sz="4" w:space="0" w:color="auto"/>
              <w:left w:val="single" w:sz="4" w:space="0" w:color="auto"/>
              <w:bottom w:val="single" w:sz="4" w:space="0" w:color="auto"/>
              <w:right w:val="single" w:sz="4" w:space="0" w:color="auto"/>
            </w:tcBorders>
            <w:vAlign w:val="center"/>
          </w:tcPr>
          <w:p w:rsidR="005A4092" w:rsidRPr="00874A09" w:rsidRDefault="005A4092" w:rsidP="00874A09">
            <w:pPr>
              <w:keepNext/>
              <w:keepLines/>
              <w:jc w:val="center"/>
              <w:rPr>
                <w:rFonts w:ascii="Arial Narrow" w:hAnsi="Arial Narrow"/>
                <w:color w:val="000000"/>
                <w:sz w:val="20"/>
                <w:szCs w:val="20"/>
              </w:rPr>
            </w:pPr>
            <w:r w:rsidRPr="00874A09">
              <w:rPr>
                <w:rFonts w:ascii="Arial Narrow" w:hAnsi="Arial Narrow"/>
                <w:color w:val="000000"/>
                <w:sz w:val="20"/>
                <w:szCs w:val="20"/>
              </w:rPr>
              <w:t>10.6</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5A4092" w:rsidRPr="00874A09" w:rsidRDefault="005A4092" w:rsidP="00874A09">
            <w:pPr>
              <w:keepNext/>
              <w:keepLines/>
              <w:jc w:val="center"/>
              <w:rPr>
                <w:rFonts w:ascii="Arial Narrow" w:hAnsi="Arial Narrow"/>
                <w:color w:val="000000"/>
                <w:sz w:val="20"/>
                <w:szCs w:val="20"/>
              </w:rPr>
            </w:pPr>
            <w:r w:rsidRPr="00874A09">
              <w:rPr>
                <w:rFonts w:ascii="Arial Narrow" w:hAnsi="Arial Narrow"/>
                <w:color w:val="000000"/>
                <w:sz w:val="20"/>
                <w:szCs w:val="20"/>
              </w:rPr>
              <w:t>0</w:t>
            </w:r>
          </w:p>
        </w:tc>
        <w:tc>
          <w:tcPr>
            <w:tcW w:w="768" w:type="pct"/>
            <w:tcBorders>
              <w:top w:val="single" w:sz="4" w:space="0" w:color="auto"/>
              <w:left w:val="single" w:sz="4" w:space="0" w:color="auto"/>
              <w:bottom w:val="single" w:sz="4" w:space="0" w:color="auto"/>
              <w:right w:val="single" w:sz="4" w:space="0" w:color="auto"/>
            </w:tcBorders>
            <w:vAlign w:val="center"/>
          </w:tcPr>
          <w:p w:rsidR="005A4092" w:rsidRPr="00200039" w:rsidRDefault="005A4092" w:rsidP="00874A09">
            <w:pPr>
              <w:keepNext/>
              <w:keepLines/>
              <w:jc w:val="center"/>
              <w:rPr>
                <w:rFonts w:ascii="Arial Narrow" w:hAnsi="Arial Narrow"/>
                <w:b/>
                <w:color w:val="000000"/>
                <w:sz w:val="20"/>
                <w:szCs w:val="20"/>
              </w:rPr>
            </w:pPr>
            <w:r w:rsidRPr="00200039">
              <w:rPr>
                <w:rFonts w:ascii="Arial Narrow" w:hAnsi="Arial Narrow"/>
                <w:b/>
                <w:color w:val="000000"/>
                <w:sz w:val="20"/>
                <w:szCs w:val="20"/>
              </w:rPr>
              <w:t>10.6 (2.0, 19.0)</w:t>
            </w:r>
          </w:p>
        </w:tc>
      </w:tr>
      <w:tr w:rsidR="005A4092" w:rsidRPr="00232889" w:rsidTr="00874A09">
        <w:tc>
          <w:tcPr>
            <w:tcW w:w="1177" w:type="pct"/>
            <w:tcBorders>
              <w:top w:val="single" w:sz="4" w:space="0" w:color="auto"/>
              <w:left w:val="single" w:sz="4" w:space="0" w:color="auto"/>
              <w:bottom w:val="single" w:sz="4" w:space="0" w:color="auto"/>
              <w:right w:val="single" w:sz="4" w:space="0" w:color="auto"/>
            </w:tcBorders>
            <w:shd w:val="clear" w:color="auto" w:fill="auto"/>
            <w:vAlign w:val="center"/>
          </w:tcPr>
          <w:p w:rsidR="005A4092" w:rsidRPr="00232889" w:rsidRDefault="005A4092" w:rsidP="00874A09">
            <w:pPr>
              <w:keepNext/>
              <w:keepLines/>
              <w:rPr>
                <w:rFonts w:ascii="Arial Narrow" w:hAnsi="Arial Narrow"/>
                <w:color w:val="000000"/>
                <w:sz w:val="20"/>
                <w:szCs w:val="20"/>
              </w:rPr>
            </w:pPr>
            <w:r>
              <w:rPr>
                <w:rFonts w:ascii="Arial Narrow" w:hAnsi="Arial Narrow"/>
                <w:color w:val="000000"/>
                <w:sz w:val="20"/>
                <w:szCs w:val="20"/>
              </w:rPr>
              <w:t>Lipase increased</w:t>
            </w:r>
          </w:p>
        </w:tc>
        <w:tc>
          <w:tcPr>
            <w:tcW w:w="629" w:type="pct"/>
            <w:gridSpan w:val="2"/>
            <w:tcBorders>
              <w:top w:val="single" w:sz="4" w:space="0" w:color="auto"/>
              <w:left w:val="single" w:sz="4" w:space="0" w:color="auto"/>
              <w:bottom w:val="single" w:sz="4" w:space="0" w:color="auto"/>
              <w:right w:val="single" w:sz="4" w:space="0" w:color="auto"/>
            </w:tcBorders>
            <w:vAlign w:val="center"/>
          </w:tcPr>
          <w:p w:rsidR="005A4092" w:rsidRDefault="005A4092" w:rsidP="00874A09">
            <w:pPr>
              <w:pStyle w:val="TableText0"/>
              <w:keepLines/>
              <w:spacing w:before="0" w:after="0"/>
              <w:jc w:val="center"/>
              <w:rPr>
                <w:szCs w:val="20"/>
              </w:rPr>
            </w:pPr>
            <w:r>
              <w:rPr>
                <w:szCs w:val="20"/>
              </w:rPr>
              <w:t>9/85</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5A4092" w:rsidRDefault="005A4092" w:rsidP="00874A09">
            <w:pPr>
              <w:pStyle w:val="TableText0"/>
              <w:keepLines/>
              <w:spacing w:before="0" w:after="0"/>
              <w:jc w:val="center"/>
              <w:rPr>
                <w:szCs w:val="20"/>
              </w:rPr>
            </w:pPr>
            <w:r>
              <w:rPr>
                <w:szCs w:val="20"/>
              </w:rPr>
              <w:t>0/43</w:t>
            </w:r>
          </w:p>
        </w:tc>
        <w:tc>
          <w:tcPr>
            <w:tcW w:w="786" w:type="pct"/>
            <w:gridSpan w:val="2"/>
            <w:tcBorders>
              <w:top w:val="single" w:sz="4" w:space="0" w:color="auto"/>
              <w:left w:val="single" w:sz="4" w:space="0" w:color="auto"/>
              <w:bottom w:val="single" w:sz="4" w:space="0" w:color="auto"/>
              <w:right w:val="single" w:sz="4" w:space="0" w:color="auto"/>
            </w:tcBorders>
            <w:vAlign w:val="center"/>
          </w:tcPr>
          <w:p w:rsidR="005A4092" w:rsidRPr="00200039" w:rsidRDefault="005A4092" w:rsidP="00874A09">
            <w:pPr>
              <w:pStyle w:val="TableText0"/>
              <w:keepLines/>
              <w:spacing w:before="0" w:after="0"/>
              <w:jc w:val="center"/>
              <w:rPr>
                <w:b/>
                <w:iCs/>
                <w:color w:val="000000"/>
                <w:szCs w:val="20"/>
              </w:rPr>
            </w:pPr>
            <w:r w:rsidRPr="00200039">
              <w:rPr>
                <w:b/>
                <w:iCs/>
                <w:color w:val="000000"/>
                <w:szCs w:val="20"/>
              </w:rPr>
              <w:t>9.72 (1.26, NE)</w:t>
            </w:r>
          </w:p>
        </w:tc>
        <w:tc>
          <w:tcPr>
            <w:tcW w:w="629" w:type="pct"/>
            <w:tcBorders>
              <w:top w:val="single" w:sz="4" w:space="0" w:color="auto"/>
              <w:left w:val="single" w:sz="4" w:space="0" w:color="auto"/>
              <w:bottom w:val="single" w:sz="4" w:space="0" w:color="auto"/>
              <w:right w:val="single" w:sz="4" w:space="0" w:color="auto"/>
            </w:tcBorders>
            <w:vAlign w:val="center"/>
          </w:tcPr>
          <w:p w:rsidR="005A4092" w:rsidRPr="00874A09" w:rsidRDefault="005A4092" w:rsidP="00874A09">
            <w:pPr>
              <w:keepNext/>
              <w:keepLines/>
              <w:jc w:val="center"/>
              <w:rPr>
                <w:rFonts w:ascii="Arial Narrow" w:hAnsi="Arial Narrow"/>
                <w:color w:val="000000"/>
                <w:sz w:val="20"/>
                <w:szCs w:val="20"/>
              </w:rPr>
            </w:pPr>
            <w:r w:rsidRPr="00874A09">
              <w:rPr>
                <w:rFonts w:ascii="Arial Narrow" w:hAnsi="Arial Narrow"/>
                <w:color w:val="000000"/>
                <w:sz w:val="20"/>
                <w:szCs w:val="20"/>
              </w:rPr>
              <w:t>10.6</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5A4092" w:rsidRPr="00874A09" w:rsidRDefault="005A4092" w:rsidP="00874A09">
            <w:pPr>
              <w:keepNext/>
              <w:keepLines/>
              <w:jc w:val="center"/>
              <w:rPr>
                <w:rFonts w:ascii="Arial Narrow" w:hAnsi="Arial Narrow"/>
                <w:color w:val="000000"/>
                <w:sz w:val="20"/>
                <w:szCs w:val="20"/>
              </w:rPr>
            </w:pPr>
            <w:r w:rsidRPr="00874A09">
              <w:rPr>
                <w:rFonts w:ascii="Arial Narrow" w:hAnsi="Arial Narrow"/>
                <w:color w:val="000000"/>
                <w:sz w:val="20"/>
                <w:szCs w:val="20"/>
              </w:rPr>
              <w:t>0</w:t>
            </w:r>
          </w:p>
        </w:tc>
        <w:tc>
          <w:tcPr>
            <w:tcW w:w="768" w:type="pct"/>
            <w:tcBorders>
              <w:top w:val="single" w:sz="4" w:space="0" w:color="auto"/>
              <w:left w:val="single" w:sz="4" w:space="0" w:color="auto"/>
              <w:bottom w:val="single" w:sz="4" w:space="0" w:color="auto"/>
              <w:right w:val="single" w:sz="4" w:space="0" w:color="auto"/>
            </w:tcBorders>
            <w:vAlign w:val="center"/>
          </w:tcPr>
          <w:p w:rsidR="005A4092" w:rsidRPr="00200039" w:rsidRDefault="005A4092" w:rsidP="00874A09">
            <w:pPr>
              <w:keepNext/>
              <w:keepLines/>
              <w:jc w:val="center"/>
              <w:rPr>
                <w:rFonts w:ascii="Arial Narrow" w:hAnsi="Arial Narrow"/>
                <w:b/>
                <w:color w:val="000000"/>
                <w:sz w:val="20"/>
                <w:szCs w:val="20"/>
              </w:rPr>
            </w:pPr>
            <w:r w:rsidRPr="00200039">
              <w:rPr>
                <w:rFonts w:ascii="Arial Narrow" w:hAnsi="Arial Narrow"/>
                <w:b/>
                <w:color w:val="000000"/>
                <w:sz w:val="20"/>
                <w:szCs w:val="20"/>
              </w:rPr>
              <w:t>10.6 (2.0, 19.0)</w:t>
            </w:r>
          </w:p>
        </w:tc>
      </w:tr>
      <w:tr w:rsidR="005A4092" w:rsidRPr="00232889" w:rsidTr="00874A09">
        <w:tc>
          <w:tcPr>
            <w:tcW w:w="1177" w:type="pct"/>
            <w:tcBorders>
              <w:top w:val="single" w:sz="4" w:space="0" w:color="auto"/>
              <w:left w:val="single" w:sz="4" w:space="0" w:color="auto"/>
              <w:bottom w:val="single" w:sz="4" w:space="0" w:color="auto"/>
              <w:right w:val="single" w:sz="4" w:space="0" w:color="auto"/>
            </w:tcBorders>
            <w:shd w:val="clear" w:color="auto" w:fill="auto"/>
            <w:vAlign w:val="center"/>
          </w:tcPr>
          <w:p w:rsidR="005A4092" w:rsidRPr="00232889" w:rsidRDefault="005A4092" w:rsidP="00874A09">
            <w:pPr>
              <w:keepNext/>
              <w:keepLines/>
              <w:rPr>
                <w:rFonts w:ascii="Arial Narrow" w:hAnsi="Arial Narrow"/>
                <w:color w:val="000000"/>
                <w:sz w:val="20"/>
                <w:szCs w:val="20"/>
              </w:rPr>
            </w:pPr>
            <w:r>
              <w:rPr>
                <w:rFonts w:ascii="Arial Narrow" w:hAnsi="Arial Narrow"/>
                <w:color w:val="000000"/>
                <w:sz w:val="20"/>
                <w:szCs w:val="20"/>
              </w:rPr>
              <w:t>Stomatitis</w:t>
            </w:r>
          </w:p>
        </w:tc>
        <w:tc>
          <w:tcPr>
            <w:tcW w:w="629" w:type="pct"/>
            <w:gridSpan w:val="2"/>
            <w:tcBorders>
              <w:top w:val="single" w:sz="4" w:space="0" w:color="auto"/>
              <w:left w:val="single" w:sz="4" w:space="0" w:color="auto"/>
              <w:bottom w:val="single" w:sz="4" w:space="0" w:color="auto"/>
              <w:right w:val="single" w:sz="4" w:space="0" w:color="auto"/>
            </w:tcBorders>
            <w:vAlign w:val="center"/>
          </w:tcPr>
          <w:p w:rsidR="005A4092" w:rsidRDefault="005A4092" w:rsidP="00874A09">
            <w:pPr>
              <w:pStyle w:val="TableText0"/>
              <w:keepLines/>
              <w:spacing w:before="0" w:after="0"/>
              <w:jc w:val="center"/>
              <w:rPr>
                <w:szCs w:val="20"/>
              </w:rPr>
            </w:pPr>
            <w:r>
              <w:rPr>
                <w:szCs w:val="20"/>
              </w:rPr>
              <w:t>9/85</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5A4092" w:rsidRDefault="005A4092" w:rsidP="00874A09">
            <w:pPr>
              <w:pStyle w:val="TableText0"/>
              <w:keepLines/>
              <w:spacing w:before="0" w:after="0"/>
              <w:jc w:val="center"/>
              <w:rPr>
                <w:szCs w:val="20"/>
              </w:rPr>
            </w:pPr>
            <w:r>
              <w:rPr>
                <w:szCs w:val="20"/>
              </w:rPr>
              <w:t>0/43</w:t>
            </w:r>
          </w:p>
        </w:tc>
        <w:tc>
          <w:tcPr>
            <w:tcW w:w="786" w:type="pct"/>
            <w:gridSpan w:val="2"/>
            <w:tcBorders>
              <w:top w:val="single" w:sz="4" w:space="0" w:color="auto"/>
              <w:left w:val="single" w:sz="4" w:space="0" w:color="auto"/>
              <w:bottom w:val="single" w:sz="4" w:space="0" w:color="auto"/>
              <w:right w:val="single" w:sz="4" w:space="0" w:color="auto"/>
            </w:tcBorders>
            <w:vAlign w:val="center"/>
          </w:tcPr>
          <w:p w:rsidR="005A4092" w:rsidRPr="00200039" w:rsidRDefault="005A4092" w:rsidP="00874A09">
            <w:pPr>
              <w:pStyle w:val="TableText0"/>
              <w:keepLines/>
              <w:spacing w:before="0" w:after="0"/>
              <w:jc w:val="center"/>
              <w:rPr>
                <w:b/>
                <w:iCs/>
                <w:color w:val="000000"/>
                <w:szCs w:val="20"/>
              </w:rPr>
            </w:pPr>
            <w:r w:rsidRPr="00200039">
              <w:rPr>
                <w:b/>
                <w:iCs/>
                <w:color w:val="000000"/>
                <w:szCs w:val="20"/>
              </w:rPr>
              <w:t>9.72 (1.26, NE)</w:t>
            </w:r>
          </w:p>
        </w:tc>
        <w:tc>
          <w:tcPr>
            <w:tcW w:w="629" w:type="pct"/>
            <w:tcBorders>
              <w:top w:val="single" w:sz="4" w:space="0" w:color="auto"/>
              <w:left w:val="single" w:sz="4" w:space="0" w:color="auto"/>
              <w:bottom w:val="single" w:sz="4" w:space="0" w:color="auto"/>
              <w:right w:val="single" w:sz="4" w:space="0" w:color="auto"/>
            </w:tcBorders>
            <w:vAlign w:val="center"/>
          </w:tcPr>
          <w:p w:rsidR="005A4092" w:rsidRPr="00874A09" w:rsidRDefault="005A4092" w:rsidP="00874A09">
            <w:pPr>
              <w:keepNext/>
              <w:keepLines/>
              <w:jc w:val="center"/>
              <w:rPr>
                <w:rFonts w:ascii="Arial Narrow" w:hAnsi="Arial Narrow"/>
                <w:color w:val="000000"/>
                <w:sz w:val="20"/>
                <w:szCs w:val="20"/>
              </w:rPr>
            </w:pPr>
            <w:r w:rsidRPr="00874A09">
              <w:rPr>
                <w:rFonts w:ascii="Arial Narrow" w:hAnsi="Arial Narrow"/>
                <w:color w:val="000000"/>
                <w:sz w:val="20"/>
                <w:szCs w:val="20"/>
              </w:rPr>
              <w:t>10.6</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5A4092" w:rsidRPr="00874A09" w:rsidRDefault="005A4092" w:rsidP="00874A09">
            <w:pPr>
              <w:keepNext/>
              <w:keepLines/>
              <w:jc w:val="center"/>
              <w:rPr>
                <w:rFonts w:ascii="Arial Narrow" w:hAnsi="Arial Narrow"/>
                <w:color w:val="000000"/>
                <w:sz w:val="20"/>
                <w:szCs w:val="20"/>
              </w:rPr>
            </w:pPr>
            <w:r w:rsidRPr="00874A09">
              <w:rPr>
                <w:rFonts w:ascii="Arial Narrow" w:hAnsi="Arial Narrow"/>
                <w:color w:val="000000"/>
                <w:sz w:val="20"/>
                <w:szCs w:val="20"/>
              </w:rPr>
              <w:t>0</w:t>
            </w:r>
          </w:p>
        </w:tc>
        <w:tc>
          <w:tcPr>
            <w:tcW w:w="768" w:type="pct"/>
            <w:tcBorders>
              <w:top w:val="single" w:sz="4" w:space="0" w:color="auto"/>
              <w:left w:val="single" w:sz="4" w:space="0" w:color="auto"/>
              <w:bottom w:val="single" w:sz="4" w:space="0" w:color="auto"/>
              <w:right w:val="single" w:sz="4" w:space="0" w:color="auto"/>
            </w:tcBorders>
            <w:vAlign w:val="center"/>
          </w:tcPr>
          <w:p w:rsidR="005A4092" w:rsidRPr="00200039" w:rsidRDefault="005A4092" w:rsidP="00874A09">
            <w:pPr>
              <w:keepNext/>
              <w:keepLines/>
              <w:jc w:val="center"/>
              <w:rPr>
                <w:rFonts w:ascii="Arial Narrow" w:hAnsi="Arial Narrow"/>
                <w:b/>
                <w:color w:val="000000"/>
                <w:sz w:val="20"/>
                <w:szCs w:val="20"/>
              </w:rPr>
            </w:pPr>
            <w:r w:rsidRPr="00200039">
              <w:rPr>
                <w:rFonts w:ascii="Arial Narrow" w:hAnsi="Arial Narrow"/>
                <w:b/>
                <w:color w:val="000000"/>
                <w:sz w:val="20"/>
                <w:szCs w:val="20"/>
              </w:rPr>
              <w:t>10.6 (2.0, 19.0)</w:t>
            </w:r>
          </w:p>
        </w:tc>
      </w:tr>
    </w:tbl>
    <w:p w:rsidR="00083F05" w:rsidRPr="0072416F" w:rsidRDefault="00083F05" w:rsidP="00874A09">
      <w:pPr>
        <w:pStyle w:val="TableFooter"/>
        <w:keepNext/>
        <w:keepLines/>
      </w:pPr>
      <w:r w:rsidRPr="0072416F">
        <w:t>* Median duration of follow-up</w:t>
      </w:r>
      <w:r>
        <w:t xml:space="preserve"> in INVICTUS: Ripretinib arm (double blind period)</w:t>
      </w:r>
      <w:r w:rsidRPr="0072416F">
        <w:t xml:space="preserve"> = </w:t>
      </w:r>
      <w:r>
        <w:t>6.3</w:t>
      </w:r>
      <w:r w:rsidRPr="0072416F">
        <w:t xml:space="preserve"> months; </w:t>
      </w:r>
      <w:r>
        <w:t>Placebo (double blind period)</w:t>
      </w:r>
      <w:r w:rsidRPr="0072416F">
        <w:t xml:space="preserve"> =</w:t>
      </w:r>
      <w:r>
        <w:t>1.6</w:t>
      </w:r>
      <w:r w:rsidRPr="0072416F">
        <w:t xml:space="preserve"> months; </w:t>
      </w:r>
    </w:p>
    <w:p w:rsidR="00083F05" w:rsidRDefault="00083F05" w:rsidP="00874A09">
      <w:pPr>
        <w:pStyle w:val="TableFooter"/>
        <w:keepNext/>
        <w:keepLines/>
      </w:pPr>
      <w:r>
        <w:t xml:space="preserve">BSC = best supportive care; HR = hazard ratio; PPE = </w:t>
      </w:r>
      <w:r w:rsidRPr="00D33691">
        <w:t>palmar-plantar erythrodysaesthesia syndrome</w:t>
      </w:r>
      <w:r w:rsidRPr="0072416F">
        <w:t>; RD = risk difference; RR = risk ratio</w:t>
      </w:r>
      <w:r w:rsidR="005A4092">
        <w:t>, NE = not estimable</w:t>
      </w:r>
    </w:p>
    <w:p w:rsidR="00200039" w:rsidRDefault="00200039" w:rsidP="00874A09">
      <w:pPr>
        <w:pStyle w:val="TableFooter"/>
        <w:keepNext/>
        <w:keepLines/>
      </w:pPr>
      <w:r>
        <w:t>** I</w:t>
      </w:r>
      <w:r w:rsidR="005A4092">
        <w:t xml:space="preserve">ndicate values calculated during evaluation with </w:t>
      </w:r>
      <w:r w:rsidR="00F81D5A">
        <w:t>StatsDirect</w:t>
      </w:r>
      <w:r w:rsidR="005A4092">
        <w:t xml:space="preserve"> v3.3.4</w:t>
      </w:r>
      <w:r w:rsidR="00874A09">
        <w:t xml:space="preserve">. </w:t>
      </w:r>
    </w:p>
    <w:p w:rsidR="005A4092" w:rsidRPr="0072416F" w:rsidRDefault="00874A09" w:rsidP="00874A09">
      <w:pPr>
        <w:pStyle w:val="TableFooter"/>
        <w:keepNext/>
        <w:keepLines/>
      </w:pPr>
      <w:r>
        <w:t xml:space="preserve">Text in bold indicate statistically significant differences. </w:t>
      </w:r>
      <w:r w:rsidR="005A4092">
        <w:t xml:space="preserve"> </w:t>
      </w:r>
    </w:p>
    <w:p w:rsidR="00083F05" w:rsidRPr="00DE15FA" w:rsidRDefault="00083F05" w:rsidP="00874A09">
      <w:pPr>
        <w:pStyle w:val="TableFooter"/>
        <w:keepNext/>
        <w:keepLines/>
        <w:rPr>
          <w:sz w:val="20"/>
        </w:rPr>
      </w:pPr>
      <w:r>
        <w:t xml:space="preserve">Source: </w:t>
      </w:r>
      <w:r w:rsidRPr="00DE15FA">
        <w:t xml:space="preserve"> </w:t>
      </w:r>
      <w:r w:rsidRPr="00D33691">
        <w:t>Table 2-12, p66</w:t>
      </w:r>
      <w:r>
        <w:t xml:space="preserve">, Table 2-15, p70 </w:t>
      </w:r>
      <w:r w:rsidR="00F81D5A">
        <w:t>and Table</w:t>
      </w:r>
      <w:r w:rsidRPr="00D33691">
        <w:t xml:space="preserve"> 2-18, p79</w:t>
      </w:r>
      <w:r>
        <w:t xml:space="preserve"> of the submission.</w:t>
      </w:r>
    </w:p>
    <w:p w:rsidR="00083F05" w:rsidRPr="00654124" w:rsidRDefault="00083F05" w:rsidP="00083F05">
      <w:pPr>
        <w:widowControl/>
        <w:jc w:val="left"/>
        <w:rPr>
          <w:rFonts w:ascii="Arial Narrow" w:hAnsi="Arial Narrow"/>
          <w:b/>
          <w:sz w:val="20"/>
          <w:szCs w:val="16"/>
        </w:rPr>
      </w:pPr>
    </w:p>
    <w:p w:rsidR="00083F05" w:rsidRPr="00B50DB8" w:rsidRDefault="00083F05" w:rsidP="00083F05">
      <w:pPr>
        <w:pStyle w:val="ListParagraph"/>
        <w:widowControl/>
        <w:numPr>
          <w:ilvl w:val="1"/>
          <w:numId w:val="2"/>
        </w:numPr>
        <w:spacing w:after="0"/>
      </w:pPr>
      <w:r w:rsidRPr="00CF6EE4">
        <w:t xml:space="preserve">On the basis of </w:t>
      </w:r>
      <w:r>
        <w:t>the INVICTUS trial</w:t>
      </w:r>
      <w:r w:rsidRPr="00CF6EE4">
        <w:t xml:space="preserve">, for every 100 patients treated with </w:t>
      </w:r>
      <w:r>
        <w:t xml:space="preserve">ripretinib plus best supportive care (BSC) </w:t>
      </w:r>
      <w:r w:rsidRPr="00CF6EE4">
        <w:t xml:space="preserve">in comparison to </w:t>
      </w:r>
      <w:r>
        <w:t>BSC alone, and over a median duration of treatment of 24 weeks for ripretinib and 6 weeks for BSC</w:t>
      </w:r>
      <w:r w:rsidR="00874A09">
        <w:t>:</w:t>
      </w:r>
    </w:p>
    <w:p w:rsidR="00874A09" w:rsidRPr="00874A09" w:rsidRDefault="00083F05" w:rsidP="000E75F4">
      <w:pPr>
        <w:pStyle w:val="ListParagraph"/>
        <w:widowControl/>
        <w:numPr>
          <w:ilvl w:val="0"/>
          <w:numId w:val="1"/>
        </w:numPr>
        <w:spacing w:after="0"/>
        <w:ind w:left="993" w:hanging="284"/>
      </w:pPr>
      <w:r w:rsidRPr="00874A09">
        <w:rPr>
          <w:rFonts w:cs="Calibri"/>
          <w:snapToGrid/>
          <w:szCs w:val="24"/>
          <w:lang w:val="en-US" w:eastAsia="en-AU"/>
        </w:rPr>
        <w:t>Approximately 14 more patients remained progression-free over a median duration of follow-up of 6.3 months for ripretinib and 1.6 months for placebo; however, no difference in overall s</w:t>
      </w:r>
      <w:r w:rsidR="00874A09">
        <w:rPr>
          <w:rFonts w:cs="Calibri"/>
          <w:snapToGrid/>
          <w:szCs w:val="24"/>
          <w:lang w:val="en-US" w:eastAsia="en-AU"/>
        </w:rPr>
        <w:t>urvival can be formally claimed;</w:t>
      </w:r>
    </w:p>
    <w:p w:rsidR="00874A09" w:rsidRDefault="00874A09" w:rsidP="000E75F4">
      <w:pPr>
        <w:pStyle w:val="ListParagraph"/>
        <w:widowControl/>
        <w:numPr>
          <w:ilvl w:val="0"/>
          <w:numId w:val="1"/>
        </w:numPr>
        <w:spacing w:after="0"/>
        <w:ind w:left="993" w:hanging="284"/>
      </w:pPr>
      <w:r w:rsidRPr="00CF6EE4">
        <w:t xml:space="preserve">Approximately </w:t>
      </w:r>
      <w:r>
        <w:t>47</w:t>
      </w:r>
      <w:r w:rsidRPr="00CF6EE4">
        <w:t xml:space="preserve"> additional patients would </w:t>
      </w:r>
      <w:r>
        <w:t>experience alopecia;</w:t>
      </w:r>
    </w:p>
    <w:p w:rsidR="00874A09" w:rsidRDefault="00874A09" w:rsidP="000E75F4">
      <w:pPr>
        <w:pStyle w:val="ListParagraph"/>
        <w:widowControl/>
        <w:numPr>
          <w:ilvl w:val="0"/>
          <w:numId w:val="1"/>
        </w:numPr>
        <w:spacing w:after="0"/>
        <w:ind w:left="993" w:hanging="284"/>
      </w:pPr>
      <w:r w:rsidRPr="00CF6EE4">
        <w:t xml:space="preserve">Approximately </w:t>
      </w:r>
      <w:r>
        <w:t>19</w:t>
      </w:r>
      <w:r w:rsidRPr="00CF6EE4">
        <w:t xml:space="preserve"> additional patients would </w:t>
      </w:r>
      <w:r>
        <w:t>experience fatigue;</w:t>
      </w:r>
    </w:p>
    <w:p w:rsidR="00874A09" w:rsidRDefault="00874A09" w:rsidP="000E75F4">
      <w:pPr>
        <w:pStyle w:val="ListParagraph"/>
        <w:widowControl/>
        <w:numPr>
          <w:ilvl w:val="0"/>
          <w:numId w:val="1"/>
        </w:numPr>
        <w:spacing w:after="0"/>
        <w:ind w:left="993" w:hanging="284"/>
      </w:pPr>
      <w:r w:rsidRPr="00CF6EE4">
        <w:t xml:space="preserve">Approximately </w:t>
      </w:r>
      <w:r>
        <w:t>27</w:t>
      </w:r>
      <w:r w:rsidRPr="00CF6EE4">
        <w:t xml:space="preserve"> additional patients would </w:t>
      </w:r>
      <w:r>
        <w:t>experience nausea;</w:t>
      </w:r>
    </w:p>
    <w:p w:rsidR="00874A09" w:rsidRDefault="00874A09" w:rsidP="000E75F4">
      <w:pPr>
        <w:pStyle w:val="ListParagraph"/>
        <w:widowControl/>
        <w:numPr>
          <w:ilvl w:val="0"/>
          <w:numId w:val="1"/>
        </w:numPr>
        <w:spacing w:after="0"/>
        <w:ind w:left="993" w:hanging="284"/>
      </w:pPr>
      <w:r w:rsidRPr="00CF6EE4">
        <w:t xml:space="preserve">Approximately </w:t>
      </w:r>
      <w:r>
        <w:t>20</w:t>
      </w:r>
      <w:r w:rsidRPr="00CF6EE4">
        <w:t xml:space="preserve"> additional patients would </w:t>
      </w:r>
      <w:r>
        <w:t>experience</w:t>
      </w:r>
      <w:r w:rsidR="00D24276">
        <w:t xml:space="preserve"> myalgia</w:t>
      </w:r>
      <w:r>
        <w:t>;</w:t>
      </w:r>
    </w:p>
    <w:p w:rsidR="00874A09" w:rsidRPr="00CF6EE4" w:rsidRDefault="00874A09" w:rsidP="000E75F4">
      <w:pPr>
        <w:pStyle w:val="ListParagraph"/>
        <w:widowControl/>
        <w:numPr>
          <w:ilvl w:val="0"/>
          <w:numId w:val="1"/>
        </w:numPr>
        <w:spacing w:after="0"/>
        <w:ind w:left="993" w:hanging="284"/>
      </w:pPr>
      <w:r w:rsidRPr="00CF6EE4">
        <w:t xml:space="preserve">Approximately </w:t>
      </w:r>
      <w:r>
        <w:t>21</w:t>
      </w:r>
      <w:r w:rsidRPr="00CF6EE4">
        <w:t xml:space="preserve"> additional patients would </w:t>
      </w:r>
      <w:r>
        <w:t>experience</w:t>
      </w:r>
      <w:r w:rsidRPr="00CF6EE4">
        <w:t xml:space="preserve"> </w:t>
      </w:r>
      <w:r w:rsidRPr="00B21987">
        <w:t xml:space="preserve">palmar-plantar </w:t>
      </w:r>
      <w:r>
        <w:t>erythron-</w:t>
      </w:r>
      <w:r w:rsidRPr="00B21987">
        <w:t>dysaesthesia syndrome</w:t>
      </w:r>
      <w:r>
        <w:t>;</w:t>
      </w:r>
    </w:p>
    <w:p w:rsidR="00874A09" w:rsidRDefault="00874A09" w:rsidP="00874A09">
      <w:pPr>
        <w:pStyle w:val="ListParagraph"/>
        <w:widowControl/>
        <w:numPr>
          <w:ilvl w:val="0"/>
          <w:numId w:val="1"/>
        </w:numPr>
        <w:spacing w:after="0"/>
        <w:ind w:left="993" w:hanging="284"/>
      </w:pPr>
      <w:r w:rsidRPr="00CF6EE4">
        <w:t xml:space="preserve">Approximately </w:t>
      </w:r>
      <w:r>
        <w:t>14 additional</w:t>
      </w:r>
      <w:r w:rsidRPr="00CF6EE4">
        <w:t xml:space="preserve"> patients woul</w:t>
      </w:r>
      <w:r>
        <w:t>d experience vomiting;</w:t>
      </w:r>
    </w:p>
    <w:p w:rsidR="00874A09" w:rsidRDefault="00874A09" w:rsidP="00874A09">
      <w:pPr>
        <w:pStyle w:val="ListParagraph"/>
        <w:widowControl/>
        <w:numPr>
          <w:ilvl w:val="0"/>
          <w:numId w:val="1"/>
        </w:numPr>
        <w:spacing w:after="0"/>
        <w:ind w:left="993" w:hanging="284"/>
      </w:pPr>
      <w:r w:rsidRPr="00CF6EE4">
        <w:t xml:space="preserve">Approximately </w:t>
      </w:r>
      <w:r>
        <w:t>14</w:t>
      </w:r>
      <w:r w:rsidRPr="00CF6EE4">
        <w:t xml:space="preserve"> additional patients would </w:t>
      </w:r>
      <w:r>
        <w:t>experience headache;</w:t>
      </w:r>
    </w:p>
    <w:p w:rsidR="00874A09" w:rsidRDefault="00874A09" w:rsidP="00874A09">
      <w:pPr>
        <w:pStyle w:val="ListParagraph"/>
        <w:widowControl/>
        <w:numPr>
          <w:ilvl w:val="0"/>
          <w:numId w:val="1"/>
        </w:numPr>
        <w:spacing w:after="0"/>
        <w:ind w:left="993" w:hanging="284"/>
      </w:pPr>
      <w:r w:rsidRPr="00CF6EE4">
        <w:t xml:space="preserve">Approximately </w:t>
      </w:r>
      <w:r>
        <w:t>13</w:t>
      </w:r>
      <w:r w:rsidRPr="00CF6EE4">
        <w:t xml:space="preserve"> additional patients would </w:t>
      </w:r>
      <w:r>
        <w:t xml:space="preserve">experience </w:t>
      </w:r>
      <w:r w:rsidR="00D24276">
        <w:t>arthralgia</w:t>
      </w:r>
      <w:r>
        <w:t>;</w:t>
      </w:r>
    </w:p>
    <w:p w:rsidR="00874A09" w:rsidRDefault="00874A09" w:rsidP="00874A09">
      <w:pPr>
        <w:pStyle w:val="ListParagraph"/>
        <w:widowControl/>
        <w:numPr>
          <w:ilvl w:val="0"/>
          <w:numId w:val="1"/>
        </w:numPr>
        <w:spacing w:after="0"/>
        <w:ind w:left="993" w:hanging="284"/>
      </w:pPr>
      <w:r w:rsidRPr="00CF6EE4">
        <w:lastRenderedPageBreak/>
        <w:t xml:space="preserve">Approximately </w:t>
      </w:r>
      <w:r>
        <w:t>17</w:t>
      </w:r>
      <w:r w:rsidRPr="00CF6EE4">
        <w:t xml:space="preserve"> additional patients would </w:t>
      </w:r>
      <w:r>
        <w:t>experience blood bilirubin increase;</w:t>
      </w:r>
    </w:p>
    <w:p w:rsidR="00874A09" w:rsidRDefault="00874A09" w:rsidP="00874A09">
      <w:pPr>
        <w:pStyle w:val="ListParagraph"/>
        <w:widowControl/>
        <w:numPr>
          <w:ilvl w:val="0"/>
          <w:numId w:val="1"/>
        </w:numPr>
        <w:spacing w:after="0"/>
        <w:ind w:left="993" w:hanging="284"/>
      </w:pPr>
      <w:r w:rsidRPr="00CF6EE4">
        <w:t xml:space="preserve">Approximately </w:t>
      </w:r>
      <w:r>
        <w:t>13</w:t>
      </w:r>
      <w:r w:rsidRPr="00CF6EE4">
        <w:t xml:space="preserve"> additional patients would </w:t>
      </w:r>
      <w:r>
        <w:t>experience dyspnoea;</w:t>
      </w:r>
    </w:p>
    <w:p w:rsidR="00874A09" w:rsidRDefault="00874A09" w:rsidP="00874A09">
      <w:pPr>
        <w:pStyle w:val="ListParagraph"/>
        <w:widowControl/>
        <w:numPr>
          <w:ilvl w:val="0"/>
          <w:numId w:val="1"/>
        </w:numPr>
        <w:spacing w:after="0"/>
        <w:ind w:left="993" w:hanging="284"/>
      </w:pPr>
      <w:r w:rsidRPr="00CF6EE4">
        <w:t xml:space="preserve">Approximately </w:t>
      </w:r>
      <w:r>
        <w:t>11</w:t>
      </w:r>
      <w:r w:rsidRPr="00CF6EE4">
        <w:t xml:space="preserve"> additional patients would </w:t>
      </w:r>
      <w:r>
        <w:t>experience hypoposphataemia;</w:t>
      </w:r>
    </w:p>
    <w:p w:rsidR="00874A09" w:rsidRDefault="00874A09" w:rsidP="00874A09">
      <w:pPr>
        <w:pStyle w:val="ListParagraph"/>
        <w:widowControl/>
        <w:numPr>
          <w:ilvl w:val="0"/>
          <w:numId w:val="1"/>
        </w:numPr>
        <w:spacing w:after="0"/>
        <w:ind w:left="993" w:hanging="284"/>
      </w:pPr>
      <w:r w:rsidRPr="00CF6EE4">
        <w:t xml:space="preserve">Approximately </w:t>
      </w:r>
      <w:r>
        <w:t>11</w:t>
      </w:r>
      <w:r w:rsidRPr="00CF6EE4">
        <w:t xml:space="preserve"> additional patients would </w:t>
      </w:r>
      <w:r>
        <w:t>experience lipase increase; and</w:t>
      </w:r>
    </w:p>
    <w:p w:rsidR="00874A09" w:rsidRPr="00CF6EE4" w:rsidRDefault="00874A09" w:rsidP="00874A09">
      <w:pPr>
        <w:pStyle w:val="ListParagraph"/>
        <w:widowControl/>
        <w:numPr>
          <w:ilvl w:val="0"/>
          <w:numId w:val="1"/>
        </w:numPr>
        <w:spacing w:after="0"/>
        <w:ind w:left="993" w:hanging="284"/>
      </w:pPr>
      <w:r w:rsidRPr="00CF6EE4">
        <w:t xml:space="preserve">Approximately </w:t>
      </w:r>
      <w:r>
        <w:t>11</w:t>
      </w:r>
      <w:r w:rsidRPr="00CF6EE4">
        <w:t xml:space="preserve"> additional patients would </w:t>
      </w:r>
      <w:r>
        <w:t>experience stomatitis</w:t>
      </w:r>
    </w:p>
    <w:p w:rsidR="00083F05" w:rsidRPr="00CF6EE4" w:rsidRDefault="00083F05" w:rsidP="00083F05">
      <w:pPr>
        <w:pStyle w:val="ListParagraph"/>
        <w:widowControl/>
        <w:spacing w:after="0"/>
        <w:ind w:left="993"/>
      </w:pPr>
    </w:p>
    <w:p w:rsidR="00083F05" w:rsidRPr="00C9624D" w:rsidRDefault="00083F05" w:rsidP="00083F05">
      <w:pPr>
        <w:pStyle w:val="Heading2"/>
      </w:pPr>
      <w:bookmarkStart w:id="23" w:name="_Toc62040431"/>
      <w:r w:rsidRPr="00C9624D">
        <w:t>Clinical claim</w:t>
      </w:r>
      <w:bookmarkEnd w:id="23"/>
    </w:p>
    <w:p w:rsidR="00083F05" w:rsidRPr="00882085" w:rsidRDefault="00083F05" w:rsidP="00083F05">
      <w:pPr>
        <w:ind w:left="720" w:hanging="720"/>
      </w:pPr>
    </w:p>
    <w:p w:rsidR="00083F05" w:rsidRDefault="00083F05" w:rsidP="00083F05">
      <w:pPr>
        <w:pStyle w:val="ListParagraph"/>
        <w:widowControl/>
        <w:numPr>
          <w:ilvl w:val="1"/>
          <w:numId w:val="2"/>
        </w:numPr>
      </w:pPr>
      <w:r w:rsidRPr="00D33691">
        <w:t>The submission described maintenance therapy with ripretinib plus BSC at a dose of 150 mg daily in 28 day cycles until disease progression as superior in terms of efficacy compared with placebo/BSC and non-inferior in terms of safety compared to placebo/BSC</w:t>
      </w:r>
      <w:r w:rsidR="00435BE5">
        <w:t xml:space="preserve"> in 3L treatment of patients with metastatic or unresectable GIST</w:t>
      </w:r>
      <w:r w:rsidRPr="00D33691">
        <w:t>.</w:t>
      </w:r>
    </w:p>
    <w:p w:rsidR="00083F05" w:rsidRPr="00954D37" w:rsidRDefault="00083F05" w:rsidP="00083F05">
      <w:pPr>
        <w:pStyle w:val="ListParagraph"/>
        <w:widowControl/>
        <w:numPr>
          <w:ilvl w:val="1"/>
          <w:numId w:val="2"/>
        </w:numPr>
      </w:pPr>
      <w:r w:rsidRPr="00954D37">
        <w:t xml:space="preserve">The </w:t>
      </w:r>
      <w:r w:rsidR="00D04B8E" w:rsidRPr="00954D37">
        <w:t xml:space="preserve">evaluation considered that the </w:t>
      </w:r>
      <w:r w:rsidRPr="00954D37">
        <w:t>therapeutic conclusions presented in the submission were not adequately supported by the evidence presented in the submission for the following reasons.</w:t>
      </w:r>
    </w:p>
    <w:p w:rsidR="00083F05" w:rsidRPr="00954D37" w:rsidRDefault="00435BE5" w:rsidP="008F571B">
      <w:pPr>
        <w:pStyle w:val="ListParagraph"/>
        <w:numPr>
          <w:ilvl w:val="0"/>
          <w:numId w:val="4"/>
        </w:numPr>
        <w:ind w:left="1134" w:hanging="425"/>
      </w:pPr>
      <w:r w:rsidRPr="00200039">
        <w:t>The INVICTUS trial represented later line therapy compared to the requested restriction. Though the submission included supportive evidence from NCT02571036 to support the assertion that the efficacy of ripretinib was similar across treatment lines, NCT02571036 was a single arm, open</w:t>
      </w:r>
      <w:r w:rsidR="00F645B9" w:rsidRPr="00200039">
        <w:t>-</w:t>
      </w:r>
      <w:r w:rsidRPr="00200039">
        <w:t xml:space="preserve">label study with </w:t>
      </w:r>
      <w:r w:rsidR="005D6ECA">
        <w:t xml:space="preserve">a </w:t>
      </w:r>
      <w:r w:rsidRPr="00200039">
        <w:t>small sample size (n=28 for 3L treatment)</w:t>
      </w:r>
      <w:r w:rsidR="00033562" w:rsidRPr="00200039">
        <w:t>.</w:t>
      </w:r>
      <w:r w:rsidRPr="00200039">
        <w:t xml:space="preserve"> </w:t>
      </w:r>
      <w:r w:rsidR="003961D9" w:rsidRPr="003961D9">
        <w:t xml:space="preserve"> </w:t>
      </w:r>
      <w:r w:rsidR="003961D9" w:rsidRPr="00954D37">
        <w:t>The PSCR argued that the steady decline in PFS and ORR across the second line to ≥4L GIST cohorts in NCT02571036 was consistent with the variation in efficacy with subsequent lines of treatment seen with other therapeutic agents used in the treatment of GIST. The ESC considered that while the results of NCT02571036 should be interpreted with caution they suggest ripretinib efficacy in the 3L setting.</w:t>
      </w:r>
    </w:p>
    <w:p w:rsidR="00083F05" w:rsidRDefault="00083F05" w:rsidP="008F571B">
      <w:pPr>
        <w:pStyle w:val="ListParagraph"/>
        <w:numPr>
          <w:ilvl w:val="0"/>
          <w:numId w:val="4"/>
        </w:numPr>
        <w:ind w:left="1134" w:hanging="425"/>
      </w:pPr>
      <w:r w:rsidRPr="00200039">
        <w:t>INVICTUS did not show a statistically significant effect in ORR.  As a result, though there was a numerical increase in OS survival for ripretinib compared to placebo, the hierarchical testing procedure of INVICTUS did not allow for a statistical comparison of OS outcomes, in order to minimise type 1 error</w:t>
      </w:r>
      <w:r w:rsidR="00E9550E" w:rsidRPr="00200039">
        <w:t xml:space="preserve"> from testing multiple outcomes</w:t>
      </w:r>
      <w:r w:rsidR="00F81D5A" w:rsidRPr="00200039">
        <w:t>.</w:t>
      </w:r>
      <w:r w:rsidR="00A173D2">
        <w:t xml:space="preserve"> </w:t>
      </w:r>
    </w:p>
    <w:p w:rsidR="00603BC3" w:rsidRPr="00954D37" w:rsidRDefault="00603BC3" w:rsidP="008F571B">
      <w:pPr>
        <w:pStyle w:val="ListParagraph"/>
        <w:numPr>
          <w:ilvl w:val="0"/>
          <w:numId w:val="4"/>
        </w:numPr>
        <w:ind w:left="1134" w:hanging="425"/>
      </w:pPr>
      <w:r w:rsidRPr="00200039">
        <w:t>Median OS was not reached in the ripretinib arm in INVICTUS.  69% (59/85) of patients in the ripretinib arm were censored due to end of follow-up. This indicates that OS results from INVICTUS were immature.</w:t>
      </w:r>
      <w:r w:rsidR="003961D9">
        <w:t xml:space="preserve"> </w:t>
      </w:r>
      <w:r w:rsidR="003961D9" w:rsidRPr="00954D37">
        <w:t xml:space="preserve">The PSCR argued that median survival not being reached in the ripretinib arm together with the low median OS observed with placebo signified the strong trend towards efficacy of ripretinib in extending OS over </w:t>
      </w:r>
      <w:r w:rsidR="005D6ECA" w:rsidRPr="00954D37">
        <w:t>BSC</w:t>
      </w:r>
      <w:r w:rsidR="003961D9" w:rsidRPr="00954D37">
        <w:t xml:space="preserve"> (placebo). The ESC considered the OS difference </w:t>
      </w:r>
      <w:r w:rsidR="005D6ECA" w:rsidRPr="00954D37">
        <w:t xml:space="preserve">to be </w:t>
      </w:r>
      <w:r w:rsidR="003961D9" w:rsidRPr="00954D37">
        <w:t>clinicall</w:t>
      </w:r>
      <w:r w:rsidR="00A173D2" w:rsidRPr="00954D37">
        <w:t>y meaningful</w:t>
      </w:r>
      <w:r w:rsidR="005D6ECA" w:rsidRPr="00954D37">
        <w:t xml:space="preserve"> in this rare cancer</w:t>
      </w:r>
      <w:r w:rsidR="003961D9" w:rsidRPr="00954D37">
        <w:t>.</w:t>
      </w:r>
    </w:p>
    <w:p w:rsidR="003961D9" w:rsidRDefault="00E14585" w:rsidP="008F571B">
      <w:pPr>
        <w:pStyle w:val="ListParagraph"/>
        <w:numPr>
          <w:ilvl w:val="0"/>
          <w:numId w:val="4"/>
        </w:numPr>
        <w:ind w:left="1134" w:hanging="425"/>
      </w:pPr>
      <w:r w:rsidRPr="00200039">
        <w:t>With regard to safety, while</w:t>
      </w:r>
      <w:r w:rsidR="00083F05" w:rsidRPr="00200039">
        <w:t xml:space="preserve"> the submission claimed non-inferiority on the basis of its similar rate of TEAEs compared with placebo and lower rate of TEAEs leading to death and treatment discontinuation, the ripretinib arm of INVICTUS was </w:t>
      </w:r>
      <w:r w:rsidR="00083F05" w:rsidRPr="00200039">
        <w:lastRenderedPageBreak/>
        <w:t>associated with statistically significantly higher rates of several specific adverse events such as fatigue, nausea, myalgia, PPES, vomiting, headache and arthralgia. The Risk Management Plan also notes identified risks including hypertension and cardiac dysfunction.</w:t>
      </w:r>
    </w:p>
    <w:p w:rsidR="003961D9" w:rsidRDefault="00724127" w:rsidP="003961D9">
      <w:pPr>
        <w:ind w:left="709"/>
      </w:pPr>
      <w:r w:rsidRPr="00954D37">
        <w:t>The ESC acknowledged the uncertainty associated with using the INVICTUS results to estimate effectiveness in the 3L setting. However, the</w:t>
      </w:r>
      <w:r w:rsidR="003961D9" w:rsidRPr="00954D37">
        <w:t xml:space="preserve"> ESC considered that clinically it was reasonable to assume that effectiveness in the 3L GIST setting would not be less than that observed in the </w:t>
      </w:r>
      <w:r w:rsidRPr="00954D37">
        <w:t>≥4L ripretinib group</w:t>
      </w:r>
      <w:r w:rsidR="003961D9" w:rsidRPr="00954D37">
        <w:t xml:space="preserve">. </w:t>
      </w:r>
      <w:r w:rsidR="00EF3A3D" w:rsidRPr="00954D37">
        <w:t>T</w:t>
      </w:r>
      <w:r w:rsidR="00D04B8E" w:rsidRPr="00954D37">
        <w:t xml:space="preserve">he ESC considered the claim of superior efficacy compared with placebo/BSC was </w:t>
      </w:r>
      <w:r w:rsidR="00EF3A3D" w:rsidRPr="00954D37">
        <w:t xml:space="preserve">uncertain but reasonable in the context of metastatic or unresectable GIST being a rare cancer with an unmet need for effective </w:t>
      </w:r>
      <w:r w:rsidR="00611029" w:rsidRPr="00954D37">
        <w:t xml:space="preserve">3L </w:t>
      </w:r>
      <w:r w:rsidR="00EF3A3D" w:rsidRPr="00954D37">
        <w:t>treatment</w:t>
      </w:r>
      <w:r w:rsidR="00D04B8E" w:rsidRPr="00954D37">
        <w:t xml:space="preserve">. </w:t>
      </w:r>
      <w:r w:rsidR="00A173D2" w:rsidRPr="00954D37">
        <w:t xml:space="preserve">In addition, the ESC considered the evidence presented indicated ripretinib had an acceptable safety profile. </w:t>
      </w:r>
    </w:p>
    <w:p w:rsidR="003318B9" w:rsidRPr="00954D37" w:rsidRDefault="003318B9" w:rsidP="003318B9"/>
    <w:p w:rsidR="003318B9" w:rsidRPr="003318B9" w:rsidRDefault="003318B9" w:rsidP="003318B9">
      <w:pPr>
        <w:pStyle w:val="ListParagraph"/>
        <w:widowControl/>
        <w:numPr>
          <w:ilvl w:val="1"/>
          <w:numId w:val="2"/>
        </w:numPr>
      </w:pPr>
      <w:r w:rsidRPr="003318B9">
        <w:t>The PBAC considered that the claim of superior comparative effectiveness was reasonable.</w:t>
      </w:r>
    </w:p>
    <w:p w:rsidR="003318B9" w:rsidRPr="003318B9" w:rsidRDefault="003318B9" w:rsidP="003318B9">
      <w:pPr>
        <w:pStyle w:val="ListParagraph"/>
        <w:widowControl/>
        <w:numPr>
          <w:ilvl w:val="1"/>
          <w:numId w:val="2"/>
        </w:numPr>
      </w:pPr>
      <w:r w:rsidRPr="003318B9">
        <w:t xml:space="preserve">The PBAC considered that the claim of </w:t>
      </w:r>
      <w:r w:rsidR="00FD380E">
        <w:t>non-inferior</w:t>
      </w:r>
      <w:r w:rsidRPr="003318B9">
        <w:t xml:space="preserve"> comparative safety was </w:t>
      </w:r>
      <w:r w:rsidR="0029205C" w:rsidRPr="003318B9">
        <w:t>not adequately supported by the data</w:t>
      </w:r>
      <w:r w:rsidR="00EE5BFD">
        <w:t xml:space="preserve"> but agreed with ESC that ripretinib had an acceptable safety profile</w:t>
      </w:r>
      <w:r w:rsidRPr="003318B9">
        <w:t>.</w:t>
      </w:r>
    </w:p>
    <w:p w:rsidR="003961D9" w:rsidRPr="00200039" w:rsidRDefault="003961D9" w:rsidP="00A173D2"/>
    <w:p w:rsidR="00083F05" w:rsidRPr="00C9624D" w:rsidRDefault="00083F05" w:rsidP="00083F05">
      <w:pPr>
        <w:pStyle w:val="Heading2"/>
      </w:pPr>
      <w:bookmarkStart w:id="24" w:name="_Toc62040432"/>
      <w:r w:rsidRPr="00C9624D">
        <w:t>Economic analysis</w:t>
      </w:r>
      <w:bookmarkEnd w:id="24"/>
      <w:r w:rsidRPr="00C9624D">
        <w:t xml:space="preserve"> </w:t>
      </w:r>
    </w:p>
    <w:p w:rsidR="00083F05" w:rsidRPr="00882085" w:rsidRDefault="00083F05" w:rsidP="00083F05">
      <w:pPr>
        <w:ind w:left="720" w:hanging="720"/>
      </w:pPr>
    </w:p>
    <w:p w:rsidR="00761268" w:rsidRPr="00D33691" w:rsidRDefault="00761268" w:rsidP="000E75F4">
      <w:pPr>
        <w:pStyle w:val="ListParagraph"/>
        <w:widowControl/>
        <w:numPr>
          <w:ilvl w:val="1"/>
          <w:numId w:val="2"/>
        </w:numPr>
      </w:pPr>
      <w:r w:rsidRPr="00D33691">
        <w:t>The submission presented a partitioned survival model (PSM) to model the costs and health outcomes for patients receiving ripretinib or BSC over a 7 year time horizon using a cost-utility analysis (CUA)</w:t>
      </w:r>
      <w:r w:rsidR="00F645B9">
        <w:t>.</w:t>
      </w:r>
    </w:p>
    <w:p w:rsidR="00462A67" w:rsidRDefault="00462A67" w:rsidP="00462A67">
      <w:pPr>
        <w:pStyle w:val="ListParagraph"/>
        <w:widowControl/>
        <w:numPr>
          <w:ilvl w:val="1"/>
          <w:numId w:val="2"/>
        </w:numPr>
      </w:pPr>
      <w:r>
        <w:rPr>
          <w:rFonts w:cs="Calibri"/>
          <w:snapToGrid/>
          <w:color w:val="000000" w:themeColor="text1"/>
          <w:szCs w:val="24"/>
          <w:lang w:val="en-US" w:eastAsia="en-AU"/>
        </w:rPr>
        <w:t xml:space="preserve">Key components of the economic evaluation are presented in </w:t>
      </w:r>
      <w:r w:rsidR="00534A3C">
        <w:rPr>
          <w:rFonts w:cs="Calibri"/>
          <w:snapToGrid/>
          <w:color w:val="000000" w:themeColor="text1"/>
          <w:szCs w:val="24"/>
          <w:lang w:val="en-US" w:eastAsia="en-AU"/>
        </w:rPr>
        <w:t xml:space="preserve">Table </w:t>
      </w:r>
      <w:r w:rsidR="00081210">
        <w:t>10</w:t>
      </w:r>
      <w:r>
        <w:t>.</w:t>
      </w:r>
    </w:p>
    <w:p w:rsidR="00462A67" w:rsidRPr="00D33691" w:rsidRDefault="00462A67" w:rsidP="00462A67">
      <w:pPr>
        <w:rPr>
          <w:rStyle w:val="CommentReference"/>
        </w:rPr>
      </w:pPr>
      <w:bookmarkStart w:id="25" w:name="_Ref58429484"/>
      <w:r w:rsidRPr="00A56B6A">
        <w:rPr>
          <w:rStyle w:val="CommentReference"/>
        </w:rPr>
        <w:t xml:space="preserve">Table </w:t>
      </w:r>
      <w:bookmarkEnd w:id="25"/>
      <w:r w:rsidR="00081210">
        <w:rPr>
          <w:rStyle w:val="CommentReference"/>
        </w:rPr>
        <w:t>10</w:t>
      </w:r>
      <w:r w:rsidRPr="00A56B6A">
        <w:rPr>
          <w:rStyle w:val="CommentReference"/>
        </w:rPr>
        <w:t xml:space="preserve">: </w:t>
      </w:r>
      <w:r w:rsidRPr="00D33691">
        <w:rPr>
          <w:rStyle w:val="CommentReference"/>
        </w:rPr>
        <w:t>Key components of the economic evaluation</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96"/>
        <w:gridCol w:w="7231"/>
      </w:tblGrid>
      <w:tr w:rsidR="00462A67" w:rsidRPr="00D33691" w:rsidTr="004B2C11">
        <w:tc>
          <w:tcPr>
            <w:tcW w:w="950" w:type="pct"/>
            <w:vAlign w:val="center"/>
          </w:tcPr>
          <w:p w:rsidR="00462A67" w:rsidRPr="00D33691" w:rsidRDefault="00462A67" w:rsidP="000E75F4">
            <w:pPr>
              <w:pStyle w:val="Tabletext"/>
              <w:rPr>
                <w:b/>
              </w:rPr>
            </w:pPr>
            <w:r w:rsidRPr="00D33691">
              <w:rPr>
                <w:b/>
              </w:rPr>
              <w:t>Component</w:t>
            </w:r>
          </w:p>
        </w:tc>
        <w:tc>
          <w:tcPr>
            <w:tcW w:w="4050" w:type="pct"/>
          </w:tcPr>
          <w:p w:rsidR="00462A67" w:rsidRPr="00D33691" w:rsidRDefault="00462A67" w:rsidP="000E75F4">
            <w:pPr>
              <w:pStyle w:val="Tabletext"/>
              <w:jc w:val="center"/>
              <w:rPr>
                <w:b/>
              </w:rPr>
            </w:pPr>
            <w:r w:rsidRPr="00D33691">
              <w:rPr>
                <w:b/>
              </w:rPr>
              <w:t>Description</w:t>
            </w:r>
          </w:p>
        </w:tc>
      </w:tr>
      <w:tr w:rsidR="00462A67" w:rsidRPr="00D33691" w:rsidTr="004B2C11">
        <w:tc>
          <w:tcPr>
            <w:tcW w:w="950" w:type="pct"/>
            <w:vAlign w:val="center"/>
          </w:tcPr>
          <w:p w:rsidR="00462A67" w:rsidRPr="00D33691" w:rsidRDefault="00462A67" w:rsidP="000E75F4">
            <w:pPr>
              <w:pStyle w:val="Tabletext"/>
            </w:pPr>
            <w:r w:rsidRPr="00D33691">
              <w:t>Type of analysis</w:t>
            </w:r>
          </w:p>
        </w:tc>
        <w:tc>
          <w:tcPr>
            <w:tcW w:w="4050" w:type="pct"/>
            <w:vAlign w:val="center"/>
          </w:tcPr>
          <w:p w:rsidR="00462A67" w:rsidRPr="00D33691" w:rsidRDefault="00462A67" w:rsidP="000E75F4">
            <w:pPr>
              <w:pStyle w:val="Tabletext"/>
            </w:pPr>
            <w:r w:rsidRPr="00D33691">
              <w:t>Cost utility analysis</w:t>
            </w:r>
          </w:p>
        </w:tc>
      </w:tr>
      <w:tr w:rsidR="00462A67" w:rsidRPr="00D33691" w:rsidTr="004B2C11">
        <w:tc>
          <w:tcPr>
            <w:tcW w:w="950" w:type="pct"/>
            <w:vAlign w:val="center"/>
          </w:tcPr>
          <w:p w:rsidR="00462A67" w:rsidRPr="00D33691" w:rsidRDefault="00462A67" w:rsidP="000E75F4">
            <w:pPr>
              <w:pStyle w:val="Tabletext"/>
            </w:pPr>
            <w:r w:rsidRPr="00D33691">
              <w:t>Outcomes</w:t>
            </w:r>
          </w:p>
        </w:tc>
        <w:tc>
          <w:tcPr>
            <w:tcW w:w="4050" w:type="pct"/>
            <w:vAlign w:val="center"/>
          </w:tcPr>
          <w:p w:rsidR="00462A67" w:rsidRPr="00D33691" w:rsidRDefault="00462A67" w:rsidP="000E75F4">
            <w:pPr>
              <w:pStyle w:val="Tabletext"/>
            </w:pPr>
            <w:r w:rsidRPr="00D33691">
              <w:t>Incremental cost/ QALY</w:t>
            </w:r>
          </w:p>
        </w:tc>
      </w:tr>
      <w:tr w:rsidR="00462A67" w:rsidRPr="00D33691" w:rsidTr="004B2C11">
        <w:tc>
          <w:tcPr>
            <w:tcW w:w="950" w:type="pct"/>
            <w:vAlign w:val="center"/>
          </w:tcPr>
          <w:p w:rsidR="00462A67" w:rsidRPr="00D33691" w:rsidRDefault="00462A67" w:rsidP="000E75F4">
            <w:pPr>
              <w:pStyle w:val="Tabletext"/>
            </w:pPr>
            <w:r w:rsidRPr="00D33691">
              <w:t>Time horizon</w:t>
            </w:r>
          </w:p>
        </w:tc>
        <w:tc>
          <w:tcPr>
            <w:tcW w:w="4050" w:type="pct"/>
            <w:vAlign w:val="center"/>
          </w:tcPr>
          <w:p w:rsidR="00462A67" w:rsidRPr="00D33691" w:rsidRDefault="00462A67" w:rsidP="000E75F4">
            <w:pPr>
              <w:pStyle w:val="Tabletext"/>
            </w:pPr>
            <w:r w:rsidRPr="00D33691">
              <w:t>7 years in the model base case vs. median follow up of 6.3 months in ripretinib arm of INVICTUS.</w:t>
            </w:r>
          </w:p>
        </w:tc>
      </w:tr>
      <w:tr w:rsidR="00462A67" w:rsidRPr="00D33691" w:rsidTr="004B2C11">
        <w:tc>
          <w:tcPr>
            <w:tcW w:w="950" w:type="pct"/>
            <w:vAlign w:val="center"/>
          </w:tcPr>
          <w:p w:rsidR="00462A67" w:rsidRPr="00D33691" w:rsidRDefault="00462A67" w:rsidP="000E75F4">
            <w:pPr>
              <w:pStyle w:val="Tabletext"/>
            </w:pPr>
            <w:r w:rsidRPr="00D33691">
              <w:t>Methods used to generate results</w:t>
            </w:r>
          </w:p>
        </w:tc>
        <w:tc>
          <w:tcPr>
            <w:tcW w:w="4050" w:type="pct"/>
            <w:vAlign w:val="center"/>
          </w:tcPr>
          <w:p w:rsidR="00462A67" w:rsidRPr="00D33691" w:rsidRDefault="00462A67" w:rsidP="000E75F4">
            <w:pPr>
              <w:pStyle w:val="Tabletext"/>
            </w:pPr>
            <w:r w:rsidRPr="00D33691">
              <w:t xml:space="preserve">Partitioned </w:t>
            </w:r>
            <w:r w:rsidR="006747E7">
              <w:t>s</w:t>
            </w:r>
            <w:r w:rsidRPr="00D33691">
              <w:t>urvival model</w:t>
            </w:r>
          </w:p>
        </w:tc>
      </w:tr>
      <w:tr w:rsidR="00462A67" w:rsidRPr="00D33691" w:rsidTr="004B2C11">
        <w:tc>
          <w:tcPr>
            <w:tcW w:w="950" w:type="pct"/>
            <w:vAlign w:val="center"/>
          </w:tcPr>
          <w:p w:rsidR="00462A67" w:rsidRPr="00D33691" w:rsidRDefault="00462A67" w:rsidP="000E75F4">
            <w:pPr>
              <w:pStyle w:val="Tabletext"/>
            </w:pPr>
            <w:r w:rsidRPr="00D33691">
              <w:t>Health states</w:t>
            </w:r>
          </w:p>
        </w:tc>
        <w:tc>
          <w:tcPr>
            <w:tcW w:w="4050" w:type="pct"/>
            <w:vAlign w:val="center"/>
          </w:tcPr>
          <w:p w:rsidR="00462A67" w:rsidRPr="00D33691" w:rsidRDefault="00462A67" w:rsidP="000E75F4">
            <w:pPr>
              <w:pStyle w:val="Tabletext"/>
            </w:pPr>
            <w:r w:rsidRPr="00D33691">
              <w:t>Progression free, progressed disease, death</w:t>
            </w:r>
          </w:p>
        </w:tc>
      </w:tr>
      <w:tr w:rsidR="00462A67" w:rsidRPr="00D33691" w:rsidTr="004B2C11">
        <w:tc>
          <w:tcPr>
            <w:tcW w:w="950" w:type="pct"/>
            <w:vAlign w:val="center"/>
          </w:tcPr>
          <w:p w:rsidR="00462A67" w:rsidRPr="00D33691" w:rsidRDefault="00462A67" w:rsidP="000E75F4">
            <w:pPr>
              <w:pStyle w:val="Tabletext"/>
            </w:pPr>
            <w:r w:rsidRPr="00D33691">
              <w:t>Cycle length</w:t>
            </w:r>
          </w:p>
        </w:tc>
        <w:tc>
          <w:tcPr>
            <w:tcW w:w="4050" w:type="pct"/>
            <w:vAlign w:val="center"/>
          </w:tcPr>
          <w:p w:rsidR="00462A67" w:rsidRPr="00D33691" w:rsidRDefault="00462A67" w:rsidP="000E75F4">
            <w:pPr>
              <w:pStyle w:val="Tabletext"/>
            </w:pPr>
            <w:r w:rsidRPr="00D33691">
              <w:t>4 weeks</w:t>
            </w:r>
          </w:p>
        </w:tc>
      </w:tr>
      <w:tr w:rsidR="00462A67" w:rsidRPr="00D33691" w:rsidTr="004B2C11">
        <w:tc>
          <w:tcPr>
            <w:tcW w:w="950" w:type="pct"/>
            <w:vAlign w:val="center"/>
          </w:tcPr>
          <w:p w:rsidR="00462A67" w:rsidRPr="00D33691" w:rsidRDefault="00462A67" w:rsidP="000E75F4">
            <w:pPr>
              <w:pStyle w:val="Tabletext"/>
            </w:pPr>
            <w:r w:rsidRPr="00D33691">
              <w:t>Transition probabilities</w:t>
            </w:r>
          </w:p>
        </w:tc>
        <w:tc>
          <w:tcPr>
            <w:tcW w:w="4050" w:type="pct"/>
            <w:vAlign w:val="center"/>
          </w:tcPr>
          <w:p w:rsidR="00462A67" w:rsidRPr="00D33691" w:rsidRDefault="00462A67" w:rsidP="000E75F4">
            <w:pPr>
              <w:pStyle w:val="Tabletext"/>
            </w:pPr>
            <w:r w:rsidRPr="00D33691">
              <w:t>Transition probabilities from survival analysis fitted to survival data from INVICTUS and extrapolated over full time horizon</w:t>
            </w:r>
          </w:p>
        </w:tc>
      </w:tr>
      <w:tr w:rsidR="006A1A2D" w:rsidRPr="00D33691" w:rsidTr="004B2C11">
        <w:tc>
          <w:tcPr>
            <w:tcW w:w="950" w:type="pct"/>
            <w:vAlign w:val="center"/>
          </w:tcPr>
          <w:p w:rsidR="006A1A2D" w:rsidRPr="00FD380E" w:rsidRDefault="006A1A2D" w:rsidP="000E75F4">
            <w:pPr>
              <w:pStyle w:val="Tabletext"/>
            </w:pPr>
            <w:r w:rsidRPr="00FD380E">
              <w:t>Subsequent treatment costs</w:t>
            </w:r>
          </w:p>
        </w:tc>
        <w:tc>
          <w:tcPr>
            <w:tcW w:w="4050" w:type="pct"/>
            <w:vAlign w:val="center"/>
          </w:tcPr>
          <w:p w:rsidR="006A1A2D" w:rsidRPr="00FD380E" w:rsidRDefault="006A1A2D" w:rsidP="000E75F4">
            <w:pPr>
              <w:pStyle w:val="Tabletext"/>
            </w:pPr>
            <w:r w:rsidRPr="00FD380E">
              <w:t>Given ripretinib will not be reimbursed beyond treatmen</w:t>
            </w:r>
            <w:r w:rsidR="004B2C11" w:rsidRPr="00FD380E">
              <w:t>t progression it was</w:t>
            </w:r>
            <w:r w:rsidRPr="00FD380E">
              <w:t xml:space="preserve"> assumed TT</w:t>
            </w:r>
            <w:r w:rsidR="00D25EAE" w:rsidRPr="00FD380E">
              <w:t xml:space="preserve">D=PFS pre-progression; TTD post </w:t>
            </w:r>
            <w:r w:rsidRPr="00FD380E">
              <w:t>progression for ripretinib in BSC arm modelled, but not presented</w:t>
            </w:r>
          </w:p>
        </w:tc>
      </w:tr>
      <w:tr w:rsidR="00462A67" w:rsidRPr="00D33691" w:rsidTr="004B2C11">
        <w:tc>
          <w:tcPr>
            <w:tcW w:w="950" w:type="pct"/>
            <w:vAlign w:val="center"/>
          </w:tcPr>
          <w:p w:rsidR="00462A67" w:rsidRPr="00D33691" w:rsidRDefault="00462A67" w:rsidP="000E75F4">
            <w:pPr>
              <w:pStyle w:val="Tabletext"/>
            </w:pPr>
            <w:r w:rsidRPr="00D33691">
              <w:t>Software package</w:t>
            </w:r>
          </w:p>
        </w:tc>
        <w:tc>
          <w:tcPr>
            <w:tcW w:w="4050" w:type="pct"/>
            <w:vAlign w:val="center"/>
          </w:tcPr>
          <w:p w:rsidR="00462A67" w:rsidRPr="00D33691" w:rsidRDefault="00462A67" w:rsidP="000E75F4">
            <w:pPr>
              <w:pStyle w:val="Tabletext"/>
            </w:pPr>
            <w:r w:rsidRPr="00D33691">
              <w:t>Excel</w:t>
            </w:r>
          </w:p>
        </w:tc>
      </w:tr>
    </w:tbl>
    <w:p w:rsidR="00462A67" w:rsidRDefault="00462A67" w:rsidP="00462A67">
      <w:pPr>
        <w:pStyle w:val="TableFooter"/>
      </w:pPr>
      <w:r w:rsidRPr="00D33691">
        <w:t>Source: Table 3-1, p97 of the submission.</w:t>
      </w:r>
      <w:r>
        <w:t xml:space="preserve"> </w:t>
      </w:r>
      <w:r w:rsidR="006A1A2D">
        <w:t xml:space="preserve">PFS = Progression free survival, </w:t>
      </w:r>
      <w:r>
        <w:t>QALY = quality adjusted life year</w:t>
      </w:r>
      <w:r w:rsidR="006A1A2D">
        <w:t>, TTD = time to treatment discontinuation</w:t>
      </w:r>
    </w:p>
    <w:p w:rsidR="00462A67" w:rsidRPr="00D33691" w:rsidRDefault="00462A67" w:rsidP="00462A67">
      <w:pPr>
        <w:pStyle w:val="TableFooter"/>
      </w:pPr>
    </w:p>
    <w:p w:rsidR="00761268" w:rsidRDefault="00761268" w:rsidP="00EE5BFD">
      <w:pPr>
        <w:pStyle w:val="ListParagraph"/>
        <w:widowControl/>
        <w:numPr>
          <w:ilvl w:val="1"/>
          <w:numId w:val="2"/>
        </w:numPr>
      </w:pPr>
      <w:r w:rsidRPr="00D33691">
        <w:t xml:space="preserve">The model included three health states: progression-free (PF), progressed disease (PD), and death. </w:t>
      </w:r>
      <w:r>
        <w:t xml:space="preserve">The distribution of patients between the PF and PD health states over </w:t>
      </w:r>
      <w:r>
        <w:lastRenderedPageBreak/>
        <w:t xml:space="preserve">time are informed by the OS and PFS curves from INVICTUS. The area under the curve approach is then used to estimate the time patients spend in the PF and PD states and QALY calculated based on this information. </w:t>
      </w:r>
    </w:p>
    <w:p w:rsidR="00761268" w:rsidRPr="00200039" w:rsidRDefault="00761268" w:rsidP="00EE5BFD">
      <w:pPr>
        <w:pStyle w:val="ListParagraph"/>
        <w:widowControl/>
        <w:numPr>
          <w:ilvl w:val="1"/>
          <w:numId w:val="2"/>
        </w:numPr>
      </w:pPr>
      <w:r>
        <w:t xml:space="preserve">Patients accrued costs associated with their treatment arm (drug costs and adverse event management costs) as well as health state costs. Patients in the ripretinib arm were assumed to remain on treatment until progression, </w:t>
      </w:r>
      <w:r w:rsidR="00F81D5A">
        <w:t>and then</w:t>
      </w:r>
      <w:r>
        <w:t xml:space="preserve"> stop. However, 6</w:t>
      </w:r>
      <w:r w:rsidR="004A7B5C">
        <w:t>5.9</w:t>
      </w:r>
      <w:r>
        <w:t xml:space="preserve">% of patients in the placebo arm were </w:t>
      </w:r>
      <w:r w:rsidRPr="00200039">
        <w:t>inappropriately</w:t>
      </w:r>
      <w:r w:rsidRPr="00761268">
        <w:t xml:space="preserve"> </w:t>
      </w:r>
      <w:r>
        <w:t xml:space="preserve">assumed to cross over to </w:t>
      </w:r>
      <w:r w:rsidRPr="00E84D9B">
        <w:t>ripretinib after progression</w:t>
      </w:r>
      <w:r w:rsidR="004A7B5C">
        <w:t xml:space="preserve"> </w:t>
      </w:r>
      <w:r w:rsidR="00462A67">
        <w:t>(see paragraph</w:t>
      </w:r>
      <w:r w:rsidR="004A7B5C">
        <w:t>s</w:t>
      </w:r>
      <w:r w:rsidR="00E14585">
        <w:t xml:space="preserve"> </w:t>
      </w:r>
      <w:r w:rsidR="00E14585" w:rsidRPr="00D004E0">
        <w:t>6.</w:t>
      </w:r>
      <w:r w:rsidR="00EE5BFD">
        <w:t>47</w:t>
      </w:r>
      <w:r w:rsidR="004A7B5C" w:rsidRPr="00D004E0">
        <w:t xml:space="preserve"> and 6.</w:t>
      </w:r>
      <w:r w:rsidR="00EE5BFD">
        <w:t>48)</w:t>
      </w:r>
      <w:r w:rsidRPr="00E84D9B">
        <w:t>. An end of life</w:t>
      </w:r>
      <w:r>
        <w:t xml:space="preserve"> cost was also applied as a transition cost when patients die (transition to dead health state). </w:t>
      </w:r>
    </w:p>
    <w:p w:rsidR="00083F05" w:rsidRDefault="00081210" w:rsidP="00083F05">
      <w:pPr>
        <w:pStyle w:val="ListParagraph"/>
        <w:widowControl/>
        <w:numPr>
          <w:ilvl w:val="1"/>
          <w:numId w:val="2"/>
        </w:numPr>
      </w:pPr>
      <w:r>
        <w:t>Table 11</w:t>
      </w:r>
      <w:r w:rsidR="00083F05" w:rsidRPr="005A075F">
        <w:t xml:space="preserve"> presents</w:t>
      </w:r>
      <w:r w:rsidR="00083F05">
        <w:rPr>
          <w:color w:val="000000" w:themeColor="text1"/>
        </w:rPr>
        <w:t xml:space="preserve"> key drivers of the model.</w:t>
      </w:r>
    </w:p>
    <w:p w:rsidR="00083F05" w:rsidRDefault="00083F05" w:rsidP="00761268">
      <w:pPr>
        <w:keepNext/>
        <w:keepLines/>
        <w:rPr>
          <w:rStyle w:val="CommentReference"/>
        </w:rPr>
      </w:pPr>
      <w:bookmarkStart w:id="26" w:name="_Ref58429977"/>
      <w:r w:rsidRPr="00A56B6A">
        <w:rPr>
          <w:rStyle w:val="CommentReference"/>
        </w:rPr>
        <w:t xml:space="preserve">Table </w:t>
      </w:r>
      <w:bookmarkEnd w:id="26"/>
      <w:r w:rsidR="00081210">
        <w:rPr>
          <w:rStyle w:val="CommentReference"/>
        </w:rPr>
        <w:t>11</w:t>
      </w:r>
      <w:r w:rsidRPr="00A56B6A">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13"/>
        <w:gridCol w:w="4619"/>
        <w:gridCol w:w="2685"/>
      </w:tblGrid>
      <w:tr w:rsidR="00083F05" w:rsidRPr="005A075F" w:rsidTr="00994A71">
        <w:trPr>
          <w:tblHeader/>
        </w:trPr>
        <w:tc>
          <w:tcPr>
            <w:tcW w:w="950" w:type="pct"/>
            <w:shd w:val="clear" w:color="auto" w:fill="auto"/>
            <w:vAlign w:val="center"/>
          </w:tcPr>
          <w:p w:rsidR="00083F05" w:rsidRPr="005A075F" w:rsidRDefault="00083F05" w:rsidP="00761268">
            <w:pPr>
              <w:pStyle w:val="Tabletext"/>
              <w:keepNext/>
              <w:keepLines/>
              <w:rPr>
                <w:b/>
              </w:rPr>
            </w:pPr>
            <w:r w:rsidRPr="005A075F">
              <w:rPr>
                <w:b/>
              </w:rPr>
              <w:t>Description</w:t>
            </w:r>
          </w:p>
        </w:tc>
        <w:tc>
          <w:tcPr>
            <w:tcW w:w="2561" w:type="pct"/>
            <w:shd w:val="clear" w:color="auto" w:fill="auto"/>
            <w:vAlign w:val="center"/>
          </w:tcPr>
          <w:p w:rsidR="00083F05" w:rsidRPr="005A075F" w:rsidRDefault="00083F05" w:rsidP="00761268">
            <w:pPr>
              <w:pStyle w:val="Tabletext"/>
              <w:keepNext/>
              <w:keepLines/>
              <w:jc w:val="center"/>
              <w:rPr>
                <w:b/>
              </w:rPr>
            </w:pPr>
            <w:r w:rsidRPr="005A075F">
              <w:rPr>
                <w:b/>
              </w:rPr>
              <w:t>Method/Value</w:t>
            </w:r>
          </w:p>
        </w:tc>
        <w:tc>
          <w:tcPr>
            <w:tcW w:w="1489" w:type="pct"/>
            <w:shd w:val="clear" w:color="auto" w:fill="auto"/>
            <w:vAlign w:val="center"/>
          </w:tcPr>
          <w:p w:rsidR="00083F05" w:rsidRPr="005A075F" w:rsidRDefault="00083F05" w:rsidP="00761268">
            <w:pPr>
              <w:pStyle w:val="Tabletext"/>
              <w:keepNext/>
              <w:keepLines/>
              <w:jc w:val="center"/>
              <w:rPr>
                <w:b/>
              </w:rPr>
            </w:pPr>
            <w:r w:rsidRPr="005A075F">
              <w:rPr>
                <w:b/>
              </w:rPr>
              <w:t>Impact</w:t>
            </w:r>
          </w:p>
        </w:tc>
      </w:tr>
      <w:tr w:rsidR="00083F05" w:rsidRPr="005A075F" w:rsidTr="00761268">
        <w:tc>
          <w:tcPr>
            <w:tcW w:w="950" w:type="pct"/>
            <w:shd w:val="clear" w:color="auto" w:fill="auto"/>
            <w:vAlign w:val="center"/>
          </w:tcPr>
          <w:p w:rsidR="00083F05" w:rsidRPr="005A075F" w:rsidRDefault="00083F05" w:rsidP="00761268">
            <w:pPr>
              <w:pStyle w:val="Tabletext"/>
              <w:keepNext/>
              <w:keepLines/>
            </w:pPr>
            <w:r w:rsidRPr="005A075F">
              <w:t>Extrapolation OS</w:t>
            </w:r>
          </w:p>
        </w:tc>
        <w:tc>
          <w:tcPr>
            <w:tcW w:w="2561" w:type="pct"/>
            <w:shd w:val="clear" w:color="auto" w:fill="auto"/>
            <w:vAlign w:val="center"/>
          </w:tcPr>
          <w:p w:rsidR="00083F05" w:rsidRPr="005A075F" w:rsidRDefault="00083F05" w:rsidP="006747E7">
            <w:pPr>
              <w:pStyle w:val="Tabletext"/>
              <w:keepNext/>
              <w:keepLines/>
            </w:pPr>
            <w:r w:rsidRPr="005A075F">
              <w:t xml:space="preserve">Exponential extrapolation for both BSC and ripretinib </w:t>
            </w:r>
            <w:r w:rsidR="006747E7">
              <w:t>OS</w:t>
            </w:r>
            <w:r w:rsidR="006747E7" w:rsidRPr="005A075F">
              <w:t xml:space="preserve"> </w:t>
            </w:r>
            <w:r w:rsidRPr="005A075F">
              <w:t>curves over 7 year time horizon</w:t>
            </w:r>
          </w:p>
        </w:tc>
        <w:tc>
          <w:tcPr>
            <w:tcW w:w="1489" w:type="pct"/>
            <w:shd w:val="clear" w:color="auto" w:fill="auto"/>
            <w:vAlign w:val="center"/>
          </w:tcPr>
          <w:p w:rsidR="00083F05" w:rsidRPr="005A075F" w:rsidRDefault="00083F05" w:rsidP="00761268">
            <w:pPr>
              <w:pStyle w:val="Tabletext"/>
              <w:keepNext/>
              <w:keepLines/>
            </w:pPr>
            <w:r w:rsidRPr="005A075F">
              <w:t>High, favours ripret</w:t>
            </w:r>
            <w:r>
              <w:t>i</w:t>
            </w:r>
            <w:r w:rsidRPr="005A075F">
              <w:t xml:space="preserve">nib </w:t>
            </w:r>
          </w:p>
        </w:tc>
      </w:tr>
      <w:tr w:rsidR="00083F05" w:rsidRPr="005A075F" w:rsidTr="00761268">
        <w:tc>
          <w:tcPr>
            <w:tcW w:w="950" w:type="pct"/>
            <w:shd w:val="clear" w:color="auto" w:fill="auto"/>
            <w:vAlign w:val="center"/>
          </w:tcPr>
          <w:p w:rsidR="00083F05" w:rsidRPr="005A075F" w:rsidRDefault="00083F05" w:rsidP="00761268">
            <w:pPr>
              <w:pStyle w:val="Tabletext"/>
              <w:keepNext/>
              <w:keepLines/>
            </w:pPr>
            <w:r w:rsidRPr="005A075F">
              <w:t>Extrapolation PFS</w:t>
            </w:r>
          </w:p>
        </w:tc>
        <w:tc>
          <w:tcPr>
            <w:tcW w:w="2561" w:type="pct"/>
            <w:shd w:val="clear" w:color="auto" w:fill="auto"/>
            <w:vAlign w:val="center"/>
          </w:tcPr>
          <w:p w:rsidR="00083F05" w:rsidRPr="005A075F" w:rsidRDefault="00083F05" w:rsidP="00761268">
            <w:pPr>
              <w:pStyle w:val="Tabletext"/>
              <w:keepNext/>
              <w:keepLines/>
            </w:pPr>
            <w:r w:rsidRPr="005A075F">
              <w:t xml:space="preserve">Log-logistic extrapolation of PFS curves for both BSC and ripretinib over 7 year time horizon </w:t>
            </w:r>
          </w:p>
        </w:tc>
        <w:tc>
          <w:tcPr>
            <w:tcW w:w="1489" w:type="pct"/>
            <w:shd w:val="clear" w:color="auto" w:fill="auto"/>
            <w:vAlign w:val="center"/>
          </w:tcPr>
          <w:p w:rsidR="00083F05" w:rsidRPr="005A075F" w:rsidRDefault="00662A40" w:rsidP="00761268">
            <w:pPr>
              <w:pStyle w:val="Tabletext"/>
              <w:keepNext/>
              <w:keepLines/>
            </w:pPr>
            <w:r>
              <w:t>Moderate</w:t>
            </w:r>
            <w:r w:rsidR="00083F05" w:rsidRPr="005A075F">
              <w:t xml:space="preserve">, favours </w:t>
            </w:r>
            <w:r>
              <w:t>BSC</w:t>
            </w:r>
            <w:r w:rsidR="004F764B">
              <w:t>, compared to other extrapolations in terms of ICER</w:t>
            </w:r>
            <w:r w:rsidR="005D40B0">
              <w:t xml:space="preserve"> (</w:t>
            </w:r>
            <w:r w:rsidR="005D40B0" w:rsidRPr="005D40B0">
              <w:t>see Table 12</w:t>
            </w:r>
            <w:r w:rsidR="005D40B0">
              <w:t>)</w:t>
            </w:r>
          </w:p>
        </w:tc>
      </w:tr>
      <w:tr w:rsidR="00083F05" w:rsidRPr="005A075F" w:rsidTr="00761268">
        <w:tc>
          <w:tcPr>
            <w:tcW w:w="950" w:type="pct"/>
            <w:shd w:val="clear" w:color="auto" w:fill="auto"/>
            <w:vAlign w:val="center"/>
          </w:tcPr>
          <w:p w:rsidR="00083F05" w:rsidRPr="00954D37" w:rsidRDefault="00083F05" w:rsidP="00761268">
            <w:pPr>
              <w:pStyle w:val="Tabletext"/>
              <w:keepNext/>
              <w:keepLines/>
            </w:pPr>
            <w:r w:rsidRPr="00954D37">
              <w:t>Post progression ripretinib</w:t>
            </w:r>
            <w:r w:rsidR="00C94473" w:rsidRPr="00954D37">
              <w:t xml:space="preserve"> in BSC arm</w:t>
            </w:r>
          </w:p>
        </w:tc>
        <w:tc>
          <w:tcPr>
            <w:tcW w:w="2561" w:type="pct"/>
            <w:shd w:val="clear" w:color="auto" w:fill="auto"/>
            <w:vAlign w:val="center"/>
          </w:tcPr>
          <w:p w:rsidR="00083F05" w:rsidRPr="00954D37" w:rsidRDefault="00083F05" w:rsidP="00761268">
            <w:pPr>
              <w:pStyle w:val="Tabletext"/>
              <w:keepNext/>
              <w:keepLines/>
            </w:pPr>
            <w:r w:rsidRPr="00954D37">
              <w:t xml:space="preserve">Model assumes a majority </w:t>
            </w:r>
            <w:r w:rsidR="00761268" w:rsidRPr="00954D37">
              <w:t xml:space="preserve">(65.9%) </w:t>
            </w:r>
            <w:r w:rsidRPr="00954D37">
              <w:t xml:space="preserve">of patients in BSC arm will receive ripretinib drug costs </w:t>
            </w:r>
            <w:r w:rsidR="00761268" w:rsidRPr="00954D37">
              <w:t xml:space="preserve">post </w:t>
            </w:r>
            <w:r w:rsidRPr="00954D37">
              <w:t>progression. No patients in ripretinib arm are assumed to receive ripretinib</w:t>
            </w:r>
            <w:r w:rsidR="00761268" w:rsidRPr="00954D37">
              <w:t xml:space="preserve"> post progression</w:t>
            </w:r>
            <w:r w:rsidRPr="00954D37">
              <w:t xml:space="preserve"> </w:t>
            </w:r>
          </w:p>
        </w:tc>
        <w:tc>
          <w:tcPr>
            <w:tcW w:w="1489" w:type="pct"/>
            <w:shd w:val="clear" w:color="auto" w:fill="auto"/>
            <w:vAlign w:val="center"/>
          </w:tcPr>
          <w:p w:rsidR="00083F05" w:rsidRPr="00954D37" w:rsidRDefault="00083F05" w:rsidP="00761268">
            <w:pPr>
              <w:pStyle w:val="Tabletext"/>
              <w:keepNext/>
              <w:keepLines/>
            </w:pPr>
            <w:r w:rsidRPr="00954D37">
              <w:t>High, favours ripretinib</w:t>
            </w:r>
          </w:p>
          <w:p w:rsidR="00565BA1" w:rsidRPr="00954D37" w:rsidRDefault="00565BA1" w:rsidP="00761268">
            <w:pPr>
              <w:pStyle w:val="Tabletext"/>
              <w:keepNext/>
              <w:keepLines/>
            </w:pPr>
          </w:p>
        </w:tc>
      </w:tr>
      <w:tr w:rsidR="00C94473" w:rsidRPr="00F15930" w:rsidTr="00C94473">
        <w:tc>
          <w:tcPr>
            <w:tcW w:w="950" w:type="pct"/>
            <w:tcBorders>
              <w:top w:val="single" w:sz="4" w:space="0" w:color="auto"/>
              <w:left w:val="single" w:sz="4" w:space="0" w:color="auto"/>
              <w:bottom w:val="single" w:sz="4" w:space="0" w:color="auto"/>
              <w:right w:val="single" w:sz="4" w:space="0" w:color="auto"/>
            </w:tcBorders>
            <w:shd w:val="clear" w:color="auto" w:fill="auto"/>
            <w:vAlign w:val="center"/>
          </w:tcPr>
          <w:p w:rsidR="00C94473" w:rsidRPr="00954D37" w:rsidRDefault="00C94473" w:rsidP="00C94473">
            <w:pPr>
              <w:pStyle w:val="Tabletext"/>
              <w:keepNext/>
              <w:keepLines/>
            </w:pPr>
            <w:r w:rsidRPr="00954D37">
              <w:t>Post progression ripretinib in ripretinib arm</w:t>
            </w:r>
          </w:p>
        </w:tc>
        <w:tc>
          <w:tcPr>
            <w:tcW w:w="2561" w:type="pct"/>
            <w:tcBorders>
              <w:top w:val="single" w:sz="4" w:space="0" w:color="auto"/>
              <w:left w:val="single" w:sz="4" w:space="0" w:color="auto"/>
              <w:bottom w:val="single" w:sz="4" w:space="0" w:color="auto"/>
              <w:right w:val="single" w:sz="4" w:space="0" w:color="auto"/>
            </w:tcBorders>
            <w:shd w:val="clear" w:color="auto" w:fill="auto"/>
            <w:vAlign w:val="center"/>
          </w:tcPr>
          <w:p w:rsidR="00C94473" w:rsidRPr="00954D37" w:rsidRDefault="00C94473" w:rsidP="00C94473">
            <w:pPr>
              <w:pStyle w:val="Tabletext"/>
              <w:keepNext/>
              <w:keepLines/>
            </w:pPr>
            <w:r w:rsidRPr="00954D37">
              <w:t xml:space="preserve">In the model, no patients in the </w:t>
            </w:r>
            <w:r w:rsidR="00F15930" w:rsidRPr="00954D37">
              <w:t>ripretinib arm we</w:t>
            </w:r>
            <w:r w:rsidRPr="00954D37">
              <w:t xml:space="preserve">re assumed to receive ripretinib post progression. </w:t>
            </w:r>
            <w:r w:rsidR="00F15DD5" w:rsidRPr="00954D37">
              <w:t>In INVICTUS, 42/85 (49.4%) patients who were randomised to ripretinib continued treatment post progression, (31/85 36.5%) doubled their dose frequency</w:t>
            </w:r>
          </w:p>
        </w:tc>
        <w:tc>
          <w:tcPr>
            <w:tcW w:w="1489" w:type="pct"/>
            <w:tcBorders>
              <w:top w:val="single" w:sz="4" w:space="0" w:color="auto"/>
              <w:left w:val="single" w:sz="4" w:space="0" w:color="auto"/>
              <w:bottom w:val="single" w:sz="4" w:space="0" w:color="auto"/>
              <w:right w:val="single" w:sz="4" w:space="0" w:color="auto"/>
            </w:tcBorders>
            <w:shd w:val="clear" w:color="auto" w:fill="auto"/>
            <w:vAlign w:val="center"/>
          </w:tcPr>
          <w:p w:rsidR="00C94473" w:rsidRPr="00954D37" w:rsidRDefault="00C94473" w:rsidP="00C94473">
            <w:pPr>
              <w:pStyle w:val="Tabletext"/>
              <w:keepNext/>
              <w:keepLines/>
            </w:pPr>
            <w:r w:rsidRPr="00954D37">
              <w:t>High, favours ripretinib</w:t>
            </w:r>
          </w:p>
          <w:p w:rsidR="00C94473" w:rsidRPr="00954D37" w:rsidRDefault="00C94473" w:rsidP="00C94473">
            <w:pPr>
              <w:pStyle w:val="Tabletext"/>
              <w:keepNext/>
              <w:keepLines/>
            </w:pPr>
          </w:p>
        </w:tc>
      </w:tr>
      <w:tr w:rsidR="00C94473" w:rsidRPr="005A075F" w:rsidTr="00C94473">
        <w:tc>
          <w:tcPr>
            <w:tcW w:w="950" w:type="pct"/>
            <w:tcBorders>
              <w:top w:val="single" w:sz="4" w:space="0" w:color="auto"/>
              <w:left w:val="single" w:sz="4" w:space="0" w:color="auto"/>
              <w:bottom w:val="single" w:sz="4" w:space="0" w:color="auto"/>
              <w:right w:val="single" w:sz="4" w:space="0" w:color="auto"/>
            </w:tcBorders>
            <w:shd w:val="clear" w:color="auto" w:fill="auto"/>
            <w:vAlign w:val="center"/>
          </w:tcPr>
          <w:p w:rsidR="00C94473" w:rsidRPr="00954D37" w:rsidRDefault="00C94473" w:rsidP="00C94473">
            <w:pPr>
              <w:pStyle w:val="Tabletext"/>
              <w:keepNext/>
              <w:keepLines/>
            </w:pPr>
            <w:r w:rsidRPr="00954D37">
              <w:t>Treatment switching</w:t>
            </w:r>
          </w:p>
        </w:tc>
        <w:tc>
          <w:tcPr>
            <w:tcW w:w="2561" w:type="pct"/>
            <w:tcBorders>
              <w:top w:val="single" w:sz="4" w:space="0" w:color="auto"/>
              <w:left w:val="single" w:sz="4" w:space="0" w:color="auto"/>
              <w:bottom w:val="single" w:sz="4" w:space="0" w:color="auto"/>
              <w:right w:val="single" w:sz="4" w:space="0" w:color="auto"/>
            </w:tcBorders>
            <w:shd w:val="clear" w:color="auto" w:fill="auto"/>
            <w:vAlign w:val="center"/>
          </w:tcPr>
          <w:p w:rsidR="00C94473" w:rsidRPr="00954D37" w:rsidRDefault="00C94473" w:rsidP="00C94473">
            <w:pPr>
              <w:pStyle w:val="Tabletext"/>
              <w:keepNext/>
              <w:keepLines/>
            </w:pPr>
            <w:r w:rsidRPr="00954D37">
              <w:t>No adjustment of OS was undertaken for the</w:t>
            </w:r>
            <w:r w:rsidR="00D25EAE" w:rsidRPr="00954D37">
              <w:t xml:space="preserve"> high uptake of ripretinib post </w:t>
            </w:r>
            <w:r w:rsidRPr="00954D37">
              <w:t xml:space="preserve">progression in the BSC arm </w:t>
            </w:r>
          </w:p>
        </w:tc>
        <w:tc>
          <w:tcPr>
            <w:tcW w:w="1489" w:type="pct"/>
            <w:tcBorders>
              <w:top w:val="single" w:sz="4" w:space="0" w:color="auto"/>
              <w:left w:val="single" w:sz="4" w:space="0" w:color="auto"/>
              <w:bottom w:val="single" w:sz="4" w:space="0" w:color="auto"/>
              <w:right w:val="single" w:sz="4" w:space="0" w:color="auto"/>
            </w:tcBorders>
            <w:shd w:val="clear" w:color="auto" w:fill="auto"/>
            <w:vAlign w:val="center"/>
          </w:tcPr>
          <w:p w:rsidR="00C94473" w:rsidRPr="00954D37" w:rsidRDefault="00C94473" w:rsidP="00C94473">
            <w:pPr>
              <w:pStyle w:val="Tabletext"/>
              <w:keepNext/>
              <w:keepLines/>
            </w:pPr>
            <w:r w:rsidRPr="00954D37">
              <w:t>Favours BSC</w:t>
            </w:r>
          </w:p>
        </w:tc>
      </w:tr>
    </w:tbl>
    <w:p w:rsidR="00083F05" w:rsidRDefault="00083F05" w:rsidP="00761268">
      <w:pPr>
        <w:pStyle w:val="TableFooter"/>
        <w:keepNext/>
        <w:keepLines/>
      </w:pPr>
      <w:r>
        <w:t xml:space="preserve">Source: </w:t>
      </w:r>
      <w:r w:rsidRPr="00D33691">
        <w:t>QinLock Cost-effectiveness model _november 2020 (version 1).xlsx</w:t>
      </w:r>
    </w:p>
    <w:p w:rsidR="00083F05" w:rsidRPr="00D33691" w:rsidRDefault="00083F05" w:rsidP="00761268">
      <w:pPr>
        <w:pStyle w:val="TableFooter"/>
        <w:keepNext/>
        <w:keepLines/>
      </w:pPr>
      <w:r>
        <w:t>BSC = best supportive care. OS = overall survival; PFS =progression free survival</w:t>
      </w:r>
    </w:p>
    <w:p w:rsidR="00083F05" w:rsidRPr="00275C5A" w:rsidRDefault="00083F05" w:rsidP="00083F05">
      <w:pPr>
        <w:widowControl/>
      </w:pPr>
    </w:p>
    <w:p w:rsidR="00083F05" w:rsidRPr="00E0121C" w:rsidRDefault="00083F05" w:rsidP="00083F05">
      <w:pPr>
        <w:pStyle w:val="ListParagraph"/>
        <w:widowControl/>
        <w:numPr>
          <w:ilvl w:val="1"/>
          <w:numId w:val="2"/>
        </w:numPr>
        <w:rPr>
          <w:color w:val="000000" w:themeColor="text1"/>
        </w:rPr>
      </w:pPr>
      <w:bookmarkStart w:id="27" w:name="_Ref58880773"/>
      <w:r>
        <w:rPr>
          <w:color w:val="000000" w:themeColor="text1"/>
        </w:rPr>
        <w:t>I</w:t>
      </w:r>
      <w:r w:rsidR="00761268">
        <w:t>n the INVICTUS trial, 29/</w:t>
      </w:r>
      <w:r w:rsidRPr="00D33691">
        <w:t xml:space="preserve">44 </w:t>
      </w:r>
      <w:r w:rsidR="00761268">
        <w:t>(65.9%) patients who we</w:t>
      </w:r>
      <w:r w:rsidRPr="00D33691">
        <w:t>re randomised to placebo (i.e. BSC) in the double-blind period crossed over to receive ripretinib after progression. The submission accounted for this high proportion of crossover by assigning ripretinib costs to this proportion of patients in the post progression state in BSC.</w:t>
      </w:r>
      <w:r>
        <w:t xml:space="preserve"> </w:t>
      </w:r>
      <w:r w:rsidRPr="00D33691">
        <w:t xml:space="preserve">These patients </w:t>
      </w:r>
      <w:r>
        <w:t xml:space="preserve">who crossed over </w:t>
      </w:r>
      <w:r w:rsidRPr="00D33691">
        <w:t>were assumed to continue ripretinib treatment until second progression (based on second progression [PFS-2] in the INVICTUS trial</w:t>
      </w:r>
      <w:r w:rsidR="00F15930">
        <w:t>)</w:t>
      </w:r>
      <w:r w:rsidRPr="00D33691">
        <w:t>, with a log-normal curve selected based on the lowest AIC values.</w:t>
      </w:r>
      <w:bookmarkEnd w:id="27"/>
    </w:p>
    <w:p w:rsidR="00083F05" w:rsidRPr="00954D37" w:rsidRDefault="00083F05" w:rsidP="00083F05">
      <w:pPr>
        <w:pStyle w:val="ListParagraph"/>
        <w:widowControl/>
        <w:numPr>
          <w:ilvl w:val="1"/>
          <w:numId w:val="2"/>
        </w:numPr>
      </w:pPr>
      <w:r w:rsidRPr="00200039">
        <w:t>This approach was inconsistent w</w:t>
      </w:r>
      <w:r w:rsidR="00761268" w:rsidRPr="00200039">
        <w:t xml:space="preserve">ith the requested population as </w:t>
      </w:r>
      <w:r w:rsidRPr="00200039">
        <w:t xml:space="preserve">patients </w:t>
      </w:r>
      <w:r w:rsidR="00761268" w:rsidRPr="00200039">
        <w:t xml:space="preserve">in the BSC arm </w:t>
      </w:r>
      <w:r w:rsidRPr="00200039">
        <w:t>would not be expec</w:t>
      </w:r>
      <w:r w:rsidR="00761268" w:rsidRPr="00200039">
        <w:t xml:space="preserve">ted to receive ripretinib post </w:t>
      </w:r>
      <w:r w:rsidRPr="00200039">
        <w:t xml:space="preserve">progression in a </w:t>
      </w:r>
      <w:r w:rsidR="00761268" w:rsidRPr="00200039">
        <w:t xml:space="preserve">scenario </w:t>
      </w:r>
      <w:r w:rsidRPr="00200039">
        <w:t xml:space="preserve">where ripretinib is not PBS subsidised (which is what the </w:t>
      </w:r>
      <w:r w:rsidR="00761268" w:rsidRPr="00200039">
        <w:t xml:space="preserve">BSC </w:t>
      </w:r>
      <w:r w:rsidRPr="00200039">
        <w:t>comparator arm is supposed to demonstrate). This unreasonable assumption strongly favoured ripretinib.</w:t>
      </w:r>
      <w:r w:rsidR="004A7B5C">
        <w:t xml:space="preserve"> </w:t>
      </w:r>
      <w:r w:rsidR="00711B81" w:rsidRPr="00954D37">
        <w:t xml:space="preserve">The PSCR disagreed that the approach </w:t>
      </w:r>
      <w:r w:rsidR="004A7B5C" w:rsidRPr="00954D37">
        <w:t xml:space="preserve">taken </w:t>
      </w:r>
      <w:r w:rsidR="00711B81" w:rsidRPr="00954D37">
        <w:t xml:space="preserve">was unreasonable but suggested the sponsor was willing to discuss an appropriate methodology for accounting for cross over patients. The ESC agreed with the evaluation that the assumption that patients in the BSC arm </w:t>
      </w:r>
      <w:r w:rsidR="00711B81" w:rsidRPr="00954D37">
        <w:lastRenderedPageBreak/>
        <w:t xml:space="preserve">would receive post progression ripretinib was unreasonable and strongly favoured ripretinib. The ESC noted that </w:t>
      </w:r>
      <w:r w:rsidR="00995871" w:rsidRPr="00954D37">
        <w:t xml:space="preserve">the </w:t>
      </w:r>
      <w:r w:rsidR="00711B81" w:rsidRPr="00954D37">
        <w:t>PBAC guidelines</w:t>
      </w:r>
      <w:r w:rsidR="00995871" w:rsidRPr="00954D37">
        <w:t xml:space="preserve"> (version 5)</w:t>
      </w:r>
      <w:r w:rsidR="00711B81" w:rsidRPr="00954D37">
        <w:t xml:space="preserve"> </w:t>
      </w:r>
      <w:r w:rsidR="00995871" w:rsidRPr="00954D37">
        <w:t xml:space="preserve">provides methodological guidance on adjustments for treatment switching.  </w:t>
      </w:r>
    </w:p>
    <w:p w:rsidR="00083F05" w:rsidRPr="00200039" w:rsidRDefault="00083F05" w:rsidP="00083F05">
      <w:pPr>
        <w:pStyle w:val="ListParagraph"/>
        <w:widowControl/>
        <w:numPr>
          <w:ilvl w:val="1"/>
          <w:numId w:val="2"/>
        </w:numPr>
        <w:rPr>
          <w:color w:val="000000" w:themeColor="text1"/>
        </w:rPr>
      </w:pPr>
      <w:r w:rsidRPr="00200039">
        <w:t xml:space="preserve">Moreover, the submission was inconsistent in applying post progression ripretinib costs from INVICTUS, as no post progression ripretinib was assumed in the ripretinib arm of the model. In INVICTUS, 42/85 (49.4%) patients who were randomised to ripretinib continued treatment post progression, and 31/85 (36.5%) patients actually doubled their dose frequency. </w:t>
      </w:r>
      <w:r w:rsidRPr="00954D37">
        <w:t>The</w:t>
      </w:r>
      <w:r w:rsidR="00050AA0" w:rsidRPr="00954D37">
        <w:t xml:space="preserve"> ESC agreed with the evaluation that the</w:t>
      </w:r>
      <w:r w:rsidRPr="00954D37">
        <w:t xml:space="preserve"> omission</w:t>
      </w:r>
      <w:r w:rsidRPr="00200039">
        <w:t xml:space="preserve"> of post progression ripretinib in the ripretinib arm also strongly favoured ripretinib. </w:t>
      </w:r>
      <w:r w:rsidR="002A31F2">
        <w:t xml:space="preserve">The pre-PBAC response stated that the model excluded post-progression ripretinib costs as the proposed restriction precludes the use of ripretinib following progression. In addition, the pre-PBAC response argued that the mean [SD] treatment duration for the ripretinib arm was 24.44 [13.94] weeks, which is consistent with the median PFS in the study. As such, the pre-PBAC response argued that there was limited ripretinib use post progression in the ripretinib arm. </w:t>
      </w:r>
    </w:p>
    <w:p w:rsidR="00662A40" w:rsidRPr="00954D37" w:rsidRDefault="0073482F" w:rsidP="00662A40">
      <w:pPr>
        <w:pStyle w:val="ListParagraph"/>
        <w:widowControl/>
        <w:numPr>
          <w:ilvl w:val="1"/>
          <w:numId w:val="2"/>
        </w:numPr>
        <w:rPr>
          <w:color w:val="000000" w:themeColor="text1"/>
        </w:rPr>
      </w:pPr>
      <w:r w:rsidRPr="00954D37">
        <w:rPr>
          <w:snapToGrid/>
          <w:lang w:eastAsia="en-AU"/>
        </w:rPr>
        <w:t xml:space="preserve">As </w:t>
      </w:r>
      <w:r w:rsidR="00D620B6" w:rsidRPr="00954D37">
        <w:rPr>
          <w:snapToGrid/>
          <w:lang w:eastAsia="en-AU"/>
        </w:rPr>
        <w:t xml:space="preserve">outlined in paragraph </w:t>
      </w:r>
      <w:r w:rsidR="0029205C">
        <w:rPr>
          <w:snapToGrid/>
          <w:lang w:eastAsia="en-AU"/>
        </w:rPr>
        <w:t>6.19</w:t>
      </w:r>
      <w:r w:rsidR="00D004E0" w:rsidRPr="00954D37">
        <w:rPr>
          <w:snapToGrid/>
          <w:lang w:eastAsia="en-AU"/>
        </w:rPr>
        <w:t xml:space="preserve"> </w:t>
      </w:r>
      <w:r w:rsidRPr="00954D37">
        <w:rPr>
          <w:snapToGrid/>
          <w:lang w:eastAsia="en-AU"/>
        </w:rPr>
        <w:t xml:space="preserve">the ESC considered the </w:t>
      </w:r>
      <w:r w:rsidR="00D620B6" w:rsidRPr="00954D37">
        <w:t xml:space="preserve">OS difference </w:t>
      </w:r>
      <w:r w:rsidR="006A18AE" w:rsidRPr="00954D37">
        <w:t xml:space="preserve">observed in the INVICTUS trial be </w:t>
      </w:r>
      <w:r w:rsidR="00D620B6" w:rsidRPr="00954D37">
        <w:t>clinically meaningful</w:t>
      </w:r>
      <w:r w:rsidRPr="00954D37">
        <w:rPr>
          <w:snapToGrid/>
          <w:lang w:eastAsia="en-AU"/>
        </w:rPr>
        <w:t xml:space="preserve">. </w:t>
      </w:r>
      <w:r w:rsidR="00D620B6" w:rsidRPr="00954D37">
        <w:rPr>
          <w:snapToGrid/>
          <w:lang w:eastAsia="en-AU"/>
        </w:rPr>
        <w:t xml:space="preserve">However, the ESC considered </w:t>
      </w:r>
      <w:r w:rsidR="001F3BD1" w:rsidRPr="00954D37">
        <w:rPr>
          <w:snapToGrid/>
          <w:lang w:eastAsia="en-AU"/>
        </w:rPr>
        <w:t>that,</w:t>
      </w:r>
      <w:r w:rsidR="00D620B6" w:rsidRPr="00954D37">
        <w:rPr>
          <w:snapToGrid/>
          <w:lang w:eastAsia="en-AU"/>
        </w:rPr>
        <w:t xml:space="preserve"> as it was not possible to demonstrate statistically significant superiority in OS</w:t>
      </w:r>
      <w:r w:rsidR="004A7B5C" w:rsidRPr="00954D37">
        <w:rPr>
          <w:snapToGrid/>
          <w:lang w:eastAsia="en-AU"/>
        </w:rPr>
        <w:t xml:space="preserve"> </w:t>
      </w:r>
      <w:r w:rsidR="002763CE" w:rsidRPr="00954D37">
        <w:rPr>
          <w:snapToGrid/>
          <w:lang w:eastAsia="en-AU"/>
        </w:rPr>
        <w:t>and the INVICTUS trial was undertaken</w:t>
      </w:r>
      <w:r w:rsidR="004A7B5C" w:rsidRPr="00954D37">
        <w:rPr>
          <w:snapToGrid/>
          <w:lang w:eastAsia="en-AU"/>
        </w:rPr>
        <w:t xml:space="preserve"> in a later line treatment setting</w:t>
      </w:r>
      <w:r w:rsidR="002763CE" w:rsidRPr="00954D37">
        <w:rPr>
          <w:snapToGrid/>
          <w:lang w:eastAsia="en-AU"/>
        </w:rPr>
        <w:t xml:space="preserve">, the extrapolation of </w:t>
      </w:r>
      <w:r w:rsidR="00D620B6" w:rsidRPr="00954D37">
        <w:rPr>
          <w:snapToGrid/>
          <w:lang w:eastAsia="en-AU"/>
        </w:rPr>
        <w:t>surviva</w:t>
      </w:r>
      <w:r w:rsidR="006A18AE" w:rsidRPr="00954D37">
        <w:rPr>
          <w:snapToGrid/>
          <w:lang w:eastAsia="en-AU"/>
        </w:rPr>
        <w:t xml:space="preserve">l gains </w:t>
      </w:r>
      <w:r w:rsidR="002763CE" w:rsidRPr="00954D37">
        <w:rPr>
          <w:snapToGrid/>
          <w:lang w:eastAsia="en-AU"/>
        </w:rPr>
        <w:t>was</w:t>
      </w:r>
      <w:r w:rsidR="00D620B6" w:rsidRPr="00954D37">
        <w:rPr>
          <w:snapToGrid/>
          <w:lang w:eastAsia="en-AU"/>
        </w:rPr>
        <w:t xml:space="preserve"> subject to </w:t>
      </w:r>
      <w:r w:rsidR="002763CE" w:rsidRPr="00954D37">
        <w:rPr>
          <w:snapToGrid/>
          <w:lang w:eastAsia="en-AU"/>
        </w:rPr>
        <w:t xml:space="preserve">considerable </w:t>
      </w:r>
      <w:r w:rsidR="00D620B6" w:rsidRPr="00954D37">
        <w:rPr>
          <w:snapToGrid/>
          <w:lang w:eastAsia="en-AU"/>
        </w:rPr>
        <w:t xml:space="preserve">uncertainty. The ESC </w:t>
      </w:r>
      <w:r w:rsidR="002763CE" w:rsidRPr="00954D37">
        <w:rPr>
          <w:snapToGrid/>
          <w:lang w:eastAsia="en-AU"/>
        </w:rPr>
        <w:t>noted</w:t>
      </w:r>
      <w:r w:rsidR="004A7B5C" w:rsidRPr="00954D37">
        <w:rPr>
          <w:snapToGrid/>
          <w:lang w:eastAsia="en-AU"/>
        </w:rPr>
        <w:t xml:space="preserve"> </w:t>
      </w:r>
      <w:r w:rsidR="00D620B6" w:rsidRPr="00954D37">
        <w:rPr>
          <w:snapToGrid/>
          <w:lang w:eastAsia="en-AU"/>
        </w:rPr>
        <w:t xml:space="preserve">that the </w:t>
      </w:r>
      <w:r w:rsidR="00083F05" w:rsidRPr="00954D37">
        <w:rPr>
          <w:snapToGrid/>
          <w:lang w:eastAsia="en-AU"/>
        </w:rPr>
        <w:t>model was highly sensitive to choice of OS extrapolation</w:t>
      </w:r>
      <w:r w:rsidR="00050AA0" w:rsidRPr="00954D37">
        <w:rPr>
          <w:snapToGrid/>
          <w:lang w:eastAsia="en-AU"/>
        </w:rPr>
        <w:t>.</w:t>
      </w:r>
      <w:r w:rsidR="00D620B6" w:rsidRPr="00954D37">
        <w:t xml:space="preserve"> </w:t>
      </w:r>
      <w:r w:rsidR="00D620B6" w:rsidRPr="00954D37">
        <w:rPr>
          <w:color w:val="000000" w:themeColor="text1"/>
        </w:rPr>
        <w:t>The</w:t>
      </w:r>
      <w:r w:rsidR="002763CE" w:rsidRPr="00954D37">
        <w:rPr>
          <w:color w:val="000000" w:themeColor="text1"/>
        </w:rPr>
        <w:t xml:space="preserve"> ESC considered</w:t>
      </w:r>
      <w:r w:rsidR="00D620B6" w:rsidRPr="00954D37">
        <w:rPr>
          <w:color w:val="000000" w:themeColor="text1"/>
        </w:rPr>
        <w:t xml:space="preserve"> that the least conservative (exponential) extrapolation model was selected for extrapolating OS</w:t>
      </w:r>
      <w:r w:rsidR="00902CF7" w:rsidRPr="00954D37">
        <w:rPr>
          <w:color w:val="000000" w:themeColor="text1"/>
        </w:rPr>
        <w:t xml:space="preserve"> (see Table 13</w:t>
      </w:r>
      <w:r w:rsidR="00D620B6" w:rsidRPr="00954D37">
        <w:rPr>
          <w:color w:val="000000" w:themeColor="text1"/>
        </w:rPr>
        <w:t>). The ESC also noted that flexible parametric models were reported, but the visual fit of these models was not presented.</w:t>
      </w:r>
    </w:p>
    <w:p w:rsidR="00662A40" w:rsidRPr="00200039" w:rsidRDefault="003B2D41" w:rsidP="00662A40">
      <w:pPr>
        <w:pStyle w:val="ListParagraph"/>
        <w:widowControl/>
        <w:numPr>
          <w:ilvl w:val="1"/>
          <w:numId w:val="2"/>
        </w:numPr>
        <w:rPr>
          <w:color w:val="000000" w:themeColor="text1"/>
        </w:rPr>
      </w:pPr>
      <w:r w:rsidRPr="00200039">
        <w:t>Review of the landmark PFS-</w:t>
      </w:r>
      <w:r w:rsidR="00662A40" w:rsidRPr="00200039">
        <w:t xml:space="preserve">BICR rates indicates that the submission’s selected </w:t>
      </w:r>
      <w:r w:rsidR="00902CF7" w:rsidRPr="00954D37">
        <w:t xml:space="preserve">parametric curves for the </w:t>
      </w:r>
      <w:r w:rsidR="00662A40" w:rsidRPr="00954D37">
        <w:t xml:space="preserve">base case PFS extrapolation </w:t>
      </w:r>
      <w:r w:rsidR="00902CF7" w:rsidRPr="00954D37">
        <w:t>produced the longest estimates of PFS</w:t>
      </w:r>
      <w:r w:rsidR="00662A40" w:rsidRPr="00954D37">
        <w:t xml:space="preserve">, but </w:t>
      </w:r>
      <w:r w:rsidR="00902CF7" w:rsidRPr="00954D37">
        <w:t>this</w:t>
      </w:r>
      <w:r w:rsidR="004F764B" w:rsidRPr="00954D37">
        <w:t xml:space="preserve"> favoured BSC </w:t>
      </w:r>
      <w:r w:rsidR="00D04C13" w:rsidRPr="00954D37">
        <w:t>(see</w:t>
      </w:r>
      <w:r w:rsidR="00902CF7" w:rsidRPr="00954D37">
        <w:rPr>
          <w:iCs/>
        </w:rPr>
        <w:t xml:space="preserve"> Table 13</w:t>
      </w:r>
      <w:r w:rsidR="00D04C13" w:rsidRPr="00954D37">
        <w:rPr>
          <w:iCs/>
        </w:rPr>
        <w:t>)</w:t>
      </w:r>
      <w:r w:rsidR="00662A40" w:rsidRPr="00954D37">
        <w:t>. This</w:t>
      </w:r>
      <w:r w:rsidR="00662A40" w:rsidRPr="00200039">
        <w:t xml:space="preserve"> was because:</w:t>
      </w:r>
    </w:p>
    <w:p w:rsidR="00662A40" w:rsidRPr="00200039" w:rsidRDefault="00662A40" w:rsidP="008F571B">
      <w:pPr>
        <w:pStyle w:val="ListParagraph"/>
        <w:numPr>
          <w:ilvl w:val="0"/>
          <w:numId w:val="4"/>
        </w:numPr>
        <w:ind w:left="1134" w:hanging="425"/>
      </w:pPr>
      <w:r w:rsidRPr="00200039">
        <w:t>Patients are assumed to continue ripretinib treatment until progression and then stop. A shorter PFS gain in the ripretinib arm means shorter time on treatment therefore lower costs; and</w:t>
      </w:r>
    </w:p>
    <w:p w:rsidR="00662A40" w:rsidRPr="00200039" w:rsidRDefault="00662A40" w:rsidP="008F571B">
      <w:pPr>
        <w:pStyle w:val="ListParagraph"/>
        <w:numPr>
          <w:ilvl w:val="0"/>
          <w:numId w:val="4"/>
        </w:numPr>
        <w:ind w:left="1134" w:hanging="425"/>
      </w:pPr>
      <w:r w:rsidRPr="00200039">
        <w:t xml:space="preserve">The utility difference between PF and PD is negligible. Without any corresponding change in OS, there was no tangible difference in QALY. </w:t>
      </w:r>
    </w:p>
    <w:p w:rsidR="00662A40" w:rsidRPr="00C30801" w:rsidRDefault="00662A40" w:rsidP="00C30801">
      <w:pPr>
        <w:widowControl/>
        <w:ind w:left="709"/>
        <w:rPr>
          <w:color w:val="000000" w:themeColor="text1"/>
        </w:rPr>
      </w:pPr>
      <w:r w:rsidRPr="00200039">
        <w:t>The ICER was sensitive to choice of PFS extrapolation. Using the Weibull function for PFS extrapolation in the ripretinib arm, the ICER decreases by 32%.</w:t>
      </w:r>
    </w:p>
    <w:p w:rsidR="00662A40" w:rsidRPr="00662A40" w:rsidRDefault="00662A40" w:rsidP="00662A40">
      <w:pPr>
        <w:widowControl/>
        <w:rPr>
          <w:color w:val="000000" w:themeColor="text1"/>
        </w:rPr>
      </w:pPr>
    </w:p>
    <w:p w:rsidR="00083F05" w:rsidRPr="00E0121C" w:rsidRDefault="00081210" w:rsidP="00083F05">
      <w:pPr>
        <w:pStyle w:val="ListParagraph"/>
        <w:widowControl/>
        <w:numPr>
          <w:ilvl w:val="1"/>
          <w:numId w:val="2"/>
        </w:numPr>
        <w:rPr>
          <w:color w:val="000000" w:themeColor="text1"/>
        </w:rPr>
      </w:pPr>
      <w:r>
        <w:t>Table 12</w:t>
      </w:r>
      <w:r w:rsidR="00083F05" w:rsidRPr="00E0121C">
        <w:t xml:space="preserve"> presents</w:t>
      </w:r>
      <w:r w:rsidR="00083F05" w:rsidRPr="00E0121C">
        <w:rPr>
          <w:color w:val="000000" w:themeColor="text1"/>
        </w:rPr>
        <w:t xml:space="preserve"> the results of the submissions’ economic evaluation. </w:t>
      </w:r>
    </w:p>
    <w:p w:rsidR="00083F05" w:rsidRPr="00D33691" w:rsidRDefault="00083F05" w:rsidP="00083F05">
      <w:pPr>
        <w:keepNext/>
        <w:keepLines/>
        <w:rPr>
          <w:rStyle w:val="CommentReference"/>
        </w:rPr>
      </w:pPr>
      <w:bookmarkStart w:id="28" w:name="_Ref58430329"/>
      <w:r>
        <w:rPr>
          <w:rStyle w:val="CommentReference"/>
        </w:rPr>
        <w:lastRenderedPageBreak/>
        <w:t xml:space="preserve">Table </w:t>
      </w:r>
      <w:r w:rsidR="00081210">
        <w:rPr>
          <w:rStyle w:val="CommentReference"/>
        </w:rPr>
        <w:t>1</w:t>
      </w:r>
      <w:bookmarkEnd w:id="28"/>
      <w:r w:rsidR="00081210">
        <w:rPr>
          <w:rStyle w:val="CommentReference"/>
        </w:rPr>
        <w:t>2</w:t>
      </w:r>
      <w:r w:rsidRPr="001222FC">
        <w:rPr>
          <w:rStyle w:val="CommentReference"/>
        </w:rPr>
        <w:t xml:space="preserve">: </w:t>
      </w:r>
      <w:r w:rsidRPr="00D33691">
        <w:rPr>
          <w:rStyle w:val="CommentReference"/>
        </w:rPr>
        <w:t>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083F05" w:rsidRPr="00D33691" w:rsidTr="00994A71">
        <w:trPr>
          <w:tblHeader/>
        </w:trPr>
        <w:tc>
          <w:tcPr>
            <w:tcW w:w="1529" w:type="pct"/>
            <w:vAlign w:val="center"/>
          </w:tcPr>
          <w:p w:rsidR="00083F05" w:rsidRPr="00D33691" w:rsidRDefault="00083F05" w:rsidP="00994A71">
            <w:pPr>
              <w:pStyle w:val="Tabletext"/>
              <w:keepNext/>
              <w:keepLines/>
              <w:rPr>
                <w:b/>
              </w:rPr>
            </w:pPr>
            <w:r w:rsidRPr="00D33691">
              <w:rPr>
                <w:b/>
              </w:rPr>
              <w:t>Component</w:t>
            </w:r>
          </w:p>
        </w:tc>
        <w:tc>
          <w:tcPr>
            <w:tcW w:w="1359" w:type="pct"/>
            <w:vAlign w:val="center"/>
          </w:tcPr>
          <w:p w:rsidR="00083F05" w:rsidRPr="00D33691" w:rsidRDefault="00083F05" w:rsidP="00994A71">
            <w:pPr>
              <w:pStyle w:val="Tabletext"/>
              <w:keepNext/>
              <w:keepLines/>
              <w:jc w:val="center"/>
              <w:rPr>
                <w:b/>
              </w:rPr>
            </w:pPr>
            <w:r w:rsidRPr="00D33691">
              <w:rPr>
                <w:b/>
              </w:rPr>
              <w:t>Ripretinib</w:t>
            </w:r>
          </w:p>
        </w:tc>
        <w:tc>
          <w:tcPr>
            <w:tcW w:w="1274" w:type="pct"/>
            <w:vAlign w:val="center"/>
          </w:tcPr>
          <w:p w:rsidR="00083F05" w:rsidRPr="00D33691" w:rsidRDefault="00083F05" w:rsidP="00994A71">
            <w:pPr>
              <w:pStyle w:val="Tabletext"/>
              <w:keepNext/>
              <w:keepLines/>
              <w:jc w:val="center"/>
              <w:rPr>
                <w:b/>
              </w:rPr>
            </w:pPr>
            <w:r w:rsidRPr="00D33691">
              <w:rPr>
                <w:b/>
              </w:rPr>
              <w:t>BSC</w:t>
            </w:r>
          </w:p>
        </w:tc>
        <w:tc>
          <w:tcPr>
            <w:tcW w:w="838" w:type="pct"/>
            <w:vAlign w:val="center"/>
          </w:tcPr>
          <w:p w:rsidR="00083F05" w:rsidRPr="00D33691" w:rsidRDefault="00083F05" w:rsidP="00994A71">
            <w:pPr>
              <w:pStyle w:val="Tabletext"/>
              <w:keepNext/>
              <w:keepLines/>
              <w:jc w:val="center"/>
              <w:rPr>
                <w:b/>
              </w:rPr>
            </w:pPr>
            <w:r w:rsidRPr="00D33691">
              <w:rPr>
                <w:b/>
              </w:rPr>
              <w:t>Increment</w:t>
            </w:r>
          </w:p>
        </w:tc>
      </w:tr>
      <w:tr w:rsidR="00083F05" w:rsidRPr="00D33691" w:rsidTr="00994A71">
        <w:tc>
          <w:tcPr>
            <w:tcW w:w="1529" w:type="pct"/>
            <w:vAlign w:val="center"/>
          </w:tcPr>
          <w:p w:rsidR="00083F05" w:rsidRPr="00D33691" w:rsidRDefault="00083F05" w:rsidP="00994A71">
            <w:pPr>
              <w:pStyle w:val="Tabletext"/>
              <w:keepNext/>
              <w:keepLines/>
              <w:rPr>
                <w:rFonts w:ascii="Times" w:hAnsi="Times"/>
              </w:rPr>
            </w:pPr>
            <w:r w:rsidRPr="00D33691">
              <w:t>Costs</w:t>
            </w:r>
          </w:p>
        </w:tc>
        <w:tc>
          <w:tcPr>
            <w:tcW w:w="1359" w:type="pct"/>
            <w:vAlign w:val="center"/>
          </w:tcPr>
          <w:p w:rsidR="00083F05" w:rsidRPr="00D33691" w:rsidRDefault="00083F05" w:rsidP="00994A71">
            <w:pPr>
              <w:pStyle w:val="Tabletext"/>
              <w:keepNext/>
              <w:keepLines/>
              <w:jc w:val="center"/>
            </w:pPr>
            <w:r w:rsidRPr="00D33691">
              <w:t>$</w:t>
            </w:r>
            <w:r w:rsidR="00E45AE8">
              <w:rPr>
                <w:noProof/>
                <w:color w:val="000000"/>
                <w:highlight w:val="black"/>
              </w:rPr>
              <w:t>''''''''''''''''''</w:t>
            </w:r>
          </w:p>
        </w:tc>
        <w:tc>
          <w:tcPr>
            <w:tcW w:w="1274" w:type="pct"/>
            <w:vAlign w:val="center"/>
          </w:tcPr>
          <w:p w:rsidR="00083F05" w:rsidRPr="00D33691" w:rsidRDefault="00083F05" w:rsidP="00994A71">
            <w:pPr>
              <w:pStyle w:val="Tabletext"/>
              <w:keepNext/>
              <w:keepLines/>
              <w:jc w:val="center"/>
              <w:rPr>
                <w:rFonts w:ascii="Times" w:hAnsi="Times"/>
              </w:rPr>
            </w:pPr>
            <w:r w:rsidRPr="00D33691">
              <w:t>$</w:t>
            </w:r>
            <w:r w:rsidR="00E45AE8">
              <w:rPr>
                <w:noProof/>
                <w:color w:val="000000"/>
                <w:highlight w:val="black"/>
              </w:rPr>
              <w:t>''''''''''''''''''</w:t>
            </w:r>
          </w:p>
        </w:tc>
        <w:tc>
          <w:tcPr>
            <w:tcW w:w="838" w:type="pct"/>
            <w:vAlign w:val="center"/>
          </w:tcPr>
          <w:p w:rsidR="00083F05" w:rsidRPr="00D33691" w:rsidRDefault="00083F05" w:rsidP="00994A71">
            <w:pPr>
              <w:pStyle w:val="Tabletext"/>
              <w:keepNext/>
              <w:keepLines/>
              <w:jc w:val="center"/>
              <w:rPr>
                <w:rFonts w:ascii="Times" w:hAnsi="Times"/>
              </w:rPr>
            </w:pPr>
            <w:r w:rsidRPr="00D33691">
              <w:t>$</w:t>
            </w:r>
            <w:r w:rsidR="00E45AE8">
              <w:rPr>
                <w:noProof/>
                <w:color w:val="000000"/>
                <w:highlight w:val="black"/>
              </w:rPr>
              <w:t>''''''''''''''''</w:t>
            </w:r>
          </w:p>
        </w:tc>
      </w:tr>
      <w:tr w:rsidR="00083F05" w:rsidRPr="00D33691" w:rsidTr="00994A71">
        <w:tc>
          <w:tcPr>
            <w:tcW w:w="1529" w:type="pct"/>
            <w:vAlign w:val="center"/>
          </w:tcPr>
          <w:p w:rsidR="00083F05" w:rsidRPr="00D33691" w:rsidRDefault="00083F05" w:rsidP="00994A71">
            <w:pPr>
              <w:pStyle w:val="Tabletext"/>
              <w:keepNext/>
              <w:keepLines/>
            </w:pPr>
            <w:r>
              <w:t>LY</w:t>
            </w:r>
          </w:p>
        </w:tc>
        <w:tc>
          <w:tcPr>
            <w:tcW w:w="1359" w:type="pct"/>
            <w:vAlign w:val="center"/>
          </w:tcPr>
          <w:p w:rsidR="00083F05" w:rsidRPr="00D33691" w:rsidRDefault="00083F05" w:rsidP="00994A71">
            <w:pPr>
              <w:pStyle w:val="Tabletext"/>
              <w:keepNext/>
              <w:keepLines/>
              <w:jc w:val="center"/>
            </w:pPr>
            <w:r w:rsidRPr="00D33691">
              <w:t>2.036</w:t>
            </w:r>
          </w:p>
        </w:tc>
        <w:tc>
          <w:tcPr>
            <w:tcW w:w="1274" w:type="pct"/>
            <w:vAlign w:val="center"/>
          </w:tcPr>
          <w:p w:rsidR="00083F05" w:rsidRPr="00D33691" w:rsidRDefault="00083F05" w:rsidP="00994A71">
            <w:pPr>
              <w:pStyle w:val="Tabletext"/>
              <w:keepNext/>
              <w:keepLines/>
              <w:jc w:val="center"/>
            </w:pPr>
            <w:r w:rsidRPr="00D33691">
              <w:t>0.889</w:t>
            </w:r>
          </w:p>
        </w:tc>
        <w:tc>
          <w:tcPr>
            <w:tcW w:w="838" w:type="pct"/>
            <w:vAlign w:val="center"/>
          </w:tcPr>
          <w:p w:rsidR="00083F05" w:rsidRPr="00D33691" w:rsidRDefault="00083F05" w:rsidP="00994A71">
            <w:pPr>
              <w:pStyle w:val="Tabletext"/>
              <w:keepNext/>
              <w:keepLines/>
              <w:jc w:val="center"/>
            </w:pPr>
            <w:r w:rsidRPr="00D33691">
              <w:t>1.146</w:t>
            </w:r>
          </w:p>
        </w:tc>
      </w:tr>
      <w:tr w:rsidR="00083F05" w:rsidRPr="00D33691" w:rsidTr="00994A71">
        <w:tc>
          <w:tcPr>
            <w:tcW w:w="1529" w:type="pct"/>
            <w:vAlign w:val="center"/>
          </w:tcPr>
          <w:p w:rsidR="00083F05" w:rsidRPr="00D33691" w:rsidRDefault="00083F05" w:rsidP="00994A71">
            <w:pPr>
              <w:pStyle w:val="Tabletext"/>
              <w:keepNext/>
              <w:keepLines/>
              <w:rPr>
                <w:rFonts w:ascii="Times" w:hAnsi="Times"/>
              </w:rPr>
            </w:pPr>
            <w:r w:rsidRPr="00D33691">
              <w:t>QALYs</w:t>
            </w:r>
          </w:p>
        </w:tc>
        <w:tc>
          <w:tcPr>
            <w:tcW w:w="1359" w:type="pct"/>
            <w:vAlign w:val="center"/>
          </w:tcPr>
          <w:p w:rsidR="00083F05" w:rsidRPr="00D33691" w:rsidRDefault="00083F05" w:rsidP="00994A71">
            <w:pPr>
              <w:pStyle w:val="Tabletext"/>
              <w:keepNext/>
              <w:keepLines/>
              <w:jc w:val="center"/>
              <w:rPr>
                <w:rFonts w:ascii="Times" w:hAnsi="Times"/>
              </w:rPr>
            </w:pPr>
            <w:r>
              <w:t>1.512</w:t>
            </w:r>
          </w:p>
        </w:tc>
        <w:tc>
          <w:tcPr>
            <w:tcW w:w="1274" w:type="pct"/>
            <w:vAlign w:val="center"/>
          </w:tcPr>
          <w:p w:rsidR="00083F05" w:rsidRPr="00D33691" w:rsidRDefault="00083F05" w:rsidP="00994A71">
            <w:pPr>
              <w:pStyle w:val="Tabletext"/>
              <w:keepNext/>
              <w:keepLines/>
              <w:jc w:val="center"/>
              <w:rPr>
                <w:rFonts w:ascii="Times" w:hAnsi="Times"/>
              </w:rPr>
            </w:pPr>
            <w:r>
              <w:t>0.656</w:t>
            </w:r>
          </w:p>
        </w:tc>
        <w:tc>
          <w:tcPr>
            <w:tcW w:w="838" w:type="pct"/>
            <w:vAlign w:val="center"/>
          </w:tcPr>
          <w:p w:rsidR="00083F05" w:rsidRPr="00EC5750" w:rsidRDefault="00083F05" w:rsidP="00EC5750">
            <w:pPr>
              <w:pStyle w:val="Tabletext"/>
              <w:keepNext/>
              <w:keepLines/>
              <w:jc w:val="center"/>
              <w:rPr>
                <w:vertAlign w:val="superscript"/>
              </w:rPr>
            </w:pPr>
            <w:r>
              <w:t>0.856</w:t>
            </w:r>
          </w:p>
        </w:tc>
      </w:tr>
      <w:tr w:rsidR="00083F05" w:rsidRPr="00D33691" w:rsidTr="00994A71">
        <w:tc>
          <w:tcPr>
            <w:tcW w:w="4162" w:type="pct"/>
            <w:gridSpan w:val="3"/>
            <w:vAlign w:val="center"/>
          </w:tcPr>
          <w:p w:rsidR="00083F05" w:rsidRPr="00D33691" w:rsidRDefault="00083F05" w:rsidP="00994A71">
            <w:pPr>
              <w:pStyle w:val="Tabletext"/>
              <w:keepNext/>
              <w:keepLines/>
              <w:rPr>
                <w:b/>
              </w:rPr>
            </w:pPr>
            <w:r w:rsidRPr="00D33691">
              <w:rPr>
                <w:b/>
              </w:rPr>
              <w:t xml:space="preserve">Incremental cost/extra </w:t>
            </w:r>
            <w:r>
              <w:rPr>
                <w:b/>
              </w:rPr>
              <w:t>LY</w:t>
            </w:r>
            <w:r w:rsidRPr="00D33691">
              <w:rPr>
                <w:b/>
              </w:rPr>
              <w:t xml:space="preserve"> gained</w:t>
            </w:r>
          </w:p>
        </w:tc>
        <w:tc>
          <w:tcPr>
            <w:tcW w:w="838" w:type="pct"/>
            <w:vAlign w:val="center"/>
          </w:tcPr>
          <w:p w:rsidR="00083F05" w:rsidRPr="00200039" w:rsidRDefault="00083F05" w:rsidP="00994A71">
            <w:pPr>
              <w:pStyle w:val="Tabletext"/>
              <w:keepNext/>
              <w:keepLines/>
              <w:jc w:val="center"/>
              <w:rPr>
                <w:b/>
              </w:rPr>
            </w:pPr>
            <w:r w:rsidRPr="00200039">
              <w:rPr>
                <w:b/>
              </w:rPr>
              <w:t>$</w:t>
            </w:r>
            <w:r w:rsidR="00E45AE8">
              <w:rPr>
                <w:b/>
                <w:noProof/>
                <w:color w:val="000000"/>
                <w:highlight w:val="black"/>
              </w:rPr>
              <w:t>''''''''''''''</w:t>
            </w:r>
            <w:r w:rsidR="00200039" w:rsidRPr="00200039">
              <w:rPr>
                <w:b/>
              </w:rPr>
              <w:t>*</w:t>
            </w:r>
            <w:r w:rsidR="00EC5750">
              <w:rPr>
                <w:b/>
                <w:vertAlign w:val="superscript"/>
              </w:rPr>
              <w:t>,</w:t>
            </w:r>
            <w:r w:rsidR="00EC5750">
              <w:rPr>
                <w:vertAlign w:val="superscript"/>
              </w:rPr>
              <w:t>1</w:t>
            </w:r>
          </w:p>
        </w:tc>
      </w:tr>
      <w:tr w:rsidR="00083F05" w:rsidRPr="00D33691" w:rsidTr="00994A71">
        <w:tc>
          <w:tcPr>
            <w:tcW w:w="4162" w:type="pct"/>
            <w:gridSpan w:val="3"/>
            <w:vAlign w:val="center"/>
          </w:tcPr>
          <w:p w:rsidR="00083F05" w:rsidRPr="00D33691" w:rsidRDefault="00083F05" w:rsidP="00994A71">
            <w:pPr>
              <w:pStyle w:val="Tabletext"/>
              <w:keepNext/>
              <w:keepLines/>
              <w:rPr>
                <w:rFonts w:ascii="Times" w:hAnsi="Times"/>
                <w:b/>
                <w:snapToGrid w:val="0"/>
              </w:rPr>
            </w:pPr>
            <w:r w:rsidRPr="00D33691">
              <w:rPr>
                <w:b/>
              </w:rPr>
              <w:t>Incremental cost/extra QALY gained</w:t>
            </w:r>
          </w:p>
        </w:tc>
        <w:tc>
          <w:tcPr>
            <w:tcW w:w="838" w:type="pct"/>
            <w:vAlign w:val="center"/>
          </w:tcPr>
          <w:p w:rsidR="00083F05" w:rsidRPr="00D33691" w:rsidRDefault="00083F05" w:rsidP="00994A71">
            <w:pPr>
              <w:pStyle w:val="Tabletext"/>
              <w:keepNext/>
              <w:keepLines/>
              <w:jc w:val="center"/>
              <w:rPr>
                <w:rFonts w:ascii="Times" w:hAnsi="Times"/>
                <w:b/>
              </w:rPr>
            </w:pPr>
            <w:r w:rsidRPr="00D33691">
              <w:rPr>
                <w:b/>
              </w:rPr>
              <w:t>$</w:t>
            </w:r>
            <w:r w:rsidR="00E45AE8">
              <w:rPr>
                <w:b/>
                <w:noProof/>
                <w:color w:val="000000"/>
                <w:highlight w:val="black"/>
              </w:rPr>
              <w:t>''''''''''''''</w:t>
            </w:r>
            <w:r w:rsidR="00EC5750">
              <w:rPr>
                <w:vertAlign w:val="superscript"/>
              </w:rPr>
              <w:t>2</w:t>
            </w:r>
          </w:p>
        </w:tc>
      </w:tr>
    </w:tbl>
    <w:p w:rsidR="00083F05" w:rsidRDefault="00083F05" w:rsidP="00083F05">
      <w:pPr>
        <w:pStyle w:val="TableFooter"/>
        <w:keepNext/>
        <w:keepLines/>
      </w:pPr>
      <w:r>
        <w:t xml:space="preserve">LY = life years, </w:t>
      </w:r>
      <w:r w:rsidRPr="00D33691">
        <w:t>QALY = quality adjusted life-year</w:t>
      </w:r>
    </w:p>
    <w:p w:rsidR="00083F05" w:rsidRDefault="00200039" w:rsidP="00083F05">
      <w:pPr>
        <w:pStyle w:val="TableFooter"/>
        <w:keepNext/>
        <w:keepLines/>
      </w:pPr>
      <w:r>
        <w:t>*I</w:t>
      </w:r>
      <w:r w:rsidR="00083F05">
        <w:t>ndicate</w:t>
      </w:r>
      <w:r>
        <w:t>s</w:t>
      </w:r>
      <w:r w:rsidR="00083F05">
        <w:t xml:space="preserve"> values calculated during evaluation</w:t>
      </w:r>
    </w:p>
    <w:p w:rsidR="00EC5750" w:rsidRDefault="00083F05" w:rsidP="00083F05">
      <w:pPr>
        <w:pStyle w:val="TableFooter"/>
        <w:keepNext/>
        <w:keepLines/>
      </w:pPr>
      <w:r w:rsidRPr="00D33691">
        <w:t>Source: Table 3-26 of the submission</w:t>
      </w:r>
      <w:r>
        <w:t>, QINLOCK_Cost_Effectiveness_Model_Nov2020.xlsm</w:t>
      </w:r>
      <w:r w:rsidRPr="00D33691">
        <w:t>.</w:t>
      </w:r>
    </w:p>
    <w:p w:rsidR="00EC5750" w:rsidRPr="009868C4" w:rsidRDefault="00EC5750" w:rsidP="00EC5750">
      <w:pPr>
        <w:pStyle w:val="TableFigureFooter"/>
        <w:spacing w:after="0"/>
        <w:contextualSpacing w:val="0"/>
      </w:pPr>
      <w:r w:rsidRPr="009868C4">
        <w:rPr>
          <w:i/>
        </w:rPr>
        <w:t>The redacted values correspond to the following ranges</w:t>
      </w:r>
      <w:r>
        <w:rPr>
          <w:i/>
        </w:rPr>
        <w:t xml:space="preserve">: </w:t>
      </w:r>
    </w:p>
    <w:p w:rsidR="00EC5750" w:rsidRPr="00EC5750" w:rsidRDefault="00EC5750" w:rsidP="00EC5750">
      <w:pPr>
        <w:pStyle w:val="TableFooter"/>
        <w:keepNext/>
        <w:keepLines/>
        <w:rPr>
          <w:i/>
        </w:rPr>
      </w:pPr>
      <w:r>
        <w:rPr>
          <w:i/>
          <w:vertAlign w:val="superscript"/>
        </w:rPr>
        <w:t>1</w:t>
      </w:r>
      <w:r w:rsidR="00083F05" w:rsidRPr="00EC5750">
        <w:rPr>
          <w:i/>
        </w:rPr>
        <w:t xml:space="preserve"> </w:t>
      </w:r>
      <w:r w:rsidRPr="00EC5750">
        <w:rPr>
          <w:i/>
        </w:rPr>
        <w:t xml:space="preserve">$55,000 to &lt; $75,000 </w:t>
      </w:r>
    </w:p>
    <w:p w:rsidR="00083F05" w:rsidRPr="00EC5750" w:rsidRDefault="00EC5750" w:rsidP="00EC5750">
      <w:pPr>
        <w:pStyle w:val="TableFooter"/>
        <w:keepNext/>
        <w:keepLines/>
        <w:rPr>
          <w:i/>
        </w:rPr>
      </w:pPr>
      <w:r>
        <w:rPr>
          <w:i/>
          <w:vertAlign w:val="superscript"/>
        </w:rPr>
        <w:t xml:space="preserve">2 </w:t>
      </w:r>
      <w:r w:rsidRPr="00EC5750">
        <w:rPr>
          <w:i/>
        </w:rPr>
        <w:t>$75,000 to &lt; $95,000</w:t>
      </w:r>
    </w:p>
    <w:p w:rsidR="00083F05" w:rsidRPr="00D110BD" w:rsidRDefault="00083F05" w:rsidP="00083F05">
      <w:pPr>
        <w:keepNext/>
        <w:widowControl/>
      </w:pPr>
    </w:p>
    <w:p w:rsidR="00BA0DCA" w:rsidRPr="00200039" w:rsidRDefault="00BA0DCA" w:rsidP="00BA0DCA">
      <w:pPr>
        <w:pStyle w:val="ListParagraph"/>
        <w:widowControl/>
        <w:numPr>
          <w:ilvl w:val="1"/>
          <w:numId w:val="2"/>
        </w:numPr>
      </w:pPr>
      <w:r w:rsidRPr="00200039">
        <w:rPr>
          <w:iCs/>
        </w:rPr>
        <w:t xml:space="preserve">The incremental treatment cost and therefore the ICER was substantially underestimated due to the inappropriate assumption of post progression ripretinib use in the BSC arm. </w:t>
      </w:r>
    </w:p>
    <w:p w:rsidR="00083F05" w:rsidRPr="00200039" w:rsidRDefault="00083F05" w:rsidP="00083F05">
      <w:pPr>
        <w:pStyle w:val="ListParagraph"/>
        <w:widowControl/>
        <w:numPr>
          <w:ilvl w:val="1"/>
          <w:numId w:val="2"/>
        </w:numPr>
      </w:pPr>
      <w:r w:rsidRPr="00200039">
        <w:t xml:space="preserve">The submission stated that deterministic one-way analyses were presented as well as probabilistic sensitivity analyses. The presented </w:t>
      </w:r>
      <w:r w:rsidR="00F81D5A" w:rsidRPr="00200039">
        <w:t>one-way</w:t>
      </w:r>
      <w:r w:rsidRPr="00200039">
        <w:t xml:space="preserve"> sensitivity analyses were poorly described and did not present incremental costs or incremental QALYs. </w:t>
      </w:r>
    </w:p>
    <w:p w:rsidR="00083F05" w:rsidRPr="00200039" w:rsidRDefault="00083F05" w:rsidP="00081210">
      <w:pPr>
        <w:pStyle w:val="ListParagraph"/>
        <w:widowControl/>
        <w:numPr>
          <w:ilvl w:val="1"/>
          <w:numId w:val="2"/>
        </w:numPr>
      </w:pPr>
      <w:r w:rsidRPr="00200039">
        <w:t xml:space="preserve">During the evaluation, </w:t>
      </w:r>
      <w:r w:rsidR="00F81D5A" w:rsidRPr="00200039">
        <w:t>one-way</w:t>
      </w:r>
      <w:r w:rsidRPr="00200039">
        <w:t xml:space="preserve"> sensitivity analys</w:t>
      </w:r>
      <w:r w:rsidR="00BA0DCA" w:rsidRPr="00200039">
        <w:t xml:space="preserve">es were conducted on key inputs. These are presented in </w:t>
      </w:r>
      <w:r w:rsidR="00081210">
        <w:t>Table 13</w:t>
      </w:r>
      <w:r w:rsidR="00BA0DCA" w:rsidRPr="00200039">
        <w:t>.</w:t>
      </w:r>
      <w:r w:rsidRPr="00200039">
        <w:t xml:space="preserve"> </w:t>
      </w:r>
    </w:p>
    <w:p w:rsidR="00083F05" w:rsidRPr="00D33691" w:rsidRDefault="00083F05" w:rsidP="00083F05">
      <w:pPr>
        <w:keepNext/>
        <w:keepLines/>
        <w:rPr>
          <w:rStyle w:val="CommentReference"/>
        </w:rPr>
      </w:pPr>
      <w:bookmarkStart w:id="29" w:name="_Ref58431003"/>
      <w:r>
        <w:rPr>
          <w:rStyle w:val="CommentReference"/>
        </w:rPr>
        <w:lastRenderedPageBreak/>
        <w:t xml:space="preserve">Table </w:t>
      </w:r>
      <w:bookmarkEnd w:id="29"/>
      <w:r w:rsidR="00081210">
        <w:rPr>
          <w:rStyle w:val="CommentReference"/>
        </w:rPr>
        <w:t>13</w:t>
      </w:r>
      <w:r>
        <w:rPr>
          <w:rStyle w:val="CommentReference"/>
        </w:rPr>
        <w:t xml:space="preserve">: </w:t>
      </w:r>
      <w:r w:rsidRPr="00D33691">
        <w:rPr>
          <w:rStyle w:val="CommentReference"/>
        </w:rPr>
        <w:t xml:space="preserve">Results of </w:t>
      </w:r>
      <w:r>
        <w:rPr>
          <w:rStyle w:val="CommentReference"/>
        </w:rPr>
        <w:t xml:space="preserve">key </w:t>
      </w:r>
      <w:r w:rsidRPr="00D33691">
        <w:rPr>
          <w:rStyle w:val="CommentReference"/>
        </w:rPr>
        <w:t>sensitivity analyses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1276"/>
        <w:gridCol w:w="1276"/>
        <w:gridCol w:w="1134"/>
        <w:gridCol w:w="992"/>
      </w:tblGrid>
      <w:tr w:rsidR="00083F05" w:rsidRPr="00D33691" w:rsidTr="00621DD1">
        <w:trPr>
          <w:trHeight w:val="20"/>
          <w:tblHeader/>
        </w:trPr>
        <w:tc>
          <w:tcPr>
            <w:tcW w:w="4531" w:type="dxa"/>
          </w:tcPr>
          <w:p w:rsidR="00083F05" w:rsidRPr="0098760F" w:rsidRDefault="00083F05" w:rsidP="00994A71">
            <w:pPr>
              <w:pStyle w:val="Tabletext"/>
              <w:keepNext/>
              <w:keepLines/>
              <w:tabs>
                <w:tab w:val="left" w:pos="142"/>
              </w:tabs>
              <w:rPr>
                <w:b/>
              </w:rPr>
            </w:pPr>
            <w:r w:rsidRPr="0098760F">
              <w:rPr>
                <w:b/>
              </w:rPr>
              <w:t>Analyses</w:t>
            </w:r>
          </w:p>
        </w:tc>
        <w:tc>
          <w:tcPr>
            <w:tcW w:w="1276" w:type="dxa"/>
          </w:tcPr>
          <w:p w:rsidR="00083F05" w:rsidRPr="0098760F" w:rsidRDefault="00083F05" w:rsidP="00994A71">
            <w:pPr>
              <w:pStyle w:val="Tabletext"/>
              <w:keepNext/>
              <w:keepLines/>
              <w:jc w:val="center"/>
              <w:rPr>
                <w:b/>
              </w:rPr>
            </w:pPr>
            <w:r w:rsidRPr="0098760F">
              <w:rPr>
                <w:b/>
              </w:rPr>
              <w:t>Incremental cost</w:t>
            </w:r>
          </w:p>
        </w:tc>
        <w:tc>
          <w:tcPr>
            <w:tcW w:w="1276" w:type="dxa"/>
          </w:tcPr>
          <w:p w:rsidR="00083F05" w:rsidRPr="0098760F" w:rsidRDefault="00083F05" w:rsidP="00994A71">
            <w:pPr>
              <w:pStyle w:val="Tabletext"/>
              <w:keepNext/>
              <w:keepLines/>
              <w:jc w:val="center"/>
              <w:rPr>
                <w:b/>
              </w:rPr>
            </w:pPr>
            <w:r w:rsidRPr="0098760F">
              <w:rPr>
                <w:b/>
              </w:rPr>
              <w:t>Incremental QALY</w:t>
            </w:r>
          </w:p>
        </w:tc>
        <w:tc>
          <w:tcPr>
            <w:tcW w:w="1134" w:type="dxa"/>
          </w:tcPr>
          <w:p w:rsidR="00083F05" w:rsidRPr="0098760F" w:rsidRDefault="00083F05" w:rsidP="00994A71">
            <w:pPr>
              <w:pStyle w:val="Tabletext"/>
              <w:keepNext/>
              <w:keepLines/>
              <w:jc w:val="center"/>
              <w:rPr>
                <w:b/>
              </w:rPr>
            </w:pPr>
            <w:r w:rsidRPr="0098760F">
              <w:rPr>
                <w:b/>
              </w:rPr>
              <w:t>ICER</w:t>
            </w:r>
          </w:p>
        </w:tc>
        <w:tc>
          <w:tcPr>
            <w:tcW w:w="992" w:type="dxa"/>
          </w:tcPr>
          <w:p w:rsidR="00083F05" w:rsidRPr="0098760F" w:rsidRDefault="00F81D5A" w:rsidP="00F81D5A">
            <w:pPr>
              <w:pStyle w:val="Tabletext"/>
              <w:keepNext/>
              <w:keepLines/>
              <w:jc w:val="center"/>
              <w:rPr>
                <w:b/>
              </w:rPr>
            </w:pPr>
            <w:r>
              <w:rPr>
                <w:b/>
              </w:rPr>
              <w:t xml:space="preserve">%Δ </w:t>
            </w:r>
            <w:r w:rsidR="00083F05" w:rsidRPr="0098760F">
              <w:rPr>
                <w:b/>
              </w:rPr>
              <w:t>from base</w:t>
            </w:r>
            <w:r>
              <w:rPr>
                <w:b/>
              </w:rPr>
              <w:t xml:space="preserve"> </w:t>
            </w:r>
            <w:r w:rsidR="00083F05" w:rsidRPr="0098760F">
              <w:rPr>
                <w:b/>
              </w:rPr>
              <w:t>case</w:t>
            </w:r>
          </w:p>
        </w:tc>
      </w:tr>
      <w:tr w:rsidR="00083F05" w:rsidRPr="00D33691" w:rsidTr="00621DD1">
        <w:trPr>
          <w:trHeight w:val="20"/>
        </w:trPr>
        <w:tc>
          <w:tcPr>
            <w:tcW w:w="4531" w:type="dxa"/>
            <w:tcBorders>
              <w:bottom w:val="single" w:sz="4" w:space="0" w:color="auto"/>
            </w:tcBorders>
          </w:tcPr>
          <w:p w:rsidR="00083F05" w:rsidRPr="0098760F" w:rsidRDefault="00083F05" w:rsidP="00994A71">
            <w:pPr>
              <w:pStyle w:val="Tabletext"/>
              <w:keepNext/>
              <w:keepLines/>
              <w:tabs>
                <w:tab w:val="left" w:pos="142"/>
              </w:tabs>
              <w:rPr>
                <w:b/>
              </w:rPr>
            </w:pPr>
            <w:r w:rsidRPr="0098760F">
              <w:rPr>
                <w:b/>
              </w:rPr>
              <w:t>Base case</w:t>
            </w:r>
          </w:p>
        </w:tc>
        <w:tc>
          <w:tcPr>
            <w:tcW w:w="1276" w:type="dxa"/>
            <w:tcBorders>
              <w:bottom w:val="single" w:sz="4" w:space="0" w:color="auto"/>
            </w:tcBorders>
          </w:tcPr>
          <w:p w:rsidR="00083F05" w:rsidRPr="00E45AE8" w:rsidRDefault="00083F05" w:rsidP="00994A71">
            <w:pPr>
              <w:pStyle w:val="Tabletext"/>
              <w:keepNext/>
              <w:keepLines/>
              <w:jc w:val="center"/>
              <w:rPr>
                <w:b/>
              </w:rPr>
            </w:pPr>
            <w:r w:rsidRPr="00EC5750">
              <w:rPr>
                <w:b/>
              </w:rPr>
              <w:t>$</w:t>
            </w:r>
            <w:r w:rsidR="00E45AE8">
              <w:rPr>
                <w:b/>
                <w:noProof/>
                <w:color w:val="000000"/>
                <w:highlight w:val="black"/>
              </w:rPr>
              <w:t>'''''''''''''''</w:t>
            </w:r>
          </w:p>
        </w:tc>
        <w:tc>
          <w:tcPr>
            <w:tcW w:w="1276" w:type="dxa"/>
            <w:tcBorders>
              <w:bottom w:val="single" w:sz="4" w:space="0" w:color="auto"/>
            </w:tcBorders>
          </w:tcPr>
          <w:p w:rsidR="00083F05" w:rsidRPr="0098760F" w:rsidRDefault="00083F05" w:rsidP="00994A71">
            <w:pPr>
              <w:pStyle w:val="Tabletext"/>
              <w:keepNext/>
              <w:keepLines/>
              <w:jc w:val="center"/>
              <w:rPr>
                <w:b/>
              </w:rPr>
            </w:pPr>
            <w:r>
              <w:rPr>
                <w:b/>
              </w:rPr>
              <w:t>0.856</w:t>
            </w:r>
          </w:p>
        </w:tc>
        <w:tc>
          <w:tcPr>
            <w:tcW w:w="1134" w:type="dxa"/>
            <w:tcBorders>
              <w:bottom w:val="single" w:sz="4" w:space="0" w:color="auto"/>
            </w:tcBorders>
          </w:tcPr>
          <w:p w:rsidR="00083F05" w:rsidRPr="00E45AE8" w:rsidRDefault="00083F05" w:rsidP="00994A71">
            <w:pPr>
              <w:pStyle w:val="Tabletext"/>
              <w:keepNext/>
              <w:keepLines/>
              <w:jc w:val="center"/>
              <w:rPr>
                <w:b/>
              </w:rPr>
            </w:pPr>
            <w:r w:rsidRPr="00EC5750">
              <w:rPr>
                <w:b/>
              </w:rPr>
              <w:t>$</w:t>
            </w:r>
            <w:r w:rsidR="00E45AE8">
              <w:rPr>
                <w:b/>
                <w:noProof/>
                <w:color w:val="000000"/>
                <w:highlight w:val="black"/>
              </w:rPr>
              <w:t>''''''''''''</w:t>
            </w:r>
            <w:r w:rsidR="008A39F3">
              <w:rPr>
                <w:vertAlign w:val="superscript"/>
              </w:rPr>
              <w:t>1</w:t>
            </w:r>
          </w:p>
        </w:tc>
        <w:tc>
          <w:tcPr>
            <w:tcW w:w="992" w:type="dxa"/>
            <w:tcBorders>
              <w:bottom w:val="single" w:sz="4" w:space="0" w:color="auto"/>
            </w:tcBorders>
          </w:tcPr>
          <w:p w:rsidR="00083F05" w:rsidRPr="0029205C" w:rsidRDefault="00083F05" w:rsidP="00994A71">
            <w:pPr>
              <w:pStyle w:val="Tabletext"/>
              <w:keepNext/>
              <w:keepLines/>
              <w:jc w:val="center"/>
              <w:rPr>
                <w:b/>
              </w:rPr>
            </w:pPr>
            <w:r w:rsidRPr="0029205C">
              <w:rPr>
                <w:b/>
              </w:rPr>
              <w:t>NA</w:t>
            </w:r>
          </w:p>
        </w:tc>
      </w:tr>
      <w:tr w:rsidR="00083F05" w:rsidRPr="002763CE" w:rsidTr="00621DD1">
        <w:trPr>
          <w:trHeight w:val="20"/>
        </w:trPr>
        <w:tc>
          <w:tcPr>
            <w:tcW w:w="4531" w:type="dxa"/>
            <w:tcBorders>
              <w:bottom w:val="nil"/>
            </w:tcBorders>
          </w:tcPr>
          <w:p w:rsidR="00083F05" w:rsidRPr="002763CE" w:rsidRDefault="00083F05" w:rsidP="00994A71">
            <w:pPr>
              <w:pStyle w:val="Tabletext"/>
              <w:keepNext/>
              <w:keepLines/>
              <w:tabs>
                <w:tab w:val="left" w:pos="142"/>
              </w:tabs>
            </w:pPr>
            <w:r w:rsidRPr="002763CE">
              <w:t xml:space="preserve">Assuming no BSC patients cross over to receive ripretinib* </w:t>
            </w:r>
          </w:p>
        </w:tc>
        <w:tc>
          <w:tcPr>
            <w:tcW w:w="1276" w:type="dxa"/>
            <w:tcBorders>
              <w:bottom w:val="nil"/>
            </w:tcBorders>
          </w:tcPr>
          <w:p w:rsidR="00083F05" w:rsidRPr="00E45AE8" w:rsidRDefault="00083F05" w:rsidP="00994A71">
            <w:pPr>
              <w:pStyle w:val="Tabletext"/>
              <w:keepNext/>
              <w:keepLines/>
              <w:jc w:val="center"/>
            </w:pPr>
            <w:r w:rsidRPr="00EC5750">
              <w:t>$</w:t>
            </w:r>
            <w:r w:rsidR="00E45AE8">
              <w:rPr>
                <w:noProof/>
                <w:color w:val="000000"/>
                <w:highlight w:val="black"/>
              </w:rPr>
              <w:t>''''''''''''''''''''</w:t>
            </w:r>
          </w:p>
        </w:tc>
        <w:tc>
          <w:tcPr>
            <w:tcW w:w="1276" w:type="dxa"/>
            <w:tcBorders>
              <w:bottom w:val="nil"/>
            </w:tcBorders>
          </w:tcPr>
          <w:p w:rsidR="00083F05" w:rsidRPr="008A39F3" w:rsidRDefault="00083F05" w:rsidP="008A39F3">
            <w:pPr>
              <w:pStyle w:val="Tabletext"/>
              <w:keepNext/>
              <w:keepLines/>
              <w:jc w:val="center"/>
              <w:rPr>
                <w:vertAlign w:val="superscript"/>
              </w:rPr>
            </w:pPr>
            <w:r w:rsidRPr="002763CE">
              <w:t>0.856</w:t>
            </w:r>
          </w:p>
        </w:tc>
        <w:tc>
          <w:tcPr>
            <w:tcW w:w="1134" w:type="dxa"/>
            <w:tcBorders>
              <w:bottom w:val="nil"/>
            </w:tcBorders>
          </w:tcPr>
          <w:p w:rsidR="00083F05" w:rsidRPr="00E45AE8" w:rsidRDefault="00083F05" w:rsidP="00994A71">
            <w:pPr>
              <w:pStyle w:val="Tabletext"/>
              <w:keepNext/>
              <w:keepLines/>
              <w:jc w:val="center"/>
            </w:pPr>
            <w:r w:rsidRPr="00EC5750">
              <w:t>$</w:t>
            </w:r>
            <w:r w:rsidR="00E45AE8">
              <w:rPr>
                <w:noProof/>
                <w:color w:val="000000"/>
                <w:highlight w:val="black"/>
              </w:rPr>
              <w:t>''''''''''''''''''</w:t>
            </w:r>
            <w:r w:rsidR="008A39F3">
              <w:rPr>
                <w:vertAlign w:val="superscript"/>
              </w:rPr>
              <w:t>2</w:t>
            </w:r>
          </w:p>
        </w:tc>
        <w:tc>
          <w:tcPr>
            <w:tcW w:w="992" w:type="dxa"/>
            <w:tcBorders>
              <w:bottom w:val="nil"/>
            </w:tcBorders>
          </w:tcPr>
          <w:p w:rsidR="00083F05" w:rsidRPr="002763CE" w:rsidRDefault="00083F05" w:rsidP="00994A71">
            <w:pPr>
              <w:pStyle w:val="Tabletext"/>
              <w:keepNext/>
              <w:keepLines/>
              <w:jc w:val="center"/>
            </w:pPr>
            <w:r w:rsidRPr="002763CE">
              <w:t>+136.1%</w:t>
            </w:r>
          </w:p>
        </w:tc>
      </w:tr>
      <w:tr w:rsidR="00567D3A" w:rsidRPr="00D33691" w:rsidTr="00621DD1">
        <w:trPr>
          <w:trHeight w:val="20"/>
        </w:trPr>
        <w:tc>
          <w:tcPr>
            <w:tcW w:w="4531" w:type="dxa"/>
            <w:tcBorders>
              <w:bottom w:val="nil"/>
            </w:tcBorders>
          </w:tcPr>
          <w:p w:rsidR="00567D3A" w:rsidRPr="00484239" w:rsidRDefault="00567D3A" w:rsidP="00567D3A">
            <w:pPr>
              <w:pStyle w:val="Tabletext"/>
              <w:keepNext/>
              <w:keepLines/>
              <w:tabs>
                <w:tab w:val="left" w:pos="142"/>
              </w:tabs>
              <w:rPr>
                <w:b/>
              </w:rPr>
            </w:pPr>
            <w:r w:rsidRPr="00484239">
              <w:t>Assuming no BSC patients cross over to receive ripretinib and that costs for post progression use of ripretinib are accrued, consistent with INVICTUS trial**</w:t>
            </w:r>
          </w:p>
        </w:tc>
        <w:tc>
          <w:tcPr>
            <w:tcW w:w="1276" w:type="dxa"/>
            <w:tcBorders>
              <w:bottom w:val="nil"/>
            </w:tcBorders>
          </w:tcPr>
          <w:p w:rsidR="00567D3A" w:rsidRPr="00E45AE8" w:rsidRDefault="00567D3A" w:rsidP="00567D3A">
            <w:pPr>
              <w:pStyle w:val="Tabletext"/>
              <w:keepNext/>
              <w:keepLines/>
              <w:jc w:val="center"/>
              <w:rPr>
                <w:b/>
              </w:rPr>
            </w:pPr>
            <w:r w:rsidRPr="00EC5750">
              <w:t>$</w:t>
            </w:r>
            <w:r w:rsidR="00E45AE8">
              <w:rPr>
                <w:noProof/>
                <w:color w:val="000000"/>
                <w:highlight w:val="black"/>
              </w:rPr>
              <w:t>''''''''''''''''''''''</w:t>
            </w:r>
          </w:p>
        </w:tc>
        <w:tc>
          <w:tcPr>
            <w:tcW w:w="1276" w:type="dxa"/>
            <w:tcBorders>
              <w:bottom w:val="nil"/>
            </w:tcBorders>
          </w:tcPr>
          <w:p w:rsidR="00567D3A" w:rsidRPr="00484239" w:rsidRDefault="00567D3A" w:rsidP="00567D3A">
            <w:pPr>
              <w:pStyle w:val="Tabletext"/>
              <w:keepNext/>
              <w:keepLines/>
              <w:jc w:val="center"/>
              <w:rPr>
                <w:b/>
              </w:rPr>
            </w:pPr>
            <w:r w:rsidRPr="00484239">
              <w:t>0.856</w:t>
            </w:r>
          </w:p>
        </w:tc>
        <w:tc>
          <w:tcPr>
            <w:tcW w:w="1134" w:type="dxa"/>
            <w:tcBorders>
              <w:bottom w:val="nil"/>
            </w:tcBorders>
          </w:tcPr>
          <w:p w:rsidR="00567D3A" w:rsidRPr="00E45AE8" w:rsidRDefault="00567D3A" w:rsidP="00567D3A">
            <w:pPr>
              <w:pStyle w:val="Tabletext"/>
              <w:keepNext/>
              <w:keepLines/>
              <w:jc w:val="center"/>
              <w:rPr>
                <w:b/>
              </w:rPr>
            </w:pPr>
            <w:r w:rsidRPr="00EC5750">
              <w:t>$</w:t>
            </w:r>
            <w:r w:rsidR="00E45AE8">
              <w:rPr>
                <w:noProof/>
                <w:color w:val="000000"/>
                <w:highlight w:val="black"/>
              </w:rPr>
              <w:t>''''''''''''''''''''</w:t>
            </w:r>
            <w:r w:rsidR="008A39F3">
              <w:rPr>
                <w:vertAlign w:val="superscript"/>
              </w:rPr>
              <w:t>3</w:t>
            </w:r>
          </w:p>
        </w:tc>
        <w:tc>
          <w:tcPr>
            <w:tcW w:w="992" w:type="dxa"/>
            <w:tcBorders>
              <w:bottom w:val="nil"/>
            </w:tcBorders>
          </w:tcPr>
          <w:p w:rsidR="00567D3A" w:rsidRPr="00484239" w:rsidRDefault="00567D3A" w:rsidP="00567D3A">
            <w:pPr>
              <w:pStyle w:val="Tabletext"/>
              <w:keepNext/>
              <w:keepLines/>
              <w:jc w:val="center"/>
              <w:rPr>
                <w:b/>
              </w:rPr>
            </w:pPr>
            <w:r w:rsidRPr="00484239">
              <w:t>+434.1%</w:t>
            </w:r>
          </w:p>
        </w:tc>
      </w:tr>
      <w:tr w:rsidR="00083F05" w:rsidRPr="00D33691" w:rsidTr="00621DD1">
        <w:trPr>
          <w:trHeight w:val="20"/>
        </w:trPr>
        <w:tc>
          <w:tcPr>
            <w:tcW w:w="4531" w:type="dxa"/>
            <w:tcBorders>
              <w:bottom w:val="nil"/>
            </w:tcBorders>
          </w:tcPr>
          <w:p w:rsidR="00083F05" w:rsidRPr="00E436BE" w:rsidRDefault="00083F05" w:rsidP="00994A71">
            <w:pPr>
              <w:pStyle w:val="Tabletext"/>
              <w:keepNext/>
              <w:keepLines/>
              <w:tabs>
                <w:tab w:val="left" w:pos="142"/>
              </w:tabs>
            </w:pPr>
            <w:r w:rsidRPr="00E436BE">
              <w:t>Time horizon (base case 7 years)</w:t>
            </w:r>
            <w:r w:rsidR="00E436BE" w:rsidRPr="00E436BE">
              <w:t>**</w:t>
            </w:r>
            <w:r w:rsidR="00484239">
              <w:t>*</w:t>
            </w:r>
          </w:p>
        </w:tc>
        <w:tc>
          <w:tcPr>
            <w:tcW w:w="1276" w:type="dxa"/>
            <w:tcBorders>
              <w:bottom w:val="nil"/>
            </w:tcBorders>
          </w:tcPr>
          <w:p w:rsidR="00083F05" w:rsidRPr="00E45AE8" w:rsidRDefault="00083F05" w:rsidP="00994A71">
            <w:pPr>
              <w:pStyle w:val="TableText0"/>
              <w:keepLines/>
              <w:spacing w:before="0" w:after="0"/>
              <w:jc w:val="center"/>
            </w:pPr>
          </w:p>
        </w:tc>
        <w:tc>
          <w:tcPr>
            <w:tcW w:w="1276" w:type="dxa"/>
            <w:tcBorders>
              <w:bottom w:val="nil"/>
            </w:tcBorders>
          </w:tcPr>
          <w:p w:rsidR="00083F05" w:rsidRPr="00E436BE" w:rsidRDefault="00083F05" w:rsidP="00994A71">
            <w:pPr>
              <w:pStyle w:val="TableText0"/>
              <w:keepLines/>
              <w:spacing w:before="0" w:after="0"/>
              <w:jc w:val="center"/>
            </w:pPr>
          </w:p>
        </w:tc>
        <w:tc>
          <w:tcPr>
            <w:tcW w:w="1134" w:type="dxa"/>
            <w:tcBorders>
              <w:bottom w:val="nil"/>
            </w:tcBorders>
          </w:tcPr>
          <w:p w:rsidR="00083F05" w:rsidRPr="00E45AE8" w:rsidRDefault="00083F05" w:rsidP="00994A71">
            <w:pPr>
              <w:pStyle w:val="TableText0"/>
              <w:keepLines/>
              <w:spacing w:before="0" w:after="0"/>
              <w:jc w:val="center"/>
            </w:pPr>
          </w:p>
        </w:tc>
        <w:tc>
          <w:tcPr>
            <w:tcW w:w="992" w:type="dxa"/>
            <w:tcBorders>
              <w:bottom w:val="nil"/>
            </w:tcBorders>
          </w:tcPr>
          <w:p w:rsidR="00083F05" w:rsidRPr="00E436BE" w:rsidRDefault="00083F05" w:rsidP="00994A71">
            <w:pPr>
              <w:pStyle w:val="TableText0"/>
              <w:keepLines/>
              <w:spacing w:before="0" w:after="0"/>
              <w:jc w:val="center"/>
            </w:pPr>
          </w:p>
        </w:tc>
      </w:tr>
      <w:tr w:rsidR="00083F05" w:rsidRPr="00D33691" w:rsidTr="00621DD1">
        <w:trPr>
          <w:trHeight w:val="20"/>
        </w:trPr>
        <w:tc>
          <w:tcPr>
            <w:tcW w:w="4531" w:type="dxa"/>
            <w:tcBorders>
              <w:top w:val="nil"/>
              <w:bottom w:val="nil"/>
            </w:tcBorders>
          </w:tcPr>
          <w:p w:rsidR="00083F05" w:rsidRPr="00E436BE" w:rsidRDefault="00083F05" w:rsidP="00994A71">
            <w:pPr>
              <w:pStyle w:val="Tabletext"/>
              <w:keepNext/>
              <w:keepLines/>
              <w:tabs>
                <w:tab w:val="left" w:pos="142"/>
              </w:tabs>
              <w:ind w:left="169"/>
            </w:pPr>
            <w:r w:rsidRPr="00E436BE">
              <w:t>5 years</w:t>
            </w:r>
          </w:p>
        </w:tc>
        <w:tc>
          <w:tcPr>
            <w:tcW w:w="1276" w:type="dxa"/>
            <w:tcBorders>
              <w:top w:val="nil"/>
              <w:bottom w:val="nil"/>
            </w:tcBorders>
          </w:tcPr>
          <w:p w:rsidR="00083F05" w:rsidRPr="00E45AE8" w:rsidRDefault="00083F05" w:rsidP="00994A71">
            <w:pPr>
              <w:pStyle w:val="TableText0"/>
              <w:keepLines/>
              <w:spacing w:before="0" w:after="0"/>
              <w:jc w:val="center"/>
            </w:pPr>
            <w:r w:rsidRPr="00EC5750">
              <w:rPr>
                <w:rFonts w:eastAsia="Times New Roman" w:cs="Times New Roman"/>
              </w:rPr>
              <w:t>$</w:t>
            </w:r>
            <w:r w:rsidR="00E45AE8">
              <w:rPr>
                <w:noProof/>
                <w:color w:val="000000"/>
                <w:highlight w:val="black"/>
              </w:rPr>
              <w:t>''''''''''''''''</w:t>
            </w:r>
          </w:p>
        </w:tc>
        <w:tc>
          <w:tcPr>
            <w:tcW w:w="1276" w:type="dxa"/>
            <w:tcBorders>
              <w:top w:val="nil"/>
              <w:bottom w:val="nil"/>
            </w:tcBorders>
          </w:tcPr>
          <w:p w:rsidR="00083F05" w:rsidRPr="00E436BE" w:rsidRDefault="00083F05" w:rsidP="00994A71">
            <w:pPr>
              <w:pStyle w:val="TableText0"/>
              <w:keepLines/>
              <w:spacing w:before="0" w:after="0"/>
              <w:jc w:val="center"/>
            </w:pPr>
            <w:r w:rsidRPr="00E436BE">
              <w:t>0.779</w:t>
            </w:r>
          </w:p>
        </w:tc>
        <w:tc>
          <w:tcPr>
            <w:tcW w:w="1134" w:type="dxa"/>
            <w:tcBorders>
              <w:top w:val="nil"/>
              <w:bottom w:val="nil"/>
            </w:tcBorders>
          </w:tcPr>
          <w:p w:rsidR="00083F05" w:rsidRPr="00E45AE8" w:rsidRDefault="00083F05" w:rsidP="00994A71">
            <w:pPr>
              <w:pStyle w:val="TableText0"/>
              <w:keepLines/>
              <w:spacing w:before="0" w:after="0"/>
              <w:jc w:val="center"/>
            </w:pPr>
            <w:r w:rsidRPr="00EC5750">
              <w:rPr>
                <w:rFonts w:eastAsia="Times New Roman" w:cs="Times New Roman"/>
              </w:rPr>
              <w:t>$</w:t>
            </w:r>
            <w:r w:rsidR="00E45AE8">
              <w:rPr>
                <w:noProof/>
                <w:color w:val="000000"/>
                <w:highlight w:val="black"/>
              </w:rPr>
              <w:t>''''''''''''''''</w:t>
            </w:r>
            <w:r w:rsidR="008A39F3">
              <w:rPr>
                <w:vertAlign w:val="superscript"/>
              </w:rPr>
              <w:t>1</w:t>
            </w:r>
          </w:p>
        </w:tc>
        <w:tc>
          <w:tcPr>
            <w:tcW w:w="992" w:type="dxa"/>
            <w:tcBorders>
              <w:top w:val="nil"/>
              <w:bottom w:val="nil"/>
            </w:tcBorders>
          </w:tcPr>
          <w:p w:rsidR="00083F05" w:rsidRPr="00E436BE" w:rsidRDefault="00083F05" w:rsidP="00994A71">
            <w:pPr>
              <w:pStyle w:val="TableText0"/>
              <w:keepLines/>
              <w:spacing w:before="0" w:after="0"/>
              <w:jc w:val="center"/>
            </w:pPr>
            <w:r w:rsidRPr="00E436BE">
              <w:t>+4.5%</w:t>
            </w:r>
          </w:p>
        </w:tc>
      </w:tr>
      <w:tr w:rsidR="00083F05" w:rsidRPr="00D33691" w:rsidTr="00621DD1">
        <w:trPr>
          <w:trHeight w:val="20"/>
        </w:trPr>
        <w:tc>
          <w:tcPr>
            <w:tcW w:w="4531" w:type="dxa"/>
            <w:tcBorders>
              <w:top w:val="nil"/>
              <w:bottom w:val="single" w:sz="4" w:space="0" w:color="auto"/>
            </w:tcBorders>
          </w:tcPr>
          <w:p w:rsidR="00083F05" w:rsidRPr="00E436BE" w:rsidRDefault="00083F05" w:rsidP="00994A71">
            <w:pPr>
              <w:pStyle w:val="Tabletext"/>
              <w:keepNext/>
              <w:keepLines/>
              <w:tabs>
                <w:tab w:val="left" w:pos="142"/>
              </w:tabs>
              <w:ind w:left="169"/>
            </w:pPr>
            <w:r w:rsidRPr="00E436BE">
              <w:t>3 years</w:t>
            </w:r>
          </w:p>
        </w:tc>
        <w:tc>
          <w:tcPr>
            <w:tcW w:w="1276" w:type="dxa"/>
            <w:tcBorders>
              <w:top w:val="nil"/>
              <w:bottom w:val="single" w:sz="4" w:space="0" w:color="auto"/>
            </w:tcBorders>
          </w:tcPr>
          <w:p w:rsidR="00083F05" w:rsidRPr="00E45AE8" w:rsidRDefault="00083F05" w:rsidP="00994A71">
            <w:pPr>
              <w:pStyle w:val="TableText0"/>
              <w:keepLines/>
              <w:spacing w:before="0" w:after="0"/>
              <w:jc w:val="center"/>
            </w:pPr>
            <w:r w:rsidRPr="00EC5750">
              <w:rPr>
                <w:rFonts w:eastAsia="Times New Roman" w:cs="Times New Roman"/>
              </w:rPr>
              <w:t>$</w:t>
            </w:r>
            <w:r w:rsidR="00E45AE8">
              <w:rPr>
                <w:noProof/>
                <w:color w:val="000000"/>
                <w:highlight w:val="black"/>
              </w:rPr>
              <w:t>'''''''''''''''''</w:t>
            </w:r>
          </w:p>
        </w:tc>
        <w:tc>
          <w:tcPr>
            <w:tcW w:w="1276" w:type="dxa"/>
            <w:tcBorders>
              <w:top w:val="nil"/>
              <w:bottom w:val="single" w:sz="4" w:space="0" w:color="auto"/>
            </w:tcBorders>
          </w:tcPr>
          <w:p w:rsidR="00083F05" w:rsidRPr="00E436BE" w:rsidRDefault="00083F05" w:rsidP="00994A71">
            <w:pPr>
              <w:pStyle w:val="TableText0"/>
              <w:keepLines/>
              <w:spacing w:before="0" w:after="0"/>
              <w:jc w:val="center"/>
            </w:pPr>
            <w:r w:rsidRPr="00E436BE">
              <w:t>0.580</w:t>
            </w:r>
          </w:p>
        </w:tc>
        <w:tc>
          <w:tcPr>
            <w:tcW w:w="1134" w:type="dxa"/>
            <w:tcBorders>
              <w:top w:val="nil"/>
              <w:bottom w:val="single" w:sz="4" w:space="0" w:color="auto"/>
            </w:tcBorders>
          </w:tcPr>
          <w:p w:rsidR="00083F05" w:rsidRPr="00E45AE8" w:rsidRDefault="00083F05" w:rsidP="00994A71">
            <w:pPr>
              <w:pStyle w:val="TableText0"/>
              <w:keepLines/>
              <w:spacing w:before="0" w:after="0"/>
              <w:jc w:val="center"/>
            </w:pPr>
            <w:r w:rsidRPr="00EC5750">
              <w:rPr>
                <w:rFonts w:eastAsia="Times New Roman" w:cs="Times New Roman"/>
              </w:rPr>
              <w:t>$</w:t>
            </w:r>
            <w:r w:rsidR="00E45AE8">
              <w:rPr>
                <w:noProof/>
                <w:color w:val="000000"/>
                <w:highlight w:val="black"/>
              </w:rPr>
              <w:t>'''''''''''''''''''</w:t>
            </w:r>
            <w:r w:rsidR="008A39F3">
              <w:rPr>
                <w:vertAlign w:val="superscript"/>
              </w:rPr>
              <w:t>4</w:t>
            </w:r>
          </w:p>
        </w:tc>
        <w:tc>
          <w:tcPr>
            <w:tcW w:w="992" w:type="dxa"/>
            <w:tcBorders>
              <w:top w:val="nil"/>
              <w:bottom w:val="single" w:sz="4" w:space="0" w:color="auto"/>
            </w:tcBorders>
          </w:tcPr>
          <w:p w:rsidR="00083F05" w:rsidRPr="00E436BE" w:rsidRDefault="00083F05" w:rsidP="00994A71">
            <w:pPr>
              <w:pStyle w:val="TableText0"/>
              <w:keepLines/>
              <w:spacing w:before="0" w:after="0"/>
              <w:jc w:val="center"/>
            </w:pPr>
            <w:r w:rsidRPr="00E436BE">
              <w:t>+28.2%</w:t>
            </w:r>
          </w:p>
        </w:tc>
      </w:tr>
      <w:tr w:rsidR="00083F05" w:rsidRPr="00D33691" w:rsidTr="00621DD1">
        <w:trPr>
          <w:trHeight w:val="20"/>
        </w:trPr>
        <w:tc>
          <w:tcPr>
            <w:tcW w:w="4531" w:type="dxa"/>
            <w:tcBorders>
              <w:top w:val="single" w:sz="4" w:space="0" w:color="auto"/>
              <w:bottom w:val="nil"/>
            </w:tcBorders>
          </w:tcPr>
          <w:p w:rsidR="00083F05" w:rsidRPr="00E436BE" w:rsidRDefault="00083F05" w:rsidP="00994A71">
            <w:pPr>
              <w:pStyle w:val="Tabletext"/>
              <w:keepNext/>
              <w:keepLines/>
              <w:tabs>
                <w:tab w:val="left" w:pos="142"/>
              </w:tabs>
            </w:pPr>
            <w:r w:rsidRPr="00E436BE">
              <w:t>OS ripretinib  and BSC extrapolation (base case exponential)</w:t>
            </w:r>
            <w:r w:rsidR="00E436BE" w:rsidRPr="00E436BE">
              <w:t>**</w:t>
            </w:r>
            <w:r w:rsidR="00484239">
              <w:t>*</w:t>
            </w:r>
          </w:p>
        </w:tc>
        <w:tc>
          <w:tcPr>
            <w:tcW w:w="1276" w:type="dxa"/>
            <w:tcBorders>
              <w:top w:val="single" w:sz="4" w:space="0" w:color="auto"/>
              <w:bottom w:val="nil"/>
            </w:tcBorders>
          </w:tcPr>
          <w:p w:rsidR="00083F05" w:rsidRPr="00E45AE8" w:rsidRDefault="00083F05" w:rsidP="00994A71">
            <w:pPr>
              <w:pStyle w:val="TableText0"/>
              <w:keepLines/>
              <w:spacing w:before="0" w:after="0"/>
              <w:jc w:val="center"/>
            </w:pPr>
          </w:p>
        </w:tc>
        <w:tc>
          <w:tcPr>
            <w:tcW w:w="1276" w:type="dxa"/>
            <w:tcBorders>
              <w:top w:val="single" w:sz="4" w:space="0" w:color="auto"/>
              <w:bottom w:val="nil"/>
            </w:tcBorders>
          </w:tcPr>
          <w:p w:rsidR="00083F05" w:rsidRPr="00E436BE" w:rsidRDefault="00083F05" w:rsidP="00994A71">
            <w:pPr>
              <w:pStyle w:val="TableText0"/>
              <w:keepLines/>
              <w:spacing w:before="0" w:after="0"/>
              <w:jc w:val="center"/>
            </w:pPr>
          </w:p>
        </w:tc>
        <w:tc>
          <w:tcPr>
            <w:tcW w:w="1134" w:type="dxa"/>
            <w:tcBorders>
              <w:top w:val="single" w:sz="4" w:space="0" w:color="auto"/>
              <w:bottom w:val="nil"/>
            </w:tcBorders>
          </w:tcPr>
          <w:p w:rsidR="00083F05" w:rsidRPr="00E45AE8" w:rsidRDefault="00083F05" w:rsidP="00994A71">
            <w:pPr>
              <w:pStyle w:val="TableText0"/>
              <w:keepLines/>
              <w:spacing w:before="0" w:after="0"/>
              <w:jc w:val="center"/>
            </w:pPr>
          </w:p>
        </w:tc>
        <w:tc>
          <w:tcPr>
            <w:tcW w:w="992" w:type="dxa"/>
            <w:tcBorders>
              <w:top w:val="single" w:sz="4" w:space="0" w:color="auto"/>
              <w:bottom w:val="nil"/>
            </w:tcBorders>
          </w:tcPr>
          <w:p w:rsidR="00083F05" w:rsidRPr="00E436BE" w:rsidRDefault="00083F05" w:rsidP="00994A71">
            <w:pPr>
              <w:pStyle w:val="TableText0"/>
              <w:keepLines/>
              <w:spacing w:before="0" w:after="0"/>
              <w:jc w:val="center"/>
            </w:pPr>
          </w:p>
        </w:tc>
      </w:tr>
      <w:tr w:rsidR="00083F05" w:rsidRPr="00D33691" w:rsidTr="00621DD1">
        <w:trPr>
          <w:trHeight w:val="20"/>
        </w:trPr>
        <w:tc>
          <w:tcPr>
            <w:tcW w:w="4531" w:type="dxa"/>
            <w:tcBorders>
              <w:top w:val="nil"/>
              <w:bottom w:val="nil"/>
            </w:tcBorders>
          </w:tcPr>
          <w:p w:rsidR="00083F05" w:rsidRPr="00E436BE" w:rsidRDefault="00083F05" w:rsidP="00994A71">
            <w:pPr>
              <w:pStyle w:val="Tabletext"/>
              <w:keepNext/>
              <w:keepLines/>
              <w:tabs>
                <w:tab w:val="left" w:pos="142"/>
              </w:tabs>
              <w:ind w:left="169"/>
            </w:pPr>
            <w:r w:rsidRPr="00E436BE">
              <w:t>Weibull</w:t>
            </w:r>
          </w:p>
        </w:tc>
        <w:tc>
          <w:tcPr>
            <w:tcW w:w="1276" w:type="dxa"/>
            <w:tcBorders>
              <w:top w:val="nil"/>
              <w:bottom w:val="nil"/>
            </w:tcBorders>
          </w:tcPr>
          <w:p w:rsidR="00083F05" w:rsidRPr="00E45AE8" w:rsidRDefault="00083F05" w:rsidP="00994A71">
            <w:pPr>
              <w:pStyle w:val="TableText0"/>
              <w:keepLines/>
              <w:spacing w:before="0" w:after="0"/>
              <w:jc w:val="center"/>
            </w:pPr>
            <w:r w:rsidRPr="00EC5750">
              <w:rPr>
                <w:rFonts w:eastAsia="Times New Roman" w:cs="Times New Roman"/>
              </w:rPr>
              <w:t>$</w:t>
            </w:r>
            <w:r w:rsidR="00E45AE8">
              <w:rPr>
                <w:noProof/>
                <w:color w:val="000000"/>
                <w:highlight w:val="black"/>
              </w:rPr>
              <w:t>''''''''''''''''''</w:t>
            </w:r>
          </w:p>
        </w:tc>
        <w:tc>
          <w:tcPr>
            <w:tcW w:w="1276" w:type="dxa"/>
            <w:tcBorders>
              <w:top w:val="nil"/>
              <w:bottom w:val="nil"/>
            </w:tcBorders>
          </w:tcPr>
          <w:p w:rsidR="00083F05" w:rsidRPr="00E436BE" w:rsidRDefault="00083F05" w:rsidP="00994A71">
            <w:pPr>
              <w:pStyle w:val="TableText0"/>
              <w:keepLines/>
              <w:spacing w:before="0" w:after="0"/>
              <w:jc w:val="center"/>
            </w:pPr>
            <w:r w:rsidRPr="00E436BE">
              <w:t>0.442</w:t>
            </w:r>
          </w:p>
        </w:tc>
        <w:tc>
          <w:tcPr>
            <w:tcW w:w="1134" w:type="dxa"/>
            <w:tcBorders>
              <w:top w:val="nil"/>
              <w:bottom w:val="nil"/>
            </w:tcBorders>
          </w:tcPr>
          <w:p w:rsidR="00083F05" w:rsidRPr="00E45AE8" w:rsidRDefault="00083F05" w:rsidP="00994A71">
            <w:pPr>
              <w:pStyle w:val="TableText0"/>
              <w:keepLines/>
              <w:spacing w:before="0" w:after="0"/>
              <w:jc w:val="center"/>
            </w:pPr>
            <w:r w:rsidRPr="00EC5750">
              <w:rPr>
                <w:rFonts w:eastAsia="Times New Roman" w:cs="Times New Roman"/>
              </w:rPr>
              <w:t>$</w:t>
            </w:r>
            <w:r w:rsidR="00E45AE8">
              <w:rPr>
                <w:noProof/>
                <w:color w:val="000000"/>
                <w:highlight w:val="black"/>
              </w:rPr>
              <w:t>'''''''''''''''''</w:t>
            </w:r>
            <w:r w:rsidR="008A39F3">
              <w:rPr>
                <w:vertAlign w:val="superscript"/>
              </w:rPr>
              <w:t>5</w:t>
            </w:r>
          </w:p>
        </w:tc>
        <w:tc>
          <w:tcPr>
            <w:tcW w:w="992" w:type="dxa"/>
            <w:tcBorders>
              <w:top w:val="nil"/>
              <w:bottom w:val="nil"/>
            </w:tcBorders>
          </w:tcPr>
          <w:p w:rsidR="00083F05" w:rsidRPr="00E436BE" w:rsidRDefault="00083F05" w:rsidP="00994A71">
            <w:pPr>
              <w:pStyle w:val="TableText0"/>
              <w:keepLines/>
              <w:spacing w:before="0" w:after="0"/>
              <w:jc w:val="center"/>
            </w:pPr>
            <w:r w:rsidRPr="00E436BE">
              <w:t>+77.7%</w:t>
            </w:r>
          </w:p>
        </w:tc>
      </w:tr>
      <w:tr w:rsidR="00083F05" w:rsidRPr="00D33691" w:rsidTr="00621DD1">
        <w:trPr>
          <w:trHeight w:val="20"/>
        </w:trPr>
        <w:tc>
          <w:tcPr>
            <w:tcW w:w="4531" w:type="dxa"/>
            <w:tcBorders>
              <w:top w:val="nil"/>
              <w:bottom w:val="nil"/>
            </w:tcBorders>
          </w:tcPr>
          <w:p w:rsidR="00083F05" w:rsidRPr="00E436BE" w:rsidRDefault="00083F05" w:rsidP="00994A71">
            <w:pPr>
              <w:pStyle w:val="Tabletext"/>
              <w:keepNext/>
              <w:keepLines/>
              <w:tabs>
                <w:tab w:val="left" w:pos="142"/>
              </w:tabs>
              <w:ind w:left="169"/>
            </w:pPr>
            <w:r w:rsidRPr="00E436BE">
              <w:t>Gompertz</w:t>
            </w:r>
          </w:p>
        </w:tc>
        <w:tc>
          <w:tcPr>
            <w:tcW w:w="1276" w:type="dxa"/>
            <w:tcBorders>
              <w:top w:val="nil"/>
              <w:bottom w:val="nil"/>
            </w:tcBorders>
          </w:tcPr>
          <w:p w:rsidR="00083F05" w:rsidRPr="00E45AE8" w:rsidRDefault="00083F05" w:rsidP="00994A71">
            <w:pPr>
              <w:pStyle w:val="TableText0"/>
              <w:keepLines/>
              <w:spacing w:before="0" w:after="0"/>
              <w:jc w:val="center"/>
            </w:pPr>
            <w:r w:rsidRPr="00EC5750">
              <w:rPr>
                <w:rFonts w:eastAsia="Times New Roman" w:cs="Times New Roman"/>
              </w:rPr>
              <w:t>$</w:t>
            </w:r>
            <w:r w:rsidR="00E45AE8">
              <w:rPr>
                <w:noProof/>
                <w:color w:val="000000"/>
                <w:highlight w:val="black"/>
              </w:rPr>
              <w:t>'''''''''''''''''</w:t>
            </w:r>
          </w:p>
        </w:tc>
        <w:tc>
          <w:tcPr>
            <w:tcW w:w="1276" w:type="dxa"/>
            <w:tcBorders>
              <w:top w:val="nil"/>
              <w:bottom w:val="nil"/>
            </w:tcBorders>
          </w:tcPr>
          <w:p w:rsidR="00083F05" w:rsidRPr="00E436BE" w:rsidRDefault="00083F05" w:rsidP="00994A71">
            <w:pPr>
              <w:pStyle w:val="TableText0"/>
              <w:keepLines/>
              <w:spacing w:before="0" w:after="0"/>
              <w:jc w:val="center"/>
            </w:pPr>
            <w:r w:rsidRPr="00E436BE">
              <w:t>0.132</w:t>
            </w:r>
          </w:p>
        </w:tc>
        <w:tc>
          <w:tcPr>
            <w:tcW w:w="1134" w:type="dxa"/>
            <w:tcBorders>
              <w:top w:val="nil"/>
              <w:bottom w:val="nil"/>
            </w:tcBorders>
          </w:tcPr>
          <w:p w:rsidR="00083F05" w:rsidRPr="00E45AE8" w:rsidRDefault="00083F05" w:rsidP="00994A71">
            <w:pPr>
              <w:pStyle w:val="TableText0"/>
              <w:keepLines/>
              <w:spacing w:before="0" w:after="0"/>
              <w:jc w:val="center"/>
            </w:pPr>
            <w:r w:rsidRPr="00EC5750">
              <w:rPr>
                <w:rFonts w:eastAsia="Times New Roman" w:cs="Times New Roman"/>
              </w:rPr>
              <w:t>$</w:t>
            </w:r>
            <w:r w:rsidR="00E45AE8">
              <w:rPr>
                <w:noProof/>
                <w:color w:val="000000"/>
                <w:highlight w:val="black"/>
              </w:rPr>
              <w:t>''''''''''''''''''</w:t>
            </w:r>
            <w:r w:rsidR="008A39F3">
              <w:rPr>
                <w:vertAlign w:val="superscript"/>
              </w:rPr>
              <w:t>6</w:t>
            </w:r>
          </w:p>
        </w:tc>
        <w:tc>
          <w:tcPr>
            <w:tcW w:w="992" w:type="dxa"/>
            <w:tcBorders>
              <w:top w:val="nil"/>
              <w:bottom w:val="nil"/>
            </w:tcBorders>
          </w:tcPr>
          <w:p w:rsidR="00083F05" w:rsidRPr="00E436BE" w:rsidRDefault="00083F05" w:rsidP="00994A71">
            <w:pPr>
              <w:pStyle w:val="TableText0"/>
              <w:keepLines/>
              <w:spacing w:before="0" w:after="0"/>
              <w:jc w:val="center"/>
            </w:pPr>
            <w:r w:rsidRPr="00E436BE">
              <w:t>+451.3%</w:t>
            </w:r>
          </w:p>
        </w:tc>
      </w:tr>
      <w:tr w:rsidR="00083F05" w:rsidRPr="00D33691" w:rsidTr="00621DD1">
        <w:trPr>
          <w:trHeight w:val="20"/>
        </w:trPr>
        <w:tc>
          <w:tcPr>
            <w:tcW w:w="4531" w:type="dxa"/>
            <w:tcBorders>
              <w:top w:val="nil"/>
              <w:bottom w:val="nil"/>
            </w:tcBorders>
          </w:tcPr>
          <w:p w:rsidR="00083F05" w:rsidRPr="00E436BE" w:rsidRDefault="00083F05" w:rsidP="00994A71">
            <w:pPr>
              <w:pStyle w:val="Tabletext"/>
              <w:keepNext/>
              <w:keepLines/>
              <w:tabs>
                <w:tab w:val="left" w:pos="142"/>
              </w:tabs>
              <w:ind w:left="169"/>
            </w:pPr>
            <w:r w:rsidRPr="00E436BE">
              <w:t>Log-logistic</w:t>
            </w:r>
          </w:p>
        </w:tc>
        <w:tc>
          <w:tcPr>
            <w:tcW w:w="1276" w:type="dxa"/>
            <w:tcBorders>
              <w:top w:val="nil"/>
              <w:bottom w:val="nil"/>
            </w:tcBorders>
          </w:tcPr>
          <w:p w:rsidR="00083F05" w:rsidRPr="00E45AE8" w:rsidRDefault="00083F05" w:rsidP="00994A71">
            <w:pPr>
              <w:pStyle w:val="TableText0"/>
              <w:keepLines/>
              <w:spacing w:before="0" w:after="0"/>
              <w:jc w:val="center"/>
            </w:pPr>
            <w:r w:rsidRPr="00EC5750">
              <w:rPr>
                <w:rFonts w:eastAsia="Times New Roman" w:cs="Times New Roman"/>
              </w:rPr>
              <w:t>$</w:t>
            </w:r>
            <w:r w:rsidR="00E45AE8">
              <w:rPr>
                <w:noProof/>
                <w:color w:val="000000"/>
                <w:highlight w:val="black"/>
              </w:rPr>
              <w:t>''''''''''''''''</w:t>
            </w:r>
          </w:p>
        </w:tc>
        <w:tc>
          <w:tcPr>
            <w:tcW w:w="1276" w:type="dxa"/>
            <w:tcBorders>
              <w:top w:val="nil"/>
              <w:bottom w:val="nil"/>
            </w:tcBorders>
          </w:tcPr>
          <w:p w:rsidR="00083F05" w:rsidRPr="00E436BE" w:rsidRDefault="00083F05" w:rsidP="00994A71">
            <w:pPr>
              <w:pStyle w:val="TableText0"/>
              <w:keepLines/>
              <w:spacing w:before="0" w:after="0"/>
              <w:jc w:val="center"/>
            </w:pPr>
            <w:r w:rsidRPr="00E436BE">
              <w:t>0.567</w:t>
            </w:r>
          </w:p>
        </w:tc>
        <w:tc>
          <w:tcPr>
            <w:tcW w:w="1134" w:type="dxa"/>
            <w:tcBorders>
              <w:top w:val="nil"/>
              <w:bottom w:val="nil"/>
            </w:tcBorders>
          </w:tcPr>
          <w:p w:rsidR="00083F05" w:rsidRPr="00E45AE8" w:rsidRDefault="00083F05" w:rsidP="00994A71">
            <w:pPr>
              <w:pStyle w:val="TableText0"/>
              <w:keepLines/>
              <w:spacing w:before="0" w:after="0"/>
              <w:jc w:val="center"/>
            </w:pPr>
            <w:r w:rsidRPr="00EC5750">
              <w:rPr>
                <w:rFonts w:eastAsia="Times New Roman" w:cs="Times New Roman"/>
              </w:rPr>
              <w:t>$</w:t>
            </w:r>
            <w:r w:rsidR="00E45AE8">
              <w:rPr>
                <w:noProof/>
                <w:color w:val="000000"/>
                <w:highlight w:val="black"/>
              </w:rPr>
              <w:t>'''''''''''''''''''</w:t>
            </w:r>
            <w:r w:rsidR="008A39F3">
              <w:rPr>
                <w:vertAlign w:val="superscript"/>
              </w:rPr>
              <w:t>7</w:t>
            </w:r>
          </w:p>
        </w:tc>
        <w:tc>
          <w:tcPr>
            <w:tcW w:w="992" w:type="dxa"/>
            <w:tcBorders>
              <w:top w:val="nil"/>
              <w:bottom w:val="nil"/>
            </w:tcBorders>
          </w:tcPr>
          <w:p w:rsidR="00083F05" w:rsidRPr="00E436BE" w:rsidRDefault="00083F05" w:rsidP="00994A71">
            <w:pPr>
              <w:pStyle w:val="TableText0"/>
              <w:keepLines/>
              <w:spacing w:before="0" w:after="0"/>
              <w:jc w:val="center"/>
            </w:pPr>
            <w:r w:rsidRPr="00E436BE">
              <w:t>+46.5%</w:t>
            </w:r>
          </w:p>
        </w:tc>
      </w:tr>
      <w:tr w:rsidR="00083F05" w:rsidRPr="00D33691" w:rsidTr="00621DD1">
        <w:trPr>
          <w:trHeight w:val="20"/>
        </w:trPr>
        <w:tc>
          <w:tcPr>
            <w:tcW w:w="4531" w:type="dxa"/>
            <w:tcBorders>
              <w:top w:val="nil"/>
              <w:bottom w:val="nil"/>
            </w:tcBorders>
          </w:tcPr>
          <w:p w:rsidR="00083F05" w:rsidRPr="00E436BE" w:rsidRDefault="00083F05" w:rsidP="00994A71">
            <w:pPr>
              <w:pStyle w:val="Tabletext"/>
              <w:keepNext/>
              <w:keepLines/>
              <w:tabs>
                <w:tab w:val="left" w:pos="142"/>
              </w:tabs>
              <w:ind w:left="169"/>
            </w:pPr>
            <w:r w:rsidRPr="00E436BE">
              <w:t>Log-normal</w:t>
            </w:r>
          </w:p>
        </w:tc>
        <w:tc>
          <w:tcPr>
            <w:tcW w:w="1276" w:type="dxa"/>
            <w:tcBorders>
              <w:top w:val="nil"/>
              <w:bottom w:val="nil"/>
            </w:tcBorders>
          </w:tcPr>
          <w:p w:rsidR="00083F05" w:rsidRPr="00E45AE8" w:rsidRDefault="00083F05" w:rsidP="00994A71">
            <w:pPr>
              <w:pStyle w:val="TableText0"/>
              <w:keepLines/>
              <w:spacing w:before="0" w:after="0"/>
              <w:jc w:val="center"/>
            </w:pPr>
            <w:r w:rsidRPr="00EC5750">
              <w:rPr>
                <w:rFonts w:eastAsia="Times New Roman" w:cs="Times New Roman"/>
              </w:rPr>
              <w:t>$</w:t>
            </w:r>
            <w:r w:rsidR="00E45AE8">
              <w:rPr>
                <w:noProof/>
                <w:color w:val="000000"/>
                <w:highlight w:val="black"/>
              </w:rPr>
              <w:t>'''''''''''''''''</w:t>
            </w:r>
          </w:p>
        </w:tc>
        <w:tc>
          <w:tcPr>
            <w:tcW w:w="1276" w:type="dxa"/>
            <w:tcBorders>
              <w:top w:val="nil"/>
              <w:bottom w:val="nil"/>
            </w:tcBorders>
          </w:tcPr>
          <w:p w:rsidR="00083F05" w:rsidRPr="00E436BE" w:rsidRDefault="00083F05" w:rsidP="00994A71">
            <w:pPr>
              <w:pStyle w:val="TableText0"/>
              <w:keepLines/>
              <w:spacing w:before="0" w:after="0"/>
              <w:jc w:val="center"/>
            </w:pPr>
            <w:r w:rsidRPr="00E436BE">
              <w:t>0.758</w:t>
            </w:r>
          </w:p>
        </w:tc>
        <w:tc>
          <w:tcPr>
            <w:tcW w:w="1134" w:type="dxa"/>
            <w:tcBorders>
              <w:top w:val="nil"/>
              <w:bottom w:val="nil"/>
            </w:tcBorders>
          </w:tcPr>
          <w:p w:rsidR="00083F05" w:rsidRPr="00E45AE8" w:rsidRDefault="00083F05" w:rsidP="00994A71">
            <w:pPr>
              <w:pStyle w:val="TableText0"/>
              <w:keepLines/>
              <w:spacing w:before="0" w:after="0"/>
              <w:jc w:val="center"/>
            </w:pPr>
            <w:r w:rsidRPr="00EC5750">
              <w:rPr>
                <w:rFonts w:eastAsia="Times New Roman" w:cs="Times New Roman"/>
              </w:rPr>
              <w:t>$</w:t>
            </w:r>
            <w:r w:rsidR="00E45AE8">
              <w:rPr>
                <w:noProof/>
                <w:color w:val="000000"/>
                <w:highlight w:val="black"/>
              </w:rPr>
              <w:t>'''''''''''''''''</w:t>
            </w:r>
            <w:r w:rsidR="008A39F3">
              <w:rPr>
                <w:vertAlign w:val="superscript"/>
              </w:rPr>
              <w:t>1</w:t>
            </w:r>
          </w:p>
        </w:tc>
        <w:tc>
          <w:tcPr>
            <w:tcW w:w="992" w:type="dxa"/>
            <w:tcBorders>
              <w:top w:val="nil"/>
              <w:bottom w:val="nil"/>
            </w:tcBorders>
          </w:tcPr>
          <w:p w:rsidR="00083F05" w:rsidRPr="00E436BE" w:rsidRDefault="00083F05" w:rsidP="00994A71">
            <w:pPr>
              <w:pStyle w:val="TableText0"/>
              <w:keepLines/>
              <w:spacing w:before="0" w:after="0"/>
              <w:jc w:val="center"/>
            </w:pPr>
            <w:r w:rsidRPr="00E436BE">
              <w:t>+11.4%</w:t>
            </w:r>
          </w:p>
        </w:tc>
      </w:tr>
      <w:tr w:rsidR="00083F05" w:rsidRPr="00D33691" w:rsidTr="00621DD1">
        <w:trPr>
          <w:trHeight w:val="20"/>
        </w:trPr>
        <w:tc>
          <w:tcPr>
            <w:tcW w:w="4531" w:type="dxa"/>
            <w:tcBorders>
              <w:top w:val="nil"/>
              <w:bottom w:val="nil"/>
            </w:tcBorders>
          </w:tcPr>
          <w:p w:rsidR="00083F05" w:rsidRPr="00E436BE" w:rsidRDefault="00083F05" w:rsidP="00994A71">
            <w:pPr>
              <w:pStyle w:val="Tabletext"/>
              <w:keepNext/>
              <w:keepLines/>
              <w:tabs>
                <w:tab w:val="left" w:pos="142"/>
              </w:tabs>
              <w:ind w:left="169"/>
            </w:pPr>
            <w:r w:rsidRPr="00E436BE">
              <w:t>Flexible – Hazards (K=0)</w:t>
            </w:r>
          </w:p>
        </w:tc>
        <w:tc>
          <w:tcPr>
            <w:tcW w:w="1276" w:type="dxa"/>
            <w:tcBorders>
              <w:top w:val="nil"/>
              <w:bottom w:val="nil"/>
            </w:tcBorders>
          </w:tcPr>
          <w:p w:rsidR="00083F05" w:rsidRPr="00E45AE8" w:rsidRDefault="00083F05" w:rsidP="00994A71">
            <w:pPr>
              <w:pStyle w:val="TableText0"/>
              <w:keepLines/>
              <w:spacing w:before="0" w:after="0"/>
              <w:jc w:val="center"/>
            </w:pPr>
            <w:r w:rsidRPr="00EC5750">
              <w:rPr>
                <w:rFonts w:eastAsia="Times New Roman" w:cs="Times New Roman"/>
              </w:rPr>
              <w:t>$</w:t>
            </w:r>
            <w:r w:rsidR="00E45AE8">
              <w:rPr>
                <w:noProof/>
                <w:color w:val="000000"/>
                <w:highlight w:val="black"/>
              </w:rPr>
              <w:t>'''''''''''''''</w:t>
            </w:r>
          </w:p>
        </w:tc>
        <w:tc>
          <w:tcPr>
            <w:tcW w:w="1276" w:type="dxa"/>
            <w:tcBorders>
              <w:top w:val="nil"/>
              <w:bottom w:val="nil"/>
            </w:tcBorders>
          </w:tcPr>
          <w:p w:rsidR="00083F05" w:rsidRPr="00E436BE" w:rsidRDefault="00083F05" w:rsidP="00994A71">
            <w:pPr>
              <w:pStyle w:val="TableText0"/>
              <w:keepLines/>
              <w:spacing w:before="0" w:after="0"/>
              <w:jc w:val="center"/>
            </w:pPr>
            <w:r w:rsidRPr="00E436BE">
              <w:t>0.442</w:t>
            </w:r>
          </w:p>
        </w:tc>
        <w:tc>
          <w:tcPr>
            <w:tcW w:w="1134" w:type="dxa"/>
            <w:tcBorders>
              <w:top w:val="nil"/>
              <w:bottom w:val="nil"/>
            </w:tcBorders>
          </w:tcPr>
          <w:p w:rsidR="00083F05" w:rsidRPr="00E45AE8" w:rsidRDefault="00083F05" w:rsidP="00994A71">
            <w:pPr>
              <w:pStyle w:val="TableText0"/>
              <w:keepLines/>
              <w:spacing w:before="0" w:after="0"/>
              <w:jc w:val="center"/>
            </w:pPr>
            <w:r w:rsidRPr="00EC5750">
              <w:rPr>
                <w:rFonts w:eastAsia="Times New Roman" w:cs="Times New Roman"/>
              </w:rPr>
              <w:t>$</w:t>
            </w:r>
            <w:r w:rsidR="00E45AE8">
              <w:rPr>
                <w:noProof/>
                <w:color w:val="000000"/>
                <w:highlight w:val="black"/>
              </w:rPr>
              <w:t>''''''''''''''''''</w:t>
            </w:r>
            <w:r w:rsidR="008A39F3">
              <w:rPr>
                <w:vertAlign w:val="superscript"/>
              </w:rPr>
              <w:t>5</w:t>
            </w:r>
          </w:p>
        </w:tc>
        <w:tc>
          <w:tcPr>
            <w:tcW w:w="992" w:type="dxa"/>
            <w:tcBorders>
              <w:top w:val="nil"/>
              <w:bottom w:val="nil"/>
            </w:tcBorders>
          </w:tcPr>
          <w:p w:rsidR="00083F05" w:rsidRPr="00E436BE" w:rsidRDefault="00083F05" w:rsidP="00994A71">
            <w:pPr>
              <w:pStyle w:val="TableText0"/>
              <w:keepLines/>
              <w:spacing w:before="0" w:after="0"/>
              <w:jc w:val="center"/>
            </w:pPr>
            <w:r w:rsidRPr="00E436BE">
              <w:t>+77.7%</w:t>
            </w:r>
          </w:p>
        </w:tc>
      </w:tr>
      <w:tr w:rsidR="00083F05" w:rsidRPr="00D33691" w:rsidTr="00621DD1">
        <w:trPr>
          <w:trHeight w:val="20"/>
        </w:trPr>
        <w:tc>
          <w:tcPr>
            <w:tcW w:w="4531" w:type="dxa"/>
            <w:tcBorders>
              <w:top w:val="nil"/>
              <w:bottom w:val="nil"/>
            </w:tcBorders>
          </w:tcPr>
          <w:p w:rsidR="00083F05" w:rsidRPr="00E436BE" w:rsidRDefault="00083F05" w:rsidP="00994A71">
            <w:pPr>
              <w:pStyle w:val="Tabletext"/>
              <w:keepNext/>
              <w:keepLines/>
              <w:tabs>
                <w:tab w:val="left" w:pos="142"/>
              </w:tabs>
              <w:ind w:left="169"/>
            </w:pPr>
            <w:r w:rsidRPr="00E436BE">
              <w:t>Flexible – Hazards (K=1)</w:t>
            </w:r>
          </w:p>
        </w:tc>
        <w:tc>
          <w:tcPr>
            <w:tcW w:w="1276" w:type="dxa"/>
            <w:tcBorders>
              <w:top w:val="nil"/>
              <w:bottom w:val="nil"/>
            </w:tcBorders>
          </w:tcPr>
          <w:p w:rsidR="00083F05" w:rsidRPr="00E45AE8" w:rsidRDefault="00083F05" w:rsidP="00994A71">
            <w:pPr>
              <w:pStyle w:val="TableText0"/>
              <w:keepLines/>
              <w:spacing w:before="0" w:after="0"/>
              <w:jc w:val="center"/>
            </w:pPr>
            <w:r w:rsidRPr="00EC5750">
              <w:rPr>
                <w:rFonts w:eastAsia="Times New Roman" w:cs="Times New Roman"/>
              </w:rPr>
              <w:t>$</w:t>
            </w:r>
            <w:r w:rsidR="00E45AE8">
              <w:rPr>
                <w:noProof/>
                <w:color w:val="000000"/>
                <w:highlight w:val="black"/>
              </w:rPr>
              <w:t>''''''''''''''''</w:t>
            </w:r>
          </w:p>
        </w:tc>
        <w:tc>
          <w:tcPr>
            <w:tcW w:w="1276" w:type="dxa"/>
            <w:tcBorders>
              <w:top w:val="nil"/>
              <w:bottom w:val="nil"/>
            </w:tcBorders>
          </w:tcPr>
          <w:p w:rsidR="00083F05" w:rsidRPr="00E436BE" w:rsidRDefault="00083F05" w:rsidP="00994A71">
            <w:pPr>
              <w:pStyle w:val="TableText0"/>
              <w:keepLines/>
              <w:spacing w:before="0" w:after="0"/>
              <w:jc w:val="center"/>
            </w:pPr>
            <w:r w:rsidRPr="00E436BE">
              <w:t>0.325</w:t>
            </w:r>
          </w:p>
        </w:tc>
        <w:tc>
          <w:tcPr>
            <w:tcW w:w="1134" w:type="dxa"/>
            <w:tcBorders>
              <w:top w:val="nil"/>
              <w:bottom w:val="nil"/>
            </w:tcBorders>
          </w:tcPr>
          <w:p w:rsidR="00083F05" w:rsidRPr="00E45AE8" w:rsidRDefault="00083F05" w:rsidP="00994A71">
            <w:pPr>
              <w:pStyle w:val="TableText0"/>
              <w:keepLines/>
              <w:spacing w:before="0" w:after="0"/>
              <w:jc w:val="center"/>
            </w:pPr>
            <w:r w:rsidRPr="00EC5750">
              <w:rPr>
                <w:rFonts w:eastAsia="Times New Roman" w:cs="Times New Roman"/>
              </w:rPr>
              <w:t>$</w:t>
            </w:r>
            <w:r w:rsidR="00E45AE8">
              <w:rPr>
                <w:noProof/>
                <w:color w:val="000000"/>
                <w:highlight w:val="black"/>
              </w:rPr>
              <w:t>''''''''''''''''''</w:t>
            </w:r>
            <w:r w:rsidR="008A39F3">
              <w:rPr>
                <w:vertAlign w:val="superscript"/>
              </w:rPr>
              <w:t>2</w:t>
            </w:r>
          </w:p>
        </w:tc>
        <w:tc>
          <w:tcPr>
            <w:tcW w:w="992" w:type="dxa"/>
            <w:tcBorders>
              <w:top w:val="nil"/>
              <w:bottom w:val="nil"/>
            </w:tcBorders>
          </w:tcPr>
          <w:p w:rsidR="00083F05" w:rsidRPr="00E436BE" w:rsidRDefault="00083F05" w:rsidP="00994A71">
            <w:pPr>
              <w:pStyle w:val="TableText0"/>
              <w:keepLines/>
              <w:spacing w:before="0" w:after="0"/>
              <w:jc w:val="center"/>
            </w:pPr>
            <w:r w:rsidRPr="00E436BE">
              <w:t>+137.0%</w:t>
            </w:r>
          </w:p>
        </w:tc>
      </w:tr>
      <w:tr w:rsidR="00083F05" w:rsidRPr="00D33691" w:rsidTr="00621DD1">
        <w:trPr>
          <w:trHeight w:val="20"/>
        </w:trPr>
        <w:tc>
          <w:tcPr>
            <w:tcW w:w="4531" w:type="dxa"/>
            <w:tcBorders>
              <w:top w:val="nil"/>
              <w:bottom w:val="nil"/>
            </w:tcBorders>
          </w:tcPr>
          <w:p w:rsidR="00083F05" w:rsidRPr="00E436BE" w:rsidRDefault="00083F05" w:rsidP="00994A71">
            <w:pPr>
              <w:pStyle w:val="Tabletext"/>
              <w:keepNext/>
              <w:keepLines/>
              <w:tabs>
                <w:tab w:val="left" w:pos="142"/>
              </w:tabs>
              <w:ind w:left="169"/>
            </w:pPr>
            <w:r w:rsidRPr="00E436BE">
              <w:t>Flexible – Odds (K=0)</w:t>
            </w:r>
          </w:p>
        </w:tc>
        <w:tc>
          <w:tcPr>
            <w:tcW w:w="1276" w:type="dxa"/>
            <w:tcBorders>
              <w:top w:val="nil"/>
              <w:bottom w:val="nil"/>
            </w:tcBorders>
          </w:tcPr>
          <w:p w:rsidR="00083F05" w:rsidRPr="00E45AE8" w:rsidRDefault="00083F05" w:rsidP="00994A71">
            <w:pPr>
              <w:pStyle w:val="TableText0"/>
              <w:keepLines/>
              <w:spacing w:before="0" w:after="0"/>
              <w:jc w:val="center"/>
            </w:pPr>
            <w:r w:rsidRPr="00EC5750">
              <w:rPr>
                <w:rFonts w:eastAsia="Times New Roman" w:cs="Times New Roman"/>
              </w:rPr>
              <w:t>$</w:t>
            </w:r>
            <w:r w:rsidR="00E45AE8">
              <w:rPr>
                <w:noProof/>
                <w:color w:val="000000"/>
                <w:highlight w:val="black"/>
              </w:rPr>
              <w:t>'''''''''''''''''</w:t>
            </w:r>
          </w:p>
        </w:tc>
        <w:tc>
          <w:tcPr>
            <w:tcW w:w="1276" w:type="dxa"/>
            <w:tcBorders>
              <w:top w:val="nil"/>
              <w:bottom w:val="nil"/>
            </w:tcBorders>
          </w:tcPr>
          <w:p w:rsidR="00083F05" w:rsidRPr="00E436BE" w:rsidRDefault="00083F05" w:rsidP="00994A71">
            <w:pPr>
              <w:pStyle w:val="TableText0"/>
              <w:keepLines/>
              <w:spacing w:before="0" w:after="0"/>
              <w:jc w:val="center"/>
            </w:pPr>
            <w:r w:rsidRPr="00E436BE">
              <w:t>0.567</w:t>
            </w:r>
          </w:p>
        </w:tc>
        <w:tc>
          <w:tcPr>
            <w:tcW w:w="1134" w:type="dxa"/>
            <w:tcBorders>
              <w:top w:val="nil"/>
              <w:bottom w:val="nil"/>
            </w:tcBorders>
          </w:tcPr>
          <w:p w:rsidR="00083F05" w:rsidRPr="00E45AE8" w:rsidRDefault="00083F05" w:rsidP="00994A71">
            <w:pPr>
              <w:pStyle w:val="TableText0"/>
              <w:keepLines/>
              <w:spacing w:before="0" w:after="0"/>
              <w:jc w:val="center"/>
            </w:pPr>
            <w:r w:rsidRPr="00EC5750">
              <w:rPr>
                <w:rFonts w:eastAsia="Times New Roman" w:cs="Times New Roman"/>
              </w:rPr>
              <w:t>$</w:t>
            </w:r>
            <w:r w:rsidR="00E45AE8">
              <w:rPr>
                <w:noProof/>
                <w:color w:val="000000"/>
                <w:highlight w:val="black"/>
              </w:rPr>
              <w:t>''''''''''''''''''''</w:t>
            </w:r>
            <w:r w:rsidR="008A39F3">
              <w:rPr>
                <w:vertAlign w:val="superscript"/>
              </w:rPr>
              <w:t>7</w:t>
            </w:r>
          </w:p>
        </w:tc>
        <w:tc>
          <w:tcPr>
            <w:tcW w:w="992" w:type="dxa"/>
            <w:tcBorders>
              <w:top w:val="nil"/>
              <w:bottom w:val="nil"/>
            </w:tcBorders>
          </w:tcPr>
          <w:p w:rsidR="00083F05" w:rsidRPr="00E436BE" w:rsidRDefault="00083F05" w:rsidP="00994A71">
            <w:pPr>
              <w:pStyle w:val="TableText0"/>
              <w:keepLines/>
              <w:spacing w:before="0" w:after="0"/>
              <w:jc w:val="center"/>
            </w:pPr>
            <w:r w:rsidRPr="00E436BE">
              <w:t>+46.5%</w:t>
            </w:r>
          </w:p>
        </w:tc>
      </w:tr>
      <w:tr w:rsidR="00083F05" w:rsidRPr="00D33691" w:rsidTr="00621DD1">
        <w:trPr>
          <w:trHeight w:val="20"/>
        </w:trPr>
        <w:tc>
          <w:tcPr>
            <w:tcW w:w="4531" w:type="dxa"/>
            <w:tcBorders>
              <w:top w:val="nil"/>
              <w:bottom w:val="single" w:sz="4" w:space="0" w:color="auto"/>
            </w:tcBorders>
          </w:tcPr>
          <w:p w:rsidR="00083F05" w:rsidRPr="00E436BE" w:rsidRDefault="00083F05" w:rsidP="00994A71">
            <w:pPr>
              <w:pStyle w:val="Tabletext"/>
              <w:keepNext/>
              <w:keepLines/>
              <w:tabs>
                <w:tab w:val="left" w:pos="142"/>
              </w:tabs>
              <w:ind w:left="169"/>
            </w:pPr>
            <w:r w:rsidRPr="00E436BE">
              <w:t>Flexible – Odds (K=1)</w:t>
            </w:r>
          </w:p>
        </w:tc>
        <w:tc>
          <w:tcPr>
            <w:tcW w:w="1276" w:type="dxa"/>
            <w:tcBorders>
              <w:top w:val="nil"/>
              <w:bottom w:val="single" w:sz="4" w:space="0" w:color="auto"/>
            </w:tcBorders>
          </w:tcPr>
          <w:p w:rsidR="00083F05" w:rsidRPr="00E45AE8" w:rsidRDefault="00083F05" w:rsidP="00994A71">
            <w:pPr>
              <w:pStyle w:val="TableText0"/>
              <w:keepLines/>
              <w:spacing w:before="0" w:after="0"/>
              <w:jc w:val="center"/>
            </w:pPr>
            <w:r w:rsidRPr="00EC5750">
              <w:rPr>
                <w:rFonts w:eastAsia="Times New Roman" w:cs="Times New Roman"/>
              </w:rPr>
              <w:t>$</w:t>
            </w:r>
            <w:r w:rsidR="00E45AE8">
              <w:rPr>
                <w:noProof/>
                <w:color w:val="000000"/>
                <w:highlight w:val="black"/>
              </w:rPr>
              <w:t>''''''''''''''''</w:t>
            </w:r>
          </w:p>
        </w:tc>
        <w:tc>
          <w:tcPr>
            <w:tcW w:w="1276" w:type="dxa"/>
            <w:tcBorders>
              <w:top w:val="nil"/>
              <w:bottom w:val="single" w:sz="4" w:space="0" w:color="auto"/>
            </w:tcBorders>
          </w:tcPr>
          <w:p w:rsidR="00083F05" w:rsidRPr="00E436BE" w:rsidRDefault="00083F05" w:rsidP="00994A71">
            <w:pPr>
              <w:pStyle w:val="TableText0"/>
              <w:keepLines/>
              <w:spacing w:before="0" w:after="0"/>
              <w:jc w:val="center"/>
            </w:pPr>
            <w:r w:rsidRPr="00E436BE">
              <w:t>0.423</w:t>
            </w:r>
          </w:p>
        </w:tc>
        <w:tc>
          <w:tcPr>
            <w:tcW w:w="1134" w:type="dxa"/>
            <w:tcBorders>
              <w:top w:val="nil"/>
              <w:bottom w:val="single" w:sz="4" w:space="0" w:color="auto"/>
            </w:tcBorders>
          </w:tcPr>
          <w:p w:rsidR="00083F05" w:rsidRPr="00E45AE8" w:rsidRDefault="00083F05" w:rsidP="00994A71">
            <w:pPr>
              <w:pStyle w:val="TableText0"/>
              <w:keepLines/>
              <w:spacing w:before="0" w:after="0"/>
              <w:jc w:val="center"/>
            </w:pPr>
            <w:r w:rsidRPr="00EC5750">
              <w:rPr>
                <w:rFonts w:eastAsia="Times New Roman" w:cs="Times New Roman"/>
              </w:rPr>
              <w:t>$</w:t>
            </w:r>
            <w:r w:rsidR="00E45AE8">
              <w:rPr>
                <w:noProof/>
                <w:color w:val="000000"/>
                <w:highlight w:val="black"/>
              </w:rPr>
              <w:t>''''''''''''''''''</w:t>
            </w:r>
            <w:r w:rsidR="008A39F3">
              <w:rPr>
                <w:vertAlign w:val="superscript"/>
              </w:rPr>
              <w:t>2</w:t>
            </w:r>
          </w:p>
        </w:tc>
        <w:tc>
          <w:tcPr>
            <w:tcW w:w="992" w:type="dxa"/>
            <w:tcBorders>
              <w:top w:val="nil"/>
              <w:bottom w:val="single" w:sz="4" w:space="0" w:color="auto"/>
            </w:tcBorders>
          </w:tcPr>
          <w:p w:rsidR="00083F05" w:rsidRPr="00E436BE" w:rsidRDefault="00083F05" w:rsidP="00994A71">
            <w:pPr>
              <w:pStyle w:val="TableText0"/>
              <w:keepLines/>
              <w:spacing w:before="0" w:after="0"/>
              <w:jc w:val="center"/>
            </w:pPr>
            <w:r w:rsidRPr="00E436BE">
              <w:t>+93.9%</w:t>
            </w:r>
          </w:p>
        </w:tc>
      </w:tr>
      <w:tr w:rsidR="00083F05" w:rsidRPr="00D33691" w:rsidTr="00621DD1">
        <w:trPr>
          <w:trHeight w:val="20"/>
        </w:trPr>
        <w:tc>
          <w:tcPr>
            <w:tcW w:w="4531" w:type="dxa"/>
            <w:tcBorders>
              <w:top w:val="single" w:sz="4" w:space="0" w:color="auto"/>
              <w:bottom w:val="single" w:sz="4" w:space="0" w:color="auto"/>
            </w:tcBorders>
          </w:tcPr>
          <w:p w:rsidR="00083F05" w:rsidRPr="00E436BE" w:rsidRDefault="00083F05" w:rsidP="00994A71">
            <w:pPr>
              <w:pStyle w:val="Tabletext"/>
              <w:keepNext/>
              <w:keepLines/>
              <w:tabs>
                <w:tab w:val="left" w:pos="142"/>
              </w:tabs>
            </w:pPr>
            <w:r w:rsidRPr="00E436BE">
              <w:t>Assume switching to extrapolation of OS at cycle 6 for both arms (base case cycle 17 for ripretinib and 16 for BSC)</w:t>
            </w:r>
            <w:r w:rsidR="00E436BE" w:rsidRPr="00E436BE">
              <w:t>**</w:t>
            </w:r>
            <w:r w:rsidR="00484239">
              <w:t>*</w:t>
            </w:r>
          </w:p>
        </w:tc>
        <w:tc>
          <w:tcPr>
            <w:tcW w:w="1276" w:type="dxa"/>
            <w:tcBorders>
              <w:top w:val="single" w:sz="4" w:space="0" w:color="auto"/>
              <w:bottom w:val="single" w:sz="4" w:space="0" w:color="auto"/>
            </w:tcBorders>
          </w:tcPr>
          <w:p w:rsidR="00083F05" w:rsidRPr="00E45AE8" w:rsidRDefault="00083F05" w:rsidP="00994A71">
            <w:pPr>
              <w:pStyle w:val="TableText0"/>
              <w:keepLines/>
              <w:spacing w:before="0" w:after="0"/>
              <w:jc w:val="center"/>
            </w:pPr>
            <w:r w:rsidRPr="00EC5750">
              <w:rPr>
                <w:rFonts w:eastAsia="Times New Roman" w:cs="Times New Roman"/>
              </w:rPr>
              <w:t>$</w:t>
            </w:r>
            <w:r w:rsidR="00E45AE8">
              <w:rPr>
                <w:noProof/>
                <w:color w:val="000000"/>
                <w:highlight w:val="black"/>
              </w:rPr>
              <w:t>''''''''''''''''</w:t>
            </w:r>
          </w:p>
        </w:tc>
        <w:tc>
          <w:tcPr>
            <w:tcW w:w="1276" w:type="dxa"/>
            <w:tcBorders>
              <w:top w:val="single" w:sz="4" w:space="0" w:color="auto"/>
              <w:bottom w:val="single" w:sz="4" w:space="0" w:color="auto"/>
            </w:tcBorders>
          </w:tcPr>
          <w:p w:rsidR="00083F05" w:rsidRPr="00E436BE" w:rsidRDefault="00083F05" w:rsidP="00994A71">
            <w:pPr>
              <w:pStyle w:val="TableText0"/>
              <w:keepLines/>
              <w:spacing w:before="0" w:after="0"/>
              <w:jc w:val="center"/>
            </w:pPr>
            <w:r w:rsidRPr="00E436BE">
              <w:t>0.851</w:t>
            </w:r>
          </w:p>
        </w:tc>
        <w:tc>
          <w:tcPr>
            <w:tcW w:w="1134" w:type="dxa"/>
            <w:tcBorders>
              <w:top w:val="single" w:sz="4" w:space="0" w:color="auto"/>
              <w:bottom w:val="single" w:sz="4" w:space="0" w:color="auto"/>
            </w:tcBorders>
          </w:tcPr>
          <w:p w:rsidR="00083F05" w:rsidRPr="00E45AE8" w:rsidRDefault="00083F05" w:rsidP="00994A71">
            <w:pPr>
              <w:pStyle w:val="TableText0"/>
              <w:keepLines/>
              <w:spacing w:before="0" w:after="0"/>
              <w:jc w:val="center"/>
            </w:pPr>
            <w:r w:rsidRPr="00EC5750">
              <w:rPr>
                <w:rFonts w:eastAsia="Times New Roman" w:cs="Times New Roman"/>
              </w:rPr>
              <w:t>$</w:t>
            </w:r>
            <w:r w:rsidR="00E45AE8">
              <w:rPr>
                <w:noProof/>
                <w:color w:val="000000"/>
                <w:highlight w:val="black"/>
              </w:rPr>
              <w:t>''''''''''''''''</w:t>
            </w:r>
            <w:r w:rsidR="008A39F3">
              <w:rPr>
                <w:vertAlign w:val="superscript"/>
              </w:rPr>
              <w:t>1</w:t>
            </w:r>
          </w:p>
        </w:tc>
        <w:tc>
          <w:tcPr>
            <w:tcW w:w="992" w:type="dxa"/>
            <w:tcBorders>
              <w:top w:val="single" w:sz="4" w:space="0" w:color="auto"/>
              <w:bottom w:val="single" w:sz="4" w:space="0" w:color="auto"/>
            </w:tcBorders>
          </w:tcPr>
          <w:p w:rsidR="00083F05" w:rsidRPr="00E436BE" w:rsidRDefault="00083F05" w:rsidP="00994A71">
            <w:pPr>
              <w:pStyle w:val="TableText0"/>
              <w:keepLines/>
              <w:spacing w:before="0" w:after="0"/>
              <w:jc w:val="center"/>
            </w:pPr>
            <w:r w:rsidRPr="00E436BE">
              <w:t>+0.51%</w:t>
            </w:r>
          </w:p>
        </w:tc>
      </w:tr>
      <w:tr w:rsidR="00083F05" w:rsidRPr="00D33691" w:rsidTr="00621DD1">
        <w:trPr>
          <w:trHeight w:val="20"/>
        </w:trPr>
        <w:tc>
          <w:tcPr>
            <w:tcW w:w="4531" w:type="dxa"/>
            <w:tcBorders>
              <w:top w:val="single" w:sz="4" w:space="0" w:color="auto"/>
              <w:bottom w:val="nil"/>
            </w:tcBorders>
          </w:tcPr>
          <w:p w:rsidR="00083F05" w:rsidRPr="00E436BE" w:rsidRDefault="00083F05" w:rsidP="00994A71">
            <w:pPr>
              <w:pStyle w:val="Tabletext"/>
              <w:keepNext/>
              <w:keepLines/>
              <w:tabs>
                <w:tab w:val="left" w:pos="142"/>
              </w:tabs>
            </w:pPr>
            <w:r w:rsidRPr="00E436BE">
              <w:t>PFS ripretinib  and BSC extrapolation (base case log-logistic)</w:t>
            </w:r>
            <w:r w:rsidR="00E436BE" w:rsidRPr="00E436BE">
              <w:t>**</w:t>
            </w:r>
            <w:r w:rsidR="00484239">
              <w:t>*</w:t>
            </w:r>
          </w:p>
        </w:tc>
        <w:tc>
          <w:tcPr>
            <w:tcW w:w="1276" w:type="dxa"/>
            <w:tcBorders>
              <w:top w:val="single" w:sz="4" w:space="0" w:color="auto"/>
              <w:bottom w:val="nil"/>
            </w:tcBorders>
          </w:tcPr>
          <w:p w:rsidR="00083F05" w:rsidRPr="00E436BE" w:rsidRDefault="00083F05" w:rsidP="00994A71">
            <w:pPr>
              <w:pStyle w:val="TableText0"/>
              <w:keepLines/>
              <w:spacing w:before="0" w:after="0"/>
              <w:jc w:val="center"/>
            </w:pPr>
          </w:p>
        </w:tc>
        <w:tc>
          <w:tcPr>
            <w:tcW w:w="1276" w:type="dxa"/>
            <w:tcBorders>
              <w:top w:val="single" w:sz="4" w:space="0" w:color="auto"/>
              <w:bottom w:val="nil"/>
            </w:tcBorders>
          </w:tcPr>
          <w:p w:rsidR="00083F05" w:rsidRPr="00E436BE" w:rsidRDefault="00083F05" w:rsidP="00994A71">
            <w:pPr>
              <w:pStyle w:val="TableText0"/>
              <w:keepLines/>
              <w:spacing w:before="0" w:after="0"/>
              <w:jc w:val="center"/>
            </w:pPr>
          </w:p>
        </w:tc>
        <w:tc>
          <w:tcPr>
            <w:tcW w:w="1134" w:type="dxa"/>
            <w:tcBorders>
              <w:top w:val="single" w:sz="4" w:space="0" w:color="auto"/>
              <w:bottom w:val="nil"/>
            </w:tcBorders>
          </w:tcPr>
          <w:p w:rsidR="00083F05" w:rsidRPr="00E436BE" w:rsidRDefault="00083F05" w:rsidP="00994A71">
            <w:pPr>
              <w:pStyle w:val="TableText0"/>
              <w:keepLines/>
              <w:spacing w:before="0" w:after="0"/>
              <w:jc w:val="center"/>
            </w:pPr>
          </w:p>
        </w:tc>
        <w:tc>
          <w:tcPr>
            <w:tcW w:w="992" w:type="dxa"/>
            <w:tcBorders>
              <w:top w:val="single" w:sz="4" w:space="0" w:color="auto"/>
              <w:bottom w:val="nil"/>
            </w:tcBorders>
          </w:tcPr>
          <w:p w:rsidR="00083F05" w:rsidRPr="00E436BE" w:rsidRDefault="00083F05" w:rsidP="00994A71">
            <w:pPr>
              <w:pStyle w:val="TableText0"/>
              <w:keepLines/>
              <w:spacing w:before="0" w:after="0"/>
              <w:jc w:val="center"/>
            </w:pPr>
          </w:p>
        </w:tc>
      </w:tr>
      <w:tr w:rsidR="00083F05" w:rsidRPr="00D33691" w:rsidTr="00621DD1">
        <w:trPr>
          <w:trHeight w:val="20"/>
        </w:trPr>
        <w:tc>
          <w:tcPr>
            <w:tcW w:w="4531" w:type="dxa"/>
            <w:tcBorders>
              <w:top w:val="nil"/>
              <w:bottom w:val="nil"/>
            </w:tcBorders>
          </w:tcPr>
          <w:p w:rsidR="00083F05" w:rsidRPr="00E436BE" w:rsidRDefault="00083F05" w:rsidP="00994A71">
            <w:pPr>
              <w:pStyle w:val="Tabletext"/>
              <w:keepNext/>
              <w:keepLines/>
              <w:tabs>
                <w:tab w:val="left" w:pos="142"/>
              </w:tabs>
              <w:ind w:left="169"/>
            </w:pPr>
            <w:r w:rsidRPr="00E436BE">
              <w:t>Exponential</w:t>
            </w:r>
          </w:p>
        </w:tc>
        <w:tc>
          <w:tcPr>
            <w:tcW w:w="1276" w:type="dxa"/>
            <w:tcBorders>
              <w:top w:val="nil"/>
              <w:bottom w:val="nil"/>
            </w:tcBorders>
          </w:tcPr>
          <w:p w:rsidR="00083F05" w:rsidRPr="00E45AE8" w:rsidRDefault="00083F05" w:rsidP="00994A71">
            <w:pPr>
              <w:pStyle w:val="TableText0"/>
              <w:keepLines/>
              <w:spacing w:before="0" w:after="0"/>
              <w:jc w:val="center"/>
            </w:pPr>
            <w:r w:rsidRPr="00EC5750">
              <w:rPr>
                <w:rFonts w:eastAsia="Times New Roman" w:cs="Times New Roman"/>
              </w:rPr>
              <w:t>$</w:t>
            </w:r>
            <w:r w:rsidR="00E45AE8">
              <w:rPr>
                <w:noProof/>
                <w:color w:val="000000"/>
                <w:highlight w:val="black"/>
              </w:rPr>
              <w:t>''''''''''''''''''</w:t>
            </w:r>
          </w:p>
        </w:tc>
        <w:tc>
          <w:tcPr>
            <w:tcW w:w="1276" w:type="dxa"/>
            <w:tcBorders>
              <w:top w:val="nil"/>
              <w:bottom w:val="nil"/>
            </w:tcBorders>
          </w:tcPr>
          <w:p w:rsidR="00083F05" w:rsidRPr="00E436BE" w:rsidRDefault="00083F05" w:rsidP="00994A71">
            <w:pPr>
              <w:pStyle w:val="TableText0"/>
              <w:keepLines/>
              <w:spacing w:before="0" w:after="0"/>
              <w:jc w:val="center"/>
            </w:pPr>
            <w:r w:rsidRPr="00E436BE">
              <w:t>0.853</w:t>
            </w:r>
          </w:p>
        </w:tc>
        <w:tc>
          <w:tcPr>
            <w:tcW w:w="1134" w:type="dxa"/>
            <w:tcBorders>
              <w:top w:val="nil"/>
              <w:bottom w:val="nil"/>
            </w:tcBorders>
          </w:tcPr>
          <w:p w:rsidR="00083F05" w:rsidRPr="00E45AE8" w:rsidRDefault="00083F05" w:rsidP="00994A71">
            <w:pPr>
              <w:pStyle w:val="TableText0"/>
              <w:keepLines/>
              <w:spacing w:before="0" w:after="0"/>
              <w:jc w:val="center"/>
            </w:pPr>
            <w:r w:rsidRPr="00EC5750">
              <w:rPr>
                <w:rFonts w:eastAsia="Times New Roman" w:cs="Times New Roman"/>
              </w:rPr>
              <w:t>$</w:t>
            </w:r>
            <w:r w:rsidR="00E45AE8">
              <w:rPr>
                <w:noProof/>
                <w:color w:val="000000"/>
                <w:highlight w:val="black"/>
              </w:rPr>
              <w:t>'''''''''''''''</w:t>
            </w:r>
            <w:r w:rsidR="008A39F3">
              <w:rPr>
                <w:vertAlign w:val="superscript"/>
              </w:rPr>
              <w:t>8</w:t>
            </w:r>
          </w:p>
        </w:tc>
        <w:tc>
          <w:tcPr>
            <w:tcW w:w="992" w:type="dxa"/>
            <w:tcBorders>
              <w:top w:val="nil"/>
              <w:bottom w:val="nil"/>
            </w:tcBorders>
          </w:tcPr>
          <w:p w:rsidR="00083F05" w:rsidRPr="00E436BE" w:rsidRDefault="00083F05" w:rsidP="00994A71">
            <w:pPr>
              <w:pStyle w:val="TableText0"/>
              <w:keepLines/>
              <w:spacing w:before="0" w:after="0"/>
              <w:jc w:val="center"/>
            </w:pPr>
            <w:r w:rsidRPr="00E436BE">
              <w:t>-26.9%</w:t>
            </w:r>
          </w:p>
        </w:tc>
      </w:tr>
      <w:tr w:rsidR="00083F05" w:rsidRPr="00D33691" w:rsidTr="00621DD1">
        <w:trPr>
          <w:trHeight w:val="20"/>
        </w:trPr>
        <w:tc>
          <w:tcPr>
            <w:tcW w:w="4531" w:type="dxa"/>
            <w:tcBorders>
              <w:top w:val="nil"/>
              <w:bottom w:val="nil"/>
            </w:tcBorders>
          </w:tcPr>
          <w:p w:rsidR="00083F05" w:rsidRPr="00E436BE" w:rsidRDefault="00083F05" w:rsidP="00994A71">
            <w:pPr>
              <w:pStyle w:val="Tabletext"/>
              <w:keepNext/>
              <w:keepLines/>
              <w:tabs>
                <w:tab w:val="left" w:pos="142"/>
              </w:tabs>
              <w:ind w:left="169"/>
            </w:pPr>
            <w:r w:rsidRPr="00E436BE">
              <w:t>Weibull</w:t>
            </w:r>
          </w:p>
        </w:tc>
        <w:tc>
          <w:tcPr>
            <w:tcW w:w="1276" w:type="dxa"/>
            <w:tcBorders>
              <w:top w:val="nil"/>
              <w:bottom w:val="nil"/>
            </w:tcBorders>
          </w:tcPr>
          <w:p w:rsidR="00083F05" w:rsidRPr="00E45AE8" w:rsidRDefault="00083F05" w:rsidP="00994A71">
            <w:pPr>
              <w:pStyle w:val="TableText0"/>
              <w:keepLines/>
              <w:spacing w:before="0" w:after="0"/>
              <w:jc w:val="center"/>
            </w:pPr>
            <w:r w:rsidRPr="00EC5750">
              <w:rPr>
                <w:rFonts w:eastAsia="Times New Roman" w:cs="Times New Roman"/>
              </w:rPr>
              <w:t>$</w:t>
            </w:r>
            <w:r w:rsidR="00E45AE8">
              <w:rPr>
                <w:noProof/>
                <w:color w:val="000000"/>
                <w:highlight w:val="black"/>
              </w:rPr>
              <w:t>''''''''''''''''''</w:t>
            </w:r>
          </w:p>
        </w:tc>
        <w:tc>
          <w:tcPr>
            <w:tcW w:w="1276" w:type="dxa"/>
            <w:tcBorders>
              <w:top w:val="nil"/>
              <w:bottom w:val="nil"/>
            </w:tcBorders>
          </w:tcPr>
          <w:p w:rsidR="00083F05" w:rsidRPr="00E436BE" w:rsidRDefault="00083F05" w:rsidP="00994A71">
            <w:pPr>
              <w:pStyle w:val="TableText0"/>
              <w:keepLines/>
              <w:spacing w:before="0" w:after="0"/>
              <w:jc w:val="center"/>
            </w:pPr>
            <w:r w:rsidRPr="00E436BE">
              <w:t>0.853</w:t>
            </w:r>
          </w:p>
        </w:tc>
        <w:tc>
          <w:tcPr>
            <w:tcW w:w="1134" w:type="dxa"/>
            <w:tcBorders>
              <w:top w:val="nil"/>
              <w:bottom w:val="nil"/>
            </w:tcBorders>
          </w:tcPr>
          <w:p w:rsidR="00083F05" w:rsidRPr="00E45AE8" w:rsidRDefault="00083F05" w:rsidP="00994A71">
            <w:pPr>
              <w:pStyle w:val="TableText0"/>
              <w:keepLines/>
              <w:spacing w:before="0" w:after="0"/>
              <w:jc w:val="center"/>
            </w:pPr>
            <w:r w:rsidRPr="00EC5750">
              <w:rPr>
                <w:rFonts w:eastAsia="Times New Roman" w:cs="Times New Roman"/>
              </w:rPr>
              <w:t>$</w:t>
            </w:r>
            <w:r w:rsidR="00E45AE8">
              <w:rPr>
                <w:noProof/>
                <w:color w:val="000000"/>
                <w:highlight w:val="black"/>
              </w:rPr>
              <w:t>''''''''''''''''</w:t>
            </w:r>
            <w:r w:rsidR="008A39F3">
              <w:rPr>
                <w:vertAlign w:val="superscript"/>
              </w:rPr>
              <w:t>8</w:t>
            </w:r>
          </w:p>
        </w:tc>
        <w:tc>
          <w:tcPr>
            <w:tcW w:w="992" w:type="dxa"/>
            <w:tcBorders>
              <w:top w:val="nil"/>
              <w:bottom w:val="nil"/>
            </w:tcBorders>
          </w:tcPr>
          <w:p w:rsidR="00083F05" w:rsidRPr="00E436BE" w:rsidRDefault="00083F05" w:rsidP="00994A71">
            <w:pPr>
              <w:pStyle w:val="TableText0"/>
              <w:keepLines/>
              <w:spacing w:before="0" w:after="0"/>
              <w:jc w:val="center"/>
            </w:pPr>
            <w:r w:rsidRPr="00E436BE">
              <w:t>-32.1%</w:t>
            </w:r>
          </w:p>
        </w:tc>
      </w:tr>
      <w:tr w:rsidR="00083F05" w:rsidRPr="00D33691" w:rsidTr="00621DD1">
        <w:trPr>
          <w:trHeight w:val="20"/>
        </w:trPr>
        <w:tc>
          <w:tcPr>
            <w:tcW w:w="4531" w:type="dxa"/>
            <w:tcBorders>
              <w:top w:val="nil"/>
              <w:bottom w:val="nil"/>
            </w:tcBorders>
          </w:tcPr>
          <w:p w:rsidR="00083F05" w:rsidRPr="00E436BE" w:rsidRDefault="00083F05" w:rsidP="00994A71">
            <w:pPr>
              <w:pStyle w:val="Tabletext"/>
              <w:keepNext/>
              <w:keepLines/>
              <w:tabs>
                <w:tab w:val="left" w:pos="142"/>
              </w:tabs>
              <w:ind w:left="169"/>
            </w:pPr>
            <w:r w:rsidRPr="00E436BE">
              <w:t>Gompertz</w:t>
            </w:r>
          </w:p>
        </w:tc>
        <w:tc>
          <w:tcPr>
            <w:tcW w:w="1276" w:type="dxa"/>
            <w:tcBorders>
              <w:top w:val="nil"/>
              <w:bottom w:val="nil"/>
            </w:tcBorders>
          </w:tcPr>
          <w:p w:rsidR="00083F05" w:rsidRPr="00E45AE8" w:rsidRDefault="00083F05" w:rsidP="00994A71">
            <w:pPr>
              <w:pStyle w:val="TableText0"/>
              <w:keepLines/>
              <w:spacing w:before="0" w:after="0"/>
              <w:jc w:val="center"/>
            </w:pPr>
            <w:r w:rsidRPr="00EC5750">
              <w:rPr>
                <w:rFonts w:eastAsia="Times New Roman" w:cs="Times New Roman"/>
              </w:rPr>
              <w:t>$</w:t>
            </w:r>
            <w:r w:rsidR="00E45AE8">
              <w:rPr>
                <w:noProof/>
                <w:color w:val="000000"/>
                <w:highlight w:val="black"/>
              </w:rPr>
              <w:t>''''''''''''''''</w:t>
            </w:r>
          </w:p>
        </w:tc>
        <w:tc>
          <w:tcPr>
            <w:tcW w:w="1276" w:type="dxa"/>
            <w:tcBorders>
              <w:top w:val="nil"/>
              <w:bottom w:val="nil"/>
            </w:tcBorders>
          </w:tcPr>
          <w:p w:rsidR="00083F05" w:rsidRPr="00E436BE" w:rsidRDefault="00083F05" w:rsidP="00994A71">
            <w:pPr>
              <w:pStyle w:val="TableText0"/>
              <w:keepLines/>
              <w:spacing w:before="0" w:after="0"/>
              <w:jc w:val="center"/>
            </w:pPr>
            <w:r w:rsidRPr="00E436BE">
              <w:t>0.853</w:t>
            </w:r>
          </w:p>
        </w:tc>
        <w:tc>
          <w:tcPr>
            <w:tcW w:w="1134" w:type="dxa"/>
            <w:tcBorders>
              <w:top w:val="nil"/>
              <w:bottom w:val="nil"/>
            </w:tcBorders>
          </w:tcPr>
          <w:p w:rsidR="00083F05" w:rsidRPr="00E45AE8" w:rsidRDefault="00083F05" w:rsidP="00994A71">
            <w:pPr>
              <w:pStyle w:val="TableText0"/>
              <w:keepLines/>
              <w:spacing w:before="0" w:after="0"/>
              <w:jc w:val="center"/>
            </w:pPr>
            <w:r w:rsidRPr="00EC5750">
              <w:rPr>
                <w:rFonts w:eastAsia="Times New Roman" w:cs="Times New Roman"/>
              </w:rPr>
              <w:t>$</w:t>
            </w:r>
            <w:r w:rsidR="00E45AE8">
              <w:rPr>
                <w:noProof/>
                <w:color w:val="000000"/>
                <w:highlight w:val="black"/>
              </w:rPr>
              <w:t>'''''''''''''''''</w:t>
            </w:r>
            <w:r w:rsidR="008A39F3">
              <w:rPr>
                <w:vertAlign w:val="superscript"/>
              </w:rPr>
              <w:t>8</w:t>
            </w:r>
          </w:p>
        </w:tc>
        <w:tc>
          <w:tcPr>
            <w:tcW w:w="992" w:type="dxa"/>
            <w:tcBorders>
              <w:top w:val="nil"/>
              <w:bottom w:val="nil"/>
            </w:tcBorders>
          </w:tcPr>
          <w:p w:rsidR="00083F05" w:rsidRPr="00E436BE" w:rsidRDefault="00083F05" w:rsidP="00994A71">
            <w:pPr>
              <w:pStyle w:val="TableText0"/>
              <w:keepLines/>
              <w:spacing w:before="0" w:after="0"/>
              <w:jc w:val="center"/>
            </w:pPr>
            <w:r w:rsidRPr="00E436BE">
              <w:t>-28.0%</w:t>
            </w:r>
          </w:p>
        </w:tc>
      </w:tr>
      <w:tr w:rsidR="00083F05" w:rsidRPr="00D33691" w:rsidTr="00621DD1">
        <w:trPr>
          <w:trHeight w:val="20"/>
        </w:trPr>
        <w:tc>
          <w:tcPr>
            <w:tcW w:w="4531" w:type="dxa"/>
            <w:tcBorders>
              <w:top w:val="nil"/>
              <w:bottom w:val="nil"/>
            </w:tcBorders>
          </w:tcPr>
          <w:p w:rsidR="00083F05" w:rsidRPr="00E436BE" w:rsidRDefault="00083F05" w:rsidP="00994A71">
            <w:pPr>
              <w:pStyle w:val="Tabletext"/>
              <w:keepNext/>
              <w:keepLines/>
              <w:tabs>
                <w:tab w:val="left" w:pos="142"/>
              </w:tabs>
              <w:ind w:left="169"/>
            </w:pPr>
            <w:r w:rsidRPr="00E436BE">
              <w:t>Flexible – Hazards (K=0)</w:t>
            </w:r>
          </w:p>
        </w:tc>
        <w:tc>
          <w:tcPr>
            <w:tcW w:w="1276" w:type="dxa"/>
            <w:tcBorders>
              <w:top w:val="nil"/>
              <w:bottom w:val="nil"/>
            </w:tcBorders>
          </w:tcPr>
          <w:p w:rsidR="00083F05" w:rsidRPr="00E45AE8" w:rsidRDefault="00083F05" w:rsidP="00994A71">
            <w:pPr>
              <w:pStyle w:val="TableText0"/>
              <w:keepLines/>
              <w:spacing w:before="0" w:after="0"/>
              <w:jc w:val="center"/>
            </w:pPr>
            <w:r w:rsidRPr="00EC5750">
              <w:rPr>
                <w:rFonts w:eastAsia="Times New Roman" w:cs="Times New Roman"/>
              </w:rPr>
              <w:t>$</w:t>
            </w:r>
            <w:r w:rsidR="00E45AE8">
              <w:rPr>
                <w:noProof/>
                <w:color w:val="000000"/>
                <w:highlight w:val="black"/>
              </w:rPr>
              <w:t>''''''''''''''''</w:t>
            </w:r>
          </w:p>
        </w:tc>
        <w:tc>
          <w:tcPr>
            <w:tcW w:w="1276" w:type="dxa"/>
            <w:tcBorders>
              <w:top w:val="nil"/>
              <w:bottom w:val="nil"/>
            </w:tcBorders>
          </w:tcPr>
          <w:p w:rsidR="00083F05" w:rsidRPr="00E436BE" w:rsidRDefault="00083F05" w:rsidP="00994A71">
            <w:pPr>
              <w:pStyle w:val="TableText0"/>
              <w:keepLines/>
              <w:spacing w:before="0" w:after="0"/>
              <w:jc w:val="center"/>
            </w:pPr>
            <w:r w:rsidRPr="00E436BE">
              <w:t>0.853</w:t>
            </w:r>
          </w:p>
        </w:tc>
        <w:tc>
          <w:tcPr>
            <w:tcW w:w="1134" w:type="dxa"/>
            <w:tcBorders>
              <w:top w:val="nil"/>
              <w:bottom w:val="nil"/>
            </w:tcBorders>
          </w:tcPr>
          <w:p w:rsidR="00083F05" w:rsidRPr="00E45AE8" w:rsidRDefault="00083F05" w:rsidP="00994A71">
            <w:pPr>
              <w:pStyle w:val="TableText0"/>
              <w:keepLines/>
              <w:spacing w:before="0" w:after="0"/>
              <w:jc w:val="center"/>
            </w:pPr>
            <w:r w:rsidRPr="00EC5750">
              <w:rPr>
                <w:rFonts w:eastAsia="Times New Roman" w:cs="Times New Roman"/>
              </w:rPr>
              <w:t>$</w:t>
            </w:r>
            <w:r w:rsidR="00E45AE8">
              <w:rPr>
                <w:noProof/>
                <w:color w:val="000000"/>
                <w:highlight w:val="black"/>
              </w:rPr>
              <w:t>''''''''''''''''</w:t>
            </w:r>
            <w:r w:rsidR="008A39F3">
              <w:rPr>
                <w:vertAlign w:val="superscript"/>
              </w:rPr>
              <w:t>8</w:t>
            </w:r>
          </w:p>
        </w:tc>
        <w:tc>
          <w:tcPr>
            <w:tcW w:w="992" w:type="dxa"/>
            <w:tcBorders>
              <w:top w:val="nil"/>
              <w:bottom w:val="nil"/>
            </w:tcBorders>
          </w:tcPr>
          <w:p w:rsidR="00083F05" w:rsidRPr="00E436BE" w:rsidRDefault="00083F05" w:rsidP="00994A71">
            <w:pPr>
              <w:pStyle w:val="TableText0"/>
              <w:keepLines/>
              <w:spacing w:before="0" w:after="0"/>
              <w:jc w:val="center"/>
            </w:pPr>
            <w:r w:rsidRPr="00E436BE">
              <w:t>-32.1%</w:t>
            </w:r>
          </w:p>
        </w:tc>
      </w:tr>
      <w:tr w:rsidR="00083F05" w:rsidRPr="00D33691" w:rsidTr="00621DD1">
        <w:trPr>
          <w:trHeight w:val="20"/>
        </w:trPr>
        <w:tc>
          <w:tcPr>
            <w:tcW w:w="4531" w:type="dxa"/>
            <w:tcBorders>
              <w:top w:val="nil"/>
              <w:bottom w:val="nil"/>
            </w:tcBorders>
          </w:tcPr>
          <w:p w:rsidR="00083F05" w:rsidRPr="00E436BE" w:rsidRDefault="00083F05" w:rsidP="00994A71">
            <w:pPr>
              <w:pStyle w:val="Tabletext"/>
              <w:keepNext/>
              <w:keepLines/>
              <w:tabs>
                <w:tab w:val="left" w:pos="142"/>
              </w:tabs>
              <w:ind w:left="169"/>
            </w:pPr>
            <w:r w:rsidRPr="00E436BE">
              <w:t>Flexible – Hazards (K=1)</w:t>
            </w:r>
          </w:p>
        </w:tc>
        <w:tc>
          <w:tcPr>
            <w:tcW w:w="1276" w:type="dxa"/>
            <w:tcBorders>
              <w:top w:val="nil"/>
              <w:bottom w:val="nil"/>
            </w:tcBorders>
          </w:tcPr>
          <w:p w:rsidR="00083F05" w:rsidRPr="00E45AE8" w:rsidRDefault="00083F05" w:rsidP="00994A71">
            <w:pPr>
              <w:pStyle w:val="TableText0"/>
              <w:keepLines/>
              <w:spacing w:before="0" w:after="0"/>
              <w:jc w:val="center"/>
            </w:pPr>
            <w:r w:rsidRPr="00EC5750">
              <w:rPr>
                <w:rFonts w:eastAsia="Times New Roman" w:cs="Times New Roman"/>
              </w:rPr>
              <w:t>$</w:t>
            </w:r>
            <w:r w:rsidR="00E45AE8">
              <w:rPr>
                <w:noProof/>
                <w:color w:val="000000"/>
                <w:highlight w:val="black"/>
              </w:rPr>
              <w:t>'''''''''''''''</w:t>
            </w:r>
          </w:p>
        </w:tc>
        <w:tc>
          <w:tcPr>
            <w:tcW w:w="1276" w:type="dxa"/>
            <w:tcBorders>
              <w:top w:val="nil"/>
              <w:bottom w:val="nil"/>
            </w:tcBorders>
          </w:tcPr>
          <w:p w:rsidR="00083F05" w:rsidRPr="00E436BE" w:rsidRDefault="00083F05" w:rsidP="00994A71">
            <w:pPr>
              <w:pStyle w:val="TableText0"/>
              <w:keepLines/>
              <w:spacing w:before="0" w:after="0"/>
              <w:jc w:val="center"/>
            </w:pPr>
            <w:r w:rsidRPr="00E436BE">
              <w:t>0.853</w:t>
            </w:r>
          </w:p>
        </w:tc>
        <w:tc>
          <w:tcPr>
            <w:tcW w:w="1134" w:type="dxa"/>
            <w:tcBorders>
              <w:top w:val="nil"/>
              <w:bottom w:val="nil"/>
            </w:tcBorders>
          </w:tcPr>
          <w:p w:rsidR="00083F05" w:rsidRPr="00E45AE8" w:rsidRDefault="00083F05" w:rsidP="00994A71">
            <w:pPr>
              <w:pStyle w:val="TableText0"/>
              <w:keepLines/>
              <w:spacing w:before="0" w:after="0"/>
              <w:jc w:val="center"/>
            </w:pPr>
            <w:r w:rsidRPr="00EC5750">
              <w:rPr>
                <w:rFonts w:eastAsia="Times New Roman" w:cs="Times New Roman"/>
              </w:rPr>
              <w:t>$</w:t>
            </w:r>
            <w:r w:rsidR="00E45AE8">
              <w:rPr>
                <w:noProof/>
                <w:color w:val="000000"/>
                <w:highlight w:val="black"/>
              </w:rPr>
              <w:t>''''''''''''''''</w:t>
            </w:r>
            <w:r w:rsidR="008A39F3">
              <w:rPr>
                <w:vertAlign w:val="superscript"/>
              </w:rPr>
              <w:t>8</w:t>
            </w:r>
          </w:p>
        </w:tc>
        <w:tc>
          <w:tcPr>
            <w:tcW w:w="992" w:type="dxa"/>
            <w:tcBorders>
              <w:top w:val="nil"/>
              <w:bottom w:val="nil"/>
            </w:tcBorders>
          </w:tcPr>
          <w:p w:rsidR="00083F05" w:rsidRPr="00E436BE" w:rsidRDefault="00083F05" w:rsidP="00994A71">
            <w:pPr>
              <w:pStyle w:val="TableText0"/>
              <w:keepLines/>
              <w:spacing w:before="0" w:after="0"/>
              <w:jc w:val="center"/>
            </w:pPr>
            <w:r w:rsidRPr="00E436BE">
              <w:t>-21.6%</w:t>
            </w:r>
          </w:p>
        </w:tc>
      </w:tr>
      <w:tr w:rsidR="00083F05" w:rsidRPr="00D33691" w:rsidTr="00621DD1">
        <w:trPr>
          <w:trHeight w:val="20"/>
        </w:trPr>
        <w:tc>
          <w:tcPr>
            <w:tcW w:w="4531" w:type="dxa"/>
            <w:tcBorders>
              <w:top w:val="nil"/>
            </w:tcBorders>
          </w:tcPr>
          <w:p w:rsidR="00083F05" w:rsidRPr="00E436BE" w:rsidRDefault="00083F05" w:rsidP="00994A71">
            <w:pPr>
              <w:pStyle w:val="Tabletext"/>
              <w:keepNext/>
              <w:keepLines/>
              <w:tabs>
                <w:tab w:val="left" w:pos="142"/>
              </w:tabs>
              <w:ind w:left="169"/>
            </w:pPr>
            <w:r w:rsidRPr="00E436BE">
              <w:t>Flexible -Normal (k=1)</w:t>
            </w:r>
          </w:p>
        </w:tc>
        <w:tc>
          <w:tcPr>
            <w:tcW w:w="1276" w:type="dxa"/>
            <w:tcBorders>
              <w:top w:val="nil"/>
            </w:tcBorders>
          </w:tcPr>
          <w:p w:rsidR="00083F05" w:rsidRPr="00E45AE8" w:rsidRDefault="00083F05" w:rsidP="00994A71">
            <w:pPr>
              <w:pStyle w:val="TableText0"/>
              <w:keepLines/>
              <w:spacing w:before="0" w:after="0"/>
              <w:jc w:val="center"/>
            </w:pPr>
            <w:r w:rsidRPr="00EC5750">
              <w:rPr>
                <w:rFonts w:eastAsia="Times New Roman" w:cs="Times New Roman"/>
              </w:rPr>
              <w:t>$</w:t>
            </w:r>
            <w:r w:rsidR="00E45AE8">
              <w:rPr>
                <w:noProof/>
                <w:color w:val="000000"/>
                <w:highlight w:val="black"/>
              </w:rPr>
              <w:t>'''''''''''''''</w:t>
            </w:r>
          </w:p>
        </w:tc>
        <w:tc>
          <w:tcPr>
            <w:tcW w:w="1276" w:type="dxa"/>
            <w:tcBorders>
              <w:top w:val="nil"/>
            </w:tcBorders>
          </w:tcPr>
          <w:p w:rsidR="00083F05" w:rsidRPr="00E436BE" w:rsidRDefault="00083F05" w:rsidP="00994A71">
            <w:pPr>
              <w:pStyle w:val="TableText0"/>
              <w:keepLines/>
              <w:spacing w:before="0" w:after="0"/>
              <w:jc w:val="center"/>
            </w:pPr>
            <w:r w:rsidRPr="00E436BE">
              <w:t>0.855</w:t>
            </w:r>
          </w:p>
        </w:tc>
        <w:tc>
          <w:tcPr>
            <w:tcW w:w="1134" w:type="dxa"/>
            <w:tcBorders>
              <w:top w:val="nil"/>
            </w:tcBorders>
          </w:tcPr>
          <w:p w:rsidR="00083F05" w:rsidRPr="00E45AE8" w:rsidRDefault="00083F05" w:rsidP="00994A71">
            <w:pPr>
              <w:pStyle w:val="TableText0"/>
              <w:keepLines/>
              <w:spacing w:before="0" w:after="0"/>
              <w:jc w:val="center"/>
            </w:pPr>
            <w:r w:rsidRPr="00EC5750">
              <w:rPr>
                <w:rFonts w:eastAsia="Times New Roman" w:cs="Times New Roman"/>
              </w:rPr>
              <w:t>$</w:t>
            </w:r>
            <w:r w:rsidR="00E45AE8">
              <w:rPr>
                <w:noProof/>
                <w:color w:val="000000"/>
                <w:highlight w:val="black"/>
              </w:rPr>
              <w:t>'''''''''''''''</w:t>
            </w:r>
            <w:r w:rsidR="008A39F3">
              <w:rPr>
                <w:vertAlign w:val="superscript"/>
              </w:rPr>
              <w:t>1</w:t>
            </w:r>
          </w:p>
        </w:tc>
        <w:tc>
          <w:tcPr>
            <w:tcW w:w="992" w:type="dxa"/>
            <w:tcBorders>
              <w:top w:val="nil"/>
            </w:tcBorders>
          </w:tcPr>
          <w:p w:rsidR="00083F05" w:rsidRPr="00E436BE" w:rsidRDefault="00083F05" w:rsidP="00994A71">
            <w:pPr>
              <w:pStyle w:val="TableText0"/>
              <w:keepLines/>
              <w:spacing w:before="0" w:after="0"/>
              <w:jc w:val="center"/>
            </w:pPr>
            <w:r w:rsidRPr="00E436BE">
              <w:t>-11.5%</w:t>
            </w:r>
          </w:p>
        </w:tc>
      </w:tr>
    </w:tbl>
    <w:p w:rsidR="00083F05" w:rsidRPr="00D33691" w:rsidRDefault="00083F05" w:rsidP="00083F05">
      <w:pPr>
        <w:pStyle w:val="TableFooter"/>
        <w:keepNext/>
        <w:keepLines/>
      </w:pPr>
      <w:r w:rsidRPr="00D33691">
        <w:t>Source: Ta</w:t>
      </w:r>
      <w:r w:rsidR="00F81D5A">
        <w:t xml:space="preserve">bles 3-30 and 3-31, pp160-161 of the submission </w:t>
      </w:r>
      <w:r w:rsidRPr="00D33691">
        <w:t>and QinLock Cost-effectiveness model _november 2020 (version 1).xlsx</w:t>
      </w:r>
    </w:p>
    <w:p w:rsidR="00567D3A" w:rsidRDefault="00567D3A" w:rsidP="00567D3A">
      <w:pPr>
        <w:pStyle w:val="TableFooter"/>
        <w:keepNext/>
        <w:rPr>
          <w:rFonts w:cs="Times New Roman"/>
          <w:snapToGrid/>
          <w:sz w:val="20"/>
          <w:szCs w:val="20"/>
          <w:lang w:val="en-US"/>
        </w:rPr>
      </w:pPr>
      <w:r>
        <w:rPr>
          <w:lang w:val="en-US"/>
        </w:rPr>
        <w:t>*The submission did not incorporate functionality for removing ripretinib costs of cross over patients. During the evaluation, this was tested by setting cells J1623:J2141 in Datastore worksheet of the economic model to equal 0.</w:t>
      </w:r>
    </w:p>
    <w:p w:rsidR="00567D3A" w:rsidRDefault="00567D3A" w:rsidP="00567D3A">
      <w:pPr>
        <w:pStyle w:val="TableFooter"/>
        <w:keepNext/>
        <w:jc w:val="left"/>
        <w:rPr>
          <w:lang w:val="en-US"/>
        </w:rPr>
      </w:pPr>
      <w:r>
        <w:rPr>
          <w:lang w:val="en-US"/>
        </w:rPr>
        <w:t xml:space="preserve">**this was done during the </w:t>
      </w:r>
      <w:r w:rsidR="002763CE">
        <w:rPr>
          <w:lang w:val="en-US"/>
        </w:rPr>
        <w:t xml:space="preserve">during the development of the ESC advice </w:t>
      </w:r>
      <w:r>
        <w:rPr>
          <w:lang w:val="en-US"/>
        </w:rPr>
        <w:t>by making the above change as well as changing Cell N9 (with corresponding changes to all cells in the column) of Trace (ripretinib) to  =I9*((0.13*Intervention_compliance*Intervention_RDI*(Intervention_trt_cost_X+admin_Intervention_cost_X))+(0.37*Intervention_compliance*Intervention_RDI*2*(Intervention_trt_cost_X+admin_Intervention_cost_X ))+ (0.5*Comparator1_compliance*Comparator1_RDI*(Comparator1_trt_cost_X+admin_Comparator1_cost_X)))*1/(1+dr_cost)^$C9</w:t>
      </w:r>
    </w:p>
    <w:p w:rsidR="00484239" w:rsidRDefault="00484239" w:rsidP="00567D3A">
      <w:pPr>
        <w:pStyle w:val="TableFooter"/>
        <w:keepNext/>
        <w:jc w:val="left"/>
        <w:rPr>
          <w:lang w:val="en-US"/>
        </w:rPr>
      </w:pPr>
      <w:r>
        <w:rPr>
          <w:lang w:val="en-US"/>
        </w:rPr>
        <w:t>*** Analyses undertaken during the evaluation</w:t>
      </w:r>
    </w:p>
    <w:p w:rsidR="00EC5750" w:rsidRPr="009868C4" w:rsidRDefault="00EC5750" w:rsidP="00EC5750">
      <w:pPr>
        <w:pStyle w:val="TableFigureFooter"/>
        <w:spacing w:after="0"/>
        <w:contextualSpacing w:val="0"/>
      </w:pPr>
      <w:r w:rsidRPr="009868C4">
        <w:rPr>
          <w:i/>
        </w:rPr>
        <w:t>The redacted values correspond to the following ranges</w:t>
      </w:r>
      <w:r>
        <w:rPr>
          <w:i/>
        </w:rPr>
        <w:t xml:space="preserve">: </w:t>
      </w:r>
    </w:p>
    <w:p w:rsidR="00EC5750" w:rsidRPr="00EC5750" w:rsidRDefault="00EC5750" w:rsidP="00567D3A">
      <w:pPr>
        <w:pStyle w:val="TableFooter"/>
        <w:keepNext/>
        <w:jc w:val="left"/>
        <w:rPr>
          <w:i/>
          <w:lang w:val="en-US"/>
        </w:rPr>
      </w:pPr>
      <w:r>
        <w:rPr>
          <w:i/>
          <w:vertAlign w:val="superscript"/>
          <w:lang w:val="en-US"/>
        </w:rPr>
        <w:t xml:space="preserve">1 </w:t>
      </w:r>
      <w:r w:rsidRPr="00EC5750">
        <w:rPr>
          <w:i/>
          <w:lang w:val="en-US"/>
        </w:rPr>
        <w:t>$75,000 to &lt; $95,000</w:t>
      </w:r>
    </w:p>
    <w:p w:rsidR="00EC5750" w:rsidRPr="00EC5750" w:rsidRDefault="00EC5750" w:rsidP="00567D3A">
      <w:pPr>
        <w:pStyle w:val="TableFooter"/>
        <w:keepNext/>
        <w:jc w:val="left"/>
        <w:rPr>
          <w:i/>
          <w:lang w:val="en-US"/>
        </w:rPr>
      </w:pPr>
      <w:r>
        <w:rPr>
          <w:i/>
          <w:vertAlign w:val="superscript"/>
          <w:lang w:val="en-US"/>
        </w:rPr>
        <w:t xml:space="preserve">2 </w:t>
      </w:r>
      <w:r w:rsidRPr="00EC5750">
        <w:rPr>
          <w:i/>
          <w:lang w:val="en-US"/>
        </w:rPr>
        <w:t>$155,000 to &lt; $255,000</w:t>
      </w:r>
    </w:p>
    <w:p w:rsidR="00EC5750" w:rsidRPr="00EC5750" w:rsidRDefault="00EC5750" w:rsidP="00567D3A">
      <w:pPr>
        <w:pStyle w:val="TableFooter"/>
        <w:keepNext/>
        <w:jc w:val="left"/>
        <w:rPr>
          <w:i/>
          <w:lang w:val="en-US"/>
        </w:rPr>
      </w:pPr>
      <w:r>
        <w:rPr>
          <w:i/>
          <w:vertAlign w:val="superscript"/>
          <w:lang w:val="en-US"/>
        </w:rPr>
        <w:t xml:space="preserve">3 </w:t>
      </w:r>
      <w:r w:rsidRPr="00EC5750">
        <w:rPr>
          <w:i/>
          <w:lang w:val="en-US"/>
        </w:rPr>
        <w:t>$355,000 to &lt; $455,000</w:t>
      </w:r>
    </w:p>
    <w:p w:rsidR="00EC5750" w:rsidRPr="00EC5750" w:rsidRDefault="00EC5750" w:rsidP="00567D3A">
      <w:pPr>
        <w:pStyle w:val="TableFooter"/>
        <w:keepNext/>
        <w:jc w:val="left"/>
        <w:rPr>
          <w:i/>
          <w:lang w:val="en-US"/>
        </w:rPr>
      </w:pPr>
      <w:r>
        <w:rPr>
          <w:i/>
          <w:vertAlign w:val="superscript"/>
          <w:lang w:val="en-US"/>
        </w:rPr>
        <w:t xml:space="preserve">4 </w:t>
      </w:r>
      <w:r w:rsidRPr="00EC5750">
        <w:rPr>
          <w:i/>
          <w:lang w:val="en-US"/>
        </w:rPr>
        <w:t>$95,000 to &lt; $115,000</w:t>
      </w:r>
    </w:p>
    <w:p w:rsidR="00EC5750" w:rsidRPr="00EC5750" w:rsidRDefault="00EC5750" w:rsidP="00567D3A">
      <w:pPr>
        <w:pStyle w:val="TableFooter"/>
        <w:keepNext/>
        <w:jc w:val="left"/>
        <w:rPr>
          <w:i/>
          <w:lang w:val="en-US"/>
        </w:rPr>
      </w:pPr>
      <w:r>
        <w:rPr>
          <w:i/>
          <w:vertAlign w:val="superscript"/>
          <w:lang w:val="en-US"/>
        </w:rPr>
        <w:t xml:space="preserve">5 </w:t>
      </w:r>
      <w:r w:rsidRPr="00EC5750">
        <w:rPr>
          <w:i/>
          <w:lang w:val="en-US"/>
        </w:rPr>
        <w:t>$135,000 to &lt; $155,000</w:t>
      </w:r>
    </w:p>
    <w:p w:rsidR="00EC5750" w:rsidRPr="00EC5750" w:rsidRDefault="00EC5750" w:rsidP="00567D3A">
      <w:pPr>
        <w:pStyle w:val="TableFooter"/>
        <w:keepNext/>
        <w:jc w:val="left"/>
        <w:rPr>
          <w:i/>
          <w:lang w:val="en-US"/>
        </w:rPr>
      </w:pPr>
      <w:r>
        <w:rPr>
          <w:i/>
          <w:vertAlign w:val="superscript"/>
          <w:lang w:val="en-US"/>
        </w:rPr>
        <w:t xml:space="preserve">6 </w:t>
      </w:r>
      <w:r w:rsidRPr="00EC5750">
        <w:rPr>
          <w:i/>
          <w:lang w:val="en-US"/>
        </w:rPr>
        <w:t>$455,000 to &lt; $555,000</w:t>
      </w:r>
    </w:p>
    <w:p w:rsidR="00EC5750" w:rsidRPr="00EC5750" w:rsidRDefault="00EC5750" w:rsidP="00567D3A">
      <w:pPr>
        <w:pStyle w:val="TableFooter"/>
        <w:keepNext/>
        <w:jc w:val="left"/>
        <w:rPr>
          <w:i/>
          <w:lang w:val="en-US"/>
        </w:rPr>
      </w:pPr>
      <w:r>
        <w:rPr>
          <w:i/>
          <w:vertAlign w:val="superscript"/>
          <w:lang w:val="en-US"/>
        </w:rPr>
        <w:t xml:space="preserve">7 </w:t>
      </w:r>
      <w:r w:rsidRPr="00EC5750">
        <w:rPr>
          <w:i/>
          <w:lang w:val="en-US"/>
        </w:rPr>
        <w:t>$115,000 to &lt; $135,000</w:t>
      </w:r>
    </w:p>
    <w:p w:rsidR="00EC5750" w:rsidRDefault="00EC5750" w:rsidP="00567D3A">
      <w:pPr>
        <w:pStyle w:val="TableFooter"/>
        <w:keepNext/>
        <w:jc w:val="left"/>
        <w:rPr>
          <w:lang w:val="en-US"/>
        </w:rPr>
      </w:pPr>
      <w:r>
        <w:rPr>
          <w:i/>
          <w:vertAlign w:val="superscript"/>
          <w:lang w:val="en-US"/>
        </w:rPr>
        <w:t xml:space="preserve">8 </w:t>
      </w:r>
      <w:r w:rsidRPr="00EC5750">
        <w:rPr>
          <w:i/>
          <w:lang w:val="en-US"/>
        </w:rPr>
        <w:t>$55,000 to &lt; $75,000</w:t>
      </w:r>
    </w:p>
    <w:p w:rsidR="00083F05" w:rsidRPr="00A86E8B" w:rsidRDefault="00083F05" w:rsidP="00083F05">
      <w:pPr>
        <w:widowControl/>
      </w:pPr>
    </w:p>
    <w:p w:rsidR="00083F05" w:rsidRPr="00E436BE" w:rsidRDefault="00083F05" w:rsidP="008A39F3">
      <w:pPr>
        <w:pStyle w:val="ListParagraph"/>
        <w:widowControl/>
        <w:numPr>
          <w:ilvl w:val="1"/>
          <w:numId w:val="2"/>
        </w:numPr>
      </w:pPr>
      <w:r w:rsidRPr="00E436BE">
        <w:t xml:space="preserve">The economic model </w:t>
      </w:r>
      <w:r w:rsidR="00E93ED5" w:rsidRPr="00E436BE">
        <w:t xml:space="preserve">presented by the submission </w:t>
      </w:r>
      <w:r w:rsidRPr="00E436BE">
        <w:t xml:space="preserve">did </w:t>
      </w:r>
      <w:r w:rsidR="00E93ED5" w:rsidRPr="00E436BE">
        <w:t xml:space="preserve">not </w:t>
      </w:r>
      <w:r w:rsidRPr="00E436BE">
        <w:t xml:space="preserve">have the operability to remove post progression ripretinib costs for BSC. </w:t>
      </w:r>
      <w:r w:rsidR="00E93ED5" w:rsidRPr="00E436BE">
        <w:t xml:space="preserve">Instead, the proportion of </w:t>
      </w:r>
      <w:r w:rsidRPr="00E436BE">
        <w:t xml:space="preserve">patients </w:t>
      </w:r>
      <w:r w:rsidR="00E93ED5" w:rsidRPr="00E436BE">
        <w:t xml:space="preserve">who received post progression ripretinib </w:t>
      </w:r>
      <w:r w:rsidRPr="00E436BE">
        <w:t xml:space="preserve">were </w:t>
      </w:r>
      <w:r w:rsidR="00E93ED5" w:rsidRPr="00E436BE">
        <w:t xml:space="preserve">set </w:t>
      </w:r>
      <w:r w:rsidR="00AE0CD5" w:rsidRPr="00E436BE">
        <w:t>to be zero</w:t>
      </w:r>
      <w:r w:rsidRPr="00E436BE">
        <w:t xml:space="preserve"> throughout the model</w:t>
      </w:r>
      <w:r w:rsidR="00E93ED5" w:rsidRPr="00E436BE">
        <w:t xml:space="preserve"> during the evaluation</w:t>
      </w:r>
      <w:r w:rsidR="0009628E">
        <w:t xml:space="preserve"> meaning only the costs were adjusted</w:t>
      </w:r>
      <w:r w:rsidR="00E93ED5" w:rsidRPr="00E436BE">
        <w:t>.</w:t>
      </w:r>
      <w:r w:rsidRPr="00E436BE">
        <w:t xml:space="preserve"> </w:t>
      </w:r>
      <w:r w:rsidR="00E93ED5" w:rsidRPr="00E436BE">
        <w:t>T</w:t>
      </w:r>
      <w:r w:rsidRPr="00E436BE">
        <w:t xml:space="preserve">his </w:t>
      </w:r>
      <w:r w:rsidR="00E93ED5" w:rsidRPr="00E436BE">
        <w:t xml:space="preserve">resulted in </w:t>
      </w:r>
      <w:r w:rsidRPr="00E436BE">
        <w:t>a</w:t>
      </w:r>
      <w:r w:rsidR="00E93ED5" w:rsidRPr="00E436BE">
        <w:t xml:space="preserve">n ICER </w:t>
      </w:r>
      <w:r w:rsidR="00E93ED5" w:rsidRPr="00E436BE">
        <w:lastRenderedPageBreak/>
        <w:t xml:space="preserve">of </w:t>
      </w:r>
      <w:r w:rsidR="008A39F3" w:rsidRPr="008A39F3">
        <w:t>$155,000 to &lt; $255,000</w:t>
      </w:r>
      <w:r w:rsidR="00E93ED5" w:rsidRPr="00E436BE">
        <w:t>/QALY, 136% higher than the base case proposed by the submission</w:t>
      </w:r>
      <w:r w:rsidRPr="00E436BE">
        <w:t xml:space="preserve">. </w:t>
      </w:r>
    </w:p>
    <w:p w:rsidR="00567D3A" w:rsidRPr="00954D37" w:rsidRDefault="00BA0DCA" w:rsidP="00DC1993">
      <w:pPr>
        <w:pStyle w:val="ListParagraph"/>
        <w:widowControl/>
        <w:numPr>
          <w:ilvl w:val="1"/>
          <w:numId w:val="2"/>
        </w:numPr>
      </w:pPr>
      <w:r w:rsidRPr="00E436BE">
        <w:t>The</w:t>
      </w:r>
      <w:r w:rsidR="002763CE">
        <w:t xml:space="preserve"> </w:t>
      </w:r>
      <w:r w:rsidR="002763CE" w:rsidRPr="00954D37">
        <w:t>ESC considered the</w:t>
      </w:r>
      <w:r w:rsidRPr="00954D37">
        <w:t xml:space="preserve"> submission</w:t>
      </w:r>
      <w:r w:rsidR="00EF2BF9" w:rsidRPr="00954D37">
        <w:t>’s</w:t>
      </w:r>
      <w:r w:rsidRPr="00E436BE">
        <w:t xml:space="preserve"> base case was among the most favourable </w:t>
      </w:r>
      <w:r w:rsidR="00E93ED5" w:rsidRPr="00E436BE">
        <w:t xml:space="preserve">in regards to </w:t>
      </w:r>
      <w:r w:rsidR="00DB74A5">
        <w:t>OS</w:t>
      </w:r>
      <w:r w:rsidRPr="00E436BE">
        <w:t xml:space="preserve"> extrapolations of the modelled options. Given that the INVICTUS trial failed to demonstrate statistically significant superiority in OS</w:t>
      </w:r>
      <w:r w:rsidRPr="00954D37">
        <w:t xml:space="preserve">, the </w:t>
      </w:r>
      <w:r w:rsidR="002763CE" w:rsidRPr="00954D37">
        <w:t xml:space="preserve">ESC advised the </w:t>
      </w:r>
      <w:r w:rsidRPr="00954D37">
        <w:t xml:space="preserve">modelled survival gains could be considered unreasonably favourable to ripretinib. </w:t>
      </w:r>
      <w:r w:rsidR="00DC1993" w:rsidRPr="00954D37">
        <w:t>In addition, the ESC considered that the assumptions used to manage post progression ripretinib costs strongly favoured ripretinib (see paragraphs 6.</w:t>
      </w:r>
      <w:r w:rsidR="002F1F1B">
        <w:t>48</w:t>
      </w:r>
      <w:r w:rsidR="00DC1993" w:rsidRPr="00954D37">
        <w:t xml:space="preserve"> and 6.</w:t>
      </w:r>
      <w:r w:rsidR="002F1F1B">
        <w:t>49</w:t>
      </w:r>
      <w:r w:rsidR="00DC1993" w:rsidRPr="00954D37">
        <w:t>). As such, t</w:t>
      </w:r>
      <w:r w:rsidR="00567D3A" w:rsidRPr="00954D37">
        <w:t>he ESC recommended the following amendments to the economic analysis:</w:t>
      </w:r>
    </w:p>
    <w:p w:rsidR="00D25EAE" w:rsidRPr="00954D37" w:rsidRDefault="00D25EAE" w:rsidP="008F571B">
      <w:pPr>
        <w:pStyle w:val="ListParagraph"/>
        <w:numPr>
          <w:ilvl w:val="0"/>
          <w:numId w:val="4"/>
        </w:numPr>
        <w:ind w:left="1134" w:hanging="425"/>
      </w:pPr>
      <w:r w:rsidRPr="00954D37">
        <w:t>Exclude post progression ripretinib costs in BSC arm</w:t>
      </w:r>
    </w:p>
    <w:p w:rsidR="00567D3A" w:rsidRPr="00954D37" w:rsidRDefault="00D25EAE" w:rsidP="008F571B">
      <w:pPr>
        <w:pStyle w:val="ListParagraph"/>
        <w:numPr>
          <w:ilvl w:val="0"/>
          <w:numId w:val="4"/>
        </w:numPr>
        <w:ind w:left="1134" w:hanging="425"/>
      </w:pPr>
      <w:r w:rsidRPr="00954D37">
        <w:t xml:space="preserve">Include post </w:t>
      </w:r>
      <w:r w:rsidR="00567D3A" w:rsidRPr="00954D37">
        <w:t xml:space="preserve">progression </w:t>
      </w:r>
      <w:r w:rsidRPr="00954D37">
        <w:t xml:space="preserve">ripretinib </w:t>
      </w:r>
      <w:r w:rsidR="00567D3A" w:rsidRPr="00954D37">
        <w:t>costs in ripretinib arm</w:t>
      </w:r>
    </w:p>
    <w:p w:rsidR="00DC1993" w:rsidRPr="00954D37" w:rsidRDefault="00567D3A" w:rsidP="008F571B">
      <w:pPr>
        <w:pStyle w:val="ListParagraph"/>
        <w:numPr>
          <w:ilvl w:val="0"/>
          <w:numId w:val="4"/>
        </w:numPr>
        <w:ind w:left="1134" w:hanging="425"/>
      </w:pPr>
      <w:r w:rsidRPr="00954D37">
        <w:t xml:space="preserve">Adjust OS for </w:t>
      </w:r>
      <w:r w:rsidR="004C36B8" w:rsidRPr="00954D37">
        <w:t>cross over</w:t>
      </w:r>
      <w:r w:rsidRPr="00954D37">
        <w:t xml:space="preserve"> in the BSC arm</w:t>
      </w:r>
      <w:r w:rsidR="00DC1993" w:rsidRPr="00954D37">
        <w:t>.</w:t>
      </w:r>
    </w:p>
    <w:p w:rsidR="00567D3A" w:rsidRDefault="00D25EAE" w:rsidP="00D25EAE">
      <w:pPr>
        <w:pStyle w:val="ListParagraph"/>
        <w:keepNext/>
        <w:widowControl/>
        <w:spacing w:after="120"/>
      </w:pPr>
      <w:r w:rsidRPr="00954D37">
        <w:t xml:space="preserve">The ESC noted that amending post progression ripretinib costs in both arms of the economic model increased the ICER to </w:t>
      </w:r>
      <w:r w:rsidR="008A39F3" w:rsidRPr="008A39F3">
        <w:t>$355,000 to &lt; $455,000</w:t>
      </w:r>
      <w:r w:rsidRPr="00954D37">
        <w:t>/QALY. The ESC noted that</w:t>
      </w:r>
      <w:r w:rsidR="004C36B8" w:rsidRPr="00954D37">
        <w:t xml:space="preserve"> </w:t>
      </w:r>
      <w:r w:rsidRPr="00954D37">
        <w:t xml:space="preserve">adjustments </w:t>
      </w:r>
      <w:r w:rsidR="004C36B8" w:rsidRPr="00954D37">
        <w:t xml:space="preserve">for cross over were not made in the submission for OS analyses. However, the ESC advised that if such analyses were not forthcoming, </w:t>
      </w:r>
      <w:r w:rsidR="00611029" w:rsidRPr="00954D37">
        <w:t>non-</w:t>
      </w:r>
      <w:r w:rsidR="004C36B8" w:rsidRPr="00954D37">
        <w:t xml:space="preserve">adjustment for treatment switching would be considered conservative.  </w:t>
      </w:r>
    </w:p>
    <w:p w:rsidR="00634E47" w:rsidRDefault="000027C0" w:rsidP="008A39F3">
      <w:pPr>
        <w:pStyle w:val="ListParagraph"/>
        <w:widowControl/>
        <w:numPr>
          <w:ilvl w:val="1"/>
          <w:numId w:val="2"/>
        </w:numPr>
      </w:pPr>
      <w:r>
        <w:t xml:space="preserve">The pre-PBAC response suggested a way forward could be based on the sensitivity analysis that </w:t>
      </w:r>
      <w:r w:rsidRPr="00E436BE">
        <w:t>remove</w:t>
      </w:r>
      <w:r>
        <w:t>d</w:t>
      </w:r>
      <w:r w:rsidRPr="00E436BE">
        <w:t xml:space="preserve"> post progression ripretinib costs for BSC</w:t>
      </w:r>
      <w:r>
        <w:t xml:space="preserve"> resulting in an ICER of </w:t>
      </w:r>
      <w:r w:rsidR="008A39F3" w:rsidRPr="008A39F3">
        <w:t>$155,000 to &lt; $255,000</w:t>
      </w:r>
      <w:r>
        <w:t xml:space="preserve">/QALY </w:t>
      </w:r>
      <w:r w:rsidR="009C70E7">
        <w:t>(see paragraph 6.56</w:t>
      </w:r>
      <w:r w:rsidR="006C1547">
        <w:t xml:space="preserve">). </w:t>
      </w:r>
      <w:r w:rsidR="00695382">
        <w:t xml:space="preserve">The pre-PBAC response </w:t>
      </w:r>
      <w:r w:rsidR="006C1547">
        <w:t>proposed</w:t>
      </w:r>
      <w:r w:rsidR="00695382">
        <w:t xml:space="preserve"> a modified version of the sensitivity analysis in paragraph 6.56 which assumed a 50% reduction in QALYs in the BSC arm. </w:t>
      </w:r>
      <w:r w:rsidR="00340040">
        <w:t>T</w:t>
      </w:r>
      <w:r w:rsidR="006C1547">
        <w:t>he pre-PBAC response advised</w:t>
      </w:r>
      <w:r w:rsidR="00340040">
        <w:t xml:space="preserve"> that the sponsor would be open to a price reduction that takes into account a modified version of this sensitivity analysis that </w:t>
      </w:r>
      <w:r w:rsidR="006C1547">
        <w:t>adjusts for</w:t>
      </w:r>
      <w:r w:rsidR="00340040">
        <w:t xml:space="preserve"> post progression cross over treatment effect in the BSC arm. </w:t>
      </w:r>
      <w:r w:rsidR="00695382">
        <w:t xml:space="preserve">The PBAC did not accept the </w:t>
      </w:r>
      <w:r w:rsidR="006C1547">
        <w:t xml:space="preserve">approach taken in the </w:t>
      </w:r>
      <w:r w:rsidR="00695382">
        <w:t xml:space="preserve">pre-PBAC response </w:t>
      </w:r>
      <w:r w:rsidR="006C1547">
        <w:t xml:space="preserve">to modify the </w:t>
      </w:r>
      <w:r w:rsidR="00695382">
        <w:t>sensitivity analysis</w:t>
      </w:r>
      <w:r w:rsidR="006C1547">
        <w:t xml:space="preserve"> in paragraph 6.56</w:t>
      </w:r>
      <w:r w:rsidR="009C70E7">
        <w:t xml:space="preserve">. </w:t>
      </w:r>
      <w:r w:rsidR="00634E47">
        <w:t xml:space="preserve">Instead, the PBAC considered that the sensitivity analysis outlined in paragraph 6.56, would be an appropriate basis for a price reduction. </w:t>
      </w:r>
    </w:p>
    <w:p w:rsidR="00083F05" w:rsidRDefault="00083F05" w:rsidP="000571E1">
      <w:pPr>
        <w:pStyle w:val="Heading2"/>
        <w:keepNext/>
      </w:pPr>
      <w:bookmarkStart w:id="30" w:name="_Toc62040433"/>
      <w:r w:rsidRPr="002C2775">
        <w:t>Drug cost/patient/</w:t>
      </w:r>
      <w:r w:rsidR="00E93ED5">
        <w:t>c</w:t>
      </w:r>
      <w:r w:rsidR="002F1F1B">
        <w:t>ourse</w:t>
      </w:r>
      <w:r w:rsidR="000571E1">
        <w:t>:</w:t>
      </w:r>
      <w:r w:rsidR="00E93ED5">
        <w:t xml:space="preserve"> $</w:t>
      </w:r>
      <w:bookmarkEnd w:id="30"/>
      <w:r w:rsidR="00E45AE8">
        <w:rPr>
          <w:noProof/>
          <w:color w:val="000000"/>
          <w:highlight w:val="black"/>
        </w:rPr>
        <w:t>'''''''''''''''''''</w:t>
      </w:r>
    </w:p>
    <w:p w:rsidR="00EF2BF9" w:rsidRPr="00EF2BF9" w:rsidRDefault="00EF2BF9" w:rsidP="000571E1">
      <w:pPr>
        <w:keepNext/>
      </w:pPr>
    </w:p>
    <w:p w:rsidR="00953878" w:rsidRPr="00E436BE" w:rsidRDefault="00953878" w:rsidP="000571E1">
      <w:pPr>
        <w:pStyle w:val="ListParagraph"/>
        <w:keepNext/>
        <w:widowControl/>
        <w:numPr>
          <w:ilvl w:val="1"/>
          <w:numId w:val="2"/>
        </w:numPr>
        <w:spacing w:after="120"/>
        <w:rPr>
          <w:rFonts w:asciiTheme="minorHAnsi" w:hAnsiTheme="minorHAnsi" w:cstheme="minorHAnsi"/>
          <w:szCs w:val="24"/>
          <w:lang w:eastAsia="en-AU"/>
        </w:rPr>
      </w:pPr>
      <w:r w:rsidRPr="00E436BE">
        <w:t xml:space="preserve">The submission did not calculate intervention cost per course in the economic evaluation. However the submission referred to the economic evaluation in its estimation of cost per course in the financial estimates for duration of treatment. The estimate of 49.82 </w:t>
      </w:r>
      <w:r w:rsidR="002F1F1B">
        <w:t xml:space="preserve">weeks </w:t>
      </w:r>
      <w:r w:rsidRPr="00E436BE">
        <w:t xml:space="preserve">used in the financial estimates could not be verified in the economic evaluation, though the differences between the evaluation calculations and the 49.82 </w:t>
      </w:r>
      <w:r w:rsidR="002F1F1B">
        <w:t xml:space="preserve">weeks </w:t>
      </w:r>
      <w:r w:rsidRPr="00E436BE">
        <w:t>were small.</w:t>
      </w:r>
    </w:p>
    <w:p w:rsidR="00083F05" w:rsidRPr="00E436BE" w:rsidRDefault="00083F05" w:rsidP="00083F05">
      <w:pPr>
        <w:pStyle w:val="ListParagraph"/>
        <w:widowControl/>
        <w:numPr>
          <w:ilvl w:val="1"/>
          <w:numId w:val="2"/>
        </w:numPr>
        <w:spacing w:after="120"/>
        <w:rPr>
          <w:rFonts w:asciiTheme="minorHAnsi" w:hAnsiTheme="minorHAnsi" w:cstheme="minorHAnsi"/>
          <w:szCs w:val="24"/>
          <w:lang w:eastAsia="en-AU"/>
        </w:rPr>
      </w:pPr>
      <w:r w:rsidRPr="00E436BE">
        <w:t>The cost per course of ripretinib based on the mean 49.</w:t>
      </w:r>
      <w:r w:rsidR="00953878" w:rsidRPr="00E436BE">
        <w:t xml:space="preserve">82 </w:t>
      </w:r>
      <w:r w:rsidRPr="00E436BE">
        <w:t>weeks of treatment used in the model (area under the curve of and the $</w:t>
      </w:r>
      <w:r w:rsidR="00E45AE8">
        <w:rPr>
          <w:noProof/>
          <w:color w:val="000000"/>
          <w:highlight w:val="black"/>
        </w:rPr>
        <w:t>'''''''''''''''''''</w:t>
      </w:r>
      <w:r w:rsidRPr="00E436BE">
        <w:t xml:space="preserve"> price per four week cycle</w:t>
      </w:r>
      <w:r w:rsidR="00D867E3" w:rsidRPr="00E436BE">
        <w:t>)</w:t>
      </w:r>
      <w:r w:rsidRPr="00E436BE">
        <w:t xml:space="preserve"> was </w:t>
      </w:r>
      <w:r w:rsidR="00953878" w:rsidRPr="00E436BE">
        <w:lastRenderedPageBreak/>
        <w:t>$</w:t>
      </w:r>
      <w:r w:rsidR="00E45AE8">
        <w:rPr>
          <w:noProof/>
          <w:color w:val="000000"/>
          <w:highlight w:val="black"/>
        </w:rPr>
        <w:t>''''''''''''''''''''</w:t>
      </w:r>
      <w:r w:rsidR="00953878" w:rsidRPr="00E436BE">
        <w:t xml:space="preserve"> ($</w:t>
      </w:r>
      <w:r w:rsidR="00E45AE8">
        <w:rPr>
          <w:noProof/>
          <w:color w:val="000000"/>
          <w:highlight w:val="black"/>
        </w:rPr>
        <w:t>'''''''''''''</w:t>
      </w:r>
      <w:r w:rsidR="00953878" w:rsidRPr="00E436BE">
        <w:t xml:space="preserve">/30*28/4 </w:t>
      </w:r>
      <w:r w:rsidR="00953878" w:rsidRPr="00E436BE">
        <w:rPr>
          <w:rFonts w:cs="Calibri"/>
        </w:rPr>
        <w:t>×</w:t>
      </w:r>
      <w:r w:rsidR="00953878" w:rsidRPr="00E436BE">
        <w:t xml:space="preserve"> 49.82).</w:t>
      </w:r>
      <w:r w:rsidRPr="00E436BE">
        <w:t xml:space="preserve"> In patients who remain</w:t>
      </w:r>
      <w:r w:rsidR="00EF2BF9" w:rsidRPr="00E436BE">
        <w:t>ed</w:t>
      </w:r>
      <w:r w:rsidRPr="00E436BE">
        <w:t xml:space="preserve"> progression</w:t>
      </w:r>
      <w:r w:rsidR="00EF2BF9" w:rsidRPr="00E436BE">
        <w:t>-</w:t>
      </w:r>
      <w:r w:rsidRPr="00E436BE">
        <w:t>free in the ripretinib arm</w:t>
      </w:r>
      <w:r w:rsidR="00EF2BF9" w:rsidRPr="00E436BE">
        <w:t>,</w:t>
      </w:r>
      <w:r w:rsidRPr="00E436BE">
        <w:t xml:space="preserve"> an additional cost per cycle for BSC of $</w:t>
      </w:r>
      <w:r w:rsidR="00E45AE8">
        <w:rPr>
          <w:noProof/>
          <w:color w:val="000000"/>
          <w:highlight w:val="black"/>
        </w:rPr>
        <w:t>''''''''''''''</w:t>
      </w:r>
      <w:r w:rsidRPr="00E436BE">
        <w:t xml:space="preserve"> was also applied. </w:t>
      </w:r>
    </w:p>
    <w:p w:rsidR="00083F05" w:rsidRPr="00E436BE" w:rsidRDefault="00083F05" w:rsidP="00083F05">
      <w:pPr>
        <w:pStyle w:val="ListParagraph"/>
        <w:widowControl/>
        <w:numPr>
          <w:ilvl w:val="1"/>
          <w:numId w:val="2"/>
        </w:numPr>
        <w:spacing w:after="120"/>
        <w:rPr>
          <w:rFonts w:asciiTheme="minorHAnsi" w:hAnsiTheme="minorHAnsi" w:cstheme="minorHAnsi"/>
          <w:szCs w:val="24"/>
          <w:lang w:eastAsia="en-AU"/>
        </w:rPr>
      </w:pPr>
      <w:r w:rsidRPr="00E436BE">
        <w:t>The cost per course of BSC, based on an equivalent 49.</w:t>
      </w:r>
      <w:r w:rsidR="00953878" w:rsidRPr="00E436BE">
        <w:t xml:space="preserve">82 </w:t>
      </w:r>
      <w:r w:rsidRPr="00E436BE">
        <w:t>weeks of treatment and a per cycle cost of an average cost of a basket of treatments of $</w:t>
      </w:r>
      <w:r w:rsidR="00E45AE8">
        <w:rPr>
          <w:noProof/>
          <w:color w:val="000000"/>
          <w:highlight w:val="black"/>
        </w:rPr>
        <w:t>''''''''''''''</w:t>
      </w:r>
      <w:r w:rsidRPr="00E436BE">
        <w:t xml:space="preserve"> per four-week cycle was </w:t>
      </w:r>
      <w:r w:rsidR="00953878" w:rsidRPr="00E436BE">
        <w:t>$</w:t>
      </w:r>
      <w:r w:rsidR="00E45AE8">
        <w:rPr>
          <w:noProof/>
          <w:color w:val="000000"/>
          <w:highlight w:val="black"/>
        </w:rPr>
        <w:t>'''''''''''</w:t>
      </w:r>
      <w:r w:rsidR="00953878" w:rsidRPr="00E436BE">
        <w:t xml:space="preserve"> ($</w:t>
      </w:r>
      <w:r w:rsidR="00E45AE8">
        <w:rPr>
          <w:noProof/>
          <w:color w:val="000000"/>
          <w:highlight w:val="black"/>
        </w:rPr>
        <w:t>''''''''''''''</w:t>
      </w:r>
      <w:r w:rsidR="00953878" w:rsidRPr="00E436BE">
        <w:t xml:space="preserve">/4 </w:t>
      </w:r>
      <w:r w:rsidR="00953878" w:rsidRPr="00E436BE">
        <w:rPr>
          <w:rFonts w:cs="Calibri"/>
        </w:rPr>
        <w:t>×</w:t>
      </w:r>
      <w:r w:rsidR="00953878" w:rsidRPr="00E436BE">
        <w:t xml:space="preserve"> 49.82)</w:t>
      </w:r>
      <w:r w:rsidRPr="00E436BE">
        <w:t>. This cost was applied to all patients who were progression</w:t>
      </w:r>
      <w:r w:rsidR="00EF2BF9" w:rsidRPr="00E436BE">
        <w:t>-</w:t>
      </w:r>
      <w:r w:rsidRPr="00E436BE">
        <w:t xml:space="preserve">free in </w:t>
      </w:r>
      <w:r w:rsidR="00EF2BF9" w:rsidRPr="00E436BE">
        <w:t xml:space="preserve">the </w:t>
      </w:r>
      <w:r w:rsidRPr="00E436BE">
        <w:t>BSC arm and also</w:t>
      </w:r>
      <w:r w:rsidR="00EF2BF9" w:rsidRPr="00E436BE">
        <w:t xml:space="preserve"> to</w:t>
      </w:r>
      <w:r w:rsidRPr="00E436BE">
        <w:t xml:space="preserve"> all patients who had progressed disease in the ripretinib arm</w:t>
      </w:r>
      <w:r w:rsidR="00EF2BF9" w:rsidRPr="00E436BE">
        <w:t>.</w:t>
      </w:r>
    </w:p>
    <w:p w:rsidR="00083F05" w:rsidRDefault="00083F05" w:rsidP="00083F05">
      <w:pPr>
        <w:keepNext/>
        <w:widowControl/>
        <w:rPr>
          <w:rStyle w:val="CommentReference"/>
        </w:rPr>
      </w:pPr>
      <w:r w:rsidRPr="001F7361">
        <w:rPr>
          <w:rStyle w:val="CommentReference"/>
        </w:rPr>
        <w:t>Table</w:t>
      </w:r>
      <w:r w:rsidR="00081210">
        <w:rPr>
          <w:rStyle w:val="CommentReference"/>
        </w:rPr>
        <w:t xml:space="preserve"> 14</w:t>
      </w:r>
      <w:r>
        <w:rPr>
          <w:rStyle w:val="CommentReference"/>
        </w:rPr>
        <w:t>: Drug cost per patient for proposed and comparator drugs</w:t>
      </w:r>
    </w:p>
    <w:tbl>
      <w:tblPr>
        <w:tblW w:w="49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97"/>
        <w:gridCol w:w="2157"/>
        <w:gridCol w:w="2702"/>
        <w:gridCol w:w="2190"/>
      </w:tblGrid>
      <w:tr w:rsidR="00083F05" w:rsidRPr="00E2771E" w:rsidTr="00994A71">
        <w:trPr>
          <w:jc w:val="center"/>
        </w:trPr>
        <w:tc>
          <w:tcPr>
            <w:tcW w:w="1016" w:type="pct"/>
            <w:shd w:val="clear" w:color="auto" w:fill="auto"/>
            <w:vAlign w:val="center"/>
          </w:tcPr>
          <w:p w:rsidR="00083F05" w:rsidRPr="00E2771E" w:rsidRDefault="00083F05" w:rsidP="00994A71">
            <w:pPr>
              <w:keepNext/>
              <w:widowControl/>
              <w:jc w:val="left"/>
              <w:rPr>
                <w:rFonts w:ascii="Arial Narrow" w:hAnsi="Arial Narrow"/>
                <w:b/>
                <w:sz w:val="20"/>
                <w:lang w:val="en-US"/>
              </w:rPr>
            </w:pPr>
          </w:p>
        </w:tc>
        <w:tc>
          <w:tcPr>
            <w:tcW w:w="1219" w:type="pct"/>
            <w:shd w:val="clear" w:color="auto" w:fill="auto"/>
            <w:vAlign w:val="center"/>
          </w:tcPr>
          <w:p w:rsidR="00083F05" w:rsidRPr="00E2771E" w:rsidRDefault="00083F05" w:rsidP="00994A71">
            <w:pPr>
              <w:keepNext/>
              <w:widowControl/>
              <w:jc w:val="center"/>
              <w:rPr>
                <w:rFonts w:ascii="Arial Narrow" w:hAnsi="Arial Narrow"/>
                <w:b/>
                <w:sz w:val="20"/>
                <w:lang w:val="en-US"/>
              </w:rPr>
            </w:pPr>
            <w:r>
              <w:rPr>
                <w:rFonts w:ascii="Arial Narrow" w:hAnsi="Arial Narrow"/>
                <w:b/>
                <w:sz w:val="20"/>
                <w:lang w:val="en-US"/>
              </w:rPr>
              <w:t>Ripretinib</w:t>
            </w:r>
          </w:p>
          <w:p w:rsidR="00083F05" w:rsidRPr="00F65EAA" w:rsidRDefault="00083F05" w:rsidP="00994A71">
            <w:pPr>
              <w:keepNext/>
              <w:widowControl/>
              <w:jc w:val="center"/>
              <w:rPr>
                <w:rFonts w:ascii="Arial Narrow" w:hAnsi="Arial Narrow"/>
                <w:b/>
                <w:sz w:val="20"/>
                <w:lang w:val="en-US"/>
              </w:rPr>
            </w:pPr>
            <w:r w:rsidRPr="00F65EAA">
              <w:rPr>
                <w:rFonts w:ascii="Arial Narrow" w:hAnsi="Arial Narrow"/>
                <w:b/>
                <w:sz w:val="20"/>
                <w:lang w:val="en-US"/>
              </w:rPr>
              <w:t>Trial</w:t>
            </w:r>
            <w:r>
              <w:rPr>
                <w:rFonts w:ascii="Arial Narrow" w:hAnsi="Arial Narrow"/>
                <w:b/>
                <w:sz w:val="20"/>
                <w:lang w:val="en-US"/>
              </w:rPr>
              <w:t xml:space="preserve"> </w:t>
            </w:r>
            <w:r w:rsidRPr="00F65EAA">
              <w:rPr>
                <w:rFonts w:ascii="Arial Narrow" w:hAnsi="Arial Narrow"/>
                <w:b/>
                <w:sz w:val="20"/>
                <w:lang w:val="en-US"/>
              </w:rPr>
              <w:t>dos</w:t>
            </w:r>
            <w:r>
              <w:rPr>
                <w:rFonts w:ascii="Arial Narrow" w:hAnsi="Arial Narrow"/>
                <w:b/>
                <w:sz w:val="20"/>
                <w:lang w:val="en-US"/>
              </w:rPr>
              <w:t>e</w:t>
            </w:r>
            <w:r w:rsidRPr="00F65EAA">
              <w:rPr>
                <w:rFonts w:ascii="Arial Narrow" w:hAnsi="Arial Narrow"/>
                <w:b/>
                <w:sz w:val="20"/>
                <w:lang w:val="en-US"/>
              </w:rPr>
              <w:t xml:space="preserve"> and duration</w:t>
            </w:r>
          </w:p>
        </w:tc>
        <w:tc>
          <w:tcPr>
            <w:tcW w:w="1527" w:type="pct"/>
            <w:shd w:val="clear" w:color="auto" w:fill="auto"/>
            <w:vAlign w:val="center"/>
          </w:tcPr>
          <w:p w:rsidR="00083F05" w:rsidRDefault="00083F05" w:rsidP="00994A71">
            <w:pPr>
              <w:keepNext/>
              <w:widowControl/>
              <w:jc w:val="center"/>
              <w:rPr>
                <w:rFonts w:ascii="Arial Narrow" w:hAnsi="Arial Narrow"/>
                <w:b/>
                <w:sz w:val="20"/>
                <w:lang w:val="en-US"/>
              </w:rPr>
            </w:pPr>
            <w:r>
              <w:rPr>
                <w:rFonts w:ascii="Arial Narrow" w:hAnsi="Arial Narrow"/>
                <w:b/>
                <w:sz w:val="20"/>
                <w:lang w:val="en-US"/>
              </w:rPr>
              <w:t>Ripretinib</w:t>
            </w:r>
          </w:p>
          <w:p w:rsidR="00083F05" w:rsidRPr="00E2771E" w:rsidRDefault="00083F05" w:rsidP="00994A71">
            <w:pPr>
              <w:keepNext/>
              <w:widowControl/>
              <w:jc w:val="center"/>
              <w:rPr>
                <w:rFonts w:ascii="Arial Narrow" w:hAnsi="Arial Narrow"/>
                <w:b/>
                <w:sz w:val="20"/>
                <w:lang w:val="en-US"/>
              </w:rPr>
            </w:pPr>
            <w:r>
              <w:rPr>
                <w:rFonts w:ascii="Arial Narrow" w:hAnsi="Arial Narrow"/>
                <w:b/>
                <w:sz w:val="20"/>
                <w:lang w:val="en-US"/>
              </w:rPr>
              <w:t>Model</w:t>
            </w:r>
          </w:p>
        </w:tc>
        <w:tc>
          <w:tcPr>
            <w:tcW w:w="1238" w:type="pct"/>
            <w:shd w:val="clear" w:color="auto" w:fill="auto"/>
            <w:vAlign w:val="center"/>
          </w:tcPr>
          <w:p w:rsidR="00083F05" w:rsidRDefault="00083F05" w:rsidP="00994A71">
            <w:pPr>
              <w:keepNext/>
              <w:widowControl/>
              <w:jc w:val="center"/>
              <w:rPr>
                <w:rFonts w:ascii="Arial Narrow" w:hAnsi="Arial Narrow"/>
                <w:b/>
                <w:sz w:val="20"/>
                <w:lang w:val="en-US"/>
              </w:rPr>
            </w:pPr>
            <w:r>
              <w:rPr>
                <w:rFonts w:ascii="Arial Narrow" w:hAnsi="Arial Narrow"/>
                <w:b/>
                <w:sz w:val="20"/>
                <w:lang w:val="en-US"/>
              </w:rPr>
              <w:t>Ripretinib</w:t>
            </w:r>
          </w:p>
          <w:p w:rsidR="00083F05" w:rsidRPr="00E2771E" w:rsidRDefault="00083F05" w:rsidP="00994A71">
            <w:pPr>
              <w:keepNext/>
              <w:widowControl/>
              <w:jc w:val="center"/>
              <w:rPr>
                <w:rFonts w:ascii="Arial Narrow" w:hAnsi="Arial Narrow"/>
                <w:b/>
                <w:sz w:val="20"/>
                <w:lang w:val="en-US"/>
              </w:rPr>
            </w:pPr>
            <w:r>
              <w:rPr>
                <w:rFonts w:ascii="Arial Narrow" w:hAnsi="Arial Narrow"/>
                <w:b/>
                <w:sz w:val="20"/>
                <w:lang w:val="en-US"/>
              </w:rPr>
              <w:t>financial estimates</w:t>
            </w:r>
          </w:p>
        </w:tc>
      </w:tr>
      <w:tr w:rsidR="00083F05" w:rsidRPr="00E2771E" w:rsidTr="00994A71">
        <w:trPr>
          <w:jc w:val="center"/>
        </w:trPr>
        <w:tc>
          <w:tcPr>
            <w:tcW w:w="1016" w:type="pct"/>
            <w:shd w:val="clear" w:color="auto" w:fill="auto"/>
            <w:vAlign w:val="center"/>
          </w:tcPr>
          <w:p w:rsidR="00083F05" w:rsidRPr="001F5BDA" w:rsidRDefault="00083F05" w:rsidP="00994A71">
            <w:pPr>
              <w:keepNext/>
              <w:widowControl/>
              <w:jc w:val="left"/>
              <w:rPr>
                <w:rFonts w:ascii="Arial Narrow" w:hAnsi="Arial Narrow"/>
                <w:sz w:val="20"/>
                <w:lang w:val="en-US"/>
              </w:rPr>
            </w:pPr>
            <w:r>
              <w:rPr>
                <w:rFonts w:ascii="Arial Narrow" w:hAnsi="Arial Narrow"/>
                <w:sz w:val="20"/>
                <w:lang w:val="en-US"/>
              </w:rPr>
              <w:t>Price</w:t>
            </w:r>
          </w:p>
        </w:tc>
        <w:tc>
          <w:tcPr>
            <w:tcW w:w="3984" w:type="pct"/>
            <w:gridSpan w:val="3"/>
            <w:shd w:val="clear" w:color="auto" w:fill="auto"/>
            <w:vAlign w:val="center"/>
          </w:tcPr>
          <w:p w:rsidR="00083F05" w:rsidRPr="00BD2E74" w:rsidRDefault="00083F05" w:rsidP="00994A71">
            <w:pPr>
              <w:pStyle w:val="TableText0"/>
              <w:jc w:val="center"/>
              <w:rPr>
                <w:lang w:val="en-US"/>
              </w:rPr>
            </w:pPr>
            <w:r w:rsidRPr="00BD2E74">
              <w:rPr>
                <w:lang w:val="en-US"/>
              </w:rPr>
              <w:t>$</w:t>
            </w:r>
            <w:r w:rsidR="00E45AE8">
              <w:rPr>
                <w:noProof/>
                <w:color w:val="000000"/>
                <w:highlight w:val="black"/>
                <w:lang w:val="en-US"/>
              </w:rPr>
              <w:t>'''''''''''''''''</w:t>
            </w:r>
            <w:r w:rsidR="00E93ED5">
              <w:rPr>
                <w:lang w:val="en-US"/>
              </w:rPr>
              <w:t xml:space="preserve"> (50mg tablets, 90 tablets)</w:t>
            </w:r>
          </w:p>
        </w:tc>
      </w:tr>
      <w:tr w:rsidR="00083F05" w:rsidRPr="00E2771E" w:rsidTr="00994A71">
        <w:trPr>
          <w:jc w:val="center"/>
        </w:trPr>
        <w:tc>
          <w:tcPr>
            <w:tcW w:w="1016" w:type="pct"/>
            <w:shd w:val="clear" w:color="auto" w:fill="auto"/>
            <w:vAlign w:val="center"/>
          </w:tcPr>
          <w:p w:rsidR="00083F05" w:rsidRPr="001F5BDA" w:rsidRDefault="00083F05" w:rsidP="00994A71">
            <w:pPr>
              <w:keepNext/>
              <w:widowControl/>
              <w:jc w:val="left"/>
              <w:rPr>
                <w:rFonts w:ascii="Arial Narrow" w:hAnsi="Arial Narrow"/>
                <w:sz w:val="20"/>
                <w:lang w:val="en-US"/>
              </w:rPr>
            </w:pPr>
            <w:r w:rsidRPr="001F5BDA">
              <w:rPr>
                <w:rFonts w:ascii="Arial Narrow" w:hAnsi="Arial Narrow"/>
                <w:sz w:val="20"/>
                <w:lang w:val="en-US"/>
              </w:rPr>
              <w:t>Mean dose</w:t>
            </w:r>
          </w:p>
        </w:tc>
        <w:tc>
          <w:tcPr>
            <w:tcW w:w="3984" w:type="pct"/>
            <w:gridSpan w:val="3"/>
            <w:shd w:val="clear" w:color="auto" w:fill="auto"/>
            <w:vAlign w:val="center"/>
          </w:tcPr>
          <w:p w:rsidR="00083F05" w:rsidRPr="00BD2E74" w:rsidRDefault="00083F05" w:rsidP="00994A71">
            <w:pPr>
              <w:pStyle w:val="TableText0"/>
              <w:jc w:val="center"/>
              <w:rPr>
                <w:lang w:val="en-US"/>
              </w:rPr>
            </w:pPr>
            <w:r w:rsidRPr="00BD2E74">
              <w:rPr>
                <w:lang w:val="en-US"/>
              </w:rPr>
              <w:t>150mg/day</w:t>
            </w:r>
          </w:p>
        </w:tc>
      </w:tr>
      <w:tr w:rsidR="00083F05" w:rsidRPr="00E2771E" w:rsidTr="00994A71">
        <w:trPr>
          <w:jc w:val="center"/>
        </w:trPr>
        <w:tc>
          <w:tcPr>
            <w:tcW w:w="1016" w:type="pct"/>
            <w:shd w:val="clear" w:color="auto" w:fill="auto"/>
            <w:vAlign w:val="center"/>
          </w:tcPr>
          <w:p w:rsidR="00083F05" w:rsidRDefault="00083F05" w:rsidP="00994A71">
            <w:pPr>
              <w:keepNext/>
              <w:widowControl/>
              <w:jc w:val="left"/>
              <w:rPr>
                <w:rFonts w:ascii="Arial Narrow" w:hAnsi="Arial Narrow"/>
                <w:sz w:val="20"/>
                <w:lang w:val="en-US"/>
              </w:rPr>
            </w:pPr>
            <w:r>
              <w:rPr>
                <w:rFonts w:ascii="Arial Narrow" w:hAnsi="Arial Narrow"/>
                <w:sz w:val="20"/>
                <w:lang w:val="en-US"/>
              </w:rPr>
              <w:t>Duration of treatment</w:t>
            </w:r>
          </w:p>
        </w:tc>
        <w:tc>
          <w:tcPr>
            <w:tcW w:w="1219" w:type="pct"/>
            <w:shd w:val="clear" w:color="auto" w:fill="auto"/>
            <w:vAlign w:val="center"/>
          </w:tcPr>
          <w:p w:rsidR="00083F05" w:rsidRPr="00BD2E74" w:rsidRDefault="00083F05" w:rsidP="00994A71">
            <w:pPr>
              <w:pStyle w:val="TableText0"/>
              <w:jc w:val="center"/>
              <w:rPr>
                <w:lang w:val="en-US"/>
              </w:rPr>
            </w:pPr>
            <w:r>
              <w:rPr>
                <w:lang w:val="en-US"/>
              </w:rPr>
              <w:t xml:space="preserve">23.86 weeks </w:t>
            </w:r>
          </w:p>
        </w:tc>
        <w:tc>
          <w:tcPr>
            <w:tcW w:w="1527" w:type="pct"/>
            <w:shd w:val="clear" w:color="auto" w:fill="auto"/>
            <w:vAlign w:val="center"/>
          </w:tcPr>
          <w:p w:rsidR="00083F05" w:rsidRPr="00BD2E74" w:rsidRDefault="00083F05" w:rsidP="00994A71">
            <w:pPr>
              <w:pStyle w:val="TableText0"/>
              <w:jc w:val="center"/>
              <w:rPr>
                <w:lang w:val="en-US"/>
              </w:rPr>
            </w:pPr>
            <w:r w:rsidRPr="00BD2E74">
              <w:rPr>
                <w:lang w:val="en-US"/>
              </w:rPr>
              <w:t>49.</w:t>
            </w:r>
            <w:r w:rsidR="00953878" w:rsidRPr="00BD2E74">
              <w:rPr>
                <w:lang w:val="en-US"/>
              </w:rPr>
              <w:t>8</w:t>
            </w:r>
            <w:r w:rsidR="00953878">
              <w:rPr>
                <w:lang w:val="en-US"/>
              </w:rPr>
              <w:t>2</w:t>
            </w:r>
            <w:r w:rsidR="00953878" w:rsidRPr="00BD2E74">
              <w:rPr>
                <w:lang w:val="en-US"/>
              </w:rPr>
              <w:t xml:space="preserve"> </w:t>
            </w:r>
            <w:r w:rsidRPr="00BD2E74">
              <w:rPr>
                <w:lang w:val="en-US"/>
              </w:rPr>
              <w:t>weeks</w:t>
            </w:r>
          </w:p>
        </w:tc>
        <w:tc>
          <w:tcPr>
            <w:tcW w:w="1238" w:type="pct"/>
            <w:shd w:val="clear" w:color="auto" w:fill="auto"/>
          </w:tcPr>
          <w:p w:rsidR="00083F05" w:rsidRPr="00BD2E74" w:rsidRDefault="00083F05" w:rsidP="00994A71">
            <w:pPr>
              <w:pStyle w:val="TableText0"/>
              <w:jc w:val="center"/>
              <w:rPr>
                <w:lang w:val="en-US"/>
              </w:rPr>
            </w:pPr>
            <w:r w:rsidRPr="00BD2E74">
              <w:rPr>
                <w:lang w:val="en-US"/>
              </w:rPr>
              <w:t>11.</w:t>
            </w:r>
            <w:r w:rsidR="00211A53">
              <w:rPr>
                <w:lang w:val="en-US"/>
              </w:rPr>
              <w:t>50</w:t>
            </w:r>
            <w:r w:rsidRPr="00BD2E74">
              <w:rPr>
                <w:lang w:val="en-US"/>
              </w:rPr>
              <w:t xml:space="preserve"> months</w:t>
            </w:r>
          </w:p>
          <w:p w:rsidR="00083F05" w:rsidRPr="00BD2E74" w:rsidRDefault="00083F05" w:rsidP="00994A71">
            <w:pPr>
              <w:pStyle w:val="TableText0"/>
              <w:jc w:val="center"/>
              <w:rPr>
                <w:lang w:val="en-US"/>
              </w:rPr>
            </w:pPr>
            <w:r w:rsidRPr="00BD2E74">
              <w:rPr>
                <w:lang w:val="en-US"/>
              </w:rPr>
              <w:t>(49.8</w:t>
            </w:r>
            <w:r w:rsidR="00080370">
              <w:rPr>
                <w:lang w:val="en-US"/>
              </w:rPr>
              <w:t>2</w:t>
            </w:r>
            <w:r w:rsidRPr="00BD2E74">
              <w:rPr>
                <w:lang w:val="en-US"/>
              </w:rPr>
              <w:t>/52x12)</w:t>
            </w:r>
          </w:p>
        </w:tc>
      </w:tr>
      <w:tr w:rsidR="00953878" w:rsidRPr="00E2771E" w:rsidTr="00994A71">
        <w:trPr>
          <w:jc w:val="center"/>
        </w:trPr>
        <w:tc>
          <w:tcPr>
            <w:tcW w:w="1016" w:type="pct"/>
            <w:shd w:val="clear" w:color="auto" w:fill="auto"/>
            <w:vAlign w:val="center"/>
          </w:tcPr>
          <w:p w:rsidR="00953878" w:rsidRDefault="00BF7362" w:rsidP="00994A71">
            <w:pPr>
              <w:keepNext/>
              <w:widowControl/>
              <w:jc w:val="left"/>
              <w:rPr>
                <w:rFonts w:ascii="Arial Narrow" w:hAnsi="Arial Narrow"/>
                <w:sz w:val="20"/>
                <w:lang w:val="en-US"/>
              </w:rPr>
            </w:pPr>
            <w:r>
              <w:rPr>
                <w:rFonts w:ascii="Arial Narrow" w:hAnsi="Arial Narrow"/>
                <w:sz w:val="20"/>
                <w:lang w:val="en-US"/>
              </w:rPr>
              <w:t xml:space="preserve">Adjustment: </w:t>
            </w:r>
            <w:r w:rsidR="00953878">
              <w:rPr>
                <w:rFonts w:ascii="Arial Narrow" w:hAnsi="Arial Narrow"/>
                <w:sz w:val="20"/>
                <w:lang w:val="en-US"/>
              </w:rPr>
              <w:t>Dose density</w:t>
            </w:r>
          </w:p>
        </w:tc>
        <w:tc>
          <w:tcPr>
            <w:tcW w:w="1219" w:type="pct"/>
            <w:shd w:val="clear" w:color="auto" w:fill="auto"/>
            <w:vAlign w:val="center"/>
          </w:tcPr>
          <w:p w:rsidR="00953878" w:rsidRDefault="00BF7362" w:rsidP="00994A71">
            <w:pPr>
              <w:pStyle w:val="TableText0"/>
              <w:jc w:val="center"/>
              <w:rPr>
                <w:lang w:val="en-US"/>
              </w:rPr>
            </w:pPr>
            <w:r>
              <w:rPr>
                <w:lang w:val="en-US"/>
              </w:rPr>
              <w:t>-</w:t>
            </w:r>
          </w:p>
        </w:tc>
        <w:tc>
          <w:tcPr>
            <w:tcW w:w="1527" w:type="pct"/>
            <w:shd w:val="clear" w:color="auto" w:fill="auto"/>
            <w:vAlign w:val="center"/>
          </w:tcPr>
          <w:p w:rsidR="00953878" w:rsidRPr="00BD2E74" w:rsidRDefault="00BF7362" w:rsidP="00994A71">
            <w:pPr>
              <w:pStyle w:val="TableText0"/>
              <w:jc w:val="center"/>
              <w:rPr>
                <w:lang w:val="en-US"/>
              </w:rPr>
            </w:pPr>
            <w:r>
              <w:rPr>
                <w:lang w:val="en-US"/>
              </w:rPr>
              <w:t>-</w:t>
            </w:r>
          </w:p>
        </w:tc>
        <w:tc>
          <w:tcPr>
            <w:tcW w:w="1238" w:type="pct"/>
            <w:shd w:val="clear" w:color="auto" w:fill="auto"/>
          </w:tcPr>
          <w:p w:rsidR="00953878" w:rsidRDefault="009A6043" w:rsidP="00994A71">
            <w:pPr>
              <w:pStyle w:val="TableText0"/>
              <w:jc w:val="center"/>
              <w:rPr>
                <w:lang w:val="en-US"/>
              </w:rPr>
            </w:pPr>
            <w:r>
              <w:rPr>
                <w:lang w:val="en-US"/>
              </w:rPr>
              <w:t xml:space="preserve">11.50* </w:t>
            </w:r>
            <w:r w:rsidR="00953878">
              <w:rPr>
                <w:lang w:val="en-US"/>
              </w:rPr>
              <w:t>96.5%</w:t>
            </w:r>
            <w:r>
              <w:rPr>
                <w:lang w:val="en-US"/>
              </w:rPr>
              <w:t>=11.09</w:t>
            </w:r>
          </w:p>
          <w:p w:rsidR="009A6043" w:rsidRPr="00BD2E74" w:rsidRDefault="009A6043" w:rsidP="009A6043">
            <w:pPr>
              <w:pStyle w:val="TableText0"/>
              <w:rPr>
                <w:lang w:val="en-US"/>
              </w:rPr>
            </w:pPr>
          </w:p>
        </w:tc>
      </w:tr>
      <w:tr w:rsidR="00211A53" w:rsidRPr="00E2771E" w:rsidTr="00BF7362">
        <w:tblPrEx>
          <w:tblCellMar>
            <w:left w:w="108" w:type="dxa"/>
            <w:right w:w="108" w:type="dxa"/>
          </w:tblCellMar>
        </w:tblPrEx>
        <w:trPr>
          <w:jc w:val="center"/>
        </w:trPr>
        <w:tc>
          <w:tcPr>
            <w:tcW w:w="1016" w:type="pct"/>
            <w:shd w:val="clear" w:color="auto" w:fill="auto"/>
            <w:vAlign w:val="center"/>
          </w:tcPr>
          <w:p w:rsidR="00211A53" w:rsidRPr="00E2771E" w:rsidRDefault="00211A53" w:rsidP="00994A71">
            <w:pPr>
              <w:keepNext/>
              <w:widowControl/>
              <w:jc w:val="left"/>
              <w:rPr>
                <w:rFonts w:ascii="Arial Narrow" w:hAnsi="Arial Narrow"/>
                <w:sz w:val="20"/>
                <w:lang w:val="en-US"/>
              </w:rPr>
            </w:pPr>
            <w:r>
              <w:rPr>
                <w:rFonts w:ascii="Arial Narrow" w:hAnsi="Arial Narrow"/>
                <w:sz w:val="20"/>
                <w:lang w:val="en-US"/>
              </w:rPr>
              <w:t>Cost/patient/course</w:t>
            </w:r>
          </w:p>
        </w:tc>
        <w:tc>
          <w:tcPr>
            <w:tcW w:w="1219" w:type="pct"/>
            <w:shd w:val="clear" w:color="auto" w:fill="auto"/>
            <w:vAlign w:val="center"/>
          </w:tcPr>
          <w:p w:rsidR="00211A53" w:rsidRPr="00BD2E74" w:rsidRDefault="00211A53" w:rsidP="00994A71">
            <w:pPr>
              <w:pStyle w:val="TableText0"/>
              <w:jc w:val="center"/>
              <w:rPr>
                <w:lang w:val="en-US"/>
              </w:rPr>
            </w:pPr>
            <w:r>
              <w:rPr>
                <w:lang w:val="en-US"/>
              </w:rPr>
              <w:t>$</w:t>
            </w:r>
            <w:r w:rsidR="00E45AE8">
              <w:rPr>
                <w:noProof/>
                <w:color w:val="000000"/>
                <w:highlight w:val="black"/>
                <w:lang w:val="en-US"/>
              </w:rPr>
              <w:t>''''''''''''''''''''''''</w:t>
            </w:r>
          </w:p>
        </w:tc>
        <w:tc>
          <w:tcPr>
            <w:tcW w:w="1527" w:type="pct"/>
            <w:shd w:val="clear" w:color="auto" w:fill="auto"/>
            <w:vAlign w:val="center"/>
          </w:tcPr>
          <w:p w:rsidR="00211A53" w:rsidRPr="00E436BE" w:rsidRDefault="00BF7362" w:rsidP="00994A71">
            <w:pPr>
              <w:pStyle w:val="TableText0"/>
              <w:jc w:val="center"/>
              <w:rPr>
                <w:lang w:val="en-US"/>
              </w:rPr>
            </w:pPr>
            <w:r w:rsidRPr="00E436BE">
              <w:t>$</w:t>
            </w:r>
            <w:r w:rsidR="00E45AE8">
              <w:rPr>
                <w:noProof/>
                <w:color w:val="000000"/>
                <w:highlight w:val="black"/>
              </w:rPr>
              <w:t>'''''''''''''''''''''''''</w:t>
            </w:r>
            <w:r w:rsidRPr="00E436BE">
              <w:t xml:space="preserve"> ($</w:t>
            </w:r>
            <w:r w:rsidR="00E45AE8">
              <w:rPr>
                <w:noProof/>
                <w:color w:val="000000"/>
                <w:highlight w:val="black"/>
              </w:rPr>
              <w:t>''''''''''''''''</w:t>
            </w:r>
            <w:r w:rsidRPr="00E436BE">
              <w:t xml:space="preserve">/30*28/4 </w:t>
            </w:r>
            <w:r w:rsidRPr="00E436BE">
              <w:rPr>
                <w:rFonts w:cs="Calibri"/>
              </w:rPr>
              <w:t>×</w:t>
            </w:r>
            <w:r w:rsidRPr="00E436BE">
              <w:t xml:space="preserve"> 49.82</w:t>
            </w:r>
            <w:r w:rsidR="009A6043" w:rsidRPr="00E436BE">
              <w:t>)</w:t>
            </w:r>
          </w:p>
        </w:tc>
        <w:tc>
          <w:tcPr>
            <w:tcW w:w="1238" w:type="pct"/>
            <w:shd w:val="clear" w:color="auto" w:fill="auto"/>
            <w:vAlign w:val="center"/>
          </w:tcPr>
          <w:p w:rsidR="00211A53" w:rsidRPr="00E436BE" w:rsidRDefault="00BF7362" w:rsidP="00994A71">
            <w:pPr>
              <w:pStyle w:val="TableText0"/>
              <w:jc w:val="center"/>
              <w:rPr>
                <w:lang w:val="en-US"/>
              </w:rPr>
            </w:pPr>
            <w:r w:rsidRPr="00E436BE">
              <w:t>$</w:t>
            </w:r>
            <w:r w:rsidR="00E45AE8">
              <w:rPr>
                <w:noProof/>
                <w:color w:val="000000"/>
                <w:highlight w:val="black"/>
              </w:rPr>
              <w:t xml:space="preserve">''''''''''''''''''''''''''' </w:t>
            </w:r>
            <w:r w:rsidRPr="00E436BE">
              <w:t>($</w:t>
            </w:r>
            <w:r w:rsidR="00E45AE8">
              <w:rPr>
                <w:noProof/>
                <w:color w:val="000000"/>
                <w:highlight w:val="black"/>
              </w:rPr>
              <w:t>'''''''''''''''''</w:t>
            </w:r>
            <w:r w:rsidRPr="00E436BE">
              <w:t xml:space="preserve"> * 11.09 months of treatment)</w:t>
            </w:r>
          </w:p>
        </w:tc>
      </w:tr>
    </w:tbl>
    <w:p w:rsidR="00083F05" w:rsidRDefault="00083F05" w:rsidP="00083F05">
      <w:pPr>
        <w:pStyle w:val="TableFooter"/>
        <w:widowControl/>
      </w:pPr>
      <w:r w:rsidRPr="007F1017">
        <w:t xml:space="preserve">Source: </w:t>
      </w:r>
      <w:r>
        <w:t xml:space="preserve">QINLOCK_Cost_effectiveness_modelNov 2020.xlsx and QINLOCK_utilisation_and_cost_modelnov2020.xlsx </w:t>
      </w:r>
    </w:p>
    <w:p w:rsidR="00083F05" w:rsidRDefault="00083F05" w:rsidP="00083F05">
      <w:pPr>
        <w:pStyle w:val="TableFooter"/>
        <w:widowControl/>
      </w:pPr>
      <w:r>
        <w:t>NA = not applicable</w:t>
      </w:r>
    </w:p>
    <w:p w:rsidR="00083F05" w:rsidRPr="001E2B1E" w:rsidRDefault="00083F05" w:rsidP="00083F05">
      <w:pPr>
        <w:keepNext/>
        <w:widowControl/>
      </w:pPr>
    </w:p>
    <w:p w:rsidR="00083F05" w:rsidRPr="00C9624D" w:rsidRDefault="00083F05" w:rsidP="00083F05">
      <w:pPr>
        <w:pStyle w:val="Heading2"/>
      </w:pPr>
      <w:bookmarkStart w:id="31" w:name="_Toc62040434"/>
      <w:r w:rsidRPr="00C9624D">
        <w:t>Estimated PBS usage &amp; financial implications</w:t>
      </w:r>
      <w:bookmarkEnd w:id="31"/>
    </w:p>
    <w:p w:rsidR="00083F05" w:rsidRPr="00882085" w:rsidRDefault="00083F05" w:rsidP="00083F05">
      <w:pPr>
        <w:ind w:left="720" w:hanging="720"/>
        <w:rPr>
          <w:b/>
          <w:i/>
        </w:rPr>
      </w:pPr>
    </w:p>
    <w:p w:rsidR="00083F05" w:rsidRPr="009A6043" w:rsidRDefault="00083F05" w:rsidP="00083F05">
      <w:pPr>
        <w:pStyle w:val="ListParagraph"/>
        <w:widowControl/>
        <w:numPr>
          <w:ilvl w:val="1"/>
          <w:numId w:val="2"/>
        </w:numPr>
      </w:pPr>
      <w:r>
        <w:t xml:space="preserve">This submission </w:t>
      </w:r>
      <w:r w:rsidR="00E436BE">
        <w:t>was not</w:t>
      </w:r>
      <w:r w:rsidR="00EF2BF9">
        <w:t xml:space="preserve"> </w:t>
      </w:r>
      <w:r w:rsidR="0059384E">
        <w:t>considered by DUSC.</w:t>
      </w:r>
      <w:r w:rsidRPr="00B50DB8">
        <w:rPr>
          <w:color w:val="0070C0"/>
        </w:rPr>
        <w:t xml:space="preserve"> </w:t>
      </w:r>
      <w:r>
        <w:rPr>
          <w:color w:val="000000" w:themeColor="text1"/>
        </w:rPr>
        <w:t xml:space="preserve">The submission took an epidemiological approach as well as a market share approach to support to the epidemiological estimates. </w:t>
      </w:r>
    </w:p>
    <w:p w:rsidR="009A6043" w:rsidRDefault="00AA1B0E" w:rsidP="00083F05">
      <w:pPr>
        <w:pStyle w:val="ListParagraph"/>
        <w:widowControl/>
        <w:numPr>
          <w:ilvl w:val="1"/>
          <w:numId w:val="2"/>
        </w:numPr>
      </w:pPr>
      <w:r>
        <w:t>Table 1</w:t>
      </w:r>
      <w:r w:rsidR="00081210">
        <w:t>5</w:t>
      </w:r>
      <w:r w:rsidR="009A6043">
        <w:t xml:space="preserve"> presents key inputs in the financial estimates.</w:t>
      </w:r>
    </w:p>
    <w:p w:rsidR="009A6043" w:rsidRPr="00D33691" w:rsidRDefault="009A6043" w:rsidP="000571E1">
      <w:pPr>
        <w:keepNext/>
        <w:rPr>
          <w:rStyle w:val="CommentReference"/>
        </w:rPr>
      </w:pPr>
      <w:bookmarkStart w:id="32" w:name="_Ref59969923"/>
      <w:r>
        <w:rPr>
          <w:rStyle w:val="CommentReference"/>
        </w:rPr>
        <w:t xml:space="preserve">Table </w:t>
      </w:r>
      <w:bookmarkEnd w:id="32"/>
      <w:r w:rsidR="00AA1B0E">
        <w:rPr>
          <w:rStyle w:val="CommentReference"/>
        </w:rPr>
        <w:t>1</w:t>
      </w:r>
      <w:r w:rsidR="00081210">
        <w:rPr>
          <w:rStyle w:val="CommentReference"/>
        </w:rPr>
        <w:t>5</w:t>
      </w:r>
      <w:r>
        <w:rPr>
          <w:rStyle w:val="CommentReference"/>
        </w:rPr>
        <w:t xml:space="preserve">: </w:t>
      </w:r>
      <w:r w:rsidRPr="00D33691">
        <w:rPr>
          <w:rStyle w:val="CommentReference"/>
        </w:rPr>
        <w:t>Data sources and parameter values applied in the utilisation and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80"/>
        <w:gridCol w:w="1843"/>
        <w:gridCol w:w="1701"/>
        <w:gridCol w:w="3656"/>
      </w:tblGrid>
      <w:tr w:rsidR="009A6043" w:rsidRPr="0053193A" w:rsidTr="000571E1">
        <w:trPr>
          <w:cantSplit/>
          <w:tblHeader/>
        </w:trPr>
        <w:tc>
          <w:tcPr>
            <w:tcW w:w="1980" w:type="dxa"/>
            <w:vAlign w:val="center"/>
          </w:tcPr>
          <w:p w:rsidR="009A6043" w:rsidRPr="0053193A" w:rsidRDefault="009A6043" w:rsidP="000571E1">
            <w:pPr>
              <w:keepNext/>
              <w:rPr>
                <w:rFonts w:ascii="Arial Narrow" w:hAnsi="Arial Narrow"/>
                <w:b/>
                <w:sz w:val="20"/>
                <w:szCs w:val="20"/>
              </w:rPr>
            </w:pPr>
            <w:r w:rsidRPr="0053193A">
              <w:rPr>
                <w:rFonts w:ascii="Arial Narrow" w:hAnsi="Arial Narrow"/>
                <w:b/>
                <w:sz w:val="20"/>
                <w:szCs w:val="20"/>
              </w:rPr>
              <w:t>Data</w:t>
            </w:r>
          </w:p>
        </w:tc>
        <w:tc>
          <w:tcPr>
            <w:tcW w:w="1843" w:type="dxa"/>
            <w:vAlign w:val="center"/>
          </w:tcPr>
          <w:p w:rsidR="009A6043" w:rsidRPr="0053193A" w:rsidRDefault="009A6043" w:rsidP="000571E1">
            <w:pPr>
              <w:keepNext/>
              <w:rPr>
                <w:rFonts w:ascii="Arial Narrow" w:hAnsi="Arial Narrow"/>
                <w:b/>
                <w:sz w:val="20"/>
                <w:szCs w:val="20"/>
              </w:rPr>
            </w:pPr>
            <w:r w:rsidRPr="0053193A">
              <w:rPr>
                <w:rFonts w:ascii="Arial Narrow" w:hAnsi="Arial Narrow"/>
                <w:b/>
                <w:sz w:val="20"/>
                <w:szCs w:val="20"/>
              </w:rPr>
              <w:t>Value</w:t>
            </w:r>
          </w:p>
        </w:tc>
        <w:tc>
          <w:tcPr>
            <w:tcW w:w="1701" w:type="dxa"/>
            <w:vAlign w:val="center"/>
          </w:tcPr>
          <w:p w:rsidR="009A6043" w:rsidRPr="0053193A" w:rsidRDefault="009A6043" w:rsidP="000571E1">
            <w:pPr>
              <w:keepNext/>
              <w:rPr>
                <w:rFonts w:ascii="Arial Narrow" w:hAnsi="Arial Narrow"/>
                <w:b/>
                <w:sz w:val="20"/>
                <w:szCs w:val="20"/>
              </w:rPr>
            </w:pPr>
            <w:r w:rsidRPr="0053193A">
              <w:rPr>
                <w:rFonts w:ascii="Arial Narrow" w:hAnsi="Arial Narrow"/>
                <w:b/>
                <w:sz w:val="20"/>
                <w:szCs w:val="20"/>
              </w:rPr>
              <w:t>Source</w:t>
            </w:r>
          </w:p>
        </w:tc>
        <w:tc>
          <w:tcPr>
            <w:tcW w:w="3656" w:type="dxa"/>
            <w:vAlign w:val="center"/>
          </w:tcPr>
          <w:p w:rsidR="009A6043" w:rsidRPr="0053193A" w:rsidRDefault="009A6043" w:rsidP="000571E1">
            <w:pPr>
              <w:keepNext/>
              <w:rPr>
                <w:rFonts w:ascii="Arial Narrow" w:hAnsi="Arial Narrow"/>
                <w:b/>
                <w:sz w:val="20"/>
                <w:szCs w:val="20"/>
              </w:rPr>
            </w:pPr>
            <w:r w:rsidRPr="0053193A">
              <w:rPr>
                <w:rFonts w:ascii="Arial Narrow" w:hAnsi="Arial Narrow"/>
                <w:b/>
                <w:sz w:val="20"/>
                <w:szCs w:val="20"/>
              </w:rPr>
              <w:t>Comment</w:t>
            </w:r>
          </w:p>
        </w:tc>
      </w:tr>
      <w:tr w:rsidR="009A6043" w:rsidRPr="0053193A" w:rsidTr="000571E1">
        <w:trPr>
          <w:cantSplit/>
        </w:trPr>
        <w:tc>
          <w:tcPr>
            <w:tcW w:w="9180" w:type="dxa"/>
            <w:gridSpan w:val="4"/>
            <w:vAlign w:val="center"/>
          </w:tcPr>
          <w:p w:rsidR="009A6043" w:rsidRPr="0053193A" w:rsidRDefault="009A6043" w:rsidP="000571E1">
            <w:pPr>
              <w:keepNext/>
              <w:rPr>
                <w:rFonts w:ascii="Arial Narrow" w:hAnsi="Arial Narrow"/>
                <w:b/>
                <w:sz w:val="20"/>
                <w:szCs w:val="20"/>
              </w:rPr>
            </w:pPr>
            <w:r w:rsidRPr="0053193A">
              <w:rPr>
                <w:rFonts w:ascii="Arial Narrow" w:hAnsi="Arial Narrow"/>
                <w:b/>
                <w:sz w:val="20"/>
                <w:szCs w:val="20"/>
              </w:rPr>
              <w:t>Eligible population</w:t>
            </w:r>
          </w:p>
        </w:tc>
      </w:tr>
      <w:tr w:rsidR="009A6043" w:rsidRPr="0053193A" w:rsidTr="000571E1">
        <w:trPr>
          <w:cantSplit/>
        </w:trPr>
        <w:tc>
          <w:tcPr>
            <w:tcW w:w="1980" w:type="dxa"/>
            <w:vAlign w:val="center"/>
          </w:tcPr>
          <w:p w:rsidR="009A6043" w:rsidRPr="0053193A" w:rsidRDefault="009A6043" w:rsidP="000571E1">
            <w:pPr>
              <w:keepNext/>
              <w:jc w:val="left"/>
              <w:rPr>
                <w:rFonts w:ascii="Arial Narrow" w:hAnsi="Arial Narrow"/>
                <w:sz w:val="20"/>
                <w:szCs w:val="20"/>
              </w:rPr>
            </w:pPr>
            <w:r w:rsidRPr="0053193A">
              <w:rPr>
                <w:rFonts w:ascii="Arial Narrow" w:hAnsi="Arial Narrow"/>
                <w:sz w:val="20"/>
                <w:szCs w:val="20"/>
              </w:rPr>
              <w:t xml:space="preserve">Number of imatinib patients </w:t>
            </w:r>
          </w:p>
        </w:tc>
        <w:tc>
          <w:tcPr>
            <w:tcW w:w="1843" w:type="dxa"/>
            <w:vAlign w:val="center"/>
          </w:tcPr>
          <w:p w:rsidR="009A6043" w:rsidRPr="0053193A" w:rsidRDefault="009A6043" w:rsidP="000571E1">
            <w:pPr>
              <w:keepNext/>
              <w:rPr>
                <w:rFonts w:ascii="Arial Narrow" w:hAnsi="Arial Narrow"/>
                <w:sz w:val="20"/>
                <w:szCs w:val="20"/>
              </w:rPr>
            </w:pPr>
          </w:p>
          <w:tbl>
            <w:tblPr>
              <w:tblStyle w:val="TableGrid"/>
              <w:tblW w:w="1584" w:type="dxa"/>
              <w:tblLayout w:type="fixed"/>
              <w:tblLook w:val="04A0" w:firstRow="1" w:lastRow="0" w:firstColumn="1" w:lastColumn="0" w:noHBand="0" w:noVBand="1"/>
              <w:tblCaption w:val="Number of imatinib patients "/>
            </w:tblPr>
            <w:tblGrid>
              <w:gridCol w:w="733"/>
              <w:gridCol w:w="851"/>
            </w:tblGrid>
            <w:tr w:rsidR="009A6043" w:rsidRPr="0053193A" w:rsidTr="00E45C8E">
              <w:trPr>
                <w:tblHeader/>
              </w:trPr>
              <w:tc>
                <w:tcPr>
                  <w:tcW w:w="733" w:type="dxa"/>
                </w:tcPr>
                <w:p w:rsidR="009A6043" w:rsidRPr="0053193A" w:rsidRDefault="009A6043" w:rsidP="000571E1">
                  <w:pPr>
                    <w:keepNext/>
                    <w:rPr>
                      <w:rFonts w:ascii="Arial Narrow" w:hAnsi="Arial Narrow"/>
                      <w:sz w:val="20"/>
                      <w:szCs w:val="20"/>
                    </w:rPr>
                  </w:pPr>
                  <w:r w:rsidRPr="0053193A">
                    <w:rPr>
                      <w:rFonts w:ascii="Arial Narrow" w:hAnsi="Arial Narrow"/>
                      <w:sz w:val="20"/>
                      <w:szCs w:val="20"/>
                    </w:rPr>
                    <w:t>Year</w:t>
                  </w:r>
                </w:p>
              </w:tc>
              <w:tc>
                <w:tcPr>
                  <w:tcW w:w="851" w:type="dxa"/>
                </w:tcPr>
                <w:p w:rsidR="009A6043" w:rsidRPr="0053193A" w:rsidRDefault="009A6043" w:rsidP="000571E1">
                  <w:pPr>
                    <w:keepNext/>
                    <w:rPr>
                      <w:rFonts w:ascii="Arial Narrow" w:hAnsi="Arial Narrow"/>
                      <w:sz w:val="20"/>
                      <w:szCs w:val="20"/>
                    </w:rPr>
                  </w:pPr>
                  <w:r w:rsidRPr="0053193A">
                    <w:rPr>
                      <w:rFonts w:ascii="Arial Narrow" w:hAnsi="Arial Narrow"/>
                      <w:sz w:val="20"/>
                      <w:szCs w:val="20"/>
                    </w:rPr>
                    <w:t>Patients</w:t>
                  </w:r>
                </w:p>
              </w:tc>
            </w:tr>
            <w:tr w:rsidR="009A6043" w:rsidRPr="0053193A" w:rsidTr="00CF6F9B">
              <w:tc>
                <w:tcPr>
                  <w:tcW w:w="733" w:type="dxa"/>
                </w:tcPr>
                <w:p w:rsidR="009A6043" w:rsidRPr="008A39F3" w:rsidRDefault="009A6043" w:rsidP="008A39F3">
                  <w:pPr>
                    <w:keepNext/>
                    <w:rPr>
                      <w:rFonts w:ascii="Arial Narrow" w:hAnsi="Arial Narrow"/>
                      <w:sz w:val="20"/>
                      <w:szCs w:val="20"/>
                      <w:vertAlign w:val="superscript"/>
                    </w:rPr>
                  </w:pPr>
                  <w:r w:rsidRPr="0053193A">
                    <w:rPr>
                      <w:rFonts w:ascii="Arial Narrow" w:hAnsi="Arial Narrow"/>
                      <w:sz w:val="20"/>
                      <w:szCs w:val="20"/>
                    </w:rPr>
                    <w:t>2022</w:t>
                  </w:r>
                </w:p>
              </w:tc>
              <w:tc>
                <w:tcPr>
                  <w:tcW w:w="851" w:type="dxa"/>
                </w:tcPr>
                <w:p w:rsidR="009A6043" w:rsidRPr="00E45AE8" w:rsidRDefault="00E45AE8" w:rsidP="000571E1">
                  <w:pPr>
                    <w:keepNext/>
                    <w:rPr>
                      <w:rFonts w:ascii="Arial Narrow" w:hAnsi="Arial Narrow"/>
                      <w:sz w:val="20"/>
                      <w:szCs w:val="20"/>
                    </w:rPr>
                  </w:pPr>
                  <w:r>
                    <w:rPr>
                      <w:rFonts w:ascii="Arial Narrow" w:hAnsi="Arial Narrow"/>
                      <w:noProof/>
                      <w:color w:val="000000"/>
                      <w:sz w:val="20"/>
                      <w:szCs w:val="20"/>
                      <w:highlight w:val="black"/>
                    </w:rPr>
                    <w:t>'''''''''</w:t>
                  </w:r>
                  <w:r w:rsidR="008A39F3">
                    <w:rPr>
                      <w:rFonts w:ascii="Arial Narrow" w:hAnsi="Arial Narrow"/>
                      <w:sz w:val="20"/>
                      <w:szCs w:val="20"/>
                      <w:vertAlign w:val="superscript"/>
                    </w:rPr>
                    <w:t>1</w:t>
                  </w:r>
                </w:p>
              </w:tc>
            </w:tr>
            <w:tr w:rsidR="009A6043" w:rsidRPr="0053193A" w:rsidTr="00CF6F9B">
              <w:tc>
                <w:tcPr>
                  <w:tcW w:w="733" w:type="dxa"/>
                </w:tcPr>
                <w:p w:rsidR="009A6043" w:rsidRPr="0053193A" w:rsidRDefault="009A6043" w:rsidP="000571E1">
                  <w:pPr>
                    <w:keepNext/>
                    <w:rPr>
                      <w:rFonts w:ascii="Arial Narrow" w:hAnsi="Arial Narrow"/>
                      <w:sz w:val="20"/>
                      <w:szCs w:val="20"/>
                    </w:rPr>
                  </w:pPr>
                  <w:r w:rsidRPr="0053193A">
                    <w:rPr>
                      <w:rFonts w:ascii="Arial Narrow" w:hAnsi="Arial Narrow"/>
                      <w:sz w:val="20"/>
                      <w:szCs w:val="20"/>
                    </w:rPr>
                    <w:t>2023</w:t>
                  </w:r>
                </w:p>
              </w:tc>
              <w:tc>
                <w:tcPr>
                  <w:tcW w:w="851" w:type="dxa"/>
                </w:tcPr>
                <w:p w:rsidR="009A6043" w:rsidRPr="00E45AE8" w:rsidRDefault="00E45AE8" w:rsidP="000571E1">
                  <w:pPr>
                    <w:keepNext/>
                    <w:rPr>
                      <w:rFonts w:ascii="Arial Narrow" w:hAnsi="Arial Narrow"/>
                      <w:sz w:val="20"/>
                      <w:szCs w:val="20"/>
                    </w:rPr>
                  </w:pPr>
                  <w:r>
                    <w:rPr>
                      <w:rFonts w:ascii="Arial Narrow" w:hAnsi="Arial Narrow"/>
                      <w:noProof/>
                      <w:color w:val="000000"/>
                      <w:sz w:val="20"/>
                      <w:szCs w:val="20"/>
                      <w:highlight w:val="black"/>
                    </w:rPr>
                    <w:t>'''''''''</w:t>
                  </w:r>
                  <w:r w:rsidR="008A39F3">
                    <w:rPr>
                      <w:rFonts w:ascii="Arial Narrow" w:hAnsi="Arial Narrow"/>
                      <w:sz w:val="20"/>
                      <w:szCs w:val="20"/>
                      <w:vertAlign w:val="superscript"/>
                    </w:rPr>
                    <w:t>1</w:t>
                  </w:r>
                </w:p>
              </w:tc>
            </w:tr>
            <w:tr w:rsidR="009A6043" w:rsidRPr="0053193A" w:rsidTr="00CF6F9B">
              <w:tc>
                <w:tcPr>
                  <w:tcW w:w="733" w:type="dxa"/>
                </w:tcPr>
                <w:p w:rsidR="009A6043" w:rsidRPr="0053193A" w:rsidRDefault="009A6043" w:rsidP="000571E1">
                  <w:pPr>
                    <w:keepNext/>
                    <w:rPr>
                      <w:rFonts w:ascii="Arial Narrow" w:hAnsi="Arial Narrow"/>
                      <w:sz w:val="20"/>
                      <w:szCs w:val="20"/>
                    </w:rPr>
                  </w:pPr>
                  <w:r w:rsidRPr="0053193A">
                    <w:rPr>
                      <w:rFonts w:ascii="Arial Narrow" w:hAnsi="Arial Narrow"/>
                      <w:sz w:val="20"/>
                      <w:szCs w:val="20"/>
                    </w:rPr>
                    <w:t>2024</w:t>
                  </w:r>
                </w:p>
              </w:tc>
              <w:tc>
                <w:tcPr>
                  <w:tcW w:w="851" w:type="dxa"/>
                </w:tcPr>
                <w:p w:rsidR="009A6043" w:rsidRPr="00E45AE8" w:rsidRDefault="00E45AE8" w:rsidP="000571E1">
                  <w:pPr>
                    <w:keepNext/>
                    <w:rPr>
                      <w:rFonts w:ascii="Arial Narrow" w:hAnsi="Arial Narrow"/>
                      <w:sz w:val="20"/>
                      <w:szCs w:val="20"/>
                    </w:rPr>
                  </w:pPr>
                  <w:r>
                    <w:rPr>
                      <w:rFonts w:ascii="Arial Narrow" w:hAnsi="Arial Narrow"/>
                      <w:noProof/>
                      <w:color w:val="000000"/>
                      <w:sz w:val="20"/>
                      <w:szCs w:val="20"/>
                      <w:highlight w:val="black"/>
                    </w:rPr>
                    <w:t>''''''''''</w:t>
                  </w:r>
                  <w:r w:rsidR="008A39F3">
                    <w:rPr>
                      <w:rFonts w:ascii="Arial Narrow" w:hAnsi="Arial Narrow"/>
                      <w:sz w:val="20"/>
                      <w:szCs w:val="20"/>
                      <w:vertAlign w:val="superscript"/>
                    </w:rPr>
                    <w:t>1</w:t>
                  </w:r>
                </w:p>
              </w:tc>
            </w:tr>
            <w:tr w:rsidR="009A6043" w:rsidRPr="0053193A" w:rsidTr="00CF6F9B">
              <w:tc>
                <w:tcPr>
                  <w:tcW w:w="733" w:type="dxa"/>
                </w:tcPr>
                <w:p w:rsidR="009A6043" w:rsidRPr="0053193A" w:rsidRDefault="009A6043" w:rsidP="000571E1">
                  <w:pPr>
                    <w:keepNext/>
                    <w:rPr>
                      <w:rFonts w:ascii="Arial Narrow" w:hAnsi="Arial Narrow"/>
                      <w:sz w:val="20"/>
                      <w:szCs w:val="20"/>
                    </w:rPr>
                  </w:pPr>
                  <w:r w:rsidRPr="0053193A">
                    <w:rPr>
                      <w:rFonts w:ascii="Arial Narrow" w:hAnsi="Arial Narrow"/>
                      <w:sz w:val="20"/>
                      <w:szCs w:val="20"/>
                    </w:rPr>
                    <w:t>2025</w:t>
                  </w:r>
                </w:p>
              </w:tc>
              <w:tc>
                <w:tcPr>
                  <w:tcW w:w="851" w:type="dxa"/>
                </w:tcPr>
                <w:p w:rsidR="009A6043" w:rsidRPr="00E45AE8" w:rsidRDefault="00E45AE8" w:rsidP="000571E1">
                  <w:pPr>
                    <w:keepNext/>
                    <w:rPr>
                      <w:rFonts w:ascii="Arial Narrow" w:hAnsi="Arial Narrow"/>
                      <w:sz w:val="20"/>
                      <w:szCs w:val="20"/>
                    </w:rPr>
                  </w:pPr>
                  <w:r>
                    <w:rPr>
                      <w:rFonts w:ascii="Arial Narrow" w:hAnsi="Arial Narrow"/>
                      <w:noProof/>
                      <w:color w:val="000000"/>
                      <w:sz w:val="20"/>
                      <w:szCs w:val="20"/>
                      <w:highlight w:val="black"/>
                    </w:rPr>
                    <w:t>''''''''''</w:t>
                  </w:r>
                  <w:r w:rsidR="008A39F3">
                    <w:rPr>
                      <w:rFonts w:ascii="Arial Narrow" w:hAnsi="Arial Narrow"/>
                      <w:sz w:val="20"/>
                      <w:szCs w:val="20"/>
                      <w:vertAlign w:val="superscript"/>
                    </w:rPr>
                    <w:t>1</w:t>
                  </w:r>
                </w:p>
              </w:tc>
            </w:tr>
            <w:tr w:rsidR="009A6043" w:rsidRPr="0053193A" w:rsidTr="00CF6F9B">
              <w:tc>
                <w:tcPr>
                  <w:tcW w:w="733" w:type="dxa"/>
                </w:tcPr>
                <w:p w:rsidR="009A6043" w:rsidRPr="0053193A" w:rsidRDefault="009A6043" w:rsidP="000571E1">
                  <w:pPr>
                    <w:keepNext/>
                    <w:rPr>
                      <w:rFonts w:ascii="Arial Narrow" w:hAnsi="Arial Narrow"/>
                      <w:sz w:val="20"/>
                      <w:szCs w:val="20"/>
                    </w:rPr>
                  </w:pPr>
                  <w:r w:rsidRPr="0053193A">
                    <w:rPr>
                      <w:rFonts w:ascii="Arial Narrow" w:hAnsi="Arial Narrow"/>
                      <w:sz w:val="20"/>
                      <w:szCs w:val="20"/>
                    </w:rPr>
                    <w:t>2026</w:t>
                  </w:r>
                </w:p>
              </w:tc>
              <w:tc>
                <w:tcPr>
                  <w:tcW w:w="851" w:type="dxa"/>
                </w:tcPr>
                <w:p w:rsidR="009A6043" w:rsidRPr="00E45AE8" w:rsidRDefault="00E45AE8" w:rsidP="000571E1">
                  <w:pPr>
                    <w:keepNext/>
                    <w:rPr>
                      <w:rFonts w:ascii="Arial Narrow" w:hAnsi="Arial Narrow"/>
                      <w:sz w:val="20"/>
                      <w:szCs w:val="20"/>
                    </w:rPr>
                  </w:pPr>
                  <w:r>
                    <w:rPr>
                      <w:rFonts w:ascii="Arial Narrow" w:hAnsi="Arial Narrow"/>
                      <w:noProof/>
                      <w:color w:val="000000"/>
                      <w:sz w:val="20"/>
                      <w:szCs w:val="20"/>
                      <w:highlight w:val="black"/>
                    </w:rPr>
                    <w:t>''''''''''</w:t>
                  </w:r>
                  <w:r w:rsidR="008A39F3">
                    <w:rPr>
                      <w:rFonts w:ascii="Arial Narrow" w:hAnsi="Arial Narrow"/>
                      <w:sz w:val="20"/>
                      <w:szCs w:val="20"/>
                      <w:vertAlign w:val="superscript"/>
                    </w:rPr>
                    <w:t>1</w:t>
                  </w:r>
                </w:p>
              </w:tc>
            </w:tr>
            <w:tr w:rsidR="009A6043" w:rsidRPr="0053193A" w:rsidTr="00CF6F9B">
              <w:tc>
                <w:tcPr>
                  <w:tcW w:w="733" w:type="dxa"/>
                </w:tcPr>
                <w:p w:rsidR="009A6043" w:rsidRPr="0053193A" w:rsidRDefault="009A6043" w:rsidP="000571E1">
                  <w:pPr>
                    <w:keepNext/>
                    <w:rPr>
                      <w:rFonts w:ascii="Arial Narrow" w:hAnsi="Arial Narrow"/>
                      <w:sz w:val="20"/>
                      <w:szCs w:val="20"/>
                    </w:rPr>
                  </w:pPr>
                  <w:r w:rsidRPr="0053193A">
                    <w:rPr>
                      <w:rFonts w:ascii="Arial Narrow" w:hAnsi="Arial Narrow"/>
                      <w:sz w:val="20"/>
                      <w:szCs w:val="20"/>
                    </w:rPr>
                    <w:t>2027</w:t>
                  </w:r>
                </w:p>
              </w:tc>
              <w:tc>
                <w:tcPr>
                  <w:tcW w:w="851" w:type="dxa"/>
                </w:tcPr>
                <w:p w:rsidR="009A6043" w:rsidRPr="00E45AE8" w:rsidRDefault="00E45AE8" w:rsidP="000571E1">
                  <w:pPr>
                    <w:keepNext/>
                    <w:rPr>
                      <w:rFonts w:ascii="Arial Narrow" w:hAnsi="Arial Narrow"/>
                      <w:sz w:val="20"/>
                      <w:szCs w:val="20"/>
                    </w:rPr>
                  </w:pPr>
                  <w:r>
                    <w:rPr>
                      <w:rFonts w:ascii="Arial Narrow" w:hAnsi="Arial Narrow"/>
                      <w:noProof/>
                      <w:color w:val="000000"/>
                      <w:sz w:val="20"/>
                      <w:szCs w:val="20"/>
                      <w:highlight w:val="black"/>
                    </w:rPr>
                    <w:t>''''''''</w:t>
                  </w:r>
                  <w:r w:rsidR="008A39F3">
                    <w:rPr>
                      <w:rFonts w:ascii="Arial Narrow" w:hAnsi="Arial Narrow"/>
                      <w:sz w:val="20"/>
                      <w:szCs w:val="20"/>
                      <w:vertAlign w:val="superscript"/>
                    </w:rPr>
                    <w:t>1</w:t>
                  </w:r>
                </w:p>
              </w:tc>
            </w:tr>
          </w:tbl>
          <w:p w:rsidR="009A6043" w:rsidRPr="0053193A" w:rsidRDefault="009A6043" w:rsidP="000571E1">
            <w:pPr>
              <w:keepNext/>
              <w:rPr>
                <w:rFonts w:ascii="Arial Narrow" w:hAnsi="Arial Narrow"/>
                <w:sz w:val="20"/>
                <w:szCs w:val="20"/>
              </w:rPr>
            </w:pPr>
          </w:p>
        </w:tc>
        <w:tc>
          <w:tcPr>
            <w:tcW w:w="1701" w:type="dxa"/>
            <w:vAlign w:val="center"/>
          </w:tcPr>
          <w:p w:rsidR="009A6043" w:rsidRPr="0053193A" w:rsidRDefault="009A6043" w:rsidP="000571E1">
            <w:pPr>
              <w:keepNext/>
              <w:jc w:val="left"/>
              <w:rPr>
                <w:rFonts w:ascii="Arial Narrow" w:hAnsi="Arial Narrow"/>
                <w:sz w:val="20"/>
                <w:szCs w:val="20"/>
              </w:rPr>
            </w:pPr>
            <w:r w:rsidRPr="0053193A">
              <w:rPr>
                <w:rFonts w:ascii="Arial Narrow" w:hAnsi="Arial Narrow"/>
                <w:sz w:val="20"/>
                <w:szCs w:val="20"/>
              </w:rPr>
              <w:t>DUSC 2017 Review</w:t>
            </w:r>
          </w:p>
          <w:p w:rsidR="009A6043" w:rsidRPr="0053193A" w:rsidRDefault="009A6043" w:rsidP="000571E1">
            <w:pPr>
              <w:keepNext/>
              <w:jc w:val="left"/>
              <w:rPr>
                <w:rFonts w:ascii="Arial Narrow" w:hAnsi="Arial Narrow"/>
                <w:sz w:val="20"/>
                <w:szCs w:val="20"/>
              </w:rPr>
            </w:pPr>
            <w:r w:rsidRPr="0053193A">
              <w:rPr>
                <w:rFonts w:ascii="Arial Narrow" w:hAnsi="Arial Narrow"/>
                <w:sz w:val="20"/>
                <w:szCs w:val="20"/>
              </w:rPr>
              <w:t>The submission used imatinib patients from 2014 and applied the annual growth rate of the Australian population (1.6%)</w:t>
            </w:r>
          </w:p>
        </w:tc>
        <w:tc>
          <w:tcPr>
            <w:tcW w:w="3656" w:type="dxa"/>
            <w:vAlign w:val="center"/>
          </w:tcPr>
          <w:p w:rsidR="009A6043" w:rsidRPr="00E436BE" w:rsidRDefault="00E434FA" w:rsidP="00C57904">
            <w:pPr>
              <w:keepNext/>
              <w:jc w:val="left"/>
              <w:rPr>
                <w:rFonts w:ascii="Arial Narrow" w:hAnsi="Arial Narrow"/>
                <w:sz w:val="20"/>
                <w:szCs w:val="20"/>
              </w:rPr>
            </w:pPr>
            <w:r>
              <w:rPr>
                <w:rFonts w:ascii="Arial Narrow" w:hAnsi="Arial Narrow"/>
                <w:sz w:val="20"/>
                <w:szCs w:val="20"/>
              </w:rPr>
              <w:t>The evaluation considered this was r</w:t>
            </w:r>
            <w:r w:rsidR="009A6043" w:rsidRPr="00E436BE">
              <w:rPr>
                <w:rFonts w:ascii="Arial Narrow" w:hAnsi="Arial Narrow"/>
                <w:sz w:val="20"/>
                <w:szCs w:val="20"/>
              </w:rPr>
              <w:t xml:space="preserve">easonable. </w:t>
            </w:r>
          </w:p>
        </w:tc>
      </w:tr>
      <w:tr w:rsidR="009A6043" w:rsidRPr="0053193A" w:rsidTr="000571E1">
        <w:trPr>
          <w:cantSplit/>
        </w:trPr>
        <w:tc>
          <w:tcPr>
            <w:tcW w:w="1980" w:type="dxa"/>
            <w:vAlign w:val="center"/>
          </w:tcPr>
          <w:p w:rsidR="009A6043" w:rsidRPr="0053193A" w:rsidRDefault="009A6043" w:rsidP="00CF6F9B">
            <w:pPr>
              <w:jc w:val="left"/>
              <w:rPr>
                <w:rFonts w:ascii="Arial Narrow" w:hAnsi="Arial Narrow"/>
                <w:sz w:val="20"/>
                <w:szCs w:val="20"/>
              </w:rPr>
            </w:pPr>
            <w:r w:rsidRPr="0053193A">
              <w:rPr>
                <w:rFonts w:ascii="Arial Narrow" w:hAnsi="Arial Narrow"/>
                <w:sz w:val="20"/>
                <w:szCs w:val="20"/>
              </w:rPr>
              <w:t xml:space="preserve">Proportion of imatinib patients who go onto sunitinib </w:t>
            </w:r>
          </w:p>
        </w:tc>
        <w:tc>
          <w:tcPr>
            <w:tcW w:w="1843" w:type="dxa"/>
            <w:vAlign w:val="center"/>
          </w:tcPr>
          <w:p w:rsidR="009A6043" w:rsidRPr="0053193A" w:rsidRDefault="009A6043" w:rsidP="00CF6F9B">
            <w:pPr>
              <w:jc w:val="left"/>
              <w:rPr>
                <w:rFonts w:ascii="Arial Narrow" w:hAnsi="Arial Narrow"/>
                <w:sz w:val="20"/>
                <w:szCs w:val="20"/>
              </w:rPr>
            </w:pPr>
            <w:r w:rsidRPr="0053193A">
              <w:rPr>
                <w:rFonts w:ascii="Arial Narrow" w:hAnsi="Arial Narrow"/>
                <w:sz w:val="20"/>
                <w:szCs w:val="20"/>
              </w:rPr>
              <w:t>90%</w:t>
            </w:r>
          </w:p>
        </w:tc>
        <w:tc>
          <w:tcPr>
            <w:tcW w:w="1701" w:type="dxa"/>
            <w:vMerge w:val="restart"/>
            <w:vAlign w:val="center"/>
          </w:tcPr>
          <w:p w:rsidR="009A6043" w:rsidRPr="0053193A" w:rsidRDefault="009A6043" w:rsidP="00CF6F9B">
            <w:pPr>
              <w:jc w:val="left"/>
              <w:rPr>
                <w:rFonts w:ascii="Arial Narrow" w:hAnsi="Arial Narrow"/>
                <w:sz w:val="20"/>
                <w:szCs w:val="20"/>
              </w:rPr>
            </w:pPr>
            <w:r w:rsidRPr="0053193A">
              <w:rPr>
                <w:rFonts w:ascii="Arial Narrow" w:hAnsi="Arial Narrow"/>
                <w:sz w:val="20"/>
                <w:szCs w:val="20"/>
              </w:rPr>
              <w:t>Clinical expert advice</w:t>
            </w:r>
          </w:p>
        </w:tc>
        <w:tc>
          <w:tcPr>
            <w:tcW w:w="3656" w:type="dxa"/>
            <w:vMerge w:val="restart"/>
            <w:vAlign w:val="center"/>
          </w:tcPr>
          <w:p w:rsidR="009A6043" w:rsidRPr="00E436BE" w:rsidRDefault="00BF6414" w:rsidP="00F636F1">
            <w:pPr>
              <w:jc w:val="left"/>
              <w:rPr>
                <w:rFonts w:ascii="Arial Narrow" w:hAnsi="Arial Narrow"/>
                <w:sz w:val="20"/>
                <w:szCs w:val="20"/>
              </w:rPr>
            </w:pPr>
            <w:r>
              <w:rPr>
                <w:rFonts w:ascii="Arial Narrow" w:hAnsi="Arial Narrow"/>
                <w:sz w:val="20"/>
                <w:szCs w:val="20"/>
              </w:rPr>
              <w:t>The PBAC considered</w:t>
            </w:r>
            <w:r w:rsidR="00F636F1">
              <w:rPr>
                <w:rFonts w:ascii="Arial Narrow" w:hAnsi="Arial Narrow"/>
                <w:sz w:val="20"/>
                <w:szCs w:val="20"/>
              </w:rPr>
              <w:t xml:space="preserve"> the assumption regarding the proportion of imatinib patients who go onto sunitinib was overestimated based on PBS prescription data for sunitinib provided by the DUSC Secretariat</w:t>
            </w:r>
            <w:r w:rsidR="00ED7309">
              <w:rPr>
                <w:rFonts w:ascii="Arial Narrow" w:hAnsi="Arial Narrow"/>
                <w:sz w:val="20"/>
                <w:szCs w:val="20"/>
              </w:rPr>
              <w:t xml:space="preserve"> (see paragraph 6.69)</w:t>
            </w:r>
            <w:r w:rsidR="00F636F1">
              <w:rPr>
                <w:rFonts w:ascii="Arial Narrow" w:hAnsi="Arial Narrow"/>
                <w:sz w:val="20"/>
                <w:szCs w:val="20"/>
              </w:rPr>
              <w:t xml:space="preserve">. </w:t>
            </w:r>
          </w:p>
        </w:tc>
      </w:tr>
      <w:tr w:rsidR="009A6043" w:rsidRPr="0053193A" w:rsidTr="000571E1">
        <w:trPr>
          <w:cantSplit/>
        </w:trPr>
        <w:tc>
          <w:tcPr>
            <w:tcW w:w="1980" w:type="dxa"/>
            <w:vAlign w:val="center"/>
          </w:tcPr>
          <w:p w:rsidR="009A6043" w:rsidRPr="0053193A" w:rsidRDefault="009A6043" w:rsidP="00CF6F9B">
            <w:pPr>
              <w:jc w:val="left"/>
              <w:rPr>
                <w:rFonts w:ascii="Arial Narrow" w:hAnsi="Arial Narrow"/>
                <w:sz w:val="20"/>
                <w:szCs w:val="20"/>
              </w:rPr>
            </w:pPr>
            <w:r w:rsidRPr="0053193A">
              <w:rPr>
                <w:rFonts w:ascii="Arial Narrow" w:hAnsi="Arial Narrow"/>
                <w:sz w:val="20"/>
                <w:szCs w:val="20"/>
              </w:rPr>
              <w:t xml:space="preserve">Proportion of sunitinib patients who would receive 3L therapy </w:t>
            </w:r>
          </w:p>
        </w:tc>
        <w:tc>
          <w:tcPr>
            <w:tcW w:w="1843" w:type="dxa"/>
            <w:vAlign w:val="center"/>
          </w:tcPr>
          <w:p w:rsidR="009A6043" w:rsidRPr="0053193A" w:rsidRDefault="009A6043" w:rsidP="00CF6F9B">
            <w:pPr>
              <w:rPr>
                <w:rFonts w:ascii="Arial Narrow" w:hAnsi="Arial Narrow"/>
                <w:sz w:val="20"/>
                <w:szCs w:val="20"/>
              </w:rPr>
            </w:pPr>
            <w:r w:rsidRPr="0053193A">
              <w:rPr>
                <w:rFonts w:ascii="Arial Narrow" w:hAnsi="Arial Narrow"/>
                <w:sz w:val="20"/>
                <w:szCs w:val="20"/>
              </w:rPr>
              <w:t>90%</w:t>
            </w:r>
          </w:p>
        </w:tc>
        <w:tc>
          <w:tcPr>
            <w:tcW w:w="1701" w:type="dxa"/>
            <w:vMerge/>
            <w:vAlign w:val="center"/>
          </w:tcPr>
          <w:p w:rsidR="009A6043" w:rsidRPr="0053193A" w:rsidRDefault="009A6043" w:rsidP="00CF6F9B">
            <w:pPr>
              <w:rPr>
                <w:rFonts w:ascii="Arial Narrow" w:hAnsi="Arial Narrow"/>
                <w:sz w:val="20"/>
                <w:szCs w:val="20"/>
              </w:rPr>
            </w:pPr>
          </w:p>
        </w:tc>
        <w:tc>
          <w:tcPr>
            <w:tcW w:w="3656" w:type="dxa"/>
            <w:vMerge/>
            <w:vAlign w:val="center"/>
          </w:tcPr>
          <w:p w:rsidR="009A6043" w:rsidRPr="00E436BE" w:rsidRDefault="009A6043" w:rsidP="00CF6F9B">
            <w:pPr>
              <w:rPr>
                <w:rFonts w:ascii="Arial Narrow" w:hAnsi="Arial Narrow"/>
                <w:sz w:val="20"/>
                <w:szCs w:val="20"/>
              </w:rPr>
            </w:pPr>
          </w:p>
        </w:tc>
      </w:tr>
      <w:tr w:rsidR="009A6043" w:rsidRPr="0053193A" w:rsidTr="000571E1">
        <w:trPr>
          <w:cantSplit/>
        </w:trPr>
        <w:tc>
          <w:tcPr>
            <w:tcW w:w="9180" w:type="dxa"/>
            <w:gridSpan w:val="4"/>
            <w:vAlign w:val="center"/>
          </w:tcPr>
          <w:p w:rsidR="009A6043" w:rsidRPr="00E436BE" w:rsidRDefault="009A6043" w:rsidP="00CF6F9B">
            <w:pPr>
              <w:rPr>
                <w:rFonts w:ascii="Arial Narrow" w:hAnsi="Arial Narrow"/>
                <w:b/>
                <w:sz w:val="20"/>
                <w:szCs w:val="20"/>
              </w:rPr>
            </w:pPr>
            <w:r w:rsidRPr="00E436BE">
              <w:rPr>
                <w:rFonts w:ascii="Arial Narrow" w:hAnsi="Arial Narrow"/>
                <w:b/>
                <w:sz w:val="20"/>
                <w:szCs w:val="20"/>
              </w:rPr>
              <w:t>Treatment utilisation</w:t>
            </w:r>
          </w:p>
        </w:tc>
      </w:tr>
      <w:tr w:rsidR="009A6043" w:rsidRPr="0053193A" w:rsidTr="000571E1">
        <w:trPr>
          <w:cantSplit/>
        </w:trPr>
        <w:tc>
          <w:tcPr>
            <w:tcW w:w="1980" w:type="dxa"/>
            <w:vAlign w:val="center"/>
          </w:tcPr>
          <w:p w:rsidR="009A6043" w:rsidRPr="0053193A" w:rsidRDefault="009A6043" w:rsidP="00CF6F9B">
            <w:pPr>
              <w:jc w:val="left"/>
              <w:rPr>
                <w:rFonts w:ascii="Arial Narrow" w:hAnsi="Arial Narrow"/>
                <w:sz w:val="20"/>
                <w:szCs w:val="20"/>
              </w:rPr>
            </w:pPr>
            <w:r w:rsidRPr="0053193A">
              <w:rPr>
                <w:rFonts w:ascii="Arial Narrow" w:hAnsi="Arial Narrow"/>
                <w:sz w:val="20"/>
                <w:szCs w:val="20"/>
              </w:rPr>
              <w:lastRenderedPageBreak/>
              <w:t xml:space="preserve">Patients electing treatment </w:t>
            </w:r>
          </w:p>
        </w:tc>
        <w:tc>
          <w:tcPr>
            <w:tcW w:w="1843" w:type="dxa"/>
            <w:vAlign w:val="center"/>
          </w:tcPr>
          <w:p w:rsidR="009A6043" w:rsidRPr="0053193A" w:rsidRDefault="009A6043" w:rsidP="00CF6F9B">
            <w:pPr>
              <w:jc w:val="left"/>
              <w:rPr>
                <w:rFonts w:ascii="Arial Narrow" w:hAnsi="Arial Narrow"/>
                <w:sz w:val="20"/>
                <w:szCs w:val="20"/>
              </w:rPr>
            </w:pPr>
            <w:r w:rsidRPr="0053193A">
              <w:rPr>
                <w:rFonts w:ascii="Arial Narrow" w:hAnsi="Arial Narrow"/>
                <w:sz w:val="20"/>
                <w:szCs w:val="20"/>
              </w:rPr>
              <w:t>80%</w:t>
            </w:r>
            <w:r>
              <w:rPr>
                <w:rFonts w:ascii="Arial Narrow" w:hAnsi="Arial Narrow"/>
                <w:sz w:val="20"/>
                <w:szCs w:val="20"/>
              </w:rPr>
              <w:t xml:space="preserve"> in year 1, 100% in year 2 onwards</w:t>
            </w:r>
          </w:p>
        </w:tc>
        <w:tc>
          <w:tcPr>
            <w:tcW w:w="1701" w:type="dxa"/>
            <w:vAlign w:val="center"/>
          </w:tcPr>
          <w:p w:rsidR="009A6043" w:rsidRPr="0053193A" w:rsidRDefault="009A6043" w:rsidP="00CF6F9B">
            <w:pPr>
              <w:jc w:val="left"/>
              <w:rPr>
                <w:rFonts w:ascii="Arial Narrow" w:hAnsi="Arial Narrow"/>
                <w:sz w:val="20"/>
                <w:szCs w:val="20"/>
              </w:rPr>
            </w:pPr>
            <w:r w:rsidRPr="0053193A">
              <w:rPr>
                <w:rFonts w:ascii="Arial Narrow" w:hAnsi="Arial Narrow"/>
                <w:sz w:val="20"/>
                <w:szCs w:val="20"/>
              </w:rPr>
              <w:t>Assumption</w:t>
            </w:r>
          </w:p>
        </w:tc>
        <w:tc>
          <w:tcPr>
            <w:tcW w:w="3656" w:type="dxa"/>
            <w:vAlign w:val="center"/>
          </w:tcPr>
          <w:p w:rsidR="009A6043" w:rsidRPr="00E436BE" w:rsidRDefault="009A6043" w:rsidP="00CF6F9B">
            <w:pPr>
              <w:jc w:val="left"/>
              <w:rPr>
                <w:rFonts w:ascii="Arial Narrow" w:hAnsi="Arial Narrow"/>
                <w:sz w:val="20"/>
                <w:szCs w:val="20"/>
              </w:rPr>
            </w:pPr>
          </w:p>
        </w:tc>
      </w:tr>
      <w:tr w:rsidR="009A6043" w:rsidRPr="0053193A" w:rsidTr="000571E1">
        <w:trPr>
          <w:cantSplit/>
        </w:trPr>
        <w:tc>
          <w:tcPr>
            <w:tcW w:w="1980" w:type="dxa"/>
            <w:vAlign w:val="center"/>
          </w:tcPr>
          <w:p w:rsidR="009A6043" w:rsidRPr="0053193A" w:rsidRDefault="009A6043" w:rsidP="00CF6F9B">
            <w:pPr>
              <w:jc w:val="left"/>
              <w:rPr>
                <w:rFonts w:ascii="Arial Narrow" w:hAnsi="Arial Narrow"/>
                <w:sz w:val="20"/>
                <w:szCs w:val="20"/>
              </w:rPr>
            </w:pPr>
            <w:r w:rsidRPr="0053193A">
              <w:rPr>
                <w:rFonts w:ascii="Arial Narrow" w:hAnsi="Arial Narrow"/>
                <w:sz w:val="20"/>
                <w:szCs w:val="20"/>
              </w:rPr>
              <w:t>Scripts per treatment (initial</w:t>
            </w:r>
            <w:r>
              <w:rPr>
                <w:rFonts w:ascii="Arial Narrow" w:hAnsi="Arial Narrow"/>
                <w:sz w:val="20"/>
                <w:szCs w:val="20"/>
              </w:rPr>
              <w:t xml:space="preserve"> and continuing)</w:t>
            </w:r>
          </w:p>
        </w:tc>
        <w:tc>
          <w:tcPr>
            <w:tcW w:w="1843" w:type="dxa"/>
            <w:vAlign w:val="center"/>
          </w:tcPr>
          <w:p w:rsidR="009A6043" w:rsidRDefault="009A6043" w:rsidP="00CF6F9B">
            <w:pPr>
              <w:jc w:val="left"/>
              <w:rPr>
                <w:rFonts w:ascii="Arial Narrow" w:hAnsi="Arial Narrow"/>
                <w:sz w:val="20"/>
                <w:szCs w:val="20"/>
              </w:rPr>
            </w:pPr>
            <w:r>
              <w:rPr>
                <w:rFonts w:ascii="Arial Narrow" w:hAnsi="Arial Narrow"/>
                <w:sz w:val="20"/>
                <w:szCs w:val="20"/>
              </w:rPr>
              <w:t xml:space="preserve">10.16 in </w:t>
            </w:r>
            <w:r w:rsidR="00C43312">
              <w:rPr>
                <w:rFonts w:ascii="Arial Narrow" w:hAnsi="Arial Narrow"/>
                <w:sz w:val="20"/>
                <w:szCs w:val="20"/>
              </w:rPr>
              <w:t>“3.a scripts proposed” worksheet (sum of cells Q117 and Q118)</w:t>
            </w:r>
          </w:p>
          <w:p w:rsidR="009A6043" w:rsidRDefault="009A6043" w:rsidP="00CF6F9B">
            <w:pPr>
              <w:jc w:val="left"/>
              <w:rPr>
                <w:rFonts w:ascii="Arial Narrow" w:hAnsi="Arial Narrow"/>
                <w:sz w:val="20"/>
                <w:szCs w:val="20"/>
              </w:rPr>
            </w:pPr>
          </w:p>
          <w:p w:rsidR="009A6043" w:rsidRPr="0053193A" w:rsidRDefault="009A6043" w:rsidP="00CF6F9B">
            <w:pPr>
              <w:jc w:val="left"/>
              <w:rPr>
                <w:rFonts w:ascii="Arial Narrow" w:hAnsi="Arial Narrow"/>
                <w:sz w:val="20"/>
                <w:szCs w:val="20"/>
              </w:rPr>
            </w:pPr>
            <w:r>
              <w:rPr>
                <w:rFonts w:ascii="Arial Narrow" w:hAnsi="Arial Narrow"/>
                <w:sz w:val="20"/>
                <w:szCs w:val="20"/>
              </w:rPr>
              <w:t>11.09 in “1.Overview” worksheet (cell I406)</w:t>
            </w:r>
          </w:p>
        </w:tc>
        <w:tc>
          <w:tcPr>
            <w:tcW w:w="1701" w:type="dxa"/>
            <w:vAlign w:val="center"/>
          </w:tcPr>
          <w:p w:rsidR="009A6043" w:rsidRPr="0053193A" w:rsidRDefault="009A6043" w:rsidP="00CF6F9B">
            <w:pPr>
              <w:jc w:val="left"/>
              <w:rPr>
                <w:rFonts w:ascii="Arial Narrow" w:hAnsi="Arial Narrow"/>
                <w:sz w:val="20"/>
                <w:szCs w:val="20"/>
              </w:rPr>
            </w:pPr>
            <w:r w:rsidRPr="0053193A">
              <w:rPr>
                <w:rFonts w:ascii="Arial Narrow" w:hAnsi="Arial Narrow"/>
                <w:sz w:val="20"/>
                <w:szCs w:val="20"/>
              </w:rPr>
              <w:t>11.</w:t>
            </w:r>
            <w:r>
              <w:rPr>
                <w:rFonts w:ascii="Arial Narrow" w:hAnsi="Arial Narrow"/>
                <w:sz w:val="20"/>
                <w:szCs w:val="20"/>
              </w:rPr>
              <w:t>50</w:t>
            </w:r>
            <w:r w:rsidRPr="0053193A">
              <w:rPr>
                <w:rFonts w:ascii="Arial Narrow" w:hAnsi="Arial Narrow"/>
                <w:sz w:val="20"/>
                <w:szCs w:val="20"/>
              </w:rPr>
              <w:t xml:space="preserve"> (49.8</w:t>
            </w:r>
            <w:r>
              <w:rPr>
                <w:rFonts w:ascii="Arial Narrow" w:hAnsi="Arial Narrow"/>
                <w:sz w:val="20"/>
                <w:szCs w:val="20"/>
              </w:rPr>
              <w:t>2</w:t>
            </w:r>
            <w:r w:rsidRPr="0053193A">
              <w:rPr>
                <w:rFonts w:ascii="Arial Narrow" w:hAnsi="Arial Narrow"/>
                <w:sz w:val="20"/>
                <w:szCs w:val="20"/>
              </w:rPr>
              <w:t xml:space="preserve"> weeks from mean time to discontinuation from economic evaluation converted to months) x 96.5%</w:t>
            </w:r>
            <w:r>
              <w:rPr>
                <w:rFonts w:ascii="Arial Narrow" w:hAnsi="Arial Narrow"/>
                <w:sz w:val="20"/>
                <w:szCs w:val="20"/>
              </w:rPr>
              <w:t xml:space="preserve"> and </w:t>
            </w:r>
            <w:r w:rsidR="001604F2">
              <w:rPr>
                <w:rFonts w:ascii="Arial Narrow" w:hAnsi="Arial Narrow"/>
                <w:sz w:val="20"/>
                <w:szCs w:val="20"/>
              </w:rPr>
              <w:t>a</w:t>
            </w:r>
            <w:r>
              <w:rPr>
                <w:rFonts w:ascii="Arial Narrow" w:hAnsi="Arial Narrow"/>
                <w:sz w:val="20"/>
                <w:szCs w:val="20"/>
              </w:rPr>
              <w:t xml:space="preserve"> 97.74% compliance for the continuing treatment (100% compliance assumed during 2 months </w:t>
            </w:r>
            <w:r w:rsidR="001604F2">
              <w:rPr>
                <w:rFonts w:ascii="Arial Narrow" w:hAnsi="Arial Narrow"/>
                <w:sz w:val="20"/>
                <w:szCs w:val="20"/>
              </w:rPr>
              <w:t>initiation</w:t>
            </w:r>
            <w:r>
              <w:rPr>
                <w:rFonts w:ascii="Arial Narrow" w:hAnsi="Arial Narrow"/>
                <w:sz w:val="20"/>
                <w:szCs w:val="20"/>
              </w:rPr>
              <w:t xml:space="preserve">). </w:t>
            </w:r>
          </w:p>
        </w:tc>
        <w:tc>
          <w:tcPr>
            <w:tcW w:w="3656" w:type="dxa"/>
            <w:vAlign w:val="center"/>
          </w:tcPr>
          <w:p w:rsidR="009A6043" w:rsidRPr="00E436BE" w:rsidRDefault="009A6043" w:rsidP="00CF6F9B">
            <w:pPr>
              <w:pStyle w:val="Tabletext"/>
            </w:pPr>
            <w:r w:rsidRPr="00E436BE">
              <w:t>Mean treatment duration of ripretinib in the INVICTUS double blind phase was 24.44 weeks. While the PFS data was not fully mature and mean treatment time could be expected to increase, 49.82 weeks may be an overestimate.</w:t>
            </w:r>
          </w:p>
          <w:p w:rsidR="009A6043" w:rsidRPr="00E436BE" w:rsidRDefault="009A6043" w:rsidP="00CF6F9B">
            <w:pPr>
              <w:pStyle w:val="Tabletext"/>
            </w:pPr>
          </w:p>
          <w:p w:rsidR="009A6043" w:rsidRPr="00E436BE" w:rsidRDefault="009A6043" w:rsidP="00CF6F9B">
            <w:pPr>
              <w:pStyle w:val="Tabletext"/>
            </w:pPr>
            <w:r w:rsidRPr="00E436BE">
              <w:t xml:space="preserve">Additionally, during the evaluation, the estimate of 49.82 could not be verified in the economic evaluation, though the differences between the evaluation calculations and the 49.82 were small. </w:t>
            </w:r>
          </w:p>
          <w:p w:rsidR="009A6043" w:rsidRPr="00E436BE" w:rsidRDefault="009A6043" w:rsidP="00CF6F9B">
            <w:pPr>
              <w:pStyle w:val="Tabletext"/>
            </w:pPr>
          </w:p>
          <w:p w:rsidR="009A6043" w:rsidRPr="00E436BE" w:rsidRDefault="009A6043" w:rsidP="00CF6F9B">
            <w:pPr>
              <w:pStyle w:val="Tabletext"/>
              <w:rPr>
                <w:iCs/>
              </w:rPr>
            </w:pPr>
            <w:r w:rsidRPr="00E436BE">
              <w:rPr>
                <w:iCs/>
              </w:rPr>
              <w:t>The submission’s approach to calculating doses and scripts per patient was overly complicated and poorly explained. It appeared to assume that there would only be 28 days of treatment per month on treatment. See discussion below.</w:t>
            </w:r>
          </w:p>
        </w:tc>
      </w:tr>
      <w:tr w:rsidR="009A6043" w:rsidRPr="0053193A" w:rsidTr="000571E1">
        <w:trPr>
          <w:cantSplit/>
        </w:trPr>
        <w:tc>
          <w:tcPr>
            <w:tcW w:w="1980" w:type="dxa"/>
            <w:vAlign w:val="center"/>
          </w:tcPr>
          <w:p w:rsidR="009A6043" w:rsidRPr="0053193A" w:rsidRDefault="009A6043" w:rsidP="00CF6F9B">
            <w:pPr>
              <w:jc w:val="left"/>
              <w:rPr>
                <w:rFonts w:ascii="Arial Narrow" w:hAnsi="Arial Narrow"/>
                <w:sz w:val="20"/>
                <w:szCs w:val="20"/>
              </w:rPr>
            </w:pPr>
            <w:r w:rsidRPr="0053193A">
              <w:rPr>
                <w:rFonts w:ascii="Arial Narrow" w:hAnsi="Arial Narrow"/>
                <w:sz w:val="20"/>
                <w:szCs w:val="20"/>
              </w:rPr>
              <w:t>Additional survival for accruing BSC  and MBS costs</w:t>
            </w:r>
          </w:p>
        </w:tc>
        <w:tc>
          <w:tcPr>
            <w:tcW w:w="1843" w:type="dxa"/>
            <w:vAlign w:val="center"/>
          </w:tcPr>
          <w:p w:rsidR="009A6043" w:rsidRPr="0053193A" w:rsidRDefault="009A6043" w:rsidP="00CF6F9B">
            <w:pPr>
              <w:jc w:val="left"/>
              <w:rPr>
                <w:rFonts w:ascii="Arial Narrow" w:hAnsi="Arial Narrow"/>
                <w:sz w:val="20"/>
                <w:szCs w:val="20"/>
              </w:rPr>
            </w:pPr>
            <w:r w:rsidRPr="0053193A">
              <w:rPr>
                <w:rFonts w:ascii="Arial Narrow" w:hAnsi="Arial Narrow"/>
                <w:sz w:val="20"/>
                <w:szCs w:val="20"/>
              </w:rPr>
              <w:t xml:space="preserve">8.5 months </w:t>
            </w:r>
          </w:p>
        </w:tc>
        <w:tc>
          <w:tcPr>
            <w:tcW w:w="1701" w:type="dxa"/>
            <w:vAlign w:val="center"/>
          </w:tcPr>
          <w:p w:rsidR="009A6043" w:rsidRPr="0053193A" w:rsidRDefault="009A6043" w:rsidP="00CF6F9B">
            <w:pPr>
              <w:jc w:val="left"/>
              <w:rPr>
                <w:rFonts w:ascii="Arial Narrow" w:hAnsi="Arial Narrow"/>
                <w:sz w:val="20"/>
                <w:szCs w:val="20"/>
              </w:rPr>
            </w:pPr>
            <w:r w:rsidRPr="0053193A">
              <w:rPr>
                <w:rFonts w:ascii="Arial Narrow" w:hAnsi="Arial Narrow"/>
                <w:sz w:val="20"/>
                <w:szCs w:val="20"/>
              </w:rPr>
              <w:t>INVICTUS</w:t>
            </w:r>
          </w:p>
        </w:tc>
        <w:tc>
          <w:tcPr>
            <w:tcW w:w="3656" w:type="dxa"/>
            <w:vAlign w:val="center"/>
          </w:tcPr>
          <w:p w:rsidR="009A6043" w:rsidRPr="00E436BE" w:rsidRDefault="009A6043" w:rsidP="00CF6F9B">
            <w:pPr>
              <w:jc w:val="left"/>
              <w:rPr>
                <w:rFonts w:ascii="Arial Narrow" w:hAnsi="Arial Narrow"/>
                <w:sz w:val="20"/>
                <w:szCs w:val="20"/>
              </w:rPr>
            </w:pPr>
            <w:r w:rsidRPr="00E436BE">
              <w:rPr>
                <w:rFonts w:ascii="Arial Narrow" w:hAnsi="Arial Narrow"/>
                <w:sz w:val="20"/>
                <w:szCs w:val="20"/>
              </w:rPr>
              <w:t>Though patients treated with ripretinib lived for an additional 8.5 months (median OS 15.1 months versus 6.6 months in the placebo/BSC group</w:t>
            </w:r>
            <w:r w:rsidR="006175A3">
              <w:rPr>
                <w:rFonts w:ascii="Arial Narrow" w:hAnsi="Arial Narrow"/>
                <w:sz w:val="20"/>
                <w:szCs w:val="20"/>
              </w:rPr>
              <w:t>)</w:t>
            </w:r>
            <w:r w:rsidRPr="00E436BE">
              <w:rPr>
                <w:rFonts w:ascii="Arial Narrow" w:hAnsi="Arial Narrow"/>
                <w:sz w:val="20"/>
                <w:szCs w:val="20"/>
              </w:rPr>
              <w:t xml:space="preserve">, the median survival in ripretinib was not reached due to extensive censoring, and there was no formal statistical improvement in survival. </w:t>
            </w:r>
            <w:r w:rsidRPr="004C36B8">
              <w:rPr>
                <w:rFonts w:ascii="Arial Narrow" w:hAnsi="Arial Narrow"/>
                <w:sz w:val="20"/>
                <w:szCs w:val="20"/>
              </w:rPr>
              <w:t>Given the issues with overall survival outcomes discussed</w:t>
            </w:r>
            <w:r w:rsidRPr="00E436BE">
              <w:rPr>
                <w:rFonts w:ascii="Arial Narrow" w:hAnsi="Arial Narrow"/>
                <w:sz w:val="20"/>
                <w:szCs w:val="20"/>
              </w:rPr>
              <w:t>, this may overestimate additional BSC costs associated with listing of ripretinib.</w:t>
            </w:r>
          </w:p>
        </w:tc>
      </w:tr>
      <w:tr w:rsidR="009A6043" w:rsidRPr="0053193A" w:rsidTr="000571E1">
        <w:trPr>
          <w:cantSplit/>
        </w:trPr>
        <w:tc>
          <w:tcPr>
            <w:tcW w:w="9180" w:type="dxa"/>
            <w:gridSpan w:val="4"/>
            <w:vAlign w:val="center"/>
          </w:tcPr>
          <w:p w:rsidR="009A6043" w:rsidRPr="00E436BE" w:rsidRDefault="009A6043" w:rsidP="00CF6F9B">
            <w:pPr>
              <w:rPr>
                <w:rFonts w:ascii="Arial Narrow" w:hAnsi="Arial Narrow"/>
                <w:b/>
                <w:sz w:val="20"/>
                <w:szCs w:val="20"/>
              </w:rPr>
            </w:pPr>
            <w:r w:rsidRPr="00E436BE">
              <w:rPr>
                <w:rFonts w:ascii="Arial Narrow" w:hAnsi="Arial Narrow"/>
                <w:b/>
                <w:sz w:val="20"/>
                <w:szCs w:val="20"/>
              </w:rPr>
              <w:t xml:space="preserve">Market share approach: </w:t>
            </w:r>
          </w:p>
        </w:tc>
      </w:tr>
      <w:tr w:rsidR="009A6043" w:rsidRPr="0053193A" w:rsidTr="000571E1">
        <w:trPr>
          <w:cantSplit/>
        </w:trPr>
        <w:tc>
          <w:tcPr>
            <w:tcW w:w="1980" w:type="dxa"/>
            <w:vAlign w:val="center"/>
          </w:tcPr>
          <w:p w:rsidR="009A6043" w:rsidRPr="0053193A" w:rsidRDefault="009A6043" w:rsidP="00CF6F9B">
            <w:pPr>
              <w:jc w:val="left"/>
              <w:rPr>
                <w:rFonts w:ascii="Arial Narrow" w:hAnsi="Arial Narrow"/>
                <w:sz w:val="20"/>
                <w:szCs w:val="20"/>
              </w:rPr>
            </w:pPr>
            <w:r w:rsidRPr="0053193A">
              <w:rPr>
                <w:rFonts w:ascii="Arial Narrow" w:hAnsi="Arial Narrow"/>
                <w:sz w:val="20"/>
                <w:szCs w:val="20"/>
              </w:rPr>
              <w:t>PBS statistics for imatinib and sunitinib</w:t>
            </w:r>
          </w:p>
        </w:tc>
        <w:tc>
          <w:tcPr>
            <w:tcW w:w="1843" w:type="dxa"/>
            <w:vAlign w:val="center"/>
          </w:tcPr>
          <w:p w:rsidR="009A6043" w:rsidRPr="0053193A" w:rsidRDefault="009A6043" w:rsidP="00CF6F9B">
            <w:pPr>
              <w:jc w:val="left"/>
              <w:rPr>
                <w:rFonts w:ascii="Arial Narrow" w:hAnsi="Arial Narrow"/>
                <w:sz w:val="20"/>
                <w:szCs w:val="20"/>
              </w:rPr>
            </w:pPr>
            <w:r w:rsidRPr="0053193A">
              <w:rPr>
                <w:rFonts w:ascii="Arial Narrow" w:hAnsi="Arial Narrow"/>
                <w:sz w:val="20"/>
                <w:szCs w:val="20"/>
              </w:rPr>
              <w:t>-</w:t>
            </w:r>
          </w:p>
        </w:tc>
        <w:tc>
          <w:tcPr>
            <w:tcW w:w="1701" w:type="dxa"/>
            <w:vAlign w:val="center"/>
          </w:tcPr>
          <w:p w:rsidR="009A6043" w:rsidRPr="0053193A" w:rsidRDefault="009A6043" w:rsidP="00CF6F9B">
            <w:pPr>
              <w:jc w:val="left"/>
              <w:rPr>
                <w:rFonts w:ascii="Arial Narrow" w:hAnsi="Arial Narrow"/>
                <w:sz w:val="20"/>
                <w:szCs w:val="20"/>
              </w:rPr>
            </w:pPr>
            <w:r w:rsidRPr="0053193A">
              <w:rPr>
                <w:rFonts w:ascii="Arial Narrow" w:hAnsi="Arial Narrow"/>
                <w:sz w:val="20"/>
                <w:szCs w:val="20"/>
              </w:rPr>
              <w:t>Medicare data. PBS Item reports.</w:t>
            </w:r>
          </w:p>
        </w:tc>
        <w:tc>
          <w:tcPr>
            <w:tcW w:w="3656" w:type="dxa"/>
            <w:vAlign w:val="center"/>
          </w:tcPr>
          <w:p w:rsidR="009A6043" w:rsidRPr="00C57904" w:rsidRDefault="00C57904" w:rsidP="00C57904">
            <w:pPr>
              <w:jc w:val="left"/>
              <w:rPr>
                <w:rFonts w:ascii="Arial Narrow" w:hAnsi="Arial Narrow"/>
                <w:sz w:val="20"/>
                <w:szCs w:val="20"/>
              </w:rPr>
            </w:pPr>
            <w:r>
              <w:rPr>
                <w:rFonts w:ascii="Arial Narrow" w:hAnsi="Arial Narrow"/>
                <w:sz w:val="20"/>
                <w:szCs w:val="20"/>
              </w:rPr>
              <w:t>-</w:t>
            </w:r>
          </w:p>
        </w:tc>
      </w:tr>
      <w:tr w:rsidR="009A6043" w:rsidRPr="0053193A" w:rsidTr="000571E1">
        <w:trPr>
          <w:cantSplit/>
        </w:trPr>
        <w:tc>
          <w:tcPr>
            <w:tcW w:w="1980" w:type="dxa"/>
            <w:vAlign w:val="center"/>
          </w:tcPr>
          <w:p w:rsidR="009A6043" w:rsidRPr="0053193A" w:rsidRDefault="009A6043" w:rsidP="00CF6F9B">
            <w:pPr>
              <w:jc w:val="left"/>
              <w:rPr>
                <w:rFonts w:ascii="Arial Narrow" w:hAnsi="Arial Narrow"/>
                <w:sz w:val="20"/>
                <w:szCs w:val="20"/>
              </w:rPr>
            </w:pPr>
            <w:r w:rsidRPr="0053193A">
              <w:rPr>
                <w:rFonts w:ascii="Arial Narrow" w:hAnsi="Arial Narrow"/>
                <w:sz w:val="20"/>
                <w:szCs w:val="20"/>
              </w:rPr>
              <w:t xml:space="preserve">Proportion of sunitinib patients who would receive 3L therapy </w:t>
            </w:r>
          </w:p>
        </w:tc>
        <w:tc>
          <w:tcPr>
            <w:tcW w:w="1843" w:type="dxa"/>
            <w:vAlign w:val="center"/>
          </w:tcPr>
          <w:p w:rsidR="009A6043" w:rsidRPr="0053193A" w:rsidRDefault="009A6043" w:rsidP="00CF6F9B">
            <w:pPr>
              <w:jc w:val="left"/>
              <w:rPr>
                <w:rFonts w:ascii="Arial Narrow" w:hAnsi="Arial Narrow"/>
                <w:sz w:val="20"/>
                <w:szCs w:val="20"/>
              </w:rPr>
            </w:pPr>
            <w:r w:rsidRPr="0053193A">
              <w:rPr>
                <w:rFonts w:ascii="Arial Narrow" w:hAnsi="Arial Narrow"/>
                <w:sz w:val="20"/>
                <w:szCs w:val="20"/>
              </w:rPr>
              <w:t>90%</w:t>
            </w:r>
          </w:p>
        </w:tc>
        <w:tc>
          <w:tcPr>
            <w:tcW w:w="1701" w:type="dxa"/>
            <w:vAlign w:val="center"/>
          </w:tcPr>
          <w:p w:rsidR="009A6043" w:rsidRPr="0053193A" w:rsidRDefault="009A6043" w:rsidP="00CF6F9B">
            <w:pPr>
              <w:jc w:val="left"/>
              <w:rPr>
                <w:rFonts w:ascii="Arial Narrow" w:hAnsi="Arial Narrow"/>
                <w:sz w:val="20"/>
                <w:szCs w:val="20"/>
              </w:rPr>
            </w:pPr>
            <w:r w:rsidRPr="0053193A">
              <w:rPr>
                <w:rFonts w:ascii="Arial Narrow" w:hAnsi="Arial Narrow"/>
                <w:sz w:val="20"/>
                <w:szCs w:val="20"/>
              </w:rPr>
              <w:t>Clinical advice</w:t>
            </w:r>
          </w:p>
        </w:tc>
        <w:tc>
          <w:tcPr>
            <w:tcW w:w="3656" w:type="dxa"/>
            <w:vAlign w:val="center"/>
          </w:tcPr>
          <w:p w:rsidR="009A6043" w:rsidRPr="00E436BE" w:rsidRDefault="009A6043" w:rsidP="00CF6F9B">
            <w:pPr>
              <w:jc w:val="left"/>
              <w:rPr>
                <w:rFonts w:ascii="Arial Narrow" w:hAnsi="Arial Narrow"/>
                <w:sz w:val="20"/>
                <w:szCs w:val="20"/>
              </w:rPr>
            </w:pPr>
            <w:r w:rsidRPr="00E436BE">
              <w:rPr>
                <w:rFonts w:ascii="Arial Narrow" w:hAnsi="Arial Narrow"/>
                <w:sz w:val="20"/>
                <w:szCs w:val="20"/>
              </w:rPr>
              <w:t>See above.</w:t>
            </w:r>
          </w:p>
        </w:tc>
      </w:tr>
      <w:tr w:rsidR="009A6043" w:rsidRPr="0053193A" w:rsidTr="000571E1">
        <w:trPr>
          <w:cantSplit/>
        </w:trPr>
        <w:tc>
          <w:tcPr>
            <w:tcW w:w="1980" w:type="dxa"/>
            <w:vAlign w:val="center"/>
          </w:tcPr>
          <w:p w:rsidR="009A6043" w:rsidRPr="0053193A" w:rsidRDefault="009A6043" w:rsidP="00CF6F9B">
            <w:pPr>
              <w:jc w:val="left"/>
              <w:rPr>
                <w:rFonts w:ascii="Arial Narrow" w:hAnsi="Arial Narrow"/>
                <w:sz w:val="20"/>
                <w:szCs w:val="20"/>
              </w:rPr>
            </w:pPr>
            <w:r w:rsidRPr="0053193A">
              <w:rPr>
                <w:rFonts w:ascii="Arial Narrow" w:hAnsi="Arial Narrow"/>
                <w:sz w:val="20"/>
                <w:szCs w:val="20"/>
              </w:rPr>
              <w:t xml:space="preserve">Annual growth rate </w:t>
            </w:r>
          </w:p>
        </w:tc>
        <w:tc>
          <w:tcPr>
            <w:tcW w:w="1843" w:type="dxa"/>
            <w:vAlign w:val="center"/>
          </w:tcPr>
          <w:p w:rsidR="009A6043" w:rsidRPr="0053193A" w:rsidRDefault="009A6043" w:rsidP="00CF6F9B">
            <w:pPr>
              <w:jc w:val="left"/>
              <w:rPr>
                <w:rFonts w:ascii="Arial Narrow" w:hAnsi="Arial Narrow"/>
                <w:sz w:val="20"/>
                <w:szCs w:val="20"/>
              </w:rPr>
            </w:pPr>
            <w:r w:rsidRPr="0053193A">
              <w:rPr>
                <w:rFonts w:ascii="Arial Narrow" w:hAnsi="Arial Narrow"/>
                <w:sz w:val="20"/>
                <w:szCs w:val="20"/>
              </w:rPr>
              <w:t>1.60%</w:t>
            </w:r>
          </w:p>
        </w:tc>
        <w:tc>
          <w:tcPr>
            <w:tcW w:w="1701" w:type="dxa"/>
            <w:vAlign w:val="center"/>
          </w:tcPr>
          <w:p w:rsidR="009A6043" w:rsidRPr="0053193A" w:rsidRDefault="009A6043" w:rsidP="00CF6F9B">
            <w:pPr>
              <w:jc w:val="left"/>
              <w:rPr>
                <w:rFonts w:ascii="Arial Narrow" w:hAnsi="Arial Narrow"/>
                <w:sz w:val="20"/>
                <w:szCs w:val="20"/>
              </w:rPr>
            </w:pPr>
            <w:r w:rsidRPr="0053193A">
              <w:rPr>
                <w:rFonts w:ascii="Arial Narrow" w:hAnsi="Arial Narrow"/>
                <w:sz w:val="20"/>
                <w:szCs w:val="20"/>
              </w:rPr>
              <w:t>2017 DUSC review of imatinib</w:t>
            </w:r>
          </w:p>
        </w:tc>
        <w:tc>
          <w:tcPr>
            <w:tcW w:w="3656" w:type="dxa"/>
            <w:vAlign w:val="center"/>
          </w:tcPr>
          <w:p w:rsidR="009A6043" w:rsidRPr="00E436BE" w:rsidRDefault="009A6043" w:rsidP="00CF6F9B">
            <w:pPr>
              <w:jc w:val="left"/>
              <w:rPr>
                <w:rFonts w:ascii="Arial Narrow" w:hAnsi="Arial Narrow"/>
                <w:sz w:val="20"/>
                <w:szCs w:val="20"/>
              </w:rPr>
            </w:pPr>
            <w:r w:rsidRPr="00E436BE">
              <w:rPr>
                <w:rFonts w:ascii="Arial Narrow" w:hAnsi="Arial Narrow"/>
                <w:sz w:val="20"/>
                <w:szCs w:val="20"/>
              </w:rPr>
              <w:t>This may not be up to date, but would not be expected to vary greatly.</w:t>
            </w:r>
          </w:p>
        </w:tc>
      </w:tr>
      <w:tr w:rsidR="009A6043" w:rsidRPr="0053193A" w:rsidTr="000571E1">
        <w:trPr>
          <w:cantSplit/>
        </w:trPr>
        <w:tc>
          <w:tcPr>
            <w:tcW w:w="9180" w:type="dxa"/>
            <w:gridSpan w:val="4"/>
            <w:vAlign w:val="center"/>
          </w:tcPr>
          <w:p w:rsidR="009A6043" w:rsidRPr="00E436BE" w:rsidRDefault="009A6043" w:rsidP="00CF6F9B">
            <w:pPr>
              <w:jc w:val="left"/>
              <w:rPr>
                <w:rFonts w:ascii="Arial Narrow" w:hAnsi="Arial Narrow"/>
                <w:b/>
                <w:sz w:val="20"/>
                <w:szCs w:val="20"/>
              </w:rPr>
            </w:pPr>
            <w:r w:rsidRPr="00E436BE">
              <w:rPr>
                <w:rFonts w:ascii="Arial Narrow" w:hAnsi="Arial Narrow"/>
                <w:b/>
                <w:sz w:val="20"/>
                <w:szCs w:val="20"/>
              </w:rPr>
              <w:t>Costs</w:t>
            </w:r>
          </w:p>
        </w:tc>
      </w:tr>
      <w:tr w:rsidR="009A6043" w:rsidRPr="0053193A" w:rsidTr="000571E1">
        <w:trPr>
          <w:cantSplit/>
        </w:trPr>
        <w:tc>
          <w:tcPr>
            <w:tcW w:w="1980" w:type="dxa"/>
            <w:vAlign w:val="center"/>
          </w:tcPr>
          <w:p w:rsidR="009A6043" w:rsidRPr="0053193A" w:rsidRDefault="009A6043" w:rsidP="00CF6F9B">
            <w:pPr>
              <w:jc w:val="left"/>
              <w:rPr>
                <w:rFonts w:ascii="Arial Narrow" w:hAnsi="Arial Narrow"/>
                <w:sz w:val="20"/>
                <w:szCs w:val="20"/>
              </w:rPr>
            </w:pPr>
            <w:r w:rsidRPr="0053193A">
              <w:rPr>
                <w:rFonts w:ascii="Arial Narrow" w:hAnsi="Arial Narrow"/>
                <w:sz w:val="20"/>
                <w:szCs w:val="20"/>
              </w:rPr>
              <w:t>Proposed medicine</w:t>
            </w:r>
          </w:p>
        </w:tc>
        <w:tc>
          <w:tcPr>
            <w:tcW w:w="1843" w:type="dxa"/>
            <w:vAlign w:val="center"/>
          </w:tcPr>
          <w:p w:rsidR="009A6043" w:rsidRPr="0053193A" w:rsidRDefault="009A6043" w:rsidP="00CF6F9B">
            <w:pPr>
              <w:jc w:val="left"/>
              <w:rPr>
                <w:rFonts w:ascii="Arial Narrow" w:hAnsi="Arial Narrow"/>
                <w:sz w:val="20"/>
                <w:szCs w:val="20"/>
              </w:rPr>
            </w:pPr>
            <w:r w:rsidRPr="0053193A">
              <w:rPr>
                <w:rFonts w:ascii="Arial Narrow" w:hAnsi="Arial Narrow"/>
                <w:sz w:val="20"/>
                <w:szCs w:val="20"/>
              </w:rPr>
              <w:t>$</w:t>
            </w:r>
            <w:r w:rsidR="00AC5110">
              <w:rPr>
                <w:rFonts w:ascii="Arial Narrow" w:hAnsi="Arial Narrow"/>
                <w:noProof/>
                <w:color w:val="000000"/>
                <w:sz w:val="20"/>
                <w:szCs w:val="20"/>
                <w:highlight w:val="black"/>
              </w:rPr>
              <w:t>''''''''''''''''</w:t>
            </w:r>
            <w:r w:rsidRPr="0053193A">
              <w:rPr>
                <w:rFonts w:ascii="Arial Narrow" w:hAnsi="Arial Narrow"/>
                <w:sz w:val="20"/>
                <w:szCs w:val="20"/>
              </w:rPr>
              <w:t xml:space="preserve"> (published)</w:t>
            </w:r>
          </w:p>
          <w:p w:rsidR="009A6043" w:rsidRPr="0053193A" w:rsidRDefault="009A6043" w:rsidP="00CF6F9B">
            <w:pPr>
              <w:jc w:val="left"/>
              <w:rPr>
                <w:rFonts w:ascii="Arial Narrow" w:hAnsi="Arial Narrow"/>
                <w:sz w:val="20"/>
                <w:szCs w:val="20"/>
              </w:rPr>
            </w:pPr>
            <w:r w:rsidRPr="0053193A">
              <w:rPr>
                <w:rFonts w:ascii="Arial Narrow" w:hAnsi="Arial Narrow"/>
                <w:sz w:val="20"/>
                <w:szCs w:val="20"/>
              </w:rPr>
              <w:t>$</w:t>
            </w:r>
            <w:r w:rsidR="00E45AE8">
              <w:rPr>
                <w:rFonts w:ascii="Arial Narrow" w:hAnsi="Arial Narrow"/>
                <w:noProof/>
                <w:color w:val="000000"/>
                <w:sz w:val="20"/>
                <w:szCs w:val="20"/>
                <w:highlight w:val="black"/>
              </w:rPr>
              <w:t>'''''''''''''''''</w:t>
            </w:r>
            <w:r w:rsidRPr="0053193A">
              <w:rPr>
                <w:rFonts w:ascii="Arial Narrow" w:hAnsi="Arial Narrow"/>
                <w:sz w:val="20"/>
                <w:szCs w:val="20"/>
              </w:rPr>
              <w:t xml:space="preserve"> (effective) </w:t>
            </w:r>
          </w:p>
        </w:tc>
        <w:tc>
          <w:tcPr>
            <w:tcW w:w="1701" w:type="dxa"/>
            <w:vAlign w:val="center"/>
          </w:tcPr>
          <w:p w:rsidR="009A6043" w:rsidRPr="0053193A" w:rsidRDefault="009A6043" w:rsidP="00CF6F9B">
            <w:pPr>
              <w:jc w:val="left"/>
              <w:rPr>
                <w:rFonts w:ascii="Arial Narrow" w:hAnsi="Arial Narrow"/>
                <w:sz w:val="20"/>
                <w:szCs w:val="20"/>
              </w:rPr>
            </w:pPr>
            <w:r w:rsidRPr="0053193A">
              <w:rPr>
                <w:rFonts w:ascii="Arial Narrow" w:hAnsi="Arial Narrow"/>
                <w:sz w:val="20"/>
                <w:szCs w:val="20"/>
              </w:rPr>
              <w:t>Requested price</w:t>
            </w:r>
          </w:p>
        </w:tc>
        <w:tc>
          <w:tcPr>
            <w:tcW w:w="3656" w:type="dxa"/>
            <w:vAlign w:val="center"/>
          </w:tcPr>
          <w:p w:rsidR="009A6043" w:rsidRPr="00E436BE" w:rsidRDefault="009A6043" w:rsidP="00CF6F9B">
            <w:pPr>
              <w:jc w:val="left"/>
              <w:rPr>
                <w:rFonts w:ascii="Arial Narrow" w:hAnsi="Arial Narrow"/>
                <w:sz w:val="20"/>
                <w:szCs w:val="20"/>
              </w:rPr>
            </w:pPr>
            <w:r w:rsidRPr="00E436BE">
              <w:rPr>
                <w:rFonts w:ascii="Arial Narrow" w:hAnsi="Arial Narrow"/>
                <w:sz w:val="20"/>
                <w:szCs w:val="20"/>
              </w:rPr>
              <w:t>-</w:t>
            </w:r>
          </w:p>
        </w:tc>
      </w:tr>
      <w:tr w:rsidR="009A6043" w:rsidRPr="0053193A" w:rsidTr="000571E1">
        <w:trPr>
          <w:cantSplit/>
        </w:trPr>
        <w:tc>
          <w:tcPr>
            <w:tcW w:w="1980" w:type="dxa"/>
            <w:vAlign w:val="center"/>
          </w:tcPr>
          <w:p w:rsidR="009A6043" w:rsidRPr="0053193A" w:rsidRDefault="009A6043" w:rsidP="00CF6F9B">
            <w:pPr>
              <w:jc w:val="left"/>
              <w:rPr>
                <w:rFonts w:ascii="Arial Narrow" w:hAnsi="Arial Narrow"/>
                <w:sz w:val="20"/>
                <w:szCs w:val="20"/>
              </w:rPr>
            </w:pPr>
            <w:r w:rsidRPr="0053193A">
              <w:rPr>
                <w:rFonts w:ascii="Arial Narrow" w:hAnsi="Arial Narrow"/>
                <w:sz w:val="20"/>
                <w:szCs w:val="20"/>
              </w:rPr>
              <w:t>BSC costs</w:t>
            </w:r>
          </w:p>
        </w:tc>
        <w:tc>
          <w:tcPr>
            <w:tcW w:w="1843" w:type="dxa"/>
            <w:vAlign w:val="center"/>
          </w:tcPr>
          <w:p w:rsidR="009A6043" w:rsidRPr="0053193A" w:rsidRDefault="006175A3" w:rsidP="00CF6F9B">
            <w:pPr>
              <w:jc w:val="left"/>
              <w:rPr>
                <w:rFonts w:ascii="Arial Narrow" w:hAnsi="Arial Narrow"/>
                <w:sz w:val="20"/>
                <w:szCs w:val="20"/>
              </w:rPr>
            </w:pPr>
            <w:r>
              <w:rPr>
                <w:rFonts w:ascii="Arial Narrow" w:hAnsi="Arial Narrow"/>
                <w:sz w:val="20"/>
                <w:szCs w:val="20"/>
              </w:rPr>
              <w:t>A</w:t>
            </w:r>
            <w:r w:rsidRPr="006175A3">
              <w:rPr>
                <w:rFonts w:ascii="Arial Narrow" w:hAnsi="Arial Narrow"/>
                <w:sz w:val="20"/>
                <w:szCs w:val="20"/>
              </w:rPr>
              <w:t>verage cost of a basket of treatments</w:t>
            </w:r>
            <w:r w:rsidRPr="00E436BE">
              <w:t xml:space="preserve"> </w:t>
            </w:r>
          </w:p>
        </w:tc>
        <w:tc>
          <w:tcPr>
            <w:tcW w:w="1701" w:type="dxa"/>
            <w:vAlign w:val="center"/>
          </w:tcPr>
          <w:p w:rsidR="009A6043" w:rsidRPr="0053193A" w:rsidRDefault="009A6043" w:rsidP="00CF6F9B">
            <w:pPr>
              <w:jc w:val="left"/>
              <w:rPr>
                <w:rFonts w:ascii="Arial Narrow" w:hAnsi="Arial Narrow"/>
                <w:sz w:val="20"/>
                <w:szCs w:val="20"/>
              </w:rPr>
            </w:pPr>
            <w:r w:rsidRPr="0053193A">
              <w:rPr>
                <w:rFonts w:ascii="Arial Narrow" w:hAnsi="Arial Narrow"/>
                <w:sz w:val="20"/>
                <w:szCs w:val="20"/>
              </w:rPr>
              <w:t>PBS published prices and INVICTUS</w:t>
            </w:r>
          </w:p>
        </w:tc>
        <w:tc>
          <w:tcPr>
            <w:tcW w:w="3656" w:type="dxa"/>
            <w:vAlign w:val="center"/>
          </w:tcPr>
          <w:p w:rsidR="009A6043" w:rsidRPr="00E436BE" w:rsidRDefault="009A6043" w:rsidP="00CF6F9B">
            <w:pPr>
              <w:jc w:val="left"/>
              <w:rPr>
                <w:rFonts w:ascii="Arial Narrow" w:hAnsi="Arial Narrow"/>
                <w:sz w:val="20"/>
                <w:szCs w:val="20"/>
              </w:rPr>
            </w:pPr>
            <w:r w:rsidRPr="00E436BE">
              <w:rPr>
                <w:rFonts w:ascii="Arial Narrow" w:hAnsi="Arial Narrow"/>
                <w:sz w:val="20"/>
                <w:szCs w:val="20"/>
              </w:rPr>
              <w:t>See above</w:t>
            </w:r>
            <w:r w:rsidR="006175A3">
              <w:rPr>
                <w:rFonts w:ascii="Arial Narrow" w:hAnsi="Arial Narrow"/>
                <w:sz w:val="20"/>
                <w:szCs w:val="20"/>
              </w:rPr>
              <w:t>.</w:t>
            </w:r>
          </w:p>
        </w:tc>
      </w:tr>
      <w:tr w:rsidR="009A6043" w:rsidRPr="0053193A" w:rsidTr="000571E1">
        <w:trPr>
          <w:cantSplit/>
        </w:trPr>
        <w:tc>
          <w:tcPr>
            <w:tcW w:w="1980" w:type="dxa"/>
            <w:vAlign w:val="center"/>
          </w:tcPr>
          <w:p w:rsidR="009A6043" w:rsidRPr="0053193A" w:rsidRDefault="009A6043" w:rsidP="00CF6F9B">
            <w:pPr>
              <w:jc w:val="left"/>
              <w:rPr>
                <w:rFonts w:ascii="Arial Narrow" w:hAnsi="Arial Narrow"/>
                <w:sz w:val="20"/>
                <w:szCs w:val="20"/>
              </w:rPr>
            </w:pPr>
            <w:r w:rsidRPr="0053193A">
              <w:rPr>
                <w:rFonts w:ascii="Arial Narrow" w:hAnsi="Arial Narrow"/>
                <w:sz w:val="20"/>
                <w:szCs w:val="20"/>
              </w:rPr>
              <w:t>Patient co-payment</w:t>
            </w:r>
          </w:p>
        </w:tc>
        <w:tc>
          <w:tcPr>
            <w:tcW w:w="1843" w:type="dxa"/>
            <w:vAlign w:val="center"/>
          </w:tcPr>
          <w:p w:rsidR="009A6043" w:rsidRPr="0053193A" w:rsidRDefault="009A6043" w:rsidP="00CF6F9B">
            <w:pPr>
              <w:jc w:val="left"/>
              <w:rPr>
                <w:rFonts w:ascii="Arial Narrow" w:hAnsi="Arial Narrow"/>
                <w:sz w:val="20"/>
                <w:szCs w:val="20"/>
              </w:rPr>
            </w:pPr>
            <w:r w:rsidRPr="0053193A">
              <w:rPr>
                <w:rFonts w:ascii="Arial Narrow" w:hAnsi="Arial Narrow"/>
                <w:sz w:val="20"/>
                <w:szCs w:val="20"/>
              </w:rPr>
              <w:t>-</w:t>
            </w:r>
          </w:p>
        </w:tc>
        <w:tc>
          <w:tcPr>
            <w:tcW w:w="1701" w:type="dxa"/>
            <w:vAlign w:val="center"/>
          </w:tcPr>
          <w:p w:rsidR="009A6043" w:rsidRPr="0053193A" w:rsidRDefault="009A6043" w:rsidP="00CF6F9B">
            <w:pPr>
              <w:jc w:val="left"/>
              <w:rPr>
                <w:rFonts w:ascii="Arial Narrow" w:hAnsi="Arial Narrow"/>
                <w:sz w:val="20"/>
                <w:szCs w:val="20"/>
              </w:rPr>
            </w:pPr>
            <w:r w:rsidRPr="0053193A">
              <w:rPr>
                <w:rFonts w:ascii="Arial Narrow" w:hAnsi="Arial Narrow"/>
                <w:sz w:val="20"/>
                <w:szCs w:val="20"/>
              </w:rPr>
              <w:t xml:space="preserve">Not estimated </w:t>
            </w:r>
          </w:p>
        </w:tc>
        <w:tc>
          <w:tcPr>
            <w:tcW w:w="3656" w:type="dxa"/>
            <w:vAlign w:val="center"/>
          </w:tcPr>
          <w:p w:rsidR="009A6043" w:rsidRPr="00E436BE" w:rsidRDefault="009A6043" w:rsidP="00CF6F9B">
            <w:pPr>
              <w:jc w:val="left"/>
              <w:rPr>
                <w:rFonts w:ascii="Arial Narrow" w:hAnsi="Arial Narrow"/>
                <w:sz w:val="20"/>
                <w:szCs w:val="20"/>
              </w:rPr>
            </w:pPr>
            <w:r w:rsidRPr="00E436BE">
              <w:rPr>
                <w:rFonts w:ascii="Arial Narrow" w:hAnsi="Arial Narrow"/>
                <w:sz w:val="20"/>
                <w:szCs w:val="20"/>
              </w:rPr>
              <w:t xml:space="preserve">This will lead to slight overestimation  of PBS costs  </w:t>
            </w:r>
          </w:p>
        </w:tc>
      </w:tr>
      <w:tr w:rsidR="009A6043" w:rsidRPr="0053193A" w:rsidTr="000571E1">
        <w:trPr>
          <w:cantSplit/>
        </w:trPr>
        <w:tc>
          <w:tcPr>
            <w:tcW w:w="1980" w:type="dxa"/>
            <w:vMerge w:val="restart"/>
            <w:vAlign w:val="center"/>
          </w:tcPr>
          <w:p w:rsidR="009A6043" w:rsidRPr="0053193A" w:rsidRDefault="009A6043" w:rsidP="00CF6F9B">
            <w:pPr>
              <w:jc w:val="left"/>
              <w:rPr>
                <w:rFonts w:ascii="Arial Narrow" w:hAnsi="Arial Narrow"/>
                <w:sz w:val="20"/>
                <w:szCs w:val="20"/>
              </w:rPr>
            </w:pPr>
            <w:r w:rsidRPr="0053193A">
              <w:rPr>
                <w:rFonts w:ascii="Arial Narrow" w:hAnsi="Arial Narrow"/>
                <w:sz w:val="20"/>
                <w:szCs w:val="20"/>
              </w:rPr>
              <w:t>MBS costs</w:t>
            </w:r>
          </w:p>
        </w:tc>
        <w:tc>
          <w:tcPr>
            <w:tcW w:w="1843" w:type="dxa"/>
            <w:vAlign w:val="center"/>
          </w:tcPr>
          <w:p w:rsidR="009A6043" w:rsidRDefault="009A6043" w:rsidP="00CF6F9B">
            <w:pPr>
              <w:jc w:val="left"/>
              <w:rPr>
                <w:rFonts w:ascii="Arial Narrow" w:hAnsi="Arial Narrow"/>
                <w:sz w:val="20"/>
                <w:szCs w:val="20"/>
              </w:rPr>
            </w:pPr>
            <w:r w:rsidRPr="0053193A">
              <w:rPr>
                <w:rFonts w:ascii="Arial Narrow" w:hAnsi="Arial Narrow"/>
                <w:sz w:val="20"/>
                <w:szCs w:val="20"/>
              </w:rPr>
              <w:t>$</w:t>
            </w:r>
            <w:r>
              <w:rPr>
                <w:rFonts w:ascii="Arial Narrow" w:hAnsi="Arial Narrow"/>
                <w:sz w:val="20"/>
                <w:szCs w:val="20"/>
              </w:rPr>
              <w:t>45.00</w:t>
            </w:r>
          </w:p>
          <w:p w:rsidR="009A6043" w:rsidRPr="0053193A" w:rsidRDefault="009A6043" w:rsidP="00CF6F9B">
            <w:pPr>
              <w:jc w:val="left"/>
              <w:rPr>
                <w:rFonts w:ascii="Arial Narrow" w:hAnsi="Arial Narrow"/>
                <w:sz w:val="20"/>
                <w:szCs w:val="20"/>
              </w:rPr>
            </w:pPr>
            <w:r>
              <w:rPr>
                <w:rFonts w:ascii="Arial Narrow" w:hAnsi="Arial Narrow"/>
                <w:sz w:val="20"/>
                <w:szCs w:val="20"/>
              </w:rPr>
              <w:t>8.5 services/pt/yr</w:t>
            </w:r>
          </w:p>
        </w:tc>
        <w:tc>
          <w:tcPr>
            <w:tcW w:w="1701" w:type="dxa"/>
            <w:vAlign w:val="center"/>
          </w:tcPr>
          <w:p w:rsidR="009A6043" w:rsidRPr="0053193A" w:rsidRDefault="009A6043" w:rsidP="00CF6F9B">
            <w:pPr>
              <w:jc w:val="left"/>
              <w:rPr>
                <w:rFonts w:ascii="Arial Narrow" w:hAnsi="Arial Narrow"/>
                <w:sz w:val="20"/>
                <w:szCs w:val="20"/>
              </w:rPr>
            </w:pPr>
            <w:r>
              <w:rPr>
                <w:rFonts w:ascii="Arial Narrow" w:hAnsi="Arial Narrow"/>
                <w:sz w:val="20"/>
                <w:szCs w:val="20"/>
              </w:rPr>
              <w:t>MBS item 105 – specialist attendance</w:t>
            </w:r>
          </w:p>
        </w:tc>
        <w:tc>
          <w:tcPr>
            <w:tcW w:w="3656" w:type="dxa"/>
            <w:vMerge w:val="restart"/>
            <w:vAlign w:val="center"/>
          </w:tcPr>
          <w:p w:rsidR="009A6043" w:rsidRPr="00E436BE" w:rsidRDefault="009A6043" w:rsidP="00CF6F9B">
            <w:pPr>
              <w:jc w:val="left"/>
              <w:rPr>
                <w:rFonts w:ascii="Arial Narrow" w:hAnsi="Arial Narrow"/>
                <w:sz w:val="20"/>
                <w:szCs w:val="20"/>
              </w:rPr>
            </w:pPr>
            <w:r w:rsidRPr="00E436BE">
              <w:rPr>
                <w:rFonts w:ascii="Arial Narrow" w:hAnsi="Arial Narrow"/>
                <w:sz w:val="20"/>
                <w:szCs w:val="20"/>
              </w:rPr>
              <w:t xml:space="preserve">These costs were not actually applied in the financial estimates file, and the estimates presented in the submission could not be verified. </w:t>
            </w:r>
          </w:p>
        </w:tc>
      </w:tr>
      <w:tr w:rsidR="009A6043" w:rsidRPr="0053193A" w:rsidTr="000571E1">
        <w:trPr>
          <w:cantSplit/>
        </w:trPr>
        <w:tc>
          <w:tcPr>
            <w:tcW w:w="1980" w:type="dxa"/>
            <w:vMerge/>
            <w:vAlign w:val="center"/>
          </w:tcPr>
          <w:p w:rsidR="009A6043" w:rsidRPr="0053193A" w:rsidRDefault="009A6043" w:rsidP="00CF6F9B">
            <w:pPr>
              <w:rPr>
                <w:rFonts w:ascii="Arial Narrow" w:hAnsi="Arial Narrow"/>
                <w:sz w:val="20"/>
                <w:szCs w:val="20"/>
              </w:rPr>
            </w:pPr>
          </w:p>
        </w:tc>
        <w:tc>
          <w:tcPr>
            <w:tcW w:w="1843" w:type="dxa"/>
            <w:vAlign w:val="center"/>
          </w:tcPr>
          <w:p w:rsidR="009A6043" w:rsidRDefault="009A6043" w:rsidP="00CF6F9B">
            <w:pPr>
              <w:jc w:val="left"/>
              <w:rPr>
                <w:rFonts w:ascii="Arial Narrow" w:hAnsi="Arial Narrow"/>
                <w:sz w:val="20"/>
                <w:szCs w:val="20"/>
              </w:rPr>
            </w:pPr>
            <w:r>
              <w:rPr>
                <w:rFonts w:ascii="Arial Narrow" w:hAnsi="Arial Narrow"/>
                <w:sz w:val="20"/>
                <w:szCs w:val="20"/>
              </w:rPr>
              <w:t>$87.25</w:t>
            </w:r>
          </w:p>
          <w:p w:rsidR="009A6043" w:rsidRPr="0053193A" w:rsidRDefault="009A6043" w:rsidP="00CF6F9B">
            <w:pPr>
              <w:jc w:val="left"/>
              <w:rPr>
                <w:rFonts w:ascii="Arial Narrow" w:hAnsi="Arial Narrow"/>
                <w:sz w:val="20"/>
                <w:szCs w:val="20"/>
              </w:rPr>
            </w:pPr>
            <w:r>
              <w:rPr>
                <w:rFonts w:ascii="Arial Narrow" w:hAnsi="Arial Narrow"/>
                <w:sz w:val="20"/>
                <w:szCs w:val="20"/>
              </w:rPr>
              <w:t>2.83 services/pt/yr</w:t>
            </w:r>
          </w:p>
        </w:tc>
        <w:tc>
          <w:tcPr>
            <w:tcW w:w="1701" w:type="dxa"/>
            <w:vAlign w:val="center"/>
          </w:tcPr>
          <w:p w:rsidR="009A6043" w:rsidRPr="0053193A" w:rsidRDefault="009A6043" w:rsidP="00CF6F9B">
            <w:pPr>
              <w:jc w:val="left"/>
              <w:rPr>
                <w:rFonts w:ascii="Arial Narrow" w:hAnsi="Arial Narrow"/>
                <w:sz w:val="20"/>
                <w:szCs w:val="20"/>
              </w:rPr>
            </w:pPr>
            <w:r>
              <w:rPr>
                <w:rFonts w:ascii="Arial Narrow" w:hAnsi="Arial Narrow"/>
                <w:sz w:val="20"/>
                <w:szCs w:val="20"/>
              </w:rPr>
              <w:t>MBS item 56507 -  CT scan</w:t>
            </w:r>
          </w:p>
        </w:tc>
        <w:tc>
          <w:tcPr>
            <w:tcW w:w="3656" w:type="dxa"/>
            <w:vMerge/>
            <w:vAlign w:val="center"/>
          </w:tcPr>
          <w:p w:rsidR="009A6043" w:rsidRPr="0053193A" w:rsidRDefault="009A6043" w:rsidP="00CF6F9B">
            <w:pPr>
              <w:rPr>
                <w:rFonts w:ascii="Arial Narrow" w:hAnsi="Arial Narrow"/>
                <w:i/>
                <w:sz w:val="20"/>
                <w:szCs w:val="20"/>
              </w:rPr>
            </w:pPr>
          </w:p>
        </w:tc>
      </w:tr>
      <w:tr w:rsidR="009A6043" w:rsidRPr="0053193A" w:rsidTr="000571E1">
        <w:trPr>
          <w:cantSplit/>
        </w:trPr>
        <w:tc>
          <w:tcPr>
            <w:tcW w:w="1980" w:type="dxa"/>
            <w:vMerge/>
            <w:vAlign w:val="center"/>
          </w:tcPr>
          <w:p w:rsidR="009A6043" w:rsidRPr="0053193A" w:rsidRDefault="009A6043" w:rsidP="00CF6F9B">
            <w:pPr>
              <w:rPr>
                <w:rFonts w:ascii="Arial Narrow" w:hAnsi="Arial Narrow"/>
                <w:sz w:val="20"/>
                <w:szCs w:val="20"/>
              </w:rPr>
            </w:pPr>
          </w:p>
        </w:tc>
        <w:tc>
          <w:tcPr>
            <w:tcW w:w="1843" w:type="dxa"/>
            <w:vAlign w:val="center"/>
          </w:tcPr>
          <w:p w:rsidR="009A6043" w:rsidRDefault="009A6043" w:rsidP="00CF6F9B">
            <w:pPr>
              <w:jc w:val="left"/>
              <w:rPr>
                <w:rFonts w:ascii="Arial Narrow" w:hAnsi="Arial Narrow"/>
                <w:sz w:val="20"/>
                <w:szCs w:val="20"/>
              </w:rPr>
            </w:pPr>
            <w:r>
              <w:rPr>
                <w:rFonts w:ascii="Arial Narrow" w:hAnsi="Arial Narrow"/>
                <w:sz w:val="20"/>
                <w:szCs w:val="20"/>
              </w:rPr>
              <w:t>$16.95</w:t>
            </w:r>
          </w:p>
          <w:p w:rsidR="009A6043" w:rsidRPr="0053193A" w:rsidRDefault="009A6043" w:rsidP="00CF6F9B">
            <w:pPr>
              <w:jc w:val="left"/>
              <w:rPr>
                <w:rFonts w:ascii="Arial Narrow" w:hAnsi="Arial Narrow"/>
                <w:sz w:val="20"/>
                <w:szCs w:val="20"/>
              </w:rPr>
            </w:pPr>
            <w:r>
              <w:rPr>
                <w:rFonts w:ascii="Arial Narrow" w:hAnsi="Arial Narrow"/>
                <w:sz w:val="20"/>
                <w:szCs w:val="20"/>
              </w:rPr>
              <w:t>8.5 services/pt/yr</w:t>
            </w:r>
          </w:p>
        </w:tc>
        <w:tc>
          <w:tcPr>
            <w:tcW w:w="1701" w:type="dxa"/>
            <w:vAlign w:val="center"/>
          </w:tcPr>
          <w:p w:rsidR="009A6043" w:rsidRPr="0053193A" w:rsidRDefault="009A6043" w:rsidP="00CF6F9B">
            <w:pPr>
              <w:jc w:val="left"/>
              <w:rPr>
                <w:rFonts w:ascii="Arial Narrow" w:hAnsi="Arial Narrow"/>
                <w:sz w:val="20"/>
                <w:szCs w:val="20"/>
              </w:rPr>
            </w:pPr>
            <w:r>
              <w:rPr>
                <w:rFonts w:ascii="Arial Narrow" w:hAnsi="Arial Narrow"/>
                <w:sz w:val="20"/>
                <w:szCs w:val="20"/>
              </w:rPr>
              <w:t>MBS item 65070 – Blood test</w:t>
            </w:r>
          </w:p>
        </w:tc>
        <w:tc>
          <w:tcPr>
            <w:tcW w:w="3656" w:type="dxa"/>
            <w:vMerge/>
            <w:vAlign w:val="center"/>
          </w:tcPr>
          <w:p w:rsidR="009A6043" w:rsidRPr="0053193A" w:rsidRDefault="009A6043" w:rsidP="00CF6F9B">
            <w:pPr>
              <w:rPr>
                <w:rFonts w:ascii="Arial Narrow" w:hAnsi="Arial Narrow"/>
                <w:i/>
                <w:sz w:val="20"/>
                <w:szCs w:val="20"/>
              </w:rPr>
            </w:pPr>
          </w:p>
        </w:tc>
      </w:tr>
    </w:tbl>
    <w:p w:rsidR="009A6043" w:rsidRPr="00D33691" w:rsidRDefault="009A6043" w:rsidP="009A6043">
      <w:pPr>
        <w:pStyle w:val="TableFooter"/>
      </w:pPr>
      <w:r w:rsidRPr="00D33691">
        <w:t>Source: {QunLOCK_Utilisation_and_cost_model_Nov2020.xlsx</w:t>
      </w:r>
    </w:p>
    <w:p w:rsidR="009A6043" w:rsidRDefault="009A6043" w:rsidP="009A6043">
      <w:pPr>
        <w:pStyle w:val="TableFooter"/>
      </w:pPr>
      <w:r w:rsidRPr="00D33691">
        <w:t xml:space="preserve">3L = third line; BSC = Best supportive care; DUSC = drug utilisation sub-committee; GIST = gastrointestinal stromal tumours; MBS = Medicare Benefits Scheme; PBS = Pharmaceutical Benefits Scheme; PSD = Public Summary Document; </w:t>
      </w:r>
    </w:p>
    <w:p w:rsidR="008A39F3" w:rsidRPr="009868C4" w:rsidRDefault="008A39F3" w:rsidP="008A39F3">
      <w:pPr>
        <w:pStyle w:val="TableFigureFooter"/>
        <w:spacing w:after="0"/>
        <w:contextualSpacing w:val="0"/>
      </w:pPr>
      <w:r w:rsidRPr="009868C4">
        <w:rPr>
          <w:i/>
        </w:rPr>
        <w:t>The redacted values correspond to the following ranges</w:t>
      </w:r>
      <w:r>
        <w:rPr>
          <w:i/>
        </w:rPr>
        <w:t xml:space="preserve">: </w:t>
      </w:r>
    </w:p>
    <w:p w:rsidR="008A39F3" w:rsidRPr="008A39F3" w:rsidRDefault="008A39F3" w:rsidP="009A6043">
      <w:pPr>
        <w:pStyle w:val="TableFooter"/>
        <w:rPr>
          <w:i/>
        </w:rPr>
      </w:pPr>
      <w:r>
        <w:rPr>
          <w:i/>
          <w:vertAlign w:val="superscript"/>
        </w:rPr>
        <w:t xml:space="preserve">1 </w:t>
      </w:r>
      <w:r w:rsidRPr="008A39F3">
        <w:rPr>
          <w:i/>
        </w:rPr>
        <w:t>&lt; 500</w:t>
      </w:r>
    </w:p>
    <w:p w:rsidR="009A6043" w:rsidRPr="00820EC8" w:rsidRDefault="009A6043" w:rsidP="009A6043">
      <w:pPr>
        <w:widowControl/>
      </w:pPr>
    </w:p>
    <w:p w:rsidR="00083F05" w:rsidRPr="00E436BE" w:rsidRDefault="00083F05" w:rsidP="00083F05">
      <w:pPr>
        <w:pStyle w:val="ListParagraph"/>
        <w:widowControl/>
        <w:numPr>
          <w:ilvl w:val="1"/>
          <w:numId w:val="2"/>
        </w:numPr>
      </w:pPr>
      <w:r w:rsidRPr="00E436BE">
        <w:rPr>
          <w:iCs/>
        </w:rPr>
        <w:lastRenderedPageBreak/>
        <w:t>The submission’s approach to calculating doses and scripts per pati</w:t>
      </w:r>
      <w:r w:rsidR="00E93ED5" w:rsidRPr="00E436BE">
        <w:rPr>
          <w:iCs/>
        </w:rPr>
        <w:t xml:space="preserve">ent was overly complicated and </w:t>
      </w:r>
      <w:r w:rsidRPr="00E436BE">
        <w:rPr>
          <w:iCs/>
        </w:rPr>
        <w:t>poorly explained and appeared to assume that there would only be 28 days of treatment per month on treatment. This had the effect of underestimating the number o</w:t>
      </w:r>
      <w:r w:rsidR="00E93ED5" w:rsidRPr="00E436BE">
        <w:rPr>
          <w:iCs/>
        </w:rPr>
        <w:t xml:space="preserve">f scripts per patient based on </w:t>
      </w:r>
      <w:r w:rsidRPr="00E436BE">
        <w:rPr>
          <w:iCs/>
        </w:rPr>
        <w:t>11.</w:t>
      </w:r>
      <w:r w:rsidR="00080370" w:rsidRPr="00E436BE">
        <w:rPr>
          <w:iCs/>
        </w:rPr>
        <w:t>5</w:t>
      </w:r>
      <w:r w:rsidR="00211798" w:rsidRPr="00E436BE">
        <w:rPr>
          <w:iCs/>
        </w:rPr>
        <w:t>0</w:t>
      </w:r>
      <w:r w:rsidRPr="00E436BE">
        <w:rPr>
          <w:iCs/>
        </w:rPr>
        <w:t xml:space="preserve"> months of treatment. After adjusting the calculations during the evaluation, the estimated total ripretinib scripts per treatment increased from 10.16 to 11.04. The submission’s miscalculation underestimated total number of scripts per patient, and consequently, total costs to the PBS by approximately 8%.</w:t>
      </w:r>
    </w:p>
    <w:p w:rsidR="00083F05" w:rsidRPr="00E436BE" w:rsidRDefault="00083F05" w:rsidP="00083F05">
      <w:pPr>
        <w:pStyle w:val="ListParagraph"/>
        <w:widowControl/>
        <w:numPr>
          <w:ilvl w:val="1"/>
          <w:numId w:val="2"/>
        </w:numPr>
      </w:pPr>
      <w:r w:rsidRPr="00E436BE">
        <w:rPr>
          <w:iCs/>
        </w:rPr>
        <w:t xml:space="preserve">During the evaluation, it was determined that the MBS costs presented in the submission only </w:t>
      </w:r>
      <w:r w:rsidR="00AE0CD5" w:rsidRPr="00E436BE">
        <w:rPr>
          <w:iCs/>
        </w:rPr>
        <w:t>included costs</w:t>
      </w:r>
      <w:r w:rsidRPr="00E436BE">
        <w:rPr>
          <w:iCs/>
        </w:rPr>
        <w:t xml:space="preserve"> specialist a</w:t>
      </w:r>
      <w:r w:rsidR="00E93ED5" w:rsidRPr="00E436BE">
        <w:rPr>
          <w:iCs/>
        </w:rPr>
        <w:t>ttendances (at an MBS rebate of</w:t>
      </w:r>
      <w:r w:rsidRPr="00E436BE">
        <w:rPr>
          <w:iCs/>
        </w:rPr>
        <w:t xml:space="preserve"> 80%). MBS estimates were</w:t>
      </w:r>
      <w:r w:rsidR="00E93ED5" w:rsidRPr="00E436BE">
        <w:rPr>
          <w:iCs/>
        </w:rPr>
        <w:t xml:space="preserve"> amended during the evaluation </w:t>
      </w:r>
      <w:r w:rsidRPr="00E436BE">
        <w:rPr>
          <w:iCs/>
        </w:rPr>
        <w:t xml:space="preserve">to include CT scan costs and blood test costs in line with the economic evaluation. </w:t>
      </w:r>
    </w:p>
    <w:p w:rsidR="00083F05" w:rsidRPr="00B201A4" w:rsidRDefault="00083F05" w:rsidP="00083F05">
      <w:pPr>
        <w:pStyle w:val="ListParagraph"/>
        <w:widowControl/>
        <w:numPr>
          <w:ilvl w:val="1"/>
          <w:numId w:val="2"/>
        </w:numPr>
      </w:pPr>
      <w:r w:rsidRPr="003E6F6C">
        <w:t>Table 1</w:t>
      </w:r>
      <w:r w:rsidR="00081210">
        <w:t>6</w:t>
      </w:r>
      <w:r w:rsidRPr="003E6F6C">
        <w:t xml:space="preserve"> presents</w:t>
      </w:r>
      <w:r>
        <w:t xml:space="preserve"> the estimated use and financial implications.</w:t>
      </w:r>
    </w:p>
    <w:p w:rsidR="00083F05" w:rsidRPr="00C25D9C" w:rsidRDefault="00083F05" w:rsidP="00E93ED5">
      <w:pPr>
        <w:keepNext/>
        <w:keepLines/>
      </w:pPr>
      <w:bookmarkStart w:id="33" w:name="_Ref58531629"/>
      <w:r w:rsidRPr="001222FC">
        <w:rPr>
          <w:rStyle w:val="CommentReference"/>
        </w:rPr>
        <w:lastRenderedPageBreak/>
        <w:t xml:space="preserve">Table </w:t>
      </w:r>
      <w:r>
        <w:rPr>
          <w:rStyle w:val="CommentReference"/>
          <w:noProof/>
        </w:rPr>
        <w:t>1</w:t>
      </w:r>
      <w:bookmarkEnd w:id="33"/>
      <w:r w:rsidR="00081210">
        <w:rPr>
          <w:rStyle w:val="CommentReference"/>
        </w:rPr>
        <w:t>6</w:t>
      </w:r>
      <w:r w:rsidRPr="001222FC">
        <w:rPr>
          <w:rStyle w:val="CommentReference"/>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17"/>
        <w:gridCol w:w="1091"/>
        <w:gridCol w:w="1122"/>
        <w:gridCol w:w="1122"/>
        <w:gridCol w:w="1129"/>
        <w:gridCol w:w="1129"/>
        <w:gridCol w:w="1129"/>
      </w:tblGrid>
      <w:tr w:rsidR="00E93ED5" w:rsidRPr="00D1078F" w:rsidTr="00EF2BF9">
        <w:trPr>
          <w:tblHeader/>
        </w:trPr>
        <w:tc>
          <w:tcPr>
            <w:tcW w:w="1662" w:type="pct"/>
            <w:shd w:val="clear" w:color="auto" w:fill="auto"/>
            <w:vAlign w:val="center"/>
          </w:tcPr>
          <w:p w:rsidR="00083F05" w:rsidRPr="003639A6" w:rsidRDefault="00083F05" w:rsidP="00EF2BF9">
            <w:pPr>
              <w:pStyle w:val="Tabletext"/>
              <w:keepNext/>
              <w:keepLines/>
            </w:pPr>
          </w:p>
        </w:tc>
        <w:tc>
          <w:tcPr>
            <w:tcW w:w="475" w:type="pct"/>
            <w:shd w:val="clear" w:color="auto" w:fill="auto"/>
            <w:vAlign w:val="center"/>
          </w:tcPr>
          <w:p w:rsidR="00083F05" w:rsidRPr="00D1078F" w:rsidRDefault="00083F05" w:rsidP="00EF2BF9">
            <w:pPr>
              <w:pStyle w:val="Tabletext"/>
              <w:keepNext/>
              <w:keepLines/>
              <w:jc w:val="center"/>
              <w:rPr>
                <w:b/>
              </w:rPr>
            </w:pPr>
            <w:r w:rsidRPr="00D1078F">
              <w:rPr>
                <w:b/>
              </w:rPr>
              <w:t>Year 1</w:t>
            </w:r>
          </w:p>
        </w:tc>
        <w:tc>
          <w:tcPr>
            <w:tcW w:w="601" w:type="pct"/>
            <w:shd w:val="clear" w:color="auto" w:fill="auto"/>
            <w:vAlign w:val="center"/>
          </w:tcPr>
          <w:p w:rsidR="00083F05" w:rsidRPr="00D1078F" w:rsidRDefault="00083F05" w:rsidP="00EF2BF9">
            <w:pPr>
              <w:pStyle w:val="Tabletext"/>
              <w:keepNext/>
              <w:keepLines/>
              <w:jc w:val="center"/>
              <w:rPr>
                <w:b/>
              </w:rPr>
            </w:pPr>
            <w:r w:rsidRPr="00D1078F">
              <w:rPr>
                <w:b/>
              </w:rPr>
              <w:t>Year 2</w:t>
            </w:r>
          </w:p>
        </w:tc>
        <w:tc>
          <w:tcPr>
            <w:tcW w:w="542" w:type="pct"/>
            <w:shd w:val="clear" w:color="auto" w:fill="auto"/>
            <w:vAlign w:val="center"/>
          </w:tcPr>
          <w:p w:rsidR="00083F05" w:rsidRPr="00D1078F" w:rsidRDefault="00083F05" w:rsidP="00EF2BF9">
            <w:pPr>
              <w:pStyle w:val="Tabletext"/>
              <w:keepNext/>
              <w:keepLines/>
              <w:jc w:val="center"/>
              <w:rPr>
                <w:b/>
              </w:rPr>
            </w:pPr>
            <w:r w:rsidRPr="00D1078F">
              <w:rPr>
                <w:b/>
              </w:rPr>
              <w:t>Year 3</w:t>
            </w:r>
          </w:p>
        </w:tc>
        <w:tc>
          <w:tcPr>
            <w:tcW w:w="623" w:type="pct"/>
            <w:shd w:val="clear" w:color="auto" w:fill="auto"/>
            <w:vAlign w:val="center"/>
          </w:tcPr>
          <w:p w:rsidR="00083F05" w:rsidRPr="00D1078F" w:rsidRDefault="00083F05" w:rsidP="00EF2BF9">
            <w:pPr>
              <w:pStyle w:val="Tabletext"/>
              <w:keepNext/>
              <w:keepLines/>
              <w:jc w:val="center"/>
              <w:rPr>
                <w:b/>
              </w:rPr>
            </w:pPr>
            <w:r w:rsidRPr="00D1078F">
              <w:rPr>
                <w:b/>
              </w:rPr>
              <w:t>Year 4</w:t>
            </w:r>
          </w:p>
        </w:tc>
        <w:tc>
          <w:tcPr>
            <w:tcW w:w="543" w:type="pct"/>
            <w:shd w:val="clear" w:color="auto" w:fill="auto"/>
            <w:vAlign w:val="center"/>
          </w:tcPr>
          <w:p w:rsidR="00083F05" w:rsidRPr="00D1078F" w:rsidRDefault="00083F05" w:rsidP="00EF2BF9">
            <w:pPr>
              <w:pStyle w:val="Tabletext"/>
              <w:keepNext/>
              <w:keepLines/>
              <w:jc w:val="center"/>
              <w:rPr>
                <w:b/>
              </w:rPr>
            </w:pPr>
            <w:r w:rsidRPr="00D1078F">
              <w:rPr>
                <w:b/>
              </w:rPr>
              <w:t>Year 5</w:t>
            </w:r>
          </w:p>
        </w:tc>
        <w:tc>
          <w:tcPr>
            <w:tcW w:w="553" w:type="pct"/>
            <w:vAlign w:val="center"/>
          </w:tcPr>
          <w:p w:rsidR="00083F05" w:rsidRPr="00D1078F" w:rsidRDefault="00083F05" w:rsidP="00EF2BF9">
            <w:pPr>
              <w:pStyle w:val="Tabletext"/>
              <w:keepNext/>
              <w:keepLines/>
              <w:jc w:val="center"/>
              <w:rPr>
                <w:b/>
              </w:rPr>
            </w:pPr>
            <w:r w:rsidRPr="00D1078F">
              <w:rPr>
                <w:b/>
              </w:rPr>
              <w:t>Year 6</w:t>
            </w:r>
          </w:p>
        </w:tc>
      </w:tr>
      <w:tr w:rsidR="00083F05" w:rsidRPr="00D1078F" w:rsidTr="00EF2BF9">
        <w:tc>
          <w:tcPr>
            <w:tcW w:w="5000" w:type="pct"/>
            <w:gridSpan w:val="7"/>
            <w:shd w:val="clear" w:color="auto" w:fill="auto"/>
            <w:vAlign w:val="center"/>
          </w:tcPr>
          <w:p w:rsidR="00083F05" w:rsidRPr="00D1078F" w:rsidRDefault="00083F05" w:rsidP="00EF2BF9">
            <w:pPr>
              <w:pStyle w:val="Tabletext"/>
              <w:keepNext/>
              <w:keepLines/>
              <w:rPr>
                <w:b/>
                <w:bCs/>
                <w:color w:val="000000"/>
              </w:rPr>
            </w:pPr>
            <w:r w:rsidRPr="00D1078F">
              <w:rPr>
                <w:b/>
                <w:bCs/>
                <w:color w:val="000000"/>
              </w:rPr>
              <w:t>Estimated extent of use</w:t>
            </w:r>
          </w:p>
        </w:tc>
      </w:tr>
      <w:tr w:rsidR="00E93ED5" w:rsidRPr="003639A6" w:rsidTr="00EF2BF9">
        <w:tc>
          <w:tcPr>
            <w:tcW w:w="1662" w:type="pct"/>
            <w:shd w:val="clear" w:color="auto" w:fill="auto"/>
            <w:vAlign w:val="center"/>
          </w:tcPr>
          <w:p w:rsidR="00083F05" w:rsidRPr="0010789F" w:rsidRDefault="00083F05" w:rsidP="0010789F">
            <w:pPr>
              <w:pStyle w:val="Tabletext"/>
              <w:keepNext/>
              <w:keepLines/>
              <w:rPr>
                <w:rFonts w:ascii="Times" w:hAnsi="Times"/>
                <w:vertAlign w:val="superscript"/>
              </w:rPr>
            </w:pPr>
            <w:r w:rsidRPr="003639A6">
              <w:t>Number of patients treated</w:t>
            </w:r>
          </w:p>
        </w:tc>
        <w:tc>
          <w:tcPr>
            <w:tcW w:w="475" w:type="pct"/>
            <w:shd w:val="clear" w:color="auto" w:fill="auto"/>
            <w:vAlign w:val="center"/>
          </w:tcPr>
          <w:p w:rsidR="00083F05" w:rsidRPr="00E45AE8" w:rsidRDefault="00E45AE8" w:rsidP="00EF2BF9">
            <w:pPr>
              <w:pStyle w:val="Tabletext"/>
              <w:keepNext/>
              <w:keepLines/>
              <w:jc w:val="center"/>
              <w:rPr>
                <w:bCs/>
                <w:color w:val="000000"/>
              </w:rPr>
            </w:pPr>
            <w:r>
              <w:rPr>
                <w:noProof/>
                <w:color w:val="000000"/>
                <w:highlight w:val="black"/>
              </w:rPr>
              <w:t>''''''</w:t>
            </w:r>
            <w:r w:rsidR="0010789F">
              <w:rPr>
                <w:vertAlign w:val="superscript"/>
              </w:rPr>
              <w:t>1</w:t>
            </w:r>
          </w:p>
        </w:tc>
        <w:tc>
          <w:tcPr>
            <w:tcW w:w="601" w:type="pct"/>
            <w:shd w:val="clear" w:color="auto" w:fill="auto"/>
            <w:vAlign w:val="center"/>
          </w:tcPr>
          <w:p w:rsidR="00083F05" w:rsidRPr="00E45AE8" w:rsidRDefault="00E45AE8" w:rsidP="00EF2BF9">
            <w:pPr>
              <w:pStyle w:val="Tabletext"/>
              <w:keepNext/>
              <w:keepLines/>
              <w:jc w:val="center"/>
              <w:rPr>
                <w:bCs/>
                <w:color w:val="000000"/>
              </w:rPr>
            </w:pPr>
            <w:r>
              <w:rPr>
                <w:noProof/>
                <w:color w:val="000000"/>
                <w:highlight w:val="black"/>
              </w:rPr>
              <w:t>'''''</w:t>
            </w:r>
            <w:r w:rsidR="0010789F">
              <w:rPr>
                <w:vertAlign w:val="superscript"/>
              </w:rPr>
              <w:t>1</w:t>
            </w:r>
          </w:p>
        </w:tc>
        <w:tc>
          <w:tcPr>
            <w:tcW w:w="542" w:type="pct"/>
            <w:shd w:val="clear" w:color="auto" w:fill="auto"/>
            <w:vAlign w:val="center"/>
          </w:tcPr>
          <w:p w:rsidR="00083F05" w:rsidRPr="00E45AE8" w:rsidRDefault="00E45AE8" w:rsidP="00EF2BF9">
            <w:pPr>
              <w:pStyle w:val="Tabletext"/>
              <w:keepNext/>
              <w:keepLines/>
              <w:jc w:val="center"/>
              <w:rPr>
                <w:bCs/>
                <w:color w:val="000000"/>
              </w:rPr>
            </w:pPr>
            <w:r>
              <w:rPr>
                <w:noProof/>
                <w:color w:val="000000"/>
                <w:highlight w:val="black"/>
              </w:rPr>
              <w:t>''''''</w:t>
            </w:r>
            <w:r w:rsidR="0010789F">
              <w:rPr>
                <w:vertAlign w:val="superscript"/>
              </w:rPr>
              <w:t>1</w:t>
            </w:r>
          </w:p>
        </w:tc>
        <w:tc>
          <w:tcPr>
            <w:tcW w:w="623" w:type="pct"/>
            <w:shd w:val="clear" w:color="auto" w:fill="auto"/>
            <w:vAlign w:val="center"/>
          </w:tcPr>
          <w:p w:rsidR="00083F05" w:rsidRPr="00E45AE8" w:rsidRDefault="00E45AE8" w:rsidP="00EF2BF9">
            <w:pPr>
              <w:pStyle w:val="Tabletext"/>
              <w:keepNext/>
              <w:keepLines/>
              <w:jc w:val="center"/>
              <w:rPr>
                <w:bCs/>
                <w:color w:val="000000"/>
              </w:rPr>
            </w:pPr>
            <w:r>
              <w:rPr>
                <w:noProof/>
                <w:color w:val="000000"/>
                <w:highlight w:val="black"/>
              </w:rPr>
              <w:t>'''''</w:t>
            </w:r>
            <w:r w:rsidR="0010789F">
              <w:rPr>
                <w:vertAlign w:val="superscript"/>
              </w:rPr>
              <w:t>1</w:t>
            </w:r>
          </w:p>
        </w:tc>
        <w:tc>
          <w:tcPr>
            <w:tcW w:w="543" w:type="pct"/>
            <w:shd w:val="clear" w:color="auto" w:fill="auto"/>
            <w:vAlign w:val="center"/>
          </w:tcPr>
          <w:p w:rsidR="00083F05" w:rsidRPr="00E45AE8" w:rsidRDefault="00E45AE8" w:rsidP="00EF2BF9">
            <w:pPr>
              <w:pStyle w:val="Tabletext"/>
              <w:keepNext/>
              <w:keepLines/>
              <w:jc w:val="center"/>
              <w:rPr>
                <w:bCs/>
                <w:color w:val="000000"/>
              </w:rPr>
            </w:pPr>
            <w:r>
              <w:rPr>
                <w:noProof/>
                <w:color w:val="000000"/>
                <w:highlight w:val="black"/>
              </w:rPr>
              <w:t>''''''''</w:t>
            </w:r>
            <w:r w:rsidR="0010789F">
              <w:rPr>
                <w:vertAlign w:val="superscript"/>
              </w:rPr>
              <w:t>1</w:t>
            </w:r>
          </w:p>
        </w:tc>
        <w:tc>
          <w:tcPr>
            <w:tcW w:w="553" w:type="pct"/>
            <w:vAlign w:val="center"/>
          </w:tcPr>
          <w:p w:rsidR="00083F05" w:rsidRPr="00E45AE8" w:rsidRDefault="00E45AE8" w:rsidP="00EF2BF9">
            <w:pPr>
              <w:pStyle w:val="Tabletext"/>
              <w:keepNext/>
              <w:keepLines/>
              <w:jc w:val="center"/>
              <w:rPr>
                <w:bCs/>
                <w:color w:val="000000"/>
              </w:rPr>
            </w:pPr>
            <w:r>
              <w:rPr>
                <w:noProof/>
                <w:color w:val="000000"/>
                <w:highlight w:val="black"/>
              </w:rPr>
              <w:t>''''''''''</w:t>
            </w:r>
            <w:r w:rsidR="0010789F">
              <w:rPr>
                <w:vertAlign w:val="superscript"/>
              </w:rPr>
              <w:t>1</w:t>
            </w:r>
          </w:p>
        </w:tc>
      </w:tr>
      <w:tr w:rsidR="00E93ED5" w:rsidRPr="003639A6" w:rsidTr="00EF2BF9">
        <w:tc>
          <w:tcPr>
            <w:tcW w:w="1662" w:type="pct"/>
            <w:shd w:val="clear" w:color="auto" w:fill="auto"/>
            <w:vAlign w:val="center"/>
          </w:tcPr>
          <w:p w:rsidR="00083F05" w:rsidRPr="003639A6" w:rsidRDefault="00083F05" w:rsidP="00EF2BF9">
            <w:pPr>
              <w:pStyle w:val="Tabletext"/>
              <w:keepNext/>
              <w:keepLines/>
              <w:rPr>
                <w:rFonts w:ascii="Times" w:hAnsi="Times"/>
              </w:rPr>
            </w:pPr>
            <w:r w:rsidRPr="003639A6">
              <w:t xml:space="preserve">Number of </w:t>
            </w:r>
            <w:r>
              <w:t>scripts</w:t>
            </w:r>
            <w:r w:rsidRPr="003639A6">
              <w:t xml:space="preserve"> dispensed</w:t>
            </w:r>
            <w:r>
              <w:rPr>
                <w:vertAlign w:val="superscript"/>
              </w:rPr>
              <w:t>*</w:t>
            </w:r>
          </w:p>
        </w:tc>
        <w:tc>
          <w:tcPr>
            <w:tcW w:w="475" w:type="pct"/>
            <w:shd w:val="clear" w:color="auto" w:fill="auto"/>
            <w:vAlign w:val="center"/>
          </w:tcPr>
          <w:p w:rsidR="00083F05" w:rsidRPr="00E45AE8" w:rsidRDefault="00E45AE8" w:rsidP="00EF2BF9">
            <w:pPr>
              <w:pStyle w:val="Tabletext"/>
              <w:keepNext/>
              <w:keepLines/>
              <w:jc w:val="center"/>
              <w:rPr>
                <w:bCs/>
                <w:color w:val="000000"/>
              </w:rPr>
            </w:pPr>
            <w:r>
              <w:rPr>
                <w:noProof/>
                <w:color w:val="000000"/>
                <w:highlight w:val="black"/>
              </w:rPr>
              <w:t>'''''''''</w:t>
            </w:r>
            <w:r w:rsidR="0010789F">
              <w:rPr>
                <w:vertAlign w:val="superscript"/>
              </w:rPr>
              <w:t>2</w:t>
            </w:r>
          </w:p>
        </w:tc>
        <w:tc>
          <w:tcPr>
            <w:tcW w:w="601" w:type="pct"/>
            <w:shd w:val="clear" w:color="auto" w:fill="auto"/>
            <w:vAlign w:val="center"/>
          </w:tcPr>
          <w:p w:rsidR="00083F05" w:rsidRPr="00E45AE8" w:rsidRDefault="00E45AE8" w:rsidP="00EF2BF9">
            <w:pPr>
              <w:pStyle w:val="Tabletext"/>
              <w:keepNext/>
              <w:keepLines/>
              <w:jc w:val="center"/>
              <w:rPr>
                <w:bCs/>
                <w:color w:val="000000"/>
              </w:rPr>
            </w:pPr>
            <w:r>
              <w:rPr>
                <w:noProof/>
                <w:color w:val="000000"/>
                <w:highlight w:val="black"/>
              </w:rPr>
              <w:t>''''''''''</w:t>
            </w:r>
            <w:r w:rsidR="0010789F">
              <w:rPr>
                <w:vertAlign w:val="superscript"/>
              </w:rPr>
              <w:t>2</w:t>
            </w:r>
          </w:p>
        </w:tc>
        <w:tc>
          <w:tcPr>
            <w:tcW w:w="542" w:type="pct"/>
            <w:shd w:val="clear" w:color="auto" w:fill="auto"/>
            <w:vAlign w:val="center"/>
          </w:tcPr>
          <w:p w:rsidR="00083F05" w:rsidRPr="00E45AE8" w:rsidRDefault="00E45AE8" w:rsidP="00EF2BF9">
            <w:pPr>
              <w:pStyle w:val="Tabletext"/>
              <w:keepNext/>
              <w:keepLines/>
              <w:jc w:val="center"/>
              <w:rPr>
                <w:bCs/>
                <w:color w:val="000000"/>
              </w:rPr>
            </w:pPr>
            <w:r>
              <w:rPr>
                <w:noProof/>
                <w:color w:val="000000"/>
                <w:highlight w:val="black"/>
              </w:rPr>
              <w:t>'''''''''</w:t>
            </w:r>
            <w:r w:rsidR="0010789F">
              <w:rPr>
                <w:vertAlign w:val="superscript"/>
              </w:rPr>
              <w:t>2</w:t>
            </w:r>
          </w:p>
        </w:tc>
        <w:tc>
          <w:tcPr>
            <w:tcW w:w="623" w:type="pct"/>
            <w:shd w:val="clear" w:color="auto" w:fill="auto"/>
            <w:vAlign w:val="center"/>
          </w:tcPr>
          <w:p w:rsidR="00083F05" w:rsidRPr="00E45AE8" w:rsidRDefault="00E45AE8" w:rsidP="00EF2BF9">
            <w:pPr>
              <w:pStyle w:val="Tabletext"/>
              <w:keepNext/>
              <w:keepLines/>
              <w:jc w:val="center"/>
              <w:rPr>
                <w:bCs/>
                <w:color w:val="000000"/>
              </w:rPr>
            </w:pPr>
            <w:r>
              <w:rPr>
                <w:noProof/>
                <w:color w:val="000000"/>
                <w:highlight w:val="black"/>
              </w:rPr>
              <w:t>''''''''''</w:t>
            </w:r>
            <w:r w:rsidR="0010789F">
              <w:rPr>
                <w:vertAlign w:val="superscript"/>
              </w:rPr>
              <w:t>2</w:t>
            </w:r>
          </w:p>
        </w:tc>
        <w:tc>
          <w:tcPr>
            <w:tcW w:w="543" w:type="pct"/>
            <w:shd w:val="clear" w:color="auto" w:fill="auto"/>
            <w:vAlign w:val="center"/>
          </w:tcPr>
          <w:p w:rsidR="00083F05" w:rsidRPr="00E45AE8" w:rsidRDefault="00E45AE8" w:rsidP="00EF2BF9">
            <w:pPr>
              <w:pStyle w:val="Tabletext"/>
              <w:keepNext/>
              <w:keepLines/>
              <w:jc w:val="center"/>
              <w:rPr>
                <w:bCs/>
                <w:color w:val="000000"/>
              </w:rPr>
            </w:pPr>
            <w:r>
              <w:rPr>
                <w:noProof/>
                <w:color w:val="000000"/>
                <w:highlight w:val="black"/>
              </w:rPr>
              <w:t>'''''''''''''</w:t>
            </w:r>
            <w:r w:rsidR="0010789F">
              <w:rPr>
                <w:vertAlign w:val="superscript"/>
              </w:rPr>
              <w:t>2</w:t>
            </w:r>
          </w:p>
        </w:tc>
        <w:tc>
          <w:tcPr>
            <w:tcW w:w="553" w:type="pct"/>
            <w:vAlign w:val="center"/>
          </w:tcPr>
          <w:p w:rsidR="00083F05" w:rsidRPr="00E45AE8" w:rsidRDefault="00E45AE8" w:rsidP="00EF2BF9">
            <w:pPr>
              <w:pStyle w:val="Tabletext"/>
              <w:keepNext/>
              <w:keepLines/>
              <w:jc w:val="center"/>
              <w:rPr>
                <w:bCs/>
                <w:color w:val="000000"/>
              </w:rPr>
            </w:pPr>
            <w:r>
              <w:rPr>
                <w:noProof/>
                <w:color w:val="000000"/>
                <w:highlight w:val="black"/>
              </w:rPr>
              <w:t>''''''''''''</w:t>
            </w:r>
            <w:r w:rsidR="0010789F">
              <w:rPr>
                <w:vertAlign w:val="superscript"/>
              </w:rPr>
              <w:t>2</w:t>
            </w:r>
          </w:p>
        </w:tc>
      </w:tr>
      <w:tr w:rsidR="00E93ED5" w:rsidRPr="00E436BE" w:rsidTr="00EF2BF9">
        <w:tc>
          <w:tcPr>
            <w:tcW w:w="1662" w:type="pct"/>
            <w:shd w:val="clear" w:color="auto" w:fill="auto"/>
            <w:vAlign w:val="center"/>
          </w:tcPr>
          <w:p w:rsidR="00083F05" w:rsidRPr="00E436BE" w:rsidRDefault="00083F05" w:rsidP="00EF2BF9">
            <w:pPr>
              <w:pStyle w:val="Tabletext"/>
              <w:keepNext/>
              <w:keepLines/>
            </w:pPr>
            <w:r w:rsidRPr="00E436BE">
              <w:rPr>
                <w:iCs/>
              </w:rPr>
              <w:t>Adjusted Total  volumes**</w:t>
            </w:r>
          </w:p>
        </w:tc>
        <w:tc>
          <w:tcPr>
            <w:tcW w:w="475" w:type="pct"/>
            <w:shd w:val="clear" w:color="auto" w:fill="auto"/>
            <w:vAlign w:val="center"/>
          </w:tcPr>
          <w:p w:rsidR="00083F05" w:rsidRPr="00E45AE8" w:rsidRDefault="00E45AE8" w:rsidP="00EF2BF9">
            <w:pPr>
              <w:pStyle w:val="Tabletext"/>
              <w:keepNext/>
              <w:keepLines/>
              <w:jc w:val="center"/>
              <w:rPr>
                <w:bCs/>
                <w:color w:val="000000"/>
              </w:rPr>
            </w:pPr>
            <w:r>
              <w:rPr>
                <w:iCs/>
                <w:noProof/>
                <w:color w:val="000000"/>
                <w:highlight w:val="black"/>
              </w:rPr>
              <w:t>'''''''''</w:t>
            </w:r>
            <w:r w:rsidR="0010789F">
              <w:rPr>
                <w:vertAlign w:val="superscript"/>
              </w:rPr>
              <w:t>2</w:t>
            </w:r>
          </w:p>
        </w:tc>
        <w:tc>
          <w:tcPr>
            <w:tcW w:w="601" w:type="pct"/>
            <w:shd w:val="clear" w:color="auto" w:fill="auto"/>
            <w:vAlign w:val="center"/>
          </w:tcPr>
          <w:p w:rsidR="00083F05" w:rsidRPr="00E45AE8" w:rsidRDefault="00E45AE8" w:rsidP="00EF2BF9">
            <w:pPr>
              <w:pStyle w:val="Tabletext"/>
              <w:keepNext/>
              <w:keepLines/>
              <w:jc w:val="center"/>
              <w:rPr>
                <w:bCs/>
                <w:color w:val="000000"/>
              </w:rPr>
            </w:pPr>
            <w:r>
              <w:rPr>
                <w:iCs/>
                <w:noProof/>
                <w:color w:val="000000"/>
                <w:highlight w:val="black"/>
              </w:rPr>
              <w:t>'''''''''''''</w:t>
            </w:r>
            <w:r w:rsidR="0010789F">
              <w:rPr>
                <w:vertAlign w:val="superscript"/>
              </w:rPr>
              <w:t>2</w:t>
            </w:r>
          </w:p>
        </w:tc>
        <w:tc>
          <w:tcPr>
            <w:tcW w:w="542" w:type="pct"/>
            <w:shd w:val="clear" w:color="auto" w:fill="auto"/>
            <w:vAlign w:val="center"/>
          </w:tcPr>
          <w:p w:rsidR="00083F05" w:rsidRPr="00E45AE8" w:rsidRDefault="00E45AE8" w:rsidP="00EF2BF9">
            <w:pPr>
              <w:pStyle w:val="Tabletext"/>
              <w:keepNext/>
              <w:keepLines/>
              <w:jc w:val="center"/>
              <w:rPr>
                <w:bCs/>
                <w:color w:val="000000"/>
              </w:rPr>
            </w:pPr>
            <w:r>
              <w:rPr>
                <w:iCs/>
                <w:noProof/>
                <w:color w:val="000000"/>
                <w:highlight w:val="black"/>
              </w:rPr>
              <w:t>''''''''''''''</w:t>
            </w:r>
            <w:r w:rsidR="0010789F">
              <w:rPr>
                <w:vertAlign w:val="superscript"/>
              </w:rPr>
              <w:t>2</w:t>
            </w:r>
          </w:p>
        </w:tc>
        <w:tc>
          <w:tcPr>
            <w:tcW w:w="623" w:type="pct"/>
            <w:shd w:val="clear" w:color="auto" w:fill="auto"/>
            <w:vAlign w:val="center"/>
          </w:tcPr>
          <w:p w:rsidR="00083F05" w:rsidRPr="00E45AE8" w:rsidRDefault="00E45AE8" w:rsidP="00EF2BF9">
            <w:pPr>
              <w:pStyle w:val="Tabletext"/>
              <w:keepNext/>
              <w:keepLines/>
              <w:jc w:val="center"/>
              <w:rPr>
                <w:bCs/>
                <w:color w:val="000000"/>
              </w:rPr>
            </w:pPr>
            <w:r>
              <w:rPr>
                <w:iCs/>
                <w:noProof/>
                <w:color w:val="000000"/>
                <w:highlight w:val="black"/>
              </w:rPr>
              <w:t>'''''''''''''</w:t>
            </w:r>
            <w:r w:rsidR="0010789F">
              <w:rPr>
                <w:vertAlign w:val="superscript"/>
              </w:rPr>
              <w:t>2</w:t>
            </w:r>
          </w:p>
        </w:tc>
        <w:tc>
          <w:tcPr>
            <w:tcW w:w="543" w:type="pct"/>
            <w:shd w:val="clear" w:color="auto" w:fill="auto"/>
            <w:vAlign w:val="center"/>
          </w:tcPr>
          <w:p w:rsidR="00083F05" w:rsidRPr="00E45AE8" w:rsidRDefault="00E45AE8" w:rsidP="00EF2BF9">
            <w:pPr>
              <w:pStyle w:val="Tabletext"/>
              <w:keepNext/>
              <w:keepLines/>
              <w:jc w:val="center"/>
              <w:rPr>
                <w:bCs/>
                <w:color w:val="000000"/>
              </w:rPr>
            </w:pPr>
            <w:r>
              <w:rPr>
                <w:iCs/>
                <w:noProof/>
                <w:color w:val="000000"/>
                <w:highlight w:val="black"/>
              </w:rPr>
              <w:t>''''''''''''</w:t>
            </w:r>
            <w:r w:rsidR="0010789F">
              <w:rPr>
                <w:vertAlign w:val="superscript"/>
              </w:rPr>
              <w:t>2</w:t>
            </w:r>
          </w:p>
        </w:tc>
        <w:tc>
          <w:tcPr>
            <w:tcW w:w="553" w:type="pct"/>
            <w:vAlign w:val="center"/>
          </w:tcPr>
          <w:p w:rsidR="00083F05" w:rsidRPr="00E45AE8" w:rsidRDefault="00E45AE8" w:rsidP="00EF2BF9">
            <w:pPr>
              <w:pStyle w:val="Tabletext"/>
              <w:keepNext/>
              <w:keepLines/>
              <w:jc w:val="center"/>
              <w:rPr>
                <w:bCs/>
                <w:color w:val="000000"/>
              </w:rPr>
            </w:pPr>
            <w:r>
              <w:rPr>
                <w:iCs/>
                <w:noProof/>
                <w:color w:val="000000"/>
                <w:highlight w:val="black"/>
              </w:rPr>
              <w:t>'''''''''''''</w:t>
            </w:r>
            <w:r w:rsidR="0010789F">
              <w:rPr>
                <w:vertAlign w:val="superscript"/>
              </w:rPr>
              <w:t>2</w:t>
            </w:r>
          </w:p>
        </w:tc>
      </w:tr>
      <w:tr w:rsidR="00083F05" w:rsidRPr="00D1078F" w:rsidTr="00EF2BF9">
        <w:tc>
          <w:tcPr>
            <w:tcW w:w="5000" w:type="pct"/>
            <w:gridSpan w:val="7"/>
            <w:shd w:val="clear" w:color="auto" w:fill="auto"/>
            <w:vAlign w:val="center"/>
          </w:tcPr>
          <w:p w:rsidR="00083F05" w:rsidRPr="00D1078F" w:rsidRDefault="00083F05" w:rsidP="00EF2BF9">
            <w:pPr>
              <w:pStyle w:val="Tabletext"/>
              <w:keepNext/>
              <w:keepLines/>
              <w:rPr>
                <w:b/>
                <w:bCs/>
                <w:color w:val="000000"/>
              </w:rPr>
            </w:pPr>
            <w:r w:rsidRPr="00D1078F">
              <w:rPr>
                <w:b/>
                <w:bCs/>
                <w:color w:val="000000"/>
              </w:rPr>
              <w:t xml:space="preserve">Estimated </w:t>
            </w:r>
            <w:r>
              <w:rPr>
                <w:b/>
                <w:bCs/>
                <w:color w:val="000000"/>
              </w:rPr>
              <w:t>financial implications of ripretinib</w:t>
            </w:r>
          </w:p>
        </w:tc>
      </w:tr>
      <w:tr w:rsidR="00E93ED5" w:rsidRPr="003639A6" w:rsidTr="00EF2BF9">
        <w:tc>
          <w:tcPr>
            <w:tcW w:w="1662" w:type="pct"/>
            <w:shd w:val="clear" w:color="auto" w:fill="auto"/>
            <w:vAlign w:val="center"/>
          </w:tcPr>
          <w:p w:rsidR="00083F05" w:rsidRPr="003639A6" w:rsidRDefault="00083F05" w:rsidP="00EF2BF9">
            <w:pPr>
              <w:pStyle w:val="Tabletext"/>
              <w:keepNext/>
              <w:keepLines/>
              <w:rPr>
                <w:rFonts w:ascii="Times" w:hAnsi="Times"/>
              </w:rPr>
            </w:pPr>
            <w:r>
              <w:t>Cost to the PBS (</w:t>
            </w:r>
            <w:r w:rsidRPr="00D33691">
              <w:t>Published Price</w:t>
            </w:r>
            <w:r>
              <w:t>)</w:t>
            </w:r>
          </w:p>
        </w:tc>
        <w:tc>
          <w:tcPr>
            <w:tcW w:w="475" w:type="pct"/>
            <w:shd w:val="clear" w:color="auto" w:fill="auto"/>
            <w:vAlign w:val="center"/>
          </w:tcPr>
          <w:p w:rsidR="00083F05" w:rsidRPr="00E45AE8" w:rsidRDefault="00E45AE8" w:rsidP="00EF2BF9">
            <w:pPr>
              <w:pStyle w:val="Tabletext"/>
              <w:keepNext/>
              <w:keepLines/>
              <w:jc w:val="center"/>
              <w:rPr>
                <w:bCs/>
                <w:color w:val="000000"/>
              </w:rPr>
            </w:pPr>
            <w:r>
              <w:rPr>
                <w:noProof/>
                <w:color w:val="000000"/>
                <w:highlight w:val="black"/>
              </w:rPr>
              <w:t>'''''''''''''''''''''''''''''</w:t>
            </w:r>
            <w:r w:rsidR="007E6F6F">
              <w:rPr>
                <w:vertAlign w:val="superscript"/>
              </w:rPr>
              <w:t>3</w:t>
            </w:r>
          </w:p>
        </w:tc>
        <w:tc>
          <w:tcPr>
            <w:tcW w:w="601" w:type="pct"/>
            <w:shd w:val="clear" w:color="auto" w:fill="auto"/>
            <w:vAlign w:val="center"/>
          </w:tcPr>
          <w:p w:rsidR="00083F05" w:rsidRPr="00E45AE8" w:rsidRDefault="00E45AE8" w:rsidP="00EF2BF9">
            <w:pPr>
              <w:pStyle w:val="Tabletext"/>
              <w:keepNext/>
              <w:keepLines/>
              <w:jc w:val="center"/>
              <w:rPr>
                <w:bCs/>
                <w:color w:val="000000"/>
              </w:rPr>
            </w:pPr>
            <w:r>
              <w:rPr>
                <w:noProof/>
                <w:color w:val="000000"/>
                <w:highlight w:val="black"/>
              </w:rPr>
              <w:t>'''''''''''''''''''''''''''''''</w:t>
            </w:r>
            <w:r w:rsidR="007E6F6F">
              <w:rPr>
                <w:vertAlign w:val="superscript"/>
              </w:rPr>
              <w:t>4</w:t>
            </w:r>
          </w:p>
        </w:tc>
        <w:tc>
          <w:tcPr>
            <w:tcW w:w="542" w:type="pct"/>
            <w:shd w:val="clear" w:color="auto" w:fill="auto"/>
            <w:vAlign w:val="center"/>
          </w:tcPr>
          <w:p w:rsidR="00083F05" w:rsidRPr="00E45AE8" w:rsidRDefault="00E45AE8" w:rsidP="00EF2BF9">
            <w:pPr>
              <w:pStyle w:val="Tabletext"/>
              <w:keepNext/>
              <w:keepLines/>
              <w:jc w:val="center"/>
              <w:rPr>
                <w:bCs/>
                <w:color w:val="000000"/>
              </w:rPr>
            </w:pPr>
            <w:r>
              <w:rPr>
                <w:noProof/>
                <w:color w:val="000000"/>
                <w:highlight w:val="black"/>
              </w:rPr>
              <w:t>'''''''''''''''''''''''''''''</w:t>
            </w:r>
            <w:r w:rsidR="007E6F6F">
              <w:rPr>
                <w:vertAlign w:val="superscript"/>
              </w:rPr>
              <w:t>4</w:t>
            </w:r>
          </w:p>
        </w:tc>
        <w:tc>
          <w:tcPr>
            <w:tcW w:w="623" w:type="pct"/>
            <w:shd w:val="clear" w:color="auto" w:fill="auto"/>
            <w:vAlign w:val="center"/>
          </w:tcPr>
          <w:p w:rsidR="00083F05" w:rsidRPr="00E45AE8" w:rsidRDefault="00E45AE8" w:rsidP="00EF2BF9">
            <w:pPr>
              <w:pStyle w:val="Tabletext"/>
              <w:keepNext/>
              <w:keepLines/>
              <w:jc w:val="center"/>
              <w:rPr>
                <w:bCs/>
                <w:color w:val="000000"/>
              </w:rPr>
            </w:pPr>
            <w:r>
              <w:rPr>
                <w:noProof/>
                <w:color w:val="000000"/>
                <w:highlight w:val="black"/>
              </w:rPr>
              <w:t>'''''''''''''''''''''''''''''''</w:t>
            </w:r>
            <w:r w:rsidR="007E6F6F">
              <w:rPr>
                <w:vertAlign w:val="superscript"/>
              </w:rPr>
              <w:t>4</w:t>
            </w:r>
          </w:p>
        </w:tc>
        <w:tc>
          <w:tcPr>
            <w:tcW w:w="543" w:type="pct"/>
            <w:shd w:val="clear" w:color="auto" w:fill="auto"/>
            <w:vAlign w:val="center"/>
          </w:tcPr>
          <w:p w:rsidR="00083F05" w:rsidRPr="00E45AE8" w:rsidRDefault="00E45AE8" w:rsidP="00EF2BF9">
            <w:pPr>
              <w:pStyle w:val="Tabletext"/>
              <w:keepNext/>
              <w:keepLines/>
              <w:jc w:val="center"/>
              <w:rPr>
                <w:bCs/>
                <w:color w:val="000000"/>
              </w:rPr>
            </w:pPr>
            <w:r>
              <w:rPr>
                <w:noProof/>
                <w:color w:val="000000"/>
                <w:highlight w:val="black"/>
              </w:rPr>
              <w:t>''''''''''''''''''''''''''''''</w:t>
            </w:r>
            <w:r w:rsidR="007E6F6F">
              <w:rPr>
                <w:vertAlign w:val="superscript"/>
              </w:rPr>
              <w:t>4</w:t>
            </w:r>
          </w:p>
        </w:tc>
        <w:tc>
          <w:tcPr>
            <w:tcW w:w="553" w:type="pct"/>
            <w:vAlign w:val="center"/>
          </w:tcPr>
          <w:p w:rsidR="00083F05" w:rsidRPr="00E45AE8" w:rsidRDefault="00E45AE8" w:rsidP="00EF2BF9">
            <w:pPr>
              <w:pStyle w:val="Tabletext"/>
              <w:keepNext/>
              <w:keepLines/>
              <w:jc w:val="center"/>
              <w:rPr>
                <w:bCs/>
                <w:color w:val="000000"/>
              </w:rPr>
            </w:pPr>
            <w:r>
              <w:rPr>
                <w:noProof/>
                <w:color w:val="000000"/>
                <w:highlight w:val="black"/>
              </w:rPr>
              <w:t>''''''''''''''''''''''''''''''''</w:t>
            </w:r>
            <w:r w:rsidR="007E6F6F">
              <w:rPr>
                <w:vertAlign w:val="superscript"/>
              </w:rPr>
              <w:t>4</w:t>
            </w:r>
          </w:p>
        </w:tc>
      </w:tr>
      <w:tr w:rsidR="00E93ED5" w:rsidRPr="00A715B3" w:rsidTr="00EF2BF9">
        <w:tc>
          <w:tcPr>
            <w:tcW w:w="1662" w:type="pct"/>
            <w:shd w:val="clear" w:color="auto" w:fill="auto"/>
            <w:vAlign w:val="center"/>
          </w:tcPr>
          <w:p w:rsidR="00083F05" w:rsidRPr="00A715B3" w:rsidRDefault="00083F05" w:rsidP="00EF2BF9">
            <w:pPr>
              <w:pStyle w:val="Tabletext"/>
              <w:keepNext/>
              <w:keepLines/>
              <w:rPr>
                <w:sz w:val="19"/>
                <w:szCs w:val="19"/>
              </w:rPr>
            </w:pPr>
            <w:r w:rsidRPr="00A715B3">
              <w:t>Cost to the PBS (Effective Price)</w:t>
            </w:r>
          </w:p>
        </w:tc>
        <w:tc>
          <w:tcPr>
            <w:tcW w:w="475" w:type="pct"/>
            <w:shd w:val="clear" w:color="auto" w:fill="auto"/>
            <w:vAlign w:val="center"/>
          </w:tcPr>
          <w:p w:rsidR="00083F05" w:rsidRPr="00E45AE8" w:rsidRDefault="00E45AE8" w:rsidP="00EF2BF9">
            <w:pPr>
              <w:pStyle w:val="Tabletext"/>
              <w:keepNext/>
              <w:keepLines/>
              <w:jc w:val="center"/>
              <w:rPr>
                <w:color w:val="000000"/>
              </w:rPr>
            </w:pPr>
            <w:r>
              <w:rPr>
                <w:noProof/>
                <w:color w:val="000000"/>
                <w:highlight w:val="black"/>
              </w:rPr>
              <w:t>''''''''''''''''''''''''''''</w:t>
            </w:r>
            <w:r w:rsidR="007E6F6F">
              <w:rPr>
                <w:vertAlign w:val="superscript"/>
              </w:rPr>
              <w:t>3</w:t>
            </w:r>
          </w:p>
        </w:tc>
        <w:tc>
          <w:tcPr>
            <w:tcW w:w="601" w:type="pct"/>
            <w:shd w:val="clear" w:color="auto" w:fill="auto"/>
            <w:vAlign w:val="center"/>
          </w:tcPr>
          <w:p w:rsidR="00083F05" w:rsidRPr="00E45AE8" w:rsidRDefault="00E45AE8" w:rsidP="00EF2BF9">
            <w:pPr>
              <w:pStyle w:val="Tabletext"/>
              <w:keepNext/>
              <w:keepLines/>
              <w:jc w:val="center"/>
              <w:rPr>
                <w:color w:val="000000"/>
              </w:rPr>
            </w:pPr>
            <w:r>
              <w:rPr>
                <w:noProof/>
                <w:color w:val="000000"/>
                <w:highlight w:val="black"/>
              </w:rPr>
              <w:t>'''''''''''''''''''''''''''''''</w:t>
            </w:r>
            <w:r w:rsidR="007E6F6F">
              <w:rPr>
                <w:vertAlign w:val="superscript"/>
              </w:rPr>
              <w:t>3</w:t>
            </w:r>
          </w:p>
        </w:tc>
        <w:tc>
          <w:tcPr>
            <w:tcW w:w="542" w:type="pct"/>
            <w:shd w:val="clear" w:color="auto" w:fill="auto"/>
            <w:vAlign w:val="center"/>
          </w:tcPr>
          <w:p w:rsidR="00083F05" w:rsidRPr="00E45AE8" w:rsidRDefault="00E45AE8" w:rsidP="00EF2BF9">
            <w:pPr>
              <w:pStyle w:val="Tabletext"/>
              <w:keepNext/>
              <w:keepLines/>
              <w:jc w:val="center"/>
              <w:rPr>
                <w:color w:val="000000"/>
              </w:rPr>
            </w:pPr>
            <w:r>
              <w:rPr>
                <w:noProof/>
                <w:color w:val="000000"/>
                <w:highlight w:val="black"/>
              </w:rPr>
              <w:t>'''''''''''''''''''''''''''''</w:t>
            </w:r>
            <w:r w:rsidR="007E6F6F">
              <w:rPr>
                <w:vertAlign w:val="superscript"/>
              </w:rPr>
              <w:t>3</w:t>
            </w:r>
          </w:p>
        </w:tc>
        <w:tc>
          <w:tcPr>
            <w:tcW w:w="623" w:type="pct"/>
            <w:shd w:val="clear" w:color="auto" w:fill="auto"/>
            <w:vAlign w:val="center"/>
          </w:tcPr>
          <w:p w:rsidR="00083F05" w:rsidRPr="00E45AE8" w:rsidRDefault="00E45AE8" w:rsidP="00EF2BF9">
            <w:pPr>
              <w:pStyle w:val="Tabletext"/>
              <w:keepNext/>
              <w:keepLines/>
              <w:jc w:val="center"/>
              <w:rPr>
                <w:color w:val="000000"/>
              </w:rPr>
            </w:pPr>
            <w:r>
              <w:rPr>
                <w:noProof/>
                <w:color w:val="000000"/>
                <w:highlight w:val="black"/>
              </w:rPr>
              <w:t>''''''''''''''''''''''''''''</w:t>
            </w:r>
            <w:r w:rsidR="007E6F6F">
              <w:rPr>
                <w:vertAlign w:val="superscript"/>
              </w:rPr>
              <w:t>3</w:t>
            </w:r>
          </w:p>
        </w:tc>
        <w:tc>
          <w:tcPr>
            <w:tcW w:w="543" w:type="pct"/>
            <w:shd w:val="clear" w:color="auto" w:fill="auto"/>
            <w:vAlign w:val="center"/>
          </w:tcPr>
          <w:p w:rsidR="00083F05" w:rsidRPr="00E45AE8" w:rsidRDefault="00E45AE8" w:rsidP="00EF2BF9">
            <w:pPr>
              <w:pStyle w:val="Tabletext"/>
              <w:keepNext/>
              <w:keepLines/>
              <w:jc w:val="center"/>
              <w:rPr>
                <w:color w:val="000000"/>
              </w:rPr>
            </w:pPr>
            <w:r>
              <w:rPr>
                <w:noProof/>
                <w:color w:val="000000"/>
                <w:highlight w:val="black"/>
              </w:rPr>
              <w:t>''''''''''''''''''''''''''''''</w:t>
            </w:r>
            <w:r w:rsidR="007E6F6F">
              <w:rPr>
                <w:vertAlign w:val="superscript"/>
              </w:rPr>
              <w:t>3</w:t>
            </w:r>
          </w:p>
        </w:tc>
        <w:tc>
          <w:tcPr>
            <w:tcW w:w="553" w:type="pct"/>
            <w:vAlign w:val="center"/>
          </w:tcPr>
          <w:p w:rsidR="00083F05" w:rsidRPr="00E45AE8" w:rsidRDefault="00E45AE8" w:rsidP="00EF2BF9">
            <w:pPr>
              <w:pStyle w:val="Tabletext"/>
              <w:keepNext/>
              <w:keepLines/>
              <w:jc w:val="center"/>
              <w:rPr>
                <w:color w:val="000000"/>
              </w:rPr>
            </w:pPr>
            <w:r>
              <w:rPr>
                <w:noProof/>
                <w:color w:val="000000"/>
                <w:highlight w:val="black"/>
              </w:rPr>
              <w:t>'''''''''''''''''''''''''''''</w:t>
            </w:r>
            <w:r w:rsidR="007E6F6F">
              <w:rPr>
                <w:vertAlign w:val="superscript"/>
              </w:rPr>
              <w:t>3</w:t>
            </w:r>
          </w:p>
        </w:tc>
      </w:tr>
      <w:tr w:rsidR="00E93ED5" w:rsidRPr="00E436BE" w:rsidTr="00EF2BF9">
        <w:tc>
          <w:tcPr>
            <w:tcW w:w="1662" w:type="pct"/>
            <w:shd w:val="clear" w:color="auto" w:fill="auto"/>
            <w:vAlign w:val="center"/>
          </w:tcPr>
          <w:p w:rsidR="00083F05" w:rsidRPr="00E436BE" w:rsidRDefault="00083F05" w:rsidP="00EF2BF9">
            <w:pPr>
              <w:pStyle w:val="Tabletext"/>
              <w:keepNext/>
              <w:keepLines/>
            </w:pPr>
            <w:r w:rsidRPr="00E436BE">
              <w:rPr>
                <w:b/>
                <w:iCs/>
              </w:rPr>
              <w:t>Effective price with adjusted volumes</w:t>
            </w:r>
            <w:r w:rsidR="00E436BE" w:rsidRPr="00E436BE">
              <w:rPr>
                <w:iCs/>
              </w:rPr>
              <w:t>***</w:t>
            </w:r>
          </w:p>
        </w:tc>
        <w:tc>
          <w:tcPr>
            <w:tcW w:w="475" w:type="pct"/>
            <w:shd w:val="clear" w:color="auto" w:fill="auto"/>
            <w:vAlign w:val="center"/>
          </w:tcPr>
          <w:p w:rsidR="00083F05" w:rsidRPr="00E45AE8" w:rsidRDefault="00E45AE8" w:rsidP="00EF2BF9">
            <w:pPr>
              <w:pStyle w:val="Tabletext"/>
              <w:keepNext/>
              <w:keepLines/>
              <w:jc w:val="center"/>
            </w:pPr>
            <w:r>
              <w:rPr>
                <w:iCs/>
                <w:noProof/>
                <w:color w:val="000000"/>
                <w:highlight w:val="black"/>
              </w:rPr>
              <w:t>'''''''''''''''''''''''''''''''</w:t>
            </w:r>
            <w:r w:rsidR="007E6F6F">
              <w:rPr>
                <w:vertAlign w:val="superscript"/>
              </w:rPr>
              <w:t>3</w:t>
            </w:r>
          </w:p>
        </w:tc>
        <w:tc>
          <w:tcPr>
            <w:tcW w:w="601" w:type="pct"/>
            <w:shd w:val="clear" w:color="auto" w:fill="auto"/>
            <w:vAlign w:val="center"/>
          </w:tcPr>
          <w:p w:rsidR="00083F05" w:rsidRPr="00E45AE8" w:rsidRDefault="00E45AE8" w:rsidP="00EF2BF9">
            <w:pPr>
              <w:pStyle w:val="Tabletext"/>
              <w:keepNext/>
              <w:keepLines/>
              <w:jc w:val="center"/>
            </w:pPr>
            <w:r>
              <w:rPr>
                <w:iCs/>
                <w:noProof/>
                <w:color w:val="000000"/>
                <w:highlight w:val="black"/>
              </w:rPr>
              <w:t>'''''''''''''''''''''''''''''</w:t>
            </w:r>
            <w:r w:rsidR="007E6F6F">
              <w:rPr>
                <w:vertAlign w:val="superscript"/>
              </w:rPr>
              <w:t>3</w:t>
            </w:r>
          </w:p>
        </w:tc>
        <w:tc>
          <w:tcPr>
            <w:tcW w:w="542" w:type="pct"/>
            <w:shd w:val="clear" w:color="auto" w:fill="auto"/>
            <w:vAlign w:val="center"/>
          </w:tcPr>
          <w:p w:rsidR="00083F05" w:rsidRPr="00E45AE8" w:rsidRDefault="00E45AE8" w:rsidP="00EF2BF9">
            <w:pPr>
              <w:pStyle w:val="Tabletext"/>
              <w:keepNext/>
              <w:keepLines/>
              <w:jc w:val="center"/>
            </w:pPr>
            <w:r>
              <w:rPr>
                <w:iCs/>
                <w:noProof/>
                <w:color w:val="000000"/>
                <w:highlight w:val="black"/>
              </w:rPr>
              <w:t>''''''''''''''''''''''''''''''''</w:t>
            </w:r>
            <w:r w:rsidR="007E6F6F">
              <w:rPr>
                <w:vertAlign w:val="superscript"/>
              </w:rPr>
              <w:t>3</w:t>
            </w:r>
          </w:p>
        </w:tc>
        <w:tc>
          <w:tcPr>
            <w:tcW w:w="623" w:type="pct"/>
            <w:shd w:val="clear" w:color="auto" w:fill="auto"/>
            <w:vAlign w:val="center"/>
          </w:tcPr>
          <w:p w:rsidR="00083F05" w:rsidRPr="00E45AE8" w:rsidRDefault="00E45AE8" w:rsidP="00EF2BF9">
            <w:pPr>
              <w:pStyle w:val="Tabletext"/>
              <w:keepNext/>
              <w:keepLines/>
              <w:jc w:val="center"/>
            </w:pPr>
            <w:r>
              <w:rPr>
                <w:iCs/>
                <w:noProof/>
                <w:color w:val="000000"/>
                <w:highlight w:val="black"/>
              </w:rPr>
              <w:t>''''''''''''''''''''''''''''</w:t>
            </w:r>
            <w:r w:rsidR="007E6F6F">
              <w:rPr>
                <w:vertAlign w:val="superscript"/>
              </w:rPr>
              <w:t>3</w:t>
            </w:r>
          </w:p>
        </w:tc>
        <w:tc>
          <w:tcPr>
            <w:tcW w:w="543" w:type="pct"/>
            <w:shd w:val="clear" w:color="auto" w:fill="auto"/>
            <w:vAlign w:val="center"/>
          </w:tcPr>
          <w:p w:rsidR="00083F05" w:rsidRPr="00E45AE8" w:rsidRDefault="00E45AE8" w:rsidP="00EF2BF9">
            <w:pPr>
              <w:pStyle w:val="Tabletext"/>
              <w:keepNext/>
              <w:keepLines/>
              <w:jc w:val="center"/>
            </w:pPr>
            <w:r>
              <w:rPr>
                <w:iCs/>
                <w:noProof/>
                <w:color w:val="000000"/>
                <w:highlight w:val="black"/>
              </w:rPr>
              <w:t>''''''''''''''''''''''''''''''''</w:t>
            </w:r>
            <w:r w:rsidR="007E6F6F">
              <w:rPr>
                <w:vertAlign w:val="superscript"/>
              </w:rPr>
              <w:t>3</w:t>
            </w:r>
          </w:p>
        </w:tc>
        <w:tc>
          <w:tcPr>
            <w:tcW w:w="553" w:type="pct"/>
            <w:vAlign w:val="center"/>
          </w:tcPr>
          <w:p w:rsidR="00083F05" w:rsidRPr="00E45AE8" w:rsidRDefault="00E45AE8" w:rsidP="00EF2BF9">
            <w:pPr>
              <w:pStyle w:val="Tabletext"/>
              <w:keepNext/>
              <w:keepLines/>
              <w:jc w:val="center"/>
            </w:pPr>
            <w:r>
              <w:rPr>
                <w:iCs/>
                <w:noProof/>
                <w:color w:val="000000"/>
                <w:highlight w:val="black"/>
              </w:rPr>
              <w:t>'''''''''''''''''''''''''''''''</w:t>
            </w:r>
            <w:r w:rsidR="007E6F6F">
              <w:rPr>
                <w:vertAlign w:val="superscript"/>
              </w:rPr>
              <w:t>3</w:t>
            </w:r>
          </w:p>
        </w:tc>
      </w:tr>
      <w:tr w:rsidR="00083F05" w:rsidRPr="003639A6" w:rsidTr="00EF2BF9">
        <w:tc>
          <w:tcPr>
            <w:tcW w:w="5000" w:type="pct"/>
            <w:gridSpan w:val="7"/>
            <w:shd w:val="clear" w:color="auto" w:fill="auto"/>
            <w:vAlign w:val="center"/>
          </w:tcPr>
          <w:p w:rsidR="00083F05" w:rsidRPr="003639A6" w:rsidRDefault="00083F05" w:rsidP="00EF2BF9">
            <w:pPr>
              <w:pStyle w:val="Tabletext"/>
              <w:keepNext/>
              <w:keepLines/>
              <w:rPr>
                <w:bCs/>
                <w:color w:val="000000"/>
              </w:rPr>
            </w:pPr>
            <w:r w:rsidRPr="00D1078F">
              <w:rPr>
                <w:b/>
                <w:bCs/>
                <w:color w:val="000000"/>
              </w:rPr>
              <w:t xml:space="preserve">Estimated </w:t>
            </w:r>
            <w:r>
              <w:rPr>
                <w:b/>
                <w:bCs/>
                <w:color w:val="000000"/>
              </w:rPr>
              <w:t>financial implications for additional BSC due to longer estimated survival</w:t>
            </w:r>
          </w:p>
        </w:tc>
      </w:tr>
      <w:tr w:rsidR="00E93ED5" w:rsidRPr="00A57182" w:rsidTr="00EF2BF9">
        <w:tc>
          <w:tcPr>
            <w:tcW w:w="1662" w:type="pct"/>
            <w:shd w:val="clear" w:color="auto" w:fill="auto"/>
            <w:vAlign w:val="center"/>
          </w:tcPr>
          <w:p w:rsidR="00083F05" w:rsidRPr="00A57182" w:rsidRDefault="00083F05" w:rsidP="00EF2BF9">
            <w:pPr>
              <w:pStyle w:val="Tabletext"/>
              <w:keepNext/>
              <w:keepLines/>
              <w:rPr>
                <w:bCs/>
                <w:sz w:val="19"/>
                <w:szCs w:val="19"/>
              </w:rPr>
            </w:pPr>
            <w:r w:rsidRPr="00A57182">
              <w:rPr>
                <w:bCs/>
              </w:rPr>
              <w:t>Cost to PBS</w:t>
            </w:r>
          </w:p>
        </w:tc>
        <w:tc>
          <w:tcPr>
            <w:tcW w:w="475" w:type="pct"/>
            <w:shd w:val="clear" w:color="auto" w:fill="auto"/>
            <w:vAlign w:val="center"/>
          </w:tcPr>
          <w:p w:rsidR="00083F05" w:rsidRPr="00E45AE8" w:rsidRDefault="00E45AE8" w:rsidP="00EF2BF9">
            <w:pPr>
              <w:pStyle w:val="Tabletext"/>
              <w:keepNext/>
              <w:keepLines/>
              <w:jc w:val="center"/>
              <w:rPr>
                <w:bCs/>
                <w:color w:val="000000"/>
              </w:rPr>
            </w:pPr>
            <w:r>
              <w:rPr>
                <w:bCs/>
                <w:noProof/>
                <w:color w:val="000000"/>
                <w:highlight w:val="black"/>
              </w:rPr>
              <w:t>''''''''''''''''''''</w:t>
            </w:r>
            <w:r w:rsidR="007E6F6F">
              <w:rPr>
                <w:vertAlign w:val="superscript"/>
              </w:rPr>
              <w:t>5</w:t>
            </w:r>
          </w:p>
        </w:tc>
        <w:tc>
          <w:tcPr>
            <w:tcW w:w="601" w:type="pct"/>
            <w:shd w:val="clear" w:color="auto" w:fill="auto"/>
            <w:vAlign w:val="center"/>
          </w:tcPr>
          <w:p w:rsidR="00083F05" w:rsidRPr="00E45AE8" w:rsidRDefault="00E45AE8" w:rsidP="00EF2BF9">
            <w:pPr>
              <w:pStyle w:val="Tabletext"/>
              <w:keepNext/>
              <w:keepLines/>
              <w:jc w:val="center"/>
              <w:rPr>
                <w:bCs/>
                <w:color w:val="000000"/>
              </w:rPr>
            </w:pPr>
            <w:r>
              <w:rPr>
                <w:bCs/>
                <w:noProof/>
                <w:color w:val="000000"/>
                <w:highlight w:val="black"/>
              </w:rPr>
              <w:t>'''''''''''''''''''''''</w:t>
            </w:r>
            <w:r w:rsidR="007E6F6F">
              <w:rPr>
                <w:vertAlign w:val="superscript"/>
              </w:rPr>
              <w:t>5</w:t>
            </w:r>
          </w:p>
        </w:tc>
        <w:tc>
          <w:tcPr>
            <w:tcW w:w="542" w:type="pct"/>
            <w:shd w:val="clear" w:color="auto" w:fill="auto"/>
            <w:vAlign w:val="center"/>
          </w:tcPr>
          <w:p w:rsidR="00083F05" w:rsidRPr="00E45AE8" w:rsidRDefault="00E45AE8" w:rsidP="00EF2BF9">
            <w:pPr>
              <w:pStyle w:val="Tabletext"/>
              <w:keepNext/>
              <w:keepLines/>
              <w:jc w:val="center"/>
              <w:rPr>
                <w:bCs/>
                <w:color w:val="000000"/>
              </w:rPr>
            </w:pPr>
            <w:r>
              <w:rPr>
                <w:bCs/>
                <w:noProof/>
                <w:color w:val="000000"/>
                <w:highlight w:val="black"/>
              </w:rPr>
              <w:t>'''''''''''''''''''''''</w:t>
            </w:r>
            <w:r w:rsidR="007E6F6F">
              <w:rPr>
                <w:vertAlign w:val="superscript"/>
              </w:rPr>
              <w:t>5</w:t>
            </w:r>
          </w:p>
        </w:tc>
        <w:tc>
          <w:tcPr>
            <w:tcW w:w="623" w:type="pct"/>
            <w:shd w:val="clear" w:color="auto" w:fill="auto"/>
            <w:vAlign w:val="center"/>
          </w:tcPr>
          <w:p w:rsidR="00083F05" w:rsidRPr="00E45AE8" w:rsidRDefault="00E45AE8" w:rsidP="00EF2BF9">
            <w:pPr>
              <w:pStyle w:val="Tabletext"/>
              <w:keepNext/>
              <w:keepLines/>
              <w:jc w:val="center"/>
              <w:rPr>
                <w:bCs/>
                <w:color w:val="000000"/>
              </w:rPr>
            </w:pPr>
            <w:r>
              <w:rPr>
                <w:bCs/>
                <w:noProof/>
                <w:color w:val="000000"/>
                <w:highlight w:val="black"/>
              </w:rPr>
              <w:t>''''''''''''''''''''''</w:t>
            </w:r>
            <w:r w:rsidR="007E6F6F">
              <w:rPr>
                <w:vertAlign w:val="superscript"/>
              </w:rPr>
              <w:t>5</w:t>
            </w:r>
          </w:p>
        </w:tc>
        <w:tc>
          <w:tcPr>
            <w:tcW w:w="543" w:type="pct"/>
            <w:shd w:val="clear" w:color="auto" w:fill="auto"/>
            <w:vAlign w:val="center"/>
          </w:tcPr>
          <w:p w:rsidR="00083F05" w:rsidRPr="00E45AE8" w:rsidRDefault="00E45AE8" w:rsidP="00EF2BF9">
            <w:pPr>
              <w:pStyle w:val="Tabletext"/>
              <w:keepNext/>
              <w:keepLines/>
              <w:jc w:val="center"/>
              <w:rPr>
                <w:bCs/>
                <w:color w:val="000000"/>
              </w:rPr>
            </w:pPr>
            <w:r>
              <w:rPr>
                <w:bCs/>
                <w:noProof/>
                <w:color w:val="000000"/>
                <w:highlight w:val="black"/>
              </w:rPr>
              <w:t>'''''''''''''''''''''''</w:t>
            </w:r>
            <w:r w:rsidR="007E6F6F">
              <w:rPr>
                <w:vertAlign w:val="superscript"/>
              </w:rPr>
              <w:t>5</w:t>
            </w:r>
          </w:p>
        </w:tc>
        <w:tc>
          <w:tcPr>
            <w:tcW w:w="553" w:type="pct"/>
            <w:vAlign w:val="center"/>
          </w:tcPr>
          <w:p w:rsidR="00083F05" w:rsidRPr="00E45AE8" w:rsidRDefault="00E45AE8" w:rsidP="00EF2BF9">
            <w:pPr>
              <w:pStyle w:val="Tabletext"/>
              <w:keepNext/>
              <w:keepLines/>
              <w:jc w:val="center"/>
              <w:rPr>
                <w:bCs/>
                <w:color w:val="000000"/>
              </w:rPr>
            </w:pPr>
            <w:r>
              <w:rPr>
                <w:bCs/>
                <w:noProof/>
                <w:color w:val="000000"/>
                <w:highlight w:val="black"/>
              </w:rPr>
              <w:t>''''''''''''''''''''''</w:t>
            </w:r>
            <w:r w:rsidR="007E6F6F">
              <w:rPr>
                <w:vertAlign w:val="superscript"/>
              </w:rPr>
              <w:t>5</w:t>
            </w:r>
          </w:p>
        </w:tc>
      </w:tr>
      <w:tr w:rsidR="00083F05" w:rsidRPr="00FC22AB" w:rsidTr="00EF2BF9">
        <w:tc>
          <w:tcPr>
            <w:tcW w:w="5000" w:type="pct"/>
            <w:gridSpan w:val="7"/>
            <w:shd w:val="clear" w:color="auto" w:fill="auto"/>
            <w:vAlign w:val="center"/>
          </w:tcPr>
          <w:p w:rsidR="00083F05" w:rsidRPr="00FC22AB" w:rsidRDefault="00083F05" w:rsidP="00EF2BF9">
            <w:pPr>
              <w:pStyle w:val="Tabletext"/>
              <w:keepNext/>
              <w:keepLines/>
              <w:rPr>
                <w:b/>
                <w:bCs/>
                <w:color w:val="000000"/>
              </w:rPr>
            </w:pPr>
            <w:r w:rsidRPr="00FC22AB">
              <w:rPr>
                <w:b/>
                <w:bCs/>
                <w:color w:val="000000"/>
              </w:rPr>
              <w:t>Net financial implications</w:t>
            </w:r>
          </w:p>
        </w:tc>
      </w:tr>
      <w:tr w:rsidR="00E93ED5" w:rsidRPr="003639A6" w:rsidTr="00EF2BF9">
        <w:tc>
          <w:tcPr>
            <w:tcW w:w="1662" w:type="pct"/>
            <w:shd w:val="clear" w:color="auto" w:fill="auto"/>
            <w:vAlign w:val="center"/>
          </w:tcPr>
          <w:p w:rsidR="00083F05" w:rsidRDefault="00083F05" w:rsidP="00EF2BF9">
            <w:pPr>
              <w:pStyle w:val="Tabletext"/>
              <w:keepNext/>
              <w:keepLines/>
              <w:rPr>
                <w:sz w:val="19"/>
                <w:szCs w:val="19"/>
              </w:rPr>
            </w:pPr>
            <w:r>
              <w:rPr>
                <w:sz w:val="19"/>
                <w:szCs w:val="19"/>
              </w:rPr>
              <w:t>Net cost to PBS</w:t>
            </w:r>
            <w:r w:rsidR="00E93ED5">
              <w:rPr>
                <w:sz w:val="19"/>
                <w:szCs w:val="19"/>
              </w:rPr>
              <w:t xml:space="preserve"> </w:t>
            </w:r>
            <w:r>
              <w:rPr>
                <w:sz w:val="19"/>
                <w:szCs w:val="19"/>
              </w:rPr>
              <w:t xml:space="preserve">(published price) </w:t>
            </w:r>
          </w:p>
        </w:tc>
        <w:tc>
          <w:tcPr>
            <w:tcW w:w="475" w:type="pct"/>
            <w:shd w:val="clear" w:color="auto" w:fill="auto"/>
            <w:vAlign w:val="center"/>
          </w:tcPr>
          <w:p w:rsidR="00083F05" w:rsidRPr="00E45AE8" w:rsidRDefault="00E45AE8" w:rsidP="00EF2BF9">
            <w:pPr>
              <w:pStyle w:val="Tabletext"/>
              <w:keepNext/>
              <w:keepLines/>
              <w:jc w:val="center"/>
              <w:rPr>
                <w:bCs/>
                <w:color w:val="000000"/>
              </w:rPr>
            </w:pPr>
            <w:r>
              <w:rPr>
                <w:noProof/>
                <w:color w:val="000000"/>
                <w:highlight w:val="black"/>
              </w:rPr>
              <w:t>'''''''''''''''''''''''''''''''</w:t>
            </w:r>
            <w:r w:rsidR="007E6F6F">
              <w:rPr>
                <w:vertAlign w:val="superscript"/>
              </w:rPr>
              <w:t>3</w:t>
            </w:r>
          </w:p>
        </w:tc>
        <w:tc>
          <w:tcPr>
            <w:tcW w:w="601" w:type="pct"/>
            <w:shd w:val="clear" w:color="auto" w:fill="auto"/>
            <w:vAlign w:val="center"/>
          </w:tcPr>
          <w:p w:rsidR="00083F05" w:rsidRPr="00E45AE8" w:rsidRDefault="00E45AE8" w:rsidP="00EF2BF9">
            <w:pPr>
              <w:pStyle w:val="Tabletext"/>
              <w:keepNext/>
              <w:keepLines/>
              <w:jc w:val="center"/>
              <w:rPr>
                <w:bCs/>
                <w:color w:val="000000"/>
              </w:rPr>
            </w:pPr>
            <w:r>
              <w:rPr>
                <w:noProof/>
                <w:color w:val="000000"/>
                <w:highlight w:val="black"/>
              </w:rPr>
              <w:t>'''''''''''''''''''''''''''''</w:t>
            </w:r>
            <w:r w:rsidR="007E6F6F">
              <w:rPr>
                <w:vertAlign w:val="superscript"/>
              </w:rPr>
              <w:t>4</w:t>
            </w:r>
          </w:p>
        </w:tc>
        <w:tc>
          <w:tcPr>
            <w:tcW w:w="542" w:type="pct"/>
            <w:shd w:val="clear" w:color="auto" w:fill="auto"/>
            <w:vAlign w:val="center"/>
          </w:tcPr>
          <w:p w:rsidR="00083F05" w:rsidRPr="00E45AE8" w:rsidRDefault="00E45AE8" w:rsidP="00EF2BF9">
            <w:pPr>
              <w:pStyle w:val="Tabletext"/>
              <w:keepNext/>
              <w:keepLines/>
              <w:jc w:val="center"/>
              <w:rPr>
                <w:bCs/>
                <w:color w:val="000000"/>
              </w:rPr>
            </w:pPr>
            <w:r>
              <w:rPr>
                <w:noProof/>
                <w:color w:val="000000"/>
                <w:highlight w:val="black"/>
              </w:rPr>
              <w:t>''''''''''''''''''''''''''''''''</w:t>
            </w:r>
            <w:r w:rsidR="007E6F6F">
              <w:rPr>
                <w:vertAlign w:val="superscript"/>
              </w:rPr>
              <w:t>4</w:t>
            </w:r>
          </w:p>
        </w:tc>
        <w:tc>
          <w:tcPr>
            <w:tcW w:w="623" w:type="pct"/>
            <w:shd w:val="clear" w:color="auto" w:fill="auto"/>
            <w:vAlign w:val="center"/>
          </w:tcPr>
          <w:p w:rsidR="00083F05" w:rsidRPr="00E45AE8" w:rsidRDefault="00E45AE8" w:rsidP="00EF2BF9">
            <w:pPr>
              <w:pStyle w:val="Tabletext"/>
              <w:keepNext/>
              <w:keepLines/>
              <w:jc w:val="center"/>
              <w:rPr>
                <w:bCs/>
                <w:color w:val="000000"/>
              </w:rPr>
            </w:pPr>
            <w:r>
              <w:rPr>
                <w:noProof/>
                <w:color w:val="000000"/>
                <w:highlight w:val="black"/>
              </w:rPr>
              <w:t>''''''''''''''''''''''''''''''</w:t>
            </w:r>
            <w:r w:rsidR="007E6F6F">
              <w:rPr>
                <w:vertAlign w:val="superscript"/>
              </w:rPr>
              <w:t>4</w:t>
            </w:r>
          </w:p>
        </w:tc>
        <w:tc>
          <w:tcPr>
            <w:tcW w:w="543" w:type="pct"/>
            <w:shd w:val="clear" w:color="auto" w:fill="auto"/>
            <w:vAlign w:val="center"/>
          </w:tcPr>
          <w:p w:rsidR="00083F05" w:rsidRPr="00E45AE8" w:rsidRDefault="00E45AE8" w:rsidP="00EF2BF9">
            <w:pPr>
              <w:pStyle w:val="Tabletext"/>
              <w:keepNext/>
              <w:keepLines/>
              <w:jc w:val="center"/>
              <w:rPr>
                <w:bCs/>
                <w:color w:val="000000"/>
              </w:rPr>
            </w:pPr>
            <w:r>
              <w:rPr>
                <w:noProof/>
                <w:color w:val="000000"/>
                <w:highlight w:val="black"/>
              </w:rPr>
              <w:t>'''''''''''''''''''''''''''''</w:t>
            </w:r>
            <w:r w:rsidR="007E6F6F">
              <w:rPr>
                <w:vertAlign w:val="superscript"/>
              </w:rPr>
              <w:t>4</w:t>
            </w:r>
          </w:p>
        </w:tc>
        <w:tc>
          <w:tcPr>
            <w:tcW w:w="553" w:type="pct"/>
            <w:vAlign w:val="center"/>
          </w:tcPr>
          <w:p w:rsidR="00083F05" w:rsidRPr="00E45AE8" w:rsidRDefault="00E45AE8" w:rsidP="00EF2BF9">
            <w:pPr>
              <w:pStyle w:val="Tabletext"/>
              <w:keepNext/>
              <w:keepLines/>
              <w:jc w:val="center"/>
              <w:rPr>
                <w:bCs/>
                <w:color w:val="000000"/>
              </w:rPr>
            </w:pPr>
            <w:r>
              <w:rPr>
                <w:noProof/>
                <w:color w:val="000000"/>
                <w:highlight w:val="black"/>
              </w:rPr>
              <w:t>'''''''''''''''''''''''''''''''</w:t>
            </w:r>
            <w:r w:rsidR="007E6F6F">
              <w:rPr>
                <w:vertAlign w:val="superscript"/>
              </w:rPr>
              <w:t>4</w:t>
            </w:r>
          </w:p>
        </w:tc>
      </w:tr>
      <w:tr w:rsidR="00E93ED5" w:rsidRPr="003639A6" w:rsidTr="00EF2BF9">
        <w:tc>
          <w:tcPr>
            <w:tcW w:w="1662" w:type="pct"/>
            <w:shd w:val="clear" w:color="auto" w:fill="auto"/>
            <w:vAlign w:val="center"/>
          </w:tcPr>
          <w:p w:rsidR="00083F05" w:rsidRPr="003639A6" w:rsidRDefault="00083F05" w:rsidP="00EF2BF9">
            <w:pPr>
              <w:pStyle w:val="Tabletext"/>
              <w:keepNext/>
              <w:keepLines/>
              <w:rPr>
                <w:rFonts w:ascii="Times" w:hAnsi="Times"/>
              </w:rPr>
            </w:pPr>
            <w:r>
              <w:rPr>
                <w:sz w:val="19"/>
                <w:szCs w:val="19"/>
              </w:rPr>
              <w:t>Net cost to PBS</w:t>
            </w:r>
            <w:r w:rsidR="00E93ED5">
              <w:rPr>
                <w:sz w:val="19"/>
                <w:szCs w:val="19"/>
              </w:rPr>
              <w:t xml:space="preserve"> </w:t>
            </w:r>
            <w:r>
              <w:rPr>
                <w:sz w:val="19"/>
                <w:szCs w:val="19"/>
              </w:rPr>
              <w:t xml:space="preserve">(effective price) </w:t>
            </w:r>
          </w:p>
        </w:tc>
        <w:tc>
          <w:tcPr>
            <w:tcW w:w="475" w:type="pct"/>
            <w:shd w:val="clear" w:color="auto" w:fill="auto"/>
            <w:vAlign w:val="center"/>
          </w:tcPr>
          <w:p w:rsidR="00083F05" w:rsidRPr="00E45AE8" w:rsidRDefault="00E45AE8" w:rsidP="00EF2BF9">
            <w:pPr>
              <w:pStyle w:val="Tabletext"/>
              <w:keepNext/>
              <w:keepLines/>
              <w:jc w:val="center"/>
              <w:rPr>
                <w:bCs/>
                <w:color w:val="000000"/>
              </w:rPr>
            </w:pPr>
            <w:r>
              <w:rPr>
                <w:noProof/>
                <w:color w:val="000000"/>
                <w:highlight w:val="black"/>
              </w:rPr>
              <w:t>'''''''''''''''''''''''''''''</w:t>
            </w:r>
            <w:r w:rsidR="007E6F6F">
              <w:rPr>
                <w:vertAlign w:val="superscript"/>
              </w:rPr>
              <w:t>3</w:t>
            </w:r>
          </w:p>
        </w:tc>
        <w:tc>
          <w:tcPr>
            <w:tcW w:w="601" w:type="pct"/>
            <w:shd w:val="clear" w:color="auto" w:fill="auto"/>
            <w:vAlign w:val="center"/>
          </w:tcPr>
          <w:p w:rsidR="00083F05" w:rsidRPr="00E45AE8" w:rsidRDefault="00E45AE8" w:rsidP="00EF2BF9">
            <w:pPr>
              <w:pStyle w:val="Tabletext"/>
              <w:keepNext/>
              <w:keepLines/>
              <w:jc w:val="center"/>
              <w:rPr>
                <w:bCs/>
                <w:color w:val="000000"/>
              </w:rPr>
            </w:pPr>
            <w:r>
              <w:rPr>
                <w:noProof/>
                <w:color w:val="000000"/>
                <w:highlight w:val="black"/>
              </w:rPr>
              <w:t>''''''''''''''''''''''''''''''''</w:t>
            </w:r>
            <w:r w:rsidR="007E6F6F">
              <w:rPr>
                <w:vertAlign w:val="superscript"/>
              </w:rPr>
              <w:t>3</w:t>
            </w:r>
          </w:p>
        </w:tc>
        <w:tc>
          <w:tcPr>
            <w:tcW w:w="542" w:type="pct"/>
            <w:shd w:val="clear" w:color="auto" w:fill="auto"/>
            <w:vAlign w:val="center"/>
          </w:tcPr>
          <w:p w:rsidR="00083F05" w:rsidRPr="00E45AE8" w:rsidRDefault="00E45AE8" w:rsidP="00EF2BF9">
            <w:pPr>
              <w:pStyle w:val="Tabletext"/>
              <w:keepNext/>
              <w:keepLines/>
              <w:jc w:val="center"/>
              <w:rPr>
                <w:bCs/>
                <w:color w:val="000000"/>
              </w:rPr>
            </w:pPr>
            <w:r>
              <w:rPr>
                <w:noProof/>
                <w:color w:val="000000"/>
                <w:highlight w:val="black"/>
              </w:rPr>
              <w:t>'''''''''''''''''''''''''''''''</w:t>
            </w:r>
            <w:r w:rsidR="007E6F6F">
              <w:rPr>
                <w:vertAlign w:val="superscript"/>
              </w:rPr>
              <w:t>3</w:t>
            </w:r>
          </w:p>
        </w:tc>
        <w:tc>
          <w:tcPr>
            <w:tcW w:w="623" w:type="pct"/>
            <w:shd w:val="clear" w:color="auto" w:fill="auto"/>
            <w:vAlign w:val="center"/>
          </w:tcPr>
          <w:p w:rsidR="00083F05" w:rsidRPr="00E45AE8" w:rsidRDefault="00E45AE8" w:rsidP="00EF2BF9">
            <w:pPr>
              <w:pStyle w:val="Tabletext"/>
              <w:keepNext/>
              <w:keepLines/>
              <w:jc w:val="center"/>
              <w:rPr>
                <w:bCs/>
                <w:color w:val="000000"/>
              </w:rPr>
            </w:pPr>
            <w:r>
              <w:rPr>
                <w:noProof/>
                <w:color w:val="000000"/>
                <w:highlight w:val="black"/>
              </w:rPr>
              <w:t>'''''''''''''''''''''''''''''</w:t>
            </w:r>
            <w:r w:rsidR="007E6F6F">
              <w:rPr>
                <w:vertAlign w:val="superscript"/>
              </w:rPr>
              <w:t>3</w:t>
            </w:r>
          </w:p>
        </w:tc>
        <w:tc>
          <w:tcPr>
            <w:tcW w:w="543" w:type="pct"/>
            <w:shd w:val="clear" w:color="auto" w:fill="auto"/>
            <w:vAlign w:val="center"/>
          </w:tcPr>
          <w:p w:rsidR="00083F05" w:rsidRPr="00E45AE8" w:rsidRDefault="00E45AE8" w:rsidP="00EF2BF9">
            <w:pPr>
              <w:pStyle w:val="Tabletext"/>
              <w:keepNext/>
              <w:keepLines/>
              <w:jc w:val="center"/>
              <w:rPr>
                <w:bCs/>
                <w:color w:val="000000"/>
              </w:rPr>
            </w:pPr>
            <w:r>
              <w:rPr>
                <w:noProof/>
                <w:color w:val="000000"/>
                <w:highlight w:val="black"/>
              </w:rPr>
              <w:t>'''''''''''''''''''''''''''''''</w:t>
            </w:r>
            <w:r w:rsidR="007E6F6F">
              <w:rPr>
                <w:vertAlign w:val="superscript"/>
              </w:rPr>
              <w:t>3</w:t>
            </w:r>
          </w:p>
        </w:tc>
        <w:tc>
          <w:tcPr>
            <w:tcW w:w="553" w:type="pct"/>
            <w:vAlign w:val="center"/>
          </w:tcPr>
          <w:p w:rsidR="00083F05" w:rsidRPr="00E45AE8" w:rsidRDefault="00E45AE8" w:rsidP="00EF2BF9">
            <w:pPr>
              <w:pStyle w:val="Tabletext"/>
              <w:keepNext/>
              <w:keepLines/>
              <w:jc w:val="center"/>
              <w:rPr>
                <w:bCs/>
                <w:color w:val="000000"/>
              </w:rPr>
            </w:pPr>
            <w:r>
              <w:rPr>
                <w:noProof/>
                <w:color w:val="000000"/>
                <w:highlight w:val="black"/>
              </w:rPr>
              <w:t>'''''''''''''''''''''''''''</w:t>
            </w:r>
            <w:r w:rsidR="007E6F6F">
              <w:rPr>
                <w:vertAlign w:val="superscript"/>
              </w:rPr>
              <w:t>3</w:t>
            </w:r>
          </w:p>
        </w:tc>
      </w:tr>
      <w:tr w:rsidR="00E93ED5" w:rsidRPr="00E436BE" w:rsidTr="00EF2BF9">
        <w:tc>
          <w:tcPr>
            <w:tcW w:w="1662" w:type="pct"/>
            <w:shd w:val="clear" w:color="auto" w:fill="auto"/>
            <w:vAlign w:val="center"/>
          </w:tcPr>
          <w:p w:rsidR="00083F05" w:rsidRPr="00E436BE" w:rsidRDefault="00083F05" w:rsidP="00EF2BF9">
            <w:pPr>
              <w:pStyle w:val="Tabletext"/>
              <w:keepNext/>
              <w:keepLines/>
              <w:rPr>
                <w:sz w:val="19"/>
                <w:szCs w:val="19"/>
              </w:rPr>
            </w:pPr>
            <w:r w:rsidRPr="00E436BE">
              <w:rPr>
                <w:iCs/>
              </w:rPr>
              <w:t>Net cost to PBS with adjusted volumes</w:t>
            </w:r>
            <w:r w:rsidR="00E436BE" w:rsidRPr="00E436BE">
              <w:rPr>
                <w:iCs/>
              </w:rPr>
              <w:t>***</w:t>
            </w:r>
          </w:p>
        </w:tc>
        <w:tc>
          <w:tcPr>
            <w:tcW w:w="475" w:type="pct"/>
            <w:shd w:val="clear" w:color="auto" w:fill="auto"/>
            <w:vAlign w:val="center"/>
          </w:tcPr>
          <w:p w:rsidR="00083F05" w:rsidRPr="00E45AE8" w:rsidRDefault="00E45AE8" w:rsidP="00EF2BF9">
            <w:pPr>
              <w:pStyle w:val="Tabletext"/>
              <w:keepNext/>
              <w:keepLines/>
              <w:jc w:val="center"/>
            </w:pPr>
            <w:r>
              <w:rPr>
                <w:iCs/>
                <w:noProof/>
                <w:color w:val="000000"/>
                <w:highlight w:val="black"/>
              </w:rPr>
              <w:t>''''''''''''''''''''''''''''''</w:t>
            </w:r>
            <w:r w:rsidR="007E6F6F">
              <w:rPr>
                <w:vertAlign w:val="superscript"/>
              </w:rPr>
              <w:t>3</w:t>
            </w:r>
          </w:p>
        </w:tc>
        <w:tc>
          <w:tcPr>
            <w:tcW w:w="601" w:type="pct"/>
            <w:shd w:val="clear" w:color="auto" w:fill="auto"/>
            <w:vAlign w:val="center"/>
          </w:tcPr>
          <w:p w:rsidR="00083F05" w:rsidRPr="00E45AE8" w:rsidRDefault="00E45AE8" w:rsidP="00EF2BF9">
            <w:pPr>
              <w:pStyle w:val="Tabletext"/>
              <w:keepNext/>
              <w:keepLines/>
              <w:jc w:val="center"/>
            </w:pPr>
            <w:r>
              <w:rPr>
                <w:iCs/>
                <w:noProof/>
                <w:color w:val="000000"/>
                <w:highlight w:val="black"/>
              </w:rPr>
              <w:t>''''''''''''''''''''''''''''</w:t>
            </w:r>
            <w:r w:rsidR="007E6F6F">
              <w:rPr>
                <w:vertAlign w:val="superscript"/>
              </w:rPr>
              <w:t>3</w:t>
            </w:r>
          </w:p>
        </w:tc>
        <w:tc>
          <w:tcPr>
            <w:tcW w:w="542" w:type="pct"/>
            <w:shd w:val="clear" w:color="auto" w:fill="auto"/>
            <w:vAlign w:val="center"/>
          </w:tcPr>
          <w:p w:rsidR="00083F05" w:rsidRPr="00E45AE8" w:rsidRDefault="00E45AE8" w:rsidP="00EF2BF9">
            <w:pPr>
              <w:pStyle w:val="Tabletext"/>
              <w:keepNext/>
              <w:keepLines/>
              <w:jc w:val="center"/>
            </w:pPr>
            <w:r>
              <w:rPr>
                <w:iCs/>
                <w:noProof/>
                <w:color w:val="000000"/>
                <w:highlight w:val="black"/>
              </w:rPr>
              <w:t>'''''''''''''''''''''''''''''''</w:t>
            </w:r>
            <w:r w:rsidR="007E6F6F">
              <w:rPr>
                <w:vertAlign w:val="superscript"/>
              </w:rPr>
              <w:t>3</w:t>
            </w:r>
          </w:p>
        </w:tc>
        <w:tc>
          <w:tcPr>
            <w:tcW w:w="623" w:type="pct"/>
            <w:shd w:val="clear" w:color="auto" w:fill="auto"/>
            <w:vAlign w:val="center"/>
          </w:tcPr>
          <w:p w:rsidR="00083F05" w:rsidRPr="00E45AE8" w:rsidRDefault="00E45AE8" w:rsidP="00EF2BF9">
            <w:pPr>
              <w:pStyle w:val="Tabletext"/>
              <w:keepNext/>
              <w:keepLines/>
              <w:jc w:val="center"/>
            </w:pPr>
            <w:r>
              <w:rPr>
                <w:iCs/>
                <w:noProof/>
                <w:color w:val="000000"/>
                <w:highlight w:val="black"/>
              </w:rPr>
              <w:t>'''''''''''''''''''''''''''''</w:t>
            </w:r>
            <w:r w:rsidR="007E6F6F">
              <w:rPr>
                <w:vertAlign w:val="superscript"/>
              </w:rPr>
              <w:t>3</w:t>
            </w:r>
          </w:p>
        </w:tc>
        <w:tc>
          <w:tcPr>
            <w:tcW w:w="543" w:type="pct"/>
            <w:shd w:val="clear" w:color="auto" w:fill="auto"/>
            <w:vAlign w:val="center"/>
          </w:tcPr>
          <w:p w:rsidR="00083F05" w:rsidRPr="00E45AE8" w:rsidRDefault="00E45AE8" w:rsidP="00EF2BF9">
            <w:pPr>
              <w:pStyle w:val="Tabletext"/>
              <w:keepNext/>
              <w:keepLines/>
              <w:jc w:val="center"/>
            </w:pPr>
            <w:r>
              <w:rPr>
                <w:iCs/>
                <w:noProof/>
                <w:color w:val="000000"/>
                <w:highlight w:val="black"/>
              </w:rPr>
              <w:t>''''''''''''''''''''''''''''</w:t>
            </w:r>
            <w:r w:rsidR="007E6F6F">
              <w:rPr>
                <w:vertAlign w:val="superscript"/>
              </w:rPr>
              <w:t>3</w:t>
            </w:r>
          </w:p>
        </w:tc>
        <w:tc>
          <w:tcPr>
            <w:tcW w:w="553" w:type="pct"/>
            <w:vAlign w:val="center"/>
          </w:tcPr>
          <w:p w:rsidR="00083F05" w:rsidRPr="00E45AE8" w:rsidRDefault="00E45AE8" w:rsidP="00EF2BF9">
            <w:pPr>
              <w:pStyle w:val="Tabletext"/>
              <w:keepNext/>
              <w:keepLines/>
              <w:jc w:val="center"/>
            </w:pPr>
            <w:r>
              <w:rPr>
                <w:iCs/>
                <w:noProof/>
                <w:color w:val="000000"/>
                <w:highlight w:val="black"/>
              </w:rPr>
              <w:t>'''''''''''''''''''''''''''''</w:t>
            </w:r>
            <w:r w:rsidR="007E6F6F">
              <w:rPr>
                <w:vertAlign w:val="superscript"/>
              </w:rPr>
              <w:t>3</w:t>
            </w:r>
          </w:p>
        </w:tc>
      </w:tr>
      <w:tr w:rsidR="00E93ED5" w:rsidRPr="003639A6" w:rsidTr="00EF2BF9">
        <w:tc>
          <w:tcPr>
            <w:tcW w:w="1662" w:type="pct"/>
            <w:shd w:val="clear" w:color="auto" w:fill="auto"/>
            <w:vAlign w:val="center"/>
          </w:tcPr>
          <w:p w:rsidR="00083F05" w:rsidRPr="003639A6" w:rsidRDefault="00083F05" w:rsidP="00EF2BF9">
            <w:pPr>
              <w:pStyle w:val="Tabletext"/>
              <w:keepNext/>
              <w:keepLines/>
              <w:rPr>
                <w:sz w:val="19"/>
                <w:szCs w:val="19"/>
              </w:rPr>
            </w:pPr>
            <w:r>
              <w:rPr>
                <w:sz w:val="19"/>
                <w:szCs w:val="19"/>
              </w:rPr>
              <w:t>Net cost to MBS</w:t>
            </w:r>
          </w:p>
        </w:tc>
        <w:tc>
          <w:tcPr>
            <w:tcW w:w="475" w:type="pct"/>
            <w:shd w:val="clear" w:color="auto" w:fill="auto"/>
            <w:vAlign w:val="center"/>
          </w:tcPr>
          <w:p w:rsidR="00083F05" w:rsidRPr="00E45AE8" w:rsidRDefault="00E45AE8" w:rsidP="00EF2BF9">
            <w:pPr>
              <w:pStyle w:val="Tabletext"/>
              <w:keepNext/>
              <w:keepLines/>
              <w:jc w:val="center"/>
              <w:rPr>
                <w:bCs/>
                <w:color w:val="000000"/>
              </w:rPr>
            </w:pPr>
            <w:r>
              <w:rPr>
                <w:noProof/>
                <w:color w:val="000000"/>
                <w:szCs w:val="20"/>
                <w:highlight w:val="black"/>
              </w:rPr>
              <w:t>'''''''''''''''''''</w:t>
            </w:r>
            <w:r w:rsidR="007E6F6F">
              <w:rPr>
                <w:vertAlign w:val="superscript"/>
              </w:rPr>
              <w:t>5</w:t>
            </w:r>
          </w:p>
        </w:tc>
        <w:tc>
          <w:tcPr>
            <w:tcW w:w="601" w:type="pct"/>
            <w:shd w:val="clear" w:color="auto" w:fill="auto"/>
            <w:vAlign w:val="center"/>
          </w:tcPr>
          <w:p w:rsidR="00083F05" w:rsidRPr="00E45AE8" w:rsidRDefault="00E45AE8" w:rsidP="00EF2BF9">
            <w:pPr>
              <w:pStyle w:val="Tabletext"/>
              <w:keepNext/>
              <w:keepLines/>
              <w:jc w:val="center"/>
              <w:rPr>
                <w:bCs/>
                <w:color w:val="000000"/>
              </w:rPr>
            </w:pPr>
            <w:r>
              <w:rPr>
                <w:noProof/>
                <w:color w:val="000000"/>
                <w:szCs w:val="20"/>
                <w:highlight w:val="black"/>
              </w:rPr>
              <w:t>''''''''''''''''''''</w:t>
            </w:r>
            <w:r w:rsidR="007E6F6F">
              <w:rPr>
                <w:vertAlign w:val="superscript"/>
              </w:rPr>
              <w:t>5</w:t>
            </w:r>
          </w:p>
        </w:tc>
        <w:tc>
          <w:tcPr>
            <w:tcW w:w="542" w:type="pct"/>
            <w:shd w:val="clear" w:color="auto" w:fill="auto"/>
            <w:vAlign w:val="center"/>
          </w:tcPr>
          <w:p w:rsidR="00083F05" w:rsidRPr="00E45AE8" w:rsidRDefault="00E45AE8" w:rsidP="00EF2BF9">
            <w:pPr>
              <w:pStyle w:val="Tabletext"/>
              <w:keepNext/>
              <w:keepLines/>
              <w:jc w:val="center"/>
              <w:rPr>
                <w:bCs/>
                <w:color w:val="000000"/>
              </w:rPr>
            </w:pPr>
            <w:r>
              <w:rPr>
                <w:noProof/>
                <w:color w:val="000000"/>
                <w:szCs w:val="20"/>
                <w:highlight w:val="black"/>
              </w:rPr>
              <w:t>'''''''''''''''''''</w:t>
            </w:r>
            <w:r w:rsidR="007E6F6F">
              <w:rPr>
                <w:vertAlign w:val="superscript"/>
              </w:rPr>
              <w:t>5</w:t>
            </w:r>
          </w:p>
        </w:tc>
        <w:tc>
          <w:tcPr>
            <w:tcW w:w="623" w:type="pct"/>
            <w:shd w:val="clear" w:color="auto" w:fill="auto"/>
            <w:vAlign w:val="center"/>
          </w:tcPr>
          <w:p w:rsidR="00083F05" w:rsidRPr="00E45AE8" w:rsidRDefault="00E45AE8" w:rsidP="00EF2BF9">
            <w:pPr>
              <w:pStyle w:val="Tabletext"/>
              <w:keepNext/>
              <w:keepLines/>
              <w:jc w:val="center"/>
              <w:rPr>
                <w:bCs/>
                <w:color w:val="000000"/>
              </w:rPr>
            </w:pPr>
            <w:r>
              <w:rPr>
                <w:noProof/>
                <w:color w:val="000000"/>
                <w:szCs w:val="20"/>
                <w:highlight w:val="black"/>
              </w:rPr>
              <w:t>'''''''''''''''''''''</w:t>
            </w:r>
            <w:r w:rsidR="007E6F6F">
              <w:rPr>
                <w:vertAlign w:val="superscript"/>
              </w:rPr>
              <w:t>5</w:t>
            </w:r>
          </w:p>
        </w:tc>
        <w:tc>
          <w:tcPr>
            <w:tcW w:w="543" w:type="pct"/>
            <w:shd w:val="clear" w:color="auto" w:fill="auto"/>
            <w:vAlign w:val="center"/>
          </w:tcPr>
          <w:p w:rsidR="00083F05" w:rsidRPr="00E45AE8" w:rsidRDefault="00E45AE8" w:rsidP="00EF2BF9">
            <w:pPr>
              <w:pStyle w:val="Tabletext"/>
              <w:keepNext/>
              <w:keepLines/>
              <w:jc w:val="center"/>
              <w:rPr>
                <w:bCs/>
                <w:color w:val="000000"/>
              </w:rPr>
            </w:pPr>
            <w:r>
              <w:rPr>
                <w:noProof/>
                <w:color w:val="000000"/>
                <w:szCs w:val="20"/>
                <w:highlight w:val="black"/>
              </w:rPr>
              <w:t>'''''''''''''''''''</w:t>
            </w:r>
            <w:r w:rsidR="007E6F6F">
              <w:rPr>
                <w:vertAlign w:val="superscript"/>
              </w:rPr>
              <w:t>5</w:t>
            </w:r>
          </w:p>
        </w:tc>
        <w:tc>
          <w:tcPr>
            <w:tcW w:w="553" w:type="pct"/>
            <w:vAlign w:val="center"/>
          </w:tcPr>
          <w:p w:rsidR="00083F05" w:rsidRPr="00E45AE8" w:rsidRDefault="00E45AE8" w:rsidP="00EF2BF9">
            <w:pPr>
              <w:pStyle w:val="Tabletext"/>
              <w:keepNext/>
              <w:keepLines/>
              <w:jc w:val="center"/>
              <w:rPr>
                <w:bCs/>
                <w:color w:val="000000"/>
              </w:rPr>
            </w:pPr>
            <w:r>
              <w:rPr>
                <w:noProof/>
                <w:color w:val="000000"/>
                <w:szCs w:val="20"/>
                <w:highlight w:val="black"/>
              </w:rPr>
              <w:t>''''''''''''''''''</w:t>
            </w:r>
            <w:r w:rsidR="007E6F6F">
              <w:rPr>
                <w:vertAlign w:val="superscript"/>
              </w:rPr>
              <w:t>5</w:t>
            </w:r>
          </w:p>
        </w:tc>
      </w:tr>
      <w:tr w:rsidR="00E93ED5" w:rsidRPr="003639A6" w:rsidTr="00EF2BF9">
        <w:tc>
          <w:tcPr>
            <w:tcW w:w="1662" w:type="pct"/>
            <w:shd w:val="clear" w:color="auto" w:fill="auto"/>
            <w:vAlign w:val="center"/>
          </w:tcPr>
          <w:p w:rsidR="00083F05" w:rsidRDefault="00083F05" w:rsidP="00EF2BF9">
            <w:pPr>
              <w:pStyle w:val="Tabletext"/>
              <w:keepNext/>
              <w:keepLines/>
              <w:rPr>
                <w:sz w:val="19"/>
                <w:szCs w:val="19"/>
              </w:rPr>
            </w:pPr>
            <w:r>
              <w:rPr>
                <w:szCs w:val="20"/>
              </w:rPr>
              <w:t>Corrected MBS costs***</w:t>
            </w:r>
            <w:r w:rsidR="00E436BE">
              <w:rPr>
                <w:szCs w:val="20"/>
              </w:rPr>
              <w:t>*</w:t>
            </w:r>
          </w:p>
        </w:tc>
        <w:tc>
          <w:tcPr>
            <w:tcW w:w="475" w:type="pct"/>
            <w:shd w:val="clear" w:color="auto" w:fill="auto"/>
            <w:vAlign w:val="center"/>
          </w:tcPr>
          <w:p w:rsidR="00083F05" w:rsidRPr="00E45AE8" w:rsidRDefault="00E45AE8" w:rsidP="00EF2BF9">
            <w:pPr>
              <w:pStyle w:val="Tabletext"/>
              <w:keepNext/>
              <w:keepLines/>
              <w:jc w:val="center"/>
              <w:rPr>
                <w:szCs w:val="20"/>
              </w:rPr>
            </w:pPr>
            <w:r>
              <w:rPr>
                <w:iCs/>
                <w:noProof/>
                <w:color w:val="000000"/>
                <w:highlight w:val="black"/>
              </w:rPr>
              <w:t>'''''''''''''''''''''''''''</w:t>
            </w:r>
            <w:r w:rsidR="007E6F6F">
              <w:rPr>
                <w:vertAlign w:val="superscript"/>
              </w:rPr>
              <w:t>5</w:t>
            </w:r>
          </w:p>
        </w:tc>
        <w:tc>
          <w:tcPr>
            <w:tcW w:w="601" w:type="pct"/>
            <w:shd w:val="clear" w:color="auto" w:fill="auto"/>
            <w:vAlign w:val="center"/>
          </w:tcPr>
          <w:p w:rsidR="00083F05" w:rsidRPr="00E45AE8" w:rsidRDefault="00E45AE8" w:rsidP="00EF2BF9">
            <w:pPr>
              <w:pStyle w:val="Tabletext"/>
              <w:keepNext/>
              <w:keepLines/>
              <w:jc w:val="center"/>
              <w:rPr>
                <w:szCs w:val="20"/>
              </w:rPr>
            </w:pPr>
            <w:r>
              <w:rPr>
                <w:iCs/>
                <w:noProof/>
                <w:color w:val="000000"/>
                <w:highlight w:val="black"/>
              </w:rPr>
              <w:t>'''''''''''''''''''''''''</w:t>
            </w:r>
            <w:r w:rsidR="007E6F6F">
              <w:rPr>
                <w:vertAlign w:val="superscript"/>
              </w:rPr>
              <w:t>5</w:t>
            </w:r>
          </w:p>
        </w:tc>
        <w:tc>
          <w:tcPr>
            <w:tcW w:w="542" w:type="pct"/>
            <w:shd w:val="clear" w:color="auto" w:fill="auto"/>
            <w:vAlign w:val="center"/>
          </w:tcPr>
          <w:p w:rsidR="00083F05" w:rsidRPr="00E45AE8" w:rsidRDefault="00E45AE8" w:rsidP="00EF2BF9">
            <w:pPr>
              <w:pStyle w:val="Tabletext"/>
              <w:keepNext/>
              <w:keepLines/>
              <w:jc w:val="center"/>
              <w:rPr>
                <w:szCs w:val="20"/>
              </w:rPr>
            </w:pPr>
            <w:r>
              <w:rPr>
                <w:iCs/>
                <w:noProof/>
                <w:color w:val="000000"/>
                <w:highlight w:val="black"/>
              </w:rPr>
              <w:t>'''''''''''''''''''''''''''</w:t>
            </w:r>
            <w:r w:rsidR="007E6F6F">
              <w:rPr>
                <w:vertAlign w:val="superscript"/>
              </w:rPr>
              <w:t>5</w:t>
            </w:r>
          </w:p>
        </w:tc>
        <w:tc>
          <w:tcPr>
            <w:tcW w:w="623" w:type="pct"/>
            <w:shd w:val="clear" w:color="auto" w:fill="auto"/>
            <w:vAlign w:val="center"/>
          </w:tcPr>
          <w:p w:rsidR="00083F05" w:rsidRPr="00E45AE8" w:rsidRDefault="00E45AE8" w:rsidP="00EF2BF9">
            <w:pPr>
              <w:pStyle w:val="Tabletext"/>
              <w:keepNext/>
              <w:keepLines/>
              <w:jc w:val="center"/>
              <w:rPr>
                <w:szCs w:val="20"/>
              </w:rPr>
            </w:pPr>
            <w:r>
              <w:rPr>
                <w:iCs/>
                <w:noProof/>
                <w:color w:val="000000"/>
                <w:highlight w:val="black"/>
              </w:rPr>
              <w:t>''''''''''''''''''''''''''</w:t>
            </w:r>
            <w:r w:rsidR="007E6F6F">
              <w:rPr>
                <w:vertAlign w:val="superscript"/>
              </w:rPr>
              <w:t>5</w:t>
            </w:r>
          </w:p>
        </w:tc>
        <w:tc>
          <w:tcPr>
            <w:tcW w:w="543" w:type="pct"/>
            <w:shd w:val="clear" w:color="auto" w:fill="auto"/>
            <w:vAlign w:val="center"/>
          </w:tcPr>
          <w:p w:rsidR="00083F05" w:rsidRPr="00E45AE8" w:rsidRDefault="00E45AE8" w:rsidP="00EF2BF9">
            <w:pPr>
              <w:pStyle w:val="Tabletext"/>
              <w:keepNext/>
              <w:keepLines/>
              <w:jc w:val="center"/>
              <w:rPr>
                <w:szCs w:val="20"/>
              </w:rPr>
            </w:pPr>
            <w:r>
              <w:rPr>
                <w:iCs/>
                <w:noProof/>
                <w:color w:val="000000"/>
                <w:highlight w:val="black"/>
              </w:rPr>
              <w:t>'''''''''''''''''''''''''</w:t>
            </w:r>
            <w:r w:rsidR="007E6F6F">
              <w:rPr>
                <w:vertAlign w:val="superscript"/>
              </w:rPr>
              <w:t>5</w:t>
            </w:r>
          </w:p>
        </w:tc>
        <w:tc>
          <w:tcPr>
            <w:tcW w:w="553" w:type="pct"/>
            <w:vAlign w:val="center"/>
          </w:tcPr>
          <w:p w:rsidR="00083F05" w:rsidRPr="00E45AE8" w:rsidRDefault="00E45AE8" w:rsidP="00EF2BF9">
            <w:pPr>
              <w:pStyle w:val="Tabletext"/>
              <w:keepNext/>
              <w:keepLines/>
              <w:jc w:val="center"/>
              <w:rPr>
                <w:szCs w:val="20"/>
              </w:rPr>
            </w:pPr>
            <w:r>
              <w:rPr>
                <w:iCs/>
                <w:noProof/>
                <w:color w:val="000000"/>
                <w:highlight w:val="black"/>
              </w:rPr>
              <w:t>'''''''''''''''''''''''''''''</w:t>
            </w:r>
            <w:r w:rsidR="007E6F6F">
              <w:rPr>
                <w:vertAlign w:val="superscript"/>
              </w:rPr>
              <w:t>5</w:t>
            </w:r>
          </w:p>
        </w:tc>
      </w:tr>
      <w:tr w:rsidR="00E93ED5" w:rsidRPr="003639A6" w:rsidTr="00EF2BF9">
        <w:tc>
          <w:tcPr>
            <w:tcW w:w="1662" w:type="pct"/>
            <w:shd w:val="clear" w:color="auto" w:fill="auto"/>
            <w:vAlign w:val="center"/>
          </w:tcPr>
          <w:p w:rsidR="00083F05" w:rsidRPr="00A57182" w:rsidRDefault="00083F05" w:rsidP="00EF2BF9">
            <w:pPr>
              <w:pStyle w:val="Tabletext"/>
              <w:keepNext/>
              <w:keepLines/>
              <w:rPr>
                <w:b/>
                <w:bCs/>
                <w:sz w:val="19"/>
                <w:szCs w:val="19"/>
              </w:rPr>
            </w:pPr>
            <w:r w:rsidRPr="00A57182">
              <w:rPr>
                <w:b/>
                <w:bCs/>
                <w:sz w:val="19"/>
                <w:szCs w:val="19"/>
              </w:rPr>
              <w:t>Total cost to Government (published price)</w:t>
            </w:r>
          </w:p>
        </w:tc>
        <w:tc>
          <w:tcPr>
            <w:tcW w:w="475" w:type="pct"/>
            <w:shd w:val="clear" w:color="auto" w:fill="auto"/>
            <w:vAlign w:val="center"/>
          </w:tcPr>
          <w:p w:rsidR="00083F05" w:rsidRPr="00E45AE8" w:rsidRDefault="00E45AE8" w:rsidP="00EF2BF9">
            <w:pPr>
              <w:pStyle w:val="Tabletext"/>
              <w:keepNext/>
              <w:keepLines/>
              <w:jc w:val="center"/>
              <w:rPr>
                <w:bCs/>
                <w:color w:val="000000"/>
              </w:rPr>
            </w:pPr>
            <w:r>
              <w:rPr>
                <w:b/>
                <w:noProof/>
                <w:color w:val="000000"/>
                <w:szCs w:val="20"/>
                <w:highlight w:val="black"/>
              </w:rPr>
              <w:t>'''''''''''''''''''''''</w:t>
            </w:r>
            <w:r w:rsidR="007E6F6F">
              <w:rPr>
                <w:vertAlign w:val="superscript"/>
              </w:rPr>
              <w:t>3</w:t>
            </w:r>
          </w:p>
        </w:tc>
        <w:tc>
          <w:tcPr>
            <w:tcW w:w="601" w:type="pct"/>
            <w:shd w:val="clear" w:color="auto" w:fill="auto"/>
            <w:vAlign w:val="center"/>
          </w:tcPr>
          <w:p w:rsidR="00083F05" w:rsidRPr="00E45AE8" w:rsidRDefault="00E45AE8" w:rsidP="00EF2BF9">
            <w:pPr>
              <w:pStyle w:val="Tabletext"/>
              <w:keepNext/>
              <w:keepLines/>
              <w:jc w:val="center"/>
              <w:rPr>
                <w:bCs/>
                <w:color w:val="000000"/>
              </w:rPr>
            </w:pPr>
            <w:r>
              <w:rPr>
                <w:b/>
                <w:noProof/>
                <w:color w:val="000000"/>
                <w:szCs w:val="20"/>
                <w:highlight w:val="black"/>
              </w:rPr>
              <w:t>''''''''''''''''''''''''</w:t>
            </w:r>
            <w:r w:rsidR="007E6F6F">
              <w:rPr>
                <w:vertAlign w:val="superscript"/>
              </w:rPr>
              <w:t>4</w:t>
            </w:r>
          </w:p>
        </w:tc>
        <w:tc>
          <w:tcPr>
            <w:tcW w:w="542" w:type="pct"/>
            <w:shd w:val="clear" w:color="auto" w:fill="auto"/>
            <w:vAlign w:val="center"/>
          </w:tcPr>
          <w:p w:rsidR="00083F05" w:rsidRPr="00E45AE8" w:rsidRDefault="00E45AE8" w:rsidP="00EF2BF9">
            <w:pPr>
              <w:pStyle w:val="Tabletext"/>
              <w:keepNext/>
              <w:keepLines/>
              <w:jc w:val="center"/>
              <w:rPr>
                <w:bCs/>
                <w:color w:val="000000"/>
              </w:rPr>
            </w:pPr>
            <w:r>
              <w:rPr>
                <w:b/>
                <w:noProof/>
                <w:color w:val="000000"/>
                <w:szCs w:val="20"/>
                <w:highlight w:val="black"/>
              </w:rPr>
              <w:t>''''''''''''''''''''''</w:t>
            </w:r>
            <w:r w:rsidR="007E6F6F">
              <w:rPr>
                <w:vertAlign w:val="superscript"/>
              </w:rPr>
              <w:t>4</w:t>
            </w:r>
          </w:p>
        </w:tc>
        <w:tc>
          <w:tcPr>
            <w:tcW w:w="623" w:type="pct"/>
            <w:shd w:val="clear" w:color="auto" w:fill="auto"/>
            <w:vAlign w:val="center"/>
          </w:tcPr>
          <w:p w:rsidR="00083F05" w:rsidRPr="00E45AE8" w:rsidRDefault="00E45AE8" w:rsidP="00EF2BF9">
            <w:pPr>
              <w:pStyle w:val="Tabletext"/>
              <w:keepNext/>
              <w:keepLines/>
              <w:jc w:val="center"/>
              <w:rPr>
                <w:bCs/>
                <w:color w:val="000000"/>
              </w:rPr>
            </w:pPr>
            <w:r>
              <w:rPr>
                <w:b/>
                <w:noProof/>
                <w:color w:val="000000"/>
                <w:szCs w:val="20"/>
                <w:highlight w:val="black"/>
              </w:rPr>
              <w:t>''''''''''''''''''''''''''</w:t>
            </w:r>
            <w:r w:rsidR="007E6F6F">
              <w:rPr>
                <w:vertAlign w:val="superscript"/>
              </w:rPr>
              <w:t>4</w:t>
            </w:r>
          </w:p>
        </w:tc>
        <w:tc>
          <w:tcPr>
            <w:tcW w:w="543" w:type="pct"/>
            <w:shd w:val="clear" w:color="auto" w:fill="auto"/>
            <w:vAlign w:val="center"/>
          </w:tcPr>
          <w:p w:rsidR="00083F05" w:rsidRPr="00E45AE8" w:rsidRDefault="00E45AE8" w:rsidP="00EF2BF9">
            <w:pPr>
              <w:pStyle w:val="Tabletext"/>
              <w:keepNext/>
              <w:keepLines/>
              <w:jc w:val="center"/>
              <w:rPr>
                <w:bCs/>
                <w:color w:val="000000"/>
              </w:rPr>
            </w:pPr>
            <w:r>
              <w:rPr>
                <w:b/>
                <w:noProof/>
                <w:color w:val="000000"/>
                <w:szCs w:val="20"/>
                <w:highlight w:val="black"/>
              </w:rPr>
              <w:t>'''''''''''''''''''''''</w:t>
            </w:r>
            <w:r w:rsidR="007E6F6F">
              <w:rPr>
                <w:vertAlign w:val="superscript"/>
              </w:rPr>
              <w:t>4</w:t>
            </w:r>
          </w:p>
        </w:tc>
        <w:tc>
          <w:tcPr>
            <w:tcW w:w="553" w:type="pct"/>
            <w:vAlign w:val="center"/>
          </w:tcPr>
          <w:p w:rsidR="00083F05" w:rsidRPr="00E45AE8" w:rsidRDefault="00E45AE8" w:rsidP="00EF2BF9">
            <w:pPr>
              <w:pStyle w:val="Tabletext"/>
              <w:keepNext/>
              <w:keepLines/>
              <w:jc w:val="center"/>
              <w:rPr>
                <w:bCs/>
                <w:color w:val="000000"/>
              </w:rPr>
            </w:pPr>
            <w:r>
              <w:rPr>
                <w:b/>
                <w:noProof/>
                <w:color w:val="000000"/>
                <w:szCs w:val="20"/>
                <w:highlight w:val="black"/>
              </w:rPr>
              <w:t>'''''''''''''''''''''''''</w:t>
            </w:r>
            <w:r w:rsidR="007E6F6F">
              <w:rPr>
                <w:vertAlign w:val="superscript"/>
              </w:rPr>
              <w:t>4</w:t>
            </w:r>
          </w:p>
        </w:tc>
      </w:tr>
      <w:tr w:rsidR="00E93ED5" w:rsidRPr="003639A6" w:rsidTr="00EF2BF9">
        <w:tc>
          <w:tcPr>
            <w:tcW w:w="1662" w:type="pct"/>
            <w:shd w:val="clear" w:color="auto" w:fill="auto"/>
            <w:vAlign w:val="center"/>
          </w:tcPr>
          <w:p w:rsidR="00083F05" w:rsidRPr="00A57182" w:rsidRDefault="00083F05" w:rsidP="00EF2BF9">
            <w:pPr>
              <w:pStyle w:val="Tabletext"/>
              <w:keepNext/>
              <w:keepLines/>
              <w:rPr>
                <w:b/>
                <w:bCs/>
                <w:sz w:val="19"/>
                <w:szCs w:val="19"/>
              </w:rPr>
            </w:pPr>
            <w:r w:rsidRPr="00A57182">
              <w:rPr>
                <w:b/>
                <w:bCs/>
                <w:sz w:val="19"/>
                <w:szCs w:val="19"/>
              </w:rPr>
              <w:t>Total cost to Government (effective price)</w:t>
            </w:r>
          </w:p>
        </w:tc>
        <w:tc>
          <w:tcPr>
            <w:tcW w:w="475" w:type="pct"/>
            <w:shd w:val="clear" w:color="auto" w:fill="auto"/>
            <w:vAlign w:val="center"/>
          </w:tcPr>
          <w:p w:rsidR="00083F05" w:rsidRPr="00E45AE8" w:rsidRDefault="00E45AE8" w:rsidP="00EF2BF9">
            <w:pPr>
              <w:pStyle w:val="Tabletext"/>
              <w:keepNext/>
              <w:keepLines/>
              <w:jc w:val="center"/>
              <w:rPr>
                <w:bCs/>
                <w:color w:val="000000"/>
              </w:rPr>
            </w:pPr>
            <w:r>
              <w:rPr>
                <w:b/>
                <w:noProof/>
                <w:color w:val="000000"/>
                <w:szCs w:val="20"/>
                <w:highlight w:val="black"/>
              </w:rPr>
              <w:t>''''''''''''''''''''''</w:t>
            </w:r>
            <w:r w:rsidR="007E6F6F">
              <w:rPr>
                <w:vertAlign w:val="superscript"/>
              </w:rPr>
              <w:t>3</w:t>
            </w:r>
          </w:p>
        </w:tc>
        <w:tc>
          <w:tcPr>
            <w:tcW w:w="601" w:type="pct"/>
            <w:shd w:val="clear" w:color="auto" w:fill="auto"/>
            <w:vAlign w:val="center"/>
          </w:tcPr>
          <w:p w:rsidR="00083F05" w:rsidRPr="00E45AE8" w:rsidRDefault="00E45AE8" w:rsidP="00EF2BF9">
            <w:pPr>
              <w:pStyle w:val="Tabletext"/>
              <w:keepNext/>
              <w:keepLines/>
              <w:jc w:val="center"/>
              <w:rPr>
                <w:bCs/>
                <w:color w:val="000000"/>
              </w:rPr>
            </w:pPr>
            <w:r>
              <w:rPr>
                <w:b/>
                <w:noProof/>
                <w:color w:val="000000"/>
                <w:szCs w:val="20"/>
                <w:highlight w:val="black"/>
              </w:rPr>
              <w:t>''''''''''''''''''''''</w:t>
            </w:r>
            <w:r w:rsidR="007E6F6F">
              <w:rPr>
                <w:vertAlign w:val="superscript"/>
              </w:rPr>
              <w:t>3</w:t>
            </w:r>
          </w:p>
        </w:tc>
        <w:tc>
          <w:tcPr>
            <w:tcW w:w="542" w:type="pct"/>
            <w:shd w:val="clear" w:color="auto" w:fill="auto"/>
            <w:vAlign w:val="center"/>
          </w:tcPr>
          <w:p w:rsidR="00083F05" w:rsidRPr="00E45AE8" w:rsidRDefault="00E45AE8" w:rsidP="00EF2BF9">
            <w:pPr>
              <w:pStyle w:val="Tabletext"/>
              <w:keepNext/>
              <w:keepLines/>
              <w:jc w:val="center"/>
              <w:rPr>
                <w:bCs/>
                <w:color w:val="000000"/>
              </w:rPr>
            </w:pPr>
            <w:r>
              <w:rPr>
                <w:b/>
                <w:noProof/>
                <w:color w:val="000000"/>
                <w:szCs w:val="20"/>
                <w:highlight w:val="black"/>
              </w:rPr>
              <w:t>'''''''''''''''''''''''</w:t>
            </w:r>
            <w:r w:rsidR="007E6F6F">
              <w:rPr>
                <w:vertAlign w:val="superscript"/>
              </w:rPr>
              <w:t>3</w:t>
            </w:r>
          </w:p>
        </w:tc>
        <w:tc>
          <w:tcPr>
            <w:tcW w:w="623" w:type="pct"/>
            <w:shd w:val="clear" w:color="auto" w:fill="auto"/>
            <w:vAlign w:val="center"/>
          </w:tcPr>
          <w:p w:rsidR="00083F05" w:rsidRPr="00E45AE8" w:rsidRDefault="00E45AE8" w:rsidP="00EF2BF9">
            <w:pPr>
              <w:pStyle w:val="Tabletext"/>
              <w:keepNext/>
              <w:keepLines/>
              <w:jc w:val="center"/>
              <w:rPr>
                <w:bCs/>
                <w:color w:val="000000"/>
              </w:rPr>
            </w:pPr>
            <w:r>
              <w:rPr>
                <w:b/>
                <w:noProof/>
                <w:color w:val="000000"/>
                <w:szCs w:val="20"/>
                <w:highlight w:val="black"/>
              </w:rPr>
              <w:t>''''''''''''''''''''''''''</w:t>
            </w:r>
            <w:r w:rsidR="007E6F6F">
              <w:rPr>
                <w:vertAlign w:val="superscript"/>
              </w:rPr>
              <w:t>3</w:t>
            </w:r>
          </w:p>
        </w:tc>
        <w:tc>
          <w:tcPr>
            <w:tcW w:w="543" w:type="pct"/>
            <w:shd w:val="clear" w:color="auto" w:fill="auto"/>
            <w:vAlign w:val="center"/>
          </w:tcPr>
          <w:p w:rsidR="00083F05" w:rsidRPr="00E45AE8" w:rsidRDefault="00E45AE8" w:rsidP="00EF2BF9">
            <w:pPr>
              <w:pStyle w:val="Tabletext"/>
              <w:keepNext/>
              <w:keepLines/>
              <w:jc w:val="center"/>
              <w:rPr>
                <w:bCs/>
                <w:color w:val="000000"/>
              </w:rPr>
            </w:pPr>
            <w:r>
              <w:rPr>
                <w:b/>
                <w:noProof/>
                <w:color w:val="000000"/>
                <w:szCs w:val="20"/>
                <w:highlight w:val="black"/>
              </w:rPr>
              <w:t>''''''''''''''''''''''''''</w:t>
            </w:r>
            <w:r w:rsidR="007E6F6F">
              <w:rPr>
                <w:vertAlign w:val="superscript"/>
              </w:rPr>
              <w:t>3</w:t>
            </w:r>
          </w:p>
        </w:tc>
        <w:tc>
          <w:tcPr>
            <w:tcW w:w="553" w:type="pct"/>
            <w:vAlign w:val="center"/>
          </w:tcPr>
          <w:p w:rsidR="00083F05" w:rsidRPr="00E45AE8" w:rsidRDefault="00E45AE8" w:rsidP="00EF2BF9">
            <w:pPr>
              <w:pStyle w:val="Tabletext"/>
              <w:keepNext/>
              <w:keepLines/>
              <w:jc w:val="center"/>
              <w:rPr>
                <w:bCs/>
                <w:color w:val="000000"/>
              </w:rPr>
            </w:pPr>
            <w:r>
              <w:rPr>
                <w:b/>
                <w:noProof/>
                <w:color w:val="000000"/>
                <w:szCs w:val="20"/>
                <w:highlight w:val="black"/>
              </w:rPr>
              <w:t>'''''''''''''''''''''''''</w:t>
            </w:r>
            <w:r w:rsidR="007E6F6F">
              <w:rPr>
                <w:vertAlign w:val="superscript"/>
              </w:rPr>
              <w:t>3</w:t>
            </w:r>
          </w:p>
        </w:tc>
      </w:tr>
      <w:tr w:rsidR="00E93ED5" w:rsidRPr="00E436BE" w:rsidTr="00EF2BF9">
        <w:tc>
          <w:tcPr>
            <w:tcW w:w="1662" w:type="pct"/>
            <w:shd w:val="clear" w:color="auto" w:fill="auto"/>
            <w:vAlign w:val="center"/>
          </w:tcPr>
          <w:p w:rsidR="00083F05" w:rsidRPr="00E436BE" w:rsidRDefault="00083F05" w:rsidP="00EF2BF9">
            <w:pPr>
              <w:pStyle w:val="Tabletext"/>
              <w:keepNext/>
              <w:keepLines/>
              <w:rPr>
                <w:b/>
                <w:bCs/>
                <w:sz w:val="19"/>
                <w:szCs w:val="19"/>
              </w:rPr>
            </w:pPr>
            <w:r w:rsidRPr="00E436BE">
              <w:rPr>
                <w:b/>
                <w:iCs/>
                <w:szCs w:val="20"/>
              </w:rPr>
              <w:t>Net cost to health budget after PBS adjustment and MBS correction</w:t>
            </w:r>
            <w:r w:rsidR="00E436BE" w:rsidRPr="00E436BE">
              <w:rPr>
                <w:iCs/>
                <w:szCs w:val="20"/>
              </w:rPr>
              <w:t>***</w:t>
            </w:r>
          </w:p>
        </w:tc>
        <w:tc>
          <w:tcPr>
            <w:tcW w:w="475" w:type="pct"/>
            <w:shd w:val="clear" w:color="auto" w:fill="auto"/>
            <w:vAlign w:val="center"/>
          </w:tcPr>
          <w:p w:rsidR="00083F05" w:rsidRPr="00E45AE8" w:rsidRDefault="00E45AE8" w:rsidP="00EF2BF9">
            <w:pPr>
              <w:pStyle w:val="Tabletext"/>
              <w:keepNext/>
              <w:keepLines/>
              <w:jc w:val="center"/>
              <w:rPr>
                <w:b/>
                <w:szCs w:val="20"/>
              </w:rPr>
            </w:pPr>
            <w:r>
              <w:rPr>
                <w:b/>
                <w:bCs/>
                <w:iCs/>
                <w:noProof/>
                <w:color w:val="000000"/>
                <w:highlight w:val="black"/>
              </w:rPr>
              <w:t>''''''''''''''''''''''</w:t>
            </w:r>
            <w:r w:rsidR="007E6F6F">
              <w:rPr>
                <w:vertAlign w:val="superscript"/>
              </w:rPr>
              <w:t>3</w:t>
            </w:r>
          </w:p>
        </w:tc>
        <w:tc>
          <w:tcPr>
            <w:tcW w:w="601" w:type="pct"/>
            <w:shd w:val="clear" w:color="auto" w:fill="auto"/>
            <w:vAlign w:val="center"/>
          </w:tcPr>
          <w:p w:rsidR="00083F05" w:rsidRPr="00E45AE8" w:rsidRDefault="00E45AE8" w:rsidP="00EF2BF9">
            <w:pPr>
              <w:pStyle w:val="Tabletext"/>
              <w:keepNext/>
              <w:keepLines/>
              <w:jc w:val="center"/>
              <w:rPr>
                <w:b/>
                <w:szCs w:val="20"/>
              </w:rPr>
            </w:pPr>
            <w:r>
              <w:rPr>
                <w:b/>
                <w:bCs/>
                <w:iCs/>
                <w:noProof/>
                <w:color w:val="000000"/>
                <w:highlight w:val="black"/>
              </w:rPr>
              <w:t>''''''''''''''''''''''</w:t>
            </w:r>
            <w:r w:rsidR="007E6F6F">
              <w:rPr>
                <w:vertAlign w:val="superscript"/>
              </w:rPr>
              <w:t>3</w:t>
            </w:r>
          </w:p>
        </w:tc>
        <w:tc>
          <w:tcPr>
            <w:tcW w:w="542" w:type="pct"/>
            <w:shd w:val="clear" w:color="auto" w:fill="auto"/>
            <w:vAlign w:val="center"/>
          </w:tcPr>
          <w:p w:rsidR="00083F05" w:rsidRPr="00E45AE8" w:rsidRDefault="00E45AE8" w:rsidP="00EF2BF9">
            <w:pPr>
              <w:pStyle w:val="Tabletext"/>
              <w:keepNext/>
              <w:keepLines/>
              <w:jc w:val="center"/>
              <w:rPr>
                <w:b/>
                <w:szCs w:val="20"/>
              </w:rPr>
            </w:pPr>
            <w:r>
              <w:rPr>
                <w:b/>
                <w:bCs/>
                <w:iCs/>
                <w:noProof/>
                <w:color w:val="000000"/>
                <w:highlight w:val="black"/>
              </w:rPr>
              <w:t>''''''''''''''''''''''</w:t>
            </w:r>
            <w:r w:rsidR="007E6F6F">
              <w:rPr>
                <w:vertAlign w:val="superscript"/>
              </w:rPr>
              <w:t>3</w:t>
            </w:r>
          </w:p>
        </w:tc>
        <w:tc>
          <w:tcPr>
            <w:tcW w:w="623" w:type="pct"/>
            <w:shd w:val="clear" w:color="auto" w:fill="auto"/>
            <w:vAlign w:val="center"/>
          </w:tcPr>
          <w:p w:rsidR="00083F05" w:rsidRPr="00E45AE8" w:rsidRDefault="00E45AE8" w:rsidP="00EF2BF9">
            <w:pPr>
              <w:pStyle w:val="Tabletext"/>
              <w:keepNext/>
              <w:keepLines/>
              <w:jc w:val="center"/>
              <w:rPr>
                <w:b/>
                <w:szCs w:val="20"/>
              </w:rPr>
            </w:pPr>
            <w:r>
              <w:rPr>
                <w:b/>
                <w:bCs/>
                <w:iCs/>
                <w:noProof/>
                <w:color w:val="000000"/>
                <w:highlight w:val="black"/>
              </w:rPr>
              <w:t>''''''''''''''''''''''</w:t>
            </w:r>
            <w:r w:rsidR="007E6F6F">
              <w:rPr>
                <w:vertAlign w:val="superscript"/>
              </w:rPr>
              <w:t>3</w:t>
            </w:r>
          </w:p>
        </w:tc>
        <w:tc>
          <w:tcPr>
            <w:tcW w:w="543" w:type="pct"/>
            <w:shd w:val="clear" w:color="auto" w:fill="auto"/>
            <w:vAlign w:val="center"/>
          </w:tcPr>
          <w:p w:rsidR="00083F05" w:rsidRPr="00E45AE8" w:rsidRDefault="00E45AE8" w:rsidP="00EF2BF9">
            <w:pPr>
              <w:pStyle w:val="Tabletext"/>
              <w:keepNext/>
              <w:keepLines/>
              <w:jc w:val="center"/>
              <w:rPr>
                <w:b/>
                <w:szCs w:val="20"/>
              </w:rPr>
            </w:pPr>
            <w:r>
              <w:rPr>
                <w:b/>
                <w:bCs/>
                <w:iCs/>
                <w:noProof/>
                <w:color w:val="000000"/>
                <w:highlight w:val="black"/>
              </w:rPr>
              <w:t>'''''''''''''''''''''''''</w:t>
            </w:r>
            <w:r w:rsidR="007E6F6F">
              <w:rPr>
                <w:vertAlign w:val="superscript"/>
              </w:rPr>
              <w:t>3</w:t>
            </w:r>
          </w:p>
        </w:tc>
        <w:tc>
          <w:tcPr>
            <w:tcW w:w="553" w:type="pct"/>
            <w:vAlign w:val="center"/>
          </w:tcPr>
          <w:p w:rsidR="00083F05" w:rsidRPr="00E45AE8" w:rsidRDefault="00E45AE8" w:rsidP="00EF2BF9">
            <w:pPr>
              <w:pStyle w:val="Tabletext"/>
              <w:keepNext/>
              <w:keepLines/>
              <w:jc w:val="center"/>
              <w:rPr>
                <w:b/>
                <w:szCs w:val="20"/>
              </w:rPr>
            </w:pPr>
            <w:r>
              <w:rPr>
                <w:b/>
                <w:bCs/>
                <w:iCs/>
                <w:noProof/>
                <w:color w:val="000000"/>
                <w:highlight w:val="black"/>
              </w:rPr>
              <w:t>''''''''''''''''''''''''''</w:t>
            </w:r>
            <w:r w:rsidR="007E6F6F">
              <w:rPr>
                <w:vertAlign w:val="superscript"/>
              </w:rPr>
              <w:t>3</w:t>
            </w:r>
          </w:p>
        </w:tc>
      </w:tr>
    </w:tbl>
    <w:p w:rsidR="00083F05" w:rsidRDefault="00083F05" w:rsidP="00E93ED5">
      <w:pPr>
        <w:pStyle w:val="TableFooter"/>
        <w:keepNext/>
        <w:keepLines/>
      </w:pPr>
      <w:r>
        <w:t>Source: Tables 4-4 and 4-6 to 4-10 of the submission. BSC = best supportive care; MBS = Medicare Benefits Scheme; PBS = Pharmaceutical Benefits Scheme</w:t>
      </w:r>
    </w:p>
    <w:p w:rsidR="00083F05" w:rsidRDefault="00083F05" w:rsidP="00E93ED5">
      <w:pPr>
        <w:pStyle w:val="TableFooter"/>
        <w:keepNext/>
        <w:keepLines/>
      </w:pPr>
      <w:r>
        <w:t xml:space="preserve">*assuming </w:t>
      </w:r>
      <w:r w:rsidR="00E45AE8">
        <w:rPr>
          <w:noProof/>
          <w:color w:val="000000"/>
          <w:highlight w:val="black"/>
        </w:rPr>
        <w:t>''''''''''''</w:t>
      </w:r>
      <w:r w:rsidR="0010789F">
        <w:rPr>
          <w:vertAlign w:val="superscript"/>
        </w:rPr>
        <w:t>1</w:t>
      </w:r>
      <w:r>
        <w:t xml:space="preserve"> scripts per initiating patients, and </w:t>
      </w:r>
      <w:r w:rsidR="00E45AE8">
        <w:rPr>
          <w:noProof/>
          <w:color w:val="000000"/>
          <w:highlight w:val="black"/>
        </w:rPr>
        <w:t>''''''''''</w:t>
      </w:r>
      <w:r w:rsidR="0010789F">
        <w:rPr>
          <w:vertAlign w:val="superscript"/>
        </w:rPr>
        <w:t>1</w:t>
      </w:r>
      <w:r>
        <w:t xml:space="preserve"> </w:t>
      </w:r>
      <w:r w:rsidR="00AE0CD5">
        <w:t>scripts per</w:t>
      </w:r>
      <w:r>
        <w:t xml:space="preserve"> continuing patients, for a total of </w:t>
      </w:r>
      <w:r w:rsidR="00E45AE8">
        <w:rPr>
          <w:noProof/>
          <w:color w:val="000000"/>
          <w:highlight w:val="black"/>
        </w:rPr>
        <w:t>'''''''''''''</w:t>
      </w:r>
      <w:r w:rsidR="0010789F">
        <w:rPr>
          <w:vertAlign w:val="superscript"/>
        </w:rPr>
        <w:t>1</w:t>
      </w:r>
      <w:r>
        <w:t xml:space="preserve"> scripts</w:t>
      </w:r>
    </w:p>
    <w:p w:rsidR="00083F05" w:rsidRPr="00E436BE" w:rsidRDefault="00083F05" w:rsidP="00E93ED5">
      <w:pPr>
        <w:pStyle w:val="TableFooter"/>
        <w:keepNext/>
        <w:keepLines/>
        <w:rPr>
          <w:iCs/>
        </w:rPr>
      </w:pPr>
      <w:r w:rsidRPr="00E436BE">
        <w:t xml:space="preserve">** </w:t>
      </w:r>
      <w:r w:rsidRPr="00E436BE">
        <w:rPr>
          <w:iCs/>
        </w:rPr>
        <w:t xml:space="preserve">The submission’s approach to calculating doses and scripts per patient appeared to assume that there would only be 28 days of treatment per month on treatment. </w:t>
      </w:r>
      <w:r w:rsidR="00AE0CD5" w:rsidRPr="00E436BE">
        <w:rPr>
          <w:iCs/>
        </w:rPr>
        <w:t>This</w:t>
      </w:r>
      <w:r w:rsidRPr="00E436BE">
        <w:rPr>
          <w:iCs/>
        </w:rPr>
        <w:t xml:space="preserve"> had the effect of underestimating the number of scripts per patient based </w:t>
      </w:r>
      <w:r w:rsidR="00AE0CD5" w:rsidRPr="00E436BE">
        <w:rPr>
          <w:iCs/>
        </w:rPr>
        <w:t>on 11.4</w:t>
      </w:r>
      <w:r w:rsidRPr="00E436BE">
        <w:rPr>
          <w:iCs/>
        </w:rPr>
        <w:t xml:space="preserve"> months of treatment. </w:t>
      </w:r>
      <w:r w:rsidR="00AE0CD5" w:rsidRPr="00E436BE">
        <w:rPr>
          <w:iCs/>
        </w:rPr>
        <w:t>Adjusting</w:t>
      </w:r>
      <w:r w:rsidRPr="00E436BE">
        <w:rPr>
          <w:iCs/>
        </w:rPr>
        <w:t xml:space="preserve"> cells P117 and P118</w:t>
      </w:r>
      <w:r w:rsidR="000815FE" w:rsidRPr="00E436BE">
        <w:rPr>
          <w:iCs/>
        </w:rPr>
        <w:t xml:space="preserve"> of worksheet 3.a scripts </w:t>
      </w:r>
      <w:r w:rsidR="001604F2" w:rsidRPr="00E436BE">
        <w:rPr>
          <w:iCs/>
        </w:rPr>
        <w:t>proposed to</w:t>
      </w:r>
      <w:r w:rsidRPr="00E436BE">
        <w:rPr>
          <w:iCs/>
        </w:rPr>
        <w:t xml:space="preserve"> = 3*365/12 rather than 3*28. </w:t>
      </w:r>
      <w:r w:rsidR="00AE0CD5" w:rsidRPr="00E436BE">
        <w:rPr>
          <w:iCs/>
        </w:rPr>
        <w:t>The</w:t>
      </w:r>
      <w:r w:rsidRPr="00E436BE">
        <w:rPr>
          <w:iCs/>
        </w:rPr>
        <w:t xml:space="preserve"> estimated total scripts per treatment increases from </w:t>
      </w:r>
      <w:r w:rsidR="00E45AE8">
        <w:rPr>
          <w:iCs/>
          <w:noProof/>
          <w:color w:val="000000"/>
          <w:highlight w:val="black"/>
        </w:rPr>
        <w:t>''''''''''''</w:t>
      </w:r>
      <w:r w:rsidR="0010789F">
        <w:rPr>
          <w:vertAlign w:val="superscript"/>
        </w:rPr>
        <w:t>1</w:t>
      </w:r>
      <w:r w:rsidRPr="00E436BE">
        <w:rPr>
          <w:iCs/>
        </w:rPr>
        <w:t xml:space="preserve"> to </w:t>
      </w:r>
      <w:r w:rsidR="00E45AE8">
        <w:rPr>
          <w:iCs/>
          <w:noProof/>
          <w:color w:val="000000"/>
          <w:highlight w:val="black"/>
        </w:rPr>
        <w:t>'''''''''''''</w:t>
      </w:r>
      <w:r w:rsidR="0010789F">
        <w:rPr>
          <w:vertAlign w:val="superscript"/>
        </w:rPr>
        <w:t>1</w:t>
      </w:r>
      <w:r w:rsidRPr="00E436BE">
        <w:rPr>
          <w:iCs/>
        </w:rPr>
        <w:t xml:space="preserve">. </w:t>
      </w:r>
      <w:r w:rsidR="00AE0CD5" w:rsidRPr="00E436BE">
        <w:rPr>
          <w:iCs/>
        </w:rPr>
        <w:t>This</w:t>
      </w:r>
      <w:r w:rsidRPr="00E436BE">
        <w:rPr>
          <w:iCs/>
        </w:rPr>
        <w:t xml:space="preserve"> miscalculation underestimates total number of scripts per patient, and consequently, total costs to the PBS by approximately 8%. </w:t>
      </w:r>
      <w:r w:rsidR="00AE0CD5" w:rsidRPr="00E436BE">
        <w:rPr>
          <w:iCs/>
        </w:rPr>
        <w:t>Assuming</w:t>
      </w:r>
      <w:r w:rsidRPr="00E436BE">
        <w:rPr>
          <w:iCs/>
        </w:rPr>
        <w:t xml:space="preserve"> </w:t>
      </w:r>
      <w:r w:rsidR="00E45AE8">
        <w:rPr>
          <w:iCs/>
          <w:noProof/>
          <w:color w:val="000000"/>
          <w:highlight w:val="black"/>
        </w:rPr>
        <w:t>'''''''''''</w:t>
      </w:r>
      <w:r w:rsidR="00B045E4">
        <w:rPr>
          <w:iCs/>
          <w:noProof/>
          <w:color w:val="000000"/>
          <w:vertAlign w:val="superscript"/>
        </w:rPr>
        <w:t xml:space="preserve">1 </w:t>
      </w:r>
      <w:r w:rsidRPr="00E436BE">
        <w:rPr>
          <w:iCs/>
        </w:rPr>
        <w:t xml:space="preserve">scripts per initiating patients, and </w:t>
      </w:r>
      <w:r w:rsidR="00E45AE8">
        <w:rPr>
          <w:iCs/>
          <w:noProof/>
          <w:color w:val="000000"/>
          <w:highlight w:val="black"/>
        </w:rPr>
        <w:t>''''''''''</w:t>
      </w:r>
      <w:r w:rsidR="0010789F">
        <w:rPr>
          <w:vertAlign w:val="superscript"/>
        </w:rPr>
        <w:t>1</w:t>
      </w:r>
      <w:r w:rsidRPr="00E436BE">
        <w:rPr>
          <w:iCs/>
        </w:rPr>
        <w:t xml:space="preserve"> </w:t>
      </w:r>
      <w:r w:rsidR="00AE0CD5" w:rsidRPr="00E436BE">
        <w:rPr>
          <w:iCs/>
        </w:rPr>
        <w:t>scripts per</w:t>
      </w:r>
      <w:r w:rsidRPr="00E436BE">
        <w:rPr>
          <w:iCs/>
        </w:rPr>
        <w:t xml:space="preserve"> continuing patients, for a total of </w:t>
      </w:r>
      <w:r w:rsidR="00E45AE8">
        <w:rPr>
          <w:iCs/>
          <w:noProof/>
          <w:color w:val="000000"/>
          <w:highlight w:val="black"/>
        </w:rPr>
        <w:t>'''''''''''''</w:t>
      </w:r>
      <w:r w:rsidR="0010789F">
        <w:rPr>
          <w:vertAlign w:val="superscript"/>
        </w:rPr>
        <w:t>1</w:t>
      </w:r>
      <w:r w:rsidRPr="00E436BE">
        <w:rPr>
          <w:iCs/>
        </w:rPr>
        <w:t xml:space="preserve"> scripts</w:t>
      </w:r>
    </w:p>
    <w:p w:rsidR="00E436BE" w:rsidRPr="00E436BE" w:rsidRDefault="00E436BE" w:rsidP="00E93ED5">
      <w:pPr>
        <w:pStyle w:val="TableFooter"/>
        <w:keepNext/>
        <w:keepLines/>
        <w:rPr>
          <w:iCs/>
        </w:rPr>
      </w:pPr>
      <w:r w:rsidRPr="00E436BE">
        <w:rPr>
          <w:iCs/>
        </w:rPr>
        <w:t>*** Indicates values calculated during the evaluation.</w:t>
      </w:r>
      <w:bookmarkStart w:id="34" w:name="_GoBack"/>
      <w:bookmarkEnd w:id="34"/>
    </w:p>
    <w:p w:rsidR="00083F05" w:rsidRDefault="00083F05" w:rsidP="00E93ED5">
      <w:pPr>
        <w:pStyle w:val="TableFooter"/>
        <w:keepNext/>
        <w:keepLines/>
      </w:pPr>
      <w:r w:rsidRPr="00E436BE">
        <w:rPr>
          <w:iCs/>
        </w:rPr>
        <w:t>**</w:t>
      </w:r>
      <w:r w:rsidR="00E436BE" w:rsidRPr="00E436BE">
        <w:rPr>
          <w:iCs/>
        </w:rPr>
        <w:t>*</w:t>
      </w:r>
      <w:r w:rsidRPr="00E436BE">
        <w:t xml:space="preserve"> During the evaluation, it was determined</w:t>
      </w:r>
      <w:r w:rsidRPr="008C703F">
        <w:t xml:space="preserve"> that the MBS costs presented in the submission only </w:t>
      </w:r>
      <w:r w:rsidR="00AE0CD5" w:rsidRPr="008C703F">
        <w:t>included costs</w:t>
      </w:r>
      <w:r w:rsidRPr="008C703F">
        <w:t xml:space="preserve"> specialist attendances (at an MBS rebate </w:t>
      </w:r>
      <w:r w:rsidR="00AE0CD5" w:rsidRPr="008C703F">
        <w:t>of 80</w:t>
      </w:r>
      <w:r w:rsidRPr="008C703F">
        <w:t xml:space="preserve">%).  MBS estimates were amended during the </w:t>
      </w:r>
      <w:r w:rsidR="00AE0CD5" w:rsidRPr="008C703F">
        <w:t>evaluation to</w:t>
      </w:r>
      <w:r w:rsidRPr="008C703F">
        <w:t xml:space="preserve"> include CT scan costs and blood test costs in line with the economic evaluation.</w:t>
      </w:r>
    </w:p>
    <w:p w:rsidR="00083F05" w:rsidRDefault="00083F05" w:rsidP="00E93ED5">
      <w:pPr>
        <w:pStyle w:val="TableText0"/>
        <w:keepLines/>
        <w:rPr>
          <w:sz w:val="18"/>
          <w:szCs w:val="20"/>
        </w:rPr>
      </w:pPr>
      <w:r w:rsidRPr="00EF2BF9">
        <w:rPr>
          <w:sz w:val="18"/>
          <w:szCs w:val="20"/>
        </w:rPr>
        <w:t xml:space="preserve">Note: the submission’s financial estimates model included initiating patients as </w:t>
      </w:r>
      <w:r w:rsidR="001604F2" w:rsidRPr="00EF2BF9">
        <w:rPr>
          <w:sz w:val="18"/>
          <w:szCs w:val="20"/>
        </w:rPr>
        <w:t>non-whole</w:t>
      </w:r>
      <w:r w:rsidRPr="00EF2BF9">
        <w:rPr>
          <w:sz w:val="18"/>
          <w:szCs w:val="20"/>
        </w:rPr>
        <w:t xml:space="preserve"> numbers. For example, in Year 1, the model estimated that </w:t>
      </w:r>
      <w:r w:rsidR="00E45AE8">
        <w:rPr>
          <w:noProof/>
          <w:color w:val="000000"/>
          <w:sz w:val="18"/>
          <w:szCs w:val="20"/>
          <w:highlight w:val="black"/>
        </w:rPr>
        <w:t>'''''''''''''</w:t>
      </w:r>
      <w:r w:rsidR="0010789F">
        <w:rPr>
          <w:vertAlign w:val="superscript"/>
        </w:rPr>
        <w:t>1</w:t>
      </w:r>
      <w:r w:rsidRPr="00EF2BF9">
        <w:rPr>
          <w:sz w:val="18"/>
          <w:szCs w:val="20"/>
        </w:rPr>
        <w:t xml:space="preserve"> patients would initiate. Though this was inappropriate it would not be expected to affect the model results substantially. This also explains why downstream calculations using the numbers in the tables do not match exactly. </w:t>
      </w:r>
    </w:p>
    <w:p w:rsidR="0010789F" w:rsidRDefault="0010789F" w:rsidP="0010789F">
      <w:pPr>
        <w:pStyle w:val="TableFigureFooter"/>
        <w:spacing w:after="0"/>
        <w:contextualSpacing w:val="0"/>
        <w:rPr>
          <w:i/>
        </w:rPr>
      </w:pPr>
      <w:r w:rsidRPr="009868C4">
        <w:rPr>
          <w:i/>
        </w:rPr>
        <w:t>The redacted values correspond to the following ranges</w:t>
      </w:r>
      <w:r>
        <w:rPr>
          <w:i/>
        </w:rPr>
        <w:t xml:space="preserve">: </w:t>
      </w:r>
    </w:p>
    <w:p w:rsidR="0010789F" w:rsidRPr="0010789F" w:rsidRDefault="0010789F" w:rsidP="0010789F">
      <w:pPr>
        <w:pStyle w:val="TableFigureFooter"/>
        <w:rPr>
          <w:i/>
        </w:rPr>
      </w:pPr>
      <w:r>
        <w:rPr>
          <w:i/>
          <w:vertAlign w:val="superscript"/>
        </w:rPr>
        <w:t xml:space="preserve">1 </w:t>
      </w:r>
      <w:r w:rsidRPr="0010789F">
        <w:rPr>
          <w:i/>
        </w:rPr>
        <w:t>&lt; 500</w:t>
      </w:r>
    </w:p>
    <w:p w:rsidR="0010789F" w:rsidRDefault="0010789F" w:rsidP="0010789F">
      <w:pPr>
        <w:pStyle w:val="TableFigureFooter"/>
        <w:spacing w:after="0"/>
        <w:contextualSpacing w:val="0"/>
        <w:rPr>
          <w:i/>
        </w:rPr>
      </w:pPr>
      <w:r>
        <w:rPr>
          <w:i/>
          <w:vertAlign w:val="superscript"/>
        </w:rPr>
        <w:t xml:space="preserve">2 </w:t>
      </w:r>
      <w:r w:rsidRPr="0010789F">
        <w:rPr>
          <w:i/>
        </w:rPr>
        <w:t>500 to &lt; 5,000</w:t>
      </w:r>
    </w:p>
    <w:p w:rsidR="007E6F6F" w:rsidRPr="007E6F6F" w:rsidRDefault="007E6F6F" w:rsidP="007E6F6F">
      <w:pPr>
        <w:pStyle w:val="TableFigureFooter"/>
        <w:rPr>
          <w:i/>
        </w:rPr>
      </w:pPr>
      <w:r>
        <w:rPr>
          <w:i/>
          <w:vertAlign w:val="superscript"/>
        </w:rPr>
        <w:t xml:space="preserve">3 </w:t>
      </w:r>
      <w:r w:rsidRPr="007E6F6F">
        <w:rPr>
          <w:i/>
        </w:rPr>
        <w:t>$10 million to &lt; $20 million</w:t>
      </w:r>
    </w:p>
    <w:p w:rsidR="007E6F6F" w:rsidRDefault="007E6F6F" w:rsidP="007E6F6F">
      <w:pPr>
        <w:pStyle w:val="TableFigureFooter"/>
        <w:spacing w:after="0"/>
        <w:contextualSpacing w:val="0"/>
        <w:rPr>
          <w:i/>
        </w:rPr>
      </w:pPr>
      <w:r>
        <w:rPr>
          <w:i/>
          <w:vertAlign w:val="superscript"/>
        </w:rPr>
        <w:t xml:space="preserve">4 </w:t>
      </w:r>
      <w:r w:rsidRPr="007E6F6F">
        <w:rPr>
          <w:i/>
        </w:rPr>
        <w:t>$20 million to &lt; $30 million</w:t>
      </w:r>
    </w:p>
    <w:p w:rsidR="007E6F6F" w:rsidRPr="0010789F" w:rsidRDefault="007E6F6F" w:rsidP="007E6F6F">
      <w:pPr>
        <w:pStyle w:val="TableFigureFooter"/>
        <w:spacing w:after="0"/>
        <w:contextualSpacing w:val="0"/>
        <w:rPr>
          <w:i/>
        </w:rPr>
      </w:pPr>
      <w:r>
        <w:rPr>
          <w:i/>
          <w:vertAlign w:val="superscript"/>
        </w:rPr>
        <w:t xml:space="preserve">5 </w:t>
      </w:r>
      <w:r w:rsidRPr="007E6F6F">
        <w:rPr>
          <w:i/>
        </w:rPr>
        <w:t>$0 to &lt; $10 million</w:t>
      </w:r>
    </w:p>
    <w:p w:rsidR="00083F05" w:rsidRPr="00C25D9C" w:rsidRDefault="00083F05" w:rsidP="00083F05">
      <w:pPr>
        <w:widowControl/>
      </w:pPr>
    </w:p>
    <w:p w:rsidR="00152C75" w:rsidRDefault="00152C75" w:rsidP="008A39F3">
      <w:pPr>
        <w:pStyle w:val="ListParagraph"/>
        <w:widowControl/>
        <w:numPr>
          <w:ilvl w:val="1"/>
          <w:numId w:val="2"/>
        </w:numPr>
      </w:pPr>
      <w:r>
        <w:lastRenderedPageBreak/>
        <w:t xml:space="preserve">The submission estimated a total cost to government of </w:t>
      </w:r>
      <w:r w:rsidR="008A39F3" w:rsidRPr="008A39F3">
        <w:t>$80 million to &lt; $90 million</w:t>
      </w:r>
      <w:r w:rsidR="008A39F3">
        <w:t xml:space="preserve"> </w:t>
      </w:r>
      <w:r>
        <w:t xml:space="preserve">over the first six years of listing, ranging from </w:t>
      </w:r>
      <w:r w:rsidR="008A39F3" w:rsidRPr="008A39F3">
        <w:t>$10 million to &lt; $20 million</w:t>
      </w:r>
      <w:r w:rsidR="008A39F3">
        <w:t xml:space="preserve"> </w:t>
      </w:r>
      <w:r>
        <w:t>in year one and increasing to $</w:t>
      </w:r>
      <w:r w:rsidR="008A39F3" w:rsidRPr="008A39F3">
        <w:t>$10 million to &lt; $20 million</w:t>
      </w:r>
      <w:r w:rsidR="008A39F3">
        <w:t xml:space="preserve"> </w:t>
      </w:r>
      <w:r>
        <w:t xml:space="preserve">by year six.  </w:t>
      </w:r>
    </w:p>
    <w:p w:rsidR="00C43312" w:rsidRPr="0059384E" w:rsidRDefault="00C43312" w:rsidP="0010789F">
      <w:pPr>
        <w:pStyle w:val="ListParagraph"/>
        <w:widowControl/>
        <w:numPr>
          <w:ilvl w:val="1"/>
          <w:numId w:val="2"/>
        </w:numPr>
        <w:rPr>
          <w:iCs/>
        </w:rPr>
      </w:pPr>
      <w:r w:rsidRPr="00E436BE">
        <w:rPr>
          <w:iCs/>
        </w:rPr>
        <w:t xml:space="preserve">Errors in the estimation of ripretinib scripts per patient and costs to the MBS led to an underestimation of costs to Government by approximately </w:t>
      </w:r>
      <w:r w:rsidR="0010789F" w:rsidRPr="0010789F">
        <w:rPr>
          <w:iCs/>
        </w:rPr>
        <w:t>$0 to &lt; $10 million</w:t>
      </w:r>
      <w:r w:rsidR="0010789F">
        <w:rPr>
          <w:iCs/>
        </w:rPr>
        <w:t xml:space="preserve"> </w:t>
      </w:r>
      <w:r w:rsidRPr="00E436BE">
        <w:rPr>
          <w:iCs/>
        </w:rPr>
        <w:t>over the first six years of listing (</w:t>
      </w:r>
      <w:r w:rsidR="0010789F" w:rsidRPr="0010789F">
        <w:rPr>
          <w:iCs/>
        </w:rPr>
        <w:t>$90 million to &lt; $100 million</w:t>
      </w:r>
      <w:r w:rsidR="0010789F">
        <w:rPr>
          <w:iCs/>
        </w:rPr>
        <w:t xml:space="preserve"> </w:t>
      </w:r>
      <w:r w:rsidRPr="00E436BE">
        <w:rPr>
          <w:iCs/>
        </w:rPr>
        <w:t xml:space="preserve">without corrections versus </w:t>
      </w:r>
      <w:r w:rsidR="0010789F" w:rsidRPr="0010789F">
        <w:rPr>
          <w:iCs/>
        </w:rPr>
        <w:t>$100 million to &lt; $200 million</w:t>
      </w:r>
      <w:r w:rsidR="0010789F" w:rsidRPr="0010789F" w:rsidDel="0010789F">
        <w:rPr>
          <w:iCs/>
        </w:rPr>
        <w:t xml:space="preserve"> </w:t>
      </w:r>
      <w:r w:rsidRPr="00E436BE">
        <w:rPr>
          <w:iCs/>
        </w:rPr>
        <w:t>with corrections).</w:t>
      </w:r>
      <w:r w:rsidR="00D0259B">
        <w:rPr>
          <w:iCs/>
        </w:rPr>
        <w:t xml:space="preserve"> </w:t>
      </w:r>
      <w:r w:rsidR="00D0259B" w:rsidRPr="00954D37">
        <w:rPr>
          <w:iCs/>
        </w:rPr>
        <w:t xml:space="preserve">The PSCR acknowledged the </w:t>
      </w:r>
      <w:r w:rsidR="00D0259B" w:rsidRPr="00954D37">
        <w:rPr>
          <w:iCs/>
          <w:szCs w:val="24"/>
        </w:rPr>
        <w:t>errors in the estimat</w:t>
      </w:r>
      <w:r w:rsidR="00D0259B" w:rsidRPr="00954D37">
        <w:rPr>
          <w:iCs/>
        </w:rPr>
        <w:t>ion of script numbers and agreed</w:t>
      </w:r>
      <w:r w:rsidR="00D0259B" w:rsidRPr="00954D37">
        <w:rPr>
          <w:iCs/>
          <w:szCs w:val="24"/>
        </w:rPr>
        <w:t xml:space="preserve"> with the corrected estimation of cost to government presented in the evaluation.</w:t>
      </w:r>
    </w:p>
    <w:p w:rsidR="0059384E" w:rsidRPr="00954D37" w:rsidRDefault="0033406B" w:rsidP="00083F05">
      <w:pPr>
        <w:pStyle w:val="ListParagraph"/>
        <w:widowControl/>
        <w:numPr>
          <w:ilvl w:val="1"/>
          <w:numId w:val="2"/>
        </w:numPr>
        <w:rPr>
          <w:iCs/>
        </w:rPr>
      </w:pPr>
      <w:r>
        <w:rPr>
          <w:iCs/>
        </w:rPr>
        <w:t xml:space="preserve">The PBAC noted </w:t>
      </w:r>
      <w:r w:rsidR="00F636F1">
        <w:rPr>
          <w:iCs/>
        </w:rPr>
        <w:t xml:space="preserve">PBS prescription </w:t>
      </w:r>
      <w:r>
        <w:rPr>
          <w:iCs/>
        </w:rPr>
        <w:t xml:space="preserve">data provided by the DUSC Secretariat </w:t>
      </w:r>
      <w:r w:rsidR="00C57904">
        <w:rPr>
          <w:iCs/>
        </w:rPr>
        <w:t xml:space="preserve">which </w:t>
      </w:r>
      <w:r>
        <w:rPr>
          <w:iCs/>
        </w:rPr>
        <w:t xml:space="preserve">indicated </w:t>
      </w:r>
      <w:r w:rsidR="00840EA0">
        <w:rPr>
          <w:iCs/>
        </w:rPr>
        <w:t xml:space="preserve">between </w:t>
      </w:r>
      <w:r w:rsidR="007E6F6F">
        <w:rPr>
          <w:iCs/>
        </w:rPr>
        <w:t xml:space="preserve">&lt; 500 </w:t>
      </w:r>
      <w:r w:rsidR="00840EA0">
        <w:rPr>
          <w:iCs/>
        </w:rPr>
        <w:t xml:space="preserve">and </w:t>
      </w:r>
      <w:r w:rsidR="007E6F6F">
        <w:rPr>
          <w:iCs/>
        </w:rPr>
        <w:t>&lt;500</w:t>
      </w:r>
      <w:r>
        <w:rPr>
          <w:iCs/>
        </w:rPr>
        <w:t xml:space="preserve"> patients initiated treatment with s</w:t>
      </w:r>
      <w:r w:rsidR="00840EA0">
        <w:rPr>
          <w:iCs/>
        </w:rPr>
        <w:t xml:space="preserve">unitinib for GIST between 2015 and </w:t>
      </w:r>
      <w:r>
        <w:rPr>
          <w:iCs/>
        </w:rPr>
        <w:t>2020 (</w:t>
      </w:r>
      <w:r w:rsidR="00840EA0">
        <w:rPr>
          <w:iCs/>
        </w:rPr>
        <w:t xml:space="preserve">2015: </w:t>
      </w:r>
      <w:r w:rsidR="007E6F6F">
        <w:rPr>
          <w:iCs/>
        </w:rPr>
        <w:t>&lt; 500</w:t>
      </w:r>
      <w:r w:rsidR="00840EA0">
        <w:rPr>
          <w:iCs/>
        </w:rPr>
        <w:t xml:space="preserve"> patients, 2016: </w:t>
      </w:r>
      <w:r w:rsidR="007E6F6F">
        <w:rPr>
          <w:iCs/>
        </w:rPr>
        <w:t>&lt; 500</w:t>
      </w:r>
      <w:r w:rsidR="00840EA0">
        <w:rPr>
          <w:iCs/>
        </w:rPr>
        <w:t xml:space="preserve"> patients, 2017: </w:t>
      </w:r>
      <w:r w:rsidR="007E6F6F">
        <w:rPr>
          <w:iCs/>
        </w:rPr>
        <w:t>&lt; 500</w:t>
      </w:r>
      <w:r w:rsidR="00840EA0">
        <w:rPr>
          <w:iCs/>
        </w:rPr>
        <w:t xml:space="preserve"> patients, 2018: </w:t>
      </w:r>
      <w:r w:rsidR="007E6F6F">
        <w:rPr>
          <w:iCs/>
        </w:rPr>
        <w:t>&lt; 500</w:t>
      </w:r>
      <w:r w:rsidR="00840EA0">
        <w:rPr>
          <w:iCs/>
        </w:rPr>
        <w:t xml:space="preserve"> patients, 2019: </w:t>
      </w:r>
      <w:r w:rsidR="007E6F6F">
        <w:rPr>
          <w:iCs/>
        </w:rPr>
        <w:t>&lt; 500</w:t>
      </w:r>
      <w:r w:rsidR="00840EA0">
        <w:rPr>
          <w:iCs/>
        </w:rPr>
        <w:t xml:space="preserve"> patients, 2020: </w:t>
      </w:r>
      <w:r w:rsidR="007E6F6F">
        <w:rPr>
          <w:iCs/>
        </w:rPr>
        <w:t>&lt; 500</w:t>
      </w:r>
      <w:r w:rsidR="00840EA0">
        <w:rPr>
          <w:iCs/>
        </w:rPr>
        <w:t xml:space="preserve"> patients</w:t>
      </w:r>
      <w:r>
        <w:rPr>
          <w:iCs/>
        </w:rPr>
        <w:t>)</w:t>
      </w:r>
      <w:r w:rsidR="00567BE2">
        <w:rPr>
          <w:iCs/>
        </w:rPr>
        <w:t xml:space="preserve">. The PBAC </w:t>
      </w:r>
      <w:r w:rsidR="00320B73">
        <w:rPr>
          <w:iCs/>
        </w:rPr>
        <w:t>recalled</w:t>
      </w:r>
      <w:r w:rsidR="006C0B0B">
        <w:rPr>
          <w:iCs/>
        </w:rPr>
        <w:t xml:space="preserve"> that sunitinib is continued until disease progression</w:t>
      </w:r>
      <w:r w:rsidR="00320B73">
        <w:rPr>
          <w:iCs/>
        </w:rPr>
        <w:t xml:space="preserve"> with the median time to tumour progression reported as 26.6 weeks (95% CI 16.0 to 32.1)</w:t>
      </w:r>
      <w:r w:rsidR="00532DBD">
        <w:rPr>
          <w:iCs/>
        </w:rPr>
        <w:t xml:space="preserve"> in the </w:t>
      </w:r>
      <w:r w:rsidR="00532DBD" w:rsidRPr="00532DBD">
        <w:rPr>
          <w:iCs/>
        </w:rPr>
        <w:t>A618-1004</w:t>
      </w:r>
      <w:r w:rsidR="00532DBD">
        <w:rPr>
          <w:iCs/>
        </w:rPr>
        <w:t xml:space="preserve"> trial (</w:t>
      </w:r>
      <w:r w:rsidR="00532DBD" w:rsidRPr="00532DBD">
        <w:rPr>
          <w:iCs/>
        </w:rPr>
        <w:t>Sunitinib P</w:t>
      </w:r>
      <w:r w:rsidR="00532DBD">
        <w:rPr>
          <w:iCs/>
        </w:rPr>
        <w:t xml:space="preserve">ublic </w:t>
      </w:r>
      <w:r w:rsidR="00532DBD" w:rsidRPr="00532DBD">
        <w:rPr>
          <w:iCs/>
        </w:rPr>
        <w:t>S</w:t>
      </w:r>
      <w:r w:rsidR="00532DBD">
        <w:rPr>
          <w:iCs/>
        </w:rPr>
        <w:t xml:space="preserve">ummary </w:t>
      </w:r>
      <w:r w:rsidR="00532DBD" w:rsidRPr="00532DBD">
        <w:rPr>
          <w:iCs/>
        </w:rPr>
        <w:t>D</w:t>
      </w:r>
      <w:r w:rsidR="00532DBD">
        <w:rPr>
          <w:iCs/>
        </w:rPr>
        <w:t>ocument</w:t>
      </w:r>
      <w:r w:rsidR="007E6F6F">
        <w:rPr>
          <w:iCs/>
        </w:rPr>
        <w:t xml:space="preserve"> (PSD)</w:t>
      </w:r>
      <w:r w:rsidR="00532DBD">
        <w:rPr>
          <w:iCs/>
        </w:rPr>
        <w:t xml:space="preserve">, July 2009 PBAC Meeting). </w:t>
      </w:r>
      <w:r w:rsidR="00AA353E">
        <w:rPr>
          <w:iCs/>
        </w:rPr>
        <w:t>T</w:t>
      </w:r>
      <w:r w:rsidR="00F636F1">
        <w:rPr>
          <w:iCs/>
        </w:rPr>
        <w:t>he PBAC considered the</w:t>
      </w:r>
      <w:r w:rsidR="00AA353E">
        <w:rPr>
          <w:iCs/>
        </w:rPr>
        <w:t>se data indicate a lower proportion of imatinib patients go onto sunitinib in clinical practice than the 90% assumed in the submission. As a result, t</w:t>
      </w:r>
      <w:r w:rsidR="00532DBD">
        <w:rPr>
          <w:iCs/>
        </w:rPr>
        <w:t xml:space="preserve">he PBAC considered the </w:t>
      </w:r>
      <w:r w:rsidR="00383338">
        <w:rPr>
          <w:iCs/>
        </w:rPr>
        <w:t xml:space="preserve">proposed </w:t>
      </w:r>
      <w:r w:rsidR="00532DBD">
        <w:rPr>
          <w:iCs/>
        </w:rPr>
        <w:t xml:space="preserve">number of patients treated with ripretinib was likely overestimated.  </w:t>
      </w:r>
    </w:p>
    <w:p w:rsidR="00083F05" w:rsidRPr="00C9624D" w:rsidRDefault="00083F05" w:rsidP="00EF2BF9">
      <w:pPr>
        <w:pStyle w:val="Heading2"/>
        <w:keepNext/>
      </w:pPr>
      <w:bookmarkStart w:id="35" w:name="_Toc62040435"/>
      <w:r w:rsidRPr="00C9624D">
        <w:t>Quality Use of Medicines</w:t>
      </w:r>
      <w:bookmarkEnd w:id="35"/>
    </w:p>
    <w:p w:rsidR="00083F05" w:rsidRPr="00576972" w:rsidRDefault="00083F05" w:rsidP="00EF2BF9">
      <w:pPr>
        <w:keepNext/>
        <w:widowControl/>
      </w:pPr>
    </w:p>
    <w:p w:rsidR="00083F05" w:rsidRDefault="00083F05" w:rsidP="00EF2BF9">
      <w:pPr>
        <w:pStyle w:val="ListParagraph"/>
        <w:keepNext/>
        <w:widowControl/>
        <w:numPr>
          <w:ilvl w:val="1"/>
          <w:numId w:val="2"/>
        </w:numPr>
      </w:pPr>
      <w:r w:rsidRPr="00D33691">
        <w:t xml:space="preserve">The submission </w:t>
      </w:r>
      <w:r w:rsidR="0079523C">
        <w:t>provided</w:t>
      </w:r>
      <w:r w:rsidRPr="00D33691">
        <w:t xml:space="preserve"> a copy of European Risk Management Plan for ripretinib and the Australian Specific Annex.</w:t>
      </w:r>
    </w:p>
    <w:p w:rsidR="00083F05" w:rsidRDefault="00083F05" w:rsidP="00EF2BF9">
      <w:pPr>
        <w:pStyle w:val="ListParagraph"/>
        <w:keepNext/>
        <w:widowControl/>
        <w:numPr>
          <w:ilvl w:val="1"/>
          <w:numId w:val="2"/>
        </w:numPr>
      </w:pPr>
      <w:r w:rsidRPr="00E436BE">
        <w:t>No further details of Quality use of medicines were presented</w:t>
      </w:r>
      <w:r w:rsidR="00EF2BF9" w:rsidRPr="00E436BE">
        <w:t>.</w:t>
      </w:r>
    </w:p>
    <w:p w:rsidR="008F07E0" w:rsidRDefault="008F07E0" w:rsidP="008F07E0">
      <w:pPr>
        <w:pStyle w:val="PBACHeading1"/>
        <w:numPr>
          <w:ilvl w:val="0"/>
          <w:numId w:val="0"/>
        </w:numPr>
        <w:ind w:left="720"/>
        <w:rPr>
          <w:b w:val="0"/>
          <w:i/>
          <w:sz w:val="24"/>
        </w:rPr>
      </w:pPr>
      <w:r w:rsidRPr="008F07E0">
        <w:rPr>
          <w:b w:val="0"/>
          <w:i/>
          <w:sz w:val="24"/>
        </w:rPr>
        <w:t>For more detail on PBAC’s view, see section 7 PBAC outcome.</w:t>
      </w:r>
    </w:p>
    <w:p w:rsidR="008F07E0" w:rsidRPr="008F07E0" w:rsidRDefault="008F07E0" w:rsidP="008F07E0">
      <w:pPr>
        <w:pStyle w:val="2-SectionHeading"/>
        <w:numPr>
          <w:ilvl w:val="0"/>
          <w:numId w:val="2"/>
        </w:numPr>
      </w:pPr>
      <w:r w:rsidRPr="008F07E0">
        <w:t>PBAC Outcome</w:t>
      </w:r>
    </w:p>
    <w:p w:rsidR="0059540B" w:rsidRPr="00680590" w:rsidRDefault="0059540B" w:rsidP="00680590">
      <w:pPr>
        <w:pStyle w:val="ListParagraph"/>
        <w:keepNext/>
        <w:widowControl/>
        <w:numPr>
          <w:ilvl w:val="1"/>
          <w:numId w:val="2"/>
        </w:numPr>
      </w:pPr>
      <w:r w:rsidRPr="00680590">
        <w:t xml:space="preserve">The PBAC did not recommend ripretinib for treatment of advanced gastrointestinal stromal tumour (GIST). The PBAC considered the claim of superior efficacy compared to best supportive care </w:t>
      </w:r>
      <w:r w:rsidR="008A6D69">
        <w:t xml:space="preserve">(BSC) </w:t>
      </w:r>
      <w:r w:rsidR="003B42D1">
        <w:t xml:space="preserve">was </w:t>
      </w:r>
      <w:r w:rsidR="00411140">
        <w:t>reasonable based on improvements in progression free survival (PFS)</w:t>
      </w:r>
      <w:r w:rsidR="00AC37BC">
        <w:t xml:space="preserve"> with the magnitude of gain in overall survival (OS) uncertain but clinically meaningful</w:t>
      </w:r>
      <w:r w:rsidRPr="00680590">
        <w:t xml:space="preserve"> in the context of metastatic or unresectable GIST being a rare cancer with an unmet need for effective third line treatment. In addition, the PBAC considered the evidence presented indicated ripretinib had an acceptable safety profile. However, the PBAC considered the incremental cost-effectiveness ratio </w:t>
      </w:r>
      <w:r w:rsidR="008A6D69">
        <w:t xml:space="preserve">(ICER) </w:t>
      </w:r>
      <w:r w:rsidRPr="00680590">
        <w:t>was very high and uncertain at the proposed price</w:t>
      </w:r>
      <w:r w:rsidR="00ED7309">
        <w:t>. Furthermore</w:t>
      </w:r>
      <w:r w:rsidR="007C737F">
        <w:t xml:space="preserve">, the PBAC considered </w:t>
      </w:r>
      <w:r w:rsidR="007C737F">
        <w:lastRenderedPageBreak/>
        <w:t>the proposed number of patients to be treated</w:t>
      </w:r>
      <w:r w:rsidR="00C57904">
        <w:t xml:space="preserve"> with ripretinib</w:t>
      </w:r>
      <w:r w:rsidR="007C737F">
        <w:t xml:space="preserve"> was likely overestimated. </w:t>
      </w:r>
    </w:p>
    <w:p w:rsidR="00680590" w:rsidRDefault="00680590" w:rsidP="00680590">
      <w:pPr>
        <w:pStyle w:val="ListParagraph"/>
        <w:keepNext/>
        <w:widowControl/>
        <w:numPr>
          <w:ilvl w:val="1"/>
          <w:numId w:val="2"/>
        </w:numPr>
      </w:pPr>
      <w:r>
        <w:t>The PBAC noted the input from individuals, health care professionals and organisations which highlighted the high clinical need for treatment options post imatinib and sunitinib.</w:t>
      </w:r>
      <w:r w:rsidR="008A6D69">
        <w:t xml:space="preserve"> </w:t>
      </w:r>
      <w:r w:rsidR="008A6D69" w:rsidRPr="00E209B2">
        <w:t>In addition, the PBAC noted the Medical Oncology Group of Australia’s strong support for the submission.</w:t>
      </w:r>
    </w:p>
    <w:p w:rsidR="0059540B" w:rsidRDefault="008A6D69" w:rsidP="00680590">
      <w:pPr>
        <w:pStyle w:val="ListParagraph"/>
        <w:keepNext/>
        <w:widowControl/>
        <w:numPr>
          <w:ilvl w:val="1"/>
          <w:numId w:val="2"/>
        </w:numPr>
      </w:pPr>
      <w:r>
        <w:t xml:space="preserve">The PBAC considered BSC to be an appropriate comparator. </w:t>
      </w:r>
    </w:p>
    <w:p w:rsidR="004F5B45" w:rsidRDefault="000C5537" w:rsidP="00680590">
      <w:pPr>
        <w:pStyle w:val="ListParagraph"/>
        <w:keepNext/>
        <w:widowControl/>
        <w:numPr>
          <w:ilvl w:val="1"/>
          <w:numId w:val="2"/>
        </w:numPr>
      </w:pPr>
      <w:r>
        <w:t>The PBAC noted that the claim of superior comparative effectiveness compared to BSC was base</w:t>
      </w:r>
      <w:r w:rsidR="00ED7309">
        <w:t>d on PFS and OS</w:t>
      </w:r>
      <w:r>
        <w:t xml:space="preserve"> from the INVICTUS study (n = 129). The PBAC noted the </w:t>
      </w:r>
      <w:r w:rsidR="00403180">
        <w:t xml:space="preserve">significant </w:t>
      </w:r>
      <w:r w:rsidR="00754478">
        <w:t>improvement in</w:t>
      </w:r>
      <w:r w:rsidR="00403180">
        <w:t xml:space="preserve"> the primary outcome of PFS for patients receiving ripretinib compared with BSC (HR </w:t>
      </w:r>
      <w:r w:rsidR="00403180" w:rsidRPr="00D33691">
        <w:t>0.15; 95% CI 0.09 to 0.25; p&lt;0.0001</w:t>
      </w:r>
      <w:r w:rsidR="00403180">
        <w:t xml:space="preserve">) with a gain in </w:t>
      </w:r>
      <w:r w:rsidR="00754478">
        <w:t xml:space="preserve">median PFS </w:t>
      </w:r>
      <w:r w:rsidR="00403180">
        <w:t xml:space="preserve">of 5.3 months. </w:t>
      </w:r>
      <w:r w:rsidR="001145B6">
        <w:t xml:space="preserve">The PBAC noted that based on the pre-specified hierarchical testing plan, the submission was unable to claim a statistically significant difference for OS (HR 0.36; 95% CI 0.21 to 0.62). </w:t>
      </w:r>
      <w:r w:rsidR="004F5B45">
        <w:t xml:space="preserve">While acknowledging the OS </w:t>
      </w:r>
      <w:r w:rsidR="00F35D6E">
        <w:t xml:space="preserve">data </w:t>
      </w:r>
      <w:r w:rsidR="004F5B45">
        <w:t>was immature (69%</w:t>
      </w:r>
      <w:r w:rsidR="001145B6">
        <w:t xml:space="preserve"> of ripretinib patients were censored</w:t>
      </w:r>
      <w:r w:rsidR="004F5B45">
        <w:t>), the PBAC agreed with the ESC that the OS difference was clinically meaningful in this rare cancer and unlikely to become less clinically meaningful with longer follow-up</w:t>
      </w:r>
      <w:r w:rsidR="00907218">
        <w:t>.</w:t>
      </w:r>
    </w:p>
    <w:p w:rsidR="008A6D69" w:rsidRDefault="009D0CF2" w:rsidP="00707400">
      <w:pPr>
        <w:pStyle w:val="ListParagraph"/>
        <w:keepNext/>
        <w:widowControl/>
        <w:numPr>
          <w:ilvl w:val="1"/>
          <w:numId w:val="2"/>
        </w:numPr>
      </w:pPr>
      <w:r w:rsidRPr="00954D37">
        <w:t xml:space="preserve">The </w:t>
      </w:r>
      <w:r>
        <w:t xml:space="preserve">PBAC noted that the INVICTUS trial enrolled patients from </w:t>
      </w:r>
      <w:r w:rsidR="001D3452">
        <w:t>later lines of therapy (</w:t>
      </w:r>
      <w:r w:rsidR="001D3452">
        <w:rPr>
          <w:rFonts w:cs="Calibri"/>
        </w:rPr>
        <w:t>four or more lines</w:t>
      </w:r>
      <w:r w:rsidR="001D3452">
        <w:t xml:space="preserve"> of therapy; </w:t>
      </w:r>
      <w:r w:rsidR="001D3452">
        <w:rPr>
          <w:rFonts w:cs="Calibri"/>
        </w:rPr>
        <w:t>≥</w:t>
      </w:r>
      <w:r w:rsidR="001D3452">
        <w:t xml:space="preserve">4L) compared to the requested restriction (third line (3L) setting). </w:t>
      </w:r>
      <w:r w:rsidR="00316489">
        <w:t>The submission cited findings from a small phase 1 non-randomised dose escalation study (</w:t>
      </w:r>
      <w:r w:rsidR="001D3452">
        <w:t>NCT02571036</w:t>
      </w:r>
      <w:r w:rsidR="00316489">
        <w:t xml:space="preserve">) to support the claim of comparable efficacy in the 3L setting to that observed in INVICTUS.  Acknowledging the limitations of NCT02571036 the PBAC noted PFS and </w:t>
      </w:r>
      <w:r w:rsidR="00707400">
        <w:t xml:space="preserve">objective response rate (ORR) outcomes in the 3L GIST cohort (PFS = 8.3 months, ORR = 14.3%) exceeded those in the </w:t>
      </w:r>
      <w:r w:rsidR="00707400">
        <w:rPr>
          <w:rFonts w:cs="Calibri"/>
        </w:rPr>
        <w:t>≥</w:t>
      </w:r>
      <w:r w:rsidR="00707400">
        <w:t>4L ripretinib group in INVICTUS (median PFS: 6.3 months; ORR = 9.4%). On balance, t</w:t>
      </w:r>
      <w:r w:rsidRPr="00954D37">
        <w:t xml:space="preserve">he </w:t>
      </w:r>
      <w:r w:rsidR="00707400">
        <w:t xml:space="preserve">PBAC agreed with the ESC </w:t>
      </w:r>
      <w:r w:rsidRPr="00954D37">
        <w:t xml:space="preserve">that clinically it was reasonable to assume that effectiveness in the 3L GIST setting would not be less than that observed in the ≥4L ripretinib group. The </w:t>
      </w:r>
      <w:r w:rsidR="00707400">
        <w:t xml:space="preserve">PBAC </w:t>
      </w:r>
      <w:r w:rsidRPr="00954D37">
        <w:t>considered the claim of superior</w:t>
      </w:r>
      <w:r w:rsidR="00707400">
        <w:t xml:space="preserve"> effectiveness compared with </w:t>
      </w:r>
      <w:r w:rsidRPr="00954D37">
        <w:t>BSC was reasonable.</w:t>
      </w:r>
    </w:p>
    <w:p w:rsidR="00707400" w:rsidRDefault="000101C7" w:rsidP="00AA0E67">
      <w:pPr>
        <w:pStyle w:val="ListParagraph"/>
        <w:widowControl/>
        <w:numPr>
          <w:ilvl w:val="1"/>
          <w:numId w:val="2"/>
        </w:numPr>
      </w:pPr>
      <w:r>
        <w:t>T</w:t>
      </w:r>
      <w:r w:rsidR="000A26A1">
        <w:t xml:space="preserve">he </w:t>
      </w:r>
      <w:r>
        <w:t xml:space="preserve">PBAC noted that while the </w:t>
      </w:r>
      <w:r w:rsidR="000A26A1">
        <w:t xml:space="preserve">ripretinib arm of INVICTUS was associated with statistically significantly higher rates of several specific adverse events (see paragraph </w:t>
      </w:r>
      <w:r w:rsidR="00ED7309">
        <w:t>6.33</w:t>
      </w:r>
      <w:r>
        <w:t xml:space="preserve">) only 8% of patients in that arm discontinued treatment due to an adverse event. </w:t>
      </w:r>
      <w:r w:rsidR="0029205C" w:rsidRPr="003318B9">
        <w:t xml:space="preserve">The PBAC considered that the claim of </w:t>
      </w:r>
      <w:r w:rsidR="0029205C">
        <w:t>non-inferior</w:t>
      </w:r>
      <w:r w:rsidR="0029205C" w:rsidRPr="003318B9">
        <w:t xml:space="preserve"> comparative safety was not adequately supported by the data</w:t>
      </w:r>
      <w:r w:rsidR="0029205C">
        <w:t xml:space="preserve"> but agreed with ESC that ripretinib had an acceptable safety profile.</w:t>
      </w:r>
    </w:p>
    <w:p w:rsidR="006F3CC0" w:rsidRDefault="00F9453E" w:rsidP="0010789F">
      <w:pPr>
        <w:pStyle w:val="ListParagraph"/>
        <w:keepNext/>
        <w:widowControl/>
        <w:numPr>
          <w:ilvl w:val="1"/>
          <w:numId w:val="2"/>
        </w:numPr>
      </w:pPr>
      <w:r>
        <w:t xml:space="preserve">In the INVICTUS trial, 65.9% (29/44) of patients in the BSC arm crossed over to receive ripretinib </w:t>
      </w:r>
      <w:r w:rsidR="00F76B7B">
        <w:t>after progression</w:t>
      </w:r>
      <w:r>
        <w:t>. The PBAC noted the cost-uti</w:t>
      </w:r>
      <w:r w:rsidR="00F76B7B">
        <w:t xml:space="preserve">lity analysis presented assumed that these patients </w:t>
      </w:r>
      <w:r>
        <w:t>would receive treatment with ripretinib post progression</w:t>
      </w:r>
      <w:r w:rsidR="00F76B7B">
        <w:t xml:space="preserve"> (see paragraph</w:t>
      </w:r>
      <w:r w:rsidR="00ED7309">
        <w:t xml:space="preserve"> 6.47</w:t>
      </w:r>
      <w:r w:rsidR="00F76B7B">
        <w:t>)</w:t>
      </w:r>
      <w:r>
        <w:t xml:space="preserve">. </w:t>
      </w:r>
      <w:r w:rsidR="00A146CD">
        <w:t>T</w:t>
      </w:r>
      <w:r w:rsidR="009026AB">
        <w:t xml:space="preserve">he </w:t>
      </w:r>
      <w:r>
        <w:t xml:space="preserve">PBAC agreed with the ESC that the assumption that patients in the BSC arm would receive post progression ripretinib was </w:t>
      </w:r>
      <w:r w:rsidR="00321DC3">
        <w:t xml:space="preserve">incorrect </w:t>
      </w:r>
      <w:r>
        <w:t xml:space="preserve">and strongly favoured ripretinib. </w:t>
      </w:r>
      <w:r w:rsidR="00F76B7B" w:rsidRPr="00F76B7B">
        <w:t xml:space="preserve">Assuming no post progression ripretinib in either treatment arm, </w:t>
      </w:r>
      <w:r w:rsidR="00F76B7B" w:rsidRPr="00F76B7B">
        <w:lastRenderedPageBreak/>
        <w:t xml:space="preserve">the </w:t>
      </w:r>
      <w:r w:rsidR="00F76B7B">
        <w:t xml:space="preserve">PBAC noted the </w:t>
      </w:r>
      <w:r w:rsidR="00F76B7B" w:rsidRPr="00F76B7B">
        <w:t xml:space="preserve">ICER increased from </w:t>
      </w:r>
      <w:r w:rsidR="0010789F" w:rsidRPr="0010789F">
        <w:t>$75,000 to &lt; $95,000</w:t>
      </w:r>
      <w:r w:rsidR="00F76B7B" w:rsidRPr="00F76B7B">
        <w:t xml:space="preserve">/QALY to </w:t>
      </w:r>
      <w:r w:rsidR="0010789F" w:rsidRPr="0010789F">
        <w:t>$155,000 to &lt; $255,000</w:t>
      </w:r>
      <w:r w:rsidR="00F76B7B" w:rsidRPr="00F76B7B">
        <w:t>/QALY</w:t>
      </w:r>
      <w:r w:rsidR="00F76B7B">
        <w:t xml:space="preserve">. </w:t>
      </w:r>
      <w:r w:rsidR="00A146CD">
        <w:t>As such, t</w:t>
      </w:r>
      <w:r w:rsidR="008640EF">
        <w:t xml:space="preserve">he PBAC considered the base case ICER to be substantially underestimated. </w:t>
      </w:r>
    </w:p>
    <w:p w:rsidR="00F76B7B" w:rsidRDefault="002B4C5E" w:rsidP="0010789F">
      <w:pPr>
        <w:pStyle w:val="ListParagraph"/>
        <w:widowControl/>
        <w:numPr>
          <w:ilvl w:val="1"/>
          <w:numId w:val="2"/>
        </w:numPr>
      </w:pPr>
      <w:r>
        <w:t xml:space="preserve">The pre-PBAC response indicated a willingness to reduce the price of ripretinib with the extent of the reduction </w:t>
      </w:r>
      <w:r w:rsidR="006F3CC0">
        <w:t xml:space="preserve">considered acceptable to the sponsor </w:t>
      </w:r>
      <w:r>
        <w:t xml:space="preserve">not quantified. </w:t>
      </w:r>
      <w:r w:rsidR="00647746" w:rsidRPr="008457D8">
        <w:t xml:space="preserve">The PBAC acknowledged the sensitivity analysis as presented in paragraph 7.7 potentially underestimated the benefit of ripretinib due to use of the ITT OS results without adjustment for the 65.9% </w:t>
      </w:r>
      <w:r w:rsidR="001F6A76" w:rsidRPr="008457D8">
        <w:t xml:space="preserve">(29/44) </w:t>
      </w:r>
      <w:r w:rsidR="00647746" w:rsidRPr="008457D8">
        <w:t xml:space="preserve">of patients in the BSC arm receiving ripretinib. The PBAC considered given the high clinical need and noting that the benefit was potentially underestimated, that an ICER of approximately </w:t>
      </w:r>
      <w:r w:rsidR="0010789F" w:rsidRPr="0010789F">
        <w:t>$75,000 to &lt; $95,000</w:t>
      </w:r>
      <w:r w:rsidR="00647746" w:rsidRPr="008457D8">
        <w:t>/QALY</w:t>
      </w:r>
      <w:r w:rsidR="00B745E4" w:rsidRPr="008457D8">
        <w:t xml:space="preserve"> </w:t>
      </w:r>
      <w:r w:rsidR="00647746" w:rsidRPr="008457D8">
        <w:t>would be required for the sensitivity analysis for ripretinib to be considered cost-effective.</w:t>
      </w:r>
      <w:r w:rsidR="001F6A76" w:rsidRPr="008457D8">
        <w:t xml:space="preserve"> This took into account the fact that the small sample size in the control group (n=44, 29 of who received ripretinib on progression) would mean that any adjustment to the OS data for switching would be prone to statistical imprecision and subject to much uncertainty</w:t>
      </w:r>
      <w:r w:rsidR="007E6314" w:rsidRPr="008457D8">
        <w:t xml:space="preserve">, such that it </w:t>
      </w:r>
      <w:r w:rsidR="00C178C7" w:rsidRPr="008457D8">
        <w:t>may</w:t>
      </w:r>
      <w:r w:rsidR="007E6314" w:rsidRPr="008457D8">
        <w:t xml:space="preserve"> not be helpful for decision-making</w:t>
      </w:r>
      <w:r w:rsidR="001F6A76" w:rsidRPr="008457D8">
        <w:t xml:space="preserve">.  </w:t>
      </w:r>
    </w:p>
    <w:p w:rsidR="00AA353E" w:rsidRDefault="00C57904" w:rsidP="008457D8">
      <w:pPr>
        <w:pStyle w:val="ListParagraph"/>
        <w:widowControl/>
        <w:numPr>
          <w:ilvl w:val="1"/>
          <w:numId w:val="2"/>
        </w:numPr>
      </w:pPr>
      <w:r w:rsidRPr="008457D8">
        <w:t>The PBAC</w:t>
      </w:r>
      <w:r>
        <w:rPr>
          <w:iCs/>
        </w:rPr>
        <w:t xml:space="preserve"> noted </w:t>
      </w:r>
      <w:r w:rsidR="00ED7309">
        <w:rPr>
          <w:iCs/>
        </w:rPr>
        <w:t xml:space="preserve">PBS prescription </w:t>
      </w:r>
      <w:r>
        <w:rPr>
          <w:iCs/>
        </w:rPr>
        <w:t xml:space="preserve">data provided by the DUSC Secretariat which indicated </w:t>
      </w:r>
      <w:r w:rsidR="007E6F6F">
        <w:rPr>
          <w:iCs/>
        </w:rPr>
        <w:t>&lt; 500</w:t>
      </w:r>
      <w:r>
        <w:rPr>
          <w:iCs/>
        </w:rPr>
        <w:t xml:space="preserve"> patients initiated treatment with sunitinib for GIST in 2020. </w:t>
      </w:r>
      <w:r w:rsidR="00AA353E">
        <w:rPr>
          <w:iCs/>
        </w:rPr>
        <w:t xml:space="preserve">The PBAC considered these data indicate a lower proportion of imatinib patients go onto sunitinib in clinical practice than the 90% assumed in the submission. As a result, the PBAC considered the proposed number of patients treated with ripretinib was likely overestimated.  </w:t>
      </w:r>
    </w:p>
    <w:p w:rsidR="00640487" w:rsidRPr="001614B7" w:rsidRDefault="00640487" w:rsidP="00640487">
      <w:pPr>
        <w:pStyle w:val="ListParagraph"/>
        <w:keepNext/>
        <w:widowControl/>
        <w:numPr>
          <w:ilvl w:val="1"/>
          <w:numId w:val="2"/>
        </w:numPr>
      </w:pPr>
      <w:r w:rsidRPr="001614B7">
        <w:t xml:space="preserve">The PBAC considered the outstanding issues may be addressed in </w:t>
      </w:r>
      <w:r>
        <w:t>a simple resubmission for ripretinib</w:t>
      </w:r>
      <w:r w:rsidRPr="001614B7">
        <w:t xml:space="preserve"> if the following changes were made, without any additional amendments to the economic evaluation or financial implications: </w:t>
      </w:r>
    </w:p>
    <w:p w:rsidR="00716EE7" w:rsidRDefault="00C57904" w:rsidP="0010789F">
      <w:pPr>
        <w:pStyle w:val="ListParagraph"/>
        <w:numPr>
          <w:ilvl w:val="0"/>
          <w:numId w:val="4"/>
        </w:numPr>
      </w:pPr>
      <w:r>
        <w:t xml:space="preserve">A price reduction to achieve an ICER of </w:t>
      </w:r>
      <w:r w:rsidR="00500B7E">
        <w:t xml:space="preserve">approximately </w:t>
      </w:r>
      <w:r w:rsidR="0010789F" w:rsidRPr="0010789F">
        <w:t>$75,000 to &lt; $95,000</w:t>
      </w:r>
      <w:r w:rsidR="00310978">
        <w:t>/</w:t>
      </w:r>
      <w:r>
        <w:t xml:space="preserve">QALY based on the </w:t>
      </w:r>
      <w:r w:rsidR="00BF6414">
        <w:t>scenario</w:t>
      </w:r>
      <w:r>
        <w:t xml:space="preserve"> outlined in paragraph 7.7</w:t>
      </w:r>
      <w:r w:rsidR="00BF6414">
        <w:t>.</w:t>
      </w:r>
      <w:r w:rsidR="00F55A17">
        <w:t xml:space="preserve"> </w:t>
      </w:r>
    </w:p>
    <w:p w:rsidR="00716EE7" w:rsidRDefault="00AA353E" w:rsidP="008F571B">
      <w:pPr>
        <w:pStyle w:val="ListParagraph"/>
        <w:numPr>
          <w:ilvl w:val="0"/>
          <w:numId w:val="4"/>
        </w:numPr>
        <w:ind w:left="1134" w:hanging="425"/>
      </w:pPr>
      <w:r>
        <w:t>Revision of the assumption that 90% of imatinib patients go onto sunitinib in the financial estimates and r</w:t>
      </w:r>
      <w:r w:rsidR="00716EE7">
        <w:t xml:space="preserve">ecalculation of the financial implications using the revised ripretinib price. </w:t>
      </w:r>
    </w:p>
    <w:p w:rsidR="00640487" w:rsidRPr="001614B7" w:rsidRDefault="00640487" w:rsidP="00716EE7">
      <w:pPr>
        <w:pStyle w:val="ListParagraph"/>
        <w:keepNext/>
        <w:widowControl/>
        <w:numPr>
          <w:ilvl w:val="1"/>
          <w:numId w:val="2"/>
        </w:numPr>
      </w:pPr>
      <w:r w:rsidRPr="001614B7">
        <w:t>The PBAC considered an early re-entry pathway would be acceptable if the resubmission addressed each of the points in the above paragraph with no further adjustment. The resubmission must be lodged by week 7 of the current PBAC cycle or the next cycle. If any of these terms are not acceptable to the sponsor, a standard re-entry pathway is available.</w:t>
      </w:r>
    </w:p>
    <w:p w:rsidR="003512F0" w:rsidRPr="003512F0" w:rsidRDefault="008F07E0" w:rsidP="003512F0">
      <w:pPr>
        <w:widowControl/>
        <w:numPr>
          <w:ilvl w:val="1"/>
          <w:numId w:val="2"/>
        </w:numPr>
        <w:spacing w:after="120"/>
        <w:rPr>
          <w:rFonts w:asciiTheme="minorHAnsi" w:hAnsiTheme="minorHAnsi"/>
          <w:bCs/>
          <w:szCs w:val="24"/>
          <w:lang w:val="en-GB" w:eastAsia="en-AU"/>
        </w:rPr>
      </w:pPr>
      <w:r w:rsidRPr="008F07E0">
        <w:rPr>
          <w:rFonts w:asciiTheme="minorHAnsi" w:hAnsiTheme="minorHAnsi"/>
          <w:bCs/>
          <w:szCs w:val="24"/>
          <w:lang w:val="en-GB" w:eastAsia="en-AU"/>
        </w:rPr>
        <w:t>The PBAC note</w:t>
      </w:r>
      <w:r w:rsidR="003512F0">
        <w:rPr>
          <w:rFonts w:asciiTheme="minorHAnsi" w:hAnsiTheme="minorHAnsi"/>
          <w:bCs/>
          <w:szCs w:val="24"/>
          <w:lang w:val="en-GB" w:eastAsia="en-AU"/>
        </w:rPr>
        <w:t>d that this submission is</w:t>
      </w:r>
      <w:r w:rsidRPr="008F07E0">
        <w:rPr>
          <w:rFonts w:asciiTheme="minorHAnsi" w:hAnsiTheme="minorHAnsi"/>
          <w:bCs/>
          <w:szCs w:val="24"/>
          <w:lang w:val="en-GB" w:eastAsia="en-AU"/>
        </w:rPr>
        <w:t xml:space="preserve"> eligible for an Independent </w:t>
      </w:r>
      <w:r w:rsidRPr="003512F0">
        <w:rPr>
          <w:rFonts w:asciiTheme="minorHAnsi" w:hAnsiTheme="minorHAnsi"/>
          <w:bCs/>
          <w:szCs w:val="24"/>
          <w:lang w:val="en-GB" w:eastAsia="en-AU"/>
        </w:rPr>
        <w:t>Review.</w:t>
      </w:r>
      <w:r w:rsidR="003512F0" w:rsidRPr="003512F0">
        <w:rPr>
          <w:rFonts w:asciiTheme="minorHAnsi" w:hAnsiTheme="minorHAnsi"/>
          <w:bCs/>
          <w:szCs w:val="24"/>
          <w:lang w:val="en-GB" w:eastAsia="en-AU"/>
        </w:rPr>
        <w:t xml:space="preserve"> </w:t>
      </w:r>
    </w:p>
    <w:p w:rsidR="008F07E0" w:rsidRPr="008F07E0" w:rsidRDefault="008F07E0" w:rsidP="008F07E0">
      <w:pPr>
        <w:widowControl/>
        <w:spacing w:before="240"/>
        <w:rPr>
          <w:rFonts w:asciiTheme="minorHAnsi" w:hAnsiTheme="minorHAnsi"/>
          <w:b/>
          <w:bCs/>
          <w:szCs w:val="24"/>
          <w:lang w:val="en-GB" w:eastAsia="en-AU"/>
        </w:rPr>
      </w:pPr>
      <w:r w:rsidRPr="008F07E0">
        <w:rPr>
          <w:rFonts w:asciiTheme="minorHAnsi" w:hAnsiTheme="minorHAnsi"/>
          <w:b/>
          <w:bCs/>
          <w:szCs w:val="24"/>
          <w:lang w:val="en-GB" w:eastAsia="en-AU"/>
        </w:rPr>
        <w:t>Outcome:</w:t>
      </w:r>
    </w:p>
    <w:p w:rsidR="008F07E0" w:rsidRPr="008F07E0" w:rsidRDefault="008F07E0" w:rsidP="008F07E0">
      <w:pPr>
        <w:widowControl/>
        <w:rPr>
          <w:rFonts w:asciiTheme="minorHAnsi" w:hAnsiTheme="minorHAnsi"/>
          <w:bCs/>
          <w:szCs w:val="24"/>
          <w:lang w:val="en-GB" w:eastAsia="en-AU"/>
        </w:rPr>
      </w:pPr>
      <w:r w:rsidRPr="008F07E0">
        <w:rPr>
          <w:rFonts w:asciiTheme="minorHAnsi" w:hAnsiTheme="minorHAnsi"/>
          <w:bCs/>
          <w:szCs w:val="24"/>
          <w:lang w:val="en-GB" w:eastAsia="en-AU"/>
        </w:rPr>
        <w:t xml:space="preserve">Rejected </w:t>
      </w:r>
    </w:p>
    <w:bookmarkEnd w:id="0"/>
    <w:bookmarkEnd w:id="1"/>
    <w:bookmarkEnd w:id="2"/>
    <w:bookmarkEnd w:id="3"/>
    <w:bookmarkEnd w:id="4"/>
    <w:p w:rsidR="008F07E0" w:rsidRDefault="008F07E0" w:rsidP="008F07E0">
      <w:pPr>
        <w:rPr>
          <w:rFonts w:asciiTheme="minorHAnsi" w:hAnsiTheme="minorHAnsi"/>
          <w:b/>
          <w:bCs/>
          <w:szCs w:val="24"/>
          <w:lang w:eastAsia="en-AU"/>
        </w:rPr>
      </w:pPr>
    </w:p>
    <w:p w:rsidR="00B423CC" w:rsidRPr="00B423CC" w:rsidRDefault="00B423CC" w:rsidP="00B423CC">
      <w:pPr>
        <w:pStyle w:val="2-SectionHeading"/>
        <w:numPr>
          <w:ilvl w:val="0"/>
          <w:numId w:val="2"/>
        </w:numPr>
      </w:pPr>
      <w:r w:rsidRPr="00C07617">
        <w:lastRenderedPageBreak/>
        <w:t>Context for Decision</w:t>
      </w:r>
    </w:p>
    <w:p w:rsidR="00B423CC" w:rsidRPr="007129F2" w:rsidRDefault="00B423CC" w:rsidP="00EB61A9">
      <w:pPr>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B423CC" w:rsidRPr="00B423CC" w:rsidRDefault="00B423CC" w:rsidP="00B423CC">
      <w:pPr>
        <w:pStyle w:val="2-SectionHeading"/>
        <w:numPr>
          <w:ilvl w:val="0"/>
          <w:numId w:val="2"/>
        </w:numPr>
      </w:pPr>
      <w:r>
        <w:t>Sponsor’s Comment</w:t>
      </w:r>
    </w:p>
    <w:p w:rsidR="00B423CC" w:rsidRPr="008F07E0" w:rsidRDefault="005D2445" w:rsidP="00EB61A9">
      <w:pPr>
        <w:ind w:left="720"/>
        <w:rPr>
          <w:rFonts w:asciiTheme="minorHAnsi" w:hAnsiTheme="minorHAnsi"/>
          <w:b/>
          <w:bCs/>
          <w:szCs w:val="24"/>
          <w:lang w:eastAsia="en-AU"/>
        </w:rPr>
      </w:pPr>
      <w:r w:rsidRPr="005D2445">
        <w:rPr>
          <w:bCs/>
          <w:lang w:val="en-GB"/>
        </w:rPr>
        <w:t>Specialised Therapeutics (ST) are committed to working with the PBAC to make Qinlock available for refractory GIST patients via the Early Re-Entry pathway.  If this subsequent application is unsuccessful, ST will make Qinlock available as a private prescription.</w:t>
      </w:r>
    </w:p>
    <w:sectPr w:rsidR="00B423CC" w:rsidRPr="008F07E0" w:rsidSect="000571E1">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DD0E8" w16cex:dateUtc="2021-04-11T09:47:00Z"/>
  <w16cex:commentExtensible w16cex:durableId="241BCD23" w16cex:dateUtc="2021-04-09T21:37:00Z"/>
  <w16cex:commentExtensible w16cex:durableId="241DD6E4" w16cex:dateUtc="2021-04-11T10:13:00Z"/>
  <w16cex:commentExtensible w16cex:durableId="241BCE70" w16cex:dateUtc="2021-04-09T21:42:00Z"/>
  <w16cex:commentExtensible w16cex:durableId="241DD8AB" w16cex:dateUtc="2021-04-11T10:20:00Z"/>
  <w16cex:commentExtensible w16cex:durableId="241BCF07" w16cex:dateUtc="2021-04-09T21:45:00Z"/>
  <w16cex:commentExtensible w16cex:durableId="241DD938" w16cex:dateUtc="2021-04-11T10: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1A6E306" w16cid:durableId="241DD0E8"/>
  <w16cid:commentId w16cid:paraId="7D053C0F" w16cid:durableId="241BCC63"/>
  <w16cid:commentId w16cid:paraId="404684F3" w16cid:durableId="241BCD23"/>
  <w16cid:commentId w16cid:paraId="5C54F63A" w16cid:durableId="241DD6E4"/>
  <w16cid:commentId w16cid:paraId="26F17366" w16cid:durableId="241BCC64"/>
  <w16cid:commentId w16cid:paraId="004E855E" w16cid:durableId="241BCC65"/>
  <w16cid:commentId w16cid:paraId="6EEE5B56" w16cid:durableId="241BCE70"/>
  <w16cid:commentId w16cid:paraId="6DF2CA3F" w16cid:durableId="241DD8AB"/>
  <w16cid:commentId w16cid:paraId="5833182D" w16cid:durableId="241BCC66"/>
  <w16cid:commentId w16cid:paraId="0139B37C" w16cid:durableId="241BCF07"/>
  <w16cid:commentId w16cid:paraId="0ED4F5C0" w16cid:durableId="241DD93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110" w:rsidRDefault="00AC5110" w:rsidP="00124A51">
      <w:r>
        <w:separator/>
      </w:r>
    </w:p>
    <w:p w:rsidR="00AC5110" w:rsidRDefault="00AC5110"/>
  </w:endnote>
  <w:endnote w:type="continuationSeparator" w:id="0">
    <w:p w:rsidR="00AC5110" w:rsidRDefault="00AC5110" w:rsidP="00124A51">
      <w:r>
        <w:continuationSeparator/>
      </w:r>
    </w:p>
    <w:p w:rsidR="00AC5110" w:rsidRDefault="00AC51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Marlett">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937" w:rsidRDefault="00487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937" w:rsidRDefault="00487937">
    <w:pPr>
      <w:pStyle w:val="Footer"/>
      <w:jc w:val="center"/>
    </w:pPr>
  </w:p>
  <w:p w:rsidR="00487937" w:rsidRPr="001F1D86" w:rsidRDefault="00B045E4" w:rsidP="001F1D86">
    <w:pPr>
      <w:pStyle w:val="Footer"/>
      <w:jc w:val="center"/>
      <w:rPr>
        <w:b/>
      </w:rPr>
    </w:pPr>
    <w:sdt>
      <w:sdtPr>
        <w:id w:val="-1599023244"/>
        <w:docPartObj>
          <w:docPartGallery w:val="Page Numbers (Bottom of Page)"/>
          <w:docPartUnique/>
        </w:docPartObj>
      </w:sdtPr>
      <w:sdtEndPr>
        <w:rPr>
          <w:b/>
          <w:noProof/>
        </w:rPr>
      </w:sdtEndPr>
      <w:sdtContent>
        <w:r w:rsidR="00487937" w:rsidRPr="001F1D86">
          <w:rPr>
            <w:b/>
          </w:rPr>
          <w:fldChar w:fldCharType="begin"/>
        </w:r>
        <w:r w:rsidR="00487937" w:rsidRPr="001F1D86">
          <w:rPr>
            <w:b/>
          </w:rPr>
          <w:instrText xml:space="preserve"> PAGE   \* MERGEFORMAT </w:instrText>
        </w:r>
        <w:r w:rsidR="00487937" w:rsidRPr="001F1D86">
          <w:rPr>
            <w:b/>
          </w:rPr>
          <w:fldChar w:fldCharType="separate"/>
        </w:r>
        <w:r>
          <w:rPr>
            <w:b/>
            <w:noProof/>
          </w:rPr>
          <w:t>28</w:t>
        </w:r>
        <w:r w:rsidR="00487937" w:rsidRPr="001F1D86">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937" w:rsidRDefault="00487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110" w:rsidRDefault="00AC5110" w:rsidP="00124A51">
      <w:r>
        <w:separator/>
      </w:r>
    </w:p>
    <w:p w:rsidR="00AC5110" w:rsidRDefault="00AC5110"/>
  </w:footnote>
  <w:footnote w:type="continuationSeparator" w:id="0">
    <w:p w:rsidR="00AC5110" w:rsidRDefault="00AC5110" w:rsidP="00124A51">
      <w:r>
        <w:continuationSeparator/>
      </w:r>
    </w:p>
    <w:p w:rsidR="00AC5110" w:rsidRDefault="00AC5110"/>
  </w:footnote>
  <w:footnote w:id="1">
    <w:p w:rsidR="00487937" w:rsidRDefault="00487937">
      <w:pPr>
        <w:pStyle w:val="FootnoteText"/>
      </w:pPr>
      <w:r>
        <w:rPr>
          <w:rStyle w:val="FootnoteReference"/>
        </w:rPr>
        <w:footnoteRef/>
      </w:r>
      <w:r>
        <w:t xml:space="preserve"> </w:t>
      </w:r>
      <w:r w:rsidRPr="003318B9">
        <w:rPr>
          <w:rFonts w:asciiTheme="minorHAnsi" w:hAnsiTheme="minorHAnsi"/>
          <w:bCs/>
          <w:sz w:val="16"/>
          <w:szCs w:val="24"/>
        </w:rPr>
        <w:t>Cherny NI, Dafni U, Bogaerts J, et al: ESMO-Magnitude of Clinical Benefit Scale version 1.1. Annals of Oncolog</w:t>
      </w:r>
      <w:r>
        <w:rPr>
          <w:rFonts w:asciiTheme="minorHAnsi" w:hAnsiTheme="minorHAnsi"/>
          <w:bCs/>
          <w:sz w:val="16"/>
          <w:szCs w:val="24"/>
        </w:rPr>
        <w:t>y 28:2340-2366, 2017</w:t>
      </w:r>
    </w:p>
  </w:footnote>
  <w:footnote w:id="2">
    <w:p w:rsidR="00487937" w:rsidRPr="00D80787" w:rsidRDefault="00487937">
      <w:pPr>
        <w:pStyle w:val="FootnoteText"/>
        <w:rPr>
          <w:lang w:val="en-US"/>
        </w:rPr>
      </w:pPr>
      <w:r>
        <w:rPr>
          <w:rStyle w:val="FootnoteReference"/>
        </w:rPr>
        <w:footnoteRef/>
      </w:r>
      <w:r>
        <w:t xml:space="preserve"> </w:t>
      </w:r>
      <w:r w:rsidRPr="00D80787">
        <w:t>Demetri</w:t>
      </w:r>
      <w:r>
        <w:t xml:space="preserve"> GD, Reichardt P, Kang Y, Blay, JY, Joensuu H, Schaefer K; Casali PG, Kappeler C. Final overall survival </w:t>
      </w:r>
      <w:r w:rsidRPr="00D80787">
        <w:t>analysis with modeling of crossover impact in the phase III GRID trial of regorafenib vs placebo in advanced gastro</w:t>
      </w:r>
      <w:r>
        <w:t>intestinal stromal tumors</w:t>
      </w:r>
      <w:r w:rsidRPr="00D80787">
        <w:t>.</w:t>
      </w:r>
      <w:r>
        <w:t xml:space="preserve"> J Clin</w:t>
      </w:r>
      <w:r w:rsidRPr="00D80787">
        <w:t xml:space="preserve"> Oncology</w:t>
      </w:r>
      <w:r>
        <w:t>.</w:t>
      </w:r>
      <w:r w:rsidRPr="00D80787">
        <w:t xml:space="preserve"> 2016</w:t>
      </w:r>
      <w:r>
        <w:t>; 34:</w:t>
      </w:r>
      <w:r w:rsidRPr="00D80787">
        <w:t xml:space="preserve"> 156-156</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937" w:rsidRDefault="00487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937" w:rsidRPr="001F1D86" w:rsidRDefault="00487937" w:rsidP="001F1D86">
    <w:pPr>
      <w:widowControl/>
      <w:tabs>
        <w:tab w:val="center" w:pos="4153"/>
        <w:tab w:val="right" w:pos="8306"/>
      </w:tabs>
      <w:autoSpaceDE w:val="0"/>
      <w:autoSpaceDN w:val="0"/>
      <w:adjustRightInd w:val="0"/>
      <w:jc w:val="center"/>
      <w:rPr>
        <w:rFonts w:asciiTheme="minorHAnsi" w:hAnsiTheme="minorHAnsi" w:cstheme="minorHAnsi"/>
        <w:i/>
        <w:iCs/>
        <w:snapToGrid/>
        <w:szCs w:val="24"/>
        <w:lang w:eastAsia="en-AU"/>
      </w:rPr>
    </w:pPr>
    <w:r>
      <w:rPr>
        <w:rFonts w:asciiTheme="minorHAnsi" w:hAnsiTheme="minorHAnsi" w:cstheme="minorHAnsi"/>
        <w:i/>
        <w:iCs/>
        <w:snapToGrid/>
        <w:szCs w:val="24"/>
        <w:lang w:eastAsia="en-AU"/>
      </w:rPr>
      <w:t>Public Summary Document</w:t>
    </w:r>
    <w:r w:rsidRPr="001F1D86">
      <w:rPr>
        <w:rFonts w:asciiTheme="minorHAnsi" w:hAnsiTheme="minorHAnsi" w:cstheme="minorHAnsi"/>
        <w:i/>
        <w:iCs/>
        <w:snapToGrid/>
        <w:szCs w:val="24"/>
        <w:lang w:eastAsia="en-AU"/>
      </w:rPr>
      <w:t xml:space="preserve"> – March 2021 PBAC Meeting</w:t>
    </w:r>
  </w:p>
  <w:p w:rsidR="00487937" w:rsidRDefault="0048793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937" w:rsidRDefault="00487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B6EC1"/>
    <w:multiLevelType w:val="hybridMultilevel"/>
    <w:tmpl w:val="367EE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21607"/>
    <w:multiLevelType w:val="hybridMultilevel"/>
    <w:tmpl w:val="745C4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04334C"/>
    <w:multiLevelType w:val="hybridMultilevel"/>
    <w:tmpl w:val="314A4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4D033C"/>
    <w:multiLevelType w:val="multilevel"/>
    <w:tmpl w:val="381CF83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D15507C"/>
    <w:multiLevelType w:val="hybridMultilevel"/>
    <w:tmpl w:val="D7EC0A4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5"/>
  </w:num>
  <w:num w:numId="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removePersonalInformation/>
  <w:removeDateAndTime/>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0AFC"/>
    <w:rsid w:val="00000C69"/>
    <w:rsid w:val="0000110B"/>
    <w:rsid w:val="000027C0"/>
    <w:rsid w:val="00003499"/>
    <w:rsid w:val="000039B7"/>
    <w:rsid w:val="0000448E"/>
    <w:rsid w:val="0000498D"/>
    <w:rsid w:val="00005102"/>
    <w:rsid w:val="00007784"/>
    <w:rsid w:val="000101C7"/>
    <w:rsid w:val="000105DE"/>
    <w:rsid w:val="00013247"/>
    <w:rsid w:val="0001488B"/>
    <w:rsid w:val="00015886"/>
    <w:rsid w:val="000162EF"/>
    <w:rsid w:val="0002225F"/>
    <w:rsid w:val="00023763"/>
    <w:rsid w:val="00024C15"/>
    <w:rsid w:val="000269F4"/>
    <w:rsid w:val="00027C1C"/>
    <w:rsid w:val="00032521"/>
    <w:rsid w:val="00033562"/>
    <w:rsid w:val="00033863"/>
    <w:rsid w:val="00035DC0"/>
    <w:rsid w:val="00036829"/>
    <w:rsid w:val="00040895"/>
    <w:rsid w:val="00043C37"/>
    <w:rsid w:val="00045017"/>
    <w:rsid w:val="000454BA"/>
    <w:rsid w:val="00045A2B"/>
    <w:rsid w:val="000466B7"/>
    <w:rsid w:val="0004698F"/>
    <w:rsid w:val="00046A87"/>
    <w:rsid w:val="00050AA0"/>
    <w:rsid w:val="00052DC0"/>
    <w:rsid w:val="000539D0"/>
    <w:rsid w:val="00054621"/>
    <w:rsid w:val="000546D7"/>
    <w:rsid w:val="00057080"/>
    <w:rsid w:val="000571E1"/>
    <w:rsid w:val="0006111E"/>
    <w:rsid w:val="000629A6"/>
    <w:rsid w:val="00063389"/>
    <w:rsid w:val="00063B7F"/>
    <w:rsid w:val="00065EA5"/>
    <w:rsid w:val="00066360"/>
    <w:rsid w:val="00066A2A"/>
    <w:rsid w:val="00067ED6"/>
    <w:rsid w:val="00071248"/>
    <w:rsid w:val="000720B9"/>
    <w:rsid w:val="000737F7"/>
    <w:rsid w:val="000757D9"/>
    <w:rsid w:val="00076067"/>
    <w:rsid w:val="0007672F"/>
    <w:rsid w:val="00076C28"/>
    <w:rsid w:val="000774F0"/>
    <w:rsid w:val="00080370"/>
    <w:rsid w:val="00080909"/>
    <w:rsid w:val="00081210"/>
    <w:rsid w:val="000812CA"/>
    <w:rsid w:val="000813A5"/>
    <w:rsid w:val="000815FE"/>
    <w:rsid w:val="0008258D"/>
    <w:rsid w:val="00083E99"/>
    <w:rsid w:val="00083F05"/>
    <w:rsid w:val="000856C5"/>
    <w:rsid w:val="00085A74"/>
    <w:rsid w:val="00090C7E"/>
    <w:rsid w:val="000910C5"/>
    <w:rsid w:val="000911E5"/>
    <w:rsid w:val="00092600"/>
    <w:rsid w:val="0009262B"/>
    <w:rsid w:val="00092EA7"/>
    <w:rsid w:val="00093310"/>
    <w:rsid w:val="00093756"/>
    <w:rsid w:val="0009445C"/>
    <w:rsid w:val="00094C0E"/>
    <w:rsid w:val="00095FE5"/>
    <w:rsid w:val="00096284"/>
    <w:rsid w:val="0009628E"/>
    <w:rsid w:val="000A26A1"/>
    <w:rsid w:val="000A310D"/>
    <w:rsid w:val="000A6271"/>
    <w:rsid w:val="000A7D08"/>
    <w:rsid w:val="000B0670"/>
    <w:rsid w:val="000B0E75"/>
    <w:rsid w:val="000B183B"/>
    <w:rsid w:val="000B1F07"/>
    <w:rsid w:val="000B499E"/>
    <w:rsid w:val="000B587B"/>
    <w:rsid w:val="000B646E"/>
    <w:rsid w:val="000B6CAC"/>
    <w:rsid w:val="000B7612"/>
    <w:rsid w:val="000C3DF9"/>
    <w:rsid w:val="000C5537"/>
    <w:rsid w:val="000C6713"/>
    <w:rsid w:val="000C6ED8"/>
    <w:rsid w:val="000C6FF4"/>
    <w:rsid w:val="000D06F8"/>
    <w:rsid w:val="000D1BFC"/>
    <w:rsid w:val="000D25EC"/>
    <w:rsid w:val="000D281A"/>
    <w:rsid w:val="000D326A"/>
    <w:rsid w:val="000D365E"/>
    <w:rsid w:val="000D3E76"/>
    <w:rsid w:val="000D51FB"/>
    <w:rsid w:val="000D7874"/>
    <w:rsid w:val="000E099F"/>
    <w:rsid w:val="000E0C9C"/>
    <w:rsid w:val="000E1235"/>
    <w:rsid w:val="000E135D"/>
    <w:rsid w:val="000E75F4"/>
    <w:rsid w:val="000F00BA"/>
    <w:rsid w:val="000F316A"/>
    <w:rsid w:val="000F3C74"/>
    <w:rsid w:val="000F4BB8"/>
    <w:rsid w:val="000F7127"/>
    <w:rsid w:val="000F7DAF"/>
    <w:rsid w:val="00100F8A"/>
    <w:rsid w:val="00104F75"/>
    <w:rsid w:val="00105AE2"/>
    <w:rsid w:val="00106B80"/>
    <w:rsid w:val="0010789F"/>
    <w:rsid w:val="0011032E"/>
    <w:rsid w:val="0011327D"/>
    <w:rsid w:val="0011348B"/>
    <w:rsid w:val="001145B6"/>
    <w:rsid w:val="00115982"/>
    <w:rsid w:val="00116C30"/>
    <w:rsid w:val="00116C53"/>
    <w:rsid w:val="00117252"/>
    <w:rsid w:val="00117500"/>
    <w:rsid w:val="00121799"/>
    <w:rsid w:val="001222FC"/>
    <w:rsid w:val="00124A51"/>
    <w:rsid w:val="00126621"/>
    <w:rsid w:val="0012770D"/>
    <w:rsid w:val="001301E9"/>
    <w:rsid w:val="00131D82"/>
    <w:rsid w:val="00133D36"/>
    <w:rsid w:val="00134695"/>
    <w:rsid w:val="00135E83"/>
    <w:rsid w:val="001371D8"/>
    <w:rsid w:val="00137645"/>
    <w:rsid w:val="0014015A"/>
    <w:rsid w:val="00140E99"/>
    <w:rsid w:val="00145540"/>
    <w:rsid w:val="001456B0"/>
    <w:rsid w:val="00151DC6"/>
    <w:rsid w:val="001520B7"/>
    <w:rsid w:val="00152C75"/>
    <w:rsid w:val="00157130"/>
    <w:rsid w:val="001576B1"/>
    <w:rsid w:val="001604F2"/>
    <w:rsid w:val="00160A4C"/>
    <w:rsid w:val="001611AC"/>
    <w:rsid w:val="00161654"/>
    <w:rsid w:val="00162913"/>
    <w:rsid w:val="00163EFF"/>
    <w:rsid w:val="001661FB"/>
    <w:rsid w:val="00167818"/>
    <w:rsid w:val="00173565"/>
    <w:rsid w:val="00173B07"/>
    <w:rsid w:val="00176C97"/>
    <w:rsid w:val="00180DE8"/>
    <w:rsid w:val="00181D9C"/>
    <w:rsid w:val="00182FE3"/>
    <w:rsid w:val="001870D7"/>
    <w:rsid w:val="0018752F"/>
    <w:rsid w:val="00191C93"/>
    <w:rsid w:val="001943BC"/>
    <w:rsid w:val="00195222"/>
    <w:rsid w:val="001956C7"/>
    <w:rsid w:val="001975D8"/>
    <w:rsid w:val="001A43FA"/>
    <w:rsid w:val="001A47CF"/>
    <w:rsid w:val="001A4CE3"/>
    <w:rsid w:val="001A59FB"/>
    <w:rsid w:val="001A5D8F"/>
    <w:rsid w:val="001A6354"/>
    <w:rsid w:val="001A7AE8"/>
    <w:rsid w:val="001B0E74"/>
    <w:rsid w:val="001B204E"/>
    <w:rsid w:val="001B3443"/>
    <w:rsid w:val="001B446D"/>
    <w:rsid w:val="001B4D20"/>
    <w:rsid w:val="001B7508"/>
    <w:rsid w:val="001C0E56"/>
    <w:rsid w:val="001C1A3C"/>
    <w:rsid w:val="001C1EED"/>
    <w:rsid w:val="001C2A9B"/>
    <w:rsid w:val="001C33CB"/>
    <w:rsid w:val="001C4299"/>
    <w:rsid w:val="001C5F94"/>
    <w:rsid w:val="001C6E66"/>
    <w:rsid w:val="001D3452"/>
    <w:rsid w:val="001D6CE3"/>
    <w:rsid w:val="001E02A9"/>
    <w:rsid w:val="001E0659"/>
    <w:rsid w:val="001E0C18"/>
    <w:rsid w:val="001E238E"/>
    <w:rsid w:val="001E245B"/>
    <w:rsid w:val="001E2483"/>
    <w:rsid w:val="001E2713"/>
    <w:rsid w:val="001E2B1E"/>
    <w:rsid w:val="001E30D4"/>
    <w:rsid w:val="001E32E4"/>
    <w:rsid w:val="001E3350"/>
    <w:rsid w:val="001E52EB"/>
    <w:rsid w:val="001E61D2"/>
    <w:rsid w:val="001E740C"/>
    <w:rsid w:val="001F1235"/>
    <w:rsid w:val="001F1AF2"/>
    <w:rsid w:val="001F1CB3"/>
    <w:rsid w:val="001F1D86"/>
    <w:rsid w:val="001F38B5"/>
    <w:rsid w:val="001F3BD1"/>
    <w:rsid w:val="001F59CB"/>
    <w:rsid w:val="001F5B4B"/>
    <w:rsid w:val="001F60DE"/>
    <w:rsid w:val="001F6A76"/>
    <w:rsid w:val="001F7361"/>
    <w:rsid w:val="00200039"/>
    <w:rsid w:val="002011B0"/>
    <w:rsid w:val="00201F0D"/>
    <w:rsid w:val="00203181"/>
    <w:rsid w:val="00203783"/>
    <w:rsid w:val="0020385F"/>
    <w:rsid w:val="002046E5"/>
    <w:rsid w:val="00204F2B"/>
    <w:rsid w:val="00204F75"/>
    <w:rsid w:val="00207021"/>
    <w:rsid w:val="0020732F"/>
    <w:rsid w:val="00207D00"/>
    <w:rsid w:val="002105C1"/>
    <w:rsid w:val="00210ECE"/>
    <w:rsid w:val="00211798"/>
    <w:rsid w:val="00211A53"/>
    <w:rsid w:val="002176C0"/>
    <w:rsid w:val="00217A00"/>
    <w:rsid w:val="00217A9F"/>
    <w:rsid w:val="00223B49"/>
    <w:rsid w:val="00224DD4"/>
    <w:rsid w:val="0022623A"/>
    <w:rsid w:val="00226D13"/>
    <w:rsid w:val="00230085"/>
    <w:rsid w:val="002309CC"/>
    <w:rsid w:val="0023209F"/>
    <w:rsid w:val="00232889"/>
    <w:rsid w:val="0023629D"/>
    <w:rsid w:val="00237255"/>
    <w:rsid w:val="00241067"/>
    <w:rsid w:val="002424AF"/>
    <w:rsid w:val="0024259E"/>
    <w:rsid w:val="002428ED"/>
    <w:rsid w:val="002439DC"/>
    <w:rsid w:val="00244DC8"/>
    <w:rsid w:val="002458BA"/>
    <w:rsid w:val="0024636C"/>
    <w:rsid w:val="00247925"/>
    <w:rsid w:val="002533F3"/>
    <w:rsid w:val="00254DCF"/>
    <w:rsid w:val="0025534B"/>
    <w:rsid w:val="00255BB7"/>
    <w:rsid w:val="00257541"/>
    <w:rsid w:val="00262340"/>
    <w:rsid w:val="00262A1A"/>
    <w:rsid w:val="00262A87"/>
    <w:rsid w:val="00264D25"/>
    <w:rsid w:val="00264D26"/>
    <w:rsid w:val="00267642"/>
    <w:rsid w:val="00267AEA"/>
    <w:rsid w:val="002700E6"/>
    <w:rsid w:val="002725D4"/>
    <w:rsid w:val="0027294B"/>
    <w:rsid w:val="00273251"/>
    <w:rsid w:val="00275C5A"/>
    <w:rsid w:val="002763CE"/>
    <w:rsid w:val="00277C3E"/>
    <w:rsid w:val="00280ADA"/>
    <w:rsid w:val="00281014"/>
    <w:rsid w:val="002810C8"/>
    <w:rsid w:val="00281552"/>
    <w:rsid w:val="00285A43"/>
    <w:rsid w:val="00291A77"/>
    <w:rsid w:val="0029205C"/>
    <w:rsid w:val="002A026D"/>
    <w:rsid w:val="002A02B0"/>
    <w:rsid w:val="002A14AB"/>
    <w:rsid w:val="002A1DFF"/>
    <w:rsid w:val="002A2F50"/>
    <w:rsid w:val="002A31F2"/>
    <w:rsid w:val="002A33CE"/>
    <w:rsid w:val="002B09A4"/>
    <w:rsid w:val="002B1C1F"/>
    <w:rsid w:val="002B432F"/>
    <w:rsid w:val="002B4C5E"/>
    <w:rsid w:val="002B56DD"/>
    <w:rsid w:val="002B62B3"/>
    <w:rsid w:val="002B6334"/>
    <w:rsid w:val="002B6754"/>
    <w:rsid w:val="002B6CCE"/>
    <w:rsid w:val="002C019E"/>
    <w:rsid w:val="002C2510"/>
    <w:rsid w:val="002C2561"/>
    <w:rsid w:val="002C2775"/>
    <w:rsid w:val="002C27C1"/>
    <w:rsid w:val="002C3305"/>
    <w:rsid w:val="002C3B4A"/>
    <w:rsid w:val="002C5099"/>
    <w:rsid w:val="002C5889"/>
    <w:rsid w:val="002C71CE"/>
    <w:rsid w:val="002D16CB"/>
    <w:rsid w:val="002D173D"/>
    <w:rsid w:val="002D2C31"/>
    <w:rsid w:val="002D577C"/>
    <w:rsid w:val="002E15B9"/>
    <w:rsid w:val="002E2158"/>
    <w:rsid w:val="002E3385"/>
    <w:rsid w:val="002E54C2"/>
    <w:rsid w:val="002E5815"/>
    <w:rsid w:val="002E7722"/>
    <w:rsid w:val="002F022F"/>
    <w:rsid w:val="002F07BA"/>
    <w:rsid w:val="002F0DA9"/>
    <w:rsid w:val="002F0F19"/>
    <w:rsid w:val="002F1F1B"/>
    <w:rsid w:val="002F2EDB"/>
    <w:rsid w:val="002F643C"/>
    <w:rsid w:val="002F71C0"/>
    <w:rsid w:val="00301017"/>
    <w:rsid w:val="0030155F"/>
    <w:rsid w:val="00301975"/>
    <w:rsid w:val="003036AB"/>
    <w:rsid w:val="0030587B"/>
    <w:rsid w:val="00306D98"/>
    <w:rsid w:val="0030786C"/>
    <w:rsid w:val="0031031A"/>
    <w:rsid w:val="00310978"/>
    <w:rsid w:val="00310981"/>
    <w:rsid w:val="00311C96"/>
    <w:rsid w:val="00314125"/>
    <w:rsid w:val="00314E86"/>
    <w:rsid w:val="00315498"/>
    <w:rsid w:val="00316489"/>
    <w:rsid w:val="00320000"/>
    <w:rsid w:val="00320B73"/>
    <w:rsid w:val="00321DC3"/>
    <w:rsid w:val="00322107"/>
    <w:rsid w:val="00322846"/>
    <w:rsid w:val="00324912"/>
    <w:rsid w:val="00326AC9"/>
    <w:rsid w:val="00326DA7"/>
    <w:rsid w:val="003270E4"/>
    <w:rsid w:val="00330F5C"/>
    <w:rsid w:val="003318B9"/>
    <w:rsid w:val="003320B0"/>
    <w:rsid w:val="0033406B"/>
    <w:rsid w:val="00336687"/>
    <w:rsid w:val="003366C9"/>
    <w:rsid w:val="003371B0"/>
    <w:rsid w:val="00340040"/>
    <w:rsid w:val="003401EC"/>
    <w:rsid w:val="00340DF1"/>
    <w:rsid w:val="00342A88"/>
    <w:rsid w:val="003512F0"/>
    <w:rsid w:val="003517F9"/>
    <w:rsid w:val="00351802"/>
    <w:rsid w:val="0035255F"/>
    <w:rsid w:val="0035620E"/>
    <w:rsid w:val="003624C4"/>
    <w:rsid w:val="00363A4F"/>
    <w:rsid w:val="00364DB1"/>
    <w:rsid w:val="003654AC"/>
    <w:rsid w:val="00366A17"/>
    <w:rsid w:val="003710CF"/>
    <w:rsid w:val="00372387"/>
    <w:rsid w:val="003733C2"/>
    <w:rsid w:val="0037358A"/>
    <w:rsid w:val="003750F6"/>
    <w:rsid w:val="003760FC"/>
    <w:rsid w:val="00383338"/>
    <w:rsid w:val="0038365C"/>
    <w:rsid w:val="0038369B"/>
    <w:rsid w:val="00383B78"/>
    <w:rsid w:val="00385A9D"/>
    <w:rsid w:val="00387EF7"/>
    <w:rsid w:val="003902B1"/>
    <w:rsid w:val="0039164D"/>
    <w:rsid w:val="0039375A"/>
    <w:rsid w:val="00393EE7"/>
    <w:rsid w:val="003961D9"/>
    <w:rsid w:val="003963B8"/>
    <w:rsid w:val="00396896"/>
    <w:rsid w:val="00396FD0"/>
    <w:rsid w:val="003A0CA4"/>
    <w:rsid w:val="003A1A7A"/>
    <w:rsid w:val="003A2392"/>
    <w:rsid w:val="003A2831"/>
    <w:rsid w:val="003A3ED1"/>
    <w:rsid w:val="003A67E8"/>
    <w:rsid w:val="003B180B"/>
    <w:rsid w:val="003B2D41"/>
    <w:rsid w:val="003B42D1"/>
    <w:rsid w:val="003B446B"/>
    <w:rsid w:val="003B46D7"/>
    <w:rsid w:val="003B5B61"/>
    <w:rsid w:val="003B71EE"/>
    <w:rsid w:val="003C0394"/>
    <w:rsid w:val="003C1654"/>
    <w:rsid w:val="003C7D19"/>
    <w:rsid w:val="003D0EE4"/>
    <w:rsid w:val="003D1828"/>
    <w:rsid w:val="003D1DE4"/>
    <w:rsid w:val="003D2422"/>
    <w:rsid w:val="003D39A1"/>
    <w:rsid w:val="003D3FBF"/>
    <w:rsid w:val="003D4A30"/>
    <w:rsid w:val="003D6307"/>
    <w:rsid w:val="003D78F5"/>
    <w:rsid w:val="003D79BB"/>
    <w:rsid w:val="003D7C98"/>
    <w:rsid w:val="003E04A1"/>
    <w:rsid w:val="003E04F4"/>
    <w:rsid w:val="003E0543"/>
    <w:rsid w:val="003E05AC"/>
    <w:rsid w:val="003E0A17"/>
    <w:rsid w:val="003E256B"/>
    <w:rsid w:val="003E4AD5"/>
    <w:rsid w:val="003E4B7C"/>
    <w:rsid w:val="003E54EF"/>
    <w:rsid w:val="003E6FCF"/>
    <w:rsid w:val="003E7277"/>
    <w:rsid w:val="003F3FE3"/>
    <w:rsid w:val="003F4156"/>
    <w:rsid w:val="00400B29"/>
    <w:rsid w:val="004012F0"/>
    <w:rsid w:val="00403180"/>
    <w:rsid w:val="0040504B"/>
    <w:rsid w:val="00410708"/>
    <w:rsid w:val="00410EC7"/>
    <w:rsid w:val="00411140"/>
    <w:rsid w:val="00411B39"/>
    <w:rsid w:val="0041241E"/>
    <w:rsid w:val="004124F3"/>
    <w:rsid w:val="00413A1E"/>
    <w:rsid w:val="00414476"/>
    <w:rsid w:val="00414C2E"/>
    <w:rsid w:val="004151CF"/>
    <w:rsid w:val="00415719"/>
    <w:rsid w:val="00416364"/>
    <w:rsid w:val="00420AA6"/>
    <w:rsid w:val="00420B9F"/>
    <w:rsid w:val="00421B2E"/>
    <w:rsid w:val="00422260"/>
    <w:rsid w:val="0042413F"/>
    <w:rsid w:val="00424DA8"/>
    <w:rsid w:val="004311F1"/>
    <w:rsid w:val="004319F8"/>
    <w:rsid w:val="00431E55"/>
    <w:rsid w:val="004321F6"/>
    <w:rsid w:val="00433044"/>
    <w:rsid w:val="004341E1"/>
    <w:rsid w:val="00435BE5"/>
    <w:rsid w:val="0043653C"/>
    <w:rsid w:val="004375B9"/>
    <w:rsid w:val="004378F5"/>
    <w:rsid w:val="004425E5"/>
    <w:rsid w:val="004428D0"/>
    <w:rsid w:val="004443A7"/>
    <w:rsid w:val="0044442C"/>
    <w:rsid w:val="004447A9"/>
    <w:rsid w:val="00444D1F"/>
    <w:rsid w:val="00445941"/>
    <w:rsid w:val="004464EB"/>
    <w:rsid w:val="00447D26"/>
    <w:rsid w:val="00451A88"/>
    <w:rsid w:val="00455D45"/>
    <w:rsid w:val="0045602A"/>
    <w:rsid w:val="00457D28"/>
    <w:rsid w:val="00462A67"/>
    <w:rsid w:val="00464595"/>
    <w:rsid w:val="00470115"/>
    <w:rsid w:val="004728CE"/>
    <w:rsid w:val="004728E4"/>
    <w:rsid w:val="00472A79"/>
    <w:rsid w:val="00473DFC"/>
    <w:rsid w:val="00473F19"/>
    <w:rsid w:val="0047593A"/>
    <w:rsid w:val="00475E22"/>
    <w:rsid w:val="004805B0"/>
    <w:rsid w:val="0048088E"/>
    <w:rsid w:val="00482720"/>
    <w:rsid w:val="004835E7"/>
    <w:rsid w:val="00484239"/>
    <w:rsid w:val="004853B4"/>
    <w:rsid w:val="004867E2"/>
    <w:rsid w:val="00487937"/>
    <w:rsid w:val="00491B3A"/>
    <w:rsid w:val="00492CFD"/>
    <w:rsid w:val="00494DD5"/>
    <w:rsid w:val="004962D2"/>
    <w:rsid w:val="004A0DA1"/>
    <w:rsid w:val="004A52E9"/>
    <w:rsid w:val="004A6597"/>
    <w:rsid w:val="004A7848"/>
    <w:rsid w:val="004A7B5C"/>
    <w:rsid w:val="004B1CB4"/>
    <w:rsid w:val="004B2C11"/>
    <w:rsid w:val="004B2F18"/>
    <w:rsid w:val="004B3DDB"/>
    <w:rsid w:val="004B44FD"/>
    <w:rsid w:val="004B54B8"/>
    <w:rsid w:val="004B5CFC"/>
    <w:rsid w:val="004B774D"/>
    <w:rsid w:val="004C36B8"/>
    <w:rsid w:val="004C39E7"/>
    <w:rsid w:val="004C4A51"/>
    <w:rsid w:val="004C4AED"/>
    <w:rsid w:val="004C4C7F"/>
    <w:rsid w:val="004C7EC3"/>
    <w:rsid w:val="004D07B5"/>
    <w:rsid w:val="004D2C2D"/>
    <w:rsid w:val="004D3D34"/>
    <w:rsid w:val="004D464A"/>
    <w:rsid w:val="004D7227"/>
    <w:rsid w:val="004D79CE"/>
    <w:rsid w:val="004E0E7F"/>
    <w:rsid w:val="004E0EA2"/>
    <w:rsid w:val="004E0EB8"/>
    <w:rsid w:val="004E2ADC"/>
    <w:rsid w:val="004E434E"/>
    <w:rsid w:val="004E43B2"/>
    <w:rsid w:val="004E4B45"/>
    <w:rsid w:val="004E62E7"/>
    <w:rsid w:val="004F1D02"/>
    <w:rsid w:val="004F2679"/>
    <w:rsid w:val="004F2F21"/>
    <w:rsid w:val="004F4135"/>
    <w:rsid w:val="004F5B45"/>
    <w:rsid w:val="004F6913"/>
    <w:rsid w:val="004F764B"/>
    <w:rsid w:val="004F7865"/>
    <w:rsid w:val="00500B7E"/>
    <w:rsid w:val="0050144A"/>
    <w:rsid w:val="0050219B"/>
    <w:rsid w:val="00503F17"/>
    <w:rsid w:val="00505A28"/>
    <w:rsid w:val="00505C18"/>
    <w:rsid w:val="00506928"/>
    <w:rsid w:val="005152B5"/>
    <w:rsid w:val="005154E5"/>
    <w:rsid w:val="0051690C"/>
    <w:rsid w:val="00521319"/>
    <w:rsid w:val="00522BC8"/>
    <w:rsid w:val="00523C28"/>
    <w:rsid w:val="00524502"/>
    <w:rsid w:val="005265C5"/>
    <w:rsid w:val="0053193A"/>
    <w:rsid w:val="00531DA3"/>
    <w:rsid w:val="00532DBD"/>
    <w:rsid w:val="00534A3C"/>
    <w:rsid w:val="0053670E"/>
    <w:rsid w:val="0053677C"/>
    <w:rsid w:val="00536F42"/>
    <w:rsid w:val="00537182"/>
    <w:rsid w:val="0054007C"/>
    <w:rsid w:val="00541995"/>
    <w:rsid w:val="00542743"/>
    <w:rsid w:val="00542C2D"/>
    <w:rsid w:val="00547081"/>
    <w:rsid w:val="00550B60"/>
    <w:rsid w:val="00551985"/>
    <w:rsid w:val="00552251"/>
    <w:rsid w:val="00552BD3"/>
    <w:rsid w:val="00555109"/>
    <w:rsid w:val="00555822"/>
    <w:rsid w:val="005635C0"/>
    <w:rsid w:val="00565BA1"/>
    <w:rsid w:val="005664AD"/>
    <w:rsid w:val="0056696F"/>
    <w:rsid w:val="00567BE2"/>
    <w:rsid w:val="00567D3A"/>
    <w:rsid w:val="0057110A"/>
    <w:rsid w:val="00572269"/>
    <w:rsid w:val="0057244A"/>
    <w:rsid w:val="0057584B"/>
    <w:rsid w:val="00575D8D"/>
    <w:rsid w:val="00576972"/>
    <w:rsid w:val="0058181A"/>
    <w:rsid w:val="00582549"/>
    <w:rsid w:val="00583699"/>
    <w:rsid w:val="00585CDD"/>
    <w:rsid w:val="005867CE"/>
    <w:rsid w:val="00587058"/>
    <w:rsid w:val="0059022F"/>
    <w:rsid w:val="00591957"/>
    <w:rsid w:val="00592056"/>
    <w:rsid w:val="00592B98"/>
    <w:rsid w:val="0059384E"/>
    <w:rsid w:val="00593B19"/>
    <w:rsid w:val="005944E0"/>
    <w:rsid w:val="0059540B"/>
    <w:rsid w:val="00597BF9"/>
    <w:rsid w:val="005A373D"/>
    <w:rsid w:val="005A4092"/>
    <w:rsid w:val="005A7C4C"/>
    <w:rsid w:val="005B0347"/>
    <w:rsid w:val="005B2F33"/>
    <w:rsid w:val="005B5857"/>
    <w:rsid w:val="005C1B83"/>
    <w:rsid w:val="005C2D55"/>
    <w:rsid w:val="005C346B"/>
    <w:rsid w:val="005D044D"/>
    <w:rsid w:val="005D0ABD"/>
    <w:rsid w:val="005D18AD"/>
    <w:rsid w:val="005D1D70"/>
    <w:rsid w:val="005D2445"/>
    <w:rsid w:val="005D26B4"/>
    <w:rsid w:val="005D2AE7"/>
    <w:rsid w:val="005D40B0"/>
    <w:rsid w:val="005D6ECA"/>
    <w:rsid w:val="005E00C7"/>
    <w:rsid w:val="005E27FD"/>
    <w:rsid w:val="005E2838"/>
    <w:rsid w:val="005E43C6"/>
    <w:rsid w:val="005E6CBC"/>
    <w:rsid w:val="005E73C0"/>
    <w:rsid w:val="005F00BF"/>
    <w:rsid w:val="005F1BDF"/>
    <w:rsid w:val="005F2706"/>
    <w:rsid w:val="005F3674"/>
    <w:rsid w:val="005F3A39"/>
    <w:rsid w:val="005F4E21"/>
    <w:rsid w:val="005F5557"/>
    <w:rsid w:val="005F6A8F"/>
    <w:rsid w:val="00601DBB"/>
    <w:rsid w:val="00603BC3"/>
    <w:rsid w:val="00603DB9"/>
    <w:rsid w:val="006041CB"/>
    <w:rsid w:val="00607669"/>
    <w:rsid w:val="00607AFD"/>
    <w:rsid w:val="0061091C"/>
    <w:rsid w:val="00611029"/>
    <w:rsid w:val="00612F97"/>
    <w:rsid w:val="0061345D"/>
    <w:rsid w:val="00616802"/>
    <w:rsid w:val="006175A3"/>
    <w:rsid w:val="00617E12"/>
    <w:rsid w:val="00620882"/>
    <w:rsid w:val="00621477"/>
    <w:rsid w:val="00621D80"/>
    <w:rsid w:val="00621DD1"/>
    <w:rsid w:val="0062240C"/>
    <w:rsid w:val="006226A2"/>
    <w:rsid w:val="0062307F"/>
    <w:rsid w:val="00624994"/>
    <w:rsid w:val="0063158F"/>
    <w:rsid w:val="00631D6B"/>
    <w:rsid w:val="006330A1"/>
    <w:rsid w:val="0063479F"/>
    <w:rsid w:val="00634E47"/>
    <w:rsid w:val="006353F0"/>
    <w:rsid w:val="006364A1"/>
    <w:rsid w:val="006371ED"/>
    <w:rsid w:val="00637BFD"/>
    <w:rsid w:val="00640487"/>
    <w:rsid w:val="006412DF"/>
    <w:rsid w:val="00641C4E"/>
    <w:rsid w:val="00643D5A"/>
    <w:rsid w:val="006471CC"/>
    <w:rsid w:val="00647746"/>
    <w:rsid w:val="0065079F"/>
    <w:rsid w:val="0065379F"/>
    <w:rsid w:val="00653BEA"/>
    <w:rsid w:val="00657870"/>
    <w:rsid w:val="00661B35"/>
    <w:rsid w:val="00661C6B"/>
    <w:rsid w:val="00662A40"/>
    <w:rsid w:val="0067093D"/>
    <w:rsid w:val="0067360A"/>
    <w:rsid w:val="006747E7"/>
    <w:rsid w:val="00674E42"/>
    <w:rsid w:val="00677E50"/>
    <w:rsid w:val="00680590"/>
    <w:rsid w:val="00680FC8"/>
    <w:rsid w:val="00682112"/>
    <w:rsid w:val="00686957"/>
    <w:rsid w:val="006872BA"/>
    <w:rsid w:val="00687635"/>
    <w:rsid w:val="00687FFA"/>
    <w:rsid w:val="00691648"/>
    <w:rsid w:val="006917D7"/>
    <w:rsid w:val="00691BF2"/>
    <w:rsid w:val="006923FD"/>
    <w:rsid w:val="00694F44"/>
    <w:rsid w:val="00695382"/>
    <w:rsid w:val="006A18AE"/>
    <w:rsid w:val="006A1A2D"/>
    <w:rsid w:val="006A5186"/>
    <w:rsid w:val="006A6197"/>
    <w:rsid w:val="006A7E5F"/>
    <w:rsid w:val="006B261B"/>
    <w:rsid w:val="006B2C90"/>
    <w:rsid w:val="006B330C"/>
    <w:rsid w:val="006B3690"/>
    <w:rsid w:val="006B5084"/>
    <w:rsid w:val="006B5217"/>
    <w:rsid w:val="006B6DD0"/>
    <w:rsid w:val="006B7C0D"/>
    <w:rsid w:val="006C0B0B"/>
    <w:rsid w:val="006C1547"/>
    <w:rsid w:val="006C1F1B"/>
    <w:rsid w:val="006C2A8E"/>
    <w:rsid w:val="006C37B4"/>
    <w:rsid w:val="006C41D8"/>
    <w:rsid w:val="006C5CD8"/>
    <w:rsid w:val="006C6F99"/>
    <w:rsid w:val="006C7960"/>
    <w:rsid w:val="006D3C7D"/>
    <w:rsid w:val="006D3D6F"/>
    <w:rsid w:val="006D4CB4"/>
    <w:rsid w:val="006D5A09"/>
    <w:rsid w:val="006D5D5F"/>
    <w:rsid w:val="006E3262"/>
    <w:rsid w:val="006E34C1"/>
    <w:rsid w:val="006E653E"/>
    <w:rsid w:val="006F1FE5"/>
    <w:rsid w:val="006F306C"/>
    <w:rsid w:val="006F3376"/>
    <w:rsid w:val="006F3CC0"/>
    <w:rsid w:val="006F3E3A"/>
    <w:rsid w:val="006F4354"/>
    <w:rsid w:val="006F5210"/>
    <w:rsid w:val="006F63A5"/>
    <w:rsid w:val="006F6C1C"/>
    <w:rsid w:val="0070142B"/>
    <w:rsid w:val="0070276E"/>
    <w:rsid w:val="00702F8F"/>
    <w:rsid w:val="00703E1B"/>
    <w:rsid w:val="00703EDC"/>
    <w:rsid w:val="00707400"/>
    <w:rsid w:val="007115CE"/>
    <w:rsid w:val="00711A36"/>
    <w:rsid w:val="00711B81"/>
    <w:rsid w:val="0071256F"/>
    <w:rsid w:val="0071282D"/>
    <w:rsid w:val="0071529C"/>
    <w:rsid w:val="00715E71"/>
    <w:rsid w:val="00716E1A"/>
    <w:rsid w:val="00716EE7"/>
    <w:rsid w:val="007172AD"/>
    <w:rsid w:val="00722B1B"/>
    <w:rsid w:val="00724127"/>
    <w:rsid w:val="0072416F"/>
    <w:rsid w:val="00727C94"/>
    <w:rsid w:val="0073044F"/>
    <w:rsid w:val="00730452"/>
    <w:rsid w:val="0073077D"/>
    <w:rsid w:val="007309BB"/>
    <w:rsid w:val="00731A59"/>
    <w:rsid w:val="00731EAE"/>
    <w:rsid w:val="00732174"/>
    <w:rsid w:val="0073482F"/>
    <w:rsid w:val="00734A2A"/>
    <w:rsid w:val="00735013"/>
    <w:rsid w:val="00735033"/>
    <w:rsid w:val="00735328"/>
    <w:rsid w:val="0073685B"/>
    <w:rsid w:val="0074236E"/>
    <w:rsid w:val="00745222"/>
    <w:rsid w:val="00745BEC"/>
    <w:rsid w:val="00747D71"/>
    <w:rsid w:val="007514AE"/>
    <w:rsid w:val="00752142"/>
    <w:rsid w:val="007523F9"/>
    <w:rsid w:val="00754478"/>
    <w:rsid w:val="0075687F"/>
    <w:rsid w:val="007573E8"/>
    <w:rsid w:val="00760C4E"/>
    <w:rsid w:val="00761268"/>
    <w:rsid w:val="00765B1A"/>
    <w:rsid w:val="0076624D"/>
    <w:rsid w:val="00766781"/>
    <w:rsid w:val="00774784"/>
    <w:rsid w:val="00777A43"/>
    <w:rsid w:val="007843F2"/>
    <w:rsid w:val="0079523C"/>
    <w:rsid w:val="007A0A12"/>
    <w:rsid w:val="007A132D"/>
    <w:rsid w:val="007A1572"/>
    <w:rsid w:val="007A7B51"/>
    <w:rsid w:val="007B0D68"/>
    <w:rsid w:val="007B251D"/>
    <w:rsid w:val="007B2F1E"/>
    <w:rsid w:val="007B44D4"/>
    <w:rsid w:val="007B4F58"/>
    <w:rsid w:val="007B528D"/>
    <w:rsid w:val="007B6525"/>
    <w:rsid w:val="007B6D18"/>
    <w:rsid w:val="007B77D1"/>
    <w:rsid w:val="007B7DC4"/>
    <w:rsid w:val="007C1CD9"/>
    <w:rsid w:val="007C361D"/>
    <w:rsid w:val="007C4B84"/>
    <w:rsid w:val="007C737F"/>
    <w:rsid w:val="007C794B"/>
    <w:rsid w:val="007D004F"/>
    <w:rsid w:val="007D0B38"/>
    <w:rsid w:val="007D0BCC"/>
    <w:rsid w:val="007D2E52"/>
    <w:rsid w:val="007D5440"/>
    <w:rsid w:val="007D5C62"/>
    <w:rsid w:val="007D6A7E"/>
    <w:rsid w:val="007D6D16"/>
    <w:rsid w:val="007E2875"/>
    <w:rsid w:val="007E6314"/>
    <w:rsid w:val="007E6A66"/>
    <w:rsid w:val="007E6DB8"/>
    <w:rsid w:val="007E6E89"/>
    <w:rsid w:val="007E6F6F"/>
    <w:rsid w:val="007F0574"/>
    <w:rsid w:val="007F0C44"/>
    <w:rsid w:val="007F1017"/>
    <w:rsid w:val="007F1C85"/>
    <w:rsid w:val="007F4645"/>
    <w:rsid w:val="007F4A3F"/>
    <w:rsid w:val="007F4A61"/>
    <w:rsid w:val="007F61C2"/>
    <w:rsid w:val="007F76AA"/>
    <w:rsid w:val="00802CD6"/>
    <w:rsid w:val="00805142"/>
    <w:rsid w:val="00807A8B"/>
    <w:rsid w:val="00807FE2"/>
    <w:rsid w:val="00811383"/>
    <w:rsid w:val="00812149"/>
    <w:rsid w:val="008126E4"/>
    <w:rsid w:val="00812CAC"/>
    <w:rsid w:val="008166EF"/>
    <w:rsid w:val="008169B8"/>
    <w:rsid w:val="00820C63"/>
    <w:rsid w:val="00822CDE"/>
    <w:rsid w:val="00823DB8"/>
    <w:rsid w:val="00825751"/>
    <w:rsid w:val="0082577B"/>
    <w:rsid w:val="00825B5E"/>
    <w:rsid w:val="008264EB"/>
    <w:rsid w:val="0082687D"/>
    <w:rsid w:val="00833B05"/>
    <w:rsid w:val="00834DD5"/>
    <w:rsid w:val="008362B4"/>
    <w:rsid w:val="008406BD"/>
    <w:rsid w:val="00840C2C"/>
    <w:rsid w:val="00840CA2"/>
    <w:rsid w:val="00840EA0"/>
    <w:rsid w:val="00840F49"/>
    <w:rsid w:val="00841020"/>
    <w:rsid w:val="00841E72"/>
    <w:rsid w:val="0084271F"/>
    <w:rsid w:val="0084374F"/>
    <w:rsid w:val="008457D8"/>
    <w:rsid w:val="00847545"/>
    <w:rsid w:val="00847DF5"/>
    <w:rsid w:val="00850223"/>
    <w:rsid w:val="00852960"/>
    <w:rsid w:val="0085309D"/>
    <w:rsid w:val="00854B65"/>
    <w:rsid w:val="00855C7F"/>
    <w:rsid w:val="0085684C"/>
    <w:rsid w:val="00856897"/>
    <w:rsid w:val="00856E9A"/>
    <w:rsid w:val="008604CE"/>
    <w:rsid w:val="0086075D"/>
    <w:rsid w:val="008609B5"/>
    <w:rsid w:val="00862170"/>
    <w:rsid w:val="00862502"/>
    <w:rsid w:val="008640EF"/>
    <w:rsid w:val="008660D4"/>
    <w:rsid w:val="00866B22"/>
    <w:rsid w:val="008707BE"/>
    <w:rsid w:val="00871FA9"/>
    <w:rsid w:val="008728E9"/>
    <w:rsid w:val="00872BF4"/>
    <w:rsid w:val="0087442C"/>
    <w:rsid w:val="00874A09"/>
    <w:rsid w:val="0087761F"/>
    <w:rsid w:val="00877A95"/>
    <w:rsid w:val="00882874"/>
    <w:rsid w:val="00883787"/>
    <w:rsid w:val="00885B0C"/>
    <w:rsid w:val="00886CD2"/>
    <w:rsid w:val="00891AC4"/>
    <w:rsid w:val="00892A36"/>
    <w:rsid w:val="00893239"/>
    <w:rsid w:val="00894489"/>
    <w:rsid w:val="008963A5"/>
    <w:rsid w:val="008A0240"/>
    <w:rsid w:val="008A044A"/>
    <w:rsid w:val="008A3363"/>
    <w:rsid w:val="008A3371"/>
    <w:rsid w:val="008A39F3"/>
    <w:rsid w:val="008A3C3E"/>
    <w:rsid w:val="008A6D69"/>
    <w:rsid w:val="008A79DE"/>
    <w:rsid w:val="008B004A"/>
    <w:rsid w:val="008B09C6"/>
    <w:rsid w:val="008B1757"/>
    <w:rsid w:val="008B31D7"/>
    <w:rsid w:val="008B7D7E"/>
    <w:rsid w:val="008C1A17"/>
    <w:rsid w:val="008C703F"/>
    <w:rsid w:val="008C7ECB"/>
    <w:rsid w:val="008D1BDF"/>
    <w:rsid w:val="008D21B4"/>
    <w:rsid w:val="008D4755"/>
    <w:rsid w:val="008D4C3D"/>
    <w:rsid w:val="008D55EC"/>
    <w:rsid w:val="008D74E1"/>
    <w:rsid w:val="008E0D3C"/>
    <w:rsid w:val="008E0F13"/>
    <w:rsid w:val="008E1B9E"/>
    <w:rsid w:val="008E388B"/>
    <w:rsid w:val="008E4966"/>
    <w:rsid w:val="008E55AB"/>
    <w:rsid w:val="008E6184"/>
    <w:rsid w:val="008F0605"/>
    <w:rsid w:val="008F07E0"/>
    <w:rsid w:val="008F120A"/>
    <w:rsid w:val="008F27E0"/>
    <w:rsid w:val="008F2B4A"/>
    <w:rsid w:val="008F48EB"/>
    <w:rsid w:val="008F4F0B"/>
    <w:rsid w:val="008F552A"/>
    <w:rsid w:val="008F571B"/>
    <w:rsid w:val="0090048E"/>
    <w:rsid w:val="009026AB"/>
    <w:rsid w:val="00902CF7"/>
    <w:rsid w:val="009046C4"/>
    <w:rsid w:val="009062A5"/>
    <w:rsid w:val="00907218"/>
    <w:rsid w:val="00911272"/>
    <w:rsid w:val="00911C2A"/>
    <w:rsid w:val="00913148"/>
    <w:rsid w:val="009135D6"/>
    <w:rsid w:val="00914C77"/>
    <w:rsid w:val="00921865"/>
    <w:rsid w:val="0092369B"/>
    <w:rsid w:val="009358B1"/>
    <w:rsid w:val="009404F0"/>
    <w:rsid w:val="00942AF4"/>
    <w:rsid w:val="009440C4"/>
    <w:rsid w:val="00945A89"/>
    <w:rsid w:val="009510A2"/>
    <w:rsid w:val="00953257"/>
    <w:rsid w:val="00953878"/>
    <w:rsid w:val="00954D37"/>
    <w:rsid w:val="00957D6A"/>
    <w:rsid w:val="00961B0F"/>
    <w:rsid w:val="00961DD9"/>
    <w:rsid w:val="00962B26"/>
    <w:rsid w:val="00962CB9"/>
    <w:rsid w:val="00964312"/>
    <w:rsid w:val="00965B8A"/>
    <w:rsid w:val="009717AC"/>
    <w:rsid w:val="0097439A"/>
    <w:rsid w:val="00980763"/>
    <w:rsid w:val="00982963"/>
    <w:rsid w:val="00983E57"/>
    <w:rsid w:val="00984E59"/>
    <w:rsid w:val="0098675D"/>
    <w:rsid w:val="0098760F"/>
    <w:rsid w:val="00987FA2"/>
    <w:rsid w:val="009943CA"/>
    <w:rsid w:val="00994A71"/>
    <w:rsid w:val="00995871"/>
    <w:rsid w:val="00996B1A"/>
    <w:rsid w:val="00997C57"/>
    <w:rsid w:val="009A0D18"/>
    <w:rsid w:val="009A11B4"/>
    <w:rsid w:val="009A49C1"/>
    <w:rsid w:val="009A6043"/>
    <w:rsid w:val="009A7194"/>
    <w:rsid w:val="009A7F10"/>
    <w:rsid w:val="009B1E96"/>
    <w:rsid w:val="009B22C0"/>
    <w:rsid w:val="009B2B14"/>
    <w:rsid w:val="009B3E26"/>
    <w:rsid w:val="009B553C"/>
    <w:rsid w:val="009C4327"/>
    <w:rsid w:val="009C4FE9"/>
    <w:rsid w:val="009C54FC"/>
    <w:rsid w:val="009C6CEA"/>
    <w:rsid w:val="009C6E67"/>
    <w:rsid w:val="009C70E7"/>
    <w:rsid w:val="009C7B85"/>
    <w:rsid w:val="009D0CF2"/>
    <w:rsid w:val="009D1E2A"/>
    <w:rsid w:val="009D1F17"/>
    <w:rsid w:val="009D26D1"/>
    <w:rsid w:val="009D4EAE"/>
    <w:rsid w:val="009D5B91"/>
    <w:rsid w:val="009D5F6E"/>
    <w:rsid w:val="009D60AE"/>
    <w:rsid w:val="009D628B"/>
    <w:rsid w:val="009D792E"/>
    <w:rsid w:val="009E0DFE"/>
    <w:rsid w:val="009E3C7E"/>
    <w:rsid w:val="009E4C07"/>
    <w:rsid w:val="009E68BE"/>
    <w:rsid w:val="009F089B"/>
    <w:rsid w:val="009F16E8"/>
    <w:rsid w:val="009F7A80"/>
    <w:rsid w:val="00A01184"/>
    <w:rsid w:val="00A03D43"/>
    <w:rsid w:val="00A04380"/>
    <w:rsid w:val="00A10A1D"/>
    <w:rsid w:val="00A11CD0"/>
    <w:rsid w:val="00A13948"/>
    <w:rsid w:val="00A146CD"/>
    <w:rsid w:val="00A1555B"/>
    <w:rsid w:val="00A155C5"/>
    <w:rsid w:val="00A16AD8"/>
    <w:rsid w:val="00A173D2"/>
    <w:rsid w:val="00A17B75"/>
    <w:rsid w:val="00A21CF3"/>
    <w:rsid w:val="00A27933"/>
    <w:rsid w:val="00A27AEC"/>
    <w:rsid w:val="00A320DB"/>
    <w:rsid w:val="00A35D16"/>
    <w:rsid w:val="00A37BCD"/>
    <w:rsid w:val="00A405E6"/>
    <w:rsid w:val="00A42362"/>
    <w:rsid w:val="00A43C59"/>
    <w:rsid w:val="00A44CC7"/>
    <w:rsid w:val="00A452AB"/>
    <w:rsid w:val="00A4698A"/>
    <w:rsid w:val="00A50ECD"/>
    <w:rsid w:val="00A50FC2"/>
    <w:rsid w:val="00A515C9"/>
    <w:rsid w:val="00A518F3"/>
    <w:rsid w:val="00A52729"/>
    <w:rsid w:val="00A527A8"/>
    <w:rsid w:val="00A52BE4"/>
    <w:rsid w:val="00A53071"/>
    <w:rsid w:val="00A53675"/>
    <w:rsid w:val="00A552A0"/>
    <w:rsid w:val="00A564D7"/>
    <w:rsid w:val="00A56B6A"/>
    <w:rsid w:val="00A578DC"/>
    <w:rsid w:val="00A61640"/>
    <w:rsid w:val="00A61C2F"/>
    <w:rsid w:val="00A62991"/>
    <w:rsid w:val="00A64EDA"/>
    <w:rsid w:val="00A6725B"/>
    <w:rsid w:val="00A70605"/>
    <w:rsid w:val="00A73134"/>
    <w:rsid w:val="00A75184"/>
    <w:rsid w:val="00A768E7"/>
    <w:rsid w:val="00A7779F"/>
    <w:rsid w:val="00A777B2"/>
    <w:rsid w:val="00A80407"/>
    <w:rsid w:val="00A80BCC"/>
    <w:rsid w:val="00A86E8B"/>
    <w:rsid w:val="00A87164"/>
    <w:rsid w:val="00A90F99"/>
    <w:rsid w:val="00A93072"/>
    <w:rsid w:val="00A93953"/>
    <w:rsid w:val="00A959D8"/>
    <w:rsid w:val="00AA0638"/>
    <w:rsid w:val="00AA0A21"/>
    <w:rsid w:val="00AA0E67"/>
    <w:rsid w:val="00AA113D"/>
    <w:rsid w:val="00AA1B0E"/>
    <w:rsid w:val="00AA2E1C"/>
    <w:rsid w:val="00AA3479"/>
    <w:rsid w:val="00AA353E"/>
    <w:rsid w:val="00AA6C7D"/>
    <w:rsid w:val="00AA7CBA"/>
    <w:rsid w:val="00AA7FD6"/>
    <w:rsid w:val="00AB042A"/>
    <w:rsid w:val="00AB0752"/>
    <w:rsid w:val="00AB2D34"/>
    <w:rsid w:val="00AB3430"/>
    <w:rsid w:val="00AB4385"/>
    <w:rsid w:val="00AB4AD1"/>
    <w:rsid w:val="00AB73FF"/>
    <w:rsid w:val="00AB7CFA"/>
    <w:rsid w:val="00AC37BC"/>
    <w:rsid w:val="00AC3B58"/>
    <w:rsid w:val="00AC3FE3"/>
    <w:rsid w:val="00AC5110"/>
    <w:rsid w:val="00AC5B48"/>
    <w:rsid w:val="00AD4E38"/>
    <w:rsid w:val="00AD59F0"/>
    <w:rsid w:val="00AD6502"/>
    <w:rsid w:val="00AD7807"/>
    <w:rsid w:val="00AE089F"/>
    <w:rsid w:val="00AE0CD5"/>
    <w:rsid w:val="00AE3684"/>
    <w:rsid w:val="00AE5CD4"/>
    <w:rsid w:val="00AE6C23"/>
    <w:rsid w:val="00AE7DB8"/>
    <w:rsid w:val="00AF1315"/>
    <w:rsid w:val="00AF19BF"/>
    <w:rsid w:val="00AF2DC3"/>
    <w:rsid w:val="00AF3F5B"/>
    <w:rsid w:val="00AF5D64"/>
    <w:rsid w:val="00AF6078"/>
    <w:rsid w:val="00AF71A8"/>
    <w:rsid w:val="00AF75E3"/>
    <w:rsid w:val="00B00DCB"/>
    <w:rsid w:val="00B033E5"/>
    <w:rsid w:val="00B03A63"/>
    <w:rsid w:val="00B04536"/>
    <w:rsid w:val="00B045E4"/>
    <w:rsid w:val="00B10629"/>
    <w:rsid w:val="00B11814"/>
    <w:rsid w:val="00B132FC"/>
    <w:rsid w:val="00B141D4"/>
    <w:rsid w:val="00B16630"/>
    <w:rsid w:val="00B17F83"/>
    <w:rsid w:val="00B2015B"/>
    <w:rsid w:val="00B201A4"/>
    <w:rsid w:val="00B213A6"/>
    <w:rsid w:val="00B24DF6"/>
    <w:rsid w:val="00B25391"/>
    <w:rsid w:val="00B25A7D"/>
    <w:rsid w:val="00B33E05"/>
    <w:rsid w:val="00B34FE2"/>
    <w:rsid w:val="00B357D8"/>
    <w:rsid w:val="00B37BFC"/>
    <w:rsid w:val="00B40358"/>
    <w:rsid w:val="00B41614"/>
    <w:rsid w:val="00B423CC"/>
    <w:rsid w:val="00B42851"/>
    <w:rsid w:val="00B42F80"/>
    <w:rsid w:val="00B4317A"/>
    <w:rsid w:val="00B435CB"/>
    <w:rsid w:val="00B46573"/>
    <w:rsid w:val="00B46D71"/>
    <w:rsid w:val="00B509BD"/>
    <w:rsid w:val="00B50DB8"/>
    <w:rsid w:val="00B53654"/>
    <w:rsid w:val="00B53905"/>
    <w:rsid w:val="00B53EC7"/>
    <w:rsid w:val="00B54B5B"/>
    <w:rsid w:val="00B554D5"/>
    <w:rsid w:val="00B5562E"/>
    <w:rsid w:val="00B57000"/>
    <w:rsid w:val="00B60649"/>
    <w:rsid w:val="00B60939"/>
    <w:rsid w:val="00B60AFD"/>
    <w:rsid w:val="00B60EA5"/>
    <w:rsid w:val="00B62715"/>
    <w:rsid w:val="00B646D2"/>
    <w:rsid w:val="00B64954"/>
    <w:rsid w:val="00B70583"/>
    <w:rsid w:val="00B70958"/>
    <w:rsid w:val="00B745E4"/>
    <w:rsid w:val="00B75377"/>
    <w:rsid w:val="00B76121"/>
    <w:rsid w:val="00B76CD4"/>
    <w:rsid w:val="00B77322"/>
    <w:rsid w:val="00B773DD"/>
    <w:rsid w:val="00B7741F"/>
    <w:rsid w:val="00B80D57"/>
    <w:rsid w:val="00B81020"/>
    <w:rsid w:val="00B818A4"/>
    <w:rsid w:val="00B81DB2"/>
    <w:rsid w:val="00B8278F"/>
    <w:rsid w:val="00B84117"/>
    <w:rsid w:val="00B85AA2"/>
    <w:rsid w:val="00B8649C"/>
    <w:rsid w:val="00B87144"/>
    <w:rsid w:val="00B87F0A"/>
    <w:rsid w:val="00B90460"/>
    <w:rsid w:val="00B92D0B"/>
    <w:rsid w:val="00B9404A"/>
    <w:rsid w:val="00B94945"/>
    <w:rsid w:val="00B95E71"/>
    <w:rsid w:val="00BA0AB5"/>
    <w:rsid w:val="00BA0DCA"/>
    <w:rsid w:val="00BA322D"/>
    <w:rsid w:val="00BA490B"/>
    <w:rsid w:val="00BA6714"/>
    <w:rsid w:val="00BB0BDD"/>
    <w:rsid w:val="00BB2A73"/>
    <w:rsid w:val="00BB3CCD"/>
    <w:rsid w:val="00BB4ACC"/>
    <w:rsid w:val="00BB4B1D"/>
    <w:rsid w:val="00BB4E90"/>
    <w:rsid w:val="00BB703E"/>
    <w:rsid w:val="00BB7405"/>
    <w:rsid w:val="00BC1F14"/>
    <w:rsid w:val="00BC3631"/>
    <w:rsid w:val="00BC4B6F"/>
    <w:rsid w:val="00BD1E85"/>
    <w:rsid w:val="00BD42C9"/>
    <w:rsid w:val="00BD68A3"/>
    <w:rsid w:val="00BD6938"/>
    <w:rsid w:val="00BD6CF3"/>
    <w:rsid w:val="00BE2180"/>
    <w:rsid w:val="00BE21F2"/>
    <w:rsid w:val="00BE35A0"/>
    <w:rsid w:val="00BE4275"/>
    <w:rsid w:val="00BE4B0A"/>
    <w:rsid w:val="00BF0F95"/>
    <w:rsid w:val="00BF2433"/>
    <w:rsid w:val="00BF38F2"/>
    <w:rsid w:val="00BF3AFA"/>
    <w:rsid w:val="00BF430D"/>
    <w:rsid w:val="00BF61C9"/>
    <w:rsid w:val="00BF6414"/>
    <w:rsid w:val="00BF6C94"/>
    <w:rsid w:val="00BF7362"/>
    <w:rsid w:val="00C00424"/>
    <w:rsid w:val="00C02A72"/>
    <w:rsid w:val="00C02DF6"/>
    <w:rsid w:val="00C02EBE"/>
    <w:rsid w:val="00C07025"/>
    <w:rsid w:val="00C11AD9"/>
    <w:rsid w:val="00C12C14"/>
    <w:rsid w:val="00C15ACD"/>
    <w:rsid w:val="00C174A3"/>
    <w:rsid w:val="00C178C7"/>
    <w:rsid w:val="00C200AA"/>
    <w:rsid w:val="00C237ED"/>
    <w:rsid w:val="00C24632"/>
    <w:rsid w:val="00C25418"/>
    <w:rsid w:val="00C25D9C"/>
    <w:rsid w:val="00C2778B"/>
    <w:rsid w:val="00C27F03"/>
    <w:rsid w:val="00C30801"/>
    <w:rsid w:val="00C30A00"/>
    <w:rsid w:val="00C31649"/>
    <w:rsid w:val="00C32955"/>
    <w:rsid w:val="00C331C0"/>
    <w:rsid w:val="00C37174"/>
    <w:rsid w:val="00C40385"/>
    <w:rsid w:val="00C40EB4"/>
    <w:rsid w:val="00C43312"/>
    <w:rsid w:val="00C43EE5"/>
    <w:rsid w:val="00C4512B"/>
    <w:rsid w:val="00C45C2F"/>
    <w:rsid w:val="00C475AA"/>
    <w:rsid w:val="00C47BEA"/>
    <w:rsid w:val="00C5366E"/>
    <w:rsid w:val="00C57904"/>
    <w:rsid w:val="00C62C3E"/>
    <w:rsid w:val="00C651AC"/>
    <w:rsid w:val="00C65576"/>
    <w:rsid w:val="00C66165"/>
    <w:rsid w:val="00C7044D"/>
    <w:rsid w:val="00C7151A"/>
    <w:rsid w:val="00C71F60"/>
    <w:rsid w:val="00C72241"/>
    <w:rsid w:val="00C750C8"/>
    <w:rsid w:val="00C754E2"/>
    <w:rsid w:val="00C7560F"/>
    <w:rsid w:val="00C759C3"/>
    <w:rsid w:val="00C80A0E"/>
    <w:rsid w:val="00C816A2"/>
    <w:rsid w:val="00C8213F"/>
    <w:rsid w:val="00C8797A"/>
    <w:rsid w:val="00C900B8"/>
    <w:rsid w:val="00C90C71"/>
    <w:rsid w:val="00C931CF"/>
    <w:rsid w:val="00C93790"/>
    <w:rsid w:val="00C938CF"/>
    <w:rsid w:val="00C94473"/>
    <w:rsid w:val="00C95C8A"/>
    <w:rsid w:val="00C9624D"/>
    <w:rsid w:val="00C969DA"/>
    <w:rsid w:val="00C974F4"/>
    <w:rsid w:val="00CA0A1F"/>
    <w:rsid w:val="00CA2C77"/>
    <w:rsid w:val="00CA444F"/>
    <w:rsid w:val="00CA491A"/>
    <w:rsid w:val="00CA49C7"/>
    <w:rsid w:val="00CA5245"/>
    <w:rsid w:val="00CA71F4"/>
    <w:rsid w:val="00CA7B09"/>
    <w:rsid w:val="00CA7F08"/>
    <w:rsid w:val="00CB18F5"/>
    <w:rsid w:val="00CB2F2A"/>
    <w:rsid w:val="00CB355B"/>
    <w:rsid w:val="00CB5B1A"/>
    <w:rsid w:val="00CB6B22"/>
    <w:rsid w:val="00CB7F5F"/>
    <w:rsid w:val="00CC0F7C"/>
    <w:rsid w:val="00CC1B39"/>
    <w:rsid w:val="00CC580B"/>
    <w:rsid w:val="00CC614C"/>
    <w:rsid w:val="00CC6A33"/>
    <w:rsid w:val="00CD0486"/>
    <w:rsid w:val="00CD3980"/>
    <w:rsid w:val="00CD3BA4"/>
    <w:rsid w:val="00CD6ADC"/>
    <w:rsid w:val="00CE56DD"/>
    <w:rsid w:val="00CE6274"/>
    <w:rsid w:val="00CF0087"/>
    <w:rsid w:val="00CF030A"/>
    <w:rsid w:val="00CF2B8D"/>
    <w:rsid w:val="00CF456B"/>
    <w:rsid w:val="00CF5A22"/>
    <w:rsid w:val="00CF6095"/>
    <w:rsid w:val="00CF6F9B"/>
    <w:rsid w:val="00CF71C1"/>
    <w:rsid w:val="00D00071"/>
    <w:rsid w:val="00D004E0"/>
    <w:rsid w:val="00D02157"/>
    <w:rsid w:val="00D02277"/>
    <w:rsid w:val="00D0259B"/>
    <w:rsid w:val="00D0262E"/>
    <w:rsid w:val="00D036B6"/>
    <w:rsid w:val="00D049B0"/>
    <w:rsid w:val="00D04B8E"/>
    <w:rsid w:val="00D04C13"/>
    <w:rsid w:val="00D05374"/>
    <w:rsid w:val="00D110BD"/>
    <w:rsid w:val="00D13675"/>
    <w:rsid w:val="00D141E1"/>
    <w:rsid w:val="00D14922"/>
    <w:rsid w:val="00D165D1"/>
    <w:rsid w:val="00D17D6C"/>
    <w:rsid w:val="00D21D62"/>
    <w:rsid w:val="00D22C5A"/>
    <w:rsid w:val="00D2336B"/>
    <w:rsid w:val="00D23E8B"/>
    <w:rsid w:val="00D24276"/>
    <w:rsid w:val="00D246D7"/>
    <w:rsid w:val="00D24BE2"/>
    <w:rsid w:val="00D25EAE"/>
    <w:rsid w:val="00D2637D"/>
    <w:rsid w:val="00D26D44"/>
    <w:rsid w:val="00D2754D"/>
    <w:rsid w:val="00D27B27"/>
    <w:rsid w:val="00D33691"/>
    <w:rsid w:val="00D33BE9"/>
    <w:rsid w:val="00D33D16"/>
    <w:rsid w:val="00D3429E"/>
    <w:rsid w:val="00D357FF"/>
    <w:rsid w:val="00D424C7"/>
    <w:rsid w:val="00D43507"/>
    <w:rsid w:val="00D43B2A"/>
    <w:rsid w:val="00D47575"/>
    <w:rsid w:val="00D61A2D"/>
    <w:rsid w:val="00D620B6"/>
    <w:rsid w:val="00D62DA1"/>
    <w:rsid w:val="00D673D6"/>
    <w:rsid w:val="00D678B5"/>
    <w:rsid w:val="00D70F16"/>
    <w:rsid w:val="00D71583"/>
    <w:rsid w:val="00D74168"/>
    <w:rsid w:val="00D7458E"/>
    <w:rsid w:val="00D76A44"/>
    <w:rsid w:val="00D80787"/>
    <w:rsid w:val="00D80900"/>
    <w:rsid w:val="00D80F1A"/>
    <w:rsid w:val="00D815EF"/>
    <w:rsid w:val="00D83FA9"/>
    <w:rsid w:val="00D84136"/>
    <w:rsid w:val="00D867E3"/>
    <w:rsid w:val="00D91923"/>
    <w:rsid w:val="00D92503"/>
    <w:rsid w:val="00D93753"/>
    <w:rsid w:val="00D93D1C"/>
    <w:rsid w:val="00D94D55"/>
    <w:rsid w:val="00D95468"/>
    <w:rsid w:val="00D9571E"/>
    <w:rsid w:val="00D96082"/>
    <w:rsid w:val="00D97A18"/>
    <w:rsid w:val="00DA3167"/>
    <w:rsid w:val="00DA4332"/>
    <w:rsid w:val="00DA4DC3"/>
    <w:rsid w:val="00DA77A5"/>
    <w:rsid w:val="00DB484F"/>
    <w:rsid w:val="00DB74A5"/>
    <w:rsid w:val="00DB7B5B"/>
    <w:rsid w:val="00DC04F6"/>
    <w:rsid w:val="00DC07B8"/>
    <w:rsid w:val="00DC1993"/>
    <w:rsid w:val="00DC3C57"/>
    <w:rsid w:val="00DC5501"/>
    <w:rsid w:val="00DC662C"/>
    <w:rsid w:val="00DC6F15"/>
    <w:rsid w:val="00DC7068"/>
    <w:rsid w:val="00DC7ABD"/>
    <w:rsid w:val="00DD218F"/>
    <w:rsid w:val="00DD273C"/>
    <w:rsid w:val="00DD3563"/>
    <w:rsid w:val="00DD3912"/>
    <w:rsid w:val="00DD395C"/>
    <w:rsid w:val="00DD3F28"/>
    <w:rsid w:val="00DD4537"/>
    <w:rsid w:val="00DD4E15"/>
    <w:rsid w:val="00DD53F7"/>
    <w:rsid w:val="00DD556C"/>
    <w:rsid w:val="00DE3138"/>
    <w:rsid w:val="00DE37B6"/>
    <w:rsid w:val="00DE37F8"/>
    <w:rsid w:val="00DE4C78"/>
    <w:rsid w:val="00DE4FCB"/>
    <w:rsid w:val="00DE5485"/>
    <w:rsid w:val="00DE68B6"/>
    <w:rsid w:val="00DE7832"/>
    <w:rsid w:val="00DF18FC"/>
    <w:rsid w:val="00DF1B0B"/>
    <w:rsid w:val="00DF1F9F"/>
    <w:rsid w:val="00DF1FC7"/>
    <w:rsid w:val="00DF4C3E"/>
    <w:rsid w:val="00DF5D2B"/>
    <w:rsid w:val="00E00E8E"/>
    <w:rsid w:val="00E010AE"/>
    <w:rsid w:val="00E041D0"/>
    <w:rsid w:val="00E05630"/>
    <w:rsid w:val="00E06DBB"/>
    <w:rsid w:val="00E10149"/>
    <w:rsid w:val="00E14585"/>
    <w:rsid w:val="00E1509A"/>
    <w:rsid w:val="00E16372"/>
    <w:rsid w:val="00E17D6F"/>
    <w:rsid w:val="00E20E4D"/>
    <w:rsid w:val="00E20ED6"/>
    <w:rsid w:val="00E21358"/>
    <w:rsid w:val="00E21802"/>
    <w:rsid w:val="00E2249B"/>
    <w:rsid w:val="00E226EF"/>
    <w:rsid w:val="00E228A8"/>
    <w:rsid w:val="00E22A0D"/>
    <w:rsid w:val="00E248A7"/>
    <w:rsid w:val="00E2771E"/>
    <w:rsid w:val="00E32EDA"/>
    <w:rsid w:val="00E34948"/>
    <w:rsid w:val="00E36028"/>
    <w:rsid w:val="00E37569"/>
    <w:rsid w:val="00E41E30"/>
    <w:rsid w:val="00E41F94"/>
    <w:rsid w:val="00E4269E"/>
    <w:rsid w:val="00E434FA"/>
    <w:rsid w:val="00E436BE"/>
    <w:rsid w:val="00E43D70"/>
    <w:rsid w:val="00E45AE8"/>
    <w:rsid w:val="00E45C8E"/>
    <w:rsid w:val="00E4667C"/>
    <w:rsid w:val="00E466F3"/>
    <w:rsid w:val="00E46943"/>
    <w:rsid w:val="00E47B2C"/>
    <w:rsid w:val="00E50B21"/>
    <w:rsid w:val="00E51560"/>
    <w:rsid w:val="00E54347"/>
    <w:rsid w:val="00E55424"/>
    <w:rsid w:val="00E55BB5"/>
    <w:rsid w:val="00E563D4"/>
    <w:rsid w:val="00E64BEA"/>
    <w:rsid w:val="00E653A0"/>
    <w:rsid w:val="00E65E79"/>
    <w:rsid w:val="00E66BA2"/>
    <w:rsid w:val="00E67416"/>
    <w:rsid w:val="00E718B6"/>
    <w:rsid w:val="00E723BA"/>
    <w:rsid w:val="00E73581"/>
    <w:rsid w:val="00E7570E"/>
    <w:rsid w:val="00E833F7"/>
    <w:rsid w:val="00E83BDF"/>
    <w:rsid w:val="00E84D9B"/>
    <w:rsid w:val="00E8726E"/>
    <w:rsid w:val="00E8794D"/>
    <w:rsid w:val="00E87A1D"/>
    <w:rsid w:val="00E90279"/>
    <w:rsid w:val="00E9254F"/>
    <w:rsid w:val="00E926A5"/>
    <w:rsid w:val="00E93ED5"/>
    <w:rsid w:val="00E94B18"/>
    <w:rsid w:val="00E9550E"/>
    <w:rsid w:val="00E979B5"/>
    <w:rsid w:val="00EA09C7"/>
    <w:rsid w:val="00EA1368"/>
    <w:rsid w:val="00EA17C3"/>
    <w:rsid w:val="00EA2CAA"/>
    <w:rsid w:val="00EA2E18"/>
    <w:rsid w:val="00EA316C"/>
    <w:rsid w:val="00EA3864"/>
    <w:rsid w:val="00EA7E46"/>
    <w:rsid w:val="00EB15B6"/>
    <w:rsid w:val="00EB4916"/>
    <w:rsid w:val="00EB5D88"/>
    <w:rsid w:val="00EB61A9"/>
    <w:rsid w:val="00EB62C9"/>
    <w:rsid w:val="00EB6FC8"/>
    <w:rsid w:val="00EC00C9"/>
    <w:rsid w:val="00EC2649"/>
    <w:rsid w:val="00EC5750"/>
    <w:rsid w:val="00EC7362"/>
    <w:rsid w:val="00ED4B0B"/>
    <w:rsid w:val="00ED53E7"/>
    <w:rsid w:val="00ED57EA"/>
    <w:rsid w:val="00ED7309"/>
    <w:rsid w:val="00EE07D3"/>
    <w:rsid w:val="00EE1CFB"/>
    <w:rsid w:val="00EE22AF"/>
    <w:rsid w:val="00EE2B3C"/>
    <w:rsid w:val="00EE5BFD"/>
    <w:rsid w:val="00EF0171"/>
    <w:rsid w:val="00EF167B"/>
    <w:rsid w:val="00EF1B25"/>
    <w:rsid w:val="00EF2BF9"/>
    <w:rsid w:val="00EF3A3D"/>
    <w:rsid w:val="00EF3F1E"/>
    <w:rsid w:val="00EF40ED"/>
    <w:rsid w:val="00EF4747"/>
    <w:rsid w:val="00EF4BF8"/>
    <w:rsid w:val="00EF613F"/>
    <w:rsid w:val="00EF6EA4"/>
    <w:rsid w:val="00F02253"/>
    <w:rsid w:val="00F02EBE"/>
    <w:rsid w:val="00F03A6D"/>
    <w:rsid w:val="00F03C2E"/>
    <w:rsid w:val="00F04A66"/>
    <w:rsid w:val="00F0516C"/>
    <w:rsid w:val="00F067A2"/>
    <w:rsid w:val="00F07AF7"/>
    <w:rsid w:val="00F07B7E"/>
    <w:rsid w:val="00F1263A"/>
    <w:rsid w:val="00F1384D"/>
    <w:rsid w:val="00F15930"/>
    <w:rsid w:val="00F15DD5"/>
    <w:rsid w:val="00F21474"/>
    <w:rsid w:val="00F242CE"/>
    <w:rsid w:val="00F24837"/>
    <w:rsid w:val="00F24B42"/>
    <w:rsid w:val="00F2575F"/>
    <w:rsid w:val="00F261B9"/>
    <w:rsid w:val="00F27565"/>
    <w:rsid w:val="00F310D4"/>
    <w:rsid w:val="00F31D5A"/>
    <w:rsid w:val="00F33DE9"/>
    <w:rsid w:val="00F34F20"/>
    <w:rsid w:val="00F35D6E"/>
    <w:rsid w:val="00F3619A"/>
    <w:rsid w:val="00F406DE"/>
    <w:rsid w:val="00F40AAA"/>
    <w:rsid w:val="00F40BA7"/>
    <w:rsid w:val="00F410AA"/>
    <w:rsid w:val="00F433F2"/>
    <w:rsid w:val="00F45A23"/>
    <w:rsid w:val="00F46CB6"/>
    <w:rsid w:val="00F47DE8"/>
    <w:rsid w:val="00F542C1"/>
    <w:rsid w:val="00F55A17"/>
    <w:rsid w:val="00F55E73"/>
    <w:rsid w:val="00F55EDA"/>
    <w:rsid w:val="00F56A93"/>
    <w:rsid w:val="00F57D7E"/>
    <w:rsid w:val="00F60092"/>
    <w:rsid w:val="00F60F9E"/>
    <w:rsid w:val="00F636F1"/>
    <w:rsid w:val="00F645B9"/>
    <w:rsid w:val="00F64F0A"/>
    <w:rsid w:val="00F65B78"/>
    <w:rsid w:val="00F65F4B"/>
    <w:rsid w:val="00F67EA9"/>
    <w:rsid w:val="00F70C9D"/>
    <w:rsid w:val="00F70FB2"/>
    <w:rsid w:val="00F74CD9"/>
    <w:rsid w:val="00F76B7B"/>
    <w:rsid w:val="00F77B20"/>
    <w:rsid w:val="00F80A7B"/>
    <w:rsid w:val="00F80BAE"/>
    <w:rsid w:val="00F80E5D"/>
    <w:rsid w:val="00F8109B"/>
    <w:rsid w:val="00F816B9"/>
    <w:rsid w:val="00F818A9"/>
    <w:rsid w:val="00F81D5A"/>
    <w:rsid w:val="00F851CE"/>
    <w:rsid w:val="00F85DBA"/>
    <w:rsid w:val="00F91219"/>
    <w:rsid w:val="00F92353"/>
    <w:rsid w:val="00F9453E"/>
    <w:rsid w:val="00F9784E"/>
    <w:rsid w:val="00F97A78"/>
    <w:rsid w:val="00F97E72"/>
    <w:rsid w:val="00FA0B20"/>
    <w:rsid w:val="00FA24E7"/>
    <w:rsid w:val="00FA3AD2"/>
    <w:rsid w:val="00FA7422"/>
    <w:rsid w:val="00FB2451"/>
    <w:rsid w:val="00FB2FCB"/>
    <w:rsid w:val="00FB31B4"/>
    <w:rsid w:val="00FB529B"/>
    <w:rsid w:val="00FC1074"/>
    <w:rsid w:val="00FC1884"/>
    <w:rsid w:val="00FC28E3"/>
    <w:rsid w:val="00FC371D"/>
    <w:rsid w:val="00FC5F0B"/>
    <w:rsid w:val="00FD06DD"/>
    <w:rsid w:val="00FD2100"/>
    <w:rsid w:val="00FD218E"/>
    <w:rsid w:val="00FD380E"/>
    <w:rsid w:val="00FD436C"/>
    <w:rsid w:val="00FD446D"/>
    <w:rsid w:val="00FD6394"/>
    <w:rsid w:val="00FD7C4E"/>
    <w:rsid w:val="00FE0B47"/>
    <w:rsid w:val="00FE0E6C"/>
    <w:rsid w:val="00FE70C3"/>
    <w:rsid w:val="00FE713A"/>
    <w:rsid w:val="00FF01D8"/>
    <w:rsid w:val="00FF32FD"/>
    <w:rsid w:val="00FF3DCF"/>
    <w:rsid w:val="00FF4364"/>
    <w:rsid w:val="00FF492C"/>
    <w:rsid w:val="00FF4A21"/>
    <w:rsid w:val="00FF4D7A"/>
    <w:rsid w:val="00FF597A"/>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52B7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uiPriority="9"/>
    <w:lsdException w:name="heading 6" w:qFormat="1"/>
    <w:lsdException w:name="heading 7" w:semiHidden="1" w:unhideWhenUsed="1" w:qFormat="1"/>
    <w:lsdException w:name="heading 8" w:semiHidden="1"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aliases w:val="1: LEVEL A"/>
    <w:basedOn w:val="Normal"/>
    <w:next w:val="Normal"/>
    <w:uiPriority w:val="9"/>
    <w:qFormat/>
    <w:rsid w:val="001B204E"/>
    <w:pPr>
      <w:ind w:left="720" w:hanging="720"/>
      <w:outlineLvl w:val="0"/>
    </w:pPr>
    <w:rPr>
      <w:b/>
      <w:caps/>
      <w:sz w:val="32"/>
    </w:rPr>
  </w:style>
  <w:style w:type="paragraph" w:styleId="Heading2">
    <w:name w:val="heading 2"/>
    <w:aliases w:val="2: LEVEL B"/>
    <w:basedOn w:val="Normal"/>
    <w:next w:val="Normal"/>
    <w:link w:val="Heading2Char"/>
    <w:qFormat/>
    <w:rsid w:val="001B204E"/>
    <w:pPr>
      <w:outlineLvl w:val="1"/>
    </w:pPr>
    <w:rPr>
      <w:b/>
      <w:i/>
      <w:sz w:val="28"/>
    </w:rPr>
  </w:style>
  <w:style w:type="paragraph" w:styleId="Heading3">
    <w:name w:val="heading 3"/>
    <w:aliases w:val="3: LEVEL C"/>
    <w:basedOn w:val="Normal"/>
    <w:next w:val="Normal"/>
    <w:link w:val="Heading3Char"/>
    <w:qFormat/>
    <w:rsid w:val="001F7361"/>
    <w:pPr>
      <w:outlineLvl w:val="2"/>
    </w:pPr>
    <w:rPr>
      <w:u w:val="single"/>
    </w:rPr>
  </w:style>
  <w:style w:type="paragraph" w:styleId="Heading4">
    <w:name w:val="heading 4"/>
    <w:aliases w:val="4: LEVEL D"/>
    <w:basedOn w:val="Normal"/>
    <w:next w:val="Normal"/>
    <w:qFormat/>
    <w:rsid w:val="00124A51"/>
    <w:pPr>
      <w:keepNext/>
      <w:spacing w:before="240" w:after="60"/>
      <w:outlineLvl w:val="3"/>
    </w:pPr>
    <w:rPr>
      <w:b/>
      <w:bCs/>
      <w:i/>
      <w:sz w:val="26"/>
      <w:szCs w:val="28"/>
    </w:rPr>
  </w:style>
  <w:style w:type="paragraph" w:styleId="Heading5">
    <w:name w:val="heading 5"/>
    <w:basedOn w:val="Normal"/>
    <w:next w:val="Normal"/>
    <w:uiPriority w:val="9"/>
    <w:rsid w:val="00124A51"/>
    <w:pPr>
      <w:spacing w:before="240" w:after="60"/>
      <w:outlineLvl w:val="4"/>
    </w:pPr>
    <w:rPr>
      <w:b/>
      <w:bCs/>
      <w:iCs/>
      <w:sz w:val="26"/>
      <w:szCs w:val="26"/>
    </w:rPr>
  </w:style>
  <w:style w:type="paragraph" w:styleId="Heading6">
    <w:name w:val="heading 6"/>
    <w:aliases w:val="Appendix Heading 1"/>
    <w:basedOn w:val="Normal"/>
    <w:next w:val="Normal"/>
    <w:qFormat/>
    <w:rsid w:val="00124A51"/>
    <w:pPr>
      <w:spacing w:before="240" w:after="60"/>
      <w:outlineLvl w:val="5"/>
    </w:pPr>
    <w:rPr>
      <w:b/>
      <w:bCs/>
      <w:i/>
    </w:rPr>
  </w:style>
  <w:style w:type="paragraph" w:styleId="Heading7">
    <w:name w:val="heading 7"/>
    <w:aliases w:val="Appendix Heading 2"/>
    <w:basedOn w:val="Normal"/>
    <w:next w:val="Normal"/>
    <w:link w:val="Heading7Char"/>
    <w:qFormat/>
    <w:rsid w:val="00124A51"/>
    <w:pPr>
      <w:keepNext/>
      <w:jc w:val="center"/>
      <w:outlineLvl w:val="6"/>
    </w:pPr>
    <w:rPr>
      <w:b/>
      <w:sz w:val="20"/>
    </w:rPr>
  </w:style>
  <w:style w:type="paragraph" w:styleId="Heading8">
    <w:name w:val="heading 8"/>
    <w:aliases w:val="Appendix Heading 3"/>
    <w:basedOn w:val="Normal"/>
    <w:next w:val="Normal"/>
    <w:link w:val="Heading8Char"/>
    <w:qFormat/>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2: LEVEL B Char"/>
    <w:link w:val="Heading2"/>
    <w:rsid w:val="001B204E"/>
    <w:rPr>
      <w:rFonts w:ascii="Calibri" w:hAnsi="Calibri" w:cs="Arial"/>
      <w:b/>
      <w:i/>
      <w:snapToGrid w:val="0"/>
      <w:sz w:val="28"/>
      <w:szCs w:val="22"/>
      <w:lang w:eastAsia="en-US"/>
    </w:rPr>
  </w:style>
  <w:style w:type="character" w:customStyle="1" w:styleId="Heading7Char">
    <w:name w:val="Heading 7 Char"/>
    <w:aliases w:val="Appendix Heading 2 Char"/>
    <w:basedOn w:val="DefaultParagraphFont"/>
    <w:link w:val="Heading7"/>
    <w:rsid w:val="00124A51"/>
    <w:rPr>
      <w:rFonts w:ascii="Arial" w:hAnsi="Arial"/>
      <w:b/>
      <w:snapToGrid w:val="0"/>
      <w:lang w:eastAsia="en-US"/>
    </w:rPr>
  </w:style>
  <w:style w:type="character" w:customStyle="1" w:styleId="Heading8Char">
    <w:name w:val="Heading 8 Char"/>
    <w:aliases w:val="Appendix Heading 3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Number,Bayer Caption,IB Caption,Medical Caption,Table caption,USA Caption,Table header,Char1,Char1 Char,Caption Bold,Caption 3,c,appendix,Caption 1,Caption Char1 Char Char,Caption Char Char Char Char, Char Char Char Char Char,appendix Cha"/>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Table Number Char,Bayer Caption Char,IB Caption Char,Medical Caption Char,Table caption Char,USA Caption Char,Table header Char,Char1 Char1,Char1 Char Char,Caption Bold Char,Caption 3 Char,c Char,appendix Char,Caption 1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Body Text Bullet Points,Bullet point,List Paragraph11,Recommendation,Section heading,Footnote,Styl moj,Akapit z listą1,Akapit z listą11,ES Paragraph,PBAC ES Paragraph,PBAC normal points,Figure_na"/>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Body Text Bullet Points Char,Bullet point Char,List Paragraph11 Char,Recommendation Char,Section heading Char,Footnote Char,Styl moj Char,Akapit z listą1 Char,Figure_na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link w:val="TableHeadingChar"/>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E75F4"/>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2"/>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5F1BDF"/>
    <w:pPr>
      <w:keepNext/>
      <w:widowControl/>
      <w:spacing w:before="40" w:after="40"/>
      <w:jc w:val="left"/>
    </w:pPr>
    <w:rPr>
      <w:rFonts w:ascii="Arial Narrow" w:eastAsiaTheme="minorHAnsi" w:hAnsi="Arial Narrow" w:cstheme="minorBidi"/>
      <w:snapToGrid/>
      <w:sz w:val="20"/>
    </w:rPr>
  </w:style>
  <w:style w:type="character" w:customStyle="1" w:styleId="Heading3Char">
    <w:name w:val="Heading 3 Char"/>
    <w:aliases w:val="3: LEVEL C Char"/>
    <w:basedOn w:val="DefaultParagraphFont"/>
    <w:link w:val="Heading3"/>
    <w:rsid w:val="002D2C31"/>
    <w:rPr>
      <w:rFonts w:ascii="Calibri" w:hAnsi="Calibri" w:cs="Arial"/>
      <w:snapToGrid w:val="0"/>
      <w:sz w:val="24"/>
      <w:szCs w:val="22"/>
      <w:u w:val="single"/>
      <w:lang w:eastAsia="en-US"/>
    </w:rPr>
  </w:style>
  <w:style w:type="paragraph" w:customStyle="1" w:styleId="11FOOTERTABLEFIGURE">
    <w:name w:val="11: FOOTER (TABLE/FIGURE)"/>
    <w:basedOn w:val="Normal"/>
    <w:link w:val="11FOOTERTABLEFIGUREChar"/>
    <w:uiPriority w:val="1"/>
    <w:qFormat/>
    <w:rsid w:val="000C6ED8"/>
    <w:pPr>
      <w:widowControl/>
      <w:spacing w:before="40"/>
    </w:pPr>
    <w:rPr>
      <w:rFonts w:asciiTheme="minorHAnsi" w:hAnsiTheme="minorHAnsi" w:cs="Helvetica"/>
      <w:snapToGrid/>
      <w:color w:val="000000"/>
      <w:sz w:val="16"/>
      <w:szCs w:val="16"/>
      <w:lang w:val="en-US" w:eastAsia="ja-JP"/>
    </w:rPr>
  </w:style>
  <w:style w:type="character" w:customStyle="1" w:styleId="11FOOTERTABLEFIGUREChar">
    <w:name w:val="11: FOOTER (TABLE/FIGURE) Char"/>
    <w:basedOn w:val="DefaultParagraphFont"/>
    <w:link w:val="11FOOTERTABLEFIGURE"/>
    <w:uiPriority w:val="1"/>
    <w:rsid w:val="000C6ED8"/>
    <w:rPr>
      <w:rFonts w:asciiTheme="minorHAnsi" w:hAnsiTheme="minorHAnsi" w:cs="Helvetica"/>
      <w:color w:val="000000"/>
      <w:sz w:val="16"/>
      <w:szCs w:val="16"/>
      <w:lang w:val="en-US" w:eastAsia="ja-JP"/>
    </w:rPr>
  </w:style>
  <w:style w:type="table" w:customStyle="1" w:styleId="PSEpreferredstyle">
    <w:name w:val="PSE preferred style"/>
    <w:basedOn w:val="TableNormal"/>
    <w:uiPriority w:val="99"/>
    <w:rsid w:val="00FF4D7A"/>
    <w:pPr>
      <w:spacing w:before="40" w:after="40"/>
    </w:pPr>
    <w:rPr>
      <w:rFonts w:ascii="Helvetica" w:eastAsiaTheme="minorHAnsi" w:hAnsi="Helvetica" w:cs="Times New Roman (Headings CS)"/>
      <w:color w:val="4B277B"/>
      <w:sz w:val="18"/>
      <w:szCs w:val="22"/>
      <w:lang w:val="en-CA"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Helvetica" w:hAnsi="Helvetica"/>
        <w:b/>
        <w:color w:val="FFFFFF" w:themeColor="background1"/>
        <w:sz w:val="20"/>
      </w:rPr>
      <w:tblPr/>
      <w:trPr>
        <w:cantSplit/>
        <w:tblHeader/>
      </w:trPr>
      <w:tcPr>
        <w:shd w:val="clear" w:color="auto" w:fill="4A1D6F"/>
      </w:tcPr>
    </w:tblStylePr>
    <w:tblStylePr w:type="band1Horz">
      <w:rPr>
        <w:rFonts w:ascii="Helvetica" w:hAnsi="Helvetica"/>
        <w:color w:val="000000" w:themeColor="text1"/>
        <w:sz w:val="18"/>
      </w:rPr>
    </w:tblStylePr>
    <w:tblStylePr w:type="band2Horz">
      <w:rPr>
        <w:rFonts w:ascii="Helvetica" w:hAnsi="Helvetica"/>
        <w:color w:val="000000" w:themeColor="text1"/>
        <w:sz w:val="18"/>
      </w:rPr>
    </w:tblStylePr>
  </w:style>
  <w:style w:type="character" w:customStyle="1" w:styleId="TableTextChar0">
    <w:name w:val="Table Text Char"/>
    <w:basedOn w:val="DefaultParagraphFont"/>
    <w:link w:val="TableText0"/>
    <w:rsid w:val="00FF4D7A"/>
    <w:rPr>
      <w:rFonts w:ascii="Arial Narrow" w:eastAsiaTheme="minorHAnsi" w:hAnsi="Arial Narrow" w:cstheme="minorBidi"/>
      <w:szCs w:val="22"/>
      <w:lang w:eastAsia="en-US"/>
    </w:rPr>
  </w:style>
  <w:style w:type="paragraph" w:customStyle="1" w:styleId="0TEXT">
    <w:name w:val="0: TEXT"/>
    <w:basedOn w:val="Normal"/>
    <w:link w:val="0TEXTChar"/>
    <w:qFormat/>
    <w:rsid w:val="003D0EE4"/>
    <w:pPr>
      <w:widowControl/>
      <w:spacing w:before="240"/>
    </w:pPr>
    <w:rPr>
      <w:rFonts w:asciiTheme="majorHAnsi" w:hAnsiTheme="majorHAnsi" w:cs="Times New Roman"/>
      <w:snapToGrid/>
      <w:color w:val="000000"/>
      <w:sz w:val="22"/>
      <w:szCs w:val="24"/>
      <w:lang w:val="en-GB" w:eastAsia="en-GB"/>
    </w:rPr>
  </w:style>
  <w:style w:type="character" w:customStyle="1" w:styleId="0TEXTChar">
    <w:name w:val="0: TEXT Char"/>
    <w:basedOn w:val="DefaultParagraphFont"/>
    <w:link w:val="0TEXT"/>
    <w:rsid w:val="003D0EE4"/>
    <w:rPr>
      <w:rFonts w:asciiTheme="majorHAnsi" w:hAnsiTheme="majorHAnsi"/>
      <w:color w:val="000000"/>
      <w:sz w:val="22"/>
      <w:szCs w:val="24"/>
      <w:lang w:val="en-GB" w:eastAsia="en-GB"/>
    </w:rPr>
  </w:style>
  <w:style w:type="character" w:customStyle="1" w:styleId="UnresolvedMention1">
    <w:name w:val="Unresolved Mention1"/>
    <w:basedOn w:val="DefaultParagraphFont"/>
    <w:uiPriority w:val="99"/>
    <w:semiHidden/>
    <w:unhideWhenUsed/>
    <w:rsid w:val="002A33CE"/>
    <w:rPr>
      <w:color w:val="605E5C"/>
      <w:shd w:val="clear" w:color="auto" w:fill="E1DFDD"/>
    </w:rPr>
  </w:style>
  <w:style w:type="table" w:customStyle="1" w:styleId="Table-HERONplain">
    <w:name w:val="Table - HERON plain"/>
    <w:basedOn w:val="TableNormal"/>
    <w:uiPriority w:val="99"/>
    <w:qFormat/>
    <w:rsid w:val="00083F05"/>
    <w:rPr>
      <w:rFonts w:ascii="Tahoma" w:eastAsia="Tahoma" w:hAnsi="Tahoma"/>
      <w:sz w:val="16"/>
      <w:lang w:val="en-GB" w:eastAsia="en-GB"/>
    </w:rPr>
    <w:tblPr>
      <w:tblStyleRowBandSize w:val="1"/>
      <w:tblInd w:w="113" w:type="dxa"/>
      <w:tblBorders>
        <w:top w:val="single" w:sz="4" w:space="0" w:color="00529B"/>
        <w:left w:val="single" w:sz="4" w:space="0" w:color="00529B"/>
        <w:bottom w:val="single" w:sz="4" w:space="0" w:color="00529B"/>
        <w:right w:val="single" w:sz="4" w:space="0" w:color="00529B"/>
        <w:insideH w:val="single" w:sz="4" w:space="0" w:color="00529B"/>
        <w:insideV w:val="single" w:sz="4" w:space="0" w:color="00529B"/>
      </w:tblBorders>
    </w:tblPr>
    <w:trPr>
      <w:cantSplit/>
    </w:trPr>
    <w:tcPr>
      <w:shd w:val="clear" w:color="auto" w:fill="auto"/>
      <w:vAlign w:val="center"/>
    </w:tcPr>
    <w:tblStylePr w:type="firstRow">
      <w:rPr>
        <w:rFonts w:ascii="Marlett" w:hAnsi="Marlett"/>
        <w:b/>
        <w:bCs/>
        <w:sz w:val="16"/>
      </w:rPr>
      <w:tblPr/>
      <w:trPr>
        <w:cantSplit w:val="0"/>
        <w:tblHeader/>
      </w:trPr>
      <w:tcPr>
        <w:shd w:val="clear" w:color="auto" w:fill="C7C7C7"/>
      </w:tcPr>
    </w:tblStylePr>
    <w:tblStylePr w:type="lastRow">
      <w:rPr>
        <w:rFonts w:ascii="Marlett" w:hAnsi="Marlett"/>
        <w:b/>
        <w:bCs/>
        <w:sz w:val="16"/>
      </w:rPr>
      <w:tblPr/>
      <w:tcPr>
        <w:shd w:val="clear" w:color="auto" w:fill="DEDEDE"/>
      </w:tcPr>
    </w:tblStylePr>
    <w:tblStylePr w:type="firstCol">
      <w:rPr>
        <w:b/>
        <w:bCs/>
      </w:rPr>
      <w:tblPr/>
      <w:tcPr>
        <w:shd w:val="clear" w:color="auto" w:fill="BFBFBF" w:themeFill="background1" w:themeFillShade="BF"/>
      </w:tcPr>
    </w:tblStylePr>
    <w:tblStylePr w:type="lastCol">
      <w:rPr>
        <w:b/>
        <w:bCs/>
      </w:rPr>
    </w:tblStylePr>
    <w:tblStylePr w:type="band2Horz">
      <w:rPr>
        <w:rFonts w:ascii="Marlett" w:hAnsi="Marlett"/>
        <w:sz w:val="16"/>
      </w:rPr>
    </w:tblStylePr>
  </w:style>
  <w:style w:type="paragraph" w:styleId="FootnoteText">
    <w:name w:val="footnote text"/>
    <w:basedOn w:val="Normal"/>
    <w:link w:val="FootnoteTextChar"/>
    <w:semiHidden/>
    <w:unhideWhenUsed/>
    <w:rsid w:val="00D80787"/>
    <w:rPr>
      <w:sz w:val="20"/>
      <w:szCs w:val="20"/>
    </w:rPr>
  </w:style>
  <w:style w:type="character" w:customStyle="1" w:styleId="FootnoteTextChar">
    <w:name w:val="Footnote Text Char"/>
    <w:basedOn w:val="DefaultParagraphFont"/>
    <w:link w:val="FootnoteText"/>
    <w:semiHidden/>
    <w:rsid w:val="00D80787"/>
    <w:rPr>
      <w:rFonts w:ascii="Calibri" w:hAnsi="Calibri" w:cs="Arial"/>
      <w:snapToGrid w:val="0"/>
      <w:lang w:eastAsia="en-US"/>
    </w:rPr>
  </w:style>
  <w:style w:type="character" w:styleId="FootnoteReference">
    <w:name w:val="footnote reference"/>
    <w:basedOn w:val="DefaultParagraphFont"/>
    <w:semiHidden/>
    <w:unhideWhenUsed/>
    <w:rsid w:val="00D80787"/>
    <w:rPr>
      <w:vertAlign w:val="superscript"/>
    </w:rPr>
  </w:style>
  <w:style w:type="paragraph" w:customStyle="1" w:styleId="Default">
    <w:name w:val="Default"/>
    <w:rsid w:val="006371ED"/>
    <w:pPr>
      <w:autoSpaceDE w:val="0"/>
      <w:autoSpaceDN w:val="0"/>
      <w:adjustRightInd w:val="0"/>
    </w:pPr>
    <w:rPr>
      <w:rFonts w:ascii="Arial" w:eastAsiaTheme="minorHAnsi" w:hAnsi="Arial" w:cs="Arial"/>
      <w:color w:val="000000"/>
      <w:sz w:val="24"/>
      <w:szCs w:val="24"/>
      <w:lang w:eastAsia="en-US"/>
    </w:rPr>
  </w:style>
  <w:style w:type="paragraph" w:customStyle="1" w:styleId="2-SectionHeading">
    <w:name w:val="2-Section Heading"/>
    <w:qFormat/>
    <w:rsid w:val="00273251"/>
    <w:pPr>
      <w:keepNext/>
      <w:spacing w:before="240" w:after="120"/>
      <w:outlineLvl w:val="0"/>
    </w:pPr>
    <w:rPr>
      <w:rFonts w:asciiTheme="minorHAnsi" w:hAnsiTheme="minorHAnsi" w:cs="Arial"/>
      <w:b/>
      <w:snapToGrid w:val="0"/>
      <w:sz w:val="32"/>
      <w:szCs w:val="32"/>
    </w:rPr>
  </w:style>
  <w:style w:type="character" w:customStyle="1" w:styleId="TableHeadingChar">
    <w:name w:val="TableHeading Char"/>
    <w:link w:val="TableHeading"/>
    <w:rsid w:val="00081210"/>
    <w:rPr>
      <w:rFonts w:ascii="Arial Narrow" w:hAnsi="Arial Narrow" w:cs="Arial Narrow"/>
      <w:b/>
      <w:bCs/>
      <w:szCs w:val="22"/>
      <w:lang w:eastAsia="en-US"/>
    </w:rPr>
  </w:style>
  <w:style w:type="character" w:customStyle="1" w:styleId="CaptionChar2">
    <w:name w:val="Caption Char2"/>
    <w:aliases w:val="Caption Char1 Char,Caption Char Char Char,Caption Char Char1,Lengende Char,figure Char,caption Char,Caption-FUSA Char,Caption Char Char Char Char Char,Caption Char Char Char Char Char Char Char,Caption Char1 Char Char Char,Char Char"/>
    <w:rsid w:val="00081210"/>
    <w:rPr>
      <w:rFonts w:ascii="Cambria" w:hAnsi="Cambria"/>
      <w:b/>
      <w:bCs/>
      <w:sz w:val="22"/>
      <w:szCs w:val="22"/>
      <w:lang w:val="en-AU"/>
    </w:rPr>
  </w:style>
  <w:style w:type="character" w:customStyle="1" w:styleId="TableFigureFooterChar">
    <w:name w:val="Table/Figure Footer Char"/>
    <w:link w:val="TableFigureFooter"/>
    <w:locked/>
    <w:rsid w:val="00EC5750"/>
    <w:rPr>
      <w:rFonts w:ascii="Arial Narrow" w:hAnsi="Arial Narrow" w:cs="Arial"/>
      <w:sz w:val="18"/>
    </w:rPr>
  </w:style>
  <w:style w:type="paragraph" w:customStyle="1" w:styleId="TableFigureFooter">
    <w:name w:val="Table/Figure Footer"/>
    <w:basedOn w:val="Normal"/>
    <w:link w:val="TableFigureFooterChar"/>
    <w:qFormat/>
    <w:rsid w:val="00EC5750"/>
    <w:pPr>
      <w:widowControl/>
      <w:snapToGrid w:val="0"/>
      <w:spacing w:after="120"/>
      <w:contextualSpacing/>
    </w:pPr>
    <w:rPr>
      <w:rFonts w:ascii="Arial Narrow" w:hAnsi="Arial Narrow"/>
      <w:snapToGrid/>
      <w:sz w:val="18"/>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16878">
      <w:bodyDiv w:val="1"/>
      <w:marLeft w:val="0"/>
      <w:marRight w:val="0"/>
      <w:marTop w:val="0"/>
      <w:marBottom w:val="0"/>
      <w:divBdr>
        <w:top w:val="none" w:sz="0" w:space="0" w:color="auto"/>
        <w:left w:val="none" w:sz="0" w:space="0" w:color="auto"/>
        <w:bottom w:val="none" w:sz="0" w:space="0" w:color="auto"/>
        <w:right w:val="none" w:sz="0" w:space="0" w:color="auto"/>
      </w:divBdr>
    </w:div>
    <w:div w:id="211814791">
      <w:bodyDiv w:val="1"/>
      <w:marLeft w:val="0"/>
      <w:marRight w:val="0"/>
      <w:marTop w:val="0"/>
      <w:marBottom w:val="0"/>
      <w:divBdr>
        <w:top w:val="none" w:sz="0" w:space="0" w:color="auto"/>
        <w:left w:val="none" w:sz="0" w:space="0" w:color="auto"/>
        <w:bottom w:val="none" w:sz="0" w:space="0" w:color="auto"/>
        <w:right w:val="none" w:sz="0" w:space="0" w:color="auto"/>
      </w:divBdr>
    </w:div>
    <w:div w:id="398528028">
      <w:bodyDiv w:val="1"/>
      <w:marLeft w:val="0"/>
      <w:marRight w:val="0"/>
      <w:marTop w:val="0"/>
      <w:marBottom w:val="0"/>
      <w:divBdr>
        <w:top w:val="none" w:sz="0" w:space="0" w:color="auto"/>
        <w:left w:val="none" w:sz="0" w:space="0" w:color="auto"/>
        <w:bottom w:val="none" w:sz="0" w:space="0" w:color="auto"/>
        <w:right w:val="none" w:sz="0" w:space="0" w:color="auto"/>
      </w:divBdr>
    </w:div>
    <w:div w:id="495456723">
      <w:bodyDiv w:val="1"/>
      <w:marLeft w:val="0"/>
      <w:marRight w:val="0"/>
      <w:marTop w:val="0"/>
      <w:marBottom w:val="0"/>
      <w:divBdr>
        <w:top w:val="none" w:sz="0" w:space="0" w:color="auto"/>
        <w:left w:val="none" w:sz="0" w:space="0" w:color="auto"/>
        <w:bottom w:val="none" w:sz="0" w:space="0" w:color="auto"/>
        <w:right w:val="none" w:sz="0" w:space="0" w:color="auto"/>
      </w:divBdr>
    </w:div>
    <w:div w:id="609816878">
      <w:bodyDiv w:val="1"/>
      <w:marLeft w:val="0"/>
      <w:marRight w:val="0"/>
      <w:marTop w:val="0"/>
      <w:marBottom w:val="0"/>
      <w:divBdr>
        <w:top w:val="none" w:sz="0" w:space="0" w:color="auto"/>
        <w:left w:val="none" w:sz="0" w:space="0" w:color="auto"/>
        <w:bottom w:val="none" w:sz="0" w:space="0" w:color="auto"/>
        <w:right w:val="none" w:sz="0" w:space="0" w:color="auto"/>
      </w:divBdr>
    </w:div>
    <w:div w:id="763110035">
      <w:bodyDiv w:val="1"/>
      <w:marLeft w:val="0"/>
      <w:marRight w:val="0"/>
      <w:marTop w:val="0"/>
      <w:marBottom w:val="0"/>
      <w:divBdr>
        <w:top w:val="none" w:sz="0" w:space="0" w:color="auto"/>
        <w:left w:val="none" w:sz="0" w:space="0" w:color="auto"/>
        <w:bottom w:val="none" w:sz="0" w:space="0" w:color="auto"/>
        <w:right w:val="none" w:sz="0" w:space="0" w:color="auto"/>
      </w:divBdr>
    </w:div>
    <w:div w:id="1177111842">
      <w:bodyDiv w:val="1"/>
      <w:marLeft w:val="0"/>
      <w:marRight w:val="0"/>
      <w:marTop w:val="0"/>
      <w:marBottom w:val="0"/>
      <w:divBdr>
        <w:top w:val="none" w:sz="0" w:space="0" w:color="auto"/>
        <w:left w:val="none" w:sz="0" w:space="0" w:color="auto"/>
        <w:bottom w:val="none" w:sz="0" w:space="0" w:color="auto"/>
        <w:right w:val="none" w:sz="0" w:space="0" w:color="auto"/>
      </w:divBdr>
    </w:div>
    <w:div w:id="1183544843">
      <w:bodyDiv w:val="1"/>
      <w:marLeft w:val="0"/>
      <w:marRight w:val="0"/>
      <w:marTop w:val="0"/>
      <w:marBottom w:val="0"/>
      <w:divBdr>
        <w:top w:val="none" w:sz="0" w:space="0" w:color="auto"/>
        <w:left w:val="none" w:sz="0" w:space="0" w:color="auto"/>
        <w:bottom w:val="none" w:sz="0" w:space="0" w:color="auto"/>
        <w:right w:val="none" w:sz="0" w:space="0" w:color="auto"/>
      </w:divBdr>
    </w:div>
    <w:div w:id="1224292302">
      <w:bodyDiv w:val="1"/>
      <w:marLeft w:val="0"/>
      <w:marRight w:val="0"/>
      <w:marTop w:val="0"/>
      <w:marBottom w:val="0"/>
      <w:divBdr>
        <w:top w:val="none" w:sz="0" w:space="0" w:color="auto"/>
        <w:left w:val="none" w:sz="0" w:space="0" w:color="auto"/>
        <w:bottom w:val="none" w:sz="0" w:space="0" w:color="auto"/>
        <w:right w:val="none" w:sz="0" w:space="0" w:color="auto"/>
      </w:divBdr>
    </w:div>
    <w:div w:id="1254583770">
      <w:bodyDiv w:val="1"/>
      <w:marLeft w:val="0"/>
      <w:marRight w:val="0"/>
      <w:marTop w:val="0"/>
      <w:marBottom w:val="0"/>
      <w:divBdr>
        <w:top w:val="none" w:sz="0" w:space="0" w:color="auto"/>
        <w:left w:val="none" w:sz="0" w:space="0" w:color="auto"/>
        <w:bottom w:val="none" w:sz="0" w:space="0" w:color="auto"/>
        <w:right w:val="none" w:sz="0" w:space="0" w:color="auto"/>
      </w:divBdr>
    </w:div>
    <w:div w:id="1801727120">
      <w:bodyDiv w:val="1"/>
      <w:marLeft w:val="0"/>
      <w:marRight w:val="0"/>
      <w:marTop w:val="0"/>
      <w:marBottom w:val="0"/>
      <w:divBdr>
        <w:top w:val="none" w:sz="0" w:space="0" w:color="auto"/>
        <w:left w:val="none" w:sz="0" w:space="0" w:color="auto"/>
        <w:bottom w:val="none" w:sz="0" w:space="0" w:color="auto"/>
        <w:right w:val="none" w:sz="0" w:space="0" w:color="auto"/>
      </w:divBdr>
    </w:div>
    <w:div w:id="1824271968">
      <w:bodyDiv w:val="1"/>
      <w:marLeft w:val="0"/>
      <w:marRight w:val="0"/>
      <w:marTop w:val="0"/>
      <w:marBottom w:val="0"/>
      <w:divBdr>
        <w:top w:val="none" w:sz="0" w:space="0" w:color="auto"/>
        <w:left w:val="none" w:sz="0" w:space="0" w:color="auto"/>
        <w:bottom w:val="none" w:sz="0" w:space="0" w:color="auto"/>
        <w:right w:val="none" w:sz="0" w:space="0" w:color="auto"/>
      </w:divBdr>
    </w:div>
    <w:div w:id="1961957349">
      <w:bodyDiv w:val="1"/>
      <w:marLeft w:val="0"/>
      <w:marRight w:val="0"/>
      <w:marTop w:val="0"/>
      <w:marBottom w:val="0"/>
      <w:divBdr>
        <w:top w:val="none" w:sz="0" w:space="0" w:color="auto"/>
        <w:left w:val="none" w:sz="0" w:space="0" w:color="auto"/>
        <w:bottom w:val="none" w:sz="0" w:space="0" w:color="auto"/>
        <w:right w:val="none" w:sz="0" w:space="0" w:color="auto"/>
      </w:divBdr>
    </w:div>
    <w:div w:id="197868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2.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621EA-0314-4DFD-8D07-AAB3918A3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11670</Words>
  <Characters>67454</Characters>
  <Application>Microsoft Office Word</Application>
  <DocSecurity>0</DocSecurity>
  <Lines>562</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2021-07-08T03:50:00Z</dcterms:created>
  <dcterms:modified xsi:type="dcterms:W3CDTF">2021-07-15T03:58:00Z</dcterms:modified>
</cp:coreProperties>
</file>