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Default="00CB45A7" w:rsidP="004A6040">
      <w:pPr>
        <w:pStyle w:val="1-MainHeading"/>
      </w:pPr>
      <w:bookmarkStart w:id="0" w:name="_Toc62023460"/>
      <w:r>
        <w:t>7.03</w:t>
      </w:r>
      <w:r w:rsidR="00163F66">
        <w:tab/>
        <w:t>D</w:t>
      </w:r>
      <w:r>
        <w:t>AROLUTAMIDE</w:t>
      </w:r>
      <w:r w:rsidR="00163F66">
        <w:t>,</w:t>
      </w:r>
      <w:r w:rsidR="00163F66">
        <w:br/>
      </w:r>
      <w:r>
        <w:t>Tablet 300 mg</w:t>
      </w:r>
      <w:r w:rsidR="00163F66">
        <w:t>,</w:t>
      </w:r>
      <w:r w:rsidR="00163F66">
        <w:br/>
      </w:r>
      <w:r>
        <w:t>Nubeqa</w:t>
      </w:r>
      <w:r w:rsidR="00B60939" w:rsidRPr="004A6040">
        <w:rPr>
          <w:vertAlign w:val="superscript"/>
        </w:rPr>
        <w:t>®</w:t>
      </w:r>
      <w:r w:rsidR="004A6040" w:rsidRPr="004A6040">
        <w:t>,</w:t>
      </w:r>
      <w:r w:rsidR="004A6040" w:rsidRPr="004A6040">
        <w:br/>
      </w:r>
      <w:r>
        <w:t>Bayer</w:t>
      </w:r>
      <w:r w:rsidR="00443848">
        <w:t xml:space="preserve"> Australia Ltd</w:t>
      </w:r>
      <w:r w:rsidR="00B60939" w:rsidRPr="004A6040">
        <w:t>.</w:t>
      </w:r>
      <w:bookmarkEnd w:id="0"/>
    </w:p>
    <w:p w:rsidR="00B50DB8" w:rsidRPr="00407F2D" w:rsidRDefault="00B50DB8" w:rsidP="004A6040">
      <w:pPr>
        <w:pStyle w:val="2-SectionHeading"/>
      </w:pPr>
      <w:bookmarkStart w:id="1" w:name="_Toc62023462"/>
      <w:r w:rsidRPr="00407F2D">
        <w:t xml:space="preserve">Purpose of </w:t>
      </w:r>
      <w:r w:rsidR="00CD7193">
        <w:t>s</w:t>
      </w:r>
      <w:r w:rsidR="00BB3A45">
        <w:t>ubmission</w:t>
      </w:r>
      <w:bookmarkEnd w:id="1"/>
    </w:p>
    <w:p w:rsidR="00B00266" w:rsidRDefault="00B00266" w:rsidP="00B00266">
      <w:pPr>
        <w:pStyle w:val="3-BodyText"/>
      </w:pPr>
      <w:r>
        <w:t xml:space="preserve">The </w:t>
      </w:r>
      <w:r w:rsidR="005707A5">
        <w:t>re</w:t>
      </w:r>
      <w:r>
        <w:t xml:space="preserve">submission requested a General Schedule Authority Required (Telephone) listing for darolutamide for treatment of patients with non-metastatic castration resistant prostate cancer (m0CRPC) at high risk of distant metastases. </w:t>
      </w:r>
    </w:p>
    <w:p w:rsidR="00B00266" w:rsidRDefault="00B00266" w:rsidP="00B00266">
      <w:pPr>
        <w:pStyle w:val="3-BodyText"/>
      </w:pPr>
      <w:r>
        <w:t>Listing was requested on the basis of a cost-utility analysis versus standard of care (SOC). The key components of the clinical issue addressed by the submission are presented in Table 1. The only difference compared to the July 2020 submission was that the resubmission claimed that darolutamide was non-inferior in terms of safety compared to apalutamide and enzalutamide (the July 2020 submission claimed that darolutamide was superior).</w:t>
      </w:r>
    </w:p>
    <w:p w:rsidR="00B00266" w:rsidRPr="00E55915" w:rsidRDefault="00B00266" w:rsidP="00B00266">
      <w:pPr>
        <w:pStyle w:val="TableFigureHeading"/>
      </w:pPr>
      <w:r w:rsidRPr="00E55915">
        <w:rPr>
          <w:rStyle w:val="CommentReference"/>
          <w:b/>
          <w:szCs w:val="24"/>
        </w:rPr>
        <w:t xml:space="preserve">Table 1: Key components of the clinical issue addressed by the </w:t>
      </w:r>
      <w:r>
        <w:rPr>
          <w:rStyle w:val="CommentReference"/>
          <w:b/>
          <w:szCs w:val="24"/>
        </w:rPr>
        <w:t>re</w:t>
      </w:r>
      <w:r w:rsidRPr="00E55915">
        <w:rPr>
          <w:rStyle w:val="CommentReference"/>
          <w:b/>
          <w:szCs w:val="24"/>
        </w:rPr>
        <w:t>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B00266" w:rsidRPr="00A518F3" w:rsidTr="00B00266">
        <w:tc>
          <w:tcPr>
            <w:tcW w:w="1668" w:type="dxa"/>
            <w:vAlign w:val="center"/>
          </w:tcPr>
          <w:p w:rsidR="00B00266" w:rsidRPr="00A518F3" w:rsidRDefault="00B00266" w:rsidP="00B00266">
            <w:pPr>
              <w:pStyle w:val="In-tableHeading"/>
            </w:pPr>
            <w:r w:rsidRPr="00A518F3">
              <w:t>Component</w:t>
            </w:r>
          </w:p>
        </w:tc>
        <w:tc>
          <w:tcPr>
            <w:tcW w:w="7488" w:type="dxa"/>
            <w:vAlign w:val="center"/>
          </w:tcPr>
          <w:p w:rsidR="00B00266" w:rsidRPr="00A518F3" w:rsidRDefault="00B00266" w:rsidP="00B00266">
            <w:pPr>
              <w:pStyle w:val="In-tableHeading"/>
            </w:pPr>
            <w:r w:rsidRPr="00A518F3">
              <w:t>Description</w:t>
            </w:r>
          </w:p>
        </w:tc>
      </w:tr>
      <w:tr w:rsidR="00B00266" w:rsidTr="008D0CDA">
        <w:tc>
          <w:tcPr>
            <w:tcW w:w="1668" w:type="dxa"/>
            <w:shd w:val="clear" w:color="auto" w:fill="auto"/>
            <w:vAlign w:val="center"/>
          </w:tcPr>
          <w:p w:rsidR="00B00266" w:rsidRPr="00C612E8" w:rsidRDefault="00B00266" w:rsidP="00B00266">
            <w:pPr>
              <w:pStyle w:val="TableText0"/>
            </w:pPr>
            <w:r w:rsidRPr="00C612E8">
              <w:t>Population</w:t>
            </w:r>
          </w:p>
        </w:tc>
        <w:tc>
          <w:tcPr>
            <w:tcW w:w="7488" w:type="dxa"/>
            <w:shd w:val="clear" w:color="auto" w:fill="auto"/>
            <w:vAlign w:val="center"/>
          </w:tcPr>
          <w:p w:rsidR="00B00266" w:rsidRPr="00C612E8" w:rsidRDefault="00B00266" w:rsidP="00B00266">
            <w:pPr>
              <w:pStyle w:val="TableText0"/>
            </w:pPr>
            <w:r w:rsidRPr="00C612E8">
              <w:t xml:space="preserve">Patients with non-metastatic CRPC who are at high risk of developing distant metastases; with high risk defined as a PSADT of ≤ 10 months </w:t>
            </w:r>
          </w:p>
        </w:tc>
      </w:tr>
      <w:tr w:rsidR="00B00266" w:rsidTr="008D0CDA">
        <w:tc>
          <w:tcPr>
            <w:tcW w:w="1668" w:type="dxa"/>
            <w:shd w:val="clear" w:color="auto" w:fill="auto"/>
            <w:vAlign w:val="center"/>
          </w:tcPr>
          <w:p w:rsidR="00B00266" w:rsidRPr="00C612E8" w:rsidRDefault="00B00266" w:rsidP="00B00266">
            <w:pPr>
              <w:pStyle w:val="TableText0"/>
            </w:pPr>
            <w:r w:rsidRPr="00C612E8">
              <w:t>Intervention</w:t>
            </w:r>
          </w:p>
        </w:tc>
        <w:tc>
          <w:tcPr>
            <w:tcW w:w="7488" w:type="dxa"/>
            <w:shd w:val="clear" w:color="auto" w:fill="auto"/>
            <w:vAlign w:val="center"/>
          </w:tcPr>
          <w:p w:rsidR="00B00266" w:rsidRPr="00C612E8" w:rsidRDefault="00B00266" w:rsidP="00B00266">
            <w:pPr>
              <w:pStyle w:val="TableText0"/>
            </w:pPr>
            <w:r w:rsidRPr="00C612E8">
              <w:t>Darolutamide 600 mg (2 × 300 mg) twice daily (total dose 1,200 mg/day) with background ADT</w:t>
            </w:r>
          </w:p>
        </w:tc>
      </w:tr>
      <w:tr w:rsidR="00B00266" w:rsidTr="008D0CDA">
        <w:tc>
          <w:tcPr>
            <w:tcW w:w="1668" w:type="dxa"/>
            <w:shd w:val="clear" w:color="auto" w:fill="auto"/>
            <w:vAlign w:val="center"/>
          </w:tcPr>
          <w:p w:rsidR="00B00266" w:rsidRPr="00C612E8" w:rsidRDefault="00B00266" w:rsidP="00B00266">
            <w:pPr>
              <w:pStyle w:val="TableText0"/>
            </w:pPr>
            <w:r w:rsidRPr="00C612E8">
              <w:t>Comparator</w:t>
            </w:r>
          </w:p>
        </w:tc>
        <w:tc>
          <w:tcPr>
            <w:tcW w:w="7488" w:type="dxa"/>
            <w:shd w:val="clear" w:color="auto" w:fill="auto"/>
            <w:vAlign w:val="center"/>
          </w:tcPr>
          <w:p w:rsidR="00B00266" w:rsidRPr="00C612E8" w:rsidRDefault="00B00266" w:rsidP="00B00266">
            <w:pPr>
              <w:pStyle w:val="TableText0"/>
            </w:pPr>
            <w:r w:rsidRPr="00C612E8">
              <w:t>Main comparator: watchful waiting (SOC) with ongoing ADT</w:t>
            </w:r>
          </w:p>
          <w:p w:rsidR="00B00266" w:rsidRPr="00C612E8" w:rsidRDefault="00B00266" w:rsidP="00B00266">
            <w:pPr>
              <w:pStyle w:val="TableText0"/>
            </w:pPr>
            <w:r w:rsidRPr="00C612E8">
              <w:t xml:space="preserve">Near-market comparators: apalutamide 240 mg/day; enzalutamide 160 mg/day </w:t>
            </w:r>
          </w:p>
        </w:tc>
      </w:tr>
      <w:tr w:rsidR="00B00266" w:rsidTr="008D0CDA">
        <w:tc>
          <w:tcPr>
            <w:tcW w:w="1668" w:type="dxa"/>
            <w:shd w:val="clear" w:color="auto" w:fill="auto"/>
            <w:vAlign w:val="center"/>
          </w:tcPr>
          <w:p w:rsidR="00B00266" w:rsidRPr="00C612E8" w:rsidRDefault="00B00266" w:rsidP="00B00266">
            <w:pPr>
              <w:pStyle w:val="TableText0"/>
            </w:pPr>
            <w:r w:rsidRPr="00C612E8">
              <w:t>Outcomes</w:t>
            </w:r>
          </w:p>
        </w:tc>
        <w:tc>
          <w:tcPr>
            <w:tcW w:w="7488" w:type="dxa"/>
            <w:shd w:val="clear" w:color="auto" w:fill="auto"/>
            <w:vAlign w:val="center"/>
          </w:tcPr>
          <w:p w:rsidR="00B00266" w:rsidRPr="00C612E8" w:rsidRDefault="00B00266" w:rsidP="00B00266">
            <w:pPr>
              <w:pStyle w:val="TableText0"/>
            </w:pPr>
            <w:r w:rsidRPr="00C612E8">
              <w:t>MFS, OS, time to pain progression, time to initiation of first cytotoxic chemotherapy, time to first symptomatic skeletal event, patient-reported outcomes, safety</w:t>
            </w:r>
          </w:p>
        </w:tc>
      </w:tr>
      <w:tr w:rsidR="00B00266" w:rsidTr="008D0CDA">
        <w:tc>
          <w:tcPr>
            <w:tcW w:w="1668" w:type="dxa"/>
            <w:shd w:val="clear" w:color="auto" w:fill="auto"/>
            <w:vAlign w:val="center"/>
          </w:tcPr>
          <w:p w:rsidR="00B00266" w:rsidRPr="00C612E8" w:rsidRDefault="00B00266" w:rsidP="00B00266">
            <w:pPr>
              <w:pStyle w:val="TableText0"/>
            </w:pPr>
            <w:r w:rsidRPr="00C612E8">
              <w:t>Clinical claim</w:t>
            </w:r>
          </w:p>
        </w:tc>
        <w:tc>
          <w:tcPr>
            <w:tcW w:w="7488" w:type="dxa"/>
            <w:shd w:val="clear" w:color="auto" w:fill="auto"/>
            <w:vAlign w:val="center"/>
          </w:tcPr>
          <w:p w:rsidR="008D0CDA" w:rsidRDefault="008D0CDA" w:rsidP="00B00266">
            <w:pPr>
              <w:pStyle w:val="TableText0"/>
            </w:pPr>
            <w:r>
              <w:t>Superior efficacy and inferior safety vs. watchful waiting (SOC)</w:t>
            </w:r>
          </w:p>
          <w:p w:rsidR="008D0CDA" w:rsidRDefault="008D0CDA" w:rsidP="00B00266">
            <w:pPr>
              <w:pStyle w:val="TableText0"/>
            </w:pPr>
            <w:r>
              <w:t>Non-inferior efficacy and non-inferior safety vs. apalutamide and vs. enzalutamide</w:t>
            </w:r>
          </w:p>
          <w:p w:rsidR="00B00266" w:rsidRPr="00C612E8" w:rsidRDefault="00B00266" w:rsidP="00B00266">
            <w:pPr>
              <w:pStyle w:val="TableText0"/>
            </w:pPr>
            <w:r w:rsidRPr="00C612E8">
              <w:t>It was noted that darolutamide appeared to have a more favourable safety profile in some outcomes of interest compared to apalutamide and enzalutamide, with the PBAC considering that darolutamide may be better tolerated compared to apalutamide and enzalutamide [para 7.11, darolutamide PSD, July 2020].</w:t>
            </w:r>
          </w:p>
        </w:tc>
      </w:tr>
    </w:tbl>
    <w:p w:rsidR="00B00266" w:rsidRDefault="00B00266" w:rsidP="00B00266">
      <w:pPr>
        <w:pStyle w:val="TableFigureFooter"/>
      </w:pPr>
      <w:r>
        <w:t>Source: Table 1-1, p4 of the resubmission.</w:t>
      </w:r>
    </w:p>
    <w:p w:rsidR="00B00266" w:rsidRDefault="00B00266" w:rsidP="00B00266">
      <w:pPr>
        <w:pStyle w:val="TableFigureFooter"/>
      </w:pPr>
      <w:r>
        <w:t>ADT = androgen deprivation therapy; CRPC = castration resistant prostate cancer; MFS = metastasis free survival; OS = overall survival; PBAC = Pharmaceutical Benefits Advisory Committee; PSADT = prostate-specific antigen doubling time; PSD = Public Summary Document; SOC = standard of care</w:t>
      </w:r>
    </w:p>
    <w:p w:rsidR="005C25FF" w:rsidRPr="00407F2D" w:rsidRDefault="005C25FF" w:rsidP="00B00266">
      <w:pPr>
        <w:pStyle w:val="2-SectionHeading"/>
      </w:pPr>
      <w:bookmarkStart w:id="2" w:name="_Toc62023463"/>
      <w:r w:rsidRPr="00407F2D">
        <w:t>Background</w:t>
      </w:r>
      <w:bookmarkEnd w:id="2"/>
    </w:p>
    <w:p w:rsidR="005C25FF" w:rsidRPr="004151CF" w:rsidRDefault="005C25FF" w:rsidP="004A6040">
      <w:pPr>
        <w:pStyle w:val="4-SubsectionHeading"/>
      </w:pPr>
      <w:bookmarkStart w:id="3" w:name="_Toc22897638"/>
      <w:bookmarkStart w:id="4" w:name="_Toc62023464"/>
      <w:r w:rsidRPr="004151CF">
        <w:t>Registration status</w:t>
      </w:r>
      <w:bookmarkEnd w:id="3"/>
      <w:bookmarkEnd w:id="4"/>
    </w:p>
    <w:p w:rsidR="00B952B2" w:rsidRPr="00B952B2" w:rsidRDefault="00B00266" w:rsidP="004E18E9">
      <w:pPr>
        <w:pStyle w:val="3-BodyText"/>
      </w:pPr>
      <w:r w:rsidRPr="008D0CDA">
        <w:t xml:space="preserve">Darolutamide was </w:t>
      </w:r>
      <w:r w:rsidR="005707A5" w:rsidRPr="008D0CDA">
        <w:t xml:space="preserve">evaluated by the TGA under a work-sharing initiative with Health Canada </w:t>
      </w:r>
      <w:r w:rsidR="005707A5">
        <w:t xml:space="preserve">and </w:t>
      </w:r>
      <w:r w:rsidRPr="008D0CDA">
        <w:t>TGA registered on 26 February 2020</w:t>
      </w:r>
      <w:r w:rsidR="00B952B2" w:rsidRPr="008D0CDA">
        <w:t xml:space="preserve"> for the treatment of patients with m0CRPC</w:t>
      </w:r>
      <w:r w:rsidRPr="008D0CDA">
        <w:t>.</w:t>
      </w:r>
      <w:r w:rsidRPr="00B00266">
        <w:rPr>
          <w:shd w:val="clear" w:color="auto" w:fill="DBE5F1" w:themeFill="accent1" w:themeFillTint="33"/>
        </w:rPr>
        <w:t xml:space="preserve"> </w:t>
      </w:r>
    </w:p>
    <w:p w:rsidR="005C25FF" w:rsidRPr="00621ADA" w:rsidRDefault="005C25FF" w:rsidP="004E18E9">
      <w:pPr>
        <w:pStyle w:val="4-SubsectionHeading"/>
      </w:pPr>
      <w:bookmarkStart w:id="5" w:name="_Toc22897639"/>
      <w:bookmarkStart w:id="6" w:name="_Toc62023465"/>
      <w:r w:rsidRPr="00621ADA">
        <w:lastRenderedPageBreak/>
        <w:t>Previous PBAC consideration</w:t>
      </w:r>
      <w:bookmarkEnd w:id="5"/>
      <w:bookmarkEnd w:id="6"/>
    </w:p>
    <w:p w:rsidR="00B93217" w:rsidRPr="00B93217" w:rsidRDefault="00B93217" w:rsidP="00332767">
      <w:pPr>
        <w:pStyle w:val="3-BodyText"/>
        <w:rPr>
          <w:i/>
        </w:rPr>
      </w:pPr>
      <w:r>
        <w:rPr>
          <w:iCs/>
        </w:rPr>
        <w:t>Darolutamide was previously considered by the PBAC for this indication in July 2020</w:t>
      </w:r>
      <w:r>
        <w:t>.</w:t>
      </w:r>
    </w:p>
    <w:p w:rsidR="00B00266" w:rsidRPr="00B00266" w:rsidRDefault="00B00266" w:rsidP="002E4F02">
      <w:pPr>
        <w:pStyle w:val="3-BodyText"/>
      </w:pPr>
      <w:r>
        <w:rPr>
          <w:snapToGrid/>
          <w:lang w:val="en-US"/>
        </w:rPr>
        <w:t>The table below summarises the key matters from the July 2020 PBAC consideration and how the resubmission has addressed those concerns.</w:t>
      </w:r>
    </w:p>
    <w:p w:rsidR="005C25FF" w:rsidRPr="00B00266" w:rsidRDefault="005C25FF" w:rsidP="002E4F02">
      <w:pPr>
        <w:pStyle w:val="TableFigureHeading"/>
        <w:rPr>
          <w:rStyle w:val="CommentReference"/>
          <w:b/>
          <w:szCs w:val="24"/>
        </w:rPr>
      </w:pPr>
      <w:r w:rsidRPr="00B00266">
        <w:rPr>
          <w:rStyle w:val="CommentReference"/>
          <w:b/>
          <w:szCs w:val="24"/>
        </w:rPr>
        <w:lastRenderedPageBreak/>
        <w:t xml:space="preserve">Table </w:t>
      </w:r>
      <w:r w:rsidR="00B00266" w:rsidRPr="00B00266">
        <w:rPr>
          <w:rStyle w:val="CommentReference"/>
          <w:b/>
          <w:szCs w:val="24"/>
        </w:rPr>
        <w:t>2</w:t>
      </w:r>
      <w:r w:rsidRPr="00B00266">
        <w:rPr>
          <w:rStyle w:val="CommentReference"/>
          <w:b/>
          <w:szCs w:val="24"/>
        </w:rPr>
        <w:t>: Summary of key matters of concern</w:t>
      </w:r>
      <w:r w:rsidR="00B00266" w:rsidRPr="00B00266">
        <w:rPr>
          <w:rStyle w:val="CommentReference"/>
          <w:b/>
          <w:szCs w:val="24"/>
        </w:rPr>
        <w:t xml:space="preserve"> from the July 2020 submission and how they have been addressed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3686"/>
        <w:gridCol w:w="3636"/>
      </w:tblGrid>
      <w:tr w:rsidR="005C25FF" w:rsidRPr="00203181" w:rsidTr="00D412D2">
        <w:trPr>
          <w:cantSplit/>
          <w:tblHeader/>
        </w:trPr>
        <w:tc>
          <w:tcPr>
            <w:tcW w:w="940" w:type="pct"/>
            <w:tcMar>
              <w:left w:w="28" w:type="dxa"/>
              <w:right w:w="28" w:type="dxa"/>
            </w:tcMar>
            <w:vAlign w:val="center"/>
          </w:tcPr>
          <w:p w:rsidR="005C25FF" w:rsidRPr="00CB45A7" w:rsidRDefault="005C25FF" w:rsidP="004E18E9">
            <w:pPr>
              <w:pStyle w:val="In-tableHeading"/>
            </w:pPr>
            <w:r w:rsidRPr="00CB45A7">
              <w:t>Component</w:t>
            </w:r>
          </w:p>
        </w:tc>
        <w:tc>
          <w:tcPr>
            <w:tcW w:w="2044" w:type="pct"/>
            <w:tcMar>
              <w:left w:w="28" w:type="dxa"/>
              <w:right w:w="28" w:type="dxa"/>
            </w:tcMar>
            <w:vAlign w:val="center"/>
          </w:tcPr>
          <w:p w:rsidR="005C25FF" w:rsidRPr="00CB45A7" w:rsidRDefault="005C25FF" w:rsidP="004E18E9">
            <w:pPr>
              <w:pStyle w:val="In-tableHeading"/>
            </w:pPr>
            <w:r w:rsidRPr="00CB45A7">
              <w:t>Matter of concern</w:t>
            </w:r>
            <w:r w:rsidR="00B00266">
              <w:t>, July 2020 submission</w:t>
            </w:r>
          </w:p>
        </w:tc>
        <w:tc>
          <w:tcPr>
            <w:tcW w:w="2016" w:type="pct"/>
            <w:tcMar>
              <w:left w:w="28" w:type="dxa"/>
              <w:right w:w="28" w:type="dxa"/>
            </w:tcMar>
            <w:vAlign w:val="center"/>
          </w:tcPr>
          <w:p w:rsidR="005C25FF" w:rsidRPr="00CB45A7" w:rsidRDefault="005C25FF" w:rsidP="004E18E9">
            <w:pPr>
              <w:pStyle w:val="In-tableHeading"/>
            </w:pPr>
            <w:r w:rsidRPr="00CB45A7">
              <w:t>How the resubmission addresses it</w:t>
            </w:r>
          </w:p>
        </w:tc>
      </w:tr>
      <w:tr w:rsidR="005C25FF" w:rsidRPr="000A3AF8" w:rsidTr="00D412D2">
        <w:trPr>
          <w:cantSplit/>
        </w:trPr>
        <w:tc>
          <w:tcPr>
            <w:tcW w:w="5000" w:type="pct"/>
            <w:gridSpan w:val="3"/>
            <w:tcMar>
              <w:left w:w="28" w:type="dxa"/>
              <w:right w:w="28" w:type="dxa"/>
            </w:tcMar>
            <w:vAlign w:val="center"/>
          </w:tcPr>
          <w:p w:rsidR="005C25FF" w:rsidRPr="000A3AF8" w:rsidRDefault="00173CFB" w:rsidP="004E18E9">
            <w:pPr>
              <w:pStyle w:val="TableText0"/>
              <w:rPr>
                <w:b/>
              </w:rPr>
            </w:pPr>
            <w:r>
              <w:rPr>
                <w:b/>
              </w:rPr>
              <w:t>Restriction</w:t>
            </w:r>
          </w:p>
        </w:tc>
      </w:tr>
      <w:tr w:rsidR="00EA583C" w:rsidRPr="00203181" w:rsidTr="00D412D2">
        <w:trPr>
          <w:cantSplit/>
        </w:trPr>
        <w:tc>
          <w:tcPr>
            <w:tcW w:w="940" w:type="pct"/>
            <w:tcMar>
              <w:left w:w="28" w:type="dxa"/>
              <w:right w:w="28" w:type="dxa"/>
            </w:tcMar>
            <w:vAlign w:val="center"/>
          </w:tcPr>
          <w:p w:rsidR="00EA583C" w:rsidRDefault="00EA583C" w:rsidP="00503F25">
            <w:pPr>
              <w:pStyle w:val="TableText0"/>
            </w:pPr>
            <w:r>
              <w:t>Price of darolutamide</w:t>
            </w:r>
          </w:p>
        </w:tc>
        <w:tc>
          <w:tcPr>
            <w:tcW w:w="2044" w:type="pct"/>
            <w:tcMar>
              <w:left w:w="28" w:type="dxa"/>
              <w:right w:w="28" w:type="dxa"/>
            </w:tcMar>
          </w:tcPr>
          <w:p w:rsidR="00EA583C" w:rsidRDefault="00EA583C" w:rsidP="0095017B">
            <w:pPr>
              <w:pStyle w:val="TableText0"/>
              <w:rPr>
                <w:rFonts w:eastAsia="Times New Roman" w:cs="Arial"/>
                <w:bCs w:val="0"/>
                <w:snapToGrid w:val="0"/>
                <w:szCs w:val="20"/>
              </w:rPr>
            </w:pPr>
            <w:r>
              <w:rPr>
                <w:rFonts w:eastAsia="Times New Roman" w:cs="Arial"/>
                <w:bCs w:val="0"/>
                <w:snapToGrid w:val="0"/>
                <w:szCs w:val="20"/>
              </w:rPr>
              <w:t>A substantial price reduction would be required for darolutamide to be considered suitably cost-effective [para 7.1, July 2020 P</w:t>
            </w:r>
            <w:r w:rsidR="0095017B">
              <w:rPr>
                <w:rFonts w:eastAsia="Times New Roman" w:cs="Arial"/>
                <w:bCs w:val="0"/>
                <w:snapToGrid w:val="0"/>
                <w:szCs w:val="20"/>
              </w:rPr>
              <w:t>S</w:t>
            </w:r>
            <w:r>
              <w:rPr>
                <w:rFonts w:eastAsia="Times New Roman" w:cs="Arial"/>
                <w:bCs w:val="0"/>
                <w:snapToGrid w:val="0"/>
                <w:szCs w:val="20"/>
              </w:rPr>
              <w:t>D].</w:t>
            </w:r>
          </w:p>
        </w:tc>
        <w:tc>
          <w:tcPr>
            <w:tcW w:w="2016" w:type="pct"/>
            <w:tcMar>
              <w:left w:w="28" w:type="dxa"/>
              <w:right w:w="28" w:type="dxa"/>
            </w:tcMar>
          </w:tcPr>
          <w:p w:rsidR="00EA583C" w:rsidRPr="00470FAC" w:rsidRDefault="00EA583C" w:rsidP="00EA583C">
            <w:pPr>
              <w:pStyle w:val="TableText0"/>
              <w:rPr>
                <w:rFonts w:eastAsia="Times New Roman" w:cs="Arial"/>
                <w:bCs w:val="0"/>
                <w:snapToGrid w:val="0"/>
                <w:szCs w:val="20"/>
              </w:rPr>
            </w:pPr>
            <w:r w:rsidRPr="00470FAC">
              <w:rPr>
                <w:rFonts w:eastAsia="Times New Roman" w:cs="Arial"/>
                <w:bCs w:val="0"/>
                <w:snapToGrid w:val="0"/>
                <w:szCs w:val="20"/>
              </w:rPr>
              <w:t>The resubmission proposed a 25% price reduction, reducing the effective AEMP from $</w:t>
            </w:r>
            <w:r w:rsidR="006C3115">
              <w:rPr>
                <w:rFonts w:eastAsia="Times New Roman" w:cs="Arial"/>
                <w:bCs w:val="0"/>
                <w:noProof/>
                <w:snapToGrid w:val="0"/>
                <w:color w:val="000000"/>
                <w:szCs w:val="20"/>
                <w:highlight w:val="black"/>
              </w:rPr>
              <w:t>''''''''''''''''''''</w:t>
            </w:r>
            <w:r w:rsidRPr="00470FAC">
              <w:rPr>
                <w:rFonts w:eastAsia="Times New Roman" w:cs="Arial"/>
                <w:bCs w:val="0"/>
                <w:snapToGrid w:val="0"/>
                <w:szCs w:val="20"/>
              </w:rPr>
              <w:t xml:space="preserve"> in July 2020 to $</w:t>
            </w:r>
            <w:r w:rsidR="006C3115">
              <w:rPr>
                <w:rFonts w:eastAsia="Times New Roman" w:cs="Arial"/>
                <w:bCs w:val="0"/>
                <w:noProof/>
                <w:snapToGrid w:val="0"/>
                <w:color w:val="000000"/>
                <w:szCs w:val="20"/>
                <w:highlight w:val="black"/>
              </w:rPr>
              <w:t>''''''''''''''''''''</w:t>
            </w:r>
            <w:r w:rsidRPr="00470FAC">
              <w:rPr>
                <w:rFonts w:eastAsia="Times New Roman" w:cs="Arial"/>
                <w:bCs w:val="0"/>
                <w:snapToGrid w:val="0"/>
                <w:szCs w:val="20"/>
              </w:rPr>
              <w:t>.</w:t>
            </w:r>
          </w:p>
        </w:tc>
      </w:tr>
      <w:tr w:rsidR="00173CFB" w:rsidRPr="00203181" w:rsidTr="00D412D2">
        <w:trPr>
          <w:cantSplit/>
        </w:trPr>
        <w:tc>
          <w:tcPr>
            <w:tcW w:w="940" w:type="pct"/>
            <w:tcMar>
              <w:left w:w="28" w:type="dxa"/>
              <w:right w:w="28" w:type="dxa"/>
            </w:tcMar>
            <w:vAlign w:val="center"/>
          </w:tcPr>
          <w:p w:rsidR="00173CFB" w:rsidRPr="00CB45A7" w:rsidRDefault="00173CFB" w:rsidP="00503F25">
            <w:pPr>
              <w:pStyle w:val="TableText0"/>
            </w:pPr>
            <w:r>
              <w:t>PSA level</w:t>
            </w:r>
          </w:p>
        </w:tc>
        <w:tc>
          <w:tcPr>
            <w:tcW w:w="2044" w:type="pct"/>
            <w:tcMar>
              <w:left w:w="28" w:type="dxa"/>
              <w:right w:w="28" w:type="dxa"/>
            </w:tcMar>
          </w:tcPr>
          <w:p w:rsidR="00173CFB" w:rsidRPr="00CB45A7" w:rsidRDefault="00173CFB" w:rsidP="00503F25">
            <w:pPr>
              <w:pStyle w:val="TableText0"/>
              <w:rPr>
                <w:rFonts w:eastAsia="Times New Roman" w:cs="Arial"/>
                <w:bCs w:val="0"/>
                <w:snapToGrid w:val="0"/>
                <w:szCs w:val="20"/>
              </w:rPr>
            </w:pPr>
            <w:r>
              <w:rPr>
                <w:rFonts w:eastAsia="Times New Roman" w:cs="Arial"/>
                <w:bCs w:val="0"/>
                <w:snapToGrid w:val="0"/>
                <w:szCs w:val="20"/>
              </w:rPr>
              <w:t>The PBAC considered that treatment should be restricted to patients with a PSA level of at least 2 ng/mL, which was a criterion of the ARAMIS trial [para 3.2, July 2020 PSD].</w:t>
            </w:r>
          </w:p>
        </w:tc>
        <w:tc>
          <w:tcPr>
            <w:tcW w:w="2016" w:type="pct"/>
            <w:tcMar>
              <w:left w:w="28" w:type="dxa"/>
              <w:right w:w="28" w:type="dxa"/>
            </w:tcMar>
          </w:tcPr>
          <w:p w:rsidR="00173CFB" w:rsidRPr="00470FAC" w:rsidRDefault="00F120C7" w:rsidP="00503F25">
            <w:pPr>
              <w:pStyle w:val="TableText0"/>
              <w:rPr>
                <w:rFonts w:eastAsia="Times New Roman" w:cs="Arial"/>
                <w:bCs w:val="0"/>
                <w:snapToGrid w:val="0"/>
                <w:szCs w:val="20"/>
              </w:rPr>
            </w:pPr>
            <w:r w:rsidRPr="00470FAC">
              <w:rPr>
                <w:rFonts w:eastAsia="Times New Roman" w:cs="Arial"/>
                <w:bCs w:val="0"/>
                <w:snapToGrid w:val="0"/>
                <w:szCs w:val="20"/>
              </w:rPr>
              <w:t>The resubmission stated that this clinical criteria was not included in the proposed restriction as it was removed by the PBAC from the proposed restriction for apalutamide in July 2019.</w:t>
            </w:r>
          </w:p>
        </w:tc>
      </w:tr>
      <w:tr w:rsidR="00173CFB" w:rsidRPr="000A3AF8" w:rsidTr="00D412D2">
        <w:trPr>
          <w:cantSplit/>
        </w:trPr>
        <w:tc>
          <w:tcPr>
            <w:tcW w:w="5000" w:type="pct"/>
            <w:gridSpan w:val="3"/>
            <w:tcMar>
              <w:left w:w="28" w:type="dxa"/>
              <w:right w:w="28" w:type="dxa"/>
            </w:tcMar>
            <w:vAlign w:val="center"/>
          </w:tcPr>
          <w:p w:rsidR="00173CFB" w:rsidRPr="00470FAC" w:rsidRDefault="00173CFB" w:rsidP="004E18E9">
            <w:pPr>
              <w:pStyle w:val="TableText0"/>
              <w:rPr>
                <w:b/>
              </w:rPr>
            </w:pPr>
            <w:r w:rsidRPr="00470FAC">
              <w:rPr>
                <w:b/>
              </w:rPr>
              <w:t>Clinical evidence</w:t>
            </w:r>
          </w:p>
        </w:tc>
      </w:tr>
      <w:tr w:rsidR="005C25FF" w:rsidRPr="00203181" w:rsidTr="00D412D2">
        <w:trPr>
          <w:cantSplit/>
        </w:trPr>
        <w:tc>
          <w:tcPr>
            <w:tcW w:w="940" w:type="pct"/>
            <w:tcMar>
              <w:left w:w="28" w:type="dxa"/>
              <w:right w:w="28" w:type="dxa"/>
            </w:tcMar>
            <w:vAlign w:val="center"/>
          </w:tcPr>
          <w:p w:rsidR="005C25FF" w:rsidRPr="00CB45A7" w:rsidRDefault="00CB45A7" w:rsidP="004E18E9">
            <w:pPr>
              <w:pStyle w:val="TableText0"/>
            </w:pPr>
            <w:r w:rsidRPr="00CB45A7">
              <w:t>Magnitude of OS benefit</w:t>
            </w:r>
          </w:p>
        </w:tc>
        <w:tc>
          <w:tcPr>
            <w:tcW w:w="2044" w:type="pct"/>
            <w:tcMar>
              <w:left w:w="28" w:type="dxa"/>
              <w:right w:w="28" w:type="dxa"/>
            </w:tcMar>
          </w:tcPr>
          <w:p w:rsidR="005C25FF" w:rsidRPr="00CB45A7" w:rsidRDefault="00CB45A7" w:rsidP="00F01969">
            <w:pPr>
              <w:pStyle w:val="TableText0"/>
              <w:rPr>
                <w:rFonts w:eastAsia="Times New Roman" w:cs="Arial"/>
                <w:bCs w:val="0"/>
                <w:snapToGrid w:val="0"/>
                <w:szCs w:val="20"/>
              </w:rPr>
            </w:pPr>
            <w:r w:rsidRPr="00CB45A7">
              <w:rPr>
                <w:rFonts w:eastAsia="Times New Roman" w:cs="Arial"/>
                <w:bCs w:val="0"/>
                <w:snapToGrid w:val="0"/>
                <w:szCs w:val="20"/>
              </w:rPr>
              <w:t>The PBAC considered the magnitude of the OS benefit to be uncertain because of the immaturity of the data</w:t>
            </w:r>
            <w:r>
              <w:rPr>
                <w:rFonts w:eastAsia="Times New Roman" w:cs="Arial"/>
                <w:bCs w:val="0"/>
                <w:snapToGrid w:val="0"/>
                <w:szCs w:val="20"/>
              </w:rPr>
              <w:t>. [para 7.8</w:t>
            </w:r>
            <w:r w:rsidR="00F01969">
              <w:rPr>
                <w:rFonts w:eastAsia="Times New Roman" w:cs="Arial"/>
                <w:bCs w:val="0"/>
                <w:snapToGrid w:val="0"/>
                <w:szCs w:val="20"/>
              </w:rPr>
              <w:t>,</w:t>
            </w:r>
            <w:r>
              <w:rPr>
                <w:rFonts w:eastAsia="Times New Roman" w:cs="Arial"/>
                <w:bCs w:val="0"/>
                <w:snapToGrid w:val="0"/>
                <w:szCs w:val="20"/>
              </w:rPr>
              <w:t xml:space="preserve"> July 2020</w:t>
            </w:r>
            <w:r w:rsidR="00F01969">
              <w:rPr>
                <w:rFonts w:eastAsia="Times New Roman" w:cs="Arial"/>
                <w:bCs w:val="0"/>
                <w:snapToGrid w:val="0"/>
                <w:szCs w:val="20"/>
              </w:rPr>
              <w:t xml:space="preserve"> PSD</w:t>
            </w:r>
            <w:r>
              <w:rPr>
                <w:rFonts w:eastAsia="Times New Roman" w:cs="Arial"/>
                <w:bCs w:val="0"/>
                <w:snapToGrid w:val="0"/>
                <w:szCs w:val="20"/>
              </w:rPr>
              <w:t>]</w:t>
            </w:r>
          </w:p>
        </w:tc>
        <w:tc>
          <w:tcPr>
            <w:tcW w:w="2016" w:type="pct"/>
            <w:tcMar>
              <w:left w:w="28" w:type="dxa"/>
              <w:right w:w="28" w:type="dxa"/>
            </w:tcMar>
          </w:tcPr>
          <w:p w:rsidR="005C25FF" w:rsidRPr="00470FAC" w:rsidRDefault="00F120C7" w:rsidP="004E18E9">
            <w:pPr>
              <w:pStyle w:val="TableText0"/>
              <w:rPr>
                <w:rFonts w:eastAsia="Times New Roman" w:cs="Arial"/>
                <w:bCs w:val="0"/>
                <w:snapToGrid w:val="0"/>
                <w:szCs w:val="20"/>
              </w:rPr>
            </w:pPr>
            <w:r w:rsidRPr="00470FAC">
              <w:rPr>
                <w:rFonts w:eastAsia="Times New Roman" w:cs="Arial"/>
                <w:bCs w:val="0"/>
                <w:snapToGrid w:val="0"/>
                <w:szCs w:val="20"/>
              </w:rPr>
              <w:t>No new data presented.</w:t>
            </w:r>
          </w:p>
        </w:tc>
      </w:tr>
      <w:tr w:rsidR="00F01969" w:rsidRPr="000A3AF8" w:rsidTr="00D412D2">
        <w:trPr>
          <w:cantSplit/>
        </w:trPr>
        <w:tc>
          <w:tcPr>
            <w:tcW w:w="5000" w:type="pct"/>
            <w:gridSpan w:val="3"/>
            <w:tcMar>
              <w:left w:w="28" w:type="dxa"/>
              <w:right w:w="28" w:type="dxa"/>
            </w:tcMar>
            <w:vAlign w:val="center"/>
          </w:tcPr>
          <w:p w:rsidR="00F01969" w:rsidRPr="000A3AF8" w:rsidRDefault="00F01969" w:rsidP="004E18E9">
            <w:pPr>
              <w:pStyle w:val="TableText0"/>
              <w:rPr>
                <w:rFonts w:eastAsia="Times New Roman" w:cs="Arial"/>
                <w:b/>
                <w:bCs w:val="0"/>
                <w:snapToGrid w:val="0"/>
                <w:szCs w:val="20"/>
              </w:rPr>
            </w:pPr>
            <w:r w:rsidRPr="000A3AF8">
              <w:rPr>
                <w:rFonts w:eastAsia="Times New Roman" w:cs="Arial"/>
                <w:b/>
                <w:bCs w:val="0"/>
                <w:snapToGrid w:val="0"/>
                <w:szCs w:val="20"/>
              </w:rPr>
              <w:t>Economic analysis</w:t>
            </w:r>
          </w:p>
        </w:tc>
      </w:tr>
      <w:tr w:rsidR="005C25FF" w:rsidRPr="00203181" w:rsidTr="00D412D2">
        <w:trPr>
          <w:cantSplit/>
        </w:trPr>
        <w:tc>
          <w:tcPr>
            <w:tcW w:w="940" w:type="pct"/>
            <w:tcMar>
              <w:left w:w="28" w:type="dxa"/>
              <w:right w:w="28" w:type="dxa"/>
            </w:tcMar>
            <w:vAlign w:val="center"/>
          </w:tcPr>
          <w:p w:rsidR="005C25FF" w:rsidRPr="00CB45A7" w:rsidRDefault="00F01969" w:rsidP="004E18E9">
            <w:pPr>
              <w:pStyle w:val="TableText0"/>
            </w:pPr>
            <w:r>
              <w:t>OS curves</w:t>
            </w:r>
          </w:p>
        </w:tc>
        <w:tc>
          <w:tcPr>
            <w:tcW w:w="2044" w:type="pct"/>
            <w:tcMar>
              <w:left w:w="28" w:type="dxa"/>
              <w:right w:w="28" w:type="dxa"/>
            </w:tcMar>
          </w:tcPr>
          <w:p w:rsidR="005C25FF" w:rsidRPr="00CB45A7" w:rsidRDefault="00F01969" w:rsidP="004E18E9">
            <w:pPr>
              <w:pStyle w:val="TableText0"/>
              <w:rPr>
                <w:rFonts w:eastAsia="Times New Roman" w:cs="Arial"/>
                <w:bCs w:val="0"/>
                <w:snapToGrid w:val="0"/>
                <w:szCs w:val="20"/>
              </w:rPr>
            </w:pPr>
            <w:r>
              <w:rPr>
                <w:rFonts w:eastAsia="Times New Roman" w:cs="Arial"/>
                <w:bCs w:val="0"/>
                <w:snapToGrid w:val="0"/>
                <w:szCs w:val="20"/>
              </w:rPr>
              <w:t xml:space="preserve">The PBAC noted that the modelled OS curves did not converge within the 10 year time horizon, and that the difference in survival at 10 years </w:t>
            </w:r>
            <w:r w:rsidR="00B00266">
              <w:rPr>
                <w:rFonts w:eastAsia="Times New Roman" w:cs="Arial"/>
                <w:bCs w:val="0"/>
                <w:snapToGrid w:val="0"/>
                <w:szCs w:val="20"/>
              </w:rPr>
              <w:t xml:space="preserve">(20%) </w:t>
            </w:r>
            <w:r>
              <w:rPr>
                <w:rFonts w:eastAsia="Times New Roman" w:cs="Arial"/>
                <w:bCs w:val="0"/>
                <w:snapToGrid w:val="0"/>
                <w:szCs w:val="20"/>
              </w:rPr>
              <w:t xml:space="preserve">was substantially larger than that observed in the ARAMIS trial at 3 years </w:t>
            </w:r>
            <w:r w:rsidR="00B00266">
              <w:rPr>
                <w:rFonts w:eastAsia="Times New Roman" w:cs="Arial"/>
                <w:bCs w:val="0"/>
                <w:snapToGrid w:val="0"/>
                <w:szCs w:val="20"/>
              </w:rPr>
              <w:t xml:space="preserve">(5.7%) </w:t>
            </w:r>
            <w:r>
              <w:rPr>
                <w:rFonts w:eastAsia="Times New Roman" w:cs="Arial"/>
                <w:bCs w:val="0"/>
                <w:snapToGrid w:val="0"/>
                <w:szCs w:val="20"/>
              </w:rPr>
              <w:t>[para 7.13, July 2020 PSD].</w:t>
            </w:r>
          </w:p>
        </w:tc>
        <w:tc>
          <w:tcPr>
            <w:tcW w:w="2016" w:type="pct"/>
            <w:tcMar>
              <w:left w:w="28" w:type="dxa"/>
              <w:right w:w="28" w:type="dxa"/>
            </w:tcMar>
          </w:tcPr>
          <w:p w:rsidR="005C25FF" w:rsidRPr="00CB45A7" w:rsidRDefault="00B00266" w:rsidP="004E18E9">
            <w:pPr>
              <w:pStyle w:val="TableText0"/>
              <w:rPr>
                <w:rFonts w:eastAsia="Times New Roman" w:cs="Arial"/>
                <w:bCs w:val="0"/>
                <w:snapToGrid w:val="0"/>
                <w:szCs w:val="20"/>
              </w:rPr>
            </w:pPr>
            <w:r>
              <w:rPr>
                <w:rFonts w:eastAsia="Times New Roman" w:cs="Arial"/>
                <w:bCs w:val="0"/>
                <w:snapToGrid w:val="0"/>
                <w:szCs w:val="20"/>
              </w:rPr>
              <w:t>The darolutamide OS curve was no longer extrapolated</w:t>
            </w:r>
            <w:r w:rsidR="00C17B39">
              <w:rPr>
                <w:rFonts w:eastAsia="Times New Roman" w:cs="Arial"/>
                <w:bCs w:val="0"/>
                <w:snapToGrid w:val="0"/>
                <w:szCs w:val="20"/>
              </w:rPr>
              <w:t xml:space="preserve"> using an independently fitted parametric curve</w:t>
            </w:r>
            <w:r>
              <w:rPr>
                <w:rFonts w:eastAsia="Times New Roman" w:cs="Arial"/>
                <w:bCs w:val="0"/>
                <w:snapToGrid w:val="0"/>
                <w:szCs w:val="20"/>
              </w:rPr>
              <w:t>, instead the resubmission applied the trial-based HR (0.685) to the SOC OS curve. The diff</w:t>
            </w:r>
            <w:r w:rsidR="0095017B">
              <w:rPr>
                <w:rFonts w:eastAsia="Times New Roman" w:cs="Arial"/>
                <w:bCs w:val="0"/>
                <w:snapToGrid w:val="0"/>
                <w:szCs w:val="20"/>
              </w:rPr>
              <w:t>erence in survival at 10 years wa</w:t>
            </w:r>
            <w:r>
              <w:rPr>
                <w:rFonts w:eastAsia="Times New Roman" w:cs="Arial"/>
                <w:bCs w:val="0"/>
                <w:snapToGrid w:val="0"/>
                <w:szCs w:val="20"/>
              </w:rPr>
              <w:t>s 11%</w:t>
            </w:r>
            <w:r w:rsidR="0095017B">
              <w:rPr>
                <w:rFonts w:eastAsia="Times New Roman" w:cs="Arial"/>
                <w:bCs w:val="0"/>
                <w:snapToGrid w:val="0"/>
                <w:szCs w:val="20"/>
              </w:rPr>
              <w:t>.</w:t>
            </w:r>
          </w:p>
        </w:tc>
      </w:tr>
      <w:tr w:rsidR="00F01969" w:rsidRPr="00203181" w:rsidTr="00D412D2">
        <w:trPr>
          <w:cantSplit/>
        </w:trPr>
        <w:tc>
          <w:tcPr>
            <w:tcW w:w="940" w:type="pct"/>
            <w:tcMar>
              <w:left w:w="28" w:type="dxa"/>
              <w:right w:w="28" w:type="dxa"/>
            </w:tcMar>
            <w:vAlign w:val="center"/>
          </w:tcPr>
          <w:p w:rsidR="00F01969" w:rsidRDefault="00F01969" w:rsidP="004E18E9">
            <w:pPr>
              <w:pStyle w:val="TableText0"/>
            </w:pPr>
            <w:r>
              <w:t>mCRPC utility value</w:t>
            </w:r>
          </w:p>
        </w:tc>
        <w:tc>
          <w:tcPr>
            <w:tcW w:w="2044" w:type="pct"/>
            <w:tcMar>
              <w:left w:w="28" w:type="dxa"/>
              <w:right w:w="28" w:type="dxa"/>
            </w:tcMar>
          </w:tcPr>
          <w:p w:rsidR="00F01969" w:rsidRDefault="000A3AF8" w:rsidP="000A3AF8">
            <w:pPr>
              <w:pStyle w:val="TableText0"/>
              <w:rPr>
                <w:rFonts w:eastAsia="Times New Roman" w:cs="Arial"/>
                <w:bCs w:val="0"/>
                <w:snapToGrid w:val="0"/>
                <w:szCs w:val="20"/>
              </w:rPr>
            </w:pPr>
            <w:r>
              <w:rPr>
                <w:rFonts w:eastAsia="Times New Roman" w:cs="Arial"/>
                <w:bCs w:val="0"/>
                <w:snapToGrid w:val="0"/>
                <w:szCs w:val="20"/>
              </w:rPr>
              <w:t xml:space="preserve">The PBAC noted that ICER was sensitive to the utility value for the mCRPC health state, with the value being substantially lower than the values applied in the m0CRPC health state. The PBAC considered that the value </w:t>
            </w:r>
            <w:r w:rsidR="0095017B">
              <w:rPr>
                <w:rFonts w:eastAsia="Times New Roman" w:cs="Arial"/>
                <w:bCs w:val="0"/>
                <w:snapToGrid w:val="0"/>
                <w:szCs w:val="20"/>
              </w:rPr>
              <w:t xml:space="preserve">(0.530) </w:t>
            </w:r>
            <w:r>
              <w:rPr>
                <w:rFonts w:eastAsia="Times New Roman" w:cs="Arial"/>
                <w:bCs w:val="0"/>
                <w:snapToGrid w:val="0"/>
                <w:szCs w:val="20"/>
              </w:rPr>
              <w:t>was too low given that metastatic disease may initially be asymptomatic [para 7.14, July 2020 PSD].</w:t>
            </w:r>
          </w:p>
        </w:tc>
        <w:tc>
          <w:tcPr>
            <w:tcW w:w="2016" w:type="pct"/>
            <w:tcMar>
              <w:left w:w="28" w:type="dxa"/>
              <w:right w:w="28" w:type="dxa"/>
            </w:tcMar>
          </w:tcPr>
          <w:p w:rsidR="00F01969" w:rsidRPr="00CB45A7" w:rsidRDefault="0095017B" w:rsidP="00544F5A">
            <w:pPr>
              <w:pStyle w:val="TableText0"/>
              <w:rPr>
                <w:rFonts w:eastAsia="Times New Roman" w:cs="Arial"/>
                <w:bCs w:val="0"/>
                <w:snapToGrid w:val="0"/>
                <w:szCs w:val="20"/>
              </w:rPr>
            </w:pPr>
            <w:r>
              <w:rPr>
                <w:rFonts w:eastAsia="Times New Roman" w:cs="Arial"/>
                <w:bCs w:val="0"/>
                <w:snapToGrid w:val="0"/>
                <w:szCs w:val="20"/>
              </w:rPr>
              <w:t>A value of 0.</w:t>
            </w:r>
            <w:r w:rsidR="00544F5A">
              <w:rPr>
                <w:rFonts w:eastAsia="Times New Roman" w:cs="Arial"/>
                <w:bCs w:val="0"/>
                <w:snapToGrid w:val="0"/>
                <w:szCs w:val="20"/>
              </w:rPr>
              <w:t>560</w:t>
            </w:r>
            <w:r>
              <w:rPr>
                <w:rFonts w:eastAsia="Times New Roman" w:cs="Arial"/>
                <w:bCs w:val="0"/>
                <w:snapToGrid w:val="0"/>
                <w:szCs w:val="20"/>
              </w:rPr>
              <w:t xml:space="preserve"> was applied to the mCRPC health state. This was based on a study by Sullivan, 2007.</w:t>
            </w:r>
          </w:p>
        </w:tc>
      </w:tr>
      <w:tr w:rsidR="000A3AF8" w:rsidRPr="00203181" w:rsidTr="00D412D2">
        <w:trPr>
          <w:cantSplit/>
        </w:trPr>
        <w:tc>
          <w:tcPr>
            <w:tcW w:w="940" w:type="pct"/>
            <w:tcMar>
              <w:left w:w="28" w:type="dxa"/>
              <w:right w:w="28" w:type="dxa"/>
            </w:tcMar>
            <w:vAlign w:val="center"/>
          </w:tcPr>
          <w:p w:rsidR="000A3AF8" w:rsidRDefault="000A3AF8" w:rsidP="004E18E9">
            <w:pPr>
              <w:pStyle w:val="TableText0"/>
            </w:pPr>
            <w:r>
              <w:t>m0CRPC utility values</w:t>
            </w:r>
          </w:p>
        </w:tc>
        <w:tc>
          <w:tcPr>
            <w:tcW w:w="2044" w:type="pct"/>
            <w:tcMar>
              <w:left w:w="28" w:type="dxa"/>
              <w:right w:w="28" w:type="dxa"/>
            </w:tcMar>
          </w:tcPr>
          <w:p w:rsidR="000A3AF8" w:rsidRDefault="000A3AF8" w:rsidP="004E18E9">
            <w:pPr>
              <w:pStyle w:val="TableText0"/>
              <w:rPr>
                <w:rFonts w:eastAsia="Times New Roman" w:cs="Arial"/>
                <w:bCs w:val="0"/>
                <w:snapToGrid w:val="0"/>
                <w:szCs w:val="20"/>
              </w:rPr>
            </w:pPr>
            <w:r>
              <w:rPr>
                <w:rFonts w:eastAsia="Times New Roman" w:cs="Arial"/>
                <w:bCs w:val="0"/>
                <w:snapToGrid w:val="0"/>
                <w:szCs w:val="20"/>
              </w:rPr>
              <w:t>The PBAC considered that the same utility value should be applied to all patients in the m0CRPC health state [para 7.14, July 2020 PSD].</w:t>
            </w:r>
          </w:p>
        </w:tc>
        <w:tc>
          <w:tcPr>
            <w:tcW w:w="2016" w:type="pct"/>
            <w:tcMar>
              <w:left w:w="28" w:type="dxa"/>
              <w:right w:w="28" w:type="dxa"/>
            </w:tcMar>
          </w:tcPr>
          <w:p w:rsidR="000A3AF8" w:rsidRPr="00CB45A7" w:rsidRDefault="0095017B" w:rsidP="004E18E9">
            <w:pPr>
              <w:pStyle w:val="TableText0"/>
              <w:rPr>
                <w:rFonts w:eastAsia="Times New Roman" w:cs="Arial"/>
                <w:bCs w:val="0"/>
                <w:snapToGrid w:val="0"/>
                <w:szCs w:val="20"/>
              </w:rPr>
            </w:pPr>
            <w:r>
              <w:rPr>
                <w:rFonts w:eastAsia="Times New Roman" w:cs="Arial"/>
                <w:bCs w:val="0"/>
                <w:snapToGrid w:val="0"/>
                <w:szCs w:val="20"/>
              </w:rPr>
              <w:t>The same utility value was applied to both arms in the m0CRPC health state (0.813).</w:t>
            </w:r>
          </w:p>
        </w:tc>
      </w:tr>
      <w:tr w:rsidR="000A3AF8" w:rsidRPr="00203181" w:rsidTr="00D412D2">
        <w:trPr>
          <w:cantSplit/>
        </w:trPr>
        <w:tc>
          <w:tcPr>
            <w:tcW w:w="940" w:type="pct"/>
            <w:tcMar>
              <w:left w:w="28" w:type="dxa"/>
              <w:right w:w="28" w:type="dxa"/>
            </w:tcMar>
            <w:vAlign w:val="center"/>
          </w:tcPr>
          <w:p w:rsidR="000A3AF8" w:rsidRDefault="000A3AF8" w:rsidP="004E18E9">
            <w:pPr>
              <w:pStyle w:val="TableText0"/>
            </w:pPr>
            <w:r>
              <w:t>ICER</w:t>
            </w:r>
          </w:p>
        </w:tc>
        <w:tc>
          <w:tcPr>
            <w:tcW w:w="2044" w:type="pct"/>
            <w:tcMar>
              <w:left w:w="28" w:type="dxa"/>
              <w:right w:w="28" w:type="dxa"/>
            </w:tcMar>
          </w:tcPr>
          <w:p w:rsidR="000A3AF8" w:rsidRDefault="000A3AF8" w:rsidP="000A3AF8">
            <w:pPr>
              <w:pStyle w:val="TableText0"/>
              <w:rPr>
                <w:rFonts w:eastAsia="Times New Roman" w:cs="Arial"/>
                <w:bCs w:val="0"/>
                <w:snapToGrid w:val="0"/>
                <w:szCs w:val="20"/>
              </w:rPr>
            </w:pPr>
            <w:r>
              <w:rPr>
                <w:rFonts w:eastAsia="Times New Roman" w:cs="Arial"/>
                <w:bCs w:val="0"/>
                <w:snapToGrid w:val="0"/>
                <w:szCs w:val="20"/>
              </w:rPr>
              <w:t>The PBAC considered that the ICER was high and underestimated and that an ICER in the range of $40,000 to $45,000 per QALY would be required [para 7.15, July 2020 PSD].</w:t>
            </w:r>
          </w:p>
        </w:tc>
        <w:tc>
          <w:tcPr>
            <w:tcW w:w="2016" w:type="pct"/>
            <w:tcMar>
              <w:left w:w="28" w:type="dxa"/>
              <w:right w:w="28" w:type="dxa"/>
            </w:tcMar>
          </w:tcPr>
          <w:p w:rsidR="000A3AF8" w:rsidRPr="00CB45A7" w:rsidRDefault="0095017B" w:rsidP="004E18E9">
            <w:pPr>
              <w:pStyle w:val="TableText0"/>
              <w:rPr>
                <w:rFonts w:eastAsia="Times New Roman" w:cs="Arial"/>
                <w:bCs w:val="0"/>
                <w:snapToGrid w:val="0"/>
                <w:szCs w:val="20"/>
              </w:rPr>
            </w:pPr>
            <w:r>
              <w:rPr>
                <w:rFonts w:eastAsia="Times New Roman" w:cs="Arial"/>
                <w:bCs w:val="0"/>
                <w:snapToGrid w:val="0"/>
                <w:szCs w:val="20"/>
              </w:rPr>
              <w:t>The updated ICER was $</w:t>
            </w:r>
            <w:r w:rsidR="006C3115">
              <w:rPr>
                <w:rFonts w:eastAsia="Times New Roman" w:cs="Arial"/>
                <w:bCs w:val="0"/>
                <w:noProof/>
                <w:snapToGrid w:val="0"/>
                <w:color w:val="000000"/>
                <w:szCs w:val="20"/>
                <w:highlight w:val="black"/>
              </w:rPr>
              <w:t>''''''''''''''''''</w:t>
            </w:r>
            <w:r w:rsidR="006F1B03">
              <w:rPr>
                <w:rFonts w:eastAsia="Times New Roman" w:cs="Arial"/>
                <w:bCs w:val="0"/>
                <w:snapToGrid w:val="0"/>
                <w:szCs w:val="20"/>
                <w:vertAlign w:val="superscript"/>
              </w:rPr>
              <w:t>1</w:t>
            </w:r>
            <w:r>
              <w:rPr>
                <w:rFonts w:eastAsia="Times New Roman" w:cs="Arial"/>
                <w:bCs w:val="0"/>
                <w:snapToGrid w:val="0"/>
                <w:szCs w:val="20"/>
              </w:rPr>
              <w:t>.</w:t>
            </w:r>
          </w:p>
        </w:tc>
      </w:tr>
      <w:tr w:rsidR="000A3AF8" w:rsidRPr="000A3AF8" w:rsidTr="00D412D2">
        <w:trPr>
          <w:cantSplit/>
        </w:trPr>
        <w:tc>
          <w:tcPr>
            <w:tcW w:w="5000" w:type="pct"/>
            <w:gridSpan w:val="3"/>
            <w:tcMar>
              <w:left w:w="28" w:type="dxa"/>
              <w:right w:w="28" w:type="dxa"/>
            </w:tcMar>
            <w:vAlign w:val="center"/>
          </w:tcPr>
          <w:p w:rsidR="000A3AF8" w:rsidRPr="000A3AF8" w:rsidRDefault="000A3AF8" w:rsidP="004E18E9">
            <w:pPr>
              <w:pStyle w:val="TableText0"/>
              <w:rPr>
                <w:rFonts w:eastAsia="Times New Roman" w:cs="Arial"/>
                <w:b/>
                <w:bCs w:val="0"/>
                <w:snapToGrid w:val="0"/>
                <w:szCs w:val="20"/>
              </w:rPr>
            </w:pPr>
            <w:r w:rsidRPr="000A3AF8">
              <w:rPr>
                <w:rFonts w:eastAsia="Times New Roman" w:cs="Arial"/>
                <w:b/>
                <w:bCs w:val="0"/>
                <w:snapToGrid w:val="0"/>
                <w:szCs w:val="20"/>
              </w:rPr>
              <w:t>Financial estimates</w:t>
            </w:r>
          </w:p>
        </w:tc>
      </w:tr>
      <w:tr w:rsidR="000A3AF8" w:rsidRPr="00203181" w:rsidTr="00D412D2">
        <w:trPr>
          <w:cantSplit/>
        </w:trPr>
        <w:tc>
          <w:tcPr>
            <w:tcW w:w="940" w:type="pct"/>
            <w:tcMar>
              <w:left w:w="28" w:type="dxa"/>
              <w:right w:w="28" w:type="dxa"/>
            </w:tcMar>
            <w:vAlign w:val="center"/>
          </w:tcPr>
          <w:p w:rsidR="000A3AF8" w:rsidRDefault="000A3AF8" w:rsidP="004E18E9">
            <w:pPr>
              <w:pStyle w:val="TableText0"/>
            </w:pPr>
            <w:r>
              <w:t>Financial impact</w:t>
            </w:r>
          </w:p>
        </w:tc>
        <w:tc>
          <w:tcPr>
            <w:tcW w:w="2044" w:type="pct"/>
            <w:tcMar>
              <w:left w:w="28" w:type="dxa"/>
              <w:right w:w="28" w:type="dxa"/>
            </w:tcMar>
          </w:tcPr>
          <w:p w:rsidR="000A3AF8" w:rsidRDefault="000A3AF8" w:rsidP="000A3AF8">
            <w:pPr>
              <w:pStyle w:val="TableText0"/>
              <w:rPr>
                <w:rFonts w:eastAsia="Times New Roman" w:cs="Arial"/>
                <w:bCs w:val="0"/>
                <w:snapToGrid w:val="0"/>
                <w:szCs w:val="20"/>
              </w:rPr>
            </w:pPr>
            <w:r>
              <w:rPr>
                <w:rFonts w:eastAsia="Times New Roman" w:cs="Arial"/>
                <w:bCs w:val="0"/>
                <w:snapToGrid w:val="0"/>
                <w:szCs w:val="20"/>
              </w:rPr>
              <w:t>The PBAC considered that the estimated financial impact of more than $100 million over 6 years to be high and uncertain. The PBAC considered that the number of incident and prevalent patients was highly uncertain [para 7.16, July 2020 PSD].</w:t>
            </w:r>
          </w:p>
        </w:tc>
        <w:tc>
          <w:tcPr>
            <w:tcW w:w="2016" w:type="pct"/>
            <w:tcMar>
              <w:left w:w="28" w:type="dxa"/>
              <w:right w:w="28" w:type="dxa"/>
            </w:tcMar>
          </w:tcPr>
          <w:p w:rsidR="00A35B35" w:rsidRPr="00470FAC" w:rsidRDefault="00A35B35" w:rsidP="00B93217">
            <w:pPr>
              <w:contextualSpacing/>
              <w:jc w:val="left"/>
              <w:rPr>
                <w:rFonts w:ascii="Arial Narrow" w:hAnsi="Arial Narrow"/>
                <w:sz w:val="20"/>
                <w:szCs w:val="20"/>
              </w:rPr>
            </w:pPr>
            <w:r w:rsidRPr="00470FAC">
              <w:rPr>
                <w:rFonts w:ascii="Arial Narrow" w:hAnsi="Arial Narrow"/>
                <w:sz w:val="20"/>
                <w:szCs w:val="20"/>
              </w:rPr>
              <w:t>The method to derive incident and prevalent patients is unchanged.</w:t>
            </w:r>
            <w:r w:rsidR="00270EC2" w:rsidRPr="00470FAC">
              <w:rPr>
                <w:rFonts w:ascii="Arial Narrow" w:hAnsi="Arial Narrow"/>
                <w:sz w:val="20"/>
                <w:szCs w:val="20"/>
              </w:rPr>
              <w:t xml:space="preserve"> Uncertainty remains in the size of the eligible and treated populations.</w:t>
            </w:r>
          </w:p>
          <w:p w:rsidR="00A35B35" w:rsidRPr="00470FAC" w:rsidRDefault="00A35B35" w:rsidP="00B93217">
            <w:pPr>
              <w:contextualSpacing/>
              <w:jc w:val="left"/>
              <w:rPr>
                <w:rFonts w:ascii="Arial Narrow" w:hAnsi="Arial Narrow"/>
                <w:sz w:val="20"/>
                <w:szCs w:val="20"/>
              </w:rPr>
            </w:pPr>
          </w:p>
          <w:p w:rsidR="00A35B35" w:rsidRPr="00470FAC" w:rsidRDefault="00A35B35" w:rsidP="00B93217">
            <w:pPr>
              <w:contextualSpacing/>
              <w:jc w:val="left"/>
              <w:rPr>
                <w:rFonts w:ascii="Arial Narrow" w:hAnsi="Arial Narrow"/>
                <w:sz w:val="20"/>
                <w:szCs w:val="20"/>
              </w:rPr>
            </w:pPr>
            <w:r w:rsidRPr="00470FAC">
              <w:rPr>
                <w:rFonts w:ascii="Arial Narrow" w:hAnsi="Arial Narrow"/>
                <w:sz w:val="20"/>
                <w:szCs w:val="20"/>
              </w:rPr>
              <w:t xml:space="preserve">Based on the July 2020 DUSC advice: </w:t>
            </w:r>
            <w:r w:rsidR="00270EC2" w:rsidRPr="00470FAC">
              <w:rPr>
                <w:rFonts w:ascii="Arial Narrow" w:hAnsi="Arial Narrow"/>
                <w:sz w:val="20"/>
                <w:szCs w:val="20"/>
              </w:rPr>
              <w:t>t</w:t>
            </w:r>
            <w:r w:rsidRPr="00470FAC">
              <w:rPr>
                <w:rFonts w:ascii="Arial Narrow" w:hAnsi="Arial Narrow"/>
                <w:sz w:val="20"/>
                <w:szCs w:val="20"/>
              </w:rPr>
              <w:t>reatment uptake assumptions have been increased in the initial y</w:t>
            </w:r>
            <w:r w:rsidR="00270EC2" w:rsidRPr="00470FAC">
              <w:rPr>
                <w:rFonts w:ascii="Arial Narrow" w:hAnsi="Arial Narrow"/>
                <w:sz w:val="20"/>
                <w:szCs w:val="20"/>
              </w:rPr>
              <w:t>ears of listing; t</w:t>
            </w:r>
            <w:r w:rsidRPr="00470FAC">
              <w:rPr>
                <w:rFonts w:ascii="Arial Narrow" w:hAnsi="Arial Narrow"/>
                <w:sz w:val="20"/>
                <w:szCs w:val="20"/>
              </w:rPr>
              <w:t xml:space="preserve">he treatment compliance assumption has </w:t>
            </w:r>
            <w:r w:rsidR="00270EC2" w:rsidRPr="00470FAC">
              <w:rPr>
                <w:rFonts w:ascii="Arial Narrow" w:hAnsi="Arial Narrow"/>
                <w:sz w:val="20"/>
                <w:szCs w:val="20"/>
              </w:rPr>
              <w:t xml:space="preserve">been reduced from 98.88% to 92%; and </w:t>
            </w:r>
            <w:r w:rsidRPr="00470FAC">
              <w:rPr>
                <w:rFonts w:ascii="Arial Narrow" w:hAnsi="Arial Narrow"/>
                <w:sz w:val="20"/>
                <w:szCs w:val="20"/>
              </w:rPr>
              <w:t xml:space="preserve">additional costs of ADT and </w:t>
            </w:r>
            <w:r w:rsidR="00270EC2" w:rsidRPr="00470FAC">
              <w:rPr>
                <w:rFonts w:ascii="Arial Narrow" w:hAnsi="Arial Narrow"/>
                <w:sz w:val="20"/>
                <w:szCs w:val="20"/>
              </w:rPr>
              <w:t>MBS item costs are excluded.</w:t>
            </w:r>
          </w:p>
        </w:tc>
      </w:tr>
      <w:tr w:rsidR="000A3AF8" w:rsidRPr="00203181" w:rsidTr="00EF0FAD">
        <w:trPr>
          <w:cantSplit/>
          <w:trHeight w:val="71"/>
        </w:trPr>
        <w:tc>
          <w:tcPr>
            <w:tcW w:w="940" w:type="pct"/>
            <w:tcMar>
              <w:left w:w="28" w:type="dxa"/>
              <w:right w:w="28" w:type="dxa"/>
            </w:tcMar>
            <w:vAlign w:val="center"/>
          </w:tcPr>
          <w:p w:rsidR="000A3AF8" w:rsidRDefault="000A3AF8" w:rsidP="004E18E9">
            <w:pPr>
              <w:pStyle w:val="TableText0"/>
            </w:pPr>
            <w:r>
              <w:t>RSA</w:t>
            </w:r>
          </w:p>
        </w:tc>
        <w:tc>
          <w:tcPr>
            <w:tcW w:w="2044" w:type="pct"/>
            <w:tcMar>
              <w:left w:w="28" w:type="dxa"/>
              <w:right w:w="28" w:type="dxa"/>
            </w:tcMar>
          </w:tcPr>
          <w:p w:rsidR="000A3AF8" w:rsidRPr="006F1B03" w:rsidRDefault="000A3AF8" w:rsidP="006F1B03">
            <w:pPr>
              <w:pStyle w:val="TableText0"/>
              <w:rPr>
                <w:rFonts w:eastAsia="Times New Roman" w:cs="Arial"/>
                <w:bCs w:val="0"/>
                <w:snapToGrid w:val="0"/>
                <w:szCs w:val="20"/>
                <w:vertAlign w:val="superscript"/>
              </w:rPr>
            </w:pPr>
            <w:r>
              <w:rPr>
                <w:rFonts w:eastAsia="Times New Roman" w:cs="Arial"/>
                <w:bCs w:val="0"/>
                <w:snapToGrid w:val="0"/>
                <w:szCs w:val="20"/>
              </w:rPr>
              <w:t>The PBAC considered that the uncertainty with the financial estimates could be addressed with an RSA [para 7.16, July 2020 PSD].</w:t>
            </w:r>
          </w:p>
        </w:tc>
        <w:tc>
          <w:tcPr>
            <w:tcW w:w="2016" w:type="pct"/>
            <w:tcMar>
              <w:left w:w="28" w:type="dxa"/>
              <w:right w:w="28" w:type="dxa"/>
            </w:tcMar>
          </w:tcPr>
          <w:p w:rsidR="000A3AF8" w:rsidRPr="00470FAC" w:rsidRDefault="00D219B4" w:rsidP="00D412D2">
            <w:pPr>
              <w:pStyle w:val="ListBullet"/>
              <w:numPr>
                <w:ilvl w:val="0"/>
                <w:numId w:val="0"/>
              </w:numPr>
              <w:rPr>
                <w:rFonts w:ascii="Arial Narrow" w:hAnsi="Arial Narrow"/>
                <w:snapToGrid w:val="0"/>
                <w:sz w:val="20"/>
                <w:szCs w:val="20"/>
              </w:rPr>
            </w:pPr>
            <w:r w:rsidRPr="00470FAC">
              <w:rPr>
                <w:rFonts w:ascii="Arial Narrow" w:hAnsi="Arial Narrow"/>
                <w:snapToGrid w:val="0"/>
                <w:sz w:val="20"/>
                <w:szCs w:val="20"/>
              </w:rPr>
              <w:t xml:space="preserve">A risk-sharing arrangement is proposed in the form of an expenditure cap with a </w:t>
            </w:r>
            <w:r w:rsidR="006C3115">
              <w:rPr>
                <w:rFonts w:ascii="Arial Narrow" w:hAnsi="Arial Narrow"/>
                <w:noProof/>
                <w:snapToGrid w:val="0"/>
                <w:color w:val="000000"/>
                <w:sz w:val="20"/>
                <w:szCs w:val="20"/>
                <w:highlight w:val="black"/>
              </w:rPr>
              <w:t>''''''''''</w:t>
            </w:r>
            <w:r w:rsidRPr="00470FAC">
              <w:rPr>
                <w:rFonts w:ascii="Arial Narrow" w:hAnsi="Arial Narrow"/>
                <w:snapToGrid w:val="0"/>
                <w:sz w:val="20"/>
                <w:szCs w:val="20"/>
              </w:rPr>
              <w:t>% rebate for expenditure above the amounts estimate</w:t>
            </w:r>
            <w:r w:rsidR="00B93217" w:rsidRPr="00470FAC">
              <w:rPr>
                <w:rFonts w:ascii="Arial Narrow" w:hAnsi="Arial Narrow"/>
                <w:snapToGrid w:val="0"/>
                <w:sz w:val="20"/>
                <w:szCs w:val="20"/>
              </w:rPr>
              <w:t xml:space="preserve">d for annual net cost to </w:t>
            </w:r>
            <w:r w:rsidR="00D412D2" w:rsidRPr="00470FAC">
              <w:rPr>
                <w:rFonts w:ascii="Arial Narrow" w:hAnsi="Arial Narrow"/>
                <w:snapToGrid w:val="0"/>
                <w:sz w:val="20"/>
                <w:szCs w:val="20"/>
              </w:rPr>
              <w:t xml:space="preserve">the PBS and </w:t>
            </w:r>
            <w:r w:rsidR="00B93217" w:rsidRPr="00470FAC">
              <w:rPr>
                <w:rFonts w:ascii="Arial Narrow" w:hAnsi="Arial Narrow"/>
                <w:snapToGrid w:val="0"/>
                <w:sz w:val="20"/>
                <w:szCs w:val="20"/>
              </w:rPr>
              <w:t>RPBS.</w:t>
            </w:r>
          </w:p>
        </w:tc>
      </w:tr>
    </w:tbl>
    <w:p w:rsidR="005C25FF" w:rsidRPr="0095017B" w:rsidRDefault="005C25FF" w:rsidP="004E18E9">
      <w:pPr>
        <w:pStyle w:val="TableFigureFooter"/>
      </w:pPr>
      <w:r w:rsidRPr="0095017B">
        <w:t xml:space="preserve">Source: </w:t>
      </w:r>
      <w:r w:rsidR="0095017B" w:rsidRPr="0095017B">
        <w:t>Compiled during evaluation</w:t>
      </w:r>
    </w:p>
    <w:p w:rsidR="0095017B" w:rsidRDefault="00B93217" w:rsidP="004E18E9">
      <w:pPr>
        <w:pStyle w:val="TableFigureFooter"/>
      </w:pPr>
      <w:r>
        <w:t xml:space="preserve">ADT = androgen deprivation therapy; </w:t>
      </w:r>
      <w:r w:rsidR="0095017B">
        <w:t xml:space="preserve">AEMP = approved ex-manufacturer price; </w:t>
      </w:r>
      <w:r>
        <w:t xml:space="preserve">DUSC = Drug Utilisation Sub-Committee; </w:t>
      </w:r>
      <w:r w:rsidR="0095017B">
        <w:t xml:space="preserve">HR = hazard ratio; ICER = incremental cost effectiveness ratio; </w:t>
      </w:r>
      <w:r>
        <w:t xml:space="preserve">MBS = Medicare Benefits Schedule; </w:t>
      </w:r>
      <w:r w:rsidR="0095017B">
        <w:t xml:space="preserve">m0CRPC = non-metastatic castration resistant </w:t>
      </w:r>
      <w:r w:rsidR="0095017B">
        <w:lastRenderedPageBreak/>
        <w:t xml:space="preserve">prostate cancer; mCRPC = metastatic castration resistant prostate cancer; OS = overall survival; PBAC = Pharmaceutical Benefits Advisory Committee; </w:t>
      </w:r>
      <w:r w:rsidR="00D412D2">
        <w:t xml:space="preserve">PBS = Pharmaceutical Benefits Scheme; </w:t>
      </w:r>
      <w:r w:rsidR="0095017B">
        <w:t xml:space="preserve">PSA = prostate-specific antigen; PSD = public summary document; </w:t>
      </w:r>
      <w:r w:rsidR="00D412D2">
        <w:t xml:space="preserve">RPBS = Repatriation Pharmaceutical Benefits Scheme; </w:t>
      </w:r>
      <w:r w:rsidR="0095017B">
        <w:t>QALY = quality adjusted life year; RSA = risk sharing arrangement; SOC = standard of care</w:t>
      </w:r>
    </w:p>
    <w:p w:rsidR="006F1B03" w:rsidRPr="009868C4" w:rsidRDefault="006F1B03" w:rsidP="006F1B03">
      <w:pPr>
        <w:pStyle w:val="TableFigureFooter"/>
        <w:spacing w:after="0"/>
        <w:contextualSpacing w:val="0"/>
      </w:pPr>
      <w:r w:rsidRPr="009868C4">
        <w:rPr>
          <w:i/>
        </w:rPr>
        <w:t>The redacted values correspond to the following ranges</w:t>
      </w:r>
      <w:r>
        <w:rPr>
          <w:i/>
        </w:rPr>
        <w:t xml:space="preserve">: </w:t>
      </w:r>
    </w:p>
    <w:p w:rsidR="006F1B03" w:rsidRPr="006F1B03" w:rsidRDefault="006F1B03" w:rsidP="004E18E9">
      <w:pPr>
        <w:pStyle w:val="TableFigureFooter"/>
        <w:rPr>
          <w:i/>
        </w:rPr>
      </w:pPr>
      <w:r>
        <w:rPr>
          <w:i/>
          <w:vertAlign w:val="superscript"/>
        </w:rPr>
        <w:t xml:space="preserve">1 </w:t>
      </w:r>
      <w:r w:rsidRPr="006F1B03">
        <w:rPr>
          <w:i/>
        </w:rPr>
        <w:t>$45,000 to &lt; $55,000</w:t>
      </w:r>
    </w:p>
    <w:p w:rsidR="00B93217" w:rsidRDefault="00B93217" w:rsidP="004E18E9">
      <w:pPr>
        <w:pStyle w:val="TableFigureFooter"/>
      </w:pPr>
    </w:p>
    <w:p w:rsidR="00B93217" w:rsidRPr="00470FAC" w:rsidRDefault="00B93217" w:rsidP="00B93217">
      <w:pPr>
        <w:pStyle w:val="3-BodyText"/>
      </w:pPr>
      <w:r w:rsidRPr="00470FAC">
        <w:t>The PBAC considered a submission for apalutamide for this indication in November 2020. The PBAC did not recommend the listing of apalutamide and considered that:</w:t>
      </w:r>
    </w:p>
    <w:p w:rsidR="00B93217" w:rsidRPr="00470FAC" w:rsidRDefault="00B93217" w:rsidP="0053515D">
      <w:pPr>
        <w:pStyle w:val="3-BodyText"/>
        <w:numPr>
          <w:ilvl w:val="0"/>
          <w:numId w:val="13"/>
        </w:numPr>
        <w:spacing w:after="0"/>
      </w:pPr>
      <w:r w:rsidRPr="00470FAC">
        <w:t>while apalutamide provides a substantial benefit to some patients in delaying metastases, the magnitude of the survival benefit was modest;</w:t>
      </w:r>
    </w:p>
    <w:p w:rsidR="00B93217" w:rsidRPr="00470FAC" w:rsidRDefault="00B93217" w:rsidP="0053515D">
      <w:pPr>
        <w:pStyle w:val="3-BodyText"/>
        <w:numPr>
          <w:ilvl w:val="0"/>
          <w:numId w:val="13"/>
        </w:numPr>
        <w:spacing w:after="0"/>
      </w:pPr>
      <w:r w:rsidRPr="00470FAC">
        <w:t>not all of the requested changes to the economic model were implemented in the resubmission;</w:t>
      </w:r>
    </w:p>
    <w:p w:rsidR="00B93217" w:rsidRPr="00470FAC" w:rsidRDefault="00B93217" w:rsidP="0053515D">
      <w:pPr>
        <w:pStyle w:val="3-BodyText"/>
        <w:numPr>
          <w:ilvl w:val="0"/>
          <w:numId w:val="13"/>
        </w:numPr>
        <w:spacing w:after="0"/>
      </w:pPr>
      <w:r w:rsidRPr="00470FAC">
        <w:t>the incremental cost-effectiveness ratio (ICER) remained high and uncertain, and a price reduction would be required to bring the ICER into an acceptable range; and</w:t>
      </w:r>
    </w:p>
    <w:p w:rsidR="00B93217" w:rsidRPr="00470FAC" w:rsidRDefault="00B93217" w:rsidP="0053515D">
      <w:pPr>
        <w:pStyle w:val="3-BodyText"/>
        <w:numPr>
          <w:ilvl w:val="0"/>
          <w:numId w:val="13"/>
        </w:numPr>
      </w:pPr>
      <w:r w:rsidRPr="00470FAC">
        <w:t>the estimated financial impact of listing apalutamide on the PBS remained high (November 2020 PBAC Outcomes – Subsequent decisions not to recommend, pbs.gov.au).</w:t>
      </w:r>
    </w:p>
    <w:p w:rsidR="006A65C9" w:rsidRPr="006A65C9" w:rsidRDefault="006A65C9" w:rsidP="006A65C9">
      <w:pPr>
        <w:pStyle w:val="3-BodyText"/>
        <w:numPr>
          <w:ilvl w:val="0"/>
          <w:numId w:val="0"/>
        </w:numPr>
        <w:ind w:left="720"/>
        <w:rPr>
          <w:i/>
        </w:rPr>
      </w:pPr>
      <w:r w:rsidRPr="006A65C9">
        <w:rPr>
          <w:i/>
        </w:rPr>
        <w:t>For more detail on PBAC’s view, see section 7 PBAC outcome.</w:t>
      </w:r>
    </w:p>
    <w:p w:rsidR="00B60939" w:rsidRPr="00882085" w:rsidRDefault="00B50DB8" w:rsidP="004E18E9">
      <w:pPr>
        <w:pStyle w:val="2-SectionHeading"/>
      </w:pPr>
      <w:bookmarkStart w:id="7" w:name="_Toc62023466"/>
      <w:r w:rsidRPr="00407F2D">
        <w:t>Requested listing</w:t>
      </w:r>
      <w:bookmarkEnd w:id="7"/>
    </w:p>
    <w:tbl>
      <w:tblPr>
        <w:tblW w:w="9072" w:type="dxa"/>
        <w:tblBorders>
          <w:top w:val="single" w:sz="4" w:space="0" w:color="auto"/>
          <w:bottom w:val="single" w:sz="4" w:space="0" w:color="auto"/>
        </w:tblBorders>
        <w:tblLook w:val="04A0" w:firstRow="1" w:lastRow="0" w:firstColumn="1" w:lastColumn="0" w:noHBand="0" w:noVBand="1"/>
      </w:tblPr>
      <w:tblGrid>
        <w:gridCol w:w="2256"/>
        <w:gridCol w:w="989"/>
        <w:gridCol w:w="949"/>
        <w:gridCol w:w="800"/>
        <w:gridCol w:w="2385"/>
        <w:gridCol w:w="1693"/>
      </w:tblGrid>
      <w:tr w:rsidR="0095017B" w:rsidRPr="007D2D5F" w:rsidTr="002D157E">
        <w:tc>
          <w:tcPr>
            <w:tcW w:w="2256" w:type="dxa"/>
            <w:tcBorders>
              <w:top w:val="single" w:sz="4" w:space="0" w:color="auto"/>
              <w:bottom w:val="single" w:sz="4" w:space="0" w:color="auto"/>
            </w:tcBorders>
          </w:tcPr>
          <w:p w:rsidR="0095017B" w:rsidRPr="002C71CE" w:rsidRDefault="0095017B" w:rsidP="006A65C9">
            <w:pPr>
              <w:pStyle w:val="Tabletext"/>
              <w:rPr>
                <w:b/>
                <w:bCs/>
              </w:rPr>
            </w:pPr>
            <w:r w:rsidRPr="002C71CE">
              <w:rPr>
                <w:b/>
              </w:rPr>
              <w:t>Name, restriction, manner of administration, form</w:t>
            </w:r>
          </w:p>
        </w:tc>
        <w:tc>
          <w:tcPr>
            <w:tcW w:w="989" w:type="dxa"/>
            <w:tcBorders>
              <w:top w:val="single" w:sz="4" w:space="0" w:color="auto"/>
              <w:bottom w:val="single" w:sz="4" w:space="0" w:color="auto"/>
            </w:tcBorders>
          </w:tcPr>
          <w:p w:rsidR="0095017B" w:rsidRPr="002C71CE" w:rsidRDefault="0095017B" w:rsidP="006A65C9">
            <w:pPr>
              <w:pStyle w:val="Tabletext"/>
              <w:jc w:val="center"/>
              <w:rPr>
                <w:b/>
                <w:bCs/>
              </w:rPr>
            </w:pPr>
            <w:r w:rsidRPr="002C71CE">
              <w:rPr>
                <w:b/>
              </w:rPr>
              <w:t>Max</w:t>
            </w:r>
            <w:r>
              <w:rPr>
                <w:b/>
              </w:rPr>
              <w:t>. Qty.</w:t>
            </w:r>
            <w:r w:rsidRPr="002C71CE">
              <w:rPr>
                <w:b/>
              </w:rPr>
              <w:t xml:space="preserve"> (packs)</w:t>
            </w:r>
          </w:p>
        </w:tc>
        <w:tc>
          <w:tcPr>
            <w:tcW w:w="949" w:type="dxa"/>
            <w:tcBorders>
              <w:top w:val="single" w:sz="4" w:space="0" w:color="auto"/>
              <w:bottom w:val="single" w:sz="4" w:space="0" w:color="auto"/>
            </w:tcBorders>
          </w:tcPr>
          <w:p w:rsidR="0095017B" w:rsidRPr="002C71CE" w:rsidRDefault="0095017B" w:rsidP="006A65C9">
            <w:pPr>
              <w:pStyle w:val="Tabletext"/>
              <w:jc w:val="center"/>
              <w:rPr>
                <w:b/>
                <w:bCs/>
              </w:rPr>
            </w:pPr>
            <w:r w:rsidRPr="002C71CE">
              <w:rPr>
                <w:b/>
              </w:rPr>
              <w:t>Max</w:t>
            </w:r>
            <w:r>
              <w:rPr>
                <w:b/>
              </w:rPr>
              <w:t>. Qty.</w:t>
            </w:r>
            <w:r w:rsidRPr="002C71CE">
              <w:rPr>
                <w:b/>
              </w:rPr>
              <w:t xml:space="preserve"> (units)</w:t>
            </w:r>
          </w:p>
        </w:tc>
        <w:tc>
          <w:tcPr>
            <w:tcW w:w="800" w:type="dxa"/>
            <w:tcBorders>
              <w:top w:val="single" w:sz="4" w:space="0" w:color="auto"/>
              <w:bottom w:val="single" w:sz="4" w:space="0" w:color="auto"/>
            </w:tcBorders>
          </w:tcPr>
          <w:p w:rsidR="0095017B" w:rsidRPr="002C71CE" w:rsidRDefault="0095017B" w:rsidP="006A65C9">
            <w:pPr>
              <w:pStyle w:val="Tabletext"/>
              <w:jc w:val="center"/>
              <w:rPr>
                <w:b/>
                <w:bCs/>
              </w:rPr>
            </w:pPr>
            <w:r w:rsidRPr="002C71CE">
              <w:rPr>
                <w:b/>
              </w:rPr>
              <w:t>No. of repeats</w:t>
            </w:r>
          </w:p>
        </w:tc>
        <w:tc>
          <w:tcPr>
            <w:tcW w:w="2385" w:type="dxa"/>
            <w:tcBorders>
              <w:top w:val="single" w:sz="4" w:space="0" w:color="auto"/>
              <w:bottom w:val="single" w:sz="4" w:space="0" w:color="auto"/>
            </w:tcBorders>
          </w:tcPr>
          <w:p w:rsidR="0095017B" w:rsidRPr="002C71CE" w:rsidRDefault="0095017B" w:rsidP="006A65C9">
            <w:pPr>
              <w:pStyle w:val="Tabletext"/>
              <w:jc w:val="center"/>
              <w:rPr>
                <w:b/>
                <w:bCs/>
              </w:rPr>
            </w:pPr>
            <w:r w:rsidRPr="002C71CE">
              <w:rPr>
                <w:b/>
              </w:rPr>
              <w:t xml:space="preserve">Dispensed price for </w:t>
            </w:r>
            <w:r w:rsidR="00605170">
              <w:rPr>
                <w:b/>
              </w:rPr>
              <w:br/>
            </w:r>
            <w:r>
              <w:rPr>
                <w:b/>
              </w:rPr>
              <w:t>Max. Qty.</w:t>
            </w:r>
          </w:p>
        </w:tc>
        <w:tc>
          <w:tcPr>
            <w:tcW w:w="1693" w:type="dxa"/>
            <w:tcBorders>
              <w:top w:val="single" w:sz="4" w:space="0" w:color="auto"/>
              <w:bottom w:val="single" w:sz="4" w:space="0" w:color="auto"/>
            </w:tcBorders>
          </w:tcPr>
          <w:p w:rsidR="0095017B" w:rsidRPr="002C71CE" w:rsidRDefault="0095017B" w:rsidP="006A65C9">
            <w:pPr>
              <w:pStyle w:val="Tabletext"/>
              <w:rPr>
                <w:b/>
                <w:bCs/>
              </w:rPr>
            </w:pPr>
            <w:r w:rsidRPr="002C71CE">
              <w:rPr>
                <w:b/>
              </w:rPr>
              <w:t>Proprietary name and manufacturer</w:t>
            </w:r>
          </w:p>
        </w:tc>
      </w:tr>
      <w:tr w:rsidR="0095017B" w:rsidRPr="00AB542B" w:rsidTr="002D157E">
        <w:tc>
          <w:tcPr>
            <w:tcW w:w="2256" w:type="dxa"/>
            <w:tcBorders>
              <w:top w:val="single" w:sz="4" w:space="0" w:color="auto"/>
            </w:tcBorders>
            <w:vAlign w:val="center"/>
          </w:tcPr>
          <w:p w:rsidR="0095017B" w:rsidRPr="00AB542B" w:rsidRDefault="0095017B" w:rsidP="006A65C9">
            <w:pPr>
              <w:pStyle w:val="Tabletext"/>
              <w:rPr>
                <w:szCs w:val="20"/>
              </w:rPr>
            </w:pPr>
            <w:r w:rsidRPr="00AB542B">
              <w:rPr>
                <w:szCs w:val="20"/>
              </w:rPr>
              <w:t>DAROLUTAMIDE</w:t>
            </w:r>
          </w:p>
          <w:p w:rsidR="0095017B" w:rsidRPr="00AB542B" w:rsidRDefault="0095017B" w:rsidP="006A65C9">
            <w:pPr>
              <w:pStyle w:val="Tabletext"/>
              <w:rPr>
                <w:b/>
                <w:bCs/>
                <w:szCs w:val="20"/>
              </w:rPr>
            </w:pPr>
            <w:r w:rsidRPr="00AB542B">
              <w:rPr>
                <w:szCs w:val="20"/>
              </w:rPr>
              <w:t>Tablet, 300 mg</w:t>
            </w:r>
          </w:p>
        </w:tc>
        <w:tc>
          <w:tcPr>
            <w:tcW w:w="989" w:type="dxa"/>
            <w:tcBorders>
              <w:top w:val="single" w:sz="4" w:space="0" w:color="auto"/>
            </w:tcBorders>
            <w:vAlign w:val="center"/>
          </w:tcPr>
          <w:p w:rsidR="0095017B" w:rsidRPr="00AB542B" w:rsidRDefault="0095017B" w:rsidP="006A65C9">
            <w:pPr>
              <w:pStyle w:val="Tabletext"/>
              <w:jc w:val="center"/>
              <w:rPr>
                <w:szCs w:val="20"/>
              </w:rPr>
            </w:pPr>
            <w:r w:rsidRPr="00AB542B">
              <w:rPr>
                <w:szCs w:val="20"/>
              </w:rPr>
              <w:t>1</w:t>
            </w:r>
          </w:p>
        </w:tc>
        <w:tc>
          <w:tcPr>
            <w:tcW w:w="949" w:type="dxa"/>
            <w:tcBorders>
              <w:top w:val="single" w:sz="4" w:space="0" w:color="auto"/>
            </w:tcBorders>
            <w:vAlign w:val="center"/>
          </w:tcPr>
          <w:p w:rsidR="0095017B" w:rsidRPr="00AB542B" w:rsidRDefault="0095017B" w:rsidP="006A65C9">
            <w:pPr>
              <w:pStyle w:val="Tabletext"/>
              <w:jc w:val="center"/>
              <w:rPr>
                <w:szCs w:val="20"/>
              </w:rPr>
            </w:pPr>
            <w:r w:rsidRPr="00AB542B">
              <w:rPr>
                <w:szCs w:val="20"/>
              </w:rPr>
              <w:t>112</w:t>
            </w:r>
          </w:p>
        </w:tc>
        <w:tc>
          <w:tcPr>
            <w:tcW w:w="800" w:type="dxa"/>
            <w:tcBorders>
              <w:top w:val="single" w:sz="4" w:space="0" w:color="auto"/>
            </w:tcBorders>
            <w:vAlign w:val="center"/>
          </w:tcPr>
          <w:p w:rsidR="0095017B" w:rsidRPr="00AB542B" w:rsidRDefault="0095017B" w:rsidP="006A65C9">
            <w:pPr>
              <w:pStyle w:val="Tabletext"/>
              <w:jc w:val="center"/>
              <w:rPr>
                <w:szCs w:val="20"/>
              </w:rPr>
            </w:pPr>
            <w:r w:rsidRPr="00AB542B">
              <w:rPr>
                <w:szCs w:val="20"/>
              </w:rPr>
              <w:t>5</w:t>
            </w:r>
          </w:p>
        </w:tc>
        <w:tc>
          <w:tcPr>
            <w:tcW w:w="2385" w:type="dxa"/>
            <w:tcBorders>
              <w:top w:val="single" w:sz="4" w:space="0" w:color="auto"/>
            </w:tcBorders>
            <w:vAlign w:val="center"/>
          </w:tcPr>
          <w:p w:rsidR="0095017B" w:rsidRPr="00AB542B" w:rsidRDefault="00605170" w:rsidP="006A65C9">
            <w:pPr>
              <w:pStyle w:val="Tabletext"/>
              <w:jc w:val="center"/>
              <w:rPr>
                <w:szCs w:val="20"/>
              </w:rPr>
            </w:pPr>
            <w:r>
              <w:rPr>
                <w:szCs w:val="20"/>
              </w:rPr>
              <w:t xml:space="preserve">Published: </w:t>
            </w:r>
            <w:r w:rsidR="0095017B" w:rsidRPr="00AB542B">
              <w:rPr>
                <w:szCs w:val="20"/>
              </w:rPr>
              <w:t>AEMP: $4,123.90</w:t>
            </w:r>
          </w:p>
          <w:p w:rsidR="0095017B" w:rsidRPr="00AB542B" w:rsidRDefault="00605170" w:rsidP="006A65C9">
            <w:pPr>
              <w:pStyle w:val="Tabletext"/>
              <w:jc w:val="center"/>
              <w:rPr>
                <w:szCs w:val="20"/>
              </w:rPr>
            </w:pPr>
            <w:r>
              <w:rPr>
                <w:szCs w:val="20"/>
              </w:rPr>
              <w:t xml:space="preserve">                  </w:t>
            </w:r>
            <w:r w:rsidR="0095017B" w:rsidRPr="00AB542B">
              <w:rPr>
                <w:szCs w:val="20"/>
              </w:rPr>
              <w:t>DPMQ: $4,285.06</w:t>
            </w:r>
          </w:p>
          <w:p w:rsidR="0095017B" w:rsidRPr="00AB542B" w:rsidRDefault="0095017B" w:rsidP="006A65C9">
            <w:pPr>
              <w:pStyle w:val="Tabletext"/>
              <w:jc w:val="center"/>
              <w:rPr>
                <w:szCs w:val="20"/>
              </w:rPr>
            </w:pPr>
          </w:p>
          <w:p w:rsidR="0095017B" w:rsidRPr="00AB542B" w:rsidRDefault="00605170" w:rsidP="006A65C9">
            <w:pPr>
              <w:pStyle w:val="Tabletext"/>
              <w:jc w:val="center"/>
              <w:rPr>
                <w:szCs w:val="20"/>
              </w:rPr>
            </w:pPr>
            <w:r>
              <w:rPr>
                <w:szCs w:val="20"/>
              </w:rPr>
              <w:t xml:space="preserve">Effective: </w:t>
            </w:r>
            <w:r w:rsidR="0095017B" w:rsidRPr="00AB542B">
              <w:rPr>
                <w:szCs w:val="20"/>
              </w:rPr>
              <w:t>AEMP: $</w:t>
            </w:r>
            <w:r w:rsidR="006C3115">
              <w:rPr>
                <w:noProof/>
                <w:color w:val="000000"/>
                <w:szCs w:val="20"/>
                <w:highlight w:val="black"/>
              </w:rPr>
              <w:t>''''''''''''''''''''''</w:t>
            </w:r>
          </w:p>
          <w:p w:rsidR="0095017B" w:rsidRPr="00AB542B" w:rsidRDefault="00605170" w:rsidP="006A65C9">
            <w:pPr>
              <w:pStyle w:val="Tabletext"/>
              <w:jc w:val="center"/>
              <w:rPr>
                <w:szCs w:val="20"/>
              </w:rPr>
            </w:pPr>
            <w:r>
              <w:rPr>
                <w:szCs w:val="20"/>
              </w:rPr>
              <w:t xml:space="preserve">                </w:t>
            </w:r>
            <w:r w:rsidR="0095017B" w:rsidRPr="00AB542B">
              <w:rPr>
                <w:szCs w:val="20"/>
              </w:rPr>
              <w:t>DPMQ: $</w:t>
            </w:r>
            <w:r w:rsidR="006C3115">
              <w:rPr>
                <w:noProof/>
                <w:color w:val="000000"/>
                <w:szCs w:val="20"/>
                <w:highlight w:val="black"/>
              </w:rPr>
              <w:t>'''''''''''''''''''''''</w:t>
            </w:r>
          </w:p>
        </w:tc>
        <w:tc>
          <w:tcPr>
            <w:tcW w:w="1693" w:type="dxa"/>
            <w:tcBorders>
              <w:top w:val="single" w:sz="4" w:space="0" w:color="auto"/>
            </w:tcBorders>
            <w:vAlign w:val="center"/>
          </w:tcPr>
          <w:p w:rsidR="0095017B" w:rsidRPr="00AB542B" w:rsidRDefault="0095017B" w:rsidP="006A65C9">
            <w:pPr>
              <w:pStyle w:val="Tabletext"/>
              <w:rPr>
                <w:szCs w:val="20"/>
              </w:rPr>
            </w:pPr>
            <w:r w:rsidRPr="00AB542B">
              <w:rPr>
                <w:szCs w:val="20"/>
              </w:rPr>
              <w:t>N</w:t>
            </w:r>
            <w:r w:rsidR="00B73D21">
              <w:rPr>
                <w:szCs w:val="20"/>
              </w:rPr>
              <w:t>ubeqa</w:t>
            </w:r>
            <w:r w:rsidRPr="00AB542B">
              <w:rPr>
                <w:szCs w:val="20"/>
              </w:rPr>
              <w:t>, Bayer</w:t>
            </w:r>
          </w:p>
        </w:tc>
      </w:tr>
    </w:tbl>
    <w:p w:rsidR="0095017B" w:rsidRDefault="0095017B" w:rsidP="006A65C9">
      <w:pPr>
        <w:rPr>
          <w:b/>
        </w:rPr>
      </w:pPr>
    </w:p>
    <w:p w:rsidR="00EF0FAD" w:rsidRDefault="00EF0FAD">
      <w:r>
        <w:br w:type="page"/>
      </w:r>
    </w:p>
    <w:tbl>
      <w:tblPr>
        <w:tblW w:w="9044" w:type="dxa"/>
        <w:tblInd w:w="-5" w:type="dxa"/>
        <w:tblLayout w:type="fixed"/>
        <w:tblLook w:val="0000" w:firstRow="0" w:lastRow="0" w:firstColumn="0" w:lastColumn="0" w:noHBand="0" w:noVBand="0"/>
      </w:tblPr>
      <w:tblGrid>
        <w:gridCol w:w="1701"/>
        <w:gridCol w:w="7343"/>
      </w:tblGrid>
      <w:tr w:rsidR="0095017B" w:rsidRPr="00AB5A3D" w:rsidTr="003534C4">
        <w:trPr>
          <w:cantSplit/>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5017B" w:rsidRPr="00AB5A3D" w:rsidRDefault="0095017B" w:rsidP="006A65C9">
            <w:pPr>
              <w:pStyle w:val="Tabletext"/>
              <w:keepNext/>
              <w:rPr>
                <w:b/>
              </w:rPr>
            </w:pPr>
            <w:r w:rsidRPr="00AB5A3D">
              <w:rPr>
                <w:rFonts w:eastAsia="Calibri"/>
                <w:b/>
                <w:szCs w:val="20"/>
              </w:rPr>
              <w:lastRenderedPageBreak/>
              <w:t>Prescriber type:</w:t>
            </w:r>
          </w:p>
        </w:tc>
        <w:tc>
          <w:tcPr>
            <w:tcW w:w="7343" w:type="dxa"/>
            <w:tcBorders>
              <w:top w:val="single" w:sz="4" w:space="0" w:color="auto"/>
              <w:left w:val="single" w:sz="4" w:space="0" w:color="auto"/>
              <w:bottom w:val="single" w:sz="4" w:space="0" w:color="auto"/>
              <w:right w:val="single" w:sz="4" w:space="0" w:color="auto"/>
            </w:tcBorders>
            <w:shd w:val="clear" w:color="auto" w:fill="auto"/>
            <w:vAlign w:val="center"/>
          </w:tcPr>
          <w:p w:rsidR="0095017B" w:rsidRPr="00AB5A3D" w:rsidRDefault="0095017B" w:rsidP="003534C4">
            <w:pPr>
              <w:pStyle w:val="Tabletext"/>
              <w:keepNext/>
            </w:pPr>
            <w:r w:rsidRPr="00AB5A3D">
              <w:fldChar w:fldCharType="begin">
                <w:ffData>
                  <w:name w:val=""/>
                  <w:enabled/>
                  <w:calcOnExit w:val="0"/>
                  <w:checkBox>
                    <w:sizeAuto/>
                    <w:default w:val="1"/>
                  </w:checkBox>
                </w:ffData>
              </w:fldChar>
            </w:r>
            <w:r w:rsidRPr="00AB5A3D">
              <w:instrText xml:space="preserve"> FORMCHECKBOX </w:instrText>
            </w:r>
            <w:r w:rsidR="00A431CB">
              <w:fldChar w:fldCharType="separate"/>
            </w:r>
            <w:r w:rsidRPr="00AB5A3D">
              <w:fldChar w:fldCharType="end"/>
            </w:r>
            <w:r w:rsidRPr="00AB5A3D">
              <w:t xml:space="preserve">Medical Practitioners  </w:t>
            </w:r>
          </w:p>
        </w:tc>
      </w:tr>
      <w:tr w:rsidR="0095017B" w:rsidRPr="00AB5A3D" w:rsidTr="003534C4">
        <w:trPr>
          <w:cantSplit/>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5017B" w:rsidRPr="00AB5A3D" w:rsidRDefault="0095017B" w:rsidP="006A65C9">
            <w:pPr>
              <w:pStyle w:val="Tabletext"/>
              <w:keepNext/>
              <w:rPr>
                <w:b/>
              </w:rPr>
            </w:pPr>
            <w:r w:rsidRPr="00AB5A3D">
              <w:rPr>
                <w:rFonts w:eastAsia="Calibri"/>
                <w:b/>
                <w:szCs w:val="20"/>
              </w:rPr>
              <w:t>PBS indication:</w:t>
            </w:r>
          </w:p>
        </w:tc>
        <w:tc>
          <w:tcPr>
            <w:tcW w:w="7343" w:type="dxa"/>
            <w:tcBorders>
              <w:top w:val="single" w:sz="4" w:space="0" w:color="auto"/>
              <w:left w:val="single" w:sz="4" w:space="0" w:color="auto"/>
              <w:bottom w:val="single" w:sz="4" w:space="0" w:color="auto"/>
              <w:right w:val="single" w:sz="4" w:space="0" w:color="auto"/>
            </w:tcBorders>
            <w:shd w:val="clear" w:color="auto" w:fill="auto"/>
            <w:vAlign w:val="center"/>
          </w:tcPr>
          <w:p w:rsidR="0095017B" w:rsidRPr="00AB5A3D" w:rsidRDefault="0095017B" w:rsidP="006A65C9">
            <w:pPr>
              <w:pStyle w:val="Tabletext"/>
              <w:keepNext/>
            </w:pPr>
            <w:r w:rsidRPr="00AB5A3D">
              <w:rPr>
                <w:rFonts w:eastAsia="Calibri"/>
                <w:szCs w:val="20"/>
              </w:rPr>
              <w:t>Castration resistant carcinoma of the prostate</w:t>
            </w:r>
          </w:p>
        </w:tc>
      </w:tr>
      <w:tr w:rsidR="0095017B" w:rsidRPr="00AB5A3D" w:rsidTr="003534C4">
        <w:trPr>
          <w:cantSplit/>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5017B" w:rsidRPr="00AB5A3D" w:rsidRDefault="0095017B" w:rsidP="006A65C9">
            <w:pPr>
              <w:pStyle w:val="Tabletext"/>
              <w:keepNext/>
              <w:rPr>
                <w:b/>
              </w:rPr>
            </w:pPr>
            <w:r>
              <w:rPr>
                <w:b/>
              </w:rPr>
              <w:t>Restriction</w:t>
            </w:r>
            <w:r w:rsidR="0065044A">
              <w:rPr>
                <w:b/>
              </w:rPr>
              <w:t xml:space="preserve"> type</w:t>
            </w:r>
            <w:r>
              <w:rPr>
                <w:b/>
              </w:rPr>
              <w:t>:</w:t>
            </w:r>
          </w:p>
        </w:tc>
        <w:tc>
          <w:tcPr>
            <w:tcW w:w="7343" w:type="dxa"/>
            <w:tcBorders>
              <w:top w:val="single" w:sz="4" w:space="0" w:color="auto"/>
              <w:left w:val="single" w:sz="4" w:space="0" w:color="auto"/>
              <w:bottom w:val="single" w:sz="4" w:space="0" w:color="auto"/>
              <w:right w:val="single" w:sz="4" w:space="0" w:color="auto"/>
            </w:tcBorders>
            <w:shd w:val="clear" w:color="auto" w:fill="auto"/>
          </w:tcPr>
          <w:p w:rsidR="0095017B" w:rsidRPr="00AB5A3D" w:rsidRDefault="0095017B" w:rsidP="003534C4">
            <w:pPr>
              <w:pStyle w:val="TableText0"/>
            </w:pPr>
            <w:r w:rsidRPr="00AB5A3D">
              <w:fldChar w:fldCharType="begin">
                <w:ffData>
                  <w:name w:val=""/>
                  <w:enabled/>
                  <w:calcOnExit w:val="0"/>
                  <w:checkBox>
                    <w:sizeAuto/>
                    <w:default w:val="1"/>
                  </w:checkBox>
                </w:ffData>
              </w:fldChar>
            </w:r>
            <w:r w:rsidRPr="00AB5A3D">
              <w:instrText xml:space="preserve"> FORMCHECKBOX </w:instrText>
            </w:r>
            <w:r w:rsidR="00A431CB">
              <w:fldChar w:fldCharType="separate"/>
            </w:r>
            <w:r w:rsidRPr="00AB5A3D">
              <w:fldChar w:fldCharType="end"/>
            </w:r>
            <w:r w:rsidRPr="00AB5A3D">
              <w:t>Authority R</w:t>
            </w:r>
            <w:r>
              <w:t xml:space="preserve">equired </w:t>
            </w:r>
            <w:r w:rsidR="003534C4">
              <w:t>(immediate/real-time assessment by Services Australia)</w:t>
            </w:r>
          </w:p>
        </w:tc>
      </w:tr>
      <w:tr w:rsidR="0065044A" w:rsidRPr="00AB5A3D" w:rsidTr="003534C4">
        <w:trPr>
          <w:cantSplit/>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5044A" w:rsidRDefault="0065044A" w:rsidP="0065044A">
            <w:pPr>
              <w:pStyle w:val="Tabletext"/>
              <w:keepNext/>
              <w:rPr>
                <w:b/>
              </w:rPr>
            </w:pPr>
            <w:r w:rsidRPr="00AB5A3D">
              <w:rPr>
                <w:b/>
              </w:rPr>
              <w:t>Treatment phase:</w:t>
            </w:r>
          </w:p>
        </w:tc>
        <w:tc>
          <w:tcPr>
            <w:tcW w:w="7343" w:type="dxa"/>
            <w:tcBorders>
              <w:top w:val="single" w:sz="4" w:space="0" w:color="auto"/>
              <w:left w:val="single" w:sz="4" w:space="0" w:color="auto"/>
              <w:bottom w:val="single" w:sz="4" w:space="0" w:color="auto"/>
              <w:right w:val="single" w:sz="4" w:space="0" w:color="auto"/>
            </w:tcBorders>
            <w:shd w:val="clear" w:color="auto" w:fill="auto"/>
          </w:tcPr>
          <w:p w:rsidR="0065044A" w:rsidRPr="00AB5A3D" w:rsidRDefault="0065044A" w:rsidP="0065044A">
            <w:pPr>
              <w:pStyle w:val="TableText0"/>
            </w:pPr>
            <w:r w:rsidRPr="00AB5A3D">
              <w:t>Initial</w:t>
            </w:r>
          </w:p>
        </w:tc>
      </w:tr>
      <w:tr w:rsidR="0065044A" w:rsidRPr="00AB5A3D" w:rsidTr="003534C4">
        <w:trPr>
          <w:cantSplit/>
        </w:trPr>
        <w:tc>
          <w:tcPr>
            <w:tcW w:w="90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044A" w:rsidRPr="00AB5A3D" w:rsidRDefault="0065044A" w:rsidP="0065044A">
            <w:pPr>
              <w:pStyle w:val="Tabletext"/>
              <w:rPr>
                <w:i/>
              </w:rPr>
            </w:pPr>
            <w:r w:rsidRPr="00AB5A3D">
              <w:rPr>
                <w:b/>
              </w:rPr>
              <w:t>Clinical criteria:</w:t>
            </w:r>
          </w:p>
          <w:p w:rsidR="0065044A" w:rsidRPr="00AB5A3D" w:rsidRDefault="0065044A" w:rsidP="0065044A">
            <w:pPr>
              <w:pStyle w:val="TableText0"/>
            </w:pPr>
            <w:r w:rsidRPr="00AB5A3D">
              <w:t>Patient must not have distant metastasis on conventional imaging</w:t>
            </w:r>
          </w:p>
          <w:p w:rsidR="0065044A" w:rsidRPr="00AB5A3D" w:rsidRDefault="0065044A" w:rsidP="0065044A">
            <w:pPr>
              <w:pStyle w:val="TableText0"/>
            </w:pPr>
            <w:r w:rsidRPr="00AB5A3D">
              <w:t>AND</w:t>
            </w:r>
          </w:p>
          <w:p w:rsidR="0065044A" w:rsidRPr="00AB5A3D" w:rsidRDefault="0065044A" w:rsidP="0065044A">
            <w:pPr>
              <w:pStyle w:val="TableText0"/>
            </w:pPr>
            <w:r w:rsidRPr="00AB5A3D">
              <w:t>Treatment must be used in combination with androgen deprivation therapy</w:t>
            </w:r>
          </w:p>
          <w:p w:rsidR="0065044A" w:rsidRPr="00AB5A3D" w:rsidRDefault="0065044A" w:rsidP="0065044A">
            <w:pPr>
              <w:pStyle w:val="TableText0"/>
            </w:pPr>
            <w:r w:rsidRPr="00AB5A3D">
              <w:t>AND</w:t>
            </w:r>
          </w:p>
          <w:p w:rsidR="0065044A" w:rsidRPr="00AB5A3D" w:rsidRDefault="0065044A" w:rsidP="0065044A">
            <w:pPr>
              <w:pStyle w:val="TableText0"/>
            </w:pPr>
            <w:r w:rsidRPr="00AB5A3D">
              <w:t>Patient must have a PSA doubling time of 10 months or less</w:t>
            </w:r>
          </w:p>
          <w:p w:rsidR="0065044A" w:rsidRPr="00AB5A3D" w:rsidRDefault="0065044A" w:rsidP="0065044A">
            <w:pPr>
              <w:pStyle w:val="TableText0"/>
            </w:pPr>
            <w:r w:rsidRPr="00AB5A3D">
              <w:t>AND</w:t>
            </w:r>
          </w:p>
          <w:p w:rsidR="0065044A" w:rsidRPr="00AB5A3D" w:rsidRDefault="0065044A" w:rsidP="0065044A">
            <w:pPr>
              <w:pStyle w:val="TableText0"/>
            </w:pPr>
            <w:r w:rsidRPr="00AB5A3D">
              <w:t>Patient must have a WHO performance score of 0 or 1</w:t>
            </w:r>
          </w:p>
          <w:p w:rsidR="0065044A" w:rsidRPr="00AB5A3D" w:rsidRDefault="0065044A" w:rsidP="0065044A">
            <w:pPr>
              <w:pStyle w:val="TableText0"/>
            </w:pPr>
            <w:r w:rsidRPr="00AB5A3D">
              <w:t>AND</w:t>
            </w:r>
          </w:p>
          <w:p w:rsidR="0065044A" w:rsidRPr="00AB5A3D" w:rsidRDefault="0065044A" w:rsidP="0065044A">
            <w:pPr>
              <w:pStyle w:val="Tabletext"/>
            </w:pPr>
            <w:r w:rsidRPr="00AB5A3D">
              <w:t>Patients who have progressive disease while on this drug are no longer eligible for PBS-subsidised treatment with this drug</w:t>
            </w:r>
          </w:p>
        </w:tc>
      </w:tr>
      <w:tr w:rsidR="0065044A" w:rsidRPr="00AB5A3D" w:rsidTr="003534C4">
        <w:trPr>
          <w:cantSplit/>
        </w:trPr>
        <w:tc>
          <w:tcPr>
            <w:tcW w:w="90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044A" w:rsidRPr="00AB5A3D" w:rsidRDefault="0065044A" w:rsidP="0065044A">
            <w:pPr>
              <w:pStyle w:val="Tabletext"/>
              <w:rPr>
                <w:b/>
              </w:rPr>
            </w:pPr>
            <w:r w:rsidRPr="00AB5A3D">
              <w:rPr>
                <w:b/>
              </w:rPr>
              <w:t>Prescriber Instructions:</w:t>
            </w:r>
          </w:p>
          <w:p w:rsidR="0065044A" w:rsidRPr="00AB5A3D" w:rsidRDefault="0065044A" w:rsidP="0065044A">
            <w:pPr>
              <w:pStyle w:val="Tabletext"/>
              <w:rPr>
                <w:b/>
              </w:rPr>
            </w:pPr>
            <w:r w:rsidRPr="00AB5A3D">
              <w:rPr>
                <w:szCs w:val="20"/>
              </w:rPr>
              <w:t>The PSA doubling time must have been calculated using at least three PSA values obtained during androgen deprivation therapy</w:t>
            </w:r>
          </w:p>
        </w:tc>
      </w:tr>
      <w:tr w:rsidR="0065044A" w:rsidRPr="00AB5A3D" w:rsidTr="003534C4">
        <w:trPr>
          <w:cantSplit/>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5044A" w:rsidRPr="00AB5A3D" w:rsidRDefault="0065044A" w:rsidP="0065044A">
            <w:pPr>
              <w:pStyle w:val="Tabletext"/>
              <w:rPr>
                <w:b/>
              </w:rPr>
            </w:pPr>
            <w:r w:rsidRPr="00AB5A3D">
              <w:rPr>
                <w:b/>
              </w:rPr>
              <w:t>Treatment phase:</w:t>
            </w:r>
          </w:p>
        </w:tc>
        <w:tc>
          <w:tcPr>
            <w:tcW w:w="7343" w:type="dxa"/>
            <w:tcBorders>
              <w:top w:val="single" w:sz="4" w:space="0" w:color="auto"/>
              <w:left w:val="single" w:sz="4" w:space="0" w:color="auto"/>
              <w:bottom w:val="single" w:sz="4" w:space="0" w:color="auto"/>
              <w:right w:val="single" w:sz="4" w:space="0" w:color="auto"/>
            </w:tcBorders>
            <w:shd w:val="clear" w:color="auto" w:fill="auto"/>
          </w:tcPr>
          <w:p w:rsidR="0065044A" w:rsidRPr="00AB5A3D" w:rsidRDefault="0065044A" w:rsidP="0065044A">
            <w:pPr>
              <w:pStyle w:val="Tabletext"/>
            </w:pPr>
            <w:r w:rsidRPr="00AB5A3D">
              <w:t>Continuing</w:t>
            </w:r>
          </w:p>
        </w:tc>
      </w:tr>
      <w:tr w:rsidR="0065044A" w:rsidRPr="00AB5A3D" w:rsidTr="003534C4">
        <w:trPr>
          <w:cantSplit/>
        </w:trPr>
        <w:tc>
          <w:tcPr>
            <w:tcW w:w="90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044A" w:rsidRPr="00AB5A3D" w:rsidRDefault="0065044A" w:rsidP="0065044A">
            <w:pPr>
              <w:pStyle w:val="Tabletext"/>
              <w:rPr>
                <w:b/>
              </w:rPr>
            </w:pPr>
            <w:r w:rsidRPr="00AB5A3D">
              <w:rPr>
                <w:b/>
              </w:rPr>
              <w:t>Clinical criteria:</w:t>
            </w:r>
          </w:p>
          <w:p w:rsidR="0065044A" w:rsidRPr="00AB5A3D" w:rsidRDefault="0065044A" w:rsidP="0065044A">
            <w:pPr>
              <w:pStyle w:val="TableText0"/>
            </w:pPr>
            <w:r w:rsidRPr="00AB5A3D">
              <w:t>Patient must have previously received PBS-subsidised treatment with this drug for this condition</w:t>
            </w:r>
          </w:p>
          <w:p w:rsidR="0065044A" w:rsidRPr="00AB5A3D" w:rsidRDefault="0065044A" w:rsidP="0065044A">
            <w:pPr>
              <w:pStyle w:val="TableText0"/>
            </w:pPr>
            <w:r w:rsidRPr="00AB5A3D">
              <w:t>AND</w:t>
            </w:r>
          </w:p>
          <w:p w:rsidR="0065044A" w:rsidRPr="00AB5A3D" w:rsidRDefault="0065044A" w:rsidP="0065044A">
            <w:pPr>
              <w:pStyle w:val="TableText0"/>
            </w:pPr>
            <w:r w:rsidRPr="00AB5A3D">
              <w:t>Treatment must be used in combination with androgen deprivation therapy</w:t>
            </w:r>
          </w:p>
          <w:p w:rsidR="0065044A" w:rsidRPr="00AB5A3D" w:rsidRDefault="0065044A" w:rsidP="0065044A">
            <w:pPr>
              <w:pStyle w:val="TableText0"/>
            </w:pPr>
            <w:r w:rsidRPr="00AB5A3D">
              <w:t>AND</w:t>
            </w:r>
          </w:p>
          <w:p w:rsidR="0065044A" w:rsidRPr="00AB5A3D" w:rsidRDefault="0065044A" w:rsidP="0065044A">
            <w:pPr>
              <w:pStyle w:val="Tabletext"/>
            </w:pPr>
            <w:r w:rsidRPr="00AB5A3D">
              <w:t>Patients who have progressive disease while on this drug are no longer eligible for PBS-subsidised treatment with this drug</w:t>
            </w:r>
          </w:p>
        </w:tc>
      </w:tr>
      <w:tr w:rsidR="0065044A" w:rsidTr="003534C4">
        <w:trPr>
          <w:cantSplit/>
        </w:trPr>
        <w:tc>
          <w:tcPr>
            <w:tcW w:w="90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044A" w:rsidRPr="00AB5A3D" w:rsidRDefault="0065044A" w:rsidP="0065044A">
            <w:pPr>
              <w:pStyle w:val="Tabletext"/>
              <w:rPr>
                <w:b/>
              </w:rPr>
            </w:pPr>
            <w:r w:rsidRPr="00AB5A3D">
              <w:rPr>
                <w:b/>
              </w:rPr>
              <w:t>Administrative Advice:</w:t>
            </w:r>
          </w:p>
          <w:p w:rsidR="0065044A" w:rsidRPr="00AB5A3D" w:rsidRDefault="0065044A" w:rsidP="0065044A">
            <w:pPr>
              <w:pStyle w:val="Tabletext"/>
              <w:keepNext/>
            </w:pPr>
            <w:r w:rsidRPr="00AB5A3D">
              <w:t>Special Pricing Arrangements apply</w:t>
            </w:r>
          </w:p>
          <w:p w:rsidR="0065044A" w:rsidRPr="00AB5A3D" w:rsidRDefault="0065044A" w:rsidP="0065044A">
            <w:pPr>
              <w:pStyle w:val="Tabletext"/>
              <w:keepNext/>
            </w:pPr>
            <w:r w:rsidRPr="00AB5A3D">
              <w:t>No increase in the maximum quantity or number of units may be authorised</w:t>
            </w:r>
          </w:p>
          <w:p w:rsidR="0065044A" w:rsidRDefault="0065044A" w:rsidP="0065044A">
            <w:pPr>
              <w:pStyle w:val="Tabletext"/>
            </w:pPr>
            <w:r w:rsidRPr="00AB5A3D">
              <w:rPr>
                <w:szCs w:val="20"/>
              </w:rPr>
              <w:t>No increase in the maximum number of repeats may be authorised</w:t>
            </w:r>
          </w:p>
        </w:tc>
      </w:tr>
    </w:tbl>
    <w:p w:rsidR="0095017B" w:rsidRPr="0095017B" w:rsidRDefault="0095017B" w:rsidP="006A65C9">
      <w:pPr>
        <w:rPr>
          <w:b/>
        </w:rPr>
      </w:pPr>
    </w:p>
    <w:p w:rsidR="00605170" w:rsidRPr="00B23471" w:rsidRDefault="00605170" w:rsidP="006A65C9">
      <w:pPr>
        <w:pStyle w:val="3-BodyText"/>
      </w:pPr>
      <w:r w:rsidRPr="00470FAC">
        <w:t xml:space="preserve">The resubmission proposed an effective </w:t>
      </w:r>
      <w:r w:rsidR="00182515" w:rsidRPr="00470FAC">
        <w:t>approved ex-manufacturer price (</w:t>
      </w:r>
      <w:r w:rsidRPr="00470FAC">
        <w:t>AEMP</w:t>
      </w:r>
      <w:r w:rsidR="00182515" w:rsidRPr="00470FAC">
        <w:t>)</w:t>
      </w:r>
      <w:r w:rsidRPr="00470FAC">
        <w:t xml:space="preserve"> of $</w:t>
      </w:r>
      <w:r w:rsidR="006C3115">
        <w:rPr>
          <w:noProof/>
          <w:color w:val="000000"/>
          <w:highlight w:val="black"/>
        </w:rPr>
        <w:t>'''''''''''''''''</w:t>
      </w:r>
      <w:r w:rsidRPr="00470FAC">
        <w:t>, which was a 25% reduction from the July 2020 proposed AEMP of $</w:t>
      </w:r>
      <w:r w:rsidR="006C3115">
        <w:rPr>
          <w:noProof/>
          <w:color w:val="000000"/>
          <w:highlight w:val="black"/>
        </w:rPr>
        <w:t>''''''''''''''''''</w:t>
      </w:r>
      <w:r w:rsidRPr="00B23471">
        <w:t xml:space="preserve">. </w:t>
      </w:r>
      <w:r w:rsidR="006F5A27" w:rsidRPr="00B23471">
        <w:t>The pre-PBAC response offered a further 14% price reduction, resulting in an AEMP of $</w:t>
      </w:r>
      <w:r w:rsidR="006C3115">
        <w:rPr>
          <w:noProof/>
          <w:color w:val="000000"/>
          <w:highlight w:val="black"/>
        </w:rPr>
        <w:t>''''''''''''''''''</w:t>
      </w:r>
      <w:r w:rsidR="006F5A27" w:rsidRPr="00B23471">
        <w:t>.</w:t>
      </w:r>
    </w:p>
    <w:p w:rsidR="00605170" w:rsidRPr="00470FAC" w:rsidRDefault="00605170" w:rsidP="004E18E9">
      <w:pPr>
        <w:pStyle w:val="3-BodyText"/>
        <w:rPr>
          <w:color w:val="0066FF"/>
        </w:rPr>
      </w:pPr>
      <w:r w:rsidRPr="00470FAC">
        <w:t>The proposed initial and continuing restrictions w</w:t>
      </w:r>
      <w:r w:rsidR="003534C4">
        <w:t>ere</w:t>
      </w:r>
      <w:r w:rsidRPr="00470FAC">
        <w:t xml:space="preserve"> unchanged from July 2020. </w:t>
      </w:r>
    </w:p>
    <w:p w:rsidR="00D6034C" w:rsidRPr="00D6034C" w:rsidRDefault="00D6034C" w:rsidP="006C6BBB">
      <w:pPr>
        <w:pStyle w:val="3-BodyText"/>
      </w:pPr>
      <w:r>
        <w:t xml:space="preserve">The PBAC </w:t>
      </w:r>
      <w:r w:rsidR="005F70BE">
        <w:t>noted that the proposed restriction included the criteri</w:t>
      </w:r>
      <w:r w:rsidR="00903E8E">
        <w:t>on</w:t>
      </w:r>
      <w:r w:rsidR="005F70BE">
        <w:t xml:space="preserve"> ‘Patient must not have distant metastases on conventional imaging’</w:t>
      </w:r>
      <w:r w:rsidR="0012416D">
        <w:t>, and that this was consistent with its recommendation for apalutamide for the same indication at the November 2020 meeting on the basis that it aligned the PBS population with the trial population</w:t>
      </w:r>
      <w:r w:rsidR="001007EE">
        <w:t xml:space="preserve"> (paragraph 3.5, apalutamide </w:t>
      </w:r>
      <w:r w:rsidR="00EF0FAD">
        <w:t>Public Summary Document (</w:t>
      </w:r>
      <w:r w:rsidR="001007EE">
        <w:t>PSD, November 2020)</w:t>
      </w:r>
      <w:r w:rsidR="0012416D">
        <w:rPr>
          <w:rStyle w:val="CommentReference"/>
          <w:rFonts w:cs="Times New Roman"/>
          <w:snapToGrid/>
        </w:rPr>
        <w:t>.</w:t>
      </w:r>
      <w:r w:rsidR="0012416D">
        <w:t xml:space="preserve"> However, noting the increasing use of more sensitive </w:t>
      </w:r>
      <w:r w:rsidR="00CE38B4">
        <w:t>prostate-specific membrane antigen (</w:t>
      </w:r>
      <w:r w:rsidR="00CE38B4" w:rsidRPr="008D0CDA">
        <w:t>PSMA</w:t>
      </w:r>
      <w:r w:rsidR="00CE38B4">
        <w:t xml:space="preserve">) </w:t>
      </w:r>
      <w:r w:rsidR="00CE38B4" w:rsidRPr="008D0CDA">
        <w:t>PET sc</w:t>
      </w:r>
      <w:r w:rsidR="00382DEB">
        <w:t>ann</w:t>
      </w:r>
      <w:r w:rsidR="00CE38B4" w:rsidRPr="008D0CDA">
        <w:t>ing</w:t>
      </w:r>
      <w:r w:rsidR="00CE38B4">
        <w:t xml:space="preserve"> </w:t>
      </w:r>
      <w:r w:rsidR="0012416D">
        <w:t>for</w:t>
      </w:r>
      <w:r w:rsidR="00CE38B4">
        <w:t xml:space="preserve"> staging CRPC</w:t>
      </w:r>
      <w:r w:rsidR="00903E8E">
        <w:t>,</w:t>
      </w:r>
      <w:r w:rsidR="0012416D">
        <w:t xml:space="preserve"> and hence the broader population </w:t>
      </w:r>
      <w:r w:rsidR="00903E8E">
        <w:t>classified</w:t>
      </w:r>
      <w:r w:rsidR="0012416D">
        <w:t xml:space="preserve"> as having distant metastases, including </w:t>
      </w:r>
      <w:r w:rsidR="00E86152">
        <w:t xml:space="preserve">a substantial proportion of </w:t>
      </w:r>
      <w:r w:rsidR="0012416D">
        <w:t xml:space="preserve">patients </w:t>
      </w:r>
      <w:r w:rsidR="00903E8E">
        <w:t>classified</w:t>
      </w:r>
      <w:r w:rsidR="0012416D">
        <w:t xml:space="preserve"> as m0CRPC on conventional imaging, the PBAC </w:t>
      </w:r>
      <w:r w:rsidR="003534C4">
        <w:t xml:space="preserve">reconsidered </w:t>
      </w:r>
      <w:r w:rsidR="0012416D">
        <w:t>that the clinical crite</w:t>
      </w:r>
      <w:r w:rsidR="00E86152">
        <w:t>rion requiring patients t</w:t>
      </w:r>
      <w:r w:rsidR="00903E8E">
        <w:t xml:space="preserve">o not have distant metastases </w:t>
      </w:r>
      <w:r w:rsidR="00E86152">
        <w:t>be</w:t>
      </w:r>
      <w:r w:rsidR="00F5377E">
        <w:t xml:space="preserve"> </w:t>
      </w:r>
      <w:r w:rsidR="003534C4">
        <w:t>omitted</w:t>
      </w:r>
      <w:r w:rsidR="00E86152">
        <w:t>.</w:t>
      </w:r>
      <w:r w:rsidR="0012416D">
        <w:t xml:space="preserve"> </w:t>
      </w:r>
      <w:r w:rsidR="00E86152">
        <w:t xml:space="preserve">Further support for removal of this criterion is that </w:t>
      </w:r>
      <w:r w:rsidR="006C6BBB" w:rsidRPr="00BF5D3B">
        <w:rPr>
          <w:bCs/>
        </w:rPr>
        <w:t>the majority of patients</w:t>
      </w:r>
      <w:r w:rsidR="00CB23B3">
        <w:t xml:space="preserve"> </w:t>
      </w:r>
      <w:r w:rsidR="00E86152">
        <w:t xml:space="preserve">with a </w:t>
      </w:r>
      <w:r w:rsidR="00E86152" w:rsidRPr="00AB5A3D">
        <w:t xml:space="preserve">PSA </w:t>
      </w:r>
      <w:r w:rsidR="00E86152" w:rsidRPr="00AB5A3D">
        <w:lastRenderedPageBreak/>
        <w:t>doubling time of 10 months or less</w:t>
      </w:r>
      <w:r w:rsidR="00E86152">
        <w:t xml:space="preserve"> are </w:t>
      </w:r>
      <w:r w:rsidR="00CE38B4" w:rsidRPr="00E86152">
        <w:rPr>
          <w:bCs/>
        </w:rPr>
        <w:t>likely be diagnosed with, or would soon progress to, metastatic castration resistant prostate cancer (mCRPC)</w:t>
      </w:r>
      <w:r w:rsidR="00CB23B3">
        <w:rPr>
          <w:bCs/>
        </w:rPr>
        <w:t xml:space="preserve"> </w:t>
      </w:r>
      <w:r w:rsidR="009E4A1D">
        <w:rPr>
          <w:bCs/>
        </w:rPr>
        <w:t>especially with the use of the more sensitive PSMA PET scans</w:t>
      </w:r>
      <w:r w:rsidR="00CE38B4" w:rsidRPr="00E86152">
        <w:rPr>
          <w:bCs/>
        </w:rPr>
        <w:t>.</w:t>
      </w:r>
      <w:r w:rsidR="00CE38B4" w:rsidRPr="008D0CDA">
        <w:t xml:space="preserve"> </w:t>
      </w:r>
    </w:p>
    <w:p w:rsidR="00D6034C" w:rsidRDefault="007532BA" w:rsidP="006C6BBB">
      <w:pPr>
        <w:pStyle w:val="3-BodyText"/>
      </w:pPr>
      <w:r>
        <w:t xml:space="preserve">The PBAC reiterated that treatment with a novel hormonal agent (NHA, i.e. darolutamide, enzalutamide or abiraterone) should be limited to one </w:t>
      </w:r>
      <w:r w:rsidR="00871470">
        <w:t xml:space="preserve">treatment course </w:t>
      </w:r>
      <w:r>
        <w:t xml:space="preserve">per lifetime. </w:t>
      </w:r>
    </w:p>
    <w:p w:rsidR="00B952B2" w:rsidRPr="00B23471" w:rsidRDefault="00B952B2" w:rsidP="00332767">
      <w:pPr>
        <w:pStyle w:val="3-BodyText"/>
      </w:pPr>
      <w:r w:rsidRPr="00470FAC">
        <w:t xml:space="preserve">In July 2020 the PBAC stated that the restriction should limit darolutamide use to patients with a </w:t>
      </w:r>
      <w:r w:rsidR="00182515" w:rsidRPr="00470FAC">
        <w:t>prostate-specific antigen (</w:t>
      </w:r>
      <w:r w:rsidRPr="00470FAC">
        <w:t>PSA</w:t>
      </w:r>
      <w:r w:rsidR="00182515" w:rsidRPr="00470FAC">
        <w:t>)</w:t>
      </w:r>
      <w:r w:rsidRPr="00470FAC">
        <w:t xml:space="preserve"> level of at least 2 ng/mL, noting that PSA doubling time was not always an indicator of risk, and as a PSA level of at least 2 ng/mL was an inclusion criteria of the ARAMIS trial. The PBAC </w:t>
      </w:r>
      <w:r w:rsidR="00FF5646">
        <w:t xml:space="preserve">previously </w:t>
      </w:r>
      <w:r w:rsidRPr="00470FAC">
        <w:t>considered that restricting treatment to patients with a PSA level of at least 2 ng/mL would help limit darolutamide use to higher risk patients who were more likely to benefit from treatment (paragraph 3.2, darolutamide PSD, July 2020). The resubmission stated that this clinical criteri</w:t>
      </w:r>
      <w:r w:rsidR="00332767" w:rsidRPr="00470FAC">
        <w:t>on</w:t>
      </w:r>
      <w:r w:rsidRPr="00470FAC">
        <w:t xml:space="preserve"> was not included in the proposed restriction as it was removed by the PBAC from the proposed restriction for apalutamide in July 2019.</w:t>
      </w:r>
      <w:r w:rsidRPr="00470FAC">
        <w:rPr>
          <w:color w:val="0066FF"/>
        </w:rPr>
        <w:t xml:space="preserve"> </w:t>
      </w:r>
      <w:r w:rsidR="0077616C" w:rsidRPr="00B23471">
        <w:t xml:space="preserve">The PBAC considered that </w:t>
      </w:r>
      <w:r w:rsidR="003534C4">
        <w:t xml:space="preserve">omission </w:t>
      </w:r>
      <w:r w:rsidR="00332767" w:rsidRPr="00B23471">
        <w:t>of this criterion</w:t>
      </w:r>
      <w:r w:rsidR="00601F05">
        <w:t xml:space="preserve"> </w:t>
      </w:r>
      <w:r w:rsidR="003534C4">
        <w:t xml:space="preserve">would not be consistent </w:t>
      </w:r>
      <w:r w:rsidR="000A10E6">
        <w:t>with the intent to limit subsidy to high risk patients</w:t>
      </w:r>
      <w:r w:rsidR="00332767" w:rsidRPr="00B23471">
        <w:t>.</w:t>
      </w:r>
    </w:p>
    <w:p w:rsidR="00B952B2" w:rsidRPr="001007EE" w:rsidRDefault="00B952B2" w:rsidP="001007EE">
      <w:pPr>
        <w:pStyle w:val="3-BodyText"/>
        <w:rPr>
          <w:color w:val="0066FF"/>
        </w:rPr>
      </w:pPr>
      <w:r w:rsidRPr="003E2C02">
        <w:t xml:space="preserve">The resubmission estimated that </w:t>
      </w:r>
      <w:r w:rsidR="00704191">
        <w:t>&lt; 500</w:t>
      </w:r>
      <w:r w:rsidR="00704191" w:rsidRPr="003E2C02">
        <w:t xml:space="preserve"> </w:t>
      </w:r>
      <w:r w:rsidRPr="003E2C02">
        <w:t>patients would receive therapy in the patient access program and would require</w:t>
      </w:r>
      <w:r w:rsidR="00601F05">
        <w:t xml:space="preserve"> </w:t>
      </w:r>
      <w:r w:rsidR="000A10E6">
        <w:t>transitioning arrangements</w:t>
      </w:r>
      <w:r w:rsidRPr="003E2C02">
        <w:t xml:space="preserve">. The July 2020 submission estimated there would be </w:t>
      </w:r>
      <w:r w:rsidR="00704191">
        <w:t xml:space="preserve">&lt; 500 </w:t>
      </w:r>
      <w:r w:rsidRPr="003E2C02">
        <w:t>grandfathered patients.</w:t>
      </w:r>
    </w:p>
    <w:p w:rsidR="006A65C9" w:rsidRPr="006A65C9" w:rsidRDefault="006A65C9" w:rsidP="006A65C9">
      <w:pPr>
        <w:pStyle w:val="3-BodyText"/>
        <w:numPr>
          <w:ilvl w:val="0"/>
          <w:numId w:val="0"/>
        </w:numPr>
        <w:ind w:left="720"/>
        <w:rPr>
          <w:i/>
          <w:color w:val="0066FF"/>
        </w:rPr>
      </w:pPr>
      <w:r w:rsidRPr="006A65C9">
        <w:rPr>
          <w:i/>
        </w:rPr>
        <w:t>For more detail on PBAC’s view, see section 7 PBAC outcome.</w:t>
      </w:r>
    </w:p>
    <w:p w:rsidR="00B50DB8" w:rsidRPr="00407F2D" w:rsidRDefault="00203181" w:rsidP="004E18E9">
      <w:pPr>
        <w:pStyle w:val="2-SectionHeading"/>
      </w:pPr>
      <w:bookmarkStart w:id="8" w:name="_Toc62023467"/>
      <w:r>
        <w:t xml:space="preserve">Population and </w:t>
      </w:r>
      <w:r w:rsidR="008E0D3C">
        <w:t>d</w:t>
      </w:r>
      <w:r>
        <w:t>isease</w:t>
      </w:r>
      <w:bookmarkEnd w:id="8"/>
    </w:p>
    <w:p w:rsidR="00DB4EDF" w:rsidRDefault="00DB4EDF" w:rsidP="00DB4EDF">
      <w:pPr>
        <w:pStyle w:val="3-BodyText"/>
        <w:widowControl w:val="0"/>
        <w:spacing w:before="120"/>
      </w:pPr>
      <w:r>
        <w:t>m0CRPC is a disease stage of prostate cancer where patients have rising levels of PSA but no radiographic evidence of distant metastatic disease. Patients with m0CRPC are classified into two groups based on PSA doubling time (PSADT) – patients with PSADT &gt; 10 months are at low risk while patients with a PSADT ≤ 10 months are classified as high risk.</w:t>
      </w:r>
    </w:p>
    <w:p w:rsidR="007627BE" w:rsidRPr="006A65C9" w:rsidRDefault="00DB4EDF" w:rsidP="00DB4EDF">
      <w:pPr>
        <w:pStyle w:val="3-BodyText"/>
        <w:rPr>
          <w:color w:val="0066FF"/>
        </w:rPr>
      </w:pPr>
      <w:r>
        <w:t xml:space="preserve">Patients with m0CRPC are currently managed with </w:t>
      </w:r>
      <w:r w:rsidR="00182515">
        <w:t>androgen deprivation therapy (</w:t>
      </w:r>
      <w:r>
        <w:t>ADT</w:t>
      </w:r>
      <w:r w:rsidR="00182515">
        <w:t>)</w:t>
      </w:r>
      <w:r>
        <w:t xml:space="preserve"> with possible use of secondary hormonal therapies. It is expected that approximately one-third of all patients with m0CRPC will develop metastases within two years, with more than half becoming metastatic within three years. Once metastases occur, the disease becomes incurable and median survival has been estimated to be 16 to 30 months. The submission noted that many patients will require the initiation of cytotoxic chemotherapy to delay the occurrence of further metastas</w:t>
      </w:r>
      <w:r w:rsidR="00871470">
        <w:t>e</w:t>
      </w:r>
      <w:r>
        <w:t>s, which can result in highly undesirable adverse events that further add to the treatment burden. The PBS listing of darolutamide was requested for treatment of patients at high risk of distant metastases with m0CRPC to delay the onset of metastatic disease, avoid the need for cytotoxic therapy and preserve patients’ quality of life</w:t>
      </w:r>
      <w:r w:rsidR="00182515">
        <w:t xml:space="preserve"> (QoL)</w:t>
      </w:r>
      <w:r>
        <w:t>, as well as improving patient overall survival</w:t>
      </w:r>
      <w:r w:rsidR="00182515">
        <w:t xml:space="preserve"> (OS)</w:t>
      </w:r>
      <w:r>
        <w:t>.</w:t>
      </w:r>
    </w:p>
    <w:p w:rsidR="006A65C9" w:rsidRPr="006A65C9" w:rsidRDefault="006A65C9" w:rsidP="006A65C9">
      <w:pPr>
        <w:pStyle w:val="3-BodyText"/>
        <w:numPr>
          <w:ilvl w:val="0"/>
          <w:numId w:val="0"/>
        </w:numPr>
        <w:ind w:left="720"/>
        <w:rPr>
          <w:i/>
          <w:color w:val="0066FF"/>
        </w:rPr>
      </w:pPr>
      <w:r w:rsidRPr="006A65C9">
        <w:rPr>
          <w:i/>
        </w:rPr>
        <w:lastRenderedPageBreak/>
        <w:t>For more detail on PBAC’s view, see section 7 PBAC outcome.</w:t>
      </w:r>
    </w:p>
    <w:p w:rsidR="00B50DB8" w:rsidRPr="00407F2D" w:rsidRDefault="00B50DB8" w:rsidP="004E18E9">
      <w:pPr>
        <w:pStyle w:val="2-SectionHeading"/>
      </w:pPr>
      <w:bookmarkStart w:id="9" w:name="_Toc62023468"/>
      <w:r w:rsidRPr="00407F2D">
        <w:t>Comparator</w:t>
      </w:r>
      <w:bookmarkEnd w:id="9"/>
    </w:p>
    <w:p w:rsidR="00A05472" w:rsidRPr="00470FAC" w:rsidRDefault="00DB4EDF" w:rsidP="00882E3C">
      <w:pPr>
        <w:pStyle w:val="3-BodyText"/>
        <w:rPr>
          <w:snapToGrid/>
          <w:lang w:val="en-US"/>
        </w:rPr>
      </w:pPr>
      <w:r w:rsidRPr="008D0CDA">
        <w:t xml:space="preserve">Like the July 2020 submission, the resubmission nominated watchful waiting/placebo as the main comparator where ‘watchful waiting’ is in addition to ongoing ADT with or without the addition of secondary hormonal therapies.  </w:t>
      </w:r>
      <w:r w:rsidRPr="008D0CDA">
        <w:rPr>
          <w:iCs/>
        </w:rPr>
        <w:t xml:space="preserve">The wording ‘standard of care (SOC)’ </w:t>
      </w:r>
      <w:r w:rsidR="0066779A" w:rsidRPr="008D0CDA">
        <w:rPr>
          <w:iCs/>
        </w:rPr>
        <w:t>is</w:t>
      </w:r>
      <w:r w:rsidRPr="008D0CDA">
        <w:rPr>
          <w:iCs/>
        </w:rPr>
        <w:t xml:space="preserve"> used </w:t>
      </w:r>
      <w:r w:rsidR="0066779A" w:rsidRPr="008D0CDA">
        <w:rPr>
          <w:iCs/>
        </w:rPr>
        <w:t>herein</w:t>
      </w:r>
      <w:r w:rsidRPr="008D0CDA">
        <w:rPr>
          <w:iCs/>
        </w:rPr>
        <w:t xml:space="preserve"> instead of placebo.</w:t>
      </w:r>
      <w:r w:rsidRPr="008D0CDA">
        <w:t xml:space="preserve">  The main arguments provided in support of this nomination were that there are currently no other PBS-funded treatment options available for the proposed patient population, and that watchful waiting was accepted by the PBAC as the main comparator for apalutamide.</w:t>
      </w:r>
      <w:r w:rsidRPr="00470FAC">
        <w:t xml:space="preserve"> </w:t>
      </w:r>
      <w:r w:rsidRPr="00470FAC">
        <w:rPr>
          <w:iCs/>
        </w:rPr>
        <w:t>In July 2020, the PBAC considered that watchful waiting/SOC was the appropriate comparator (paragraph 7.5, darolutamide PSD, July 2020).</w:t>
      </w:r>
      <w:r w:rsidR="00E311EF" w:rsidRPr="00470FAC">
        <w:rPr>
          <w:snapToGrid/>
          <w:lang w:val="en-US"/>
        </w:rPr>
        <w:t xml:space="preserve"> </w:t>
      </w:r>
    </w:p>
    <w:p w:rsidR="00B50DB8" w:rsidRPr="0066779A" w:rsidRDefault="00DB4EDF" w:rsidP="00DB4EDF">
      <w:pPr>
        <w:pStyle w:val="3-BodyText"/>
      </w:pPr>
      <w:r w:rsidRPr="008D0CDA">
        <w:t>The resubmission also again nominated two near-market comparators, apalutamide and enzalutamide.</w:t>
      </w:r>
      <w:r w:rsidRPr="00470FAC">
        <w:t xml:space="preserve"> In July 2020, the PBAC considered that apalutamide and enzalutamide were appropriate near market comparators (paragraph 7.5, darolutamide PDS, July 2020).</w:t>
      </w:r>
      <w:r w:rsidRPr="00470FAC">
        <w:rPr>
          <w:color w:val="0066FF"/>
        </w:rPr>
        <w:t xml:space="preserve"> </w:t>
      </w:r>
      <w:r w:rsidR="00BC591F" w:rsidRPr="00470FAC">
        <w:rPr>
          <w:snapToGrid/>
          <w:lang w:val="en-US"/>
        </w:rPr>
        <w:t xml:space="preserve"> </w:t>
      </w:r>
    </w:p>
    <w:p w:rsidR="00903E8E" w:rsidRPr="008D0CDA" w:rsidRDefault="00974942" w:rsidP="001007EE">
      <w:pPr>
        <w:pStyle w:val="3-BodyText"/>
      </w:pPr>
      <w:r>
        <w:t xml:space="preserve">The ESC had previously noted that </w:t>
      </w:r>
      <w:r w:rsidR="0066779A" w:rsidRPr="008D0CDA">
        <w:t>PSMA</w:t>
      </w:r>
      <w:r w:rsidR="00FF5646">
        <w:t xml:space="preserve"> </w:t>
      </w:r>
      <w:r w:rsidR="0066779A" w:rsidRPr="008D0CDA">
        <w:t>PET screening</w:t>
      </w:r>
      <w:r>
        <w:t xml:space="preserve"> is an increasingly common staging modality for CRPC and is standard of care in many centres in Australia. As PSMA PET</w:t>
      </w:r>
      <w:r w:rsidR="0066779A" w:rsidRPr="008D0CDA">
        <w:t xml:space="preserve"> is more sensitive compared with conventional imaging</w:t>
      </w:r>
      <w:r w:rsidR="00871470">
        <w:t>,</w:t>
      </w:r>
      <w:r w:rsidR="0066779A" w:rsidRPr="008D0CDA">
        <w:t xml:space="preserve"> </w:t>
      </w:r>
      <w:r>
        <w:t>its use</w:t>
      </w:r>
      <w:r w:rsidRPr="008D0CDA">
        <w:t xml:space="preserve"> </w:t>
      </w:r>
      <w:r w:rsidR="0066779A" w:rsidRPr="008D0CDA">
        <w:t>could result in patients otherwise classified as m0CRPC being classified as having occult metastatic disease. The ESC noted that, in clinical practice, a patient with metastatic disease detected with PSMA</w:t>
      </w:r>
      <w:r w:rsidR="00FF5646">
        <w:t xml:space="preserve"> </w:t>
      </w:r>
      <w:r w:rsidR="0066779A" w:rsidRPr="008D0CDA">
        <w:t>PET scanning</w:t>
      </w:r>
      <w:r w:rsidR="003B01E8" w:rsidRPr="008D0CDA">
        <w:t>, but not with conventional imaging,</w:t>
      </w:r>
      <w:r w:rsidR="0066779A" w:rsidRPr="008D0CDA">
        <w:t xml:space="preserve"> would be eligible for </w:t>
      </w:r>
      <w:r w:rsidR="003B01E8" w:rsidRPr="008D0CDA">
        <w:t xml:space="preserve">either (i) darolutamide; or (ii) </w:t>
      </w:r>
      <w:r w:rsidR="0066779A" w:rsidRPr="008D0CDA">
        <w:t xml:space="preserve">PBS-subsidised treatment with enzalutamide or abiraterone following docetaxel or as a first line treatment for metastatic disease if </w:t>
      </w:r>
      <w:r w:rsidR="000448E5" w:rsidRPr="008D0CDA">
        <w:t xml:space="preserve">the patient has a </w:t>
      </w:r>
      <w:r w:rsidR="0066779A" w:rsidRPr="008D0CDA">
        <w:t>predicted intolerance to docetaxel.</w:t>
      </w:r>
      <w:r w:rsidR="00423C7D">
        <w:t xml:space="preserve"> </w:t>
      </w:r>
    </w:p>
    <w:p w:rsidR="00550AF5" w:rsidRPr="00C5435F" w:rsidRDefault="00F5377E" w:rsidP="00C5435F">
      <w:pPr>
        <w:pStyle w:val="3-BodyText"/>
        <w:rPr>
          <w:i/>
          <w:snapToGrid/>
        </w:rPr>
      </w:pPr>
      <w:r>
        <w:t xml:space="preserve">The PBAC noted </w:t>
      </w:r>
      <w:r w:rsidR="00550AF5" w:rsidRPr="008D0CDA">
        <w:t>data provided by the DUSC Secretariat (Table 3) indicat</w:t>
      </w:r>
      <w:r w:rsidR="008C014D">
        <w:t>ing</w:t>
      </w:r>
      <w:r w:rsidR="00550AF5" w:rsidRPr="008D0CDA">
        <w:t xml:space="preserve"> that </w:t>
      </w:r>
      <w:r w:rsidR="000448E5" w:rsidRPr="008D0CDA">
        <w:t>the</w:t>
      </w:r>
      <w:r w:rsidR="00550AF5" w:rsidRPr="008D0CDA">
        <w:t xml:space="preserve"> majority of mCRPC patients are being treated with abiraterone and enzalutamide without prior treatment with docetaxel (72% and </w:t>
      </w:r>
      <w:r w:rsidR="00C5435F">
        <w:t>69</w:t>
      </w:r>
      <w:r w:rsidR="00550AF5" w:rsidRPr="008D0CDA">
        <w:t xml:space="preserve">%, respectively, in 2019). </w:t>
      </w:r>
    </w:p>
    <w:p w:rsidR="00550AF5" w:rsidRPr="008D0CDA" w:rsidRDefault="00550AF5" w:rsidP="00550AF5">
      <w:pPr>
        <w:keepNext/>
        <w:rPr>
          <w:rStyle w:val="CommentReference"/>
          <w:szCs w:val="24"/>
        </w:rPr>
      </w:pPr>
      <w:r w:rsidRPr="008D0CDA">
        <w:rPr>
          <w:rStyle w:val="CommentReference"/>
          <w:szCs w:val="24"/>
        </w:rPr>
        <w:lastRenderedPageBreak/>
        <w:t>Table 3: DUSC Secretariat analysis of abiraterone, enzalutamide and cabazitaxel use, 2014 to 2019*</w:t>
      </w:r>
    </w:p>
    <w:tbl>
      <w:tblPr>
        <w:tblStyle w:val="TableGrid"/>
        <w:tblW w:w="9023" w:type="dxa"/>
        <w:tblLayout w:type="fixed"/>
        <w:tblLook w:val="04A0" w:firstRow="1" w:lastRow="0" w:firstColumn="1" w:lastColumn="0" w:noHBand="0" w:noVBand="1"/>
        <w:tblCaption w:val="Table 3: DUSC Secretariat analysis of abiraterone, enzalutamide and cabazitaxel use, 2014 to 2019*"/>
      </w:tblPr>
      <w:tblGrid>
        <w:gridCol w:w="1129"/>
        <w:gridCol w:w="2694"/>
        <w:gridCol w:w="866"/>
        <w:gridCol w:w="867"/>
        <w:gridCol w:w="867"/>
        <w:gridCol w:w="866"/>
        <w:gridCol w:w="867"/>
        <w:gridCol w:w="867"/>
      </w:tblGrid>
      <w:tr w:rsidR="00550AF5" w:rsidRPr="008D0CDA" w:rsidTr="006242C1">
        <w:trPr>
          <w:trHeight w:val="178"/>
          <w:tblHeader/>
        </w:trPr>
        <w:tc>
          <w:tcPr>
            <w:tcW w:w="3823" w:type="dxa"/>
            <w:gridSpan w:val="2"/>
            <w:tcMar>
              <w:left w:w="28" w:type="dxa"/>
              <w:right w:w="28" w:type="dxa"/>
            </w:tcMar>
          </w:tcPr>
          <w:p w:rsidR="00550AF5" w:rsidRPr="008D0CDA" w:rsidRDefault="00550AF5" w:rsidP="00AC4B5B">
            <w:pPr>
              <w:pStyle w:val="3-BodyText"/>
              <w:keepNext/>
              <w:numPr>
                <w:ilvl w:val="0"/>
                <w:numId w:val="0"/>
              </w:numPr>
              <w:spacing w:after="0"/>
              <w:rPr>
                <w:rFonts w:ascii="Arial Narrow" w:hAnsi="Arial Narrow"/>
                <w:b/>
                <w:snapToGrid/>
                <w:sz w:val="20"/>
                <w:szCs w:val="20"/>
              </w:rPr>
            </w:pPr>
          </w:p>
        </w:tc>
        <w:tc>
          <w:tcPr>
            <w:tcW w:w="866" w:type="dxa"/>
            <w:tcMar>
              <w:left w:w="28" w:type="dxa"/>
              <w:right w:w="28" w:type="dxa"/>
            </w:tcMar>
          </w:tcPr>
          <w:p w:rsidR="00550AF5" w:rsidRPr="008D0CDA" w:rsidRDefault="00550AF5" w:rsidP="00AC4B5B">
            <w:pPr>
              <w:pStyle w:val="3-BodyText"/>
              <w:keepNext/>
              <w:numPr>
                <w:ilvl w:val="0"/>
                <w:numId w:val="0"/>
              </w:numPr>
              <w:spacing w:after="0"/>
              <w:jc w:val="center"/>
              <w:rPr>
                <w:rFonts w:ascii="Arial Narrow" w:hAnsi="Arial Narrow"/>
                <w:b/>
                <w:snapToGrid/>
                <w:sz w:val="20"/>
                <w:szCs w:val="20"/>
              </w:rPr>
            </w:pPr>
            <w:r w:rsidRPr="008D0CDA">
              <w:rPr>
                <w:rFonts w:ascii="Arial Narrow" w:hAnsi="Arial Narrow"/>
                <w:b/>
                <w:snapToGrid/>
                <w:sz w:val="20"/>
                <w:szCs w:val="20"/>
              </w:rPr>
              <w:t>2014</w:t>
            </w:r>
          </w:p>
        </w:tc>
        <w:tc>
          <w:tcPr>
            <w:tcW w:w="867" w:type="dxa"/>
            <w:tcMar>
              <w:left w:w="28" w:type="dxa"/>
              <w:right w:w="28" w:type="dxa"/>
            </w:tcMar>
          </w:tcPr>
          <w:p w:rsidR="00550AF5" w:rsidRPr="008D0CDA" w:rsidRDefault="00550AF5" w:rsidP="00AC4B5B">
            <w:pPr>
              <w:pStyle w:val="3-BodyText"/>
              <w:keepNext/>
              <w:numPr>
                <w:ilvl w:val="0"/>
                <w:numId w:val="0"/>
              </w:numPr>
              <w:spacing w:after="0"/>
              <w:jc w:val="center"/>
              <w:rPr>
                <w:rFonts w:ascii="Arial Narrow" w:hAnsi="Arial Narrow"/>
                <w:b/>
                <w:snapToGrid/>
                <w:sz w:val="20"/>
                <w:szCs w:val="20"/>
              </w:rPr>
            </w:pPr>
            <w:r w:rsidRPr="008D0CDA">
              <w:rPr>
                <w:rFonts w:ascii="Arial Narrow" w:hAnsi="Arial Narrow"/>
                <w:b/>
                <w:snapToGrid/>
                <w:sz w:val="20"/>
                <w:szCs w:val="20"/>
              </w:rPr>
              <w:t>2015</w:t>
            </w:r>
          </w:p>
        </w:tc>
        <w:tc>
          <w:tcPr>
            <w:tcW w:w="867" w:type="dxa"/>
            <w:tcMar>
              <w:left w:w="28" w:type="dxa"/>
              <w:right w:w="28" w:type="dxa"/>
            </w:tcMar>
          </w:tcPr>
          <w:p w:rsidR="00550AF5" w:rsidRPr="008D0CDA" w:rsidRDefault="00550AF5" w:rsidP="00AC4B5B">
            <w:pPr>
              <w:pStyle w:val="3-BodyText"/>
              <w:keepNext/>
              <w:numPr>
                <w:ilvl w:val="0"/>
                <w:numId w:val="0"/>
              </w:numPr>
              <w:spacing w:after="0"/>
              <w:jc w:val="center"/>
              <w:rPr>
                <w:rFonts w:ascii="Arial Narrow" w:hAnsi="Arial Narrow"/>
                <w:b/>
                <w:snapToGrid/>
                <w:sz w:val="20"/>
                <w:szCs w:val="20"/>
              </w:rPr>
            </w:pPr>
            <w:r w:rsidRPr="008D0CDA">
              <w:rPr>
                <w:rFonts w:ascii="Arial Narrow" w:hAnsi="Arial Narrow"/>
                <w:b/>
                <w:snapToGrid/>
                <w:sz w:val="20"/>
                <w:szCs w:val="20"/>
              </w:rPr>
              <w:t>2016</w:t>
            </w:r>
          </w:p>
        </w:tc>
        <w:tc>
          <w:tcPr>
            <w:tcW w:w="866" w:type="dxa"/>
            <w:tcMar>
              <w:left w:w="28" w:type="dxa"/>
              <w:right w:w="28" w:type="dxa"/>
            </w:tcMar>
          </w:tcPr>
          <w:p w:rsidR="00550AF5" w:rsidRPr="008D0CDA" w:rsidRDefault="00550AF5" w:rsidP="00AC4B5B">
            <w:pPr>
              <w:pStyle w:val="3-BodyText"/>
              <w:keepNext/>
              <w:numPr>
                <w:ilvl w:val="0"/>
                <w:numId w:val="0"/>
              </w:numPr>
              <w:spacing w:after="0"/>
              <w:jc w:val="center"/>
              <w:rPr>
                <w:rFonts w:ascii="Arial Narrow" w:hAnsi="Arial Narrow"/>
                <w:b/>
                <w:snapToGrid/>
                <w:sz w:val="20"/>
                <w:szCs w:val="20"/>
              </w:rPr>
            </w:pPr>
            <w:r w:rsidRPr="008D0CDA">
              <w:rPr>
                <w:rFonts w:ascii="Arial Narrow" w:hAnsi="Arial Narrow"/>
                <w:b/>
                <w:snapToGrid/>
                <w:sz w:val="20"/>
                <w:szCs w:val="20"/>
              </w:rPr>
              <w:t>2017</w:t>
            </w:r>
          </w:p>
        </w:tc>
        <w:tc>
          <w:tcPr>
            <w:tcW w:w="867" w:type="dxa"/>
            <w:tcMar>
              <w:left w:w="28" w:type="dxa"/>
              <w:right w:w="28" w:type="dxa"/>
            </w:tcMar>
          </w:tcPr>
          <w:p w:rsidR="00550AF5" w:rsidRPr="008D0CDA" w:rsidRDefault="00550AF5" w:rsidP="00AC4B5B">
            <w:pPr>
              <w:pStyle w:val="3-BodyText"/>
              <w:keepNext/>
              <w:numPr>
                <w:ilvl w:val="0"/>
                <w:numId w:val="0"/>
              </w:numPr>
              <w:spacing w:after="0"/>
              <w:jc w:val="center"/>
              <w:rPr>
                <w:rFonts w:ascii="Arial Narrow" w:hAnsi="Arial Narrow"/>
                <w:b/>
                <w:snapToGrid/>
                <w:sz w:val="20"/>
                <w:szCs w:val="20"/>
              </w:rPr>
            </w:pPr>
            <w:r w:rsidRPr="008D0CDA">
              <w:rPr>
                <w:rFonts w:ascii="Arial Narrow" w:hAnsi="Arial Narrow"/>
                <w:b/>
                <w:snapToGrid/>
                <w:sz w:val="20"/>
                <w:szCs w:val="20"/>
              </w:rPr>
              <w:t>2018</w:t>
            </w:r>
          </w:p>
        </w:tc>
        <w:tc>
          <w:tcPr>
            <w:tcW w:w="867" w:type="dxa"/>
            <w:tcMar>
              <w:left w:w="28" w:type="dxa"/>
              <w:right w:w="28" w:type="dxa"/>
            </w:tcMar>
          </w:tcPr>
          <w:p w:rsidR="00550AF5" w:rsidRPr="008D0CDA" w:rsidRDefault="00550AF5" w:rsidP="00AC4B5B">
            <w:pPr>
              <w:pStyle w:val="3-BodyText"/>
              <w:keepNext/>
              <w:numPr>
                <w:ilvl w:val="0"/>
                <w:numId w:val="0"/>
              </w:numPr>
              <w:spacing w:after="0"/>
              <w:jc w:val="center"/>
              <w:rPr>
                <w:rFonts w:ascii="Arial Narrow" w:hAnsi="Arial Narrow"/>
                <w:b/>
                <w:snapToGrid/>
                <w:sz w:val="20"/>
                <w:szCs w:val="20"/>
              </w:rPr>
            </w:pPr>
            <w:r w:rsidRPr="008D0CDA">
              <w:rPr>
                <w:rFonts w:ascii="Arial Narrow" w:hAnsi="Arial Narrow"/>
                <w:b/>
                <w:snapToGrid/>
                <w:sz w:val="20"/>
                <w:szCs w:val="20"/>
              </w:rPr>
              <w:t>2019</w:t>
            </w:r>
          </w:p>
        </w:tc>
      </w:tr>
      <w:tr w:rsidR="00550AF5" w:rsidRPr="008D0CDA" w:rsidTr="00AC4B5B">
        <w:tc>
          <w:tcPr>
            <w:tcW w:w="9023" w:type="dxa"/>
            <w:gridSpan w:val="8"/>
            <w:tcMar>
              <w:left w:w="28" w:type="dxa"/>
              <w:right w:w="28" w:type="dxa"/>
            </w:tcMar>
          </w:tcPr>
          <w:p w:rsidR="00550AF5" w:rsidRPr="008D0CDA" w:rsidRDefault="00550AF5" w:rsidP="00AC4B5B">
            <w:pPr>
              <w:pStyle w:val="3-BodyText"/>
              <w:keepNext/>
              <w:numPr>
                <w:ilvl w:val="0"/>
                <w:numId w:val="0"/>
              </w:numPr>
              <w:spacing w:after="0"/>
              <w:rPr>
                <w:rFonts w:ascii="Arial Narrow" w:hAnsi="Arial Narrow"/>
                <w:b/>
                <w:snapToGrid/>
                <w:sz w:val="20"/>
                <w:szCs w:val="20"/>
              </w:rPr>
            </w:pPr>
            <w:r w:rsidRPr="008D0CDA">
              <w:rPr>
                <w:rFonts w:ascii="Arial Narrow" w:hAnsi="Arial Narrow"/>
                <w:b/>
                <w:snapToGrid/>
                <w:sz w:val="20"/>
                <w:szCs w:val="20"/>
              </w:rPr>
              <w:t>Number of prevalent patients supplied with abiraterone and enzalutamide**</w:t>
            </w:r>
          </w:p>
        </w:tc>
      </w:tr>
      <w:tr w:rsidR="00550AF5" w:rsidRPr="008D0CDA" w:rsidTr="00AC4B5B">
        <w:tc>
          <w:tcPr>
            <w:tcW w:w="3823" w:type="dxa"/>
            <w:gridSpan w:val="2"/>
            <w:tcMar>
              <w:left w:w="28" w:type="dxa"/>
              <w:right w:w="28" w:type="dxa"/>
            </w:tcMar>
          </w:tcPr>
          <w:p w:rsidR="00550AF5" w:rsidRPr="008D0CDA" w:rsidRDefault="00550AF5" w:rsidP="00AC4B5B">
            <w:pPr>
              <w:pStyle w:val="3-BodyText"/>
              <w:keepNext/>
              <w:numPr>
                <w:ilvl w:val="0"/>
                <w:numId w:val="0"/>
              </w:numPr>
              <w:spacing w:after="0"/>
              <w:rPr>
                <w:rFonts w:ascii="Arial Narrow" w:hAnsi="Arial Narrow" w:cs="Calibri"/>
                <w:sz w:val="20"/>
                <w:szCs w:val="20"/>
              </w:rPr>
            </w:pPr>
            <w:r w:rsidRPr="008D0CDA">
              <w:rPr>
                <w:rFonts w:ascii="Arial Narrow" w:hAnsi="Arial Narrow"/>
                <w:snapToGrid/>
                <w:sz w:val="20"/>
                <w:szCs w:val="20"/>
              </w:rPr>
              <w:t>Abiraterone</w:t>
            </w:r>
          </w:p>
        </w:tc>
        <w:tc>
          <w:tcPr>
            <w:tcW w:w="866" w:type="dxa"/>
            <w:tcMar>
              <w:left w:w="28" w:type="dxa"/>
              <w:right w:w="28" w:type="dxa"/>
            </w:tcMar>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2,196</w:t>
            </w:r>
          </w:p>
        </w:tc>
        <w:tc>
          <w:tcPr>
            <w:tcW w:w="867" w:type="dxa"/>
            <w:tcMar>
              <w:left w:w="28" w:type="dxa"/>
              <w:right w:w="28" w:type="dxa"/>
            </w:tcMar>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2,053</w:t>
            </w:r>
          </w:p>
        </w:tc>
        <w:tc>
          <w:tcPr>
            <w:tcW w:w="867" w:type="dxa"/>
            <w:tcMar>
              <w:left w:w="28" w:type="dxa"/>
              <w:right w:w="28" w:type="dxa"/>
            </w:tcMar>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1,842</w:t>
            </w:r>
          </w:p>
        </w:tc>
        <w:tc>
          <w:tcPr>
            <w:tcW w:w="866" w:type="dxa"/>
            <w:tcMar>
              <w:left w:w="28" w:type="dxa"/>
              <w:right w:w="28" w:type="dxa"/>
            </w:tcMar>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2,083</w:t>
            </w:r>
          </w:p>
        </w:tc>
        <w:tc>
          <w:tcPr>
            <w:tcW w:w="867" w:type="dxa"/>
            <w:tcMar>
              <w:left w:w="28" w:type="dxa"/>
              <w:right w:w="28" w:type="dxa"/>
            </w:tcMar>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2,236</w:t>
            </w:r>
          </w:p>
        </w:tc>
        <w:tc>
          <w:tcPr>
            <w:tcW w:w="867" w:type="dxa"/>
            <w:tcMar>
              <w:left w:w="28" w:type="dxa"/>
              <w:right w:w="28" w:type="dxa"/>
            </w:tcMar>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2,410</w:t>
            </w:r>
          </w:p>
        </w:tc>
      </w:tr>
      <w:tr w:rsidR="00550AF5" w:rsidRPr="008D0CDA" w:rsidTr="00AC4B5B">
        <w:tc>
          <w:tcPr>
            <w:tcW w:w="3823" w:type="dxa"/>
            <w:gridSpan w:val="2"/>
            <w:tcMar>
              <w:left w:w="28" w:type="dxa"/>
              <w:right w:w="28" w:type="dxa"/>
            </w:tcMar>
          </w:tcPr>
          <w:p w:rsidR="00550AF5" w:rsidRPr="008D0CDA" w:rsidRDefault="00550AF5" w:rsidP="00AC4B5B">
            <w:pPr>
              <w:pStyle w:val="3-BodyText"/>
              <w:keepNext/>
              <w:numPr>
                <w:ilvl w:val="0"/>
                <w:numId w:val="0"/>
              </w:numPr>
              <w:spacing w:after="0"/>
              <w:rPr>
                <w:rFonts w:ascii="Arial Narrow" w:hAnsi="Arial Narrow" w:cs="Calibri"/>
                <w:sz w:val="20"/>
                <w:szCs w:val="20"/>
              </w:rPr>
            </w:pPr>
            <w:r w:rsidRPr="008D0CDA">
              <w:rPr>
                <w:rFonts w:ascii="Arial Narrow" w:hAnsi="Arial Narrow"/>
                <w:snapToGrid/>
                <w:sz w:val="20"/>
                <w:szCs w:val="20"/>
              </w:rPr>
              <w:t>Enzalutamide</w:t>
            </w:r>
          </w:p>
        </w:tc>
        <w:tc>
          <w:tcPr>
            <w:tcW w:w="866" w:type="dxa"/>
            <w:tcMar>
              <w:left w:w="28" w:type="dxa"/>
              <w:right w:w="28" w:type="dxa"/>
            </w:tcMar>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271</w:t>
            </w:r>
          </w:p>
        </w:tc>
        <w:tc>
          <w:tcPr>
            <w:tcW w:w="867" w:type="dxa"/>
            <w:tcMar>
              <w:left w:w="28" w:type="dxa"/>
              <w:right w:w="28" w:type="dxa"/>
            </w:tcMar>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2,272</w:t>
            </w:r>
          </w:p>
        </w:tc>
        <w:tc>
          <w:tcPr>
            <w:tcW w:w="867" w:type="dxa"/>
            <w:tcMar>
              <w:left w:w="28" w:type="dxa"/>
              <w:right w:w="28" w:type="dxa"/>
            </w:tcMar>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3,065</w:t>
            </w:r>
          </w:p>
        </w:tc>
        <w:tc>
          <w:tcPr>
            <w:tcW w:w="866" w:type="dxa"/>
            <w:tcMar>
              <w:left w:w="28" w:type="dxa"/>
              <w:right w:w="28" w:type="dxa"/>
            </w:tcMar>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3,563</w:t>
            </w:r>
          </w:p>
        </w:tc>
        <w:tc>
          <w:tcPr>
            <w:tcW w:w="867" w:type="dxa"/>
            <w:tcMar>
              <w:left w:w="28" w:type="dxa"/>
              <w:right w:w="28" w:type="dxa"/>
            </w:tcMar>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4,081</w:t>
            </w:r>
          </w:p>
        </w:tc>
        <w:tc>
          <w:tcPr>
            <w:tcW w:w="867" w:type="dxa"/>
            <w:tcMar>
              <w:left w:w="28" w:type="dxa"/>
              <w:right w:w="28" w:type="dxa"/>
            </w:tcMar>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4,295</w:t>
            </w:r>
          </w:p>
        </w:tc>
      </w:tr>
      <w:tr w:rsidR="00550AF5" w:rsidRPr="008D0CDA" w:rsidTr="00AC4B5B">
        <w:tc>
          <w:tcPr>
            <w:tcW w:w="3823" w:type="dxa"/>
            <w:gridSpan w:val="2"/>
            <w:tcMar>
              <w:left w:w="28" w:type="dxa"/>
              <w:right w:w="28" w:type="dxa"/>
            </w:tcMar>
          </w:tcPr>
          <w:p w:rsidR="00550AF5" w:rsidRPr="008D0CDA" w:rsidRDefault="00550AF5" w:rsidP="00AC4B5B">
            <w:pPr>
              <w:pStyle w:val="3-BodyText"/>
              <w:keepNext/>
              <w:numPr>
                <w:ilvl w:val="0"/>
                <w:numId w:val="0"/>
              </w:numPr>
              <w:spacing w:after="0"/>
              <w:rPr>
                <w:rFonts w:ascii="Arial Narrow" w:hAnsi="Arial Narrow"/>
                <w:snapToGrid/>
                <w:sz w:val="20"/>
                <w:szCs w:val="20"/>
              </w:rPr>
            </w:pPr>
            <w:r w:rsidRPr="008D0CDA">
              <w:rPr>
                <w:rFonts w:ascii="Arial Narrow" w:hAnsi="Arial Narrow"/>
                <w:snapToGrid/>
                <w:sz w:val="20"/>
                <w:szCs w:val="20"/>
              </w:rPr>
              <w:t>Cabazitaxel</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495</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635</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762</w:t>
            </w:r>
          </w:p>
        </w:tc>
        <w:tc>
          <w:tcPr>
            <w:tcW w:w="866"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771</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835</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990</w:t>
            </w:r>
          </w:p>
        </w:tc>
      </w:tr>
      <w:tr w:rsidR="00550AF5" w:rsidRPr="008D0CDA" w:rsidTr="00AC4B5B">
        <w:tc>
          <w:tcPr>
            <w:tcW w:w="3823" w:type="dxa"/>
            <w:gridSpan w:val="2"/>
            <w:tcMar>
              <w:left w:w="28" w:type="dxa"/>
              <w:right w:w="28" w:type="dxa"/>
            </w:tcMar>
          </w:tcPr>
          <w:p w:rsidR="00550AF5" w:rsidRPr="008D0CDA" w:rsidRDefault="00550AF5" w:rsidP="00AC4B5B">
            <w:pPr>
              <w:pStyle w:val="3-BodyText"/>
              <w:keepNext/>
              <w:numPr>
                <w:ilvl w:val="0"/>
                <w:numId w:val="0"/>
              </w:numPr>
              <w:spacing w:after="0"/>
              <w:rPr>
                <w:rFonts w:ascii="Arial Narrow" w:hAnsi="Arial Narrow" w:cs="Calibri"/>
                <w:sz w:val="20"/>
                <w:szCs w:val="20"/>
              </w:rPr>
            </w:pPr>
            <w:r w:rsidRPr="008D0CDA">
              <w:rPr>
                <w:rFonts w:ascii="Arial Narrow" w:hAnsi="Arial Narrow"/>
                <w:snapToGrid/>
                <w:sz w:val="20"/>
                <w:szCs w:val="20"/>
              </w:rPr>
              <w:t>Total</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2,528</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4,169</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4,890</w:t>
            </w:r>
          </w:p>
        </w:tc>
        <w:tc>
          <w:tcPr>
            <w:tcW w:w="866"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5,671</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6,360</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6,919</w:t>
            </w:r>
          </w:p>
        </w:tc>
      </w:tr>
      <w:tr w:rsidR="00550AF5" w:rsidRPr="008D0CDA" w:rsidTr="00AC4B5B">
        <w:tc>
          <w:tcPr>
            <w:tcW w:w="9023" w:type="dxa"/>
            <w:gridSpan w:val="8"/>
            <w:tcMar>
              <w:left w:w="28" w:type="dxa"/>
              <w:right w:w="28" w:type="dxa"/>
            </w:tcMar>
          </w:tcPr>
          <w:p w:rsidR="00550AF5" w:rsidRPr="008D0CDA" w:rsidRDefault="00550AF5" w:rsidP="00AC4B5B">
            <w:pPr>
              <w:pStyle w:val="3-BodyText"/>
              <w:keepNext/>
              <w:numPr>
                <w:ilvl w:val="0"/>
                <w:numId w:val="0"/>
              </w:numPr>
              <w:spacing w:after="0"/>
              <w:rPr>
                <w:rFonts w:ascii="Arial Narrow" w:hAnsi="Arial Narrow"/>
                <w:b/>
                <w:snapToGrid/>
                <w:sz w:val="20"/>
                <w:szCs w:val="20"/>
              </w:rPr>
            </w:pPr>
            <w:r w:rsidRPr="008D0CDA">
              <w:rPr>
                <w:rFonts w:ascii="Arial Narrow" w:hAnsi="Arial Narrow"/>
                <w:b/>
                <w:snapToGrid/>
                <w:sz w:val="20"/>
                <w:szCs w:val="20"/>
              </w:rPr>
              <w:t>Number of patients first initiating on abiraterone or enzalutamide***</w:t>
            </w:r>
          </w:p>
        </w:tc>
      </w:tr>
      <w:tr w:rsidR="00550AF5" w:rsidRPr="008D0CDA" w:rsidTr="00393146">
        <w:tc>
          <w:tcPr>
            <w:tcW w:w="1129" w:type="dxa"/>
            <w:vMerge w:val="restart"/>
            <w:tcMar>
              <w:left w:w="28" w:type="dxa"/>
              <w:right w:w="28" w:type="dxa"/>
            </w:tcMar>
          </w:tcPr>
          <w:p w:rsidR="00550AF5" w:rsidRPr="008D0CDA" w:rsidRDefault="00550AF5" w:rsidP="00AC4B5B">
            <w:pPr>
              <w:pStyle w:val="3-BodyText"/>
              <w:keepNext/>
              <w:numPr>
                <w:ilvl w:val="0"/>
                <w:numId w:val="0"/>
              </w:numPr>
              <w:spacing w:after="0"/>
              <w:rPr>
                <w:rFonts w:ascii="Arial Narrow" w:hAnsi="Arial Narrow"/>
                <w:snapToGrid/>
                <w:sz w:val="20"/>
                <w:szCs w:val="20"/>
              </w:rPr>
            </w:pPr>
            <w:r w:rsidRPr="008D0CDA">
              <w:rPr>
                <w:rFonts w:ascii="Arial Narrow" w:hAnsi="Arial Narrow"/>
                <w:snapToGrid/>
                <w:sz w:val="20"/>
                <w:szCs w:val="20"/>
              </w:rPr>
              <w:t>Abiraterone</w:t>
            </w:r>
          </w:p>
        </w:tc>
        <w:tc>
          <w:tcPr>
            <w:tcW w:w="2694" w:type="dxa"/>
            <w:tcMar>
              <w:left w:w="28" w:type="dxa"/>
              <w:right w:w="28" w:type="dxa"/>
            </w:tcMar>
          </w:tcPr>
          <w:p w:rsidR="00550AF5" w:rsidRPr="008D0CDA" w:rsidRDefault="00550AF5" w:rsidP="00AC4B5B">
            <w:pPr>
              <w:pStyle w:val="3-BodyText"/>
              <w:keepNext/>
              <w:numPr>
                <w:ilvl w:val="0"/>
                <w:numId w:val="0"/>
              </w:numPr>
              <w:spacing w:after="0"/>
              <w:jc w:val="left"/>
              <w:rPr>
                <w:rFonts w:ascii="Arial Narrow" w:hAnsi="Arial Narrow"/>
                <w:snapToGrid/>
                <w:sz w:val="20"/>
                <w:szCs w:val="20"/>
              </w:rPr>
            </w:pPr>
            <w:r w:rsidRPr="008D0CDA">
              <w:rPr>
                <w:rFonts w:ascii="Arial Narrow" w:hAnsi="Arial Narrow"/>
                <w:snapToGrid/>
                <w:sz w:val="20"/>
                <w:szCs w:val="20"/>
              </w:rPr>
              <w:t>Without prior docetaxel use, [n(%)]</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269 (20)</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661 (60)</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637 (65)</w:t>
            </w:r>
          </w:p>
        </w:tc>
        <w:tc>
          <w:tcPr>
            <w:tcW w:w="866"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782 (65)</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815 (70)</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876 (72)</w:t>
            </w:r>
          </w:p>
        </w:tc>
      </w:tr>
      <w:tr w:rsidR="00550AF5" w:rsidRPr="008D0CDA" w:rsidTr="00393146">
        <w:tc>
          <w:tcPr>
            <w:tcW w:w="1129" w:type="dxa"/>
            <w:vMerge/>
            <w:tcMar>
              <w:left w:w="28" w:type="dxa"/>
              <w:right w:w="28" w:type="dxa"/>
            </w:tcMar>
          </w:tcPr>
          <w:p w:rsidR="00550AF5" w:rsidRPr="008D0CDA" w:rsidRDefault="00550AF5" w:rsidP="00AC4B5B">
            <w:pPr>
              <w:pStyle w:val="3-BodyText"/>
              <w:keepNext/>
              <w:numPr>
                <w:ilvl w:val="0"/>
                <w:numId w:val="0"/>
              </w:numPr>
              <w:spacing w:after="0"/>
              <w:rPr>
                <w:rFonts w:ascii="Arial Narrow" w:hAnsi="Arial Narrow"/>
                <w:snapToGrid/>
                <w:sz w:val="20"/>
                <w:szCs w:val="20"/>
              </w:rPr>
            </w:pPr>
          </w:p>
        </w:tc>
        <w:tc>
          <w:tcPr>
            <w:tcW w:w="2694" w:type="dxa"/>
            <w:tcMar>
              <w:left w:w="28" w:type="dxa"/>
              <w:right w:w="28" w:type="dxa"/>
            </w:tcMar>
          </w:tcPr>
          <w:p w:rsidR="00550AF5" w:rsidRPr="008D0CDA" w:rsidRDefault="00550AF5" w:rsidP="00AC4B5B">
            <w:pPr>
              <w:pStyle w:val="3-BodyText"/>
              <w:keepNext/>
              <w:numPr>
                <w:ilvl w:val="0"/>
                <w:numId w:val="0"/>
              </w:numPr>
              <w:spacing w:after="0"/>
              <w:jc w:val="left"/>
              <w:rPr>
                <w:rFonts w:ascii="Arial Narrow" w:hAnsi="Arial Narrow"/>
                <w:snapToGrid/>
                <w:sz w:val="20"/>
                <w:szCs w:val="20"/>
              </w:rPr>
            </w:pPr>
            <w:r w:rsidRPr="008D0CDA">
              <w:rPr>
                <w:rFonts w:ascii="Arial Narrow" w:hAnsi="Arial Narrow"/>
                <w:snapToGrid/>
                <w:sz w:val="20"/>
                <w:szCs w:val="20"/>
              </w:rPr>
              <w:t>With prior docetaxel use, [n(%)]</w:t>
            </w:r>
          </w:p>
        </w:tc>
        <w:tc>
          <w:tcPr>
            <w:tcW w:w="866"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1,057 (80)</w:t>
            </w:r>
          </w:p>
        </w:tc>
        <w:tc>
          <w:tcPr>
            <w:tcW w:w="867" w:type="dxa"/>
            <w:tcBorders>
              <w:top w:val="nil"/>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457 (40)</w:t>
            </w:r>
          </w:p>
        </w:tc>
        <w:tc>
          <w:tcPr>
            <w:tcW w:w="867" w:type="dxa"/>
            <w:tcBorders>
              <w:top w:val="nil"/>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339 (35)</w:t>
            </w:r>
          </w:p>
        </w:tc>
        <w:tc>
          <w:tcPr>
            <w:tcW w:w="866" w:type="dxa"/>
            <w:tcBorders>
              <w:top w:val="nil"/>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418 (35)</w:t>
            </w:r>
          </w:p>
        </w:tc>
        <w:tc>
          <w:tcPr>
            <w:tcW w:w="867" w:type="dxa"/>
            <w:tcBorders>
              <w:top w:val="nil"/>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360 (30)</w:t>
            </w:r>
          </w:p>
        </w:tc>
        <w:tc>
          <w:tcPr>
            <w:tcW w:w="867" w:type="dxa"/>
            <w:tcBorders>
              <w:top w:val="nil"/>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347 (28)</w:t>
            </w:r>
          </w:p>
        </w:tc>
      </w:tr>
      <w:tr w:rsidR="00550AF5" w:rsidRPr="008D0CDA" w:rsidTr="00393146">
        <w:tc>
          <w:tcPr>
            <w:tcW w:w="1129" w:type="dxa"/>
            <w:vMerge/>
            <w:tcMar>
              <w:left w:w="28" w:type="dxa"/>
              <w:right w:w="28" w:type="dxa"/>
            </w:tcMar>
          </w:tcPr>
          <w:p w:rsidR="00550AF5" w:rsidRPr="008D0CDA" w:rsidRDefault="00550AF5" w:rsidP="00AC4B5B">
            <w:pPr>
              <w:pStyle w:val="3-BodyText"/>
              <w:keepNext/>
              <w:numPr>
                <w:ilvl w:val="0"/>
                <w:numId w:val="0"/>
              </w:numPr>
              <w:spacing w:after="0"/>
              <w:rPr>
                <w:rFonts w:ascii="Arial Narrow" w:hAnsi="Arial Narrow"/>
                <w:snapToGrid/>
                <w:sz w:val="20"/>
                <w:szCs w:val="20"/>
              </w:rPr>
            </w:pPr>
          </w:p>
        </w:tc>
        <w:tc>
          <w:tcPr>
            <w:tcW w:w="2694" w:type="dxa"/>
            <w:tcMar>
              <w:left w:w="28" w:type="dxa"/>
              <w:right w:w="28" w:type="dxa"/>
            </w:tcMar>
          </w:tcPr>
          <w:p w:rsidR="00550AF5" w:rsidRPr="008D0CDA" w:rsidRDefault="00550AF5" w:rsidP="00AC4B5B">
            <w:pPr>
              <w:pStyle w:val="3-BodyText"/>
              <w:keepNext/>
              <w:numPr>
                <w:ilvl w:val="0"/>
                <w:numId w:val="0"/>
              </w:numPr>
              <w:spacing w:after="0"/>
              <w:jc w:val="left"/>
              <w:rPr>
                <w:rFonts w:ascii="Arial Narrow" w:hAnsi="Arial Narrow"/>
                <w:snapToGrid/>
                <w:sz w:val="20"/>
                <w:szCs w:val="20"/>
              </w:rPr>
            </w:pPr>
            <w:r w:rsidRPr="008D0CDA">
              <w:rPr>
                <w:rFonts w:ascii="Arial Narrow" w:hAnsi="Arial Narrow"/>
                <w:snapToGrid/>
                <w:sz w:val="20"/>
                <w:szCs w:val="20"/>
              </w:rPr>
              <w:t>Total</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1,326</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1,118</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976</w:t>
            </w:r>
          </w:p>
        </w:tc>
        <w:tc>
          <w:tcPr>
            <w:tcW w:w="866"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1,200</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1,175</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1,223</w:t>
            </w:r>
          </w:p>
        </w:tc>
      </w:tr>
      <w:tr w:rsidR="00550AF5" w:rsidRPr="008D0CDA" w:rsidTr="00393146">
        <w:tc>
          <w:tcPr>
            <w:tcW w:w="1129" w:type="dxa"/>
            <w:vMerge w:val="restart"/>
            <w:tcMar>
              <w:left w:w="28" w:type="dxa"/>
              <w:right w:w="28" w:type="dxa"/>
            </w:tcMar>
          </w:tcPr>
          <w:p w:rsidR="00550AF5" w:rsidRPr="008D0CDA" w:rsidRDefault="00550AF5" w:rsidP="00AC4B5B">
            <w:pPr>
              <w:pStyle w:val="3-BodyText"/>
              <w:keepNext/>
              <w:numPr>
                <w:ilvl w:val="0"/>
                <w:numId w:val="0"/>
              </w:numPr>
              <w:spacing w:after="0"/>
              <w:rPr>
                <w:rFonts w:ascii="Arial Narrow" w:hAnsi="Arial Narrow"/>
                <w:snapToGrid/>
                <w:sz w:val="20"/>
                <w:szCs w:val="20"/>
              </w:rPr>
            </w:pPr>
            <w:r w:rsidRPr="008D0CDA">
              <w:rPr>
                <w:rFonts w:ascii="Arial Narrow" w:hAnsi="Arial Narrow"/>
                <w:snapToGrid/>
                <w:sz w:val="20"/>
                <w:szCs w:val="20"/>
              </w:rPr>
              <w:t>Enzalutamide</w:t>
            </w:r>
          </w:p>
        </w:tc>
        <w:tc>
          <w:tcPr>
            <w:tcW w:w="2694" w:type="dxa"/>
            <w:tcMar>
              <w:left w:w="28" w:type="dxa"/>
              <w:right w:w="28" w:type="dxa"/>
            </w:tcMar>
          </w:tcPr>
          <w:p w:rsidR="00550AF5" w:rsidRPr="008D0CDA" w:rsidRDefault="00550AF5" w:rsidP="00AC4B5B">
            <w:pPr>
              <w:pStyle w:val="3-BodyText"/>
              <w:keepNext/>
              <w:numPr>
                <w:ilvl w:val="0"/>
                <w:numId w:val="0"/>
              </w:numPr>
              <w:spacing w:after="0"/>
              <w:jc w:val="left"/>
              <w:rPr>
                <w:rFonts w:ascii="Arial Narrow" w:hAnsi="Arial Narrow"/>
                <w:snapToGrid/>
                <w:sz w:val="20"/>
                <w:szCs w:val="20"/>
              </w:rPr>
            </w:pPr>
            <w:r w:rsidRPr="008D0CDA">
              <w:rPr>
                <w:rFonts w:ascii="Arial Narrow" w:hAnsi="Arial Narrow"/>
                <w:snapToGrid/>
                <w:sz w:val="20"/>
                <w:szCs w:val="20"/>
              </w:rPr>
              <w:t>Without prior docetaxel use, [n(%)]</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109 (62)</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1,110 (68)</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1,115 (68)</w:t>
            </w:r>
          </w:p>
        </w:tc>
        <w:tc>
          <w:tcPr>
            <w:tcW w:w="866"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1,238 (70)</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1,262 (68)</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1,237 (69)</w:t>
            </w:r>
          </w:p>
        </w:tc>
      </w:tr>
      <w:tr w:rsidR="00550AF5" w:rsidRPr="008D0CDA" w:rsidTr="00393146">
        <w:tc>
          <w:tcPr>
            <w:tcW w:w="1129" w:type="dxa"/>
            <w:vMerge/>
            <w:tcMar>
              <w:left w:w="28" w:type="dxa"/>
              <w:right w:w="28" w:type="dxa"/>
            </w:tcMar>
          </w:tcPr>
          <w:p w:rsidR="00550AF5" w:rsidRPr="008D0CDA" w:rsidRDefault="00550AF5" w:rsidP="00AC4B5B">
            <w:pPr>
              <w:pStyle w:val="3-BodyText"/>
              <w:keepNext/>
              <w:numPr>
                <w:ilvl w:val="0"/>
                <w:numId w:val="0"/>
              </w:numPr>
              <w:spacing w:after="0"/>
              <w:rPr>
                <w:rFonts w:ascii="Arial Narrow" w:hAnsi="Arial Narrow"/>
                <w:snapToGrid/>
                <w:sz w:val="20"/>
                <w:szCs w:val="20"/>
              </w:rPr>
            </w:pPr>
          </w:p>
        </w:tc>
        <w:tc>
          <w:tcPr>
            <w:tcW w:w="2694" w:type="dxa"/>
            <w:tcMar>
              <w:left w:w="28" w:type="dxa"/>
              <w:right w:w="28" w:type="dxa"/>
            </w:tcMar>
          </w:tcPr>
          <w:p w:rsidR="00550AF5" w:rsidRPr="008D0CDA" w:rsidRDefault="00550AF5" w:rsidP="00AC4B5B">
            <w:pPr>
              <w:pStyle w:val="3-BodyText"/>
              <w:keepNext/>
              <w:numPr>
                <w:ilvl w:val="0"/>
                <w:numId w:val="0"/>
              </w:numPr>
              <w:spacing w:after="0"/>
              <w:jc w:val="left"/>
              <w:rPr>
                <w:rFonts w:ascii="Arial Narrow" w:hAnsi="Arial Narrow"/>
                <w:snapToGrid/>
                <w:sz w:val="20"/>
                <w:szCs w:val="20"/>
              </w:rPr>
            </w:pPr>
            <w:r w:rsidRPr="008D0CDA">
              <w:rPr>
                <w:rFonts w:ascii="Arial Narrow" w:hAnsi="Arial Narrow"/>
                <w:snapToGrid/>
                <w:sz w:val="20"/>
                <w:szCs w:val="20"/>
              </w:rPr>
              <w:t>With prior docetaxel use, [n(%)]</w:t>
            </w:r>
          </w:p>
        </w:tc>
        <w:tc>
          <w:tcPr>
            <w:tcW w:w="866" w:type="dxa"/>
            <w:tcBorders>
              <w:top w:val="nil"/>
              <w:left w:val="single" w:sz="4" w:space="0" w:color="auto"/>
              <w:bottom w:val="nil"/>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68 (38)</w:t>
            </w:r>
          </w:p>
        </w:tc>
        <w:tc>
          <w:tcPr>
            <w:tcW w:w="867" w:type="dxa"/>
            <w:tcBorders>
              <w:top w:val="nil"/>
              <w:left w:val="nil"/>
              <w:bottom w:val="nil"/>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515 (32)</w:t>
            </w:r>
          </w:p>
        </w:tc>
        <w:tc>
          <w:tcPr>
            <w:tcW w:w="867" w:type="dxa"/>
            <w:tcBorders>
              <w:top w:val="nil"/>
              <w:left w:val="nil"/>
              <w:bottom w:val="nil"/>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521 (32)</w:t>
            </w:r>
          </w:p>
        </w:tc>
        <w:tc>
          <w:tcPr>
            <w:tcW w:w="866" w:type="dxa"/>
            <w:tcBorders>
              <w:top w:val="nil"/>
              <w:left w:val="nil"/>
              <w:bottom w:val="nil"/>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534 (30)</w:t>
            </w:r>
          </w:p>
        </w:tc>
        <w:tc>
          <w:tcPr>
            <w:tcW w:w="867" w:type="dxa"/>
            <w:tcBorders>
              <w:top w:val="nil"/>
              <w:left w:val="nil"/>
              <w:bottom w:val="nil"/>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580 (32)</w:t>
            </w:r>
          </w:p>
        </w:tc>
        <w:tc>
          <w:tcPr>
            <w:tcW w:w="867" w:type="dxa"/>
            <w:tcBorders>
              <w:top w:val="nil"/>
              <w:left w:val="nil"/>
              <w:bottom w:val="nil"/>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snapToGrid/>
                <w:sz w:val="20"/>
                <w:szCs w:val="20"/>
              </w:rPr>
            </w:pPr>
            <w:r w:rsidRPr="008D0CDA">
              <w:rPr>
                <w:rFonts w:ascii="Arial Narrow" w:hAnsi="Arial Narrow" w:cs="Calibri"/>
                <w:sz w:val="20"/>
                <w:szCs w:val="20"/>
              </w:rPr>
              <w:t>547 (31)</w:t>
            </w:r>
          </w:p>
        </w:tc>
      </w:tr>
      <w:tr w:rsidR="00550AF5" w:rsidRPr="008D0CDA" w:rsidTr="00393146">
        <w:tc>
          <w:tcPr>
            <w:tcW w:w="1129" w:type="dxa"/>
            <w:vMerge/>
            <w:tcMar>
              <w:left w:w="28" w:type="dxa"/>
              <w:right w:w="28" w:type="dxa"/>
            </w:tcMar>
          </w:tcPr>
          <w:p w:rsidR="00550AF5" w:rsidRPr="008D0CDA" w:rsidRDefault="00550AF5" w:rsidP="00AC4B5B">
            <w:pPr>
              <w:pStyle w:val="3-BodyText"/>
              <w:keepNext/>
              <w:numPr>
                <w:ilvl w:val="0"/>
                <w:numId w:val="0"/>
              </w:numPr>
              <w:spacing w:after="0"/>
              <w:rPr>
                <w:rFonts w:ascii="Arial Narrow" w:hAnsi="Arial Narrow"/>
                <w:snapToGrid/>
                <w:sz w:val="20"/>
                <w:szCs w:val="20"/>
              </w:rPr>
            </w:pPr>
          </w:p>
        </w:tc>
        <w:tc>
          <w:tcPr>
            <w:tcW w:w="2694" w:type="dxa"/>
            <w:tcMar>
              <w:left w:w="28" w:type="dxa"/>
              <w:right w:w="28" w:type="dxa"/>
            </w:tcMar>
          </w:tcPr>
          <w:p w:rsidR="00550AF5" w:rsidRPr="008D0CDA" w:rsidRDefault="00550AF5" w:rsidP="00AC4B5B">
            <w:pPr>
              <w:pStyle w:val="3-BodyText"/>
              <w:keepNext/>
              <w:numPr>
                <w:ilvl w:val="0"/>
                <w:numId w:val="0"/>
              </w:numPr>
              <w:spacing w:after="0"/>
              <w:jc w:val="left"/>
              <w:rPr>
                <w:rFonts w:ascii="Arial Narrow" w:hAnsi="Arial Narrow"/>
                <w:snapToGrid/>
                <w:sz w:val="20"/>
                <w:szCs w:val="20"/>
              </w:rPr>
            </w:pPr>
            <w:r w:rsidRPr="008D0CDA">
              <w:rPr>
                <w:rFonts w:ascii="Arial Narrow" w:hAnsi="Arial Narrow"/>
                <w:snapToGrid/>
                <w:sz w:val="20"/>
                <w:szCs w:val="20"/>
              </w:rPr>
              <w:t>Total</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177</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1,625</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1,636</w:t>
            </w:r>
          </w:p>
        </w:tc>
        <w:tc>
          <w:tcPr>
            <w:tcW w:w="866"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1,772</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1,842</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1,784</w:t>
            </w:r>
          </w:p>
        </w:tc>
      </w:tr>
      <w:tr w:rsidR="00550AF5" w:rsidRPr="008D0CDA" w:rsidTr="00393146">
        <w:tc>
          <w:tcPr>
            <w:tcW w:w="1129" w:type="dxa"/>
            <w:vMerge w:val="restart"/>
            <w:tcMar>
              <w:left w:w="28" w:type="dxa"/>
              <w:right w:w="28" w:type="dxa"/>
            </w:tcMar>
          </w:tcPr>
          <w:p w:rsidR="00550AF5" w:rsidRPr="008D0CDA" w:rsidRDefault="00550AF5" w:rsidP="00AC4B5B">
            <w:pPr>
              <w:pStyle w:val="3-BodyText"/>
              <w:keepNext/>
              <w:numPr>
                <w:ilvl w:val="0"/>
                <w:numId w:val="0"/>
              </w:numPr>
              <w:spacing w:after="0"/>
              <w:rPr>
                <w:rFonts w:ascii="Arial Narrow" w:hAnsi="Arial Narrow"/>
                <w:snapToGrid/>
                <w:sz w:val="20"/>
                <w:szCs w:val="20"/>
              </w:rPr>
            </w:pPr>
            <w:r w:rsidRPr="008D0CDA">
              <w:rPr>
                <w:rFonts w:ascii="Arial Narrow" w:hAnsi="Arial Narrow"/>
                <w:snapToGrid/>
                <w:sz w:val="20"/>
                <w:szCs w:val="20"/>
              </w:rPr>
              <w:t>Cabazitaxel</w:t>
            </w:r>
          </w:p>
        </w:tc>
        <w:tc>
          <w:tcPr>
            <w:tcW w:w="2694" w:type="dxa"/>
            <w:tcBorders>
              <w:bottom w:val="single" w:sz="4" w:space="0" w:color="auto"/>
            </w:tcBorders>
            <w:tcMar>
              <w:left w:w="28" w:type="dxa"/>
              <w:right w:w="28" w:type="dxa"/>
            </w:tcMar>
          </w:tcPr>
          <w:p w:rsidR="00550AF5" w:rsidRPr="008D0CDA" w:rsidRDefault="00550AF5" w:rsidP="00AC4B5B">
            <w:pPr>
              <w:pStyle w:val="3-BodyText"/>
              <w:keepNext/>
              <w:numPr>
                <w:ilvl w:val="0"/>
                <w:numId w:val="0"/>
              </w:numPr>
              <w:spacing w:after="0"/>
              <w:jc w:val="left"/>
              <w:rPr>
                <w:rFonts w:ascii="Arial Narrow" w:hAnsi="Arial Narrow"/>
                <w:snapToGrid/>
                <w:sz w:val="20"/>
                <w:szCs w:val="20"/>
              </w:rPr>
            </w:pPr>
            <w:r w:rsidRPr="008D0CDA">
              <w:rPr>
                <w:rFonts w:ascii="Arial Narrow" w:hAnsi="Arial Narrow"/>
                <w:snapToGrid/>
                <w:sz w:val="20"/>
                <w:szCs w:val="20"/>
              </w:rPr>
              <w:t>Without prior docetaxel use, [n(%)]</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N.R</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16 (3)</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16 (2)</w:t>
            </w:r>
          </w:p>
        </w:tc>
        <w:tc>
          <w:tcPr>
            <w:tcW w:w="866"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20 (4)</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18 (3)</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19 (3)</w:t>
            </w:r>
          </w:p>
        </w:tc>
      </w:tr>
      <w:tr w:rsidR="00550AF5" w:rsidRPr="008D0CDA" w:rsidTr="00393146">
        <w:tc>
          <w:tcPr>
            <w:tcW w:w="1129" w:type="dxa"/>
            <w:vMerge/>
            <w:tcMar>
              <w:left w:w="28" w:type="dxa"/>
              <w:right w:w="28" w:type="dxa"/>
            </w:tcMar>
          </w:tcPr>
          <w:p w:rsidR="00550AF5" w:rsidRPr="008D0CDA" w:rsidRDefault="00550AF5" w:rsidP="00AC4B5B">
            <w:pPr>
              <w:pStyle w:val="3-BodyText"/>
              <w:keepNext/>
              <w:numPr>
                <w:ilvl w:val="0"/>
                <w:numId w:val="0"/>
              </w:numPr>
              <w:spacing w:after="0"/>
              <w:rPr>
                <w:rFonts w:ascii="Arial Narrow" w:hAnsi="Arial Narrow"/>
                <w:snapToGrid/>
                <w:sz w:val="20"/>
                <w:szCs w:val="20"/>
              </w:rPr>
            </w:pPr>
          </w:p>
        </w:tc>
        <w:tc>
          <w:tcPr>
            <w:tcW w:w="2694" w:type="dxa"/>
            <w:tcMar>
              <w:left w:w="28" w:type="dxa"/>
              <w:right w:w="28" w:type="dxa"/>
            </w:tcMar>
          </w:tcPr>
          <w:p w:rsidR="00550AF5" w:rsidRPr="008D0CDA" w:rsidRDefault="00550AF5" w:rsidP="00AC4B5B">
            <w:pPr>
              <w:pStyle w:val="3-BodyText"/>
              <w:keepNext/>
              <w:numPr>
                <w:ilvl w:val="0"/>
                <w:numId w:val="0"/>
              </w:numPr>
              <w:spacing w:after="0"/>
              <w:jc w:val="left"/>
              <w:rPr>
                <w:rFonts w:ascii="Arial Narrow" w:hAnsi="Arial Narrow"/>
                <w:snapToGrid/>
                <w:sz w:val="20"/>
                <w:szCs w:val="20"/>
              </w:rPr>
            </w:pPr>
            <w:r w:rsidRPr="008D0CDA">
              <w:rPr>
                <w:rFonts w:ascii="Arial Narrow" w:hAnsi="Arial Narrow"/>
                <w:snapToGrid/>
                <w:sz w:val="20"/>
                <w:szCs w:val="20"/>
              </w:rPr>
              <w:t>With prior docetaxel use, [n(%)]</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N.R</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448 (97)</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564 (98)</w:t>
            </w:r>
          </w:p>
        </w:tc>
        <w:tc>
          <w:tcPr>
            <w:tcW w:w="866"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525 (96)</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568 (97)</w:t>
            </w:r>
          </w:p>
        </w:tc>
        <w:tc>
          <w:tcPr>
            <w:tcW w:w="867" w:type="dxa"/>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696 (97)</w:t>
            </w:r>
          </w:p>
        </w:tc>
      </w:tr>
      <w:tr w:rsidR="00550AF5" w:rsidRPr="008D0CDA" w:rsidTr="00393146">
        <w:tc>
          <w:tcPr>
            <w:tcW w:w="1129" w:type="dxa"/>
            <w:vMerge/>
            <w:tcMar>
              <w:left w:w="28" w:type="dxa"/>
              <w:right w:w="28" w:type="dxa"/>
            </w:tcMar>
          </w:tcPr>
          <w:p w:rsidR="00550AF5" w:rsidRPr="008D0CDA" w:rsidRDefault="00550AF5" w:rsidP="00AC4B5B">
            <w:pPr>
              <w:pStyle w:val="3-BodyText"/>
              <w:keepNext/>
              <w:numPr>
                <w:ilvl w:val="0"/>
                <w:numId w:val="0"/>
              </w:numPr>
              <w:spacing w:after="0"/>
              <w:rPr>
                <w:rFonts w:ascii="Arial Narrow" w:hAnsi="Arial Narrow"/>
                <w:snapToGrid/>
                <w:sz w:val="20"/>
                <w:szCs w:val="20"/>
              </w:rPr>
            </w:pPr>
          </w:p>
        </w:tc>
        <w:tc>
          <w:tcPr>
            <w:tcW w:w="2694" w:type="dxa"/>
            <w:tcBorders>
              <w:right w:val="single" w:sz="4" w:space="0" w:color="auto"/>
            </w:tcBorders>
            <w:tcMar>
              <w:left w:w="28" w:type="dxa"/>
              <w:right w:w="28" w:type="dxa"/>
            </w:tcMar>
          </w:tcPr>
          <w:p w:rsidR="00550AF5" w:rsidRPr="008D0CDA" w:rsidRDefault="00550AF5" w:rsidP="00AC4B5B">
            <w:pPr>
              <w:pStyle w:val="3-BodyText"/>
              <w:keepNext/>
              <w:numPr>
                <w:ilvl w:val="0"/>
                <w:numId w:val="0"/>
              </w:numPr>
              <w:spacing w:after="0"/>
              <w:jc w:val="left"/>
              <w:rPr>
                <w:rFonts w:ascii="Arial Narrow" w:hAnsi="Arial Narrow"/>
                <w:snapToGrid/>
                <w:sz w:val="20"/>
                <w:szCs w:val="20"/>
              </w:rPr>
            </w:pPr>
            <w:r w:rsidRPr="008D0CDA">
              <w:rPr>
                <w:rFonts w:ascii="Arial Narrow" w:hAnsi="Arial Narrow"/>
                <w:snapToGrid/>
                <w:sz w:val="20"/>
                <w:szCs w:val="20"/>
              </w:rPr>
              <w:t>Total</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N.R</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464</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580</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545</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586</w:t>
            </w:r>
          </w:p>
        </w:tc>
        <w:tc>
          <w:tcPr>
            <w:tcW w:w="86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550AF5" w:rsidRPr="008D0CDA" w:rsidRDefault="00550AF5" w:rsidP="00AC4B5B">
            <w:pPr>
              <w:pStyle w:val="3-BodyText"/>
              <w:keepNext/>
              <w:numPr>
                <w:ilvl w:val="0"/>
                <w:numId w:val="0"/>
              </w:numPr>
              <w:spacing w:after="0"/>
              <w:jc w:val="center"/>
              <w:rPr>
                <w:rFonts w:ascii="Arial Narrow" w:hAnsi="Arial Narrow" w:cs="Calibri"/>
                <w:sz w:val="20"/>
                <w:szCs w:val="20"/>
              </w:rPr>
            </w:pPr>
            <w:r w:rsidRPr="008D0CDA">
              <w:rPr>
                <w:rFonts w:ascii="Arial Narrow" w:hAnsi="Arial Narrow" w:cs="Calibri"/>
                <w:sz w:val="20"/>
                <w:szCs w:val="20"/>
              </w:rPr>
              <w:t>715</w:t>
            </w:r>
          </w:p>
        </w:tc>
      </w:tr>
    </w:tbl>
    <w:p w:rsidR="00550AF5" w:rsidRPr="008D0CDA" w:rsidRDefault="00550AF5" w:rsidP="00550AF5">
      <w:pPr>
        <w:pStyle w:val="3-BodyText"/>
        <w:numPr>
          <w:ilvl w:val="0"/>
          <w:numId w:val="0"/>
        </w:numPr>
        <w:spacing w:after="0"/>
        <w:rPr>
          <w:rFonts w:ascii="Arial Narrow" w:hAnsi="Arial Narrow"/>
          <w:snapToGrid/>
          <w:sz w:val="18"/>
        </w:rPr>
      </w:pPr>
      <w:r w:rsidRPr="008D0CDA">
        <w:rPr>
          <w:rFonts w:ascii="Arial Narrow" w:hAnsi="Arial Narrow"/>
          <w:snapToGrid/>
          <w:sz w:val="18"/>
        </w:rPr>
        <w:t>* PBS data was extracted from the Services Australia Prescription database for the period 1 January 2000 to 31 December 2019 based on the date of supply. Patients were classified as having been supplied abiraterone, cabazitaxel or enzalutamide after a prior supply of docetaxel or supplied a mCRPC drug without a prior PBS supply of docetaxel (based on previous 5 years).</w:t>
      </w:r>
    </w:p>
    <w:p w:rsidR="00550AF5" w:rsidRPr="008D0CDA" w:rsidRDefault="00550AF5" w:rsidP="00550AF5">
      <w:pPr>
        <w:pStyle w:val="3-BodyText"/>
        <w:numPr>
          <w:ilvl w:val="0"/>
          <w:numId w:val="0"/>
        </w:numPr>
        <w:spacing w:after="0"/>
        <w:rPr>
          <w:rFonts w:ascii="Arial Narrow" w:hAnsi="Arial Narrow"/>
          <w:snapToGrid/>
          <w:sz w:val="18"/>
        </w:rPr>
      </w:pPr>
      <w:r w:rsidRPr="008D0CDA">
        <w:rPr>
          <w:rFonts w:ascii="Arial Narrow" w:hAnsi="Arial Narrow"/>
          <w:snapToGrid/>
          <w:sz w:val="18"/>
        </w:rPr>
        <w:t>** As patient may use more than one drug, sum of prevalent including all drugs is more than the unique count for any drug.</w:t>
      </w:r>
    </w:p>
    <w:p w:rsidR="00550AF5" w:rsidRPr="008D0CDA" w:rsidRDefault="00550AF5" w:rsidP="00550AF5">
      <w:pPr>
        <w:pStyle w:val="3-BodyText"/>
        <w:numPr>
          <w:ilvl w:val="0"/>
          <w:numId w:val="0"/>
        </w:numPr>
        <w:spacing w:after="0"/>
        <w:rPr>
          <w:rFonts w:ascii="Arial Narrow" w:hAnsi="Arial Narrow"/>
          <w:snapToGrid/>
          <w:sz w:val="18"/>
        </w:rPr>
      </w:pPr>
      <w:r w:rsidRPr="008D0CDA">
        <w:rPr>
          <w:rFonts w:ascii="Arial Narrow" w:hAnsi="Arial Narrow"/>
          <w:snapToGrid/>
          <w:sz w:val="18"/>
        </w:rPr>
        <w:t>*** Figures are for first ever initiation on either abiraterone, cabazitaxel or enzalutamide. That is, this analysis identifies dispensing of first ever PBS treatment after docetaxel, or first ever drug supplied after no prior record of supply of docetaxel.</w:t>
      </w:r>
    </w:p>
    <w:p w:rsidR="00550AF5" w:rsidRPr="008D0CDA" w:rsidRDefault="00550AF5" w:rsidP="00550AF5">
      <w:pPr>
        <w:pStyle w:val="3-BodyText"/>
        <w:numPr>
          <w:ilvl w:val="0"/>
          <w:numId w:val="0"/>
        </w:numPr>
        <w:spacing w:after="0"/>
        <w:rPr>
          <w:rFonts w:ascii="Arial Narrow" w:hAnsi="Arial Narrow"/>
          <w:snapToGrid/>
          <w:sz w:val="18"/>
        </w:rPr>
      </w:pPr>
      <w:r w:rsidRPr="008D0CDA">
        <w:rPr>
          <w:rFonts w:ascii="Arial Narrow" w:hAnsi="Arial Narrow"/>
          <w:snapToGrid/>
          <w:sz w:val="18"/>
        </w:rPr>
        <w:t>Source: DUSC Secretariat</w:t>
      </w:r>
    </w:p>
    <w:p w:rsidR="00550AF5" w:rsidRPr="008D0CDA" w:rsidRDefault="00550AF5" w:rsidP="00550AF5">
      <w:pPr>
        <w:pStyle w:val="3-BodyText"/>
        <w:numPr>
          <w:ilvl w:val="0"/>
          <w:numId w:val="0"/>
        </w:numPr>
        <w:spacing w:after="240"/>
        <w:rPr>
          <w:rFonts w:ascii="Arial Narrow" w:hAnsi="Arial Narrow"/>
          <w:snapToGrid/>
          <w:sz w:val="18"/>
        </w:rPr>
      </w:pPr>
      <w:r w:rsidRPr="008D0CDA">
        <w:rPr>
          <w:rFonts w:ascii="Arial Narrow" w:hAnsi="Arial Narrow"/>
          <w:snapToGrid/>
          <w:sz w:val="18"/>
        </w:rPr>
        <w:t>DUSC = Drug Utilisation Sub-Committee; N.R = not reported</w:t>
      </w:r>
    </w:p>
    <w:p w:rsidR="00BB1A6E" w:rsidRPr="008D0CDA" w:rsidRDefault="000520D6" w:rsidP="005F0984">
      <w:pPr>
        <w:pStyle w:val="3-BodyText"/>
        <w:rPr>
          <w:snapToGrid/>
        </w:rPr>
      </w:pPr>
      <w:r w:rsidRPr="008D0CDA">
        <w:t xml:space="preserve">The ESC noted </w:t>
      </w:r>
      <w:r w:rsidR="00BB1A6E" w:rsidRPr="008D0CDA">
        <w:t>a study by Fendler et al 2019</w:t>
      </w:r>
      <w:r w:rsidR="00BB1A6E" w:rsidRPr="008D0CDA">
        <w:rPr>
          <w:vertAlign w:val="superscript"/>
        </w:rPr>
        <w:footnoteReference w:id="1"/>
      </w:r>
      <w:r w:rsidR="00BB1A6E" w:rsidRPr="008D0CDA">
        <w:t xml:space="preserve"> </w:t>
      </w:r>
      <w:r w:rsidR="00234AFC" w:rsidRPr="008D0CDA">
        <w:t xml:space="preserve">that </w:t>
      </w:r>
      <w:r w:rsidR="00BB1A6E" w:rsidRPr="008D0CDA">
        <w:t>retrospectively assessed the ext</w:t>
      </w:r>
      <w:r w:rsidR="00045DE4">
        <w:t xml:space="preserve">ent of disease detected by PSMA </w:t>
      </w:r>
      <w:r w:rsidR="00BB1A6E" w:rsidRPr="008D0CDA">
        <w:t>PET in a cohort (N = 200) of high-risk patients</w:t>
      </w:r>
      <w:r w:rsidR="00871470">
        <w:t>,</w:t>
      </w:r>
      <w:r w:rsidR="00234AFC" w:rsidRPr="008D0CDA">
        <w:t xml:space="preserve"> selected to be similar to that included in ARAMIS (and SPARTAN and PROSPER)</w:t>
      </w:r>
      <w:r w:rsidR="00871470">
        <w:t>,</w:t>
      </w:r>
      <w:r w:rsidR="00BB1A6E" w:rsidRPr="008D0CDA">
        <w:t xml:space="preserve"> with CRPC defined as non-metastatic by conventional imaging. PSMA</w:t>
      </w:r>
      <w:r w:rsidR="00CE38B4">
        <w:t xml:space="preserve"> </w:t>
      </w:r>
      <w:r w:rsidR="00BB1A6E" w:rsidRPr="008D0CDA">
        <w:t xml:space="preserve">PET positive cancer was detected in 98% of all study patients and 55% of the study population had distant metastatic disease despite having no signs of distant metastases on conventional imaging. </w:t>
      </w:r>
    </w:p>
    <w:p w:rsidR="003649DE" w:rsidRPr="003649DE" w:rsidRDefault="00FF5646" w:rsidP="005F0984">
      <w:pPr>
        <w:pStyle w:val="3-BodyText"/>
        <w:rPr>
          <w:snapToGrid/>
        </w:rPr>
      </w:pPr>
      <w:r>
        <w:t xml:space="preserve">The pre-PBAC response </w:t>
      </w:r>
      <w:r w:rsidR="003649DE">
        <w:t>estima</w:t>
      </w:r>
      <w:r>
        <w:t xml:space="preserve">ted that the overlapping population would be in the range of </w:t>
      </w:r>
      <w:r w:rsidR="00E729AF">
        <w:t>7.7</w:t>
      </w:r>
      <w:r w:rsidR="003649DE">
        <w:t xml:space="preserve">% to </w:t>
      </w:r>
      <w:r w:rsidR="00E729AF">
        <w:t>19.3</w:t>
      </w:r>
      <w:r>
        <w:t>%</w:t>
      </w:r>
      <w:r w:rsidR="00E729AF">
        <w:t xml:space="preserve"> (20% or 50% x 55% x 70%)</w:t>
      </w:r>
      <w:r w:rsidR="003649DE">
        <w:t xml:space="preserve">, assuming that: </w:t>
      </w:r>
    </w:p>
    <w:p w:rsidR="003649DE" w:rsidRPr="003649DE" w:rsidRDefault="003649DE" w:rsidP="003649DE">
      <w:pPr>
        <w:pStyle w:val="3-BodyText"/>
        <w:numPr>
          <w:ilvl w:val="1"/>
          <w:numId w:val="23"/>
        </w:numPr>
        <w:ind w:left="1077" w:hanging="357"/>
        <w:rPr>
          <w:snapToGrid/>
        </w:rPr>
      </w:pPr>
      <w:r>
        <w:t xml:space="preserve">20% to 50% of patients would receive a PSMA PET scan; </w:t>
      </w:r>
    </w:p>
    <w:p w:rsidR="003649DE" w:rsidRPr="003649DE" w:rsidRDefault="003649DE" w:rsidP="003649DE">
      <w:pPr>
        <w:pStyle w:val="3-BodyText"/>
        <w:numPr>
          <w:ilvl w:val="1"/>
          <w:numId w:val="23"/>
        </w:numPr>
        <w:ind w:left="1077" w:hanging="357"/>
        <w:rPr>
          <w:snapToGrid/>
        </w:rPr>
      </w:pPr>
      <w:r>
        <w:t>55% would not have signs of distant metastases on conventional imaging but would have signs using the PSM</w:t>
      </w:r>
      <w:r w:rsidR="00871470">
        <w:t>A</w:t>
      </w:r>
      <w:r>
        <w:t xml:space="preserve"> PET scan (from Fendler et al 2019);</w:t>
      </w:r>
      <w:r w:rsidR="00E729AF">
        <w:t xml:space="preserve"> and</w:t>
      </w:r>
    </w:p>
    <w:p w:rsidR="003649DE" w:rsidRPr="003649DE" w:rsidRDefault="003649DE" w:rsidP="003649DE">
      <w:pPr>
        <w:pStyle w:val="3-BodyText"/>
        <w:numPr>
          <w:ilvl w:val="1"/>
          <w:numId w:val="23"/>
        </w:numPr>
        <w:ind w:left="1077" w:hanging="357"/>
        <w:rPr>
          <w:snapToGrid/>
        </w:rPr>
      </w:pPr>
      <w:r>
        <w:t xml:space="preserve">70% of patients would be at risk of docetaxel toxicities and therefore able to receive </w:t>
      </w:r>
      <w:r w:rsidR="00E729AF">
        <w:t>abiraterone or enzalutamide.</w:t>
      </w:r>
    </w:p>
    <w:p w:rsidR="00522A60" w:rsidRPr="003649DE" w:rsidRDefault="002C071C" w:rsidP="003649DE">
      <w:pPr>
        <w:pStyle w:val="3-BodyText"/>
        <w:rPr>
          <w:snapToGrid/>
        </w:rPr>
      </w:pPr>
      <w:r>
        <w:t>The PBAC considered that g</w:t>
      </w:r>
      <w:r w:rsidRPr="008D0CDA">
        <w:t xml:space="preserve">iven </w:t>
      </w:r>
      <w:r>
        <w:t xml:space="preserve">the </w:t>
      </w:r>
      <w:r w:rsidR="00911034">
        <w:t>use of</w:t>
      </w:r>
      <w:r>
        <w:t xml:space="preserve"> abiraterone and </w:t>
      </w:r>
      <w:r w:rsidRPr="008D0CDA">
        <w:t>enzalutamide</w:t>
      </w:r>
      <w:r w:rsidR="002D2A8A">
        <w:t xml:space="preserve"> prior</w:t>
      </w:r>
      <w:r w:rsidR="00156E47">
        <w:t xml:space="preserve"> </w:t>
      </w:r>
      <w:r w:rsidR="00C9451A">
        <w:t>to docetaxel</w:t>
      </w:r>
      <w:r>
        <w:t>, the increasing use of PSMA PET scanning</w:t>
      </w:r>
      <w:r w:rsidR="00871470">
        <w:t>,</w:t>
      </w:r>
      <w:r>
        <w:t xml:space="preserve"> and the results of the study</w:t>
      </w:r>
      <w:r w:rsidRPr="008D0CDA">
        <w:t xml:space="preserve"> by </w:t>
      </w:r>
      <w:r w:rsidRPr="008D0CDA">
        <w:lastRenderedPageBreak/>
        <w:t xml:space="preserve">Fendler et al 2019, </w:t>
      </w:r>
      <w:r w:rsidR="003649DE">
        <w:t xml:space="preserve">the overlapping population would be </w:t>
      </w:r>
      <w:r w:rsidR="00E729AF">
        <w:t>substantial</w:t>
      </w:r>
      <w:r w:rsidR="00E729AF">
        <w:rPr>
          <w:snapToGrid/>
        </w:rPr>
        <w:t>.</w:t>
      </w:r>
      <w:r w:rsidR="002D2A8A">
        <w:rPr>
          <w:snapToGrid/>
        </w:rPr>
        <w:t xml:space="preserve"> As noted in paragraph </w:t>
      </w:r>
      <w:r w:rsidR="002D2A8A" w:rsidRPr="00871470">
        <w:rPr>
          <w:snapToGrid/>
        </w:rPr>
        <w:t>3.3</w:t>
      </w:r>
      <w:r w:rsidR="009C2E3A">
        <w:rPr>
          <w:snapToGrid/>
        </w:rPr>
        <w:t xml:space="preserve">, this supports a restriction </w:t>
      </w:r>
      <w:r w:rsidR="002D2A8A">
        <w:rPr>
          <w:snapToGrid/>
        </w:rPr>
        <w:t xml:space="preserve">for darolutamide </w:t>
      </w:r>
      <w:r w:rsidR="009C2E3A">
        <w:rPr>
          <w:snapToGrid/>
        </w:rPr>
        <w:t>that does not require staging as m0CRPC, and for this scenario</w:t>
      </w:r>
      <w:r w:rsidR="003B00FD">
        <w:rPr>
          <w:snapToGrid/>
        </w:rPr>
        <w:t xml:space="preserve"> the extent of overlap would be greater. </w:t>
      </w:r>
    </w:p>
    <w:p w:rsidR="003F4124" w:rsidRDefault="00522A60" w:rsidP="000D3836">
      <w:pPr>
        <w:pStyle w:val="3-BodyText"/>
      </w:pPr>
      <w:r w:rsidRPr="008D0CDA">
        <w:t xml:space="preserve">The </w:t>
      </w:r>
      <w:r w:rsidR="00963A04">
        <w:t xml:space="preserve">PBAC therefore </w:t>
      </w:r>
      <w:r w:rsidRPr="008D0CDA">
        <w:t xml:space="preserve">considered that, while SOC </w:t>
      </w:r>
      <w:r w:rsidR="00963A04">
        <w:t xml:space="preserve">had previously been considered </w:t>
      </w:r>
      <w:r w:rsidRPr="008D0CDA">
        <w:t xml:space="preserve">the relevant comparator, changing </w:t>
      </w:r>
      <w:r w:rsidR="00963A04">
        <w:t xml:space="preserve">clinical </w:t>
      </w:r>
      <w:r w:rsidRPr="008D0CDA">
        <w:t xml:space="preserve">practices supported </w:t>
      </w:r>
      <w:r w:rsidR="00963A04">
        <w:t xml:space="preserve">current </w:t>
      </w:r>
      <w:r w:rsidRPr="008D0CDA">
        <w:t xml:space="preserve">treatments for mCRPC </w:t>
      </w:r>
      <w:r w:rsidR="00963A04">
        <w:t>(</w:t>
      </w:r>
      <w:r w:rsidR="00F834F2">
        <w:t xml:space="preserve">i.e. </w:t>
      </w:r>
      <w:r w:rsidR="00963A04">
        <w:t xml:space="preserve">abiraterone and enzalutamide) </w:t>
      </w:r>
      <w:r w:rsidR="003B00FD">
        <w:t xml:space="preserve">also </w:t>
      </w:r>
      <w:r w:rsidRPr="008D0CDA">
        <w:t xml:space="preserve">being relevant comparators. </w:t>
      </w:r>
    </w:p>
    <w:p w:rsidR="006A65C9" w:rsidRPr="006A65C9" w:rsidRDefault="006A65C9" w:rsidP="006A65C9">
      <w:pPr>
        <w:pStyle w:val="3-BodyText"/>
        <w:numPr>
          <w:ilvl w:val="0"/>
          <w:numId w:val="0"/>
        </w:numPr>
        <w:ind w:left="720"/>
        <w:rPr>
          <w:i/>
        </w:rPr>
      </w:pPr>
      <w:r w:rsidRPr="006A65C9">
        <w:rPr>
          <w:i/>
        </w:rPr>
        <w:t>For more detail on PBAC’s view, see section 7 PBAC outcome.</w:t>
      </w:r>
    </w:p>
    <w:p w:rsidR="00223D5A" w:rsidRPr="00407F2D" w:rsidRDefault="00223D5A" w:rsidP="00223D5A">
      <w:pPr>
        <w:pStyle w:val="2-SectionHeading"/>
      </w:pPr>
      <w:bookmarkStart w:id="10" w:name="_Toc62023469"/>
      <w:bookmarkStart w:id="11" w:name="_Toc22897640"/>
      <w:r>
        <w:t>C</w:t>
      </w:r>
      <w:r w:rsidRPr="00407F2D">
        <w:t>onsideration of the evidence</w:t>
      </w:r>
      <w:bookmarkEnd w:id="10"/>
    </w:p>
    <w:p w:rsidR="00670A2B" w:rsidRPr="00836F75" w:rsidRDefault="00670A2B" w:rsidP="00670A2B">
      <w:pPr>
        <w:pStyle w:val="4-SubsectionHeading"/>
        <w:rPr>
          <w:snapToGrid w:val="0"/>
        </w:rPr>
      </w:pPr>
      <w:bookmarkStart w:id="12" w:name="_Toc62023470"/>
      <w:r w:rsidRPr="00836F75">
        <w:rPr>
          <w:snapToGrid w:val="0"/>
        </w:rPr>
        <w:t>Sponsor hearing</w:t>
      </w:r>
    </w:p>
    <w:p w:rsidR="00670A2B" w:rsidRPr="00836F75" w:rsidRDefault="00670A2B" w:rsidP="00670A2B">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There was no hearing for this item.</w:t>
      </w:r>
    </w:p>
    <w:p w:rsidR="00670A2B" w:rsidRPr="00836F75" w:rsidRDefault="00670A2B" w:rsidP="00670A2B">
      <w:pPr>
        <w:pStyle w:val="4-SubsectionHeading"/>
        <w:rPr>
          <w:snapToGrid w:val="0"/>
        </w:rPr>
      </w:pPr>
      <w:r w:rsidRPr="00836F75">
        <w:rPr>
          <w:snapToGrid w:val="0"/>
        </w:rPr>
        <w:t>Consumer comments</w:t>
      </w:r>
    </w:p>
    <w:p w:rsidR="00670A2B" w:rsidRPr="00836F75" w:rsidRDefault="00670A2B" w:rsidP="00670A2B">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The PBAC noted and welcomed the input from health care professionals (</w:t>
      </w:r>
      <w:r w:rsidR="002D157E">
        <w:rPr>
          <w:rFonts w:asciiTheme="minorHAnsi" w:hAnsiTheme="minorHAnsi"/>
          <w:bCs/>
          <w:snapToGrid w:val="0"/>
        </w:rPr>
        <w:t>4</w:t>
      </w:r>
      <w:r w:rsidRPr="00836F75">
        <w:rPr>
          <w:rFonts w:asciiTheme="minorHAnsi" w:hAnsiTheme="minorHAnsi"/>
          <w:bCs/>
          <w:snapToGrid w:val="0"/>
        </w:rPr>
        <w:t xml:space="preserve">) and organisations (1) via the Consumer Comments facility on the PBS website.  The comments described </w:t>
      </w:r>
      <w:r w:rsidR="002D157E">
        <w:rPr>
          <w:rFonts w:asciiTheme="minorHAnsi" w:hAnsiTheme="minorHAnsi"/>
          <w:bCs/>
          <w:snapToGrid w:val="0"/>
        </w:rPr>
        <w:t>the unmet clinical need for patients with m0CRPC and the</w:t>
      </w:r>
      <w:r w:rsidRPr="00836F75">
        <w:rPr>
          <w:rFonts w:asciiTheme="minorHAnsi" w:hAnsiTheme="minorHAnsi"/>
          <w:bCs/>
          <w:snapToGrid w:val="0"/>
        </w:rPr>
        <w:t xml:space="preserve"> benefits of treatment </w:t>
      </w:r>
      <w:r w:rsidR="002D157E">
        <w:rPr>
          <w:rFonts w:asciiTheme="minorHAnsi" w:hAnsiTheme="minorHAnsi"/>
          <w:bCs/>
          <w:snapToGrid w:val="0"/>
        </w:rPr>
        <w:t>darolutamide</w:t>
      </w:r>
      <w:r w:rsidRPr="00836F75">
        <w:rPr>
          <w:rFonts w:asciiTheme="minorHAnsi" w:hAnsiTheme="minorHAnsi"/>
          <w:bCs/>
          <w:snapToGrid w:val="0"/>
        </w:rPr>
        <w:t xml:space="preserve"> including </w:t>
      </w:r>
      <w:r w:rsidR="002D157E">
        <w:rPr>
          <w:rFonts w:asciiTheme="minorHAnsi" w:hAnsiTheme="minorHAnsi"/>
          <w:bCs/>
          <w:snapToGrid w:val="0"/>
        </w:rPr>
        <w:t>improved overall survival and a well tolerated safety profile.</w:t>
      </w:r>
      <w:r w:rsidRPr="00836F75">
        <w:rPr>
          <w:rFonts w:asciiTheme="minorHAnsi" w:hAnsiTheme="minorHAnsi"/>
          <w:bCs/>
          <w:snapToGrid w:val="0"/>
        </w:rPr>
        <w:t xml:space="preserve">  </w:t>
      </w:r>
    </w:p>
    <w:p w:rsidR="00670A2B" w:rsidRDefault="00670A2B" w:rsidP="00670A2B">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PBAC noted the advice received from </w:t>
      </w:r>
      <w:r w:rsidR="002D157E">
        <w:rPr>
          <w:rFonts w:asciiTheme="minorHAnsi" w:hAnsiTheme="minorHAnsi"/>
          <w:bCs/>
          <w:snapToGrid w:val="0"/>
        </w:rPr>
        <w:t>the Prostate Cancer Foundation of Australia</w:t>
      </w:r>
      <w:r w:rsidRPr="00836F75">
        <w:rPr>
          <w:rFonts w:asciiTheme="minorHAnsi" w:hAnsiTheme="minorHAnsi"/>
          <w:bCs/>
          <w:snapToGrid w:val="0"/>
        </w:rPr>
        <w:t xml:space="preserve"> clarifying the likely use of </w:t>
      </w:r>
      <w:r w:rsidR="002D157E">
        <w:rPr>
          <w:rFonts w:asciiTheme="minorHAnsi" w:hAnsiTheme="minorHAnsi"/>
          <w:bCs/>
          <w:snapToGrid w:val="0"/>
        </w:rPr>
        <w:t>darolutamide</w:t>
      </w:r>
      <w:r w:rsidRPr="00836F75">
        <w:rPr>
          <w:rFonts w:asciiTheme="minorHAnsi" w:hAnsiTheme="minorHAnsi"/>
          <w:bCs/>
          <w:snapToGrid w:val="0"/>
        </w:rPr>
        <w:t xml:space="preserve"> in clinical practice. The PBAC specifically noted the advice that the use of </w:t>
      </w:r>
      <w:r w:rsidR="002D157E">
        <w:rPr>
          <w:rFonts w:asciiTheme="minorHAnsi" w:hAnsiTheme="minorHAnsi"/>
          <w:bCs/>
          <w:snapToGrid w:val="0"/>
        </w:rPr>
        <w:t>darolutamide</w:t>
      </w:r>
      <w:r w:rsidRPr="00836F75">
        <w:rPr>
          <w:rFonts w:asciiTheme="minorHAnsi" w:hAnsiTheme="minorHAnsi"/>
          <w:bCs/>
          <w:snapToGrid w:val="0"/>
        </w:rPr>
        <w:t xml:space="preserve"> may </w:t>
      </w:r>
      <w:r w:rsidR="002D157E">
        <w:rPr>
          <w:rFonts w:asciiTheme="minorHAnsi" w:hAnsiTheme="minorHAnsi"/>
          <w:bCs/>
          <w:snapToGrid w:val="0"/>
        </w:rPr>
        <w:t>delay metastases and increase overall survival for patients with m0CRPC</w:t>
      </w:r>
      <w:r w:rsidRPr="00836F75">
        <w:rPr>
          <w:rFonts w:asciiTheme="minorHAnsi" w:hAnsiTheme="minorHAnsi"/>
          <w:bCs/>
          <w:snapToGrid w:val="0"/>
        </w:rPr>
        <w:t>. The PBAC noted that this advice was supportive of the evidence provided in the submission.</w:t>
      </w:r>
    </w:p>
    <w:p w:rsidR="00B23471" w:rsidRDefault="00B23471" w:rsidP="00670A2B">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PBAC noted that there was no input from the Medical Oncology Group of Australia (MOGA), but that in July 2020 the MOGA </w:t>
      </w:r>
      <w:r>
        <w:t>expressed its strong support for the darolutamide submission, categorising it as one of the therapies of “high priority for PBS listing” on the basis of the ARAMIS trial. In July 2020 the MOGA presented a European Society for Medical Oncology Magnitude of Clinical Benefit Scale (ESMO-MCBS) for darolutamide, which was limited to 3 (out of a maximum of 5, where 5 and 4 represent the grades with substantial improvement)</w:t>
      </w:r>
      <w:r>
        <w:rPr>
          <w:rStyle w:val="FootnoteReference"/>
        </w:rPr>
        <w:footnoteReference w:id="2"/>
      </w:r>
      <w:r>
        <w:t xml:space="preserve"> , based on a comparison with placebo + ADT.</w:t>
      </w:r>
    </w:p>
    <w:p w:rsidR="00B60939" w:rsidRPr="00C9624D" w:rsidRDefault="00B60939" w:rsidP="002E4F02">
      <w:pPr>
        <w:pStyle w:val="4-SubsectionHeading"/>
      </w:pPr>
      <w:r w:rsidRPr="00C9624D">
        <w:lastRenderedPageBreak/>
        <w:t>Clinical trials</w:t>
      </w:r>
      <w:bookmarkEnd w:id="11"/>
      <w:bookmarkEnd w:id="12"/>
    </w:p>
    <w:p w:rsidR="00523282" w:rsidRPr="00470FAC" w:rsidRDefault="00523282" w:rsidP="002E4F02">
      <w:pPr>
        <w:pStyle w:val="3-BodyText"/>
        <w:rPr>
          <w:color w:val="0066FF"/>
        </w:rPr>
      </w:pPr>
      <w:r w:rsidRPr="008D0CDA">
        <w:t>The resubmission was again based on the ARAMIS trial, a direct comparison of darolutamide and SOC in patients with m0CRPC at high risk of developing distant metastases.</w:t>
      </w:r>
      <w:r w:rsidRPr="00470FAC">
        <w:t xml:space="preserve"> No updated data were presented from the ARAMIS trial.</w:t>
      </w:r>
    </w:p>
    <w:p w:rsidR="00523282" w:rsidRPr="00470FAC" w:rsidRDefault="00CE6036" w:rsidP="002E4F02">
      <w:pPr>
        <w:pStyle w:val="3-BodyText"/>
        <w:rPr>
          <w:color w:val="0066FF"/>
        </w:rPr>
      </w:pPr>
      <w:r w:rsidRPr="008D0CDA">
        <w:t>I</w:t>
      </w:r>
      <w:r w:rsidR="00523282" w:rsidRPr="008D0CDA">
        <w:t xml:space="preserve">ndirect </w:t>
      </w:r>
      <w:r w:rsidRPr="008D0CDA">
        <w:t xml:space="preserve">treatment </w:t>
      </w:r>
      <w:r w:rsidR="00523282" w:rsidRPr="008D0CDA">
        <w:t xml:space="preserve">comparisons </w:t>
      </w:r>
      <w:r w:rsidRPr="008D0CDA">
        <w:t xml:space="preserve">(ITCs) </w:t>
      </w:r>
      <w:r w:rsidR="00523282" w:rsidRPr="008D0CDA">
        <w:t>versus the near market comparators apalutamide (using the SPARTAN trial) and enzalutamide (using the PROSPER trial), with SOC as the common reference were also again presented.</w:t>
      </w:r>
      <w:r w:rsidR="00523282" w:rsidRPr="00470FAC">
        <w:t xml:space="preserve"> </w:t>
      </w:r>
      <w:r w:rsidR="00504985" w:rsidRPr="00470FAC">
        <w:t>Final</w:t>
      </w:r>
      <w:r w:rsidR="00523282" w:rsidRPr="00470FAC">
        <w:t xml:space="preserve"> OS data were presented for both the SPARTAN and PROS</w:t>
      </w:r>
      <w:r w:rsidR="004F57BC">
        <w:t>P</w:t>
      </w:r>
      <w:r w:rsidR="00523282" w:rsidRPr="00470FAC">
        <w:t>ER trials.</w:t>
      </w:r>
    </w:p>
    <w:p w:rsidR="00523282" w:rsidRPr="00470FAC" w:rsidRDefault="00CE6036" w:rsidP="002E4F02">
      <w:pPr>
        <w:pStyle w:val="3-BodyText"/>
        <w:rPr>
          <w:color w:val="0066FF"/>
        </w:rPr>
      </w:pPr>
      <w:r w:rsidRPr="00470FAC">
        <w:t>The resubmission also presented data from two matching-adjusted indirect comparisons</w:t>
      </w:r>
      <w:r w:rsidR="003F1AEC" w:rsidRPr="00470FAC">
        <w:t xml:space="preserve"> (MAICs)</w:t>
      </w:r>
      <w:r w:rsidR="00D412D2" w:rsidRPr="00470FAC">
        <w:t xml:space="preserve"> of MFS (Jiang 2020a) and safety (Jiang 2020b)</w:t>
      </w:r>
      <w:r w:rsidRPr="00470FAC">
        <w:t xml:space="preserve"> as supplementary analyses to the ITCs</w:t>
      </w:r>
      <w:r w:rsidR="003F1AEC" w:rsidRPr="00470FAC">
        <w:t>.</w:t>
      </w:r>
    </w:p>
    <w:p w:rsidR="00523282" w:rsidRPr="00470FAC" w:rsidRDefault="00523282" w:rsidP="002E4F02">
      <w:pPr>
        <w:pStyle w:val="3-BodyText"/>
        <w:rPr>
          <w:color w:val="0066FF"/>
        </w:rPr>
      </w:pPr>
      <w:r w:rsidRPr="00470FAC">
        <w:t xml:space="preserve">Details of the trials presented in the submission are provided in Table </w:t>
      </w:r>
      <w:r w:rsidR="000C08E6">
        <w:t>4</w:t>
      </w:r>
      <w:r w:rsidRPr="00470FAC">
        <w:t>.</w:t>
      </w:r>
      <w:r w:rsidRPr="00470FAC">
        <w:rPr>
          <w:snapToGrid/>
          <w:color w:val="0066FF"/>
          <w:lang w:val="en-US"/>
        </w:rPr>
        <w:t xml:space="preserve"> </w:t>
      </w:r>
    </w:p>
    <w:p w:rsidR="00523282" w:rsidRPr="00882CE2" w:rsidRDefault="00523282" w:rsidP="00BB2576">
      <w:pPr>
        <w:keepNext/>
        <w:keepLines/>
        <w:widowControl w:val="0"/>
      </w:pPr>
      <w:r w:rsidRPr="00882CE2">
        <w:rPr>
          <w:rStyle w:val="CommentReference"/>
        </w:rPr>
        <w:lastRenderedPageBreak/>
        <w:t xml:space="preserve">Table </w:t>
      </w:r>
      <w:r w:rsidR="000C08E6">
        <w:rPr>
          <w:rStyle w:val="CommentReference"/>
        </w:rPr>
        <w:t>4</w:t>
      </w:r>
      <w:r w:rsidRPr="00882CE2">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523282" w:rsidRPr="00B41614" w:rsidTr="00523282">
        <w:trPr>
          <w:tblHeader/>
        </w:trPr>
        <w:tc>
          <w:tcPr>
            <w:tcW w:w="796" w:type="pct"/>
            <w:tcBorders>
              <w:bottom w:val="single" w:sz="4" w:space="0" w:color="auto"/>
            </w:tcBorders>
            <w:vAlign w:val="center"/>
          </w:tcPr>
          <w:p w:rsidR="00523282" w:rsidRPr="00B41614" w:rsidRDefault="00523282" w:rsidP="00BB2576">
            <w:pPr>
              <w:pStyle w:val="Tabletext"/>
              <w:keepNext/>
              <w:keepLines/>
              <w:widowControl w:val="0"/>
              <w:rPr>
                <w:b/>
              </w:rPr>
            </w:pPr>
            <w:r w:rsidRPr="00B41614">
              <w:rPr>
                <w:b/>
              </w:rPr>
              <w:t>Trial ID</w:t>
            </w:r>
          </w:p>
        </w:tc>
        <w:tc>
          <w:tcPr>
            <w:tcW w:w="3027" w:type="pct"/>
            <w:tcBorders>
              <w:bottom w:val="single" w:sz="4" w:space="0" w:color="auto"/>
            </w:tcBorders>
            <w:vAlign w:val="center"/>
          </w:tcPr>
          <w:p w:rsidR="00523282" w:rsidRPr="00B41614" w:rsidRDefault="00523282" w:rsidP="00BB2576">
            <w:pPr>
              <w:pStyle w:val="Tabletext"/>
              <w:keepNext/>
              <w:keepLines/>
              <w:widowControl w:val="0"/>
              <w:jc w:val="center"/>
              <w:rPr>
                <w:b/>
              </w:rPr>
            </w:pPr>
            <w:r w:rsidRPr="00B41614">
              <w:rPr>
                <w:b/>
              </w:rPr>
              <w:t>Protocol title/ Publication title</w:t>
            </w:r>
          </w:p>
        </w:tc>
        <w:tc>
          <w:tcPr>
            <w:tcW w:w="1177" w:type="pct"/>
            <w:tcBorders>
              <w:bottom w:val="single" w:sz="4" w:space="0" w:color="auto"/>
            </w:tcBorders>
            <w:vAlign w:val="center"/>
          </w:tcPr>
          <w:p w:rsidR="00523282" w:rsidRPr="00B41614" w:rsidRDefault="00523282" w:rsidP="00BB2576">
            <w:pPr>
              <w:pStyle w:val="Tabletext"/>
              <w:keepNext/>
              <w:keepLines/>
              <w:widowControl w:val="0"/>
              <w:jc w:val="center"/>
              <w:rPr>
                <w:b/>
              </w:rPr>
            </w:pPr>
            <w:r w:rsidRPr="00B41614">
              <w:rPr>
                <w:b/>
              </w:rPr>
              <w:t>Publication citation</w:t>
            </w:r>
          </w:p>
        </w:tc>
      </w:tr>
      <w:tr w:rsidR="00523282" w:rsidRPr="00B41614" w:rsidTr="00523282">
        <w:tc>
          <w:tcPr>
            <w:tcW w:w="5000" w:type="pct"/>
            <w:gridSpan w:val="3"/>
            <w:tcBorders>
              <w:bottom w:val="single" w:sz="4" w:space="0" w:color="auto"/>
            </w:tcBorders>
            <w:vAlign w:val="center"/>
          </w:tcPr>
          <w:p w:rsidR="00523282" w:rsidRPr="00B41614" w:rsidRDefault="00523282" w:rsidP="00BB2576">
            <w:pPr>
              <w:pStyle w:val="Tabletext"/>
              <w:keepNext/>
              <w:keepLines/>
              <w:widowControl w:val="0"/>
              <w:rPr>
                <w:b/>
              </w:rPr>
            </w:pPr>
            <w:r>
              <w:rPr>
                <w:b/>
              </w:rPr>
              <w:t>Darolutamide trial</w:t>
            </w:r>
          </w:p>
        </w:tc>
      </w:tr>
      <w:tr w:rsidR="002A3F17" w:rsidRPr="00CB38A8" w:rsidTr="008D0CDA">
        <w:tc>
          <w:tcPr>
            <w:tcW w:w="796" w:type="pct"/>
            <w:vMerge w:val="restart"/>
            <w:vAlign w:val="center"/>
          </w:tcPr>
          <w:p w:rsidR="002A3F17" w:rsidRDefault="002A3F17" w:rsidP="00BB2576">
            <w:pPr>
              <w:pStyle w:val="Tabletext"/>
              <w:keepNext/>
              <w:keepLines/>
              <w:widowControl w:val="0"/>
            </w:pPr>
            <w:r>
              <w:t>ARAMIS</w:t>
            </w:r>
          </w:p>
        </w:tc>
        <w:tc>
          <w:tcPr>
            <w:tcW w:w="3027" w:type="pct"/>
            <w:tcBorders>
              <w:bottom w:val="nil"/>
            </w:tcBorders>
            <w:shd w:val="clear" w:color="auto" w:fill="auto"/>
            <w:vAlign w:val="center"/>
          </w:tcPr>
          <w:p w:rsidR="002A3F17" w:rsidRDefault="002A3F17" w:rsidP="00BB2576">
            <w:pPr>
              <w:pStyle w:val="Tabletext"/>
              <w:keepNext/>
              <w:keepLines/>
              <w:widowControl w:val="0"/>
              <w:rPr>
                <w:szCs w:val="18"/>
              </w:rPr>
            </w:pPr>
            <w:r>
              <w:rPr>
                <w:szCs w:val="18"/>
              </w:rPr>
              <w:t>A multi-national, randomised, double blind, placebo-controlled, Phase III efficacy and safety study of darolutamide (ODM-201) in men with high risk non-metastatic-castration-resistant prostate cancer.</w:t>
            </w:r>
          </w:p>
        </w:tc>
        <w:tc>
          <w:tcPr>
            <w:tcW w:w="1177" w:type="pct"/>
            <w:tcBorders>
              <w:bottom w:val="nil"/>
            </w:tcBorders>
            <w:shd w:val="clear" w:color="auto" w:fill="auto"/>
          </w:tcPr>
          <w:p w:rsidR="002A3F17" w:rsidRPr="00496F4E" w:rsidRDefault="002A3F17" w:rsidP="00BB2576">
            <w:pPr>
              <w:pStyle w:val="Tabletext"/>
              <w:keepNext/>
              <w:keepLines/>
              <w:widowControl w:val="0"/>
            </w:pPr>
            <w:r>
              <w:t>February 2019</w:t>
            </w:r>
          </w:p>
        </w:tc>
      </w:tr>
      <w:tr w:rsidR="002A3F17" w:rsidRPr="00CB38A8" w:rsidTr="008D0CDA">
        <w:tc>
          <w:tcPr>
            <w:tcW w:w="796" w:type="pct"/>
            <w:vMerge/>
            <w:vAlign w:val="center"/>
          </w:tcPr>
          <w:p w:rsidR="002A3F17" w:rsidRDefault="002A3F17" w:rsidP="00BB2576">
            <w:pPr>
              <w:pStyle w:val="Tabletext"/>
              <w:keepNext/>
              <w:keepLines/>
              <w:widowControl w:val="0"/>
            </w:pPr>
          </w:p>
        </w:tc>
        <w:tc>
          <w:tcPr>
            <w:tcW w:w="3027" w:type="pct"/>
            <w:tcBorders>
              <w:top w:val="nil"/>
              <w:bottom w:val="nil"/>
            </w:tcBorders>
            <w:shd w:val="clear" w:color="auto" w:fill="auto"/>
            <w:vAlign w:val="center"/>
          </w:tcPr>
          <w:p w:rsidR="002A3F17" w:rsidRDefault="002A3F17" w:rsidP="00BB2576">
            <w:pPr>
              <w:pStyle w:val="Tabletext"/>
              <w:keepNext/>
              <w:keepLines/>
              <w:widowControl w:val="0"/>
              <w:rPr>
                <w:szCs w:val="18"/>
              </w:rPr>
            </w:pPr>
            <w:r w:rsidRPr="009A4DCD">
              <w:rPr>
                <w:rFonts w:cs="Arial"/>
                <w:szCs w:val="20"/>
                <w:lang w:val="fr-FR"/>
              </w:rPr>
              <w:t>Fizazi K, Shore N, Tammela TL</w:t>
            </w:r>
            <w:r>
              <w:rPr>
                <w:rFonts w:cs="Arial"/>
                <w:szCs w:val="20"/>
                <w:lang w:val="fr-FR"/>
              </w:rPr>
              <w:t xml:space="preserve">, </w:t>
            </w:r>
            <w:r w:rsidRPr="009A4DCD">
              <w:rPr>
                <w:rFonts w:cs="Arial"/>
                <w:szCs w:val="20"/>
                <w:lang w:val="fr-FR"/>
              </w:rPr>
              <w:t xml:space="preserve">et al. </w:t>
            </w:r>
            <w:r w:rsidRPr="009A4DCD">
              <w:rPr>
                <w:rFonts w:cs="Arial"/>
                <w:szCs w:val="20"/>
                <w:lang w:val="it-IT"/>
              </w:rPr>
              <w:t>Darolutamide in non-metastatic castration-resistant prostate cancer.</w:t>
            </w:r>
          </w:p>
        </w:tc>
        <w:tc>
          <w:tcPr>
            <w:tcW w:w="1177" w:type="pct"/>
            <w:tcBorders>
              <w:top w:val="nil"/>
              <w:bottom w:val="nil"/>
            </w:tcBorders>
            <w:shd w:val="clear" w:color="auto" w:fill="auto"/>
          </w:tcPr>
          <w:p w:rsidR="002A3F17" w:rsidRPr="00496F4E" w:rsidRDefault="002A3F17" w:rsidP="00BB2576">
            <w:pPr>
              <w:pStyle w:val="Tabletext"/>
              <w:keepNext/>
              <w:keepLines/>
              <w:widowControl w:val="0"/>
            </w:pPr>
            <w:r>
              <w:rPr>
                <w:i/>
                <w:szCs w:val="18"/>
              </w:rPr>
              <w:t xml:space="preserve">NEJM. </w:t>
            </w:r>
            <w:r>
              <w:rPr>
                <w:szCs w:val="18"/>
              </w:rPr>
              <w:t>2019;380(13): 1235-1246</w:t>
            </w:r>
          </w:p>
        </w:tc>
      </w:tr>
      <w:tr w:rsidR="002A3F17" w:rsidRPr="00CB38A8" w:rsidTr="008D0CDA">
        <w:tc>
          <w:tcPr>
            <w:tcW w:w="796" w:type="pct"/>
            <w:vMerge/>
            <w:vAlign w:val="center"/>
          </w:tcPr>
          <w:p w:rsidR="002A3F17" w:rsidRPr="0078711A" w:rsidRDefault="002A3F17" w:rsidP="00BB2576">
            <w:pPr>
              <w:pStyle w:val="NormalWeb"/>
              <w:keepNext/>
              <w:keepLines/>
              <w:widowControl w:val="0"/>
              <w:rPr>
                <w:rFonts w:ascii="Arial Narrow" w:hAnsi="Arial Narrow"/>
                <w:sz w:val="20"/>
                <w:szCs w:val="20"/>
              </w:rPr>
            </w:pPr>
          </w:p>
        </w:tc>
        <w:tc>
          <w:tcPr>
            <w:tcW w:w="3027" w:type="pct"/>
            <w:tcBorders>
              <w:top w:val="nil"/>
              <w:bottom w:val="nil"/>
            </w:tcBorders>
            <w:shd w:val="clear" w:color="auto" w:fill="auto"/>
            <w:vAlign w:val="center"/>
          </w:tcPr>
          <w:p w:rsidR="002A3F17" w:rsidRDefault="002A3F17" w:rsidP="00BB2576">
            <w:pPr>
              <w:pStyle w:val="Tabletext"/>
              <w:keepNext/>
              <w:keepLines/>
              <w:widowControl w:val="0"/>
              <w:rPr>
                <w:szCs w:val="18"/>
              </w:rPr>
            </w:pPr>
            <w:r>
              <w:rPr>
                <w:szCs w:val="18"/>
              </w:rPr>
              <w:t>Shore N, Zurth C, Fricke R, et al.  Evaluation of clinically relevant drug-drug-interactions and population pharmacokinetics of darolutamide in patients with non-metastatic castration-resistant prostate cancer: Results of pre-specified and post hoc analyses of the Phase III ARAMIS trial.</w:t>
            </w:r>
          </w:p>
        </w:tc>
        <w:tc>
          <w:tcPr>
            <w:tcW w:w="1177" w:type="pct"/>
            <w:tcBorders>
              <w:top w:val="nil"/>
              <w:bottom w:val="nil"/>
            </w:tcBorders>
            <w:shd w:val="clear" w:color="auto" w:fill="auto"/>
          </w:tcPr>
          <w:p w:rsidR="002A3F17" w:rsidRPr="00496F4E" w:rsidRDefault="002A3F17" w:rsidP="00BB2576">
            <w:pPr>
              <w:pStyle w:val="Tabletext"/>
              <w:keepNext/>
              <w:keepLines/>
              <w:widowControl w:val="0"/>
            </w:pPr>
            <w:r w:rsidRPr="0078711A">
              <w:rPr>
                <w:i/>
                <w:iCs/>
              </w:rPr>
              <w:t>Target Oncol</w:t>
            </w:r>
            <w:r>
              <w:rPr>
                <w:i/>
                <w:iCs/>
              </w:rPr>
              <w:t>.</w:t>
            </w:r>
            <w:r>
              <w:t xml:space="preserve"> 2019;14(5): 527-539</w:t>
            </w:r>
          </w:p>
        </w:tc>
      </w:tr>
      <w:tr w:rsidR="002A3F17" w:rsidRPr="00CB38A8" w:rsidTr="00523282">
        <w:tc>
          <w:tcPr>
            <w:tcW w:w="796" w:type="pct"/>
            <w:vMerge/>
            <w:tcBorders>
              <w:bottom w:val="single" w:sz="4" w:space="0" w:color="auto"/>
            </w:tcBorders>
            <w:vAlign w:val="center"/>
          </w:tcPr>
          <w:p w:rsidR="002A3F17" w:rsidRPr="0078711A" w:rsidRDefault="002A3F17" w:rsidP="00BB2576">
            <w:pPr>
              <w:pStyle w:val="NormalWeb"/>
              <w:keepNext/>
              <w:keepLines/>
              <w:widowControl w:val="0"/>
              <w:rPr>
                <w:rFonts w:ascii="Arial Narrow" w:hAnsi="Arial Narrow"/>
                <w:sz w:val="20"/>
                <w:szCs w:val="20"/>
              </w:rPr>
            </w:pPr>
          </w:p>
        </w:tc>
        <w:tc>
          <w:tcPr>
            <w:tcW w:w="3027" w:type="pct"/>
            <w:tcBorders>
              <w:top w:val="nil"/>
              <w:bottom w:val="single" w:sz="4" w:space="0" w:color="auto"/>
            </w:tcBorders>
            <w:shd w:val="clear" w:color="auto" w:fill="FFFFFF" w:themeFill="background1"/>
            <w:vAlign w:val="center"/>
          </w:tcPr>
          <w:p w:rsidR="002A3F17" w:rsidRDefault="002A3F17" w:rsidP="00BB2576">
            <w:pPr>
              <w:pStyle w:val="Tabletext"/>
              <w:keepNext/>
              <w:keepLines/>
              <w:widowControl w:val="0"/>
              <w:rPr>
                <w:szCs w:val="18"/>
              </w:rPr>
            </w:pPr>
            <w:r>
              <w:rPr>
                <w:szCs w:val="18"/>
              </w:rPr>
              <w:t>Fizazi K, Shore N, Tammela TL, et al. Nonmetastatic, castration-resistant prostate cancer and survival with darolutamide.</w:t>
            </w:r>
          </w:p>
        </w:tc>
        <w:tc>
          <w:tcPr>
            <w:tcW w:w="1177" w:type="pct"/>
            <w:tcBorders>
              <w:top w:val="nil"/>
              <w:bottom w:val="single" w:sz="4" w:space="0" w:color="auto"/>
            </w:tcBorders>
            <w:shd w:val="clear" w:color="auto" w:fill="FFFFFF" w:themeFill="background1"/>
          </w:tcPr>
          <w:p w:rsidR="002A3F17" w:rsidRPr="006148BD" w:rsidRDefault="002A3F17" w:rsidP="00BB2576">
            <w:pPr>
              <w:pStyle w:val="Tabletext"/>
              <w:keepNext/>
              <w:keepLines/>
              <w:widowControl w:val="0"/>
              <w:rPr>
                <w:iCs/>
              </w:rPr>
            </w:pPr>
            <w:r>
              <w:rPr>
                <w:i/>
                <w:iCs/>
              </w:rPr>
              <w:t xml:space="preserve">NEJM. </w:t>
            </w:r>
            <w:r>
              <w:rPr>
                <w:iCs/>
              </w:rPr>
              <w:t>2020;383:1040-1049.</w:t>
            </w:r>
          </w:p>
        </w:tc>
      </w:tr>
      <w:tr w:rsidR="00523282" w:rsidRPr="005469AB" w:rsidTr="00523282">
        <w:tc>
          <w:tcPr>
            <w:tcW w:w="5000" w:type="pct"/>
            <w:gridSpan w:val="3"/>
            <w:tcBorders>
              <w:top w:val="single" w:sz="4" w:space="0" w:color="auto"/>
              <w:bottom w:val="nil"/>
            </w:tcBorders>
            <w:vAlign w:val="center"/>
          </w:tcPr>
          <w:p w:rsidR="00523282" w:rsidRPr="005469AB" w:rsidRDefault="00523282" w:rsidP="00BB2576">
            <w:pPr>
              <w:pStyle w:val="Tabletext"/>
              <w:keepNext/>
              <w:keepLines/>
              <w:widowControl w:val="0"/>
              <w:rPr>
                <w:b/>
                <w:szCs w:val="18"/>
              </w:rPr>
            </w:pPr>
            <w:r w:rsidRPr="005469AB">
              <w:rPr>
                <w:b/>
                <w:szCs w:val="18"/>
              </w:rPr>
              <w:t>Apalutamide trial</w:t>
            </w:r>
          </w:p>
        </w:tc>
      </w:tr>
      <w:tr w:rsidR="002A3F17" w:rsidRPr="00CB38A8" w:rsidTr="008D0CDA">
        <w:tc>
          <w:tcPr>
            <w:tcW w:w="796" w:type="pct"/>
            <w:vMerge w:val="restart"/>
            <w:tcBorders>
              <w:top w:val="single" w:sz="4" w:space="0" w:color="auto"/>
            </w:tcBorders>
            <w:vAlign w:val="center"/>
          </w:tcPr>
          <w:p w:rsidR="002A3F17" w:rsidRPr="00CB38A8" w:rsidRDefault="002A3F17" w:rsidP="00BB2576">
            <w:pPr>
              <w:pStyle w:val="Tabletext"/>
              <w:keepNext/>
              <w:keepLines/>
              <w:widowControl w:val="0"/>
              <w:rPr>
                <w:rFonts w:ascii="Times" w:hAnsi="Times"/>
              </w:rPr>
            </w:pPr>
            <w:r>
              <w:t>SPARTAN</w:t>
            </w:r>
          </w:p>
        </w:tc>
        <w:tc>
          <w:tcPr>
            <w:tcW w:w="3027" w:type="pct"/>
            <w:tcBorders>
              <w:top w:val="single" w:sz="4" w:space="0" w:color="auto"/>
              <w:bottom w:val="nil"/>
            </w:tcBorders>
            <w:shd w:val="clear" w:color="auto" w:fill="auto"/>
          </w:tcPr>
          <w:p w:rsidR="002A3F17" w:rsidRPr="00AB6248" w:rsidRDefault="002A3F17" w:rsidP="00BB2576">
            <w:pPr>
              <w:pStyle w:val="Tabletext"/>
              <w:keepNext/>
              <w:keepLines/>
              <w:widowControl w:val="0"/>
              <w:rPr>
                <w:szCs w:val="18"/>
              </w:rPr>
            </w:pPr>
            <w:r>
              <w:t xml:space="preserve">Smith MR, Saad F, Chowdhury S, et al.  </w:t>
            </w:r>
            <w:r w:rsidRPr="00496F4E">
              <w:t>Apalutamide treatment and metastasis-f</w:t>
            </w:r>
            <w:r>
              <w:t>ree survival in prostate cancer.</w:t>
            </w:r>
          </w:p>
        </w:tc>
        <w:tc>
          <w:tcPr>
            <w:tcW w:w="1177" w:type="pct"/>
            <w:tcBorders>
              <w:top w:val="single" w:sz="4" w:space="0" w:color="auto"/>
              <w:bottom w:val="nil"/>
            </w:tcBorders>
            <w:shd w:val="clear" w:color="auto" w:fill="auto"/>
          </w:tcPr>
          <w:p w:rsidR="002A3F17" w:rsidRPr="00CB38A8" w:rsidRDefault="002A3F17" w:rsidP="00BB2576">
            <w:pPr>
              <w:pStyle w:val="Tabletext"/>
              <w:keepNext/>
              <w:keepLines/>
              <w:widowControl w:val="0"/>
              <w:rPr>
                <w:rFonts w:ascii="Times" w:hAnsi="Times"/>
              </w:rPr>
            </w:pPr>
            <w:r>
              <w:rPr>
                <w:i/>
                <w:szCs w:val="18"/>
              </w:rPr>
              <w:t>NEJM.</w:t>
            </w:r>
            <w:r>
              <w:rPr>
                <w:szCs w:val="18"/>
              </w:rPr>
              <w:t xml:space="preserve"> </w:t>
            </w:r>
            <w:r w:rsidRPr="00E34A35">
              <w:rPr>
                <w:szCs w:val="18"/>
              </w:rPr>
              <w:t>201</w:t>
            </w:r>
            <w:r>
              <w:rPr>
                <w:szCs w:val="18"/>
              </w:rPr>
              <w:t>8</w:t>
            </w:r>
            <w:r w:rsidRPr="00E34A35">
              <w:rPr>
                <w:szCs w:val="18"/>
              </w:rPr>
              <w:t>;37</w:t>
            </w:r>
            <w:r>
              <w:rPr>
                <w:szCs w:val="18"/>
              </w:rPr>
              <w:t>8</w:t>
            </w:r>
            <w:r w:rsidRPr="00E34A35">
              <w:rPr>
                <w:szCs w:val="18"/>
              </w:rPr>
              <w:t>:</w:t>
            </w:r>
            <w:r>
              <w:rPr>
                <w:szCs w:val="18"/>
              </w:rPr>
              <w:t xml:space="preserve"> 1408</w:t>
            </w:r>
            <w:r w:rsidRPr="00E34A35">
              <w:rPr>
                <w:szCs w:val="18"/>
              </w:rPr>
              <w:t>-</w:t>
            </w:r>
            <w:r>
              <w:rPr>
                <w:szCs w:val="18"/>
              </w:rPr>
              <w:t>1418</w:t>
            </w:r>
          </w:p>
        </w:tc>
      </w:tr>
      <w:tr w:rsidR="002A3F17" w:rsidRPr="00CB38A8" w:rsidTr="008D0CDA">
        <w:tc>
          <w:tcPr>
            <w:tcW w:w="796" w:type="pct"/>
            <w:vMerge/>
          </w:tcPr>
          <w:p w:rsidR="002A3F17" w:rsidRPr="00CB38A8" w:rsidRDefault="002A3F17" w:rsidP="00BB2576">
            <w:pPr>
              <w:pStyle w:val="Tabletext"/>
              <w:keepNext/>
              <w:keepLines/>
              <w:widowControl w:val="0"/>
            </w:pPr>
          </w:p>
        </w:tc>
        <w:tc>
          <w:tcPr>
            <w:tcW w:w="3027" w:type="pct"/>
            <w:tcBorders>
              <w:top w:val="nil"/>
              <w:bottom w:val="nil"/>
            </w:tcBorders>
            <w:shd w:val="clear" w:color="auto" w:fill="auto"/>
          </w:tcPr>
          <w:p w:rsidR="002A3F17" w:rsidRPr="00E34A35" w:rsidRDefault="002A3F17" w:rsidP="00BB2576">
            <w:pPr>
              <w:pStyle w:val="Tabletext"/>
              <w:keepNext/>
              <w:keepLines/>
              <w:widowControl w:val="0"/>
              <w:rPr>
                <w:szCs w:val="18"/>
              </w:rPr>
            </w:pPr>
            <w:r>
              <w:rPr>
                <w:szCs w:val="18"/>
              </w:rPr>
              <w:t>Small EJ, Saad F, Chowdhury S, et al.  Apalutamide and overall survival in non-metastatic castration-resistant prostate cancer.</w:t>
            </w:r>
          </w:p>
        </w:tc>
        <w:tc>
          <w:tcPr>
            <w:tcW w:w="1177" w:type="pct"/>
            <w:tcBorders>
              <w:top w:val="nil"/>
              <w:bottom w:val="nil"/>
            </w:tcBorders>
            <w:shd w:val="clear" w:color="auto" w:fill="auto"/>
          </w:tcPr>
          <w:p w:rsidR="002A3F17" w:rsidRPr="00E34A35" w:rsidRDefault="002A3F17" w:rsidP="00BB2576">
            <w:pPr>
              <w:pStyle w:val="Tabletext"/>
              <w:keepNext/>
              <w:keepLines/>
              <w:widowControl w:val="0"/>
              <w:rPr>
                <w:szCs w:val="18"/>
              </w:rPr>
            </w:pPr>
            <w:r w:rsidRPr="004A6A02">
              <w:rPr>
                <w:i/>
                <w:iCs/>
                <w:szCs w:val="18"/>
              </w:rPr>
              <w:t>Ann Oncol</w:t>
            </w:r>
            <w:r>
              <w:rPr>
                <w:i/>
                <w:iCs/>
                <w:szCs w:val="18"/>
              </w:rPr>
              <w:t>.</w:t>
            </w:r>
            <w:r>
              <w:rPr>
                <w:szCs w:val="18"/>
              </w:rPr>
              <w:t xml:space="preserve"> 2019;30(11): 1813-1820</w:t>
            </w:r>
          </w:p>
        </w:tc>
      </w:tr>
      <w:tr w:rsidR="002A3F17" w:rsidRPr="00CB38A8" w:rsidTr="002A3F17">
        <w:tc>
          <w:tcPr>
            <w:tcW w:w="796" w:type="pct"/>
            <w:vMerge/>
          </w:tcPr>
          <w:p w:rsidR="002A3F17" w:rsidRPr="002E30D9" w:rsidRDefault="002A3F17" w:rsidP="00BB2576">
            <w:pPr>
              <w:pStyle w:val="Tabletext"/>
              <w:keepNext/>
              <w:keepLines/>
              <w:widowControl w:val="0"/>
              <w:rPr>
                <w:szCs w:val="20"/>
              </w:rPr>
            </w:pPr>
          </w:p>
        </w:tc>
        <w:tc>
          <w:tcPr>
            <w:tcW w:w="3027" w:type="pct"/>
            <w:tcBorders>
              <w:top w:val="nil"/>
              <w:bottom w:val="nil"/>
            </w:tcBorders>
          </w:tcPr>
          <w:p w:rsidR="002A3F17" w:rsidRPr="009A4DCD" w:rsidRDefault="002A3F17" w:rsidP="00BB2576">
            <w:pPr>
              <w:pStyle w:val="Tabletext"/>
              <w:keepNext/>
              <w:keepLines/>
              <w:widowControl w:val="0"/>
              <w:rPr>
                <w:rFonts w:cs="Arial"/>
                <w:szCs w:val="20"/>
                <w:lang w:val="fr-FR"/>
              </w:rPr>
            </w:pPr>
            <w:r>
              <w:rPr>
                <w:szCs w:val="18"/>
              </w:rPr>
              <w:t>Smith MR, Saad F, Chowdhury S, et al. Apalutamide and overall survival in prostate cancer.</w:t>
            </w:r>
          </w:p>
        </w:tc>
        <w:tc>
          <w:tcPr>
            <w:tcW w:w="1177" w:type="pct"/>
            <w:tcBorders>
              <w:top w:val="nil"/>
              <w:bottom w:val="nil"/>
            </w:tcBorders>
          </w:tcPr>
          <w:p w:rsidR="002A3F17" w:rsidRDefault="002A3F17" w:rsidP="00BB2576">
            <w:pPr>
              <w:pStyle w:val="Tabletext"/>
              <w:keepNext/>
              <w:keepLines/>
              <w:widowControl w:val="0"/>
              <w:rPr>
                <w:i/>
                <w:szCs w:val="18"/>
              </w:rPr>
            </w:pPr>
            <w:r w:rsidRPr="008C55B0">
              <w:rPr>
                <w:i/>
                <w:szCs w:val="18"/>
              </w:rPr>
              <w:t>European Urology.</w:t>
            </w:r>
            <w:r>
              <w:rPr>
                <w:szCs w:val="18"/>
              </w:rPr>
              <w:t xml:space="preserve"> 2020; doi.org/10.1016/j.eururo.</w:t>
            </w:r>
            <w:r>
              <w:rPr>
                <w:szCs w:val="18"/>
              </w:rPr>
              <w:br/>
              <w:t>2020.08.011</w:t>
            </w:r>
          </w:p>
        </w:tc>
      </w:tr>
      <w:tr w:rsidR="002A3F17" w:rsidRPr="00CB38A8" w:rsidTr="002A3F17">
        <w:tc>
          <w:tcPr>
            <w:tcW w:w="796" w:type="pct"/>
            <w:vMerge/>
            <w:tcBorders>
              <w:bottom w:val="single" w:sz="4" w:space="0" w:color="auto"/>
            </w:tcBorders>
          </w:tcPr>
          <w:p w:rsidR="002A3F17" w:rsidRPr="002E30D9" w:rsidRDefault="002A3F17" w:rsidP="00BB2576">
            <w:pPr>
              <w:pStyle w:val="Tabletext"/>
              <w:keepNext/>
              <w:keepLines/>
              <w:widowControl w:val="0"/>
              <w:rPr>
                <w:szCs w:val="20"/>
              </w:rPr>
            </w:pPr>
          </w:p>
        </w:tc>
        <w:tc>
          <w:tcPr>
            <w:tcW w:w="3027" w:type="pct"/>
            <w:tcBorders>
              <w:top w:val="nil"/>
              <w:bottom w:val="single" w:sz="4" w:space="0" w:color="auto"/>
            </w:tcBorders>
            <w:vAlign w:val="center"/>
          </w:tcPr>
          <w:p w:rsidR="002A3F17" w:rsidRPr="009A4DCD" w:rsidRDefault="002A3F17" w:rsidP="00BB2576">
            <w:pPr>
              <w:pStyle w:val="Tabletext"/>
              <w:keepNext/>
              <w:keepLines/>
              <w:widowControl w:val="0"/>
              <w:rPr>
                <w:rFonts w:cs="Arial"/>
                <w:szCs w:val="20"/>
                <w:lang w:val="fr-FR"/>
              </w:rPr>
            </w:pPr>
            <w:r>
              <w:rPr>
                <w:rFonts w:cs="Arial"/>
                <w:szCs w:val="20"/>
                <w:lang w:val="fr-FR"/>
              </w:rPr>
              <w:t>Uemura H, Satoh T, Tsumura H, et al. Efficacy and safety of apalutamide in Japanese patients with nonmetastatic castration-resistant prostate cancer: a subgroup analysis of a randomized, double-blind, placebo-controlled, Phase 3 study.</w:t>
            </w:r>
          </w:p>
        </w:tc>
        <w:tc>
          <w:tcPr>
            <w:tcW w:w="1177" w:type="pct"/>
            <w:tcBorders>
              <w:top w:val="nil"/>
              <w:bottom w:val="single" w:sz="4" w:space="0" w:color="auto"/>
            </w:tcBorders>
          </w:tcPr>
          <w:p w:rsidR="002A3F17" w:rsidRPr="00F01E0E" w:rsidRDefault="002A3F17" w:rsidP="00BB2576">
            <w:pPr>
              <w:pStyle w:val="Tabletext"/>
              <w:keepNext/>
              <w:keepLines/>
              <w:widowControl w:val="0"/>
              <w:rPr>
                <w:szCs w:val="18"/>
              </w:rPr>
            </w:pPr>
            <w:r>
              <w:rPr>
                <w:i/>
                <w:szCs w:val="18"/>
              </w:rPr>
              <w:t xml:space="preserve">Prostate International. </w:t>
            </w:r>
            <w:r>
              <w:rPr>
                <w:szCs w:val="18"/>
              </w:rPr>
              <w:t>2020; doi.org/10.1016/j.prnil.</w:t>
            </w:r>
            <w:r>
              <w:rPr>
                <w:szCs w:val="18"/>
              </w:rPr>
              <w:br/>
              <w:t>2020.05.002</w:t>
            </w:r>
          </w:p>
        </w:tc>
      </w:tr>
      <w:tr w:rsidR="00523282" w:rsidRPr="005469AB" w:rsidTr="00523282">
        <w:tc>
          <w:tcPr>
            <w:tcW w:w="5000" w:type="pct"/>
            <w:gridSpan w:val="3"/>
            <w:tcBorders>
              <w:top w:val="nil"/>
              <w:bottom w:val="single" w:sz="4" w:space="0" w:color="auto"/>
            </w:tcBorders>
          </w:tcPr>
          <w:p w:rsidR="00523282" w:rsidRPr="005469AB" w:rsidRDefault="00523282" w:rsidP="00BB2576">
            <w:pPr>
              <w:pStyle w:val="Tabletext"/>
              <w:keepNext/>
              <w:keepLines/>
              <w:widowControl w:val="0"/>
              <w:rPr>
                <w:b/>
                <w:szCs w:val="18"/>
              </w:rPr>
            </w:pPr>
            <w:r w:rsidRPr="005469AB">
              <w:rPr>
                <w:b/>
                <w:szCs w:val="18"/>
              </w:rPr>
              <w:t>Enzalutamide trial</w:t>
            </w:r>
          </w:p>
        </w:tc>
      </w:tr>
      <w:tr w:rsidR="002A3F17" w:rsidRPr="00CB38A8" w:rsidTr="008D0CDA">
        <w:tc>
          <w:tcPr>
            <w:tcW w:w="796" w:type="pct"/>
            <w:vMerge w:val="restart"/>
            <w:tcBorders>
              <w:top w:val="single" w:sz="4" w:space="0" w:color="auto"/>
            </w:tcBorders>
            <w:vAlign w:val="center"/>
          </w:tcPr>
          <w:p w:rsidR="002A3F17" w:rsidRPr="002E30D9" w:rsidRDefault="002A3F17" w:rsidP="00BB2576">
            <w:pPr>
              <w:pStyle w:val="Tabletext"/>
              <w:keepNext/>
              <w:keepLines/>
              <w:widowControl w:val="0"/>
              <w:rPr>
                <w:szCs w:val="20"/>
              </w:rPr>
            </w:pPr>
            <w:r w:rsidRPr="002E30D9">
              <w:rPr>
                <w:szCs w:val="20"/>
              </w:rPr>
              <w:t>PROSPER</w:t>
            </w:r>
          </w:p>
        </w:tc>
        <w:tc>
          <w:tcPr>
            <w:tcW w:w="3027" w:type="pct"/>
            <w:tcBorders>
              <w:top w:val="single" w:sz="4" w:space="0" w:color="auto"/>
              <w:bottom w:val="nil"/>
            </w:tcBorders>
            <w:shd w:val="clear" w:color="auto" w:fill="auto"/>
            <w:vAlign w:val="center"/>
          </w:tcPr>
          <w:p w:rsidR="002A3F17" w:rsidRPr="00BD69E8" w:rsidRDefault="002A3F17" w:rsidP="00BB2576">
            <w:pPr>
              <w:pStyle w:val="Tabletext"/>
              <w:keepNext/>
              <w:keepLines/>
              <w:widowControl w:val="0"/>
              <w:rPr>
                <w:rFonts w:ascii="Times" w:hAnsi="Times"/>
                <w:szCs w:val="20"/>
              </w:rPr>
            </w:pPr>
            <w:r w:rsidRPr="009A4DCD">
              <w:rPr>
                <w:rFonts w:cs="Arial"/>
                <w:szCs w:val="20"/>
                <w:lang w:val="fr-FR"/>
              </w:rPr>
              <w:t>Hussain M, Fizazi K, Saad F</w:t>
            </w:r>
            <w:r>
              <w:rPr>
                <w:rFonts w:cs="Arial"/>
                <w:szCs w:val="20"/>
                <w:lang w:val="fr-FR"/>
              </w:rPr>
              <w:t xml:space="preserve">, </w:t>
            </w:r>
            <w:r w:rsidRPr="009A4DCD">
              <w:rPr>
                <w:rFonts w:cs="Arial"/>
                <w:szCs w:val="20"/>
                <w:lang w:val="fr-FR"/>
              </w:rPr>
              <w:t xml:space="preserve">et al.  </w:t>
            </w:r>
            <w:r w:rsidRPr="00BD69E8">
              <w:rPr>
                <w:rFonts w:cs="Arial"/>
                <w:szCs w:val="20"/>
              </w:rPr>
              <w:t>Enzalutamide in men with non-metastatic, castration-resistant prostate cancer.</w:t>
            </w:r>
          </w:p>
        </w:tc>
        <w:tc>
          <w:tcPr>
            <w:tcW w:w="1177" w:type="pct"/>
            <w:tcBorders>
              <w:top w:val="single" w:sz="4" w:space="0" w:color="auto"/>
              <w:bottom w:val="nil"/>
            </w:tcBorders>
            <w:shd w:val="clear" w:color="auto" w:fill="auto"/>
          </w:tcPr>
          <w:p w:rsidR="002A3F17" w:rsidRPr="004A2558" w:rsidRDefault="002A3F17" w:rsidP="00BB2576">
            <w:pPr>
              <w:pStyle w:val="Tabletext"/>
              <w:keepNext/>
              <w:keepLines/>
              <w:widowControl w:val="0"/>
            </w:pPr>
            <w:r>
              <w:rPr>
                <w:i/>
                <w:szCs w:val="18"/>
              </w:rPr>
              <w:t>NEJM.</w:t>
            </w:r>
            <w:r>
              <w:rPr>
                <w:szCs w:val="18"/>
              </w:rPr>
              <w:t xml:space="preserve"> </w:t>
            </w:r>
            <w:r w:rsidRPr="00E34A35">
              <w:rPr>
                <w:szCs w:val="18"/>
              </w:rPr>
              <w:t>201</w:t>
            </w:r>
            <w:r>
              <w:rPr>
                <w:szCs w:val="18"/>
              </w:rPr>
              <w:t>8</w:t>
            </w:r>
            <w:r w:rsidRPr="00E34A35">
              <w:rPr>
                <w:szCs w:val="18"/>
              </w:rPr>
              <w:t>;37</w:t>
            </w:r>
            <w:r>
              <w:rPr>
                <w:szCs w:val="18"/>
              </w:rPr>
              <w:t>8(26)</w:t>
            </w:r>
            <w:r w:rsidRPr="00E34A35">
              <w:rPr>
                <w:szCs w:val="18"/>
              </w:rPr>
              <w:t>:</w:t>
            </w:r>
            <w:r>
              <w:rPr>
                <w:szCs w:val="18"/>
              </w:rPr>
              <w:t xml:space="preserve"> 2465</w:t>
            </w:r>
            <w:r w:rsidRPr="00E34A35">
              <w:rPr>
                <w:szCs w:val="18"/>
              </w:rPr>
              <w:t>-</w:t>
            </w:r>
            <w:r>
              <w:rPr>
                <w:szCs w:val="18"/>
              </w:rPr>
              <w:t>2474</w:t>
            </w:r>
          </w:p>
        </w:tc>
      </w:tr>
      <w:tr w:rsidR="002A3F17" w:rsidRPr="00CB38A8" w:rsidTr="002A3F17">
        <w:tc>
          <w:tcPr>
            <w:tcW w:w="796" w:type="pct"/>
            <w:vMerge/>
            <w:tcBorders>
              <w:bottom w:val="single" w:sz="4" w:space="0" w:color="auto"/>
            </w:tcBorders>
          </w:tcPr>
          <w:p w:rsidR="002A3F17" w:rsidRPr="002E30D9" w:rsidRDefault="002A3F17" w:rsidP="00BB2576">
            <w:pPr>
              <w:pStyle w:val="Tabletext"/>
              <w:keepNext/>
              <w:keepLines/>
              <w:widowControl w:val="0"/>
              <w:rPr>
                <w:szCs w:val="20"/>
              </w:rPr>
            </w:pPr>
          </w:p>
        </w:tc>
        <w:tc>
          <w:tcPr>
            <w:tcW w:w="3027" w:type="pct"/>
            <w:tcBorders>
              <w:top w:val="nil"/>
              <w:bottom w:val="single" w:sz="4" w:space="0" w:color="auto"/>
            </w:tcBorders>
            <w:vAlign w:val="center"/>
          </w:tcPr>
          <w:p w:rsidR="002A3F17" w:rsidRPr="009A4DCD" w:rsidRDefault="002A3F17" w:rsidP="00BB2576">
            <w:pPr>
              <w:pStyle w:val="Tabletext"/>
              <w:keepNext/>
              <w:keepLines/>
              <w:widowControl w:val="0"/>
              <w:rPr>
                <w:rFonts w:cs="Arial"/>
                <w:szCs w:val="20"/>
                <w:lang w:val="fr-FR"/>
              </w:rPr>
            </w:pPr>
            <w:r>
              <w:rPr>
                <w:rFonts w:cs="Arial"/>
                <w:szCs w:val="20"/>
                <w:lang w:val="fr-FR"/>
              </w:rPr>
              <w:t>Sternberg CN, Fizazi K, Saad F, et al. Enzalutamide and survival in nonmetastatic castration-resistant prostate cancer.</w:t>
            </w:r>
          </w:p>
        </w:tc>
        <w:tc>
          <w:tcPr>
            <w:tcW w:w="1177" w:type="pct"/>
            <w:tcBorders>
              <w:top w:val="nil"/>
              <w:bottom w:val="single" w:sz="4" w:space="0" w:color="auto"/>
            </w:tcBorders>
          </w:tcPr>
          <w:p w:rsidR="002A3F17" w:rsidRPr="00D57C2E" w:rsidRDefault="002A3F17" w:rsidP="00BB2576">
            <w:pPr>
              <w:pStyle w:val="Tabletext"/>
              <w:keepNext/>
              <w:keepLines/>
              <w:widowControl w:val="0"/>
              <w:rPr>
                <w:iCs/>
                <w:szCs w:val="18"/>
              </w:rPr>
            </w:pPr>
            <w:r w:rsidRPr="005469AB">
              <w:rPr>
                <w:i/>
                <w:iCs/>
                <w:szCs w:val="18"/>
              </w:rPr>
              <w:t>NEJM</w:t>
            </w:r>
            <w:r>
              <w:rPr>
                <w:iCs/>
                <w:szCs w:val="18"/>
              </w:rPr>
              <w:t>. 2020;382(23): 2197-2206</w:t>
            </w:r>
          </w:p>
        </w:tc>
      </w:tr>
      <w:tr w:rsidR="00523282" w:rsidRPr="005469AB" w:rsidTr="00523282">
        <w:tc>
          <w:tcPr>
            <w:tcW w:w="5000" w:type="pct"/>
            <w:gridSpan w:val="3"/>
            <w:tcBorders>
              <w:top w:val="single" w:sz="4" w:space="0" w:color="auto"/>
              <w:bottom w:val="single" w:sz="4" w:space="0" w:color="auto"/>
            </w:tcBorders>
          </w:tcPr>
          <w:p w:rsidR="00523282" w:rsidRPr="005469AB" w:rsidRDefault="00523282" w:rsidP="00BB2576">
            <w:pPr>
              <w:pStyle w:val="Tabletext"/>
              <w:keepNext/>
              <w:keepLines/>
              <w:widowControl w:val="0"/>
              <w:rPr>
                <w:b/>
                <w:iCs/>
                <w:szCs w:val="18"/>
              </w:rPr>
            </w:pPr>
            <w:r>
              <w:rPr>
                <w:b/>
                <w:iCs/>
                <w:szCs w:val="18"/>
              </w:rPr>
              <w:t>Matching-adjusted i</w:t>
            </w:r>
            <w:r w:rsidRPr="005469AB">
              <w:rPr>
                <w:b/>
                <w:iCs/>
                <w:szCs w:val="18"/>
              </w:rPr>
              <w:t>ndirect treatment comparisons</w:t>
            </w:r>
          </w:p>
        </w:tc>
      </w:tr>
      <w:tr w:rsidR="00523282" w:rsidRPr="00CB38A8" w:rsidTr="002A3F17">
        <w:tc>
          <w:tcPr>
            <w:tcW w:w="796" w:type="pct"/>
            <w:tcBorders>
              <w:top w:val="single" w:sz="4" w:space="0" w:color="auto"/>
              <w:bottom w:val="single" w:sz="4" w:space="0" w:color="auto"/>
            </w:tcBorders>
            <w:vAlign w:val="center"/>
          </w:tcPr>
          <w:p w:rsidR="00523282" w:rsidRPr="002E30D9" w:rsidRDefault="00523282" w:rsidP="00BB2576">
            <w:pPr>
              <w:pStyle w:val="Tabletext"/>
              <w:keepNext/>
              <w:keepLines/>
              <w:widowControl w:val="0"/>
              <w:rPr>
                <w:szCs w:val="20"/>
              </w:rPr>
            </w:pPr>
            <w:r>
              <w:rPr>
                <w:szCs w:val="20"/>
              </w:rPr>
              <w:t>Jiang 2020a</w:t>
            </w:r>
          </w:p>
        </w:tc>
        <w:tc>
          <w:tcPr>
            <w:tcW w:w="3027" w:type="pct"/>
            <w:tcBorders>
              <w:top w:val="single" w:sz="4" w:space="0" w:color="auto"/>
              <w:bottom w:val="single" w:sz="4" w:space="0" w:color="auto"/>
            </w:tcBorders>
            <w:vAlign w:val="center"/>
          </w:tcPr>
          <w:p w:rsidR="00523282" w:rsidRDefault="00523282" w:rsidP="00BB2576">
            <w:pPr>
              <w:pStyle w:val="Tabletext"/>
              <w:keepNext/>
              <w:keepLines/>
              <w:widowControl w:val="0"/>
              <w:rPr>
                <w:rFonts w:cs="Arial"/>
                <w:szCs w:val="20"/>
                <w:lang w:val="fr-FR"/>
              </w:rPr>
            </w:pPr>
            <w:r>
              <w:rPr>
                <w:rFonts w:cs="Arial"/>
                <w:szCs w:val="20"/>
                <w:lang w:val="fr-FR"/>
              </w:rPr>
              <w:t>Jiang S, Terasawa E, Garcia-Horton v, et al. Darolutamide versus apalutamide and enzalutamide in non-metastatic castration-resistant prostate cancer (nmCRPC): matching-adjusted indirect comparisons</w:t>
            </w:r>
          </w:p>
        </w:tc>
        <w:tc>
          <w:tcPr>
            <w:tcW w:w="1177" w:type="pct"/>
            <w:tcBorders>
              <w:top w:val="single" w:sz="4" w:space="0" w:color="auto"/>
              <w:bottom w:val="single" w:sz="4" w:space="0" w:color="auto"/>
            </w:tcBorders>
          </w:tcPr>
          <w:p w:rsidR="00523282" w:rsidRPr="006A65C9" w:rsidRDefault="00523282" w:rsidP="00BB2576">
            <w:pPr>
              <w:pStyle w:val="Tabletext"/>
              <w:keepNext/>
              <w:keepLines/>
              <w:widowControl w:val="0"/>
              <w:rPr>
                <w:iCs/>
                <w:szCs w:val="18"/>
              </w:rPr>
            </w:pPr>
            <w:r w:rsidRPr="006A65C9">
              <w:rPr>
                <w:iCs/>
                <w:szCs w:val="18"/>
              </w:rPr>
              <w:t>Poster presented at AMCP 2020 Annual Meeting, April 21-24, Houston, TX</w:t>
            </w:r>
          </w:p>
        </w:tc>
      </w:tr>
      <w:tr w:rsidR="00523282" w:rsidRPr="00CB38A8" w:rsidTr="002A3F17">
        <w:tc>
          <w:tcPr>
            <w:tcW w:w="796" w:type="pct"/>
            <w:tcBorders>
              <w:top w:val="single" w:sz="4" w:space="0" w:color="auto"/>
              <w:bottom w:val="single" w:sz="4" w:space="0" w:color="auto"/>
            </w:tcBorders>
            <w:vAlign w:val="center"/>
          </w:tcPr>
          <w:p w:rsidR="00523282" w:rsidRDefault="00523282" w:rsidP="00BB2576">
            <w:pPr>
              <w:pStyle w:val="Tabletext"/>
              <w:keepNext/>
              <w:keepLines/>
              <w:widowControl w:val="0"/>
              <w:rPr>
                <w:szCs w:val="20"/>
              </w:rPr>
            </w:pPr>
            <w:r>
              <w:rPr>
                <w:szCs w:val="20"/>
              </w:rPr>
              <w:t>Jiang 2020b</w:t>
            </w:r>
          </w:p>
        </w:tc>
        <w:tc>
          <w:tcPr>
            <w:tcW w:w="3027" w:type="pct"/>
            <w:tcBorders>
              <w:top w:val="single" w:sz="4" w:space="0" w:color="auto"/>
              <w:bottom w:val="single" w:sz="4" w:space="0" w:color="auto"/>
            </w:tcBorders>
            <w:vAlign w:val="center"/>
          </w:tcPr>
          <w:p w:rsidR="00523282" w:rsidRDefault="00523282" w:rsidP="00BB2576">
            <w:pPr>
              <w:pStyle w:val="Tabletext"/>
              <w:keepNext/>
              <w:keepLines/>
              <w:widowControl w:val="0"/>
              <w:rPr>
                <w:rFonts w:cs="Arial"/>
                <w:szCs w:val="20"/>
                <w:lang w:val="fr-FR"/>
              </w:rPr>
            </w:pPr>
            <w:r>
              <w:rPr>
                <w:rFonts w:cs="Arial"/>
                <w:szCs w:val="20"/>
                <w:lang w:val="fr-FR"/>
              </w:rPr>
              <w:t>Jiang S, Terasawa E, Garcia-Horton V, et al. Safety outcomes of darolutamide vs, apalutamide and enzalutamide in non-metastatic castration-resistant prostate cancer (nmCRPC): matching-adjusted indirect comparisons.</w:t>
            </w:r>
          </w:p>
        </w:tc>
        <w:tc>
          <w:tcPr>
            <w:tcW w:w="1177" w:type="pct"/>
            <w:tcBorders>
              <w:top w:val="single" w:sz="4" w:space="0" w:color="auto"/>
              <w:bottom w:val="single" w:sz="4" w:space="0" w:color="auto"/>
            </w:tcBorders>
          </w:tcPr>
          <w:p w:rsidR="00523282" w:rsidRPr="006A65C9" w:rsidRDefault="00523282" w:rsidP="00BB2576">
            <w:pPr>
              <w:pStyle w:val="Tabletext"/>
              <w:keepNext/>
              <w:keepLines/>
              <w:widowControl w:val="0"/>
              <w:rPr>
                <w:iCs/>
                <w:szCs w:val="18"/>
              </w:rPr>
            </w:pPr>
            <w:r w:rsidRPr="006A65C9">
              <w:rPr>
                <w:iCs/>
                <w:szCs w:val="18"/>
              </w:rPr>
              <w:t>Poster presented at ASCO 2020, May 29-31, Chicago, IL</w:t>
            </w:r>
          </w:p>
        </w:tc>
      </w:tr>
    </w:tbl>
    <w:p w:rsidR="00523282" w:rsidRPr="002A3F17" w:rsidRDefault="00523282" w:rsidP="002A3F17">
      <w:pPr>
        <w:rPr>
          <w:rFonts w:ascii="Arial Narrow" w:hAnsi="Arial Narrow"/>
          <w:sz w:val="18"/>
          <w:szCs w:val="18"/>
        </w:rPr>
      </w:pPr>
      <w:r w:rsidRPr="002A3F17">
        <w:rPr>
          <w:rFonts w:ascii="Arial Narrow" w:hAnsi="Arial Narrow"/>
          <w:sz w:val="18"/>
          <w:szCs w:val="18"/>
        </w:rPr>
        <w:t>Source: Table 2-6, p48 of the resubmission</w:t>
      </w:r>
    </w:p>
    <w:p w:rsidR="002A3F17" w:rsidRPr="00523282" w:rsidRDefault="002A3F17" w:rsidP="002A3F17">
      <w:pPr>
        <w:rPr>
          <w:color w:val="0066FF"/>
        </w:rPr>
      </w:pPr>
    </w:p>
    <w:p w:rsidR="00925EFB" w:rsidRPr="00925EFB" w:rsidRDefault="00925EFB" w:rsidP="002E4F02">
      <w:pPr>
        <w:pStyle w:val="3-BodyText"/>
      </w:pPr>
      <w:r w:rsidRPr="00925EFB">
        <w:rPr>
          <w:snapToGrid/>
          <w:lang w:val="en-US"/>
        </w:rPr>
        <w:t>The key features of the included evidence and the comparisons made are summarised in the table below.</w:t>
      </w:r>
    </w:p>
    <w:p w:rsidR="002A3F17" w:rsidRPr="00E2771E" w:rsidRDefault="002A3F17" w:rsidP="002A3F17">
      <w:pPr>
        <w:keepNext/>
        <w:rPr>
          <w:rStyle w:val="CommentReference"/>
        </w:rPr>
      </w:pPr>
      <w:r w:rsidRPr="00E2771E">
        <w:rPr>
          <w:rStyle w:val="CommentReference"/>
        </w:rPr>
        <w:lastRenderedPageBreak/>
        <w:t xml:space="preserve">Table </w:t>
      </w:r>
      <w:r w:rsidR="000C08E6">
        <w:rPr>
          <w:rStyle w:val="CommentReference"/>
        </w:rPr>
        <w:t>5</w:t>
      </w:r>
      <w:r w:rsidRPr="00E2771E">
        <w:rPr>
          <w:rStyle w:val="CommentReference"/>
        </w:rPr>
        <w:t xml:space="preserve">: </w:t>
      </w:r>
      <w:r>
        <w:rPr>
          <w:rStyle w:val="CommentReference"/>
        </w:rPr>
        <w:t>Summary of trials used in the direct and indirect comparisons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9"/>
        <w:gridCol w:w="1189"/>
        <w:gridCol w:w="1066"/>
        <w:gridCol w:w="749"/>
        <w:gridCol w:w="931"/>
        <w:gridCol w:w="1865"/>
        <w:gridCol w:w="1417"/>
        <w:gridCol w:w="941"/>
      </w:tblGrid>
      <w:tr w:rsidR="008D0CDA" w:rsidRPr="00B41614" w:rsidTr="008D0CDA">
        <w:trPr>
          <w:tblHeader/>
        </w:trPr>
        <w:tc>
          <w:tcPr>
            <w:tcW w:w="476" w:type="pct"/>
            <w:shd w:val="clear" w:color="auto" w:fill="auto"/>
            <w:vAlign w:val="center"/>
          </w:tcPr>
          <w:p w:rsidR="008D0CDA" w:rsidRPr="00B41614" w:rsidRDefault="008D0CDA" w:rsidP="002A3F17">
            <w:pPr>
              <w:pStyle w:val="Tabletext"/>
              <w:keepNext/>
              <w:rPr>
                <w:b/>
                <w:lang w:val="en-US"/>
              </w:rPr>
            </w:pPr>
            <w:r w:rsidRPr="00B41614">
              <w:rPr>
                <w:b/>
                <w:lang w:val="en-US"/>
              </w:rPr>
              <w:t>Trial</w:t>
            </w:r>
          </w:p>
        </w:tc>
        <w:tc>
          <w:tcPr>
            <w:tcW w:w="659" w:type="pct"/>
            <w:shd w:val="clear" w:color="auto" w:fill="auto"/>
            <w:vAlign w:val="center"/>
          </w:tcPr>
          <w:p w:rsidR="008D0CDA" w:rsidRDefault="008D0CDA" w:rsidP="002A3F17">
            <w:pPr>
              <w:pStyle w:val="Tabletext"/>
              <w:keepNext/>
              <w:jc w:val="center"/>
              <w:rPr>
                <w:b/>
                <w:lang w:val="en-US"/>
              </w:rPr>
            </w:pPr>
            <w:r>
              <w:rPr>
                <w:b/>
                <w:lang w:val="en-US"/>
              </w:rPr>
              <w:t>N</w:t>
            </w:r>
          </w:p>
        </w:tc>
        <w:tc>
          <w:tcPr>
            <w:tcW w:w="591" w:type="pct"/>
            <w:shd w:val="clear" w:color="auto" w:fill="auto"/>
            <w:vAlign w:val="center"/>
          </w:tcPr>
          <w:p w:rsidR="008D0CDA" w:rsidRDefault="008D0CDA" w:rsidP="002A3F17">
            <w:pPr>
              <w:pStyle w:val="Tabletext"/>
              <w:keepNext/>
              <w:jc w:val="center"/>
              <w:rPr>
                <w:b/>
                <w:lang w:val="en-US"/>
              </w:rPr>
            </w:pPr>
            <w:r>
              <w:rPr>
                <w:b/>
                <w:lang w:val="en-US"/>
              </w:rPr>
              <w:t>Design/</w:t>
            </w:r>
          </w:p>
          <w:p w:rsidR="008D0CDA" w:rsidRPr="00B41614" w:rsidRDefault="008D0CDA" w:rsidP="002A3F17">
            <w:pPr>
              <w:pStyle w:val="Tabletext"/>
              <w:keepNext/>
              <w:jc w:val="center"/>
              <w:rPr>
                <w:b/>
                <w:lang w:val="en-US"/>
              </w:rPr>
            </w:pPr>
            <w:r>
              <w:rPr>
                <w:b/>
                <w:lang w:val="en-US"/>
              </w:rPr>
              <w:t>Duration</w:t>
            </w:r>
          </w:p>
        </w:tc>
        <w:tc>
          <w:tcPr>
            <w:tcW w:w="415" w:type="pct"/>
            <w:shd w:val="clear" w:color="auto" w:fill="auto"/>
          </w:tcPr>
          <w:p w:rsidR="008D0CDA" w:rsidRPr="00B41614" w:rsidRDefault="008D0CDA" w:rsidP="002A3F17">
            <w:pPr>
              <w:pStyle w:val="Tabletext"/>
              <w:keepNext/>
              <w:jc w:val="center"/>
              <w:rPr>
                <w:b/>
                <w:lang w:val="en-US"/>
              </w:rPr>
            </w:pPr>
            <w:r>
              <w:rPr>
                <w:b/>
                <w:lang w:val="en-US"/>
              </w:rPr>
              <w:t>Risk of bias</w:t>
            </w:r>
          </w:p>
        </w:tc>
        <w:tc>
          <w:tcPr>
            <w:tcW w:w="516" w:type="pct"/>
            <w:shd w:val="clear" w:color="auto" w:fill="auto"/>
          </w:tcPr>
          <w:p w:rsidR="008D0CDA" w:rsidRPr="00B41614" w:rsidRDefault="008D0CDA" w:rsidP="002A3F17">
            <w:pPr>
              <w:pStyle w:val="Tabletext"/>
              <w:keepNext/>
              <w:jc w:val="center"/>
              <w:rPr>
                <w:b/>
                <w:lang w:val="en-US"/>
              </w:rPr>
            </w:pPr>
            <w:r w:rsidRPr="00B41614">
              <w:rPr>
                <w:b/>
                <w:lang w:val="en-US"/>
              </w:rPr>
              <w:t>Patient population</w:t>
            </w:r>
          </w:p>
        </w:tc>
        <w:tc>
          <w:tcPr>
            <w:tcW w:w="1034" w:type="pct"/>
            <w:shd w:val="clear" w:color="auto" w:fill="auto"/>
            <w:vAlign w:val="center"/>
          </w:tcPr>
          <w:p w:rsidR="008D0CDA" w:rsidRPr="00B41614" w:rsidRDefault="008D0CDA" w:rsidP="002A3F17">
            <w:pPr>
              <w:pStyle w:val="Tabletext"/>
              <w:keepNext/>
              <w:jc w:val="center"/>
              <w:rPr>
                <w:b/>
                <w:lang w:val="en-US"/>
              </w:rPr>
            </w:pPr>
            <w:r>
              <w:rPr>
                <w:b/>
                <w:lang w:val="en-US"/>
              </w:rPr>
              <w:t>Outcomes</w:t>
            </w:r>
          </w:p>
        </w:tc>
        <w:tc>
          <w:tcPr>
            <w:tcW w:w="786" w:type="pct"/>
            <w:shd w:val="clear" w:color="auto" w:fill="auto"/>
            <w:vAlign w:val="center"/>
          </w:tcPr>
          <w:p w:rsidR="008D0CDA" w:rsidRDefault="008D0CDA" w:rsidP="002A3F17">
            <w:pPr>
              <w:pStyle w:val="Tabletext"/>
              <w:keepNext/>
              <w:jc w:val="center"/>
              <w:rPr>
                <w:b/>
                <w:lang w:val="en-US"/>
              </w:rPr>
            </w:pPr>
            <w:r>
              <w:rPr>
                <w:b/>
                <w:lang w:val="en-US"/>
              </w:rPr>
              <w:t>Comparisons</w:t>
            </w:r>
          </w:p>
        </w:tc>
        <w:tc>
          <w:tcPr>
            <w:tcW w:w="522" w:type="pct"/>
          </w:tcPr>
          <w:p w:rsidR="008D0CDA" w:rsidRDefault="008D0CDA" w:rsidP="002A3F17">
            <w:pPr>
              <w:pStyle w:val="Tabletext"/>
              <w:keepNext/>
              <w:jc w:val="center"/>
              <w:rPr>
                <w:b/>
                <w:lang w:val="en-US"/>
              </w:rPr>
            </w:pPr>
            <w:r>
              <w:rPr>
                <w:b/>
                <w:lang w:val="en-US"/>
              </w:rPr>
              <w:t>Use in modelled evaluation</w:t>
            </w:r>
          </w:p>
        </w:tc>
      </w:tr>
      <w:tr w:rsidR="008D0CDA" w:rsidRPr="00E2771E" w:rsidTr="008D0CDA">
        <w:tc>
          <w:tcPr>
            <w:tcW w:w="476" w:type="pct"/>
            <w:shd w:val="clear" w:color="auto" w:fill="auto"/>
          </w:tcPr>
          <w:p w:rsidR="008D0CDA" w:rsidRDefault="008D0CDA" w:rsidP="002A3F17">
            <w:pPr>
              <w:pStyle w:val="Tabletext"/>
              <w:keepNext/>
              <w:rPr>
                <w:lang w:val="en-US"/>
              </w:rPr>
            </w:pPr>
            <w:r>
              <w:rPr>
                <w:lang w:val="en-US"/>
              </w:rPr>
              <w:t>ARAMIS</w:t>
            </w:r>
          </w:p>
        </w:tc>
        <w:tc>
          <w:tcPr>
            <w:tcW w:w="659" w:type="pct"/>
            <w:shd w:val="clear" w:color="auto" w:fill="auto"/>
          </w:tcPr>
          <w:p w:rsidR="008D0CDA" w:rsidRPr="009A4DCD" w:rsidRDefault="008D0CDA" w:rsidP="002A3F17">
            <w:pPr>
              <w:pStyle w:val="Tabletext"/>
              <w:keepNext/>
              <w:rPr>
                <w:lang w:val="pt-PT"/>
              </w:rPr>
            </w:pPr>
            <w:r w:rsidRPr="009A4DCD">
              <w:rPr>
                <w:lang w:val="pt-PT"/>
              </w:rPr>
              <w:t>D</w:t>
            </w:r>
            <w:r>
              <w:rPr>
                <w:lang w:val="pt-PT"/>
              </w:rPr>
              <w:t>ARO</w:t>
            </w:r>
            <w:r w:rsidRPr="009A4DCD">
              <w:rPr>
                <w:lang w:val="pt-PT"/>
              </w:rPr>
              <w:t>: N</w:t>
            </w:r>
            <w:r>
              <w:rPr>
                <w:lang w:val="pt-PT"/>
              </w:rPr>
              <w:t xml:space="preserve"> </w:t>
            </w:r>
            <w:r w:rsidRPr="009A4DCD">
              <w:rPr>
                <w:lang w:val="pt-PT"/>
              </w:rPr>
              <w:t>=</w:t>
            </w:r>
            <w:r>
              <w:rPr>
                <w:lang w:val="pt-PT"/>
              </w:rPr>
              <w:t xml:space="preserve"> </w:t>
            </w:r>
            <w:r w:rsidRPr="009A4DCD">
              <w:rPr>
                <w:lang w:val="pt-PT"/>
              </w:rPr>
              <w:t>95</w:t>
            </w:r>
            <w:r>
              <w:rPr>
                <w:lang w:val="pt-PT"/>
              </w:rPr>
              <w:t>5</w:t>
            </w:r>
          </w:p>
          <w:p w:rsidR="008D0CDA" w:rsidRPr="009A4DCD" w:rsidRDefault="008D0CDA" w:rsidP="002A3F17">
            <w:pPr>
              <w:pStyle w:val="Tabletext"/>
              <w:keepNext/>
              <w:rPr>
                <w:lang w:val="pt-PT"/>
              </w:rPr>
            </w:pPr>
            <w:r>
              <w:rPr>
                <w:lang w:val="pt-PT"/>
              </w:rPr>
              <w:t>SOC</w:t>
            </w:r>
            <w:r w:rsidRPr="009A4DCD">
              <w:rPr>
                <w:lang w:val="pt-PT"/>
              </w:rPr>
              <w:t>: N</w:t>
            </w:r>
            <w:r>
              <w:rPr>
                <w:lang w:val="pt-PT"/>
              </w:rPr>
              <w:t xml:space="preserve"> </w:t>
            </w:r>
            <w:r w:rsidRPr="009A4DCD">
              <w:rPr>
                <w:lang w:val="pt-PT"/>
              </w:rPr>
              <w:t>=</w:t>
            </w:r>
            <w:r>
              <w:rPr>
                <w:lang w:val="pt-PT"/>
              </w:rPr>
              <w:t xml:space="preserve"> </w:t>
            </w:r>
            <w:r w:rsidRPr="009A4DCD">
              <w:rPr>
                <w:lang w:val="pt-PT"/>
              </w:rPr>
              <w:t>554</w:t>
            </w:r>
          </w:p>
          <w:p w:rsidR="008D0CDA" w:rsidRPr="00E2771E" w:rsidRDefault="008D0CDA" w:rsidP="002A3F17">
            <w:pPr>
              <w:pStyle w:val="Tabletext"/>
              <w:keepNext/>
              <w:rPr>
                <w:lang w:val="en-US"/>
              </w:rPr>
            </w:pPr>
            <w:r w:rsidRPr="009A4DCD">
              <w:rPr>
                <w:lang w:val="pt-PT"/>
              </w:rPr>
              <w:t>Total: N</w:t>
            </w:r>
            <w:r>
              <w:rPr>
                <w:lang w:val="pt-PT"/>
              </w:rPr>
              <w:t xml:space="preserve"> </w:t>
            </w:r>
            <w:r w:rsidRPr="009A4DCD">
              <w:rPr>
                <w:lang w:val="pt-PT"/>
              </w:rPr>
              <w:t>=</w:t>
            </w:r>
            <w:r>
              <w:rPr>
                <w:lang w:val="pt-PT"/>
              </w:rPr>
              <w:t xml:space="preserve"> </w:t>
            </w:r>
            <w:r w:rsidRPr="009A4DCD">
              <w:rPr>
                <w:lang w:val="pt-PT"/>
              </w:rPr>
              <w:t>1,50</w:t>
            </w:r>
            <w:r>
              <w:rPr>
                <w:lang w:val="pt-PT"/>
              </w:rPr>
              <w:t>9</w:t>
            </w:r>
          </w:p>
        </w:tc>
        <w:tc>
          <w:tcPr>
            <w:tcW w:w="591" w:type="pct"/>
            <w:shd w:val="clear" w:color="auto" w:fill="auto"/>
          </w:tcPr>
          <w:p w:rsidR="008D0CDA" w:rsidRDefault="008D0CDA" w:rsidP="002A3F17">
            <w:pPr>
              <w:pStyle w:val="Tabletext"/>
              <w:keepNext/>
              <w:jc w:val="center"/>
              <w:rPr>
                <w:lang w:val="en-US"/>
              </w:rPr>
            </w:pPr>
            <w:r w:rsidRPr="00E2771E">
              <w:rPr>
                <w:lang w:val="en-US"/>
              </w:rPr>
              <w:t>R, DB</w:t>
            </w:r>
            <w:r>
              <w:rPr>
                <w:lang w:val="en-US"/>
              </w:rPr>
              <w:t xml:space="preserve">, MC </w:t>
            </w:r>
            <w:r>
              <w:rPr>
                <w:lang w:val="en-US"/>
              </w:rPr>
              <w:br/>
              <w:t>DARO + ADT vs. SOC + ADT</w:t>
            </w:r>
          </w:p>
          <w:p w:rsidR="008D0CDA" w:rsidRPr="00E2771E" w:rsidRDefault="008D0CDA" w:rsidP="002A3F17">
            <w:pPr>
              <w:pStyle w:val="Tabletext"/>
              <w:keepNext/>
              <w:jc w:val="center"/>
              <w:rPr>
                <w:lang w:val="en-US"/>
              </w:rPr>
            </w:pPr>
            <w:r>
              <w:rPr>
                <w:lang w:val="en-US"/>
              </w:rPr>
              <w:t>Median follow-up = 29.1 months</w:t>
            </w:r>
          </w:p>
        </w:tc>
        <w:tc>
          <w:tcPr>
            <w:tcW w:w="415" w:type="pct"/>
            <w:shd w:val="clear" w:color="auto" w:fill="auto"/>
          </w:tcPr>
          <w:p w:rsidR="008D0CDA" w:rsidRDefault="008D0CDA" w:rsidP="002A3F17">
            <w:pPr>
              <w:pStyle w:val="Tabletext"/>
              <w:keepNext/>
              <w:jc w:val="center"/>
              <w:rPr>
                <w:lang w:val="en-US"/>
              </w:rPr>
            </w:pPr>
            <w:r>
              <w:rPr>
                <w:lang w:val="en-US"/>
              </w:rPr>
              <w:t>Moderate</w:t>
            </w:r>
          </w:p>
        </w:tc>
        <w:tc>
          <w:tcPr>
            <w:tcW w:w="516" w:type="pct"/>
            <w:vMerge w:val="restart"/>
            <w:shd w:val="clear" w:color="auto" w:fill="auto"/>
          </w:tcPr>
          <w:p w:rsidR="008D0CDA" w:rsidRDefault="008D0CDA" w:rsidP="002A3F17">
            <w:pPr>
              <w:pStyle w:val="Tabletext"/>
              <w:keepNext/>
              <w:jc w:val="center"/>
              <w:rPr>
                <w:lang w:val="en-US"/>
              </w:rPr>
            </w:pPr>
            <w:r>
              <w:rPr>
                <w:lang w:val="en-US"/>
              </w:rPr>
              <w:t>m0CRPC with high risk of distant metastases</w:t>
            </w:r>
          </w:p>
          <w:p w:rsidR="008D0CDA" w:rsidRDefault="008D0CDA" w:rsidP="002A3F17">
            <w:pPr>
              <w:pStyle w:val="Tabletext"/>
              <w:keepNext/>
              <w:jc w:val="center"/>
              <w:rPr>
                <w:lang w:val="en-US"/>
              </w:rPr>
            </w:pPr>
            <w:r>
              <w:rPr>
                <w:lang w:val="en-US"/>
              </w:rPr>
              <w:t>(PSADT ≤ 10 months)</w:t>
            </w:r>
          </w:p>
        </w:tc>
        <w:tc>
          <w:tcPr>
            <w:tcW w:w="1034" w:type="pct"/>
            <w:shd w:val="clear" w:color="auto" w:fill="auto"/>
          </w:tcPr>
          <w:p w:rsidR="008D0CDA" w:rsidRDefault="008D0CDA" w:rsidP="002A3F17">
            <w:pPr>
              <w:pStyle w:val="Tabletext"/>
              <w:keepNext/>
              <w:rPr>
                <w:lang w:val="en-US"/>
              </w:rPr>
            </w:pPr>
            <w:r>
              <w:rPr>
                <w:lang w:val="en-US"/>
              </w:rPr>
              <w:t xml:space="preserve">Primary: MFS </w:t>
            </w:r>
          </w:p>
          <w:p w:rsidR="008D0CDA" w:rsidRDefault="008D0CDA" w:rsidP="002A3F17">
            <w:pPr>
              <w:pStyle w:val="Tabletext"/>
              <w:keepNext/>
              <w:rPr>
                <w:lang w:val="en-US"/>
              </w:rPr>
            </w:pPr>
            <w:r w:rsidRPr="000B00CD">
              <w:rPr>
                <w:lang w:val="en-US"/>
              </w:rPr>
              <w:t>Secondary:</w:t>
            </w:r>
            <w:r>
              <w:rPr>
                <w:lang w:val="en-US"/>
              </w:rPr>
              <w:t xml:space="preserve"> OS, PFS, time to: PSA progression, pain progression, first skeletal event, cytotoxic chemo, first use subsequent anti-neoplastic therapy</w:t>
            </w:r>
          </w:p>
        </w:tc>
        <w:tc>
          <w:tcPr>
            <w:tcW w:w="786" w:type="pct"/>
            <w:shd w:val="clear" w:color="auto" w:fill="auto"/>
          </w:tcPr>
          <w:p w:rsidR="008D0CDA" w:rsidRDefault="008D0CDA" w:rsidP="008D0CDA">
            <w:pPr>
              <w:pStyle w:val="Tabletext"/>
              <w:keepNext/>
              <w:rPr>
                <w:lang w:val="en-US"/>
              </w:rPr>
            </w:pPr>
            <w:r>
              <w:rPr>
                <w:lang w:val="en-US"/>
              </w:rPr>
              <w:t>Direct comparison vs. SOC;</w:t>
            </w:r>
          </w:p>
          <w:p w:rsidR="008D0CDA" w:rsidRDefault="008D0CDA" w:rsidP="008D0CDA">
            <w:pPr>
              <w:pStyle w:val="Tabletext"/>
              <w:keepNext/>
              <w:rPr>
                <w:lang w:val="en-US"/>
              </w:rPr>
            </w:pPr>
            <w:r>
              <w:rPr>
                <w:lang w:val="en-US"/>
              </w:rPr>
              <w:t>ITC vs. APA and  ENZA;</w:t>
            </w:r>
          </w:p>
          <w:p w:rsidR="008D0CDA" w:rsidRDefault="008D0CDA" w:rsidP="002A3F17">
            <w:pPr>
              <w:pStyle w:val="Tabletext"/>
              <w:keepNext/>
              <w:rPr>
                <w:lang w:val="en-US"/>
              </w:rPr>
            </w:pPr>
            <w:r>
              <w:rPr>
                <w:lang w:val="en-US"/>
              </w:rPr>
              <w:t>MAIC vs. APA and ENZA</w:t>
            </w:r>
          </w:p>
          <w:p w:rsidR="008D0CDA" w:rsidRDefault="008D0CDA" w:rsidP="002A3F17">
            <w:pPr>
              <w:pStyle w:val="Tabletext"/>
              <w:keepNext/>
              <w:rPr>
                <w:lang w:val="en-US"/>
              </w:rPr>
            </w:pPr>
          </w:p>
        </w:tc>
        <w:tc>
          <w:tcPr>
            <w:tcW w:w="522" w:type="pct"/>
          </w:tcPr>
          <w:p w:rsidR="008D0CDA" w:rsidRDefault="008D0CDA" w:rsidP="008D0CDA">
            <w:pPr>
              <w:pStyle w:val="Tabletext"/>
              <w:keepNext/>
              <w:jc w:val="center"/>
              <w:rPr>
                <w:lang w:val="en-US"/>
              </w:rPr>
            </w:pPr>
            <w:r>
              <w:rPr>
                <w:lang w:val="en-US"/>
              </w:rPr>
              <w:t>Yes</w:t>
            </w:r>
          </w:p>
        </w:tc>
      </w:tr>
      <w:tr w:rsidR="008D0CDA" w:rsidRPr="00E2771E" w:rsidTr="008D0CDA">
        <w:tc>
          <w:tcPr>
            <w:tcW w:w="476" w:type="pct"/>
            <w:shd w:val="clear" w:color="auto" w:fill="auto"/>
          </w:tcPr>
          <w:p w:rsidR="008D0CDA" w:rsidRPr="00E2771E" w:rsidRDefault="008D0CDA" w:rsidP="002A3F17">
            <w:pPr>
              <w:pStyle w:val="Tabletext"/>
              <w:keepNext/>
              <w:rPr>
                <w:lang w:val="en-US"/>
              </w:rPr>
            </w:pPr>
            <w:r>
              <w:rPr>
                <w:lang w:val="en-US"/>
              </w:rPr>
              <w:t>SPARTAN</w:t>
            </w:r>
          </w:p>
        </w:tc>
        <w:tc>
          <w:tcPr>
            <w:tcW w:w="659" w:type="pct"/>
            <w:shd w:val="clear" w:color="auto" w:fill="auto"/>
          </w:tcPr>
          <w:p w:rsidR="008D0CDA" w:rsidRPr="009A4DCD" w:rsidRDefault="008D0CDA" w:rsidP="002A3F17">
            <w:pPr>
              <w:pStyle w:val="Tabletext"/>
              <w:keepNext/>
              <w:rPr>
                <w:lang w:val="pt-PT"/>
              </w:rPr>
            </w:pPr>
            <w:r w:rsidRPr="009A4DCD">
              <w:rPr>
                <w:lang w:val="pt-PT"/>
              </w:rPr>
              <w:t>A</w:t>
            </w:r>
            <w:r>
              <w:rPr>
                <w:lang w:val="pt-PT"/>
              </w:rPr>
              <w:t>PA</w:t>
            </w:r>
            <w:r w:rsidRPr="009A4DCD">
              <w:rPr>
                <w:lang w:val="pt-PT"/>
              </w:rPr>
              <w:t>: N</w:t>
            </w:r>
            <w:r>
              <w:rPr>
                <w:lang w:val="pt-PT"/>
              </w:rPr>
              <w:t xml:space="preserve"> </w:t>
            </w:r>
            <w:r w:rsidRPr="009A4DCD">
              <w:rPr>
                <w:lang w:val="pt-PT"/>
              </w:rPr>
              <w:t>=</w:t>
            </w:r>
            <w:r>
              <w:rPr>
                <w:lang w:val="pt-PT"/>
              </w:rPr>
              <w:t xml:space="preserve"> </w:t>
            </w:r>
            <w:r w:rsidRPr="009A4DCD">
              <w:rPr>
                <w:lang w:val="pt-PT"/>
              </w:rPr>
              <w:t>806</w:t>
            </w:r>
          </w:p>
          <w:p w:rsidR="008D0CDA" w:rsidRPr="009A4DCD" w:rsidRDefault="008D0CDA" w:rsidP="002A3F17">
            <w:pPr>
              <w:pStyle w:val="Tabletext"/>
              <w:keepNext/>
              <w:rPr>
                <w:lang w:val="pt-PT"/>
              </w:rPr>
            </w:pPr>
            <w:r>
              <w:rPr>
                <w:lang w:val="pt-PT"/>
              </w:rPr>
              <w:t>SOC</w:t>
            </w:r>
            <w:r w:rsidRPr="009A4DCD">
              <w:rPr>
                <w:lang w:val="pt-PT"/>
              </w:rPr>
              <w:t xml:space="preserve"> N</w:t>
            </w:r>
            <w:r>
              <w:rPr>
                <w:lang w:val="pt-PT"/>
              </w:rPr>
              <w:t xml:space="preserve"> </w:t>
            </w:r>
            <w:r w:rsidRPr="009A4DCD">
              <w:rPr>
                <w:lang w:val="pt-PT"/>
              </w:rPr>
              <w:t>=</w:t>
            </w:r>
            <w:r>
              <w:rPr>
                <w:lang w:val="pt-PT"/>
              </w:rPr>
              <w:t xml:space="preserve"> </w:t>
            </w:r>
            <w:r w:rsidRPr="009A4DCD">
              <w:rPr>
                <w:lang w:val="pt-PT"/>
              </w:rPr>
              <w:t>40</w:t>
            </w:r>
            <w:r>
              <w:rPr>
                <w:lang w:val="pt-PT"/>
              </w:rPr>
              <w:t>2</w:t>
            </w:r>
          </w:p>
          <w:p w:rsidR="008D0CDA" w:rsidRPr="00E2771E" w:rsidRDefault="008D0CDA" w:rsidP="002A3F17">
            <w:pPr>
              <w:pStyle w:val="Tabletext"/>
              <w:keepNext/>
              <w:rPr>
                <w:lang w:val="en-US"/>
              </w:rPr>
            </w:pPr>
            <w:r w:rsidRPr="009A4DCD">
              <w:rPr>
                <w:lang w:val="pt-PT"/>
              </w:rPr>
              <w:t>Total: N</w:t>
            </w:r>
            <w:r>
              <w:rPr>
                <w:lang w:val="pt-PT"/>
              </w:rPr>
              <w:t xml:space="preserve"> </w:t>
            </w:r>
            <w:r w:rsidRPr="009A4DCD">
              <w:rPr>
                <w:lang w:val="pt-PT"/>
              </w:rPr>
              <w:t>=</w:t>
            </w:r>
            <w:r>
              <w:rPr>
                <w:lang w:val="pt-PT"/>
              </w:rPr>
              <w:t xml:space="preserve"> </w:t>
            </w:r>
            <w:r w:rsidRPr="009A4DCD">
              <w:rPr>
                <w:lang w:val="pt-PT"/>
              </w:rPr>
              <w:t>1,20</w:t>
            </w:r>
            <w:r>
              <w:rPr>
                <w:lang w:val="pt-PT"/>
              </w:rPr>
              <w:t>8</w:t>
            </w:r>
          </w:p>
        </w:tc>
        <w:tc>
          <w:tcPr>
            <w:tcW w:w="591" w:type="pct"/>
            <w:shd w:val="clear" w:color="auto" w:fill="auto"/>
          </w:tcPr>
          <w:p w:rsidR="008D0CDA" w:rsidRDefault="008D0CDA" w:rsidP="008D0CDA">
            <w:pPr>
              <w:pStyle w:val="Tabletext"/>
              <w:keepNext/>
              <w:jc w:val="center"/>
              <w:rPr>
                <w:lang w:val="en-US"/>
              </w:rPr>
            </w:pPr>
            <w:r w:rsidRPr="00E2771E">
              <w:rPr>
                <w:lang w:val="en-US"/>
              </w:rPr>
              <w:t>R, DB</w:t>
            </w:r>
            <w:r>
              <w:rPr>
                <w:lang w:val="en-US"/>
              </w:rPr>
              <w:t>, MC</w:t>
            </w:r>
          </w:p>
          <w:p w:rsidR="008D0CDA" w:rsidRDefault="008D0CDA" w:rsidP="008D0CDA">
            <w:pPr>
              <w:pStyle w:val="Tabletext"/>
              <w:keepNext/>
              <w:jc w:val="center"/>
              <w:rPr>
                <w:lang w:val="en-US"/>
              </w:rPr>
            </w:pPr>
            <w:r>
              <w:rPr>
                <w:lang w:val="en-US"/>
              </w:rPr>
              <w:t>APA + ADT vs. SOC + ADT</w:t>
            </w:r>
          </w:p>
          <w:p w:rsidR="008D0CDA" w:rsidRPr="00E2771E" w:rsidRDefault="008D0CDA" w:rsidP="002A3F17">
            <w:pPr>
              <w:pStyle w:val="Tabletext"/>
              <w:keepNext/>
              <w:jc w:val="center"/>
              <w:rPr>
                <w:lang w:val="en-US"/>
              </w:rPr>
            </w:pPr>
            <w:r>
              <w:rPr>
                <w:lang w:val="en-US"/>
              </w:rPr>
              <w:t>Median follow-up = 52.0 months</w:t>
            </w:r>
          </w:p>
        </w:tc>
        <w:tc>
          <w:tcPr>
            <w:tcW w:w="415" w:type="pct"/>
            <w:shd w:val="clear" w:color="auto" w:fill="auto"/>
          </w:tcPr>
          <w:p w:rsidR="008D0CDA" w:rsidRPr="00E2771E" w:rsidRDefault="008D0CDA" w:rsidP="002A3F17">
            <w:pPr>
              <w:pStyle w:val="Tabletext"/>
              <w:keepNext/>
              <w:jc w:val="center"/>
              <w:rPr>
                <w:lang w:val="en-US"/>
              </w:rPr>
            </w:pPr>
            <w:r>
              <w:rPr>
                <w:lang w:val="en-US"/>
              </w:rPr>
              <w:t>Moderate</w:t>
            </w:r>
          </w:p>
        </w:tc>
        <w:tc>
          <w:tcPr>
            <w:tcW w:w="516" w:type="pct"/>
            <w:vMerge/>
            <w:shd w:val="clear" w:color="auto" w:fill="auto"/>
          </w:tcPr>
          <w:p w:rsidR="008D0CDA" w:rsidRPr="00E2771E" w:rsidRDefault="008D0CDA" w:rsidP="002A3F17">
            <w:pPr>
              <w:pStyle w:val="Tabletext"/>
              <w:keepNext/>
              <w:rPr>
                <w:lang w:val="en-US"/>
              </w:rPr>
            </w:pPr>
          </w:p>
        </w:tc>
        <w:tc>
          <w:tcPr>
            <w:tcW w:w="1034" w:type="pct"/>
            <w:shd w:val="clear" w:color="auto" w:fill="auto"/>
          </w:tcPr>
          <w:p w:rsidR="008D0CDA" w:rsidRDefault="008D0CDA" w:rsidP="002A3F17">
            <w:pPr>
              <w:pStyle w:val="Tabletext"/>
              <w:keepNext/>
              <w:rPr>
                <w:lang w:val="en-US"/>
              </w:rPr>
            </w:pPr>
            <w:r>
              <w:rPr>
                <w:lang w:val="en-US"/>
              </w:rPr>
              <w:t xml:space="preserve">Primary: MFS </w:t>
            </w:r>
          </w:p>
          <w:p w:rsidR="008D0CDA" w:rsidRPr="00E2771E" w:rsidRDefault="008D0CDA" w:rsidP="002A3F17">
            <w:pPr>
              <w:pStyle w:val="Tabletext"/>
              <w:keepNext/>
              <w:rPr>
                <w:lang w:val="en-US"/>
              </w:rPr>
            </w:pPr>
            <w:r>
              <w:rPr>
                <w:lang w:val="en-US"/>
              </w:rPr>
              <w:t xml:space="preserve">Secondary: PFS, </w:t>
            </w:r>
            <w:r w:rsidRPr="00E2771E">
              <w:rPr>
                <w:lang w:val="en-US"/>
              </w:rPr>
              <w:t>OS</w:t>
            </w:r>
            <w:r>
              <w:rPr>
                <w:lang w:val="en-US"/>
              </w:rPr>
              <w:t>, time to: PSA progression, symptomatic progression, cytotoxic chemo, metastasis</w:t>
            </w:r>
          </w:p>
        </w:tc>
        <w:tc>
          <w:tcPr>
            <w:tcW w:w="786" w:type="pct"/>
            <w:shd w:val="clear" w:color="auto" w:fill="auto"/>
          </w:tcPr>
          <w:p w:rsidR="008D0CDA" w:rsidRPr="001020FC" w:rsidRDefault="008D0CDA" w:rsidP="008D0CDA">
            <w:pPr>
              <w:pStyle w:val="Tabletext"/>
              <w:keepNext/>
              <w:rPr>
                <w:lang w:val="en-US"/>
              </w:rPr>
            </w:pPr>
            <w:r w:rsidRPr="008D0CDA">
              <w:rPr>
                <w:lang w:val="en-US"/>
              </w:rPr>
              <w:t>ITC vs. DARO</w:t>
            </w:r>
            <w:r>
              <w:rPr>
                <w:lang w:val="en-US"/>
              </w:rPr>
              <w:t>;</w:t>
            </w:r>
          </w:p>
          <w:p w:rsidR="008D0CDA" w:rsidRPr="001020FC" w:rsidRDefault="008D0CDA" w:rsidP="002A3F17">
            <w:pPr>
              <w:pStyle w:val="Tabletext"/>
              <w:keepNext/>
              <w:rPr>
                <w:lang w:val="en-US"/>
              </w:rPr>
            </w:pPr>
            <w:r w:rsidRPr="001020FC">
              <w:rPr>
                <w:lang w:val="en-US"/>
              </w:rPr>
              <w:t>M</w:t>
            </w:r>
            <w:r>
              <w:rPr>
                <w:lang w:val="en-US"/>
              </w:rPr>
              <w:t>AIC vs. DARO</w:t>
            </w:r>
          </w:p>
        </w:tc>
        <w:tc>
          <w:tcPr>
            <w:tcW w:w="522" w:type="pct"/>
          </w:tcPr>
          <w:p w:rsidR="008D0CDA" w:rsidRPr="008D0CDA" w:rsidRDefault="008D0CDA" w:rsidP="008D0CDA">
            <w:pPr>
              <w:pStyle w:val="Tabletext"/>
              <w:keepNext/>
              <w:jc w:val="center"/>
              <w:rPr>
                <w:lang w:val="en-US"/>
              </w:rPr>
            </w:pPr>
            <w:r>
              <w:rPr>
                <w:lang w:val="en-US"/>
              </w:rPr>
              <w:t>No</w:t>
            </w:r>
          </w:p>
        </w:tc>
      </w:tr>
      <w:tr w:rsidR="008D0CDA" w:rsidRPr="00E2771E" w:rsidTr="008D0CDA">
        <w:tc>
          <w:tcPr>
            <w:tcW w:w="476" w:type="pct"/>
            <w:shd w:val="clear" w:color="auto" w:fill="auto"/>
          </w:tcPr>
          <w:p w:rsidR="008D0CDA" w:rsidRDefault="008D0CDA" w:rsidP="002A3F17">
            <w:pPr>
              <w:pStyle w:val="Tabletext"/>
              <w:keepNext/>
              <w:rPr>
                <w:lang w:val="en-US"/>
              </w:rPr>
            </w:pPr>
            <w:r>
              <w:rPr>
                <w:lang w:val="en-US"/>
              </w:rPr>
              <w:t>PROSPER</w:t>
            </w:r>
          </w:p>
        </w:tc>
        <w:tc>
          <w:tcPr>
            <w:tcW w:w="659" w:type="pct"/>
            <w:shd w:val="clear" w:color="auto" w:fill="auto"/>
          </w:tcPr>
          <w:p w:rsidR="008D0CDA" w:rsidRPr="009A4DCD" w:rsidRDefault="008D0CDA" w:rsidP="002A3F17">
            <w:pPr>
              <w:pStyle w:val="Tabletext"/>
              <w:keepNext/>
              <w:rPr>
                <w:lang w:val="pt-PT"/>
              </w:rPr>
            </w:pPr>
            <w:r w:rsidRPr="009A4DCD">
              <w:rPr>
                <w:lang w:val="pt-PT"/>
              </w:rPr>
              <w:t>E</w:t>
            </w:r>
            <w:r>
              <w:rPr>
                <w:lang w:val="pt-PT"/>
              </w:rPr>
              <w:t>NZA</w:t>
            </w:r>
            <w:r w:rsidRPr="009A4DCD">
              <w:rPr>
                <w:lang w:val="pt-PT"/>
              </w:rPr>
              <w:t>: N</w:t>
            </w:r>
            <w:r>
              <w:rPr>
                <w:lang w:val="pt-PT"/>
              </w:rPr>
              <w:t xml:space="preserve"> </w:t>
            </w:r>
            <w:r w:rsidRPr="009A4DCD">
              <w:rPr>
                <w:lang w:val="pt-PT"/>
              </w:rPr>
              <w:t>=</w:t>
            </w:r>
            <w:r>
              <w:rPr>
                <w:lang w:val="pt-PT"/>
              </w:rPr>
              <w:t xml:space="preserve"> </w:t>
            </w:r>
            <w:r w:rsidRPr="009A4DCD">
              <w:rPr>
                <w:lang w:val="pt-PT"/>
              </w:rPr>
              <w:t>933</w:t>
            </w:r>
          </w:p>
          <w:p w:rsidR="008D0CDA" w:rsidRPr="009A4DCD" w:rsidRDefault="008D0CDA" w:rsidP="002A3F17">
            <w:pPr>
              <w:pStyle w:val="Tabletext"/>
              <w:keepNext/>
              <w:rPr>
                <w:lang w:val="pt-PT"/>
              </w:rPr>
            </w:pPr>
            <w:r>
              <w:rPr>
                <w:lang w:val="pt-PT"/>
              </w:rPr>
              <w:t>SOC</w:t>
            </w:r>
            <w:r w:rsidRPr="009A4DCD">
              <w:rPr>
                <w:lang w:val="pt-PT"/>
              </w:rPr>
              <w:t>: N</w:t>
            </w:r>
            <w:r>
              <w:rPr>
                <w:lang w:val="pt-PT"/>
              </w:rPr>
              <w:t xml:space="preserve"> </w:t>
            </w:r>
            <w:r w:rsidRPr="009A4DCD">
              <w:rPr>
                <w:lang w:val="pt-PT"/>
              </w:rPr>
              <w:t>=</w:t>
            </w:r>
            <w:r>
              <w:rPr>
                <w:lang w:val="pt-PT"/>
              </w:rPr>
              <w:t xml:space="preserve"> </w:t>
            </w:r>
            <w:r w:rsidRPr="009A4DCD">
              <w:rPr>
                <w:lang w:val="pt-PT"/>
              </w:rPr>
              <w:t>468</w:t>
            </w:r>
          </w:p>
          <w:p w:rsidR="008D0CDA" w:rsidRPr="00E2771E" w:rsidRDefault="008D0CDA" w:rsidP="002A3F17">
            <w:pPr>
              <w:pStyle w:val="Tabletext"/>
              <w:keepNext/>
              <w:rPr>
                <w:lang w:val="en-US"/>
              </w:rPr>
            </w:pPr>
            <w:r w:rsidRPr="009A4DCD">
              <w:rPr>
                <w:lang w:val="pt-PT"/>
              </w:rPr>
              <w:t>Total: N</w:t>
            </w:r>
            <w:r>
              <w:rPr>
                <w:lang w:val="pt-PT"/>
              </w:rPr>
              <w:t xml:space="preserve"> </w:t>
            </w:r>
            <w:r w:rsidRPr="009A4DCD">
              <w:rPr>
                <w:lang w:val="pt-PT"/>
              </w:rPr>
              <w:t>=</w:t>
            </w:r>
            <w:r>
              <w:rPr>
                <w:lang w:val="pt-PT"/>
              </w:rPr>
              <w:t xml:space="preserve"> </w:t>
            </w:r>
            <w:r w:rsidRPr="009A4DCD">
              <w:rPr>
                <w:lang w:val="pt-PT"/>
              </w:rPr>
              <w:t>1,401</w:t>
            </w:r>
          </w:p>
        </w:tc>
        <w:tc>
          <w:tcPr>
            <w:tcW w:w="591" w:type="pct"/>
            <w:shd w:val="clear" w:color="auto" w:fill="auto"/>
          </w:tcPr>
          <w:p w:rsidR="008D0CDA" w:rsidRDefault="008D0CDA" w:rsidP="008D0CDA">
            <w:pPr>
              <w:pStyle w:val="Tabletext"/>
              <w:keepNext/>
              <w:jc w:val="center"/>
              <w:rPr>
                <w:lang w:val="en-US"/>
              </w:rPr>
            </w:pPr>
            <w:r w:rsidRPr="00E2771E">
              <w:rPr>
                <w:lang w:val="en-US"/>
              </w:rPr>
              <w:t>R, DB</w:t>
            </w:r>
            <w:r>
              <w:rPr>
                <w:lang w:val="en-US"/>
              </w:rPr>
              <w:t>, MC</w:t>
            </w:r>
          </w:p>
          <w:p w:rsidR="008D0CDA" w:rsidRDefault="008D0CDA" w:rsidP="008D0CDA">
            <w:pPr>
              <w:pStyle w:val="Tabletext"/>
              <w:keepNext/>
              <w:jc w:val="center"/>
              <w:rPr>
                <w:lang w:val="en-US"/>
              </w:rPr>
            </w:pPr>
            <w:r>
              <w:rPr>
                <w:lang w:val="en-US"/>
              </w:rPr>
              <w:t>ENZA + ADT vs. SOC + ADT</w:t>
            </w:r>
          </w:p>
          <w:p w:rsidR="008D0CDA" w:rsidRDefault="008D0CDA" w:rsidP="002A3F17">
            <w:pPr>
              <w:pStyle w:val="Tabletext"/>
              <w:keepNext/>
              <w:jc w:val="center"/>
              <w:rPr>
                <w:lang w:val="en-US"/>
              </w:rPr>
            </w:pPr>
            <w:r>
              <w:rPr>
                <w:lang w:val="en-US"/>
              </w:rPr>
              <w:t>Median follow-up = 48.0 months</w:t>
            </w:r>
          </w:p>
        </w:tc>
        <w:tc>
          <w:tcPr>
            <w:tcW w:w="415" w:type="pct"/>
            <w:shd w:val="clear" w:color="auto" w:fill="auto"/>
          </w:tcPr>
          <w:p w:rsidR="008D0CDA" w:rsidRPr="009A4DCD" w:rsidRDefault="008D0CDA" w:rsidP="002A3F17">
            <w:pPr>
              <w:pStyle w:val="Tabletext"/>
              <w:keepNext/>
              <w:jc w:val="center"/>
              <w:rPr>
                <w:lang w:val="pt-PT"/>
              </w:rPr>
            </w:pPr>
            <w:r>
              <w:rPr>
                <w:lang w:val="pt-PT"/>
              </w:rPr>
              <w:t>Moderate</w:t>
            </w:r>
          </w:p>
        </w:tc>
        <w:tc>
          <w:tcPr>
            <w:tcW w:w="516" w:type="pct"/>
            <w:vMerge/>
            <w:shd w:val="clear" w:color="auto" w:fill="auto"/>
          </w:tcPr>
          <w:p w:rsidR="008D0CDA" w:rsidRPr="009A4DCD" w:rsidRDefault="008D0CDA" w:rsidP="002A3F17">
            <w:pPr>
              <w:pStyle w:val="Tabletext"/>
              <w:keepNext/>
              <w:rPr>
                <w:lang w:val="pt-PT"/>
              </w:rPr>
            </w:pPr>
          </w:p>
        </w:tc>
        <w:tc>
          <w:tcPr>
            <w:tcW w:w="1034" w:type="pct"/>
            <w:shd w:val="clear" w:color="auto" w:fill="auto"/>
          </w:tcPr>
          <w:p w:rsidR="008D0CDA" w:rsidRDefault="008D0CDA" w:rsidP="002A3F17">
            <w:pPr>
              <w:pStyle w:val="Tabletext"/>
              <w:keepNext/>
              <w:rPr>
                <w:lang w:val="en-US"/>
              </w:rPr>
            </w:pPr>
            <w:r>
              <w:rPr>
                <w:lang w:val="en-US"/>
              </w:rPr>
              <w:t xml:space="preserve">Primary: MFS </w:t>
            </w:r>
          </w:p>
          <w:p w:rsidR="008D0CDA" w:rsidRDefault="008D0CDA" w:rsidP="002A3F17">
            <w:pPr>
              <w:pStyle w:val="Tabletext"/>
              <w:keepNext/>
              <w:rPr>
                <w:lang w:val="en-US"/>
              </w:rPr>
            </w:pPr>
            <w:r>
              <w:rPr>
                <w:lang w:val="en-US"/>
              </w:rPr>
              <w:t>Secondary: OS, time to: PSA progression, pain progression, first use subsequent anti-neoplastic therapy</w:t>
            </w:r>
          </w:p>
        </w:tc>
        <w:tc>
          <w:tcPr>
            <w:tcW w:w="786" w:type="pct"/>
            <w:shd w:val="clear" w:color="auto" w:fill="auto"/>
          </w:tcPr>
          <w:p w:rsidR="008D0CDA" w:rsidRPr="001020FC" w:rsidRDefault="008D0CDA" w:rsidP="008D0CDA">
            <w:pPr>
              <w:pStyle w:val="Tabletext"/>
              <w:keepNext/>
              <w:rPr>
                <w:lang w:val="en-US"/>
              </w:rPr>
            </w:pPr>
            <w:r w:rsidRPr="001020FC">
              <w:rPr>
                <w:lang w:val="en-US"/>
              </w:rPr>
              <w:t xml:space="preserve">ITC vs. </w:t>
            </w:r>
            <w:r>
              <w:rPr>
                <w:lang w:val="en-US"/>
              </w:rPr>
              <w:t>DARO;</w:t>
            </w:r>
          </w:p>
          <w:p w:rsidR="008D0CDA" w:rsidRPr="001020FC" w:rsidRDefault="008D0CDA" w:rsidP="002A3F17">
            <w:pPr>
              <w:pStyle w:val="Tabletext"/>
              <w:keepNext/>
              <w:rPr>
                <w:lang w:val="en-US"/>
              </w:rPr>
            </w:pPr>
            <w:r w:rsidRPr="001020FC">
              <w:rPr>
                <w:lang w:val="en-US"/>
              </w:rPr>
              <w:t>M</w:t>
            </w:r>
            <w:r>
              <w:rPr>
                <w:lang w:val="en-US"/>
              </w:rPr>
              <w:t>AIC</w:t>
            </w:r>
            <w:r w:rsidRPr="001020FC">
              <w:rPr>
                <w:lang w:val="en-US"/>
              </w:rPr>
              <w:t xml:space="preserve"> vs. </w:t>
            </w:r>
            <w:r>
              <w:rPr>
                <w:lang w:val="en-US"/>
              </w:rPr>
              <w:t>DARO</w:t>
            </w:r>
          </w:p>
        </w:tc>
        <w:tc>
          <w:tcPr>
            <w:tcW w:w="522" w:type="pct"/>
          </w:tcPr>
          <w:p w:rsidR="008D0CDA" w:rsidRPr="001020FC" w:rsidRDefault="008D0CDA" w:rsidP="008D0CDA">
            <w:pPr>
              <w:pStyle w:val="Tabletext"/>
              <w:keepNext/>
              <w:jc w:val="center"/>
              <w:rPr>
                <w:lang w:val="en-US"/>
              </w:rPr>
            </w:pPr>
            <w:r>
              <w:rPr>
                <w:lang w:val="en-US"/>
              </w:rPr>
              <w:t>No</w:t>
            </w:r>
          </w:p>
        </w:tc>
      </w:tr>
    </w:tbl>
    <w:p w:rsidR="002A3F17" w:rsidRDefault="002A3F17" w:rsidP="002A3F17">
      <w:pPr>
        <w:pStyle w:val="TableFooter"/>
      </w:pPr>
      <w:r>
        <w:t>Source:  Table 2-7, p51 of the resubmission.</w:t>
      </w:r>
    </w:p>
    <w:p w:rsidR="002A3F17" w:rsidRPr="00B1011F" w:rsidRDefault="002A3F17" w:rsidP="002A3F17">
      <w:pPr>
        <w:pStyle w:val="TableFooter"/>
      </w:pPr>
      <w:r>
        <w:t xml:space="preserve">ADT = androgen deprivation therapy; APA = apalutamide; chemo = chemotherapy; DARO = darolutamide; </w:t>
      </w:r>
      <w:r w:rsidRPr="0072416F">
        <w:t>DB</w:t>
      </w:r>
      <w:r>
        <w:t xml:space="preserve"> </w:t>
      </w:r>
      <w:r w:rsidRPr="0072416F">
        <w:t>=</w:t>
      </w:r>
      <w:r>
        <w:t xml:space="preserve"> </w:t>
      </w:r>
      <w:r w:rsidRPr="0072416F">
        <w:t xml:space="preserve">double blind; </w:t>
      </w:r>
      <w:r>
        <w:t xml:space="preserve">ENZA = enzalutamide; ITC = indirect treatment comparison; MAIC = matching-adjusted indirect comparison; m0CRPC = non-metastatic castration resistant prostate cancer; </w:t>
      </w:r>
      <w:r w:rsidRPr="0072416F">
        <w:t>MC</w:t>
      </w:r>
      <w:r>
        <w:t xml:space="preserve"> </w:t>
      </w:r>
      <w:r w:rsidRPr="0072416F">
        <w:t>=</w:t>
      </w:r>
      <w:r>
        <w:t xml:space="preserve"> </w:t>
      </w:r>
      <w:r w:rsidRPr="0072416F">
        <w:t xml:space="preserve">multi-centre; </w:t>
      </w:r>
      <w:r>
        <w:t xml:space="preserve">MFS = metastasis-free survival; </w:t>
      </w:r>
      <w:r w:rsidRPr="0072416F">
        <w:t>OS</w:t>
      </w:r>
      <w:r>
        <w:t xml:space="preserve"> </w:t>
      </w:r>
      <w:r w:rsidRPr="0072416F">
        <w:t>=</w:t>
      </w:r>
      <w:r>
        <w:t xml:space="preserve"> </w:t>
      </w:r>
      <w:r w:rsidRPr="0072416F">
        <w:t xml:space="preserve">overall survival; </w:t>
      </w:r>
      <w:r>
        <w:t xml:space="preserve">PSA = prostate specific antigen; </w:t>
      </w:r>
      <w:r w:rsidRPr="0072416F">
        <w:t>R</w:t>
      </w:r>
      <w:r>
        <w:t xml:space="preserve"> </w:t>
      </w:r>
      <w:r w:rsidRPr="0072416F">
        <w:t>=</w:t>
      </w:r>
      <w:r>
        <w:t xml:space="preserve"> </w:t>
      </w:r>
      <w:r w:rsidRPr="0072416F">
        <w:t>randomised</w:t>
      </w:r>
      <w:r>
        <w:t>; PFS = progression-free survival; SOC = standard of care</w:t>
      </w:r>
    </w:p>
    <w:p w:rsidR="002A3F17" w:rsidRPr="002A3F17" w:rsidRDefault="002A3F17" w:rsidP="008227E0"/>
    <w:p w:rsidR="00045017" w:rsidRPr="00EC5836" w:rsidRDefault="00925EFB" w:rsidP="00EC5836">
      <w:pPr>
        <w:pStyle w:val="3-BodyText"/>
        <w:rPr>
          <w:color w:val="0066FF"/>
        </w:rPr>
      </w:pPr>
      <w:r w:rsidRPr="00925EFB">
        <w:t xml:space="preserve">The PBAC </w:t>
      </w:r>
      <w:r>
        <w:t xml:space="preserve">previously </w:t>
      </w:r>
      <w:r w:rsidRPr="00925EFB">
        <w:t xml:space="preserve">considered that the risk of bias across the three trials was likely to be moderate given occurrence of </w:t>
      </w:r>
      <w:r w:rsidR="00182515">
        <w:t>adverse events (</w:t>
      </w:r>
      <w:r w:rsidRPr="00925EFB">
        <w:t>AEs</w:t>
      </w:r>
      <w:r w:rsidR="00182515">
        <w:t>)</w:t>
      </w:r>
      <w:r w:rsidRPr="00925EFB">
        <w:t xml:space="preserve"> in the active treatment arms such as rash and fatigue which would potentially result in unblinding</w:t>
      </w:r>
      <w:r>
        <w:t xml:space="preserve"> (paragraphs 6.6 and 6.7, darolutamide PSD, July 2020)</w:t>
      </w:r>
      <w:r w:rsidRPr="00925EFB">
        <w:t>.</w:t>
      </w:r>
      <w:r>
        <w:rPr>
          <w:color w:val="0066FF"/>
        </w:rPr>
        <w:t xml:space="preserve"> </w:t>
      </w:r>
    </w:p>
    <w:p w:rsidR="007F1017" w:rsidRPr="00EC5836" w:rsidRDefault="00272B1C" w:rsidP="00EC5836">
      <w:pPr>
        <w:pStyle w:val="3-BodyText"/>
        <w:rPr>
          <w:color w:val="0066FF"/>
        </w:rPr>
      </w:pPr>
      <w:r w:rsidRPr="008D0CDA">
        <w:t xml:space="preserve">The intention-to-treat (ITT) analysis of </w:t>
      </w:r>
      <w:r w:rsidR="00182515" w:rsidRPr="008D0CDA">
        <w:t>the key outcome, metastasis-free survival (</w:t>
      </w:r>
      <w:r w:rsidRPr="008D0CDA">
        <w:t>MFS</w:t>
      </w:r>
      <w:r w:rsidR="00182515" w:rsidRPr="008D0CDA">
        <w:t>),</w:t>
      </w:r>
      <w:r w:rsidRPr="008D0CDA">
        <w:t xml:space="preserve"> in the ARAMIS trial included patients who had been misclassified at baseline as not having metastases (5.2% of patients in the darolutamide arm and 7.0% of patients in the SOC arm). Results for MFS, the primary outcome, were presented with and without correction for the misclassification.</w:t>
      </w:r>
    </w:p>
    <w:p w:rsidR="00B60939" w:rsidRPr="00C9624D" w:rsidRDefault="00B60939" w:rsidP="00EC5836">
      <w:pPr>
        <w:pStyle w:val="4-SubsectionHeading"/>
      </w:pPr>
      <w:bookmarkStart w:id="13" w:name="_Toc22897641"/>
      <w:bookmarkStart w:id="14" w:name="_Toc62023471"/>
      <w:r w:rsidRPr="00C9624D">
        <w:t>Comparative effectiveness</w:t>
      </w:r>
      <w:bookmarkEnd w:id="13"/>
      <w:bookmarkEnd w:id="14"/>
    </w:p>
    <w:p w:rsidR="00272B1C" w:rsidRPr="00272B1C" w:rsidRDefault="00272B1C" w:rsidP="00EC5836">
      <w:pPr>
        <w:pStyle w:val="3-BodyText"/>
      </w:pPr>
      <w:r w:rsidRPr="00272B1C">
        <w:t xml:space="preserve">A summary of the results for key time-to-event outcomes in ARAMIS are presented below. </w:t>
      </w:r>
    </w:p>
    <w:p w:rsidR="00272B1C" w:rsidRPr="00272B1C" w:rsidRDefault="00272B1C" w:rsidP="006A65C9">
      <w:pPr>
        <w:keepNext/>
        <w:rPr>
          <w:rFonts w:ascii="Arial Narrow" w:hAnsi="Arial Narrow"/>
          <w:b/>
          <w:sz w:val="20"/>
          <w:szCs w:val="20"/>
        </w:rPr>
      </w:pPr>
      <w:r w:rsidRPr="00272B1C">
        <w:rPr>
          <w:rFonts w:ascii="Arial Narrow" w:hAnsi="Arial Narrow"/>
          <w:b/>
          <w:sz w:val="20"/>
          <w:szCs w:val="20"/>
        </w:rPr>
        <w:lastRenderedPageBreak/>
        <w:t xml:space="preserve">Table </w:t>
      </w:r>
      <w:r w:rsidR="000C08E6">
        <w:rPr>
          <w:rFonts w:ascii="Arial Narrow" w:hAnsi="Arial Narrow"/>
          <w:b/>
          <w:sz w:val="20"/>
          <w:szCs w:val="20"/>
        </w:rPr>
        <w:t>6</w:t>
      </w:r>
      <w:r w:rsidRPr="00272B1C">
        <w:rPr>
          <w:rFonts w:ascii="Arial Narrow" w:hAnsi="Arial Narrow"/>
          <w:b/>
          <w:sz w:val="20"/>
          <w:szCs w:val="20"/>
        </w:rPr>
        <w:t>:  Summary of time-to-event outcomes in ARAMIS</w:t>
      </w:r>
    </w:p>
    <w:tbl>
      <w:tblPr>
        <w:tblStyle w:val="TableGrid"/>
        <w:tblW w:w="9209" w:type="dxa"/>
        <w:tblCellMar>
          <w:left w:w="28" w:type="dxa"/>
          <w:right w:w="28" w:type="dxa"/>
        </w:tblCellMar>
        <w:tblLook w:val="04A0" w:firstRow="1" w:lastRow="0" w:firstColumn="1" w:lastColumn="0" w:noHBand="0" w:noVBand="1"/>
        <w:tblCaption w:val="Table 6:  Summary of time-to-event outcomes in ARAMIS"/>
      </w:tblPr>
      <w:tblGrid>
        <w:gridCol w:w="3539"/>
        <w:gridCol w:w="1418"/>
        <w:gridCol w:w="1417"/>
        <w:gridCol w:w="1418"/>
        <w:gridCol w:w="1417"/>
      </w:tblGrid>
      <w:tr w:rsidR="00272B1C" w:rsidRPr="001A1007" w:rsidTr="008D0CDA">
        <w:trPr>
          <w:tblHeader/>
        </w:trPr>
        <w:tc>
          <w:tcPr>
            <w:tcW w:w="3539" w:type="dxa"/>
            <w:vMerge w:val="restart"/>
            <w:shd w:val="clear" w:color="auto" w:fill="auto"/>
            <w:vAlign w:val="center"/>
          </w:tcPr>
          <w:p w:rsidR="00272B1C" w:rsidRDefault="00272B1C" w:rsidP="006A65C9">
            <w:pPr>
              <w:keepNext/>
              <w:tabs>
                <w:tab w:val="left" w:pos="142"/>
              </w:tabs>
              <w:jc w:val="left"/>
              <w:rPr>
                <w:rFonts w:ascii="Arial Narrow" w:hAnsi="Arial Narrow"/>
                <w:b/>
                <w:sz w:val="20"/>
                <w:szCs w:val="20"/>
              </w:rPr>
            </w:pPr>
            <w:r>
              <w:rPr>
                <w:rFonts w:ascii="Arial Narrow" w:hAnsi="Arial Narrow"/>
                <w:b/>
                <w:sz w:val="20"/>
                <w:szCs w:val="20"/>
              </w:rPr>
              <w:t>Outcome</w:t>
            </w:r>
          </w:p>
        </w:tc>
        <w:tc>
          <w:tcPr>
            <w:tcW w:w="2835" w:type="dxa"/>
            <w:gridSpan w:val="2"/>
            <w:tcBorders>
              <w:right w:val="double" w:sz="4" w:space="0" w:color="auto"/>
            </w:tcBorders>
            <w:shd w:val="clear" w:color="auto" w:fill="auto"/>
            <w:vAlign w:val="center"/>
          </w:tcPr>
          <w:p w:rsidR="00272B1C" w:rsidRDefault="00272B1C" w:rsidP="006A65C9">
            <w:pPr>
              <w:keepNext/>
              <w:jc w:val="center"/>
              <w:rPr>
                <w:rFonts w:ascii="Arial Narrow" w:hAnsi="Arial Narrow"/>
                <w:b/>
                <w:sz w:val="20"/>
                <w:szCs w:val="20"/>
              </w:rPr>
            </w:pPr>
            <w:r>
              <w:rPr>
                <w:rFonts w:ascii="Arial Narrow" w:hAnsi="Arial Narrow"/>
                <w:b/>
                <w:sz w:val="20"/>
                <w:szCs w:val="20"/>
              </w:rPr>
              <w:t>Interim analysis (17.9 months)</w:t>
            </w:r>
          </w:p>
        </w:tc>
        <w:tc>
          <w:tcPr>
            <w:tcW w:w="2835" w:type="dxa"/>
            <w:gridSpan w:val="2"/>
            <w:tcBorders>
              <w:left w:val="double" w:sz="4" w:space="0" w:color="auto"/>
            </w:tcBorders>
            <w:shd w:val="clear" w:color="auto" w:fill="auto"/>
            <w:vAlign w:val="center"/>
          </w:tcPr>
          <w:p w:rsidR="00272B1C" w:rsidRDefault="00272B1C" w:rsidP="006A65C9">
            <w:pPr>
              <w:keepNext/>
              <w:jc w:val="center"/>
              <w:rPr>
                <w:rFonts w:ascii="Arial Narrow" w:hAnsi="Arial Narrow"/>
                <w:b/>
                <w:sz w:val="20"/>
                <w:szCs w:val="20"/>
              </w:rPr>
            </w:pPr>
            <w:r>
              <w:rPr>
                <w:rFonts w:ascii="Arial Narrow" w:hAnsi="Arial Narrow"/>
                <w:b/>
                <w:sz w:val="20"/>
                <w:szCs w:val="20"/>
              </w:rPr>
              <w:t>Updated analysis (29.1 months)</w:t>
            </w:r>
          </w:p>
        </w:tc>
      </w:tr>
      <w:tr w:rsidR="00272B1C" w:rsidRPr="001A1007" w:rsidTr="008D0CDA">
        <w:trPr>
          <w:tblHeader/>
        </w:trPr>
        <w:tc>
          <w:tcPr>
            <w:tcW w:w="3539" w:type="dxa"/>
            <w:vMerge/>
            <w:shd w:val="clear" w:color="auto" w:fill="auto"/>
            <w:vAlign w:val="center"/>
          </w:tcPr>
          <w:p w:rsidR="00272B1C" w:rsidRPr="001A1007" w:rsidRDefault="00272B1C" w:rsidP="006A65C9">
            <w:pPr>
              <w:keepNext/>
              <w:tabs>
                <w:tab w:val="left" w:pos="142"/>
              </w:tabs>
              <w:jc w:val="left"/>
              <w:rPr>
                <w:rFonts w:ascii="Arial Narrow" w:hAnsi="Arial Narrow"/>
                <w:b/>
                <w:sz w:val="20"/>
                <w:szCs w:val="20"/>
              </w:rPr>
            </w:pPr>
          </w:p>
        </w:tc>
        <w:tc>
          <w:tcPr>
            <w:tcW w:w="1418" w:type="dxa"/>
            <w:shd w:val="clear" w:color="auto" w:fill="auto"/>
            <w:vAlign w:val="center"/>
          </w:tcPr>
          <w:p w:rsidR="00272B1C" w:rsidRPr="001A1007" w:rsidRDefault="00272B1C" w:rsidP="006A65C9">
            <w:pPr>
              <w:keepNext/>
              <w:jc w:val="center"/>
              <w:rPr>
                <w:rFonts w:ascii="Arial Narrow" w:hAnsi="Arial Narrow"/>
                <w:b/>
                <w:sz w:val="20"/>
                <w:szCs w:val="20"/>
              </w:rPr>
            </w:pPr>
            <w:r>
              <w:rPr>
                <w:rFonts w:ascii="Arial Narrow" w:hAnsi="Arial Narrow"/>
                <w:b/>
                <w:sz w:val="20"/>
                <w:szCs w:val="20"/>
              </w:rPr>
              <w:t xml:space="preserve">Darolutamide </w:t>
            </w:r>
            <w:r w:rsidR="00623E6A">
              <w:rPr>
                <w:rFonts w:ascii="Arial Narrow" w:hAnsi="Arial Narrow"/>
                <w:b/>
                <w:sz w:val="20"/>
                <w:szCs w:val="20"/>
              </w:rPr>
              <w:br/>
            </w:r>
            <w:r>
              <w:rPr>
                <w:rFonts w:ascii="Arial Narrow" w:hAnsi="Arial Narrow"/>
                <w:b/>
                <w:sz w:val="20"/>
                <w:szCs w:val="20"/>
              </w:rPr>
              <w:t>(N = 955)</w:t>
            </w:r>
          </w:p>
        </w:tc>
        <w:tc>
          <w:tcPr>
            <w:tcW w:w="1417" w:type="dxa"/>
            <w:tcBorders>
              <w:right w:val="double" w:sz="4" w:space="0" w:color="auto"/>
            </w:tcBorders>
            <w:shd w:val="clear" w:color="auto" w:fill="auto"/>
            <w:vAlign w:val="center"/>
          </w:tcPr>
          <w:p w:rsidR="00272B1C" w:rsidRDefault="00272B1C" w:rsidP="006A65C9">
            <w:pPr>
              <w:keepNext/>
              <w:jc w:val="center"/>
              <w:rPr>
                <w:rFonts w:ascii="Arial Narrow" w:hAnsi="Arial Narrow"/>
                <w:b/>
                <w:sz w:val="20"/>
                <w:szCs w:val="20"/>
              </w:rPr>
            </w:pPr>
            <w:r>
              <w:rPr>
                <w:rFonts w:ascii="Arial Narrow" w:hAnsi="Arial Narrow"/>
                <w:b/>
                <w:sz w:val="20"/>
                <w:szCs w:val="20"/>
              </w:rPr>
              <w:t xml:space="preserve">SOC </w:t>
            </w:r>
          </w:p>
          <w:p w:rsidR="00272B1C" w:rsidRPr="001A1007" w:rsidRDefault="00272B1C" w:rsidP="006A65C9">
            <w:pPr>
              <w:keepNext/>
              <w:jc w:val="center"/>
              <w:rPr>
                <w:rFonts w:ascii="Arial Narrow" w:hAnsi="Arial Narrow"/>
                <w:b/>
                <w:sz w:val="20"/>
                <w:szCs w:val="20"/>
              </w:rPr>
            </w:pPr>
            <w:r>
              <w:rPr>
                <w:rFonts w:ascii="Arial Narrow" w:hAnsi="Arial Narrow"/>
                <w:b/>
                <w:sz w:val="20"/>
                <w:szCs w:val="20"/>
              </w:rPr>
              <w:t>(N = 554)</w:t>
            </w:r>
          </w:p>
        </w:tc>
        <w:tc>
          <w:tcPr>
            <w:tcW w:w="1418" w:type="dxa"/>
            <w:tcBorders>
              <w:left w:val="double" w:sz="4" w:space="0" w:color="auto"/>
            </w:tcBorders>
            <w:shd w:val="clear" w:color="auto" w:fill="auto"/>
            <w:vAlign w:val="center"/>
          </w:tcPr>
          <w:p w:rsidR="00272B1C" w:rsidRDefault="00272B1C" w:rsidP="006A65C9">
            <w:pPr>
              <w:keepNext/>
              <w:jc w:val="center"/>
              <w:rPr>
                <w:rFonts w:ascii="Arial Narrow" w:hAnsi="Arial Narrow"/>
                <w:b/>
                <w:sz w:val="20"/>
                <w:szCs w:val="20"/>
              </w:rPr>
            </w:pPr>
            <w:r>
              <w:rPr>
                <w:rFonts w:ascii="Arial Narrow" w:hAnsi="Arial Narrow"/>
                <w:b/>
                <w:sz w:val="20"/>
                <w:szCs w:val="20"/>
              </w:rPr>
              <w:t xml:space="preserve">Darolutamide </w:t>
            </w:r>
            <w:r>
              <w:rPr>
                <w:rFonts w:ascii="Arial Narrow" w:hAnsi="Arial Narrow"/>
                <w:b/>
                <w:sz w:val="20"/>
                <w:szCs w:val="20"/>
              </w:rPr>
              <w:br/>
              <w:t>(N = 955)</w:t>
            </w:r>
          </w:p>
        </w:tc>
        <w:tc>
          <w:tcPr>
            <w:tcW w:w="1417" w:type="dxa"/>
            <w:shd w:val="clear" w:color="auto" w:fill="auto"/>
            <w:vAlign w:val="center"/>
          </w:tcPr>
          <w:p w:rsidR="00272B1C" w:rsidRDefault="00272B1C" w:rsidP="006A65C9">
            <w:pPr>
              <w:keepNext/>
              <w:jc w:val="center"/>
              <w:rPr>
                <w:rFonts w:ascii="Arial Narrow" w:hAnsi="Arial Narrow"/>
                <w:b/>
                <w:sz w:val="20"/>
                <w:szCs w:val="20"/>
              </w:rPr>
            </w:pPr>
            <w:r>
              <w:rPr>
                <w:rFonts w:ascii="Arial Narrow" w:hAnsi="Arial Narrow"/>
                <w:b/>
                <w:sz w:val="20"/>
                <w:szCs w:val="20"/>
              </w:rPr>
              <w:t xml:space="preserve">SOC </w:t>
            </w:r>
          </w:p>
          <w:p w:rsidR="00272B1C" w:rsidRDefault="00272B1C" w:rsidP="006A65C9">
            <w:pPr>
              <w:keepNext/>
              <w:jc w:val="center"/>
              <w:rPr>
                <w:rFonts w:ascii="Arial Narrow" w:hAnsi="Arial Narrow"/>
                <w:b/>
                <w:sz w:val="20"/>
                <w:szCs w:val="20"/>
              </w:rPr>
            </w:pPr>
            <w:r>
              <w:rPr>
                <w:rFonts w:ascii="Arial Narrow" w:hAnsi="Arial Narrow"/>
                <w:b/>
                <w:sz w:val="20"/>
                <w:szCs w:val="20"/>
              </w:rPr>
              <w:t>(N = 554)</w:t>
            </w:r>
          </w:p>
        </w:tc>
      </w:tr>
      <w:tr w:rsidR="00272B1C" w:rsidTr="008D0CDA">
        <w:tc>
          <w:tcPr>
            <w:tcW w:w="3539" w:type="dxa"/>
            <w:shd w:val="clear" w:color="auto" w:fill="auto"/>
            <w:vAlign w:val="center"/>
          </w:tcPr>
          <w:p w:rsidR="00272B1C" w:rsidRDefault="00272B1C" w:rsidP="006A65C9">
            <w:pPr>
              <w:keepNext/>
              <w:tabs>
                <w:tab w:val="left" w:pos="142"/>
              </w:tabs>
              <w:jc w:val="left"/>
              <w:rPr>
                <w:rFonts w:ascii="Arial Narrow" w:hAnsi="Arial Narrow"/>
                <w:sz w:val="20"/>
                <w:szCs w:val="20"/>
              </w:rPr>
            </w:pPr>
            <w:r>
              <w:rPr>
                <w:rFonts w:ascii="Arial Narrow" w:hAnsi="Arial Narrow"/>
                <w:b/>
                <w:sz w:val="20"/>
                <w:szCs w:val="20"/>
              </w:rPr>
              <w:t>Metastasis-free survival (</w:t>
            </w:r>
            <w:r w:rsidRPr="00691AEA">
              <w:rPr>
                <w:rFonts w:ascii="Arial Narrow" w:hAnsi="Arial Narrow"/>
                <w:b/>
                <w:sz w:val="20"/>
                <w:szCs w:val="20"/>
              </w:rPr>
              <w:t>MFS</w:t>
            </w:r>
            <w:r>
              <w:rPr>
                <w:rFonts w:ascii="Arial Narrow" w:hAnsi="Arial Narrow"/>
                <w:b/>
                <w:sz w:val="20"/>
                <w:szCs w:val="20"/>
              </w:rPr>
              <w:t>)</w:t>
            </w:r>
          </w:p>
        </w:tc>
        <w:tc>
          <w:tcPr>
            <w:tcW w:w="1418" w:type="dxa"/>
            <w:shd w:val="clear" w:color="auto" w:fill="auto"/>
            <w:vAlign w:val="center"/>
          </w:tcPr>
          <w:p w:rsidR="00272B1C" w:rsidRDefault="00272B1C" w:rsidP="006A65C9">
            <w:pPr>
              <w:keepNext/>
              <w:jc w:val="center"/>
              <w:rPr>
                <w:rFonts w:ascii="Arial Narrow" w:hAnsi="Arial Narrow"/>
                <w:sz w:val="20"/>
                <w:szCs w:val="20"/>
              </w:rPr>
            </w:pPr>
          </w:p>
        </w:tc>
        <w:tc>
          <w:tcPr>
            <w:tcW w:w="1417" w:type="dxa"/>
            <w:tcBorders>
              <w:right w:val="double" w:sz="4" w:space="0" w:color="auto"/>
            </w:tcBorders>
            <w:shd w:val="clear" w:color="auto" w:fill="auto"/>
            <w:vAlign w:val="center"/>
          </w:tcPr>
          <w:p w:rsidR="00272B1C" w:rsidRDefault="00272B1C" w:rsidP="006A65C9">
            <w:pPr>
              <w:keepNext/>
              <w:jc w:val="center"/>
              <w:rPr>
                <w:rFonts w:ascii="Arial Narrow" w:hAnsi="Arial Narrow"/>
                <w:sz w:val="20"/>
                <w:szCs w:val="20"/>
              </w:rPr>
            </w:pPr>
          </w:p>
        </w:tc>
        <w:tc>
          <w:tcPr>
            <w:tcW w:w="2835" w:type="dxa"/>
            <w:gridSpan w:val="2"/>
            <w:vMerge w:val="restart"/>
            <w:tcBorders>
              <w:left w:val="double" w:sz="4" w:space="0" w:color="auto"/>
            </w:tcBorders>
            <w:shd w:val="clear" w:color="auto" w:fill="auto"/>
            <w:vAlign w:val="center"/>
          </w:tcPr>
          <w:p w:rsidR="00272B1C" w:rsidRDefault="00272B1C" w:rsidP="006A65C9">
            <w:pPr>
              <w:keepNext/>
              <w:jc w:val="center"/>
              <w:rPr>
                <w:rFonts w:ascii="Arial Narrow" w:hAnsi="Arial Narrow"/>
                <w:sz w:val="20"/>
                <w:szCs w:val="20"/>
              </w:rPr>
            </w:pPr>
            <w:r>
              <w:rPr>
                <w:rFonts w:ascii="Arial Narrow" w:hAnsi="Arial Narrow"/>
                <w:sz w:val="20"/>
                <w:szCs w:val="20"/>
              </w:rPr>
              <w:t>Not reported</w:t>
            </w:r>
          </w:p>
        </w:tc>
      </w:tr>
      <w:tr w:rsidR="00272B1C" w:rsidTr="008D0CDA">
        <w:tc>
          <w:tcPr>
            <w:tcW w:w="3539" w:type="dxa"/>
            <w:shd w:val="clear" w:color="auto" w:fill="auto"/>
            <w:vAlign w:val="center"/>
          </w:tcPr>
          <w:p w:rsidR="00272B1C" w:rsidRPr="001A1007" w:rsidRDefault="00272B1C" w:rsidP="006A65C9">
            <w:pPr>
              <w:keepNext/>
              <w:tabs>
                <w:tab w:val="left" w:pos="142"/>
              </w:tabs>
              <w:jc w:val="left"/>
              <w:rPr>
                <w:rFonts w:ascii="Arial Narrow" w:hAnsi="Arial Narrow"/>
                <w:sz w:val="20"/>
                <w:szCs w:val="20"/>
              </w:rPr>
            </w:pPr>
            <w:r>
              <w:rPr>
                <w:rFonts w:ascii="Arial Narrow" w:hAnsi="Arial Narrow"/>
                <w:sz w:val="20"/>
                <w:szCs w:val="20"/>
              </w:rPr>
              <w:tab/>
              <w:t>Event n (%)</w:t>
            </w:r>
          </w:p>
        </w:tc>
        <w:tc>
          <w:tcPr>
            <w:tcW w:w="1418" w:type="dxa"/>
            <w:shd w:val="clear" w:color="auto" w:fill="auto"/>
            <w:vAlign w:val="center"/>
          </w:tcPr>
          <w:p w:rsidR="00272B1C" w:rsidRPr="001A1007" w:rsidRDefault="00272B1C" w:rsidP="006A65C9">
            <w:pPr>
              <w:keepNext/>
              <w:jc w:val="center"/>
              <w:rPr>
                <w:rFonts w:ascii="Arial Narrow" w:hAnsi="Arial Narrow"/>
                <w:sz w:val="20"/>
                <w:szCs w:val="20"/>
              </w:rPr>
            </w:pPr>
            <w:r>
              <w:rPr>
                <w:rFonts w:ascii="Arial Narrow" w:hAnsi="Arial Narrow"/>
                <w:sz w:val="20"/>
                <w:szCs w:val="20"/>
              </w:rPr>
              <w:t>221</w:t>
            </w:r>
            <w:r w:rsidRPr="00691AEA">
              <w:rPr>
                <w:rFonts w:ascii="Arial Narrow" w:hAnsi="Arial Narrow"/>
                <w:sz w:val="20"/>
                <w:szCs w:val="20"/>
              </w:rPr>
              <w:t xml:space="preserve"> (</w:t>
            </w:r>
            <w:r>
              <w:rPr>
                <w:rFonts w:ascii="Arial Narrow" w:hAnsi="Arial Narrow"/>
                <w:sz w:val="20"/>
                <w:szCs w:val="20"/>
              </w:rPr>
              <w:t>23.1</w:t>
            </w:r>
            <w:r w:rsidRPr="00691AEA">
              <w:rPr>
                <w:rFonts w:ascii="Arial Narrow" w:hAnsi="Arial Narrow"/>
                <w:sz w:val="20"/>
                <w:szCs w:val="20"/>
              </w:rPr>
              <w:t>%)</w:t>
            </w:r>
          </w:p>
        </w:tc>
        <w:tc>
          <w:tcPr>
            <w:tcW w:w="1417" w:type="dxa"/>
            <w:tcBorders>
              <w:right w:val="double" w:sz="4" w:space="0" w:color="auto"/>
            </w:tcBorders>
            <w:shd w:val="clear" w:color="auto" w:fill="auto"/>
            <w:vAlign w:val="center"/>
          </w:tcPr>
          <w:p w:rsidR="00272B1C" w:rsidRPr="001A1007" w:rsidRDefault="00272B1C" w:rsidP="006A65C9">
            <w:pPr>
              <w:keepNext/>
              <w:jc w:val="center"/>
              <w:rPr>
                <w:rFonts w:ascii="Arial Narrow" w:hAnsi="Arial Narrow"/>
                <w:sz w:val="20"/>
                <w:szCs w:val="20"/>
              </w:rPr>
            </w:pPr>
            <w:r>
              <w:rPr>
                <w:rFonts w:ascii="Arial Narrow" w:hAnsi="Arial Narrow"/>
                <w:sz w:val="20"/>
                <w:szCs w:val="20"/>
              </w:rPr>
              <w:t>206</w:t>
            </w:r>
            <w:r w:rsidRPr="00691AEA">
              <w:rPr>
                <w:rFonts w:ascii="Arial Narrow" w:hAnsi="Arial Narrow"/>
                <w:sz w:val="20"/>
                <w:szCs w:val="20"/>
              </w:rPr>
              <w:t xml:space="preserve"> (</w:t>
            </w:r>
            <w:r>
              <w:rPr>
                <w:rFonts w:ascii="Arial Narrow" w:hAnsi="Arial Narrow"/>
                <w:sz w:val="20"/>
                <w:szCs w:val="20"/>
              </w:rPr>
              <w:t>39.0</w:t>
            </w:r>
            <w:r w:rsidRPr="00691AEA">
              <w:rPr>
                <w:rFonts w:ascii="Arial Narrow" w:hAnsi="Arial Narrow"/>
                <w:sz w:val="20"/>
                <w:szCs w:val="20"/>
              </w:rPr>
              <w:t>%)</w:t>
            </w:r>
          </w:p>
        </w:tc>
        <w:tc>
          <w:tcPr>
            <w:tcW w:w="2835" w:type="dxa"/>
            <w:gridSpan w:val="2"/>
            <w:vMerge/>
            <w:tcBorders>
              <w:left w:val="double" w:sz="4" w:space="0" w:color="auto"/>
            </w:tcBorders>
            <w:shd w:val="clear" w:color="auto" w:fill="auto"/>
            <w:vAlign w:val="center"/>
          </w:tcPr>
          <w:p w:rsidR="00272B1C" w:rsidRDefault="00272B1C" w:rsidP="006A65C9">
            <w:pPr>
              <w:keepNext/>
              <w:jc w:val="center"/>
              <w:rPr>
                <w:rFonts w:ascii="Arial Narrow" w:hAnsi="Arial Narrow"/>
                <w:sz w:val="20"/>
                <w:szCs w:val="20"/>
              </w:rPr>
            </w:pPr>
          </w:p>
        </w:tc>
      </w:tr>
      <w:tr w:rsidR="00272B1C" w:rsidTr="008D0CDA">
        <w:tc>
          <w:tcPr>
            <w:tcW w:w="3539" w:type="dxa"/>
            <w:shd w:val="clear" w:color="auto" w:fill="auto"/>
            <w:vAlign w:val="center"/>
          </w:tcPr>
          <w:p w:rsidR="00272B1C" w:rsidRPr="001A1007" w:rsidRDefault="00272B1C" w:rsidP="006A65C9">
            <w:pPr>
              <w:keepNext/>
              <w:tabs>
                <w:tab w:val="left" w:pos="142"/>
              </w:tabs>
              <w:jc w:val="left"/>
              <w:rPr>
                <w:rFonts w:ascii="Arial Narrow" w:hAnsi="Arial Narrow"/>
                <w:sz w:val="20"/>
                <w:szCs w:val="20"/>
              </w:rPr>
            </w:pPr>
            <w:r>
              <w:rPr>
                <w:rFonts w:ascii="Arial Narrow" w:hAnsi="Arial Narrow"/>
                <w:sz w:val="20"/>
                <w:szCs w:val="20"/>
              </w:rPr>
              <w:tab/>
              <w:t xml:space="preserve">Median months to metastasis (95% CI) </w:t>
            </w:r>
          </w:p>
        </w:tc>
        <w:tc>
          <w:tcPr>
            <w:tcW w:w="1418" w:type="dxa"/>
            <w:shd w:val="clear" w:color="auto" w:fill="auto"/>
            <w:vAlign w:val="center"/>
          </w:tcPr>
          <w:p w:rsidR="00272B1C" w:rsidRPr="001A1007" w:rsidRDefault="00272B1C" w:rsidP="006A65C9">
            <w:pPr>
              <w:keepNext/>
              <w:jc w:val="center"/>
              <w:rPr>
                <w:rFonts w:ascii="Arial Narrow" w:hAnsi="Arial Narrow"/>
                <w:sz w:val="20"/>
                <w:szCs w:val="20"/>
              </w:rPr>
            </w:pPr>
            <w:r w:rsidRPr="00691AEA">
              <w:rPr>
                <w:rFonts w:ascii="Arial Narrow" w:hAnsi="Arial Narrow"/>
                <w:sz w:val="20"/>
                <w:szCs w:val="20"/>
              </w:rPr>
              <w:t>40.</w:t>
            </w:r>
            <w:r>
              <w:rPr>
                <w:rFonts w:ascii="Arial Narrow" w:hAnsi="Arial Narrow"/>
                <w:sz w:val="20"/>
                <w:szCs w:val="20"/>
              </w:rPr>
              <w:t>4</w:t>
            </w:r>
            <w:r w:rsidRPr="00691AEA">
              <w:rPr>
                <w:rFonts w:ascii="Arial Narrow" w:hAnsi="Arial Narrow"/>
                <w:sz w:val="20"/>
                <w:szCs w:val="20"/>
              </w:rPr>
              <w:t xml:space="preserve"> (</w:t>
            </w:r>
            <w:r>
              <w:rPr>
                <w:rFonts w:ascii="Arial Narrow" w:hAnsi="Arial Narrow"/>
                <w:sz w:val="20"/>
                <w:szCs w:val="20"/>
              </w:rPr>
              <w:t>34.3</w:t>
            </w:r>
            <w:r w:rsidRPr="00691AEA">
              <w:rPr>
                <w:rFonts w:ascii="Arial Narrow" w:hAnsi="Arial Narrow"/>
                <w:sz w:val="20"/>
                <w:szCs w:val="20"/>
              </w:rPr>
              <w:t xml:space="preserve">, </w:t>
            </w:r>
            <w:r>
              <w:rPr>
                <w:rFonts w:ascii="Arial Narrow" w:hAnsi="Arial Narrow"/>
                <w:sz w:val="20"/>
                <w:szCs w:val="20"/>
              </w:rPr>
              <w:t>NR</w:t>
            </w:r>
            <w:r w:rsidRPr="00691AEA">
              <w:rPr>
                <w:rFonts w:ascii="Arial Narrow" w:hAnsi="Arial Narrow"/>
                <w:sz w:val="20"/>
                <w:szCs w:val="20"/>
              </w:rPr>
              <w:t>)</w:t>
            </w:r>
          </w:p>
        </w:tc>
        <w:tc>
          <w:tcPr>
            <w:tcW w:w="1417" w:type="dxa"/>
            <w:tcBorders>
              <w:right w:val="double" w:sz="4" w:space="0" w:color="auto"/>
            </w:tcBorders>
            <w:shd w:val="clear" w:color="auto" w:fill="auto"/>
            <w:vAlign w:val="center"/>
          </w:tcPr>
          <w:p w:rsidR="00272B1C" w:rsidRPr="001A1007" w:rsidRDefault="00272B1C" w:rsidP="006A65C9">
            <w:pPr>
              <w:keepNext/>
              <w:jc w:val="center"/>
              <w:rPr>
                <w:rFonts w:ascii="Arial Narrow" w:hAnsi="Arial Narrow"/>
                <w:sz w:val="20"/>
                <w:szCs w:val="20"/>
              </w:rPr>
            </w:pPr>
            <w:r>
              <w:rPr>
                <w:rFonts w:ascii="Arial Narrow" w:hAnsi="Arial Narrow"/>
                <w:sz w:val="20"/>
                <w:szCs w:val="20"/>
              </w:rPr>
              <w:t>18.4</w:t>
            </w:r>
            <w:r w:rsidRPr="00691AEA">
              <w:rPr>
                <w:rFonts w:ascii="Arial Narrow" w:hAnsi="Arial Narrow"/>
                <w:sz w:val="20"/>
                <w:szCs w:val="20"/>
              </w:rPr>
              <w:t xml:space="preserve"> (</w:t>
            </w:r>
            <w:r>
              <w:rPr>
                <w:rFonts w:ascii="Arial Narrow" w:hAnsi="Arial Narrow"/>
                <w:sz w:val="20"/>
                <w:szCs w:val="20"/>
              </w:rPr>
              <w:t>15.5</w:t>
            </w:r>
            <w:r w:rsidRPr="00691AEA">
              <w:rPr>
                <w:rFonts w:ascii="Arial Narrow" w:hAnsi="Arial Narrow"/>
                <w:sz w:val="20"/>
                <w:szCs w:val="20"/>
              </w:rPr>
              <w:t xml:space="preserve">, </w:t>
            </w:r>
            <w:r>
              <w:rPr>
                <w:rFonts w:ascii="Arial Narrow" w:hAnsi="Arial Narrow"/>
                <w:sz w:val="20"/>
                <w:szCs w:val="20"/>
              </w:rPr>
              <w:t>22.3</w:t>
            </w:r>
            <w:r w:rsidRPr="00691AEA">
              <w:rPr>
                <w:rFonts w:ascii="Arial Narrow" w:hAnsi="Arial Narrow"/>
                <w:sz w:val="20"/>
                <w:szCs w:val="20"/>
              </w:rPr>
              <w:t>)</w:t>
            </w:r>
          </w:p>
        </w:tc>
        <w:tc>
          <w:tcPr>
            <w:tcW w:w="2835" w:type="dxa"/>
            <w:gridSpan w:val="2"/>
            <w:vMerge/>
            <w:tcBorders>
              <w:left w:val="double" w:sz="4" w:space="0" w:color="auto"/>
            </w:tcBorders>
            <w:shd w:val="clear" w:color="auto" w:fill="auto"/>
            <w:vAlign w:val="center"/>
          </w:tcPr>
          <w:p w:rsidR="00272B1C" w:rsidRDefault="00272B1C" w:rsidP="006A65C9">
            <w:pPr>
              <w:keepNext/>
              <w:jc w:val="center"/>
              <w:rPr>
                <w:rFonts w:ascii="Arial Narrow" w:hAnsi="Arial Narrow"/>
                <w:sz w:val="20"/>
                <w:szCs w:val="20"/>
              </w:rPr>
            </w:pPr>
          </w:p>
        </w:tc>
      </w:tr>
      <w:tr w:rsidR="00272B1C" w:rsidTr="008D0CDA">
        <w:tc>
          <w:tcPr>
            <w:tcW w:w="3539" w:type="dxa"/>
            <w:shd w:val="clear" w:color="auto" w:fill="auto"/>
            <w:vAlign w:val="center"/>
          </w:tcPr>
          <w:p w:rsidR="00272B1C" w:rsidRPr="001A1007" w:rsidRDefault="00272B1C" w:rsidP="006A65C9">
            <w:pPr>
              <w:keepNext/>
              <w:tabs>
                <w:tab w:val="left" w:pos="142"/>
              </w:tabs>
              <w:jc w:val="left"/>
              <w:rPr>
                <w:rFonts w:ascii="Arial Narrow" w:hAnsi="Arial Narrow"/>
                <w:sz w:val="20"/>
                <w:szCs w:val="20"/>
              </w:rPr>
            </w:pPr>
            <w:r>
              <w:rPr>
                <w:rFonts w:ascii="Arial Narrow" w:hAnsi="Arial Narrow"/>
                <w:sz w:val="20"/>
                <w:szCs w:val="20"/>
              </w:rPr>
              <w:tab/>
              <w:t>HR (95% CI)</w:t>
            </w:r>
          </w:p>
        </w:tc>
        <w:tc>
          <w:tcPr>
            <w:tcW w:w="2835" w:type="dxa"/>
            <w:gridSpan w:val="2"/>
            <w:tcBorders>
              <w:right w:val="double" w:sz="4" w:space="0" w:color="auto"/>
            </w:tcBorders>
            <w:shd w:val="clear" w:color="auto" w:fill="auto"/>
            <w:vAlign w:val="center"/>
          </w:tcPr>
          <w:p w:rsidR="00272B1C" w:rsidRPr="00691AEA" w:rsidRDefault="00272B1C" w:rsidP="006A65C9">
            <w:pPr>
              <w:keepNext/>
              <w:jc w:val="center"/>
              <w:rPr>
                <w:rFonts w:ascii="Arial Narrow" w:hAnsi="Arial Narrow"/>
                <w:b/>
                <w:sz w:val="20"/>
                <w:szCs w:val="20"/>
              </w:rPr>
            </w:pPr>
            <w:r>
              <w:rPr>
                <w:rFonts w:ascii="Arial Narrow" w:hAnsi="Arial Narrow"/>
                <w:b/>
                <w:sz w:val="20"/>
                <w:szCs w:val="20"/>
              </w:rPr>
              <w:t>0.41 (0.34, 0.50</w:t>
            </w:r>
            <w:r w:rsidRPr="00691AEA">
              <w:rPr>
                <w:rFonts w:ascii="Arial Narrow" w:hAnsi="Arial Narrow"/>
                <w:b/>
                <w:sz w:val="20"/>
                <w:szCs w:val="20"/>
              </w:rPr>
              <w:t>)</w:t>
            </w:r>
          </w:p>
        </w:tc>
        <w:tc>
          <w:tcPr>
            <w:tcW w:w="2835" w:type="dxa"/>
            <w:gridSpan w:val="2"/>
            <w:vMerge/>
            <w:tcBorders>
              <w:left w:val="double" w:sz="4" w:space="0" w:color="auto"/>
            </w:tcBorders>
            <w:shd w:val="clear" w:color="auto" w:fill="auto"/>
            <w:vAlign w:val="center"/>
          </w:tcPr>
          <w:p w:rsidR="00272B1C" w:rsidRDefault="00272B1C" w:rsidP="006A65C9">
            <w:pPr>
              <w:keepNext/>
              <w:jc w:val="center"/>
              <w:rPr>
                <w:rFonts w:ascii="Arial Narrow" w:hAnsi="Arial Narrow"/>
                <w:b/>
                <w:sz w:val="20"/>
                <w:szCs w:val="20"/>
              </w:rPr>
            </w:pPr>
          </w:p>
        </w:tc>
      </w:tr>
      <w:tr w:rsidR="00272B1C" w:rsidTr="008D0CDA">
        <w:tc>
          <w:tcPr>
            <w:tcW w:w="9209" w:type="dxa"/>
            <w:gridSpan w:val="5"/>
            <w:shd w:val="clear" w:color="auto" w:fill="auto"/>
            <w:vAlign w:val="center"/>
          </w:tcPr>
          <w:p w:rsidR="00272B1C" w:rsidRDefault="00272B1C" w:rsidP="006A65C9">
            <w:pPr>
              <w:keepNext/>
              <w:jc w:val="left"/>
              <w:rPr>
                <w:rFonts w:ascii="Arial Narrow" w:hAnsi="Arial Narrow"/>
                <w:sz w:val="20"/>
                <w:szCs w:val="20"/>
              </w:rPr>
            </w:pPr>
            <w:r>
              <w:rPr>
                <w:rFonts w:ascii="Arial Narrow" w:hAnsi="Arial Narrow"/>
                <w:b/>
                <w:sz w:val="20"/>
                <w:szCs w:val="20"/>
              </w:rPr>
              <w:t>Metastasis-free survival (</w:t>
            </w:r>
            <w:r w:rsidRPr="00691AEA">
              <w:rPr>
                <w:rFonts w:ascii="Arial Narrow" w:hAnsi="Arial Narrow"/>
                <w:b/>
                <w:sz w:val="20"/>
                <w:szCs w:val="20"/>
              </w:rPr>
              <w:t>MFS</w:t>
            </w:r>
            <w:r>
              <w:rPr>
                <w:rFonts w:ascii="Arial Narrow" w:hAnsi="Arial Narrow"/>
                <w:b/>
                <w:sz w:val="20"/>
                <w:szCs w:val="20"/>
              </w:rPr>
              <w:t>)</w:t>
            </w:r>
            <w:r w:rsidRPr="00691AEA">
              <w:rPr>
                <w:rFonts w:ascii="Arial Narrow" w:hAnsi="Arial Narrow"/>
                <w:b/>
                <w:sz w:val="20"/>
                <w:szCs w:val="20"/>
              </w:rPr>
              <w:t xml:space="preserve"> – </w:t>
            </w:r>
            <w:r>
              <w:rPr>
                <w:rFonts w:ascii="Arial Narrow" w:hAnsi="Arial Narrow"/>
                <w:b/>
                <w:sz w:val="20"/>
                <w:szCs w:val="20"/>
              </w:rPr>
              <w:t>censored (corrected for misclassification of patients)</w:t>
            </w:r>
          </w:p>
        </w:tc>
      </w:tr>
      <w:tr w:rsidR="00272B1C" w:rsidTr="008D0CDA">
        <w:tc>
          <w:tcPr>
            <w:tcW w:w="3539" w:type="dxa"/>
            <w:shd w:val="clear" w:color="auto" w:fill="auto"/>
            <w:vAlign w:val="center"/>
          </w:tcPr>
          <w:p w:rsidR="00272B1C" w:rsidRPr="001A1007" w:rsidRDefault="00272B1C" w:rsidP="006A65C9">
            <w:pPr>
              <w:keepNext/>
              <w:tabs>
                <w:tab w:val="left" w:pos="142"/>
              </w:tabs>
              <w:jc w:val="left"/>
              <w:rPr>
                <w:rFonts w:ascii="Arial Narrow" w:hAnsi="Arial Narrow"/>
                <w:sz w:val="20"/>
                <w:szCs w:val="20"/>
              </w:rPr>
            </w:pPr>
            <w:r>
              <w:rPr>
                <w:rFonts w:ascii="Arial Narrow" w:hAnsi="Arial Narrow"/>
                <w:sz w:val="20"/>
                <w:szCs w:val="20"/>
              </w:rPr>
              <w:tab/>
              <w:t>Event n (%)</w:t>
            </w:r>
          </w:p>
        </w:tc>
        <w:tc>
          <w:tcPr>
            <w:tcW w:w="1418" w:type="dxa"/>
            <w:shd w:val="clear" w:color="auto" w:fill="auto"/>
            <w:vAlign w:val="center"/>
          </w:tcPr>
          <w:p w:rsidR="00272B1C" w:rsidRPr="001A1007" w:rsidRDefault="00272B1C" w:rsidP="006A65C9">
            <w:pPr>
              <w:keepNext/>
              <w:jc w:val="center"/>
              <w:rPr>
                <w:rFonts w:ascii="Arial Narrow" w:hAnsi="Arial Narrow"/>
                <w:sz w:val="20"/>
                <w:szCs w:val="20"/>
              </w:rPr>
            </w:pPr>
            <w:r>
              <w:rPr>
                <w:rFonts w:ascii="Arial Narrow" w:hAnsi="Arial Narrow"/>
                <w:sz w:val="20"/>
                <w:szCs w:val="20"/>
              </w:rPr>
              <w:t>171 (17.9%)</w:t>
            </w:r>
          </w:p>
        </w:tc>
        <w:tc>
          <w:tcPr>
            <w:tcW w:w="1417" w:type="dxa"/>
            <w:tcBorders>
              <w:right w:val="double" w:sz="4" w:space="0" w:color="auto"/>
            </w:tcBorders>
            <w:shd w:val="clear" w:color="auto" w:fill="auto"/>
            <w:vAlign w:val="center"/>
          </w:tcPr>
          <w:p w:rsidR="00272B1C" w:rsidRPr="001A1007" w:rsidRDefault="00272B1C" w:rsidP="006A65C9">
            <w:pPr>
              <w:keepNext/>
              <w:jc w:val="center"/>
              <w:rPr>
                <w:rFonts w:ascii="Arial Narrow" w:hAnsi="Arial Narrow"/>
                <w:sz w:val="20"/>
                <w:szCs w:val="20"/>
              </w:rPr>
            </w:pPr>
            <w:r>
              <w:rPr>
                <w:rFonts w:ascii="Arial Narrow" w:hAnsi="Arial Narrow"/>
                <w:sz w:val="20"/>
                <w:szCs w:val="20"/>
              </w:rPr>
              <w:t>177 (31.9%)</w:t>
            </w:r>
          </w:p>
        </w:tc>
        <w:tc>
          <w:tcPr>
            <w:tcW w:w="2835" w:type="dxa"/>
            <w:gridSpan w:val="2"/>
            <w:vMerge w:val="restart"/>
            <w:tcBorders>
              <w:left w:val="double" w:sz="4" w:space="0" w:color="auto"/>
            </w:tcBorders>
            <w:shd w:val="clear" w:color="auto" w:fill="auto"/>
            <w:vAlign w:val="center"/>
          </w:tcPr>
          <w:p w:rsidR="00272B1C" w:rsidRDefault="00272B1C" w:rsidP="006A65C9">
            <w:pPr>
              <w:keepNext/>
              <w:jc w:val="center"/>
              <w:rPr>
                <w:rFonts w:ascii="Arial Narrow" w:hAnsi="Arial Narrow"/>
                <w:sz w:val="20"/>
                <w:szCs w:val="20"/>
              </w:rPr>
            </w:pPr>
            <w:r w:rsidRPr="006A65C9">
              <w:rPr>
                <w:rFonts w:ascii="Arial Narrow" w:hAnsi="Arial Narrow"/>
                <w:sz w:val="20"/>
                <w:szCs w:val="20"/>
              </w:rPr>
              <w:t>Not reporte</w:t>
            </w:r>
            <w:r>
              <w:rPr>
                <w:rFonts w:ascii="Arial Narrow" w:hAnsi="Arial Narrow"/>
                <w:sz w:val="20"/>
                <w:szCs w:val="20"/>
              </w:rPr>
              <w:t>d</w:t>
            </w:r>
          </w:p>
        </w:tc>
      </w:tr>
      <w:tr w:rsidR="00272B1C" w:rsidTr="008D0CDA">
        <w:tc>
          <w:tcPr>
            <w:tcW w:w="3539" w:type="dxa"/>
            <w:shd w:val="clear" w:color="auto" w:fill="auto"/>
            <w:vAlign w:val="center"/>
          </w:tcPr>
          <w:p w:rsidR="00272B1C" w:rsidRPr="001A1007" w:rsidRDefault="00272B1C" w:rsidP="006A65C9">
            <w:pPr>
              <w:keepNext/>
              <w:tabs>
                <w:tab w:val="left" w:pos="142"/>
              </w:tabs>
              <w:jc w:val="left"/>
              <w:rPr>
                <w:rFonts w:ascii="Arial Narrow" w:hAnsi="Arial Narrow"/>
                <w:sz w:val="20"/>
                <w:szCs w:val="20"/>
              </w:rPr>
            </w:pPr>
            <w:r>
              <w:rPr>
                <w:rFonts w:ascii="Arial Narrow" w:hAnsi="Arial Narrow"/>
                <w:sz w:val="20"/>
                <w:szCs w:val="20"/>
              </w:rPr>
              <w:tab/>
              <w:t xml:space="preserve">Median months to metastasis (95% CI) </w:t>
            </w:r>
          </w:p>
        </w:tc>
        <w:tc>
          <w:tcPr>
            <w:tcW w:w="1418" w:type="dxa"/>
            <w:shd w:val="clear" w:color="auto" w:fill="auto"/>
            <w:vAlign w:val="center"/>
          </w:tcPr>
          <w:p w:rsidR="00272B1C" w:rsidRPr="001A1007" w:rsidRDefault="00272B1C" w:rsidP="006A65C9">
            <w:pPr>
              <w:keepNext/>
              <w:jc w:val="center"/>
              <w:rPr>
                <w:rFonts w:ascii="Arial Narrow" w:hAnsi="Arial Narrow"/>
                <w:sz w:val="20"/>
                <w:szCs w:val="20"/>
              </w:rPr>
            </w:pPr>
            <w:r>
              <w:rPr>
                <w:rFonts w:ascii="Arial Narrow" w:hAnsi="Arial Narrow"/>
                <w:sz w:val="20"/>
                <w:szCs w:val="20"/>
              </w:rPr>
              <w:t>40.5 (35.8, NR)</w:t>
            </w:r>
          </w:p>
        </w:tc>
        <w:tc>
          <w:tcPr>
            <w:tcW w:w="1417" w:type="dxa"/>
            <w:tcBorders>
              <w:right w:val="double" w:sz="4" w:space="0" w:color="auto"/>
            </w:tcBorders>
            <w:shd w:val="clear" w:color="auto" w:fill="auto"/>
            <w:vAlign w:val="center"/>
          </w:tcPr>
          <w:p w:rsidR="00272B1C" w:rsidRPr="001A1007" w:rsidRDefault="00272B1C" w:rsidP="006A65C9">
            <w:pPr>
              <w:keepNext/>
              <w:jc w:val="center"/>
              <w:rPr>
                <w:rFonts w:ascii="Arial Narrow" w:hAnsi="Arial Narrow"/>
                <w:sz w:val="20"/>
                <w:szCs w:val="20"/>
              </w:rPr>
            </w:pPr>
            <w:r>
              <w:rPr>
                <w:rFonts w:ascii="Arial Narrow" w:hAnsi="Arial Narrow"/>
                <w:sz w:val="20"/>
                <w:szCs w:val="20"/>
              </w:rPr>
              <w:t>22.1 (18.3, 25.8)</w:t>
            </w:r>
          </w:p>
        </w:tc>
        <w:tc>
          <w:tcPr>
            <w:tcW w:w="2835" w:type="dxa"/>
            <w:gridSpan w:val="2"/>
            <w:vMerge/>
            <w:tcBorders>
              <w:left w:val="double" w:sz="4" w:space="0" w:color="auto"/>
            </w:tcBorders>
            <w:shd w:val="clear" w:color="auto" w:fill="auto"/>
            <w:vAlign w:val="center"/>
          </w:tcPr>
          <w:p w:rsidR="00272B1C" w:rsidRDefault="00272B1C" w:rsidP="006A65C9">
            <w:pPr>
              <w:keepNext/>
              <w:jc w:val="center"/>
              <w:rPr>
                <w:rFonts w:ascii="Arial Narrow" w:hAnsi="Arial Narrow"/>
                <w:sz w:val="20"/>
                <w:szCs w:val="20"/>
              </w:rPr>
            </w:pPr>
          </w:p>
        </w:tc>
      </w:tr>
      <w:tr w:rsidR="00272B1C" w:rsidTr="008D0CDA">
        <w:tc>
          <w:tcPr>
            <w:tcW w:w="3539" w:type="dxa"/>
            <w:shd w:val="clear" w:color="auto" w:fill="auto"/>
            <w:vAlign w:val="center"/>
          </w:tcPr>
          <w:p w:rsidR="00272B1C" w:rsidRPr="001A1007" w:rsidRDefault="00272B1C" w:rsidP="006A65C9">
            <w:pPr>
              <w:keepNext/>
              <w:tabs>
                <w:tab w:val="left" w:pos="142"/>
              </w:tabs>
              <w:jc w:val="left"/>
              <w:rPr>
                <w:rFonts w:ascii="Arial Narrow" w:hAnsi="Arial Narrow"/>
                <w:sz w:val="20"/>
                <w:szCs w:val="20"/>
              </w:rPr>
            </w:pPr>
            <w:r>
              <w:rPr>
                <w:rFonts w:ascii="Arial Narrow" w:hAnsi="Arial Narrow"/>
                <w:sz w:val="20"/>
                <w:szCs w:val="20"/>
              </w:rPr>
              <w:tab/>
              <w:t>HR (95% CI)</w:t>
            </w:r>
          </w:p>
        </w:tc>
        <w:tc>
          <w:tcPr>
            <w:tcW w:w="2835" w:type="dxa"/>
            <w:gridSpan w:val="2"/>
            <w:tcBorders>
              <w:right w:val="double" w:sz="4" w:space="0" w:color="auto"/>
            </w:tcBorders>
            <w:shd w:val="clear" w:color="auto" w:fill="auto"/>
            <w:vAlign w:val="center"/>
          </w:tcPr>
          <w:p w:rsidR="00272B1C" w:rsidRPr="00691AEA" w:rsidRDefault="00272B1C" w:rsidP="006A65C9">
            <w:pPr>
              <w:keepNext/>
              <w:jc w:val="center"/>
              <w:rPr>
                <w:rFonts w:ascii="Arial Narrow" w:hAnsi="Arial Narrow"/>
                <w:b/>
                <w:sz w:val="20"/>
                <w:szCs w:val="20"/>
              </w:rPr>
            </w:pPr>
            <w:r>
              <w:rPr>
                <w:rFonts w:ascii="Arial Narrow" w:hAnsi="Arial Narrow"/>
                <w:b/>
                <w:sz w:val="20"/>
                <w:szCs w:val="20"/>
              </w:rPr>
              <w:t>0.36 (0.29, 0.44)</w:t>
            </w:r>
          </w:p>
        </w:tc>
        <w:tc>
          <w:tcPr>
            <w:tcW w:w="2835" w:type="dxa"/>
            <w:gridSpan w:val="2"/>
            <w:vMerge/>
            <w:tcBorders>
              <w:left w:val="double" w:sz="4" w:space="0" w:color="auto"/>
            </w:tcBorders>
            <w:shd w:val="clear" w:color="auto" w:fill="auto"/>
            <w:vAlign w:val="center"/>
          </w:tcPr>
          <w:p w:rsidR="00272B1C" w:rsidRDefault="00272B1C" w:rsidP="006A65C9">
            <w:pPr>
              <w:keepNext/>
              <w:jc w:val="center"/>
              <w:rPr>
                <w:rFonts w:ascii="Arial Narrow" w:hAnsi="Arial Narrow"/>
                <w:b/>
                <w:sz w:val="20"/>
                <w:szCs w:val="20"/>
              </w:rPr>
            </w:pPr>
          </w:p>
        </w:tc>
      </w:tr>
      <w:tr w:rsidR="00272B1C" w:rsidTr="008D0CDA">
        <w:tc>
          <w:tcPr>
            <w:tcW w:w="9209" w:type="dxa"/>
            <w:gridSpan w:val="5"/>
            <w:shd w:val="clear" w:color="auto" w:fill="auto"/>
            <w:vAlign w:val="center"/>
          </w:tcPr>
          <w:p w:rsidR="00272B1C" w:rsidRDefault="00272B1C" w:rsidP="006A65C9">
            <w:pPr>
              <w:keepNext/>
              <w:jc w:val="left"/>
              <w:rPr>
                <w:rFonts w:ascii="Arial Narrow" w:hAnsi="Arial Narrow"/>
                <w:sz w:val="20"/>
                <w:szCs w:val="20"/>
              </w:rPr>
            </w:pPr>
            <w:r>
              <w:rPr>
                <w:rFonts w:ascii="Arial Narrow" w:hAnsi="Arial Narrow"/>
                <w:b/>
                <w:sz w:val="20"/>
                <w:szCs w:val="20"/>
              </w:rPr>
              <w:t>Overall survival (</w:t>
            </w:r>
            <w:r w:rsidRPr="00691AEA">
              <w:rPr>
                <w:rFonts w:ascii="Arial Narrow" w:hAnsi="Arial Narrow"/>
                <w:b/>
                <w:sz w:val="20"/>
                <w:szCs w:val="20"/>
              </w:rPr>
              <w:t>OS</w:t>
            </w:r>
            <w:r>
              <w:rPr>
                <w:rFonts w:ascii="Arial Narrow" w:hAnsi="Arial Narrow"/>
                <w:b/>
                <w:sz w:val="20"/>
                <w:szCs w:val="20"/>
              </w:rPr>
              <w:t>)</w:t>
            </w:r>
          </w:p>
        </w:tc>
      </w:tr>
      <w:tr w:rsidR="00272B1C" w:rsidTr="008D0CDA">
        <w:tc>
          <w:tcPr>
            <w:tcW w:w="3539" w:type="dxa"/>
            <w:shd w:val="clear" w:color="auto" w:fill="auto"/>
            <w:vAlign w:val="center"/>
          </w:tcPr>
          <w:p w:rsidR="00272B1C" w:rsidRPr="001A1007" w:rsidRDefault="00272B1C" w:rsidP="006A65C9">
            <w:pPr>
              <w:keepNext/>
              <w:tabs>
                <w:tab w:val="left" w:pos="142"/>
              </w:tabs>
              <w:jc w:val="left"/>
              <w:rPr>
                <w:rFonts w:ascii="Arial Narrow" w:hAnsi="Arial Narrow"/>
                <w:sz w:val="20"/>
                <w:szCs w:val="20"/>
              </w:rPr>
            </w:pPr>
            <w:r>
              <w:rPr>
                <w:rFonts w:ascii="Arial Narrow" w:hAnsi="Arial Narrow"/>
                <w:sz w:val="20"/>
                <w:szCs w:val="20"/>
              </w:rPr>
              <w:tab/>
              <w:t>Died n (%)</w:t>
            </w:r>
          </w:p>
        </w:tc>
        <w:tc>
          <w:tcPr>
            <w:tcW w:w="1418" w:type="dxa"/>
            <w:shd w:val="clear" w:color="auto" w:fill="auto"/>
            <w:vAlign w:val="center"/>
          </w:tcPr>
          <w:p w:rsidR="00272B1C" w:rsidRPr="001A1007" w:rsidRDefault="00272B1C" w:rsidP="006A65C9">
            <w:pPr>
              <w:keepNext/>
              <w:jc w:val="center"/>
              <w:rPr>
                <w:rFonts w:ascii="Arial Narrow" w:hAnsi="Arial Narrow"/>
                <w:sz w:val="20"/>
                <w:szCs w:val="20"/>
              </w:rPr>
            </w:pPr>
            <w:r>
              <w:rPr>
                <w:rFonts w:ascii="Arial Narrow" w:hAnsi="Arial Narrow"/>
                <w:sz w:val="20"/>
                <w:szCs w:val="20"/>
              </w:rPr>
              <w:t>78 (8.2%)</w:t>
            </w:r>
          </w:p>
        </w:tc>
        <w:tc>
          <w:tcPr>
            <w:tcW w:w="1417" w:type="dxa"/>
            <w:tcBorders>
              <w:right w:val="double" w:sz="4" w:space="0" w:color="auto"/>
            </w:tcBorders>
            <w:shd w:val="clear" w:color="auto" w:fill="auto"/>
            <w:vAlign w:val="center"/>
          </w:tcPr>
          <w:p w:rsidR="00272B1C" w:rsidRPr="001A1007" w:rsidRDefault="00272B1C" w:rsidP="006A65C9">
            <w:pPr>
              <w:keepNext/>
              <w:jc w:val="center"/>
              <w:rPr>
                <w:rFonts w:ascii="Arial Narrow" w:hAnsi="Arial Narrow"/>
                <w:sz w:val="20"/>
                <w:szCs w:val="20"/>
              </w:rPr>
            </w:pPr>
            <w:r>
              <w:rPr>
                <w:rFonts w:ascii="Arial Narrow" w:hAnsi="Arial Narrow"/>
                <w:sz w:val="20"/>
                <w:szCs w:val="20"/>
              </w:rPr>
              <w:t>58 (10.5%)</w:t>
            </w:r>
          </w:p>
        </w:tc>
        <w:tc>
          <w:tcPr>
            <w:tcW w:w="1418" w:type="dxa"/>
            <w:tcBorders>
              <w:left w:val="double" w:sz="4" w:space="0" w:color="auto"/>
            </w:tcBorders>
            <w:shd w:val="clear" w:color="auto" w:fill="auto"/>
            <w:vAlign w:val="center"/>
          </w:tcPr>
          <w:p w:rsidR="00272B1C" w:rsidRDefault="00272B1C" w:rsidP="006A65C9">
            <w:pPr>
              <w:keepNext/>
              <w:jc w:val="center"/>
              <w:rPr>
                <w:rFonts w:ascii="Arial Narrow" w:hAnsi="Arial Narrow"/>
                <w:sz w:val="20"/>
                <w:szCs w:val="20"/>
              </w:rPr>
            </w:pPr>
            <w:r>
              <w:rPr>
                <w:rFonts w:ascii="Arial Narrow" w:hAnsi="Arial Narrow"/>
                <w:sz w:val="20"/>
                <w:szCs w:val="20"/>
              </w:rPr>
              <w:t>148 (15.5%)</w:t>
            </w:r>
          </w:p>
        </w:tc>
        <w:tc>
          <w:tcPr>
            <w:tcW w:w="1417" w:type="dxa"/>
            <w:shd w:val="clear" w:color="auto" w:fill="auto"/>
            <w:vAlign w:val="center"/>
          </w:tcPr>
          <w:p w:rsidR="00272B1C" w:rsidRDefault="00272B1C" w:rsidP="006A65C9">
            <w:pPr>
              <w:keepNext/>
              <w:jc w:val="center"/>
              <w:rPr>
                <w:rFonts w:ascii="Arial Narrow" w:hAnsi="Arial Narrow"/>
                <w:sz w:val="20"/>
                <w:szCs w:val="20"/>
              </w:rPr>
            </w:pPr>
            <w:r>
              <w:rPr>
                <w:rFonts w:ascii="Arial Narrow" w:hAnsi="Arial Narrow"/>
                <w:sz w:val="20"/>
                <w:szCs w:val="20"/>
              </w:rPr>
              <w:t>106 (19.1%)</w:t>
            </w:r>
          </w:p>
        </w:tc>
      </w:tr>
      <w:tr w:rsidR="00272B1C" w:rsidTr="008D0CDA">
        <w:tc>
          <w:tcPr>
            <w:tcW w:w="3539" w:type="dxa"/>
            <w:shd w:val="clear" w:color="auto" w:fill="auto"/>
            <w:vAlign w:val="center"/>
          </w:tcPr>
          <w:p w:rsidR="00272B1C" w:rsidRPr="001A1007" w:rsidRDefault="00272B1C" w:rsidP="006A65C9">
            <w:pPr>
              <w:keepNext/>
              <w:tabs>
                <w:tab w:val="left" w:pos="142"/>
              </w:tabs>
              <w:jc w:val="left"/>
              <w:rPr>
                <w:rFonts w:ascii="Arial Narrow" w:hAnsi="Arial Narrow"/>
                <w:sz w:val="20"/>
                <w:szCs w:val="20"/>
              </w:rPr>
            </w:pPr>
            <w:r>
              <w:rPr>
                <w:rFonts w:ascii="Arial Narrow" w:hAnsi="Arial Narrow"/>
                <w:sz w:val="20"/>
                <w:szCs w:val="20"/>
              </w:rPr>
              <w:tab/>
              <w:t xml:space="preserve">Median months to death (95% CI) </w:t>
            </w:r>
          </w:p>
        </w:tc>
        <w:tc>
          <w:tcPr>
            <w:tcW w:w="1418" w:type="dxa"/>
            <w:shd w:val="clear" w:color="auto" w:fill="auto"/>
            <w:vAlign w:val="center"/>
          </w:tcPr>
          <w:p w:rsidR="00272B1C" w:rsidRPr="001A1007" w:rsidRDefault="00272B1C" w:rsidP="006A65C9">
            <w:pPr>
              <w:keepNext/>
              <w:jc w:val="center"/>
              <w:rPr>
                <w:rFonts w:ascii="Arial Narrow" w:hAnsi="Arial Narrow"/>
                <w:sz w:val="20"/>
                <w:szCs w:val="20"/>
              </w:rPr>
            </w:pPr>
            <w:r>
              <w:rPr>
                <w:rFonts w:ascii="Arial Narrow" w:hAnsi="Arial Narrow"/>
                <w:sz w:val="20"/>
                <w:szCs w:val="20"/>
              </w:rPr>
              <w:t>NE</w:t>
            </w:r>
          </w:p>
        </w:tc>
        <w:tc>
          <w:tcPr>
            <w:tcW w:w="1417" w:type="dxa"/>
            <w:tcBorders>
              <w:right w:val="double" w:sz="4" w:space="0" w:color="auto"/>
            </w:tcBorders>
            <w:shd w:val="clear" w:color="auto" w:fill="auto"/>
            <w:vAlign w:val="center"/>
          </w:tcPr>
          <w:p w:rsidR="00272B1C" w:rsidRPr="001A1007" w:rsidRDefault="00272B1C" w:rsidP="006A65C9">
            <w:pPr>
              <w:keepNext/>
              <w:jc w:val="center"/>
              <w:rPr>
                <w:rFonts w:ascii="Arial Narrow" w:hAnsi="Arial Narrow"/>
                <w:sz w:val="20"/>
                <w:szCs w:val="20"/>
              </w:rPr>
            </w:pPr>
            <w:r>
              <w:rPr>
                <w:rFonts w:ascii="Arial Narrow" w:hAnsi="Arial Narrow"/>
                <w:sz w:val="20"/>
                <w:szCs w:val="20"/>
              </w:rPr>
              <w:t>NE</w:t>
            </w:r>
          </w:p>
        </w:tc>
        <w:tc>
          <w:tcPr>
            <w:tcW w:w="1418" w:type="dxa"/>
            <w:tcBorders>
              <w:left w:val="double" w:sz="4" w:space="0" w:color="auto"/>
            </w:tcBorders>
            <w:shd w:val="clear" w:color="auto" w:fill="auto"/>
            <w:vAlign w:val="center"/>
          </w:tcPr>
          <w:p w:rsidR="00272B1C" w:rsidRDefault="00272B1C" w:rsidP="006A65C9">
            <w:pPr>
              <w:keepNext/>
              <w:jc w:val="center"/>
              <w:rPr>
                <w:rFonts w:ascii="Arial Narrow" w:hAnsi="Arial Narrow"/>
                <w:sz w:val="20"/>
                <w:szCs w:val="20"/>
              </w:rPr>
            </w:pPr>
            <w:r>
              <w:rPr>
                <w:rFonts w:ascii="Arial Narrow" w:hAnsi="Arial Narrow"/>
                <w:sz w:val="20"/>
                <w:szCs w:val="20"/>
              </w:rPr>
              <w:t>NE</w:t>
            </w:r>
          </w:p>
        </w:tc>
        <w:tc>
          <w:tcPr>
            <w:tcW w:w="1417" w:type="dxa"/>
            <w:shd w:val="clear" w:color="auto" w:fill="auto"/>
            <w:vAlign w:val="center"/>
          </w:tcPr>
          <w:p w:rsidR="00272B1C" w:rsidRDefault="00272B1C" w:rsidP="006A65C9">
            <w:pPr>
              <w:keepNext/>
              <w:jc w:val="center"/>
              <w:rPr>
                <w:rFonts w:ascii="Arial Narrow" w:hAnsi="Arial Narrow"/>
                <w:sz w:val="20"/>
                <w:szCs w:val="20"/>
              </w:rPr>
            </w:pPr>
            <w:r>
              <w:rPr>
                <w:rFonts w:ascii="Arial Narrow" w:hAnsi="Arial Narrow"/>
                <w:sz w:val="20"/>
                <w:szCs w:val="20"/>
              </w:rPr>
              <w:t>NE</w:t>
            </w:r>
          </w:p>
        </w:tc>
      </w:tr>
      <w:tr w:rsidR="00272B1C" w:rsidTr="008D0CDA">
        <w:tc>
          <w:tcPr>
            <w:tcW w:w="3539" w:type="dxa"/>
            <w:shd w:val="clear" w:color="auto" w:fill="auto"/>
            <w:vAlign w:val="center"/>
          </w:tcPr>
          <w:p w:rsidR="00272B1C" w:rsidRPr="001A1007" w:rsidRDefault="00272B1C" w:rsidP="006A65C9">
            <w:pPr>
              <w:keepNext/>
              <w:tabs>
                <w:tab w:val="left" w:pos="142"/>
              </w:tabs>
              <w:jc w:val="left"/>
              <w:rPr>
                <w:rFonts w:ascii="Arial Narrow" w:hAnsi="Arial Narrow"/>
                <w:sz w:val="20"/>
                <w:szCs w:val="20"/>
              </w:rPr>
            </w:pPr>
            <w:r>
              <w:rPr>
                <w:rFonts w:ascii="Arial Narrow" w:hAnsi="Arial Narrow"/>
                <w:sz w:val="20"/>
                <w:szCs w:val="20"/>
              </w:rPr>
              <w:tab/>
              <w:t>HR (95% CI)</w:t>
            </w:r>
          </w:p>
        </w:tc>
        <w:tc>
          <w:tcPr>
            <w:tcW w:w="2835" w:type="dxa"/>
            <w:gridSpan w:val="2"/>
            <w:tcBorders>
              <w:right w:val="double" w:sz="4" w:space="0" w:color="auto"/>
            </w:tcBorders>
            <w:shd w:val="clear" w:color="auto" w:fill="auto"/>
            <w:vAlign w:val="center"/>
          </w:tcPr>
          <w:p w:rsidR="00272B1C" w:rsidRPr="008472AB" w:rsidRDefault="00272B1C" w:rsidP="006A65C9">
            <w:pPr>
              <w:keepNext/>
              <w:jc w:val="center"/>
              <w:rPr>
                <w:rFonts w:ascii="Arial Narrow" w:hAnsi="Arial Narrow"/>
                <w:sz w:val="20"/>
                <w:szCs w:val="20"/>
              </w:rPr>
            </w:pPr>
            <w:r w:rsidRPr="008472AB">
              <w:rPr>
                <w:rFonts w:ascii="Arial Narrow" w:hAnsi="Arial Narrow"/>
                <w:sz w:val="20"/>
                <w:szCs w:val="20"/>
              </w:rPr>
              <w:t>0.7</w:t>
            </w:r>
            <w:r>
              <w:rPr>
                <w:rFonts w:ascii="Arial Narrow" w:hAnsi="Arial Narrow"/>
                <w:sz w:val="20"/>
                <w:szCs w:val="20"/>
              </w:rPr>
              <w:t>1</w:t>
            </w:r>
            <w:r w:rsidRPr="008472AB">
              <w:rPr>
                <w:rFonts w:ascii="Arial Narrow" w:hAnsi="Arial Narrow"/>
                <w:sz w:val="20"/>
                <w:szCs w:val="20"/>
              </w:rPr>
              <w:t xml:space="preserve"> (0.50, 0.99)</w:t>
            </w:r>
            <w:r w:rsidRPr="001C3C36">
              <w:rPr>
                <w:rFonts w:ascii="Arial Narrow" w:hAnsi="Arial Narrow"/>
                <w:sz w:val="20"/>
                <w:szCs w:val="20"/>
                <w:vertAlign w:val="superscript"/>
              </w:rPr>
              <w:t>a</w:t>
            </w:r>
          </w:p>
        </w:tc>
        <w:tc>
          <w:tcPr>
            <w:tcW w:w="2835" w:type="dxa"/>
            <w:gridSpan w:val="2"/>
            <w:tcBorders>
              <w:left w:val="double" w:sz="4" w:space="0" w:color="auto"/>
            </w:tcBorders>
            <w:shd w:val="clear" w:color="auto" w:fill="auto"/>
            <w:vAlign w:val="center"/>
          </w:tcPr>
          <w:p w:rsidR="00272B1C" w:rsidRDefault="00272B1C" w:rsidP="006A65C9">
            <w:pPr>
              <w:keepNext/>
              <w:jc w:val="center"/>
              <w:rPr>
                <w:rFonts w:ascii="Arial Narrow" w:hAnsi="Arial Narrow"/>
                <w:sz w:val="20"/>
                <w:szCs w:val="20"/>
              </w:rPr>
            </w:pPr>
            <w:r>
              <w:rPr>
                <w:rFonts w:ascii="Arial Narrow" w:hAnsi="Arial Narrow"/>
                <w:b/>
                <w:sz w:val="20"/>
                <w:szCs w:val="20"/>
              </w:rPr>
              <w:t>0.69 (0.53, 0.88)</w:t>
            </w:r>
          </w:p>
        </w:tc>
      </w:tr>
      <w:tr w:rsidR="00272B1C" w:rsidTr="008D0CDA">
        <w:tc>
          <w:tcPr>
            <w:tcW w:w="9209" w:type="dxa"/>
            <w:gridSpan w:val="5"/>
            <w:shd w:val="clear" w:color="auto" w:fill="auto"/>
            <w:vAlign w:val="center"/>
          </w:tcPr>
          <w:p w:rsidR="00272B1C" w:rsidRDefault="00272B1C" w:rsidP="006A65C9">
            <w:pPr>
              <w:keepNext/>
              <w:jc w:val="left"/>
              <w:rPr>
                <w:rFonts w:ascii="Arial Narrow" w:hAnsi="Arial Narrow"/>
                <w:sz w:val="20"/>
                <w:szCs w:val="20"/>
              </w:rPr>
            </w:pPr>
            <w:r w:rsidRPr="009C7AB9">
              <w:rPr>
                <w:rFonts w:ascii="Arial Narrow" w:hAnsi="Arial Narrow"/>
                <w:b/>
                <w:sz w:val="20"/>
                <w:szCs w:val="20"/>
              </w:rPr>
              <w:t xml:space="preserve">Time to </w:t>
            </w:r>
            <w:r>
              <w:rPr>
                <w:rFonts w:ascii="Arial Narrow" w:hAnsi="Arial Narrow"/>
                <w:b/>
                <w:sz w:val="20"/>
                <w:szCs w:val="20"/>
              </w:rPr>
              <w:t>first symptomatic skeletal event (SSE)</w:t>
            </w:r>
          </w:p>
        </w:tc>
      </w:tr>
      <w:tr w:rsidR="00272B1C" w:rsidTr="008D0CDA">
        <w:tc>
          <w:tcPr>
            <w:tcW w:w="3539" w:type="dxa"/>
            <w:shd w:val="clear" w:color="auto" w:fill="auto"/>
            <w:vAlign w:val="center"/>
          </w:tcPr>
          <w:p w:rsidR="00272B1C" w:rsidRPr="001A1007" w:rsidRDefault="00272B1C" w:rsidP="006A65C9">
            <w:pPr>
              <w:keepNext/>
              <w:tabs>
                <w:tab w:val="left" w:pos="142"/>
              </w:tabs>
              <w:jc w:val="left"/>
              <w:rPr>
                <w:rFonts w:ascii="Arial Narrow" w:hAnsi="Arial Narrow"/>
                <w:sz w:val="20"/>
                <w:szCs w:val="20"/>
              </w:rPr>
            </w:pPr>
            <w:r>
              <w:rPr>
                <w:rFonts w:ascii="Arial Narrow" w:hAnsi="Arial Narrow"/>
                <w:sz w:val="20"/>
                <w:szCs w:val="20"/>
              </w:rPr>
              <w:tab/>
              <w:t>Event n (%)</w:t>
            </w:r>
          </w:p>
        </w:tc>
        <w:tc>
          <w:tcPr>
            <w:tcW w:w="1418" w:type="dxa"/>
            <w:shd w:val="clear" w:color="auto" w:fill="auto"/>
            <w:vAlign w:val="center"/>
          </w:tcPr>
          <w:p w:rsidR="00272B1C" w:rsidRPr="009C7AB9" w:rsidRDefault="00272B1C" w:rsidP="006A65C9">
            <w:pPr>
              <w:keepNext/>
              <w:jc w:val="center"/>
              <w:rPr>
                <w:rFonts w:ascii="Arial Narrow" w:hAnsi="Arial Narrow"/>
                <w:sz w:val="20"/>
                <w:szCs w:val="20"/>
              </w:rPr>
            </w:pPr>
            <w:r>
              <w:rPr>
                <w:rFonts w:ascii="Arial Narrow" w:hAnsi="Arial Narrow"/>
                <w:sz w:val="20"/>
                <w:szCs w:val="20"/>
              </w:rPr>
              <w:t>16 (1.7%)</w:t>
            </w:r>
          </w:p>
        </w:tc>
        <w:tc>
          <w:tcPr>
            <w:tcW w:w="1417" w:type="dxa"/>
            <w:tcBorders>
              <w:right w:val="double" w:sz="4" w:space="0" w:color="auto"/>
            </w:tcBorders>
            <w:shd w:val="clear" w:color="auto" w:fill="auto"/>
            <w:vAlign w:val="center"/>
          </w:tcPr>
          <w:p w:rsidR="00272B1C" w:rsidRPr="009C7AB9" w:rsidRDefault="00272B1C" w:rsidP="006A65C9">
            <w:pPr>
              <w:keepNext/>
              <w:jc w:val="center"/>
              <w:rPr>
                <w:rFonts w:ascii="Arial Narrow" w:hAnsi="Arial Narrow"/>
                <w:sz w:val="20"/>
                <w:szCs w:val="20"/>
              </w:rPr>
            </w:pPr>
            <w:r>
              <w:rPr>
                <w:rFonts w:ascii="Arial Narrow" w:hAnsi="Arial Narrow"/>
                <w:sz w:val="20"/>
                <w:szCs w:val="20"/>
              </w:rPr>
              <w:t>18 (3.2%)</w:t>
            </w:r>
          </w:p>
        </w:tc>
        <w:tc>
          <w:tcPr>
            <w:tcW w:w="1418" w:type="dxa"/>
            <w:tcBorders>
              <w:left w:val="double" w:sz="4" w:space="0" w:color="auto"/>
            </w:tcBorders>
            <w:shd w:val="clear" w:color="auto" w:fill="auto"/>
            <w:vAlign w:val="center"/>
          </w:tcPr>
          <w:p w:rsidR="00272B1C" w:rsidRDefault="00272B1C" w:rsidP="006A65C9">
            <w:pPr>
              <w:keepNext/>
              <w:jc w:val="center"/>
              <w:rPr>
                <w:rFonts w:ascii="Arial Narrow" w:hAnsi="Arial Narrow"/>
                <w:sz w:val="20"/>
                <w:szCs w:val="20"/>
              </w:rPr>
            </w:pPr>
            <w:r>
              <w:rPr>
                <w:rFonts w:ascii="Arial Narrow" w:hAnsi="Arial Narrow"/>
                <w:sz w:val="20"/>
                <w:szCs w:val="20"/>
              </w:rPr>
              <w:t>29 (3.0%)</w:t>
            </w:r>
          </w:p>
        </w:tc>
        <w:tc>
          <w:tcPr>
            <w:tcW w:w="1417" w:type="dxa"/>
            <w:shd w:val="clear" w:color="auto" w:fill="auto"/>
            <w:vAlign w:val="center"/>
          </w:tcPr>
          <w:p w:rsidR="00272B1C" w:rsidRDefault="00272B1C" w:rsidP="006A65C9">
            <w:pPr>
              <w:keepNext/>
              <w:jc w:val="center"/>
              <w:rPr>
                <w:rFonts w:ascii="Arial Narrow" w:hAnsi="Arial Narrow"/>
                <w:sz w:val="20"/>
                <w:szCs w:val="20"/>
              </w:rPr>
            </w:pPr>
            <w:r>
              <w:rPr>
                <w:rFonts w:ascii="Arial Narrow" w:hAnsi="Arial Narrow"/>
                <w:sz w:val="20"/>
                <w:szCs w:val="20"/>
              </w:rPr>
              <w:t>28 (5.1%)</w:t>
            </w:r>
          </w:p>
        </w:tc>
      </w:tr>
      <w:tr w:rsidR="00272B1C" w:rsidTr="008D0CDA">
        <w:tc>
          <w:tcPr>
            <w:tcW w:w="3539" w:type="dxa"/>
            <w:shd w:val="clear" w:color="auto" w:fill="auto"/>
            <w:vAlign w:val="center"/>
          </w:tcPr>
          <w:p w:rsidR="00272B1C" w:rsidRPr="001A1007" w:rsidRDefault="00272B1C" w:rsidP="006A65C9">
            <w:pPr>
              <w:keepNext/>
              <w:tabs>
                <w:tab w:val="left" w:pos="142"/>
              </w:tabs>
              <w:jc w:val="left"/>
              <w:rPr>
                <w:rFonts w:ascii="Arial Narrow" w:hAnsi="Arial Narrow"/>
                <w:sz w:val="20"/>
                <w:szCs w:val="20"/>
              </w:rPr>
            </w:pPr>
            <w:r>
              <w:rPr>
                <w:rFonts w:ascii="Arial Narrow" w:hAnsi="Arial Narrow"/>
                <w:sz w:val="20"/>
                <w:szCs w:val="20"/>
              </w:rPr>
              <w:tab/>
              <w:t xml:space="preserve">Median months to SSE (95% CI) </w:t>
            </w:r>
          </w:p>
        </w:tc>
        <w:tc>
          <w:tcPr>
            <w:tcW w:w="1418" w:type="dxa"/>
            <w:shd w:val="clear" w:color="auto" w:fill="auto"/>
            <w:vAlign w:val="center"/>
          </w:tcPr>
          <w:p w:rsidR="00272B1C" w:rsidRPr="009C7AB9" w:rsidRDefault="00272B1C" w:rsidP="006A65C9">
            <w:pPr>
              <w:keepNext/>
              <w:jc w:val="center"/>
              <w:rPr>
                <w:rFonts w:ascii="Arial Narrow" w:hAnsi="Arial Narrow"/>
                <w:sz w:val="20"/>
                <w:szCs w:val="20"/>
              </w:rPr>
            </w:pPr>
            <w:r>
              <w:rPr>
                <w:rFonts w:ascii="Arial Narrow" w:hAnsi="Arial Narrow"/>
                <w:sz w:val="20"/>
                <w:szCs w:val="20"/>
              </w:rPr>
              <w:t>NE</w:t>
            </w:r>
          </w:p>
        </w:tc>
        <w:tc>
          <w:tcPr>
            <w:tcW w:w="1417" w:type="dxa"/>
            <w:tcBorders>
              <w:right w:val="double" w:sz="4" w:space="0" w:color="auto"/>
            </w:tcBorders>
            <w:shd w:val="clear" w:color="auto" w:fill="auto"/>
            <w:vAlign w:val="center"/>
          </w:tcPr>
          <w:p w:rsidR="00272B1C" w:rsidRPr="009C7AB9" w:rsidRDefault="00272B1C" w:rsidP="006A65C9">
            <w:pPr>
              <w:keepNext/>
              <w:jc w:val="center"/>
              <w:rPr>
                <w:rFonts w:ascii="Arial Narrow" w:hAnsi="Arial Narrow"/>
                <w:sz w:val="20"/>
                <w:szCs w:val="20"/>
              </w:rPr>
            </w:pPr>
            <w:r>
              <w:rPr>
                <w:rFonts w:ascii="Arial Narrow" w:hAnsi="Arial Narrow"/>
                <w:sz w:val="20"/>
                <w:szCs w:val="20"/>
              </w:rPr>
              <w:t>NE</w:t>
            </w:r>
          </w:p>
        </w:tc>
        <w:tc>
          <w:tcPr>
            <w:tcW w:w="1418" w:type="dxa"/>
            <w:tcBorders>
              <w:left w:val="double" w:sz="4" w:space="0" w:color="auto"/>
            </w:tcBorders>
            <w:shd w:val="clear" w:color="auto" w:fill="auto"/>
            <w:vAlign w:val="center"/>
          </w:tcPr>
          <w:p w:rsidR="00272B1C" w:rsidRDefault="00272B1C" w:rsidP="006A65C9">
            <w:pPr>
              <w:keepNext/>
              <w:jc w:val="center"/>
              <w:rPr>
                <w:rFonts w:ascii="Arial Narrow" w:hAnsi="Arial Narrow"/>
                <w:sz w:val="20"/>
                <w:szCs w:val="20"/>
              </w:rPr>
            </w:pPr>
            <w:r>
              <w:rPr>
                <w:rFonts w:ascii="Arial Narrow" w:hAnsi="Arial Narrow"/>
                <w:sz w:val="20"/>
                <w:szCs w:val="20"/>
              </w:rPr>
              <w:t>NE</w:t>
            </w:r>
          </w:p>
        </w:tc>
        <w:tc>
          <w:tcPr>
            <w:tcW w:w="1417" w:type="dxa"/>
            <w:shd w:val="clear" w:color="auto" w:fill="auto"/>
            <w:vAlign w:val="center"/>
          </w:tcPr>
          <w:p w:rsidR="00272B1C" w:rsidRDefault="00272B1C" w:rsidP="006A65C9">
            <w:pPr>
              <w:keepNext/>
              <w:jc w:val="center"/>
              <w:rPr>
                <w:rFonts w:ascii="Arial Narrow" w:hAnsi="Arial Narrow"/>
                <w:sz w:val="20"/>
                <w:szCs w:val="20"/>
              </w:rPr>
            </w:pPr>
            <w:r>
              <w:rPr>
                <w:rFonts w:ascii="Arial Narrow" w:hAnsi="Arial Narrow"/>
                <w:sz w:val="20"/>
                <w:szCs w:val="20"/>
              </w:rPr>
              <w:t>NE</w:t>
            </w:r>
          </w:p>
        </w:tc>
      </w:tr>
      <w:tr w:rsidR="00272B1C" w:rsidTr="008D0CDA">
        <w:tc>
          <w:tcPr>
            <w:tcW w:w="3539" w:type="dxa"/>
            <w:shd w:val="clear" w:color="auto" w:fill="auto"/>
            <w:vAlign w:val="center"/>
          </w:tcPr>
          <w:p w:rsidR="00272B1C" w:rsidRPr="001A1007" w:rsidRDefault="00272B1C" w:rsidP="006A65C9">
            <w:pPr>
              <w:keepNext/>
              <w:tabs>
                <w:tab w:val="left" w:pos="142"/>
              </w:tabs>
              <w:jc w:val="left"/>
              <w:rPr>
                <w:rFonts w:ascii="Arial Narrow" w:hAnsi="Arial Narrow"/>
                <w:sz w:val="20"/>
                <w:szCs w:val="20"/>
              </w:rPr>
            </w:pPr>
            <w:r>
              <w:rPr>
                <w:rFonts w:ascii="Arial Narrow" w:hAnsi="Arial Narrow"/>
                <w:sz w:val="20"/>
                <w:szCs w:val="20"/>
              </w:rPr>
              <w:tab/>
              <w:t>HR (95% CI)</w:t>
            </w:r>
          </w:p>
        </w:tc>
        <w:tc>
          <w:tcPr>
            <w:tcW w:w="2835" w:type="dxa"/>
            <w:gridSpan w:val="2"/>
            <w:tcBorders>
              <w:right w:val="double" w:sz="4" w:space="0" w:color="auto"/>
            </w:tcBorders>
            <w:shd w:val="clear" w:color="auto" w:fill="auto"/>
            <w:vAlign w:val="center"/>
          </w:tcPr>
          <w:p w:rsidR="00272B1C" w:rsidRPr="008472AB" w:rsidRDefault="00272B1C" w:rsidP="006A65C9">
            <w:pPr>
              <w:keepNext/>
              <w:jc w:val="center"/>
              <w:rPr>
                <w:rFonts w:ascii="Arial Narrow" w:hAnsi="Arial Narrow"/>
                <w:bCs/>
                <w:sz w:val="20"/>
                <w:szCs w:val="20"/>
              </w:rPr>
            </w:pPr>
            <w:r w:rsidRPr="008472AB">
              <w:rPr>
                <w:rFonts w:ascii="Arial Narrow" w:hAnsi="Arial Narrow"/>
                <w:bCs/>
                <w:sz w:val="20"/>
                <w:szCs w:val="20"/>
              </w:rPr>
              <w:t>0.4</w:t>
            </w:r>
            <w:r>
              <w:rPr>
                <w:rFonts w:ascii="Arial Narrow" w:hAnsi="Arial Narrow"/>
                <w:bCs/>
                <w:sz w:val="20"/>
                <w:szCs w:val="20"/>
              </w:rPr>
              <w:t>3</w:t>
            </w:r>
            <w:r w:rsidRPr="008472AB">
              <w:rPr>
                <w:rFonts w:ascii="Arial Narrow" w:hAnsi="Arial Narrow"/>
                <w:bCs/>
                <w:sz w:val="20"/>
                <w:szCs w:val="20"/>
              </w:rPr>
              <w:t xml:space="preserve"> (0.2</w:t>
            </w:r>
            <w:r>
              <w:rPr>
                <w:rFonts w:ascii="Arial Narrow" w:hAnsi="Arial Narrow"/>
                <w:bCs/>
                <w:sz w:val="20"/>
                <w:szCs w:val="20"/>
              </w:rPr>
              <w:t>2, 0.84</w:t>
            </w:r>
            <w:r w:rsidRPr="008472AB">
              <w:rPr>
                <w:rFonts w:ascii="Arial Narrow" w:hAnsi="Arial Narrow"/>
                <w:bCs/>
                <w:sz w:val="20"/>
                <w:szCs w:val="20"/>
              </w:rPr>
              <w:t>)</w:t>
            </w:r>
            <w:r w:rsidRPr="001C3C36">
              <w:rPr>
                <w:rFonts w:ascii="Arial Narrow" w:hAnsi="Arial Narrow"/>
                <w:sz w:val="20"/>
                <w:szCs w:val="20"/>
                <w:vertAlign w:val="superscript"/>
              </w:rPr>
              <w:t>a</w:t>
            </w:r>
          </w:p>
        </w:tc>
        <w:tc>
          <w:tcPr>
            <w:tcW w:w="2835" w:type="dxa"/>
            <w:gridSpan w:val="2"/>
            <w:tcBorders>
              <w:left w:val="double" w:sz="4" w:space="0" w:color="auto"/>
            </w:tcBorders>
            <w:shd w:val="clear" w:color="auto" w:fill="auto"/>
            <w:vAlign w:val="center"/>
          </w:tcPr>
          <w:p w:rsidR="00272B1C" w:rsidRPr="008472AB" w:rsidRDefault="00272B1C" w:rsidP="006A65C9">
            <w:pPr>
              <w:keepNext/>
              <w:jc w:val="center"/>
              <w:rPr>
                <w:rFonts w:ascii="Arial Narrow" w:hAnsi="Arial Narrow"/>
                <w:bCs/>
                <w:sz w:val="20"/>
                <w:szCs w:val="20"/>
              </w:rPr>
            </w:pPr>
            <w:r>
              <w:rPr>
                <w:rFonts w:ascii="Arial Narrow" w:hAnsi="Arial Narrow"/>
                <w:bCs/>
                <w:sz w:val="20"/>
                <w:szCs w:val="20"/>
              </w:rPr>
              <w:t>0.48</w:t>
            </w:r>
            <w:r w:rsidRPr="008472AB">
              <w:rPr>
                <w:rFonts w:ascii="Arial Narrow" w:hAnsi="Arial Narrow"/>
                <w:bCs/>
                <w:sz w:val="20"/>
                <w:szCs w:val="20"/>
              </w:rPr>
              <w:t xml:space="preserve"> (0.2</w:t>
            </w:r>
            <w:r>
              <w:rPr>
                <w:rFonts w:ascii="Arial Narrow" w:hAnsi="Arial Narrow"/>
                <w:bCs/>
                <w:sz w:val="20"/>
                <w:szCs w:val="20"/>
              </w:rPr>
              <w:t>9</w:t>
            </w:r>
            <w:r w:rsidRPr="008472AB">
              <w:rPr>
                <w:rFonts w:ascii="Arial Narrow" w:hAnsi="Arial Narrow"/>
                <w:bCs/>
                <w:sz w:val="20"/>
                <w:szCs w:val="20"/>
              </w:rPr>
              <w:t>, 0.8</w:t>
            </w:r>
            <w:r>
              <w:rPr>
                <w:rFonts w:ascii="Arial Narrow" w:hAnsi="Arial Narrow"/>
                <w:bCs/>
                <w:sz w:val="20"/>
                <w:szCs w:val="20"/>
              </w:rPr>
              <w:t>2</w:t>
            </w:r>
            <w:r w:rsidRPr="008472AB">
              <w:rPr>
                <w:rFonts w:ascii="Arial Narrow" w:hAnsi="Arial Narrow"/>
                <w:bCs/>
                <w:sz w:val="20"/>
                <w:szCs w:val="20"/>
              </w:rPr>
              <w:t>)</w:t>
            </w:r>
            <w:r w:rsidRPr="001C3C36">
              <w:rPr>
                <w:rFonts w:ascii="Arial Narrow" w:hAnsi="Arial Narrow"/>
                <w:sz w:val="20"/>
                <w:szCs w:val="20"/>
                <w:vertAlign w:val="superscript"/>
              </w:rPr>
              <w:t>a</w:t>
            </w:r>
          </w:p>
        </w:tc>
      </w:tr>
      <w:tr w:rsidR="00272B1C" w:rsidTr="008D0CDA">
        <w:tc>
          <w:tcPr>
            <w:tcW w:w="9209" w:type="dxa"/>
            <w:gridSpan w:val="5"/>
            <w:shd w:val="clear" w:color="auto" w:fill="auto"/>
            <w:vAlign w:val="center"/>
          </w:tcPr>
          <w:p w:rsidR="00272B1C" w:rsidRDefault="00272B1C" w:rsidP="006A65C9">
            <w:pPr>
              <w:keepNext/>
              <w:jc w:val="left"/>
              <w:rPr>
                <w:rFonts w:ascii="Arial Narrow" w:hAnsi="Arial Narrow"/>
                <w:sz w:val="20"/>
                <w:szCs w:val="20"/>
              </w:rPr>
            </w:pPr>
            <w:r w:rsidRPr="009C7AB9">
              <w:rPr>
                <w:rFonts w:ascii="Arial Narrow" w:hAnsi="Arial Narrow"/>
                <w:b/>
                <w:sz w:val="20"/>
                <w:szCs w:val="20"/>
              </w:rPr>
              <w:t>Time to initiation of cytotoxic chemotherapy</w:t>
            </w:r>
          </w:p>
        </w:tc>
      </w:tr>
      <w:tr w:rsidR="00272B1C" w:rsidTr="008D0CDA">
        <w:tc>
          <w:tcPr>
            <w:tcW w:w="3539" w:type="dxa"/>
            <w:shd w:val="clear" w:color="auto" w:fill="auto"/>
            <w:vAlign w:val="center"/>
          </w:tcPr>
          <w:p w:rsidR="00272B1C" w:rsidRPr="001A1007" w:rsidRDefault="00272B1C" w:rsidP="006A65C9">
            <w:pPr>
              <w:keepNext/>
              <w:tabs>
                <w:tab w:val="left" w:pos="142"/>
              </w:tabs>
              <w:jc w:val="left"/>
              <w:rPr>
                <w:rFonts w:ascii="Arial Narrow" w:hAnsi="Arial Narrow"/>
                <w:sz w:val="20"/>
                <w:szCs w:val="20"/>
              </w:rPr>
            </w:pPr>
            <w:r>
              <w:rPr>
                <w:rFonts w:ascii="Arial Narrow" w:hAnsi="Arial Narrow"/>
                <w:sz w:val="20"/>
                <w:szCs w:val="20"/>
              </w:rPr>
              <w:tab/>
              <w:t>Event n (%)</w:t>
            </w:r>
          </w:p>
        </w:tc>
        <w:tc>
          <w:tcPr>
            <w:tcW w:w="1418" w:type="dxa"/>
            <w:shd w:val="clear" w:color="auto" w:fill="auto"/>
            <w:vAlign w:val="center"/>
          </w:tcPr>
          <w:p w:rsidR="00272B1C" w:rsidRPr="009C7AB9" w:rsidRDefault="00272B1C" w:rsidP="006A65C9">
            <w:pPr>
              <w:keepNext/>
              <w:jc w:val="center"/>
              <w:rPr>
                <w:rFonts w:ascii="Arial Narrow" w:hAnsi="Arial Narrow"/>
                <w:sz w:val="20"/>
                <w:szCs w:val="20"/>
              </w:rPr>
            </w:pPr>
            <w:r>
              <w:rPr>
                <w:rFonts w:ascii="Arial Narrow" w:hAnsi="Arial Narrow"/>
                <w:sz w:val="20"/>
                <w:szCs w:val="20"/>
              </w:rPr>
              <w:t>73 (7.6%)</w:t>
            </w:r>
          </w:p>
        </w:tc>
        <w:tc>
          <w:tcPr>
            <w:tcW w:w="1417" w:type="dxa"/>
            <w:tcBorders>
              <w:right w:val="double" w:sz="4" w:space="0" w:color="auto"/>
            </w:tcBorders>
            <w:shd w:val="clear" w:color="auto" w:fill="auto"/>
            <w:vAlign w:val="center"/>
          </w:tcPr>
          <w:p w:rsidR="00272B1C" w:rsidRPr="009C7AB9" w:rsidRDefault="00272B1C" w:rsidP="006A65C9">
            <w:pPr>
              <w:keepNext/>
              <w:jc w:val="center"/>
              <w:rPr>
                <w:rFonts w:ascii="Arial Narrow" w:hAnsi="Arial Narrow"/>
                <w:sz w:val="20"/>
                <w:szCs w:val="20"/>
              </w:rPr>
            </w:pPr>
            <w:r>
              <w:rPr>
                <w:rFonts w:ascii="Arial Narrow" w:hAnsi="Arial Narrow"/>
                <w:sz w:val="20"/>
                <w:szCs w:val="20"/>
              </w:rPr>
              <w:t>79 (14.3%)</w:t>
            </w:r>
          </w:p>
        </w:tc>
        <w:tc>
          <w:tcPr>
            <w:tcW w:w="1418" w:type="dxa"/>
            <w:tcBorders>
              <w:left w:val="double" w:sz="4" w:space="0" w:color="auto"/>
            </w:tcBorders>
            <w:shd w:val="clear" w:color="auto" w:fill="auto"/>
            <w:vAlign w:val="center"/>
          </w:tcPr>
          <w:p w:rsidR="00272B1C" w:rsidRDefault="00272B1C" w:rsidP="006A65C9">
            <w:pPr>
              <w:keepNext/>
              <w:jc w:val="center"/>
              <w:rPr>
                <w:rFonts w:ascii="Arial Narrow" w:hAnsi="Arial Narrow"/>
                <w:sz w:val="20"/>
                <w:szCs w:val="20"/>
              </w:rPr>
            </w:pPr>
            <w:r>
              <w:rPr>
                <w:rFonts w:ascii="Arial Narrow" w:hAnsi="Arial Narrow"/>
                <w:sz w:val="20"/>
                <w:szCs w:val="20"/>
              </w:rPr>
              <w:t>127 (13.3%)</w:t>
            </w:r>
          </w:p>
        </w:tc>
        <w:tc>
          <w:tcPr>
            <w:tcW w:w="1417" w:type="dxa"/>
            <w:shd w:val="clear" w:color="auto" w:fill="auto"/>
            <w:vAlign w:val="center"/>
          </w:tcPr>
          <w:p w:rsidR="00272B1C" w:rsidRDefault="00272B1C" w:rsidP="006A65C9">
            <w:pPr>
              <w:keepNext/>
              <w:jc w:val="center"/>
              <w:rPr>
                <w:rFonts w:ascii="Arial Narrow" w:hAnsi="Arial Narrow"/>
                <w:sz w:val="20"/>
                <w:szCs w:val="20"/>
              </w:rPr>
            </w:pPr>
            <w:r>
              <w:rPr>
                <w:rFonts w:ascii="Arial Narrow" w:hAnsi="Arial Narrow"/>
                <w:sz w:val="20"/>
                <w:szCs w:val="20"/>
              </w:rPr>
              <w:t>98 (17.7%)</w:t>
            </w:r>
          </w:p>
        </w:tc>
      </w:tr>
      <w:tr w:rsidR="00272B1C" w:rsidTr="008D0CDA">
        <w:tc>
          <w:tcPr>
            <w:tcW w:w="3539" w:type="dxa"/>
            <w:shd w:val="clear" w:color="auto" w:fill="auto"/>
            <w:vAlign w:val="center"/>
          </w:tcPr>
          <w:p w:rsidR="00272B1C" w:rsidRPr="001A1007" w:rsidRDefault="00272B1C" w:rsidP="006A65C9">
            <w:pPr>
              <w:keepNext/>
              <w:tabs>
                <w:tab w:val="left" w:pos="142"/>
              </w:tabs>
              <w:jc w:val="left"/>
              <w:rPr>
                <w:rFonts w:ascii="Arial Narrow" w:hAnsi="Arial Narrow"/>
                <w:sz w:val="20"/>
                <w:szCs w:val="20"/>
              </w:rPr>
            </w:pPr>
            <w:r>
              <w:rPr>
                <w:rFonts w:ascii="Arial Narrow" w:hAnsi="Arial Narrow"/>
                <w:sz w:val="20"/>
                <w:szCs w:val="20"/>
              </w:rPr>
              <w:tab/>
              <w:t xml:space="preserve">Median months chemotherapy (95% CI) </w:t>
            </w:r>
          </w:p>
        </w:tc>
        <w:tc>
          <w:tcPr>
            <w:tcW w:w="1418" w:type="dxa"/>
            <w:shd w:val="clear" w:color="auto" w:fill="auto"/>
            <w:vAlign w:val="center"/>
          </w:tcPr>
          <w:p w:rsidR="00272B1C" w:rsidRPr="009C7AB9" w:rsidRDefault="00272B1C" w:rsidP="006A65C9">
            <w:pPr>
              <w:keepNext/>
              <w:jc w:val="center"/>
              <w:rPr>
                <w:rFonts w:ascii="Arial Narrow" w:hAnsi="Arial Narrow"/>
                <w:sz w:val="20"/>
                <w:szCs w:val="20"/>
              </w:rPr>
            </w:pPr>
            <w:r>
              <w:rPr>
                <w:rFonts w:ascii="Arial Narrow" w:hAnsi="Arial Narrow"/>
                <w:sz w:val="20"/>
                <w:szCs w:val="20"/>
              </w:rPr>
              <w:t>NE</w:t>
            </w:r>
          </w:p>
        </w:tc>
        <w:tc>
          <w:tcPr>
            <w:tcW w:w="1417" w:type="dxa"/>
            <w:tcBorders>
              <w:right w:val="double" w:sz="4" w:space="0" w:color="auto"/>
            </w:tcBorders>
            <w:shd w:val="clear" w:color="auto" w:fill="auto"/>
            <w:vAlign w:val="center"/>
          </w:tcPr>
          <w:p w:rsidR="00272B1C" w:rsidRPr="009C7AB9" w:rsidRDefault="00272B1C" w:rsidP="006A65C9">
            <w:pPr>
              <w:keepNext/>
              <w:jc w:val="center"/>
              <w:rPr>
                <w:rFonts w:ascii="Arial Narrow" w:hAnsi="Arial Narrow"/>
                <w:sz w:val="20"/>
                <w:szCs w:val="20"/>
              </w:rPr>
            </w:pPr>
            <w:r>
              <w:rPr>
                <w:rFonts w:ascii="Arial Narrow" w:hAnsi="Arial Narrow"/>
                <w:sz w:val="20"/>
                <w:szCs w:val="20"/>
              </w:rPr>
              <w:t>38.2 (22.4, 35.6)</w:t>
            </w:r>
          </w:p>
        </w:tc>
        <w:tc>
          <w:tcPr>
            <w:tcW w:w="1418" w:type="dxa"/>
            <w:tcBorders>
              <w:left w:val="double" w:sz="4" w:space="0" w:color="auto"/>
            </w:tcBorders>
            <w:shd w:val="clear" w:color="auto" w:fill="auto"/>
            <w:vAlign w:val="center"/>
          </w:tcPr>
          <w:p w:rsidR="00272B1C" w:rsidRDefault="00272B1C" w:rsidP="006A65C9">
            <w:pPr>
              <w:keepNext/>
              <w:jc w:val="center"/>
              <w:rPr>
                <w:rFonts w:ascii="Arial Narrow" w:hAnsi="Arial Narrow"/>
                <w:sz w:val="20"/>
                <w:szCs w:val="20"/>
              </w:rPr>
            </w:pPr>
            <w:r>
              <w:rPr>
                <w:rFonts w:ascii="Arial Narrow" w:hAnsi="Arial Narrow"/>
                <w:sz w:val="20"/>
                <w:szCs w:val="20"/>
              </w:rPr>
              <w:t>NE</w:t>
            </w:r>
          </w:p>
        </w:tc>
        <w:tc>
          <w:tcPr>
            <w:tcW w:w="1417" w:type="dxa"/>
            <w:shd w:val="clear" w:color="auto" w:fill="auto"/>
            <w:vAlign w:val="center"/>
          </w:tcPr>
          <w:p w:rsidR="00272B1C" w:rsidRDefault="00272B1C" w:rsidP="006A65C9">
            <w:pPr>
              <w:keepNext/>
              <w:jc w:val="center"/>
              <w:rPr>
                <w:rFonts w:ascii="Arial Narrow" w:hAnsi="Arial Narrow"/>
                <w:sz w:val="20"/>
                <w:szCs w:val="20"/>
              </w:rPr>
            </w:pPr>
            <w:r>
              <w:rPr>
                <w:rFonts w:ascii="Arial Narrow" w:hAnsi="Arial Narrow"/>
                <w:sz w:val="20"/>
                <w:szCs w:val="20"/>
              </w:rPr>
              <w:t>NE</w:t>
            </w:r>
          </w:p>
        </w:tc>
      </w:tr>
      <w:tr w:rsidR="00272B1C" w:rsidRPr="008472AB" w:rsidTr="008D0CDA">
        <w:tc>
          <w:tcPr>
            <w:tcW w:w="3539" w:type="dxa"/>
            <w:shd w:val="clear" w:color="auto" w:fill="auto"/>
            <w:vAlign w:val="center"/>
          </w:tcPr>
          <w:p w:rsidR="00272B1C" w:rsidRDefault="00272B1C" w:rsidP="006A65C9">
            <w:pPr>
              <w:keepNext/>
              <w:tabs>
                <w:tab w:val="left" w:pos="142"/>
              </w:tabs>
              <w:jc w:val="left"/>
              <w:rPr>
                <w:rFonts w:ascii="Arial Narrow" w:hAnsi="Arial Narrow"/>
                <w:sz w:val="20"/>
                <w:szCs w:val="20"/>
              </w:rPr>
            </w:pPr>
            <w:r>
              <w:rPr>
                <w:rFonts w:ascii="Arial Narrow" w:hAnsi="Arial Narrow"/>
                <w:sz w:val="20"/>
                <w:szCs w:val="20"/>
              </w:rPr>
              <w:tab/>
              <w:t>HR (95% CI)</w:t>
            </w:r>
          </w:p>
        </w:tc>
        <w:tc>
          <w:tcPr>
            <w:tcW w:w="2835" w:type="dxa"/>
            <w:gridSpan w:val="2"/>
            <w:tcBorders>
              <w:right w:val="double" w:sz="4" w:space="0" w:color="auto"/>
            </w:tcBorders>
            <w:shd w:val="clear" w:color="auto" w:fill="auto"/>
            <w:vAlign w:val="center"/>
          </w:tcPr>
          <w:p w:rsidR="00272B1C" w:rsidRPr="008472AB" w:rsidRDefault="00272B1C" w:rsidP="006A65C9">
            <w:pPr>
              <w:keepNext/>
              <w:jc w:val="center"/>
              <w:rPr>
                <w:rFonts w:ascii="Arial Narrow" w:hAnsi="Arial Narrow"/>
                <w:sz w:val="20"/>
                <w:szCs w:val="20"/>
              </w:rPr>
            </w:pPr>
            <w:r w:rsidRPr="008472AB">
              <w:rPr>
                <w:rFonts w:ascii="Arial Narrow" w:hAnsi="Arial Narrow"/>
                <w:sz w:val="20"/>
                <w:szCs w:val="20"/>
              </w:rPr>
              <w:t>0.43 (0.31, 0.60)</w:t>
            </w:r>
            <w:r w:rsidRPr="001C3C36">
              <w:rPr>
                <w:rFonts w:ascii="Arial Narrow" w:hAnsi="Arial Narrow"/>
                <w:sz w:val="20"/>
                <w:szCs w:val="20"/>
                <w:vertAlign w:val="superscript"/>
              </w:rPr>
              <w:t>a</w:t>
            </w:r>
          </w:p>
        </w:tc>
        <w:tc>
          <w:tcPr>
            <w:tcW w:w="2835" w:type="dxa"/>
            <w:gridSpan w:val="2"/>
            <w:tcBorders>
              <w:left w:val="double" w:sz="4" w:space="0" w:color="auto"/>
            </w:tcBorders>
            <w:shd w:val="clear" w:color="auto" w:fill="auto"/>
            <w:vAlign w:val="center"/>
          </w:tcPr>
          <w:p w:rsidR="00272B1C" w:rsidRPr="008472AB" w:rsidRDefault="00272B1C" w:rsidP="006A65C9">
            <w:pPr>
              <w:keepNext/>
              <w:jc w:val="center"/>
              <w:rPr>
                <w:rFonts w:ascii="Arial Narrow" w:hAnsi="Arial Narrow"/>
                <w:bCs/>
                <w:sz w:val="20"/>
                <w:szCs w:val="20"/>
              </w:rPr>
            </w:pPr>
            <w:r w:rsidRPr="008472AB">
              <w:rPr>
                <w:rFonts w:ascii="Arial Narrow" w:hAnsi="Arial Narrow"/>
                <w:bCs/>
                <w:sz w:val="20"/>
                <w:szCs w:val="20"/>
              </w:rPr>
              <w:t>0.5</w:t>
            </w:r>
            <w:r>
              <w:rPr>
                <w:rFonts w:ascii="Arial Narrow" w:hAnsi="Arial Narrow"/>
                <w:bCs/>
                <w:sz w:val="20"/>
                <w:szCs w:val="20"/>
              </w:rPr>
              <w:t>8</w:t>
            </w:r>
            <w:r w:rsidRPr="008472AB">
              <w:rPr>
                <w:rFonts w:ascii="Arial Narrow" w:hAnsi="Arial Narrow"/>
                <w:bCs/>
                <w:sz w:val="20"/>
                <w:szCs w:val="20"/>
              </w:rPr>
              <w:t xml:space="preserve"> (0.44, 0.7</w:t>
            </w:r>
            <w:r>
              <w:rPr>
                <w:rFonts w:ascii="Arial Narrow" w:hAnsi="Arial Narrow"/>
                <w:bCs/>
                <w:sz w:val="20"/>
                <w:szCs w:val="20"/>
              </w:rPr>
              <w:t>6</w:t>
            </w:r>
            <w:r w:rsidRPr="008472AB">
              <w:rPr>
                <w:rFonts w:ascii="Arial Narrow" w:hAnsi="Arial Narrow"/>
                <w:bCs/>
                <w:sz w:val="20"/>
                <w:szCs w:val="20"/>
              </w:rPr>
              <w:t>)</w:t>
            </w:r>
            <w:r w:rsidRPr="001C3C36">
              <w:rPr>
                <w:rFonts w:ascii="Arial Narrow" w:hAnsi="Arial Narrow"/>
                <w:sz w:val="20"/>
                <w:szCs w:val="20"/>
                <w:vertAlign w:val="superscript"/>
              </w:rPr>
              <w:t>a</w:t>
            </w:r>
          </w:p>
        </w:tc>
      </w:tr>
      <w:tr w:rsidR="00272B1C" w:rsidTr="008D0CDA">
        <w:tc>
          <w:tcPr>
            <w:tcW w:w="9209" w:type="dxa"/>
            <w:gridSpan w:val="5"/>
            <w:shd w:val="clear" w:color="auto" w:fill="auto"/>
            <w:vAlign w:val="center"/>
          </w:tcPr>
          <w:p w:rsidR="00272B1C" w:rsidRDefault="00272B1C" w:rsidP="006A65C9">
            <w:pPr>
              <w:keepNext/>
              <w:jc w:val="left"/>
              <w:rPr>
                <w:rFonts w:ascii="Arial Narrow" w:hAnsi="Arial Narrow"/>
                <w:sz w:val="20"/>
                <w:szCs w:val="20"/>
              </w:rPr>
            </w:pPr>
            <w:r w:rsidRPr="005D4C36">
              <w:rPr>
                <w:rFonts w:ascii="Arial Narrow" w:hAnsi="Arial Narrow"/>
                <w:b/>
                <w:bCs/>
                <w:sz w:val="20"/>
                <w:szCs w:val="20"/>
              </w:rPr>
              <w:t>Time to pain progression</w:t>
            </w:r>
          </w:p>
        </w:tc>
      </w:tr>
      <w:tr w:rsidR="00272B1C" w:rsidTr="008D0CDA">
        <w:tc>
          <w:tcPr>
            <w:tcW w:w="3539" w:type="dxa"/>
            <w:shd w:val="clear" w:color="auto" w:fill="auto"/>
            <w:vAlign w:val="center"/>
          </w:tcPr>
          <w:p w:rsidR="00272B1C" w:rsidRDefault="00272B1C" w:rsidP="006A65C9">
            <w:pPr>
              <w:keepNext/>
              <w:tabs>
                <w:tab w:val="left" w:pos="142"/>
              </w:tabs>
              <w:jc w:val="left"/>
              <w:rPr>
                <w:rFonts w:ascii="Arial Narrow" w:hAnsi="Arial Narrow"/>
                <w:sz w:val="20"/>
                <w:szCs w:val="20"/>
              </w:rPr>
            </w:pPr>
            <w:r>
              <w:rPr>
                <w:rFonts w:ascii="Arial Narrow" w:hAnsi="Arial Narrow"/>
                <w:sz w:val="20"/>
                <w:szCs w:val="20"/>
              </w:rPr>
              <w:tab/>
              <w:t>Event n (%)</w:t>
            </w:r>
          </w:p>
        </w:tc>
        <w:tc>
          <w:tcPr>
            <w:tcW w:w="1418" w:type="dxa"/>
            <w:shd w:val="clear" w:color="auto" w:fill="auto"/>
            <w:vAlign w:val="center"/>
          </w:tcPr>
          <w:p w:rsidR="00272B1C" w:rsidRPr="009C7AB9" w:rsidRDefault="00272B1C" w:rsidP="006A65C9">
            <w:pPr>
              <w:keepNext/>
              <w:jc w:val="center"/>
              <w:rPr>
                <w:rFonts w:ascii="Arial Narrow" w:hAnsi="Arial Narrow"/>
                <w:sz w:val="20"/>
                <w:szCs w:val="20"/>
              </w:rPr>
            </w:pPr>
            <w:r>
              <w:rPr>
                <w:rFonts w:ascii="Arial Narrow" w:hAnsi="Arial Narrow"/>
                <w:sz w:val="20"/>
                <w:szCs w:val="20"/>
              </w:rPr>
              <w:t>251 (26.3%)</w:t>
            </w:r>
          </w:p>
        </w:tc>
        <w:tc>
          <w:tcPr>
            <w:tcW w:w="1417" w:type="dxa"/>
            <w:tcBorders>
              <w:right w:val="double" w:sz="4" w:space="0" w:color="auto"/>
            </w:tcBorders>
            <w:shd w:val="clear" w:color="auto" w:fill="auto"/>
            <w:vAlign w:val="center"/>
          </w:tcPr>
          <w:p w:rsidR="00272B1C" w:rsidRPr="009C7AB9" w:rsidRDefault="00272B1C" w:rsidP="006A65C9">
            <w:pPr>
              <w:keepNext/>
              <w:jc w:val="center"/>
              <w:rPr>
                <w:rFonts w:ascii="Arial Narrow" w:hAnsi="Arial Narrow"/>
                <w:sz w:val="20"/>
                <w:szCs w:val="20"/>
              </w:rPr>
            </w:pPr>
            <w:r>
              <w:rPr>
                <w:rFonts w:ascii="Arial Narrow" w:hAnsi="Arial Narrow"/>
                <w:sz w:val="20"/>
                <w:szCs w:val="20"/>
              </w:rPr>
              <w:t>178 (32.1%)</w:t>
            </w:r>
          </w:p>
        </w:tc>
        <w:tc>
          <w:tcPr>
            <w:tcW w:w="2835" w:type="dxa"/>
            <w:gridSpan w:val="2"/>
            <w:vMerge w:val="restart"/>
            <w:tcBorders>
              <w:left w:val="double" w:sz="4" w:space="0" w:color="auto"/>
            </w:tcBorders>
            <w:shd w:val="clear" w:color="auto" w:fill="auto"/>
            <w:vAlign w:val="center"/>
          </w:tcPr>
          <w:p w:rsidR="00272B1C" w:rsidRDefault="00272B1C" w:rsidP="006A65C9">
            <w:pPr>
              <w:keepNext/>
              <w:jc w:val="center"/>
              <w:rPr>
                <w:rFonts w:ascii="Arial Narrow" w:hAnsi="Arial Narrow"/>
                <w:sz w:val="20"/>
                <w:szCs w:val="20"/>
              </w:rPr>
            </w:pPr>
            <w:r>
              <w:rPr>
                <w:rFonts w:ascii="Arial Narrow" w:hAnsi="Arial Narrow"/>
                <w:sz w:val="20"/>
                <w:szCs w:val="20"/>
              </w:rPr>
              <w:t>Not reported</w:t>
            </w:r>
          </w:p>
        </w:tc>
      </w:tr>
      <w:tr w:rsidR="00272B1C" w:rsidTr="008D0CDA">
        <w:tc>
          <w:tcPr>
            <w:tcW w:w="3539" w:type="dxa"/>
            <w:shd w:val="clear" w:color="auto" w:fill="auto"/>
            <w:vAlign w:val="center"/>
          </w:tcPr>
          <w:p w:rsidR="00272B1C" w:rsidRDefault="00272B1C" w:rsidP="006A65C9">
            <w:pPr>
              <w:keepNext/>
              <w:tabs>
                <w:tab w:val="left" w:pos="142"/>
              </w:tabs>
              <w:jc w:val="left"/>
              <w:rPr>
                <w:rFonts w:ascii="Arial Narrow" w:hAnsi="Arial Narrow"/>
                <w:sz w:val="20"/>
                <w:szCs w:val="20"/>
              </w:rPr>
            </w:pPr>
            <w:r>
              <w:rPr>
                <w:rFonts w:ascii="Arial Narrow" w:hAnsi="Arial Narrow"/>
                <w:sz w:val="20"/>
                <w:szCs w:val="20"/>
              </w:rPr>
              <w:tab/>
              <w:t xml:space="preserve">Median months pain progression (95% CI) </w:t>
            </w:r>
          </w:p>
        </w:tc>
        <w:tc>
          <w:tcPr>
            <w:tcW w:w="1418" w:type="dxa"/>
            <w:shd w:val="clear" w:color="auto" w:fill="auto"/>
            <w:vAlign w:val="center"/>
          </w:tcPr>
          <w:p w:rsidR="00272B1C" w:rsidRPr="009C7AB9" w:rsidRDefault="00272B1C" w:rsidP="006A65C9">
            <w:pPr>
              <w:keepNext/>
              <w:jc w:val="center"/>
              <w:rPr>
                <w:rFonts w:ascii="Arial Narrow" w:hAnsi="Arial Narrow"/>
                <w:sz w:val="20"/>
                <w:szCs w:val="20"/>
              </w:rPr>
            </w:pPr>
            <w:r>
              <w:rPr>
                <w:rFonts w:ascii="Arial Narrow" w:hAnsi="Arial Narrow"/>
                <w:sz w:val="20"/>
                <w:szCs w:val="20"/>
              </w:rPr>
              <w:t>40.3 (33.2, 41.2)</w:t>
            </w:r>
          </w:p>
        </w:tc>
        <w:tc>
          <w:tcPr>
            <w:tcW w:w="1417" w:type="dxa"/>
            <w:tcBorders>
              <w:right w:val="double" w:sz="4" w:space="0" w:color="auto"/>
            </w:tcBorders>
            <w:shd w:val="clear" w:color="auto" w:fill="auto"/>
            <w:vAlign w:val="center"/>
          </w:tcPr>
          <w:p w:rsidR="00272B1C" w:rsidRPr="009C7AB9" w:rsidRDefault="00272B1C" w:rsidP="006A65C9">
            <w:pPr>
              <w:keepNext/>
              <w:jc w:val="center"/>
              <w:rPr>
                <w:rFonts w:ascii="Arial Narrow" w:hAnsi="Arial Narrow"/>
                <w:sz w:val="20"/>
                <w:szCs w:val="20"/>
              </w:rPr>
            </w:pPr>
            <w:r>
              <w:rPr>
                <w:rFonts w:ascii="Arial Narrow" w:hAnsi="Arial Narrow"/>
                <w:sz w:val="20"/>
                <w:szCs w:val="20"/>
              </w:rPr>
              <w:t>25.4 (19.1, 29.6)</w:t>
            </w:r>
          </w:p>
        </w:tc>
        <w:tc>
          <w:tcPr>
            <w:tcW w:w="2835" w:type="dxa"/>
            <w:gridSpan w:val="2"/>
            <w:vMerge/>
            <w:tcBorders>
              <w:left w:val="double" w:sz="4" w:space="0" w:color="auto"/>
            </w:tcBorders>
            <w:shd w:val="clear" w:color="auto" w:fill="auto"/>
            <w:vAlign w:val="center"/>
          </w:tcPr>
          <w:p w:rsidR="00272B1C" w:rsidRDefault="00272B1C" w:rsidP="006A65C9">
            <w:pPr>
              <w:keepNext/>
              <w:jc w:val="center"/>
              <w:rPr>
                <w:rFonts w:ascii="Arial Narrow" w:hAnsi="Arial Narrow"/>
                <w:sz w:val="20"/>
                <w:szCs w:val="20"/>
              </w:rPr>
            </w:pPr>
          </w:p>
        </w:tc>
      </w:tr>
      <w:tr w:rsidR="00272B1C" w:rsidTr="008D0CDA">
        <w:tc>
          <w:tcPr>
            <w:tcW w:w="3539" w:type="dxa"/>
            <w:shd w:val="clear" w:color="auto" w:fill="auto"/>
            <w:vAlign w:val="center"/>
          </w:tcPr>
          <w:p w:rsidR="00272B1C" w:rsidRPr="001A1007" w:rsidRDefault="00272B1C" w:rsidP="006A65C9">
            <w:pPr>
              <w:keepNext/>
              <w:tabs>
                <w:tab w:val="left" w:pos="142"/>
              </w:tabs>
              <w:jc w:val="left"/>
              <w:rPr>
                <w:rFonts w:ascii="Arial Narrow" w:hAnsi="Arial Narrow"/>
                <w:sz w:val="20"/>
                <w:szCs w:val="20"/>
              </w:rPr>
            </w:pPr>
            <w:r>
              <w:rPr>
                <w:rFonts w:ascii="Arial Narrow" w:hAnsi="Arial Narrow"/>
                <w:sz w:val="20"/>
                <w:szCs w:val="20"/>
              </w:rPr>
              <w:tab/>
              <w:t>HR (95% CI)</w:t>
            </w:r>
          </w:p>
        </w:tc>
        <w:tc>
          <w:tcPr>
            <w:tcW w:w="2835" w:type="dxa"/>
            <w:gridSpan w:val="2"/>
            <w:tcBorders>
              <w:right w:val="double" w:sz="4" w:space="0" w:color="auto"/>
            </w:tcBorders>
            <w:shd w:val="clear" w:color="auto" w:fill="auto"/>
            <w:vAlign w:val="center"/>
          </w:tcPr>
          <w:p w:rsidR="00272B1C" w:rsidRPr="009C7AB9" w:rsidRDefault="00272B1C" w:rsidP="006A65C9">
            <w:pPr>
              <w:keepNext/>
              <w:jc w:val="center"/>
              <w:rPr>
                <w:rFonts w:ascii="Arial Narrow" w:hAnsi="Arial Narrow"/>
                <w:b/>
                <w:sz w:val="20"/>
                <w:szCs w:val="20"/>
              </w:rPr>
            </w:pPr>
            <w:r>
              <w:rPr>
                <w:rFonts w:ascii="Arial Narrow" w:hAnsi="Arial Narrow"/>
                <w:b/>
                <w:sz w:val="20"/>
                <w:szCs w:val="20"/>
              </w:rPr>
              <w:t>0.65 (0.53, 0.79)</w:t>
            </w:r>
          </w:p>
        </w:tc>
        <w:tc>
          <w:tcPr>
            <w:tcW w:w="2835" w:type="dxa"/>
            <w:gridSpan w:val="2"/>
            <w:vMerge/>
            <w:tcBorders>
              <w:left w:val="double" w:sz="4" w:space="0" w:color="auto"/>
            </w:tcBorders>
            <w:shd w:val="clear" w:color="auto" w:fill="auto"/>
            <w:vAlign w:val="center"/>
          </w:tcPr>
          <w:p w:rsidR="00272B1C" w:rsidRPr="006C1847" w:rsidRDefault="00272B1C" w:rsidP="006A65C9">
            <w:pPr>
              <w:keepNext/>
              <w:jc w:val="center"/>
              <w:rPr>
                <w:rFonts w:ascii="Arial Narrow" w:hAnsi="Arial Narrow"/>
                <w:bCs/>
                <w:sz w:val="20"/>
                <w:szCs w:val="20"/>
              </w:rPr>
            </w:pPr>
          </w:p>
        </w:tc>
      </w:tr>
    </w:tbl>
    <w:p w:rsidR="00272B1C" w:rsidRPr="00272B1C" w:rsidRDefault="00272B1C" w:rsidP="006A65C9">
      <w:pPr>
        <w:rPr>
          <w:rFonts w:ascii="Arial Narrow" w:hAnsi="Arial Narrow"/>
          <w:sz w:val="18"/>
          <w:szCs w:val="18"/>
        </w:rPr>
      </w:pPr>
      <w:r w:rsidRPr="00272B1C">
        <w:rPr>
          <w:rFonts w:ascii="Arial Narrow" w:hAnsi="Arial Narrow"/>
          <w:sz w:val="18"/>
          <w:szCs w:val="18"/>
        </w:rPr>
        <w:t>Source:  Table 2-18, p74 of the resubmission.</w:t>
      </w:r>
    </w:p>
    <w:p w:rsidR="00272B1C" w:rsidRPr="00272B1C" w:rsidRDefault="00272B1C" w:rsidP="006A65C9">
      <w:pPr>
        <w:rPr>
          <w:rFonts w:ascii="Arial Narrow" w:hAnsi="Arial Narrow"/>
          <w:sz w:val="18"/>
          <w:szCs w:val="18"/>
        </w:rPr>
      </w:pPr>
      <w:r w:rsidRPr="00272B1C">
        <w:rPr>
          <w:rFonts w:ascii="Arial Narrow" w:hAnsi="Arial Narrow"/>
          <w:sz w:val="18"/>
          <w:szCs w:val="18"/>
        </w:rPr>
        <w:t xml:space="preserve">CI = confidence interval; HR = hazard ratio; MFS = metastasis-free survival; NE = not estimable; OS = overall survival; SOC = standard of care; </w:t>
      </w:r>
      <w:r w:rsidRPr="00272B1C">
        <w:rPr>
          <w:rFonts w:ascii="Arial Narrow" w:hAnsi="Arial Narrow"/>
          <w:b/>
          <w:sz w:val="18"/>
          <w:szCs w:val="18"/>
        </w:rPr>
        <w:t xml:space="preserve">bold </w:t>
      </w:r>
      <w:r w:rsidRPr="00272B1C">
        <w:rPr>
          <w:rFonts w:ascii="Arial Narrow" w:hAnsi="Arial Narrow"/>
          <w:sz w:val="18"/>
          <w:szCs w:val="18"/>
        </w:rPr>
        <w:t>= statistically significant</w:t>
      </w:r>
    </w:p>
    <w:p w:rsidR="00272B1C" w:rsidRDefault="00272B1C" w:rsidP="006A65C9">
      <w:pPr>
        <w:rPr>
          <w:rFonts w:ascii="Arial Narrow" w:hAnsi="Arial Narrow"/>
          <w:sz w:val="18"/>
          <w:szCs w:val="18"/>
        </w:rPr>
      </w:pPr>
      <w:r w:rsidRPr="00272B1C">
        <w:rPr>
          <w:rFonts w:ascii="Arial Narrow" w:hAnsi="Arial Narrow"/>
          <w:sz w:val="18"/>
          <w:szCs w:val="18"/>
          <w:vertAlign w:val="superscript"/>
        </w:rPr>
        <w:t>a</w:t>
      </w:r>
      <w:r>
        <w:rPr>
          <w:rFonts w:ascii="Arial Narrow" w:hAnsi="Arial Narrow"/>
          <w:sz w:val="18"/>
          <w:szCs w:val="18"/>
        </w:rPr>
        <w:t xml:space="preserve"> </w:t>
      </w:r>
      <w:r w:rsidRPr="00272B1C">
        <w:rPr>
          <w:rFonts w:ascii="Arial Narrow" w:hAnsi="Arial Narrow"/>
          <w:sz w:val="18"/>
          <w:szCs w:val="18"/>
        </w:rPr>
        <w:t>Not statistically significant given the pre-specified alpha significance level for the analysis was 0.0005.</w:t>
      </w:r>
    </w:p>
    <w:p w:rsidR="00272B1C" w:rsidRPr="00272B1C" w:rsidRDefault="00272B1C" w:rsidP="00272B1C"/>
    <w:p w:rsidR="00272B1C" w:rsidRDefault="00272B1C" w:rsidP="00443848">
      <w:pPr>
        <w:pStyle w:val="3-BodyText"/>
      </w:pPr>
      <w:r w:rsidRPr="008D0CDA">
        <w:t>The censored analysis of MFS, corrected for misclassification, showed a statistically significant improvement for darolutamide compared to SOC, demonstrating a 64% reduction in the risk of developing distant metastasis or death (HR = 0.36; 95% CI: 0.29, 0.44). The median months to metastasis was approximately 18 months longer for darolutamide compared to SOC.</w:t>
      </w:r>
      <w:r>
        <w:t xml:space="preserve"> </w:t>
      </w:r>
    </w:p>
    <w:p w:rsidR="00272B1C" w:rsidRDefault="00272B1C" w:rsidP="00443848">
      <w:pPr>
        <w:pStyle w:val="3-BodyText"/>
        <w:snapToGrid w:val="0"/>
        <w:spacing w:after="160"/>
      </w:pPr>
      <w:r w:rsidRPr="008D0CDA">
        <w:t>The Kaplan Meier plots for MFS, for both the uncensored and censored analyses (correcting for patient misclassification) are provided in Figure 1.</w:t>
      </w:r>
    </w:p>
    <w:p w:rsidR="00272B1C" w:rsidRDefault="00272B1C" w:rsidP="008D0CDA">
      <w:pPr>
        <w:pStyle w:val="3-BodyText"/>
        <w:keepNext/>
        <w:keepLines/>
        <w:numPr>
          <w:ilvl w:val="0"/>
          <w:numId w:val="0"/>
        </w:numPr>
        <w:spacing w:after="0"/>
        <w:rPr>
          <w:rFonts w:ascii="Arial Narrow" w:hAnsi="Arial Narrow"/>
          <w:b/>
          <w:bCs/>
        </w:rPr>
      </w:pPr>
      <w:r>
        <w:rPr>
          <w:rFonts w:ascii="Arial Narrow" w:hAnsi="Arial Narrow"/>
          <w:b/>
          <w:bCs/>
          <w:sz w:val="20"/>
          <w:szCs w:val="20"/>
        </w:rPr>
        <w:lastRenderedPageBreak/>
        <w:t>Figure 1: Kaplan Meier curves for MFS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Caption w:val="Figure 1: Kaplan Meier curves for MFS"/>
        <w:tblDescription w:val="Figure 1: Kaplan Meier curves for MFS"/>
      </w:tblPr>
      <w:tblGrid>
        <w:gridCol w:w="4564"/>
        <w:gridCol w:w="4274"/>
      </w:tblGrid>
      <w:tr w:rsidR="00272B1C" w:rsidTr="006242C1">
        <w:trPr>
          <w:tblHeader/>
        </w:trPr>
        <w:tc>
          <w:tcPr>
            <w:tcW w:w="4564" w:type="dxa"/>
            <w:hideMark/>
          </w:tcPr>
          <w:p w:rsidR="00272B1C" w:rsidRDefault="00272B1C" w:rsidP="008D0CDA">
            <w:pPr>
              <w:keepNext/>
              <w:keepLines/>
              <w:widowControl w:val="0"/>
            </w:pPr>
            <w:r>
              <w:rPr>
                <w:rFonts w:ascii="Arial Narrow" w:hAnsi="Arial Narrow"/>
                <w:b/>
                <w:sz w:val="20"/>
                <w:szCs w:val="20"/>
              </w:rPr>
              <w:t>A: Uncensored</w:t>
            </w:r>
          </w:p>
        </w:tc>
        <w:tc>
          <w:tcPr>
            <w:tcW w:w="4274" w:type="dxa"/>
            <w:hideMark/>
          </w:tcPr>
          <w:p w:rsidR="00272B1C" w:rsidRDefault="00272B1C" w:rsidP="008D0CDA">
            <w:pPr>
              <w:keepNext/>
              <w:keepLines/>
              <w:widowControl w:val="0"/>
            </w:pPr>
            <w:r>
              <w:rPr>
                <w:rFonts w:ascii="Arial Narrow" w:hAnsi="Arial Narrow"/>
                <w:b/>
                <w:sz w:val="20"/>
                <w:szCs w:val="20"/>
              </w:rPr>
              <w:t>B: Censored (corrected for patient misclassification)</w:t>
            </w:r>
          </w:p>
        </w:tc>
      </w:tr>
      <w:tr w:rsidR="00272B1C" w:rsidTr="00272B1C">
        <w:tc>
          <w:tcPr>
            <w:tcW w:w="4564" w:type="dxa"/>
            <w:hideMark/>
          </w:tcPr>
          <w:p w:rsidR="00272B1C" w:rsidRDefault="00272B1C" w:rsidP="008D0CDA">
            <w:pPr>
              <w:keepNext/>
              <w:keepLines/>
            </w:pPr>
            <w:r>
              <w:rPr>
                <w:noProof/>
              </w:rPr>
              <w:drawing>
                <wp:inline distT="0" distB="0" distL="0" distR="0" wp14:anchorId="5A472D07" wp14:editId="1616A558">
                  <wp:extent cx="2720340" cy="1869440"/>
                  <wp:effectExtent l="0" t="0" r="3810" b="0"/>
                  <wp:docPr id="3" name="Picture 3" title="A: Uncensored"/>
                  <wp:cNvGraphicFramePr/>
                  <a:graphic xmlns:a="http://schemas.openxmlformats.org/drawingml/2006/main">
                    <a:graphicData uri="http://schemas.openxmlformats.org/drawingml/2006/picture">
                      <pic:pic xmlns:pic="http://schemas.openxmlformats.org/drawingml/2006/picture">
                        <pic:nvPicPr>
                          <pic:cNvPr id="15" name="Picture 15" title="A: Uncensored"/>
                          <pic:cNvPicPr/>
                        </pic:nvPicPr>
                        <pic:blipFill>
                          <a:blip r:embed="rId8" cstate="screen">
                            <a:extLst>
                              <a:ext uri="{28A0092B-C50C-407E-A947-70E740481C1C}">
                                <a14:useLocalDpi xmlns:a14="http://schemas.microsoft.com/office/drawing/2010/main"/>
                              </a:ext>
                            </a:extLst>
                          </a:blip>
                          <a:stretch>
                            <a:fillRect/>
                          </a:stretch>
                        </pic:blipFill>
                        <pic:spPr>
                          <a:xfrm>
                            <a:off x="0" y="0"/>
                            <a:ext cx="2719705" cy="1863090"/>
                          </a:xfrm>
                          <a:prstGeom prst="rect">
                            <a:avLst/>
                          </a:prstGeom>
                        </pic:spPr>
                      </pic:pic>
                    </a:graphicData>
                  </a:graphic>
                </wp:inline>
              </w:drawing>
            </w:r>
          </w:p>
        </w:tc>
        <w:tc>
          <w:tcPr>
            <w:tcW w:w="4274" w:type="dxa"/>
            <w:hideMark/>
          </w:tcPr>
          <w:p w:rsidR="00272B1C" w:rsidRDefault="00272B1C" w:rsidP="008D0CDA">
            <w:pPr>
              <w:keepNext/>
              <w:keepLines/>
            </w:pPr>
            <w:r>
              <w:rPr>
                <w:noProof/>
              </w:rPr>
              <w:drawing>
                <wp:inline distT="0" distB="0" distL="0" distR="0" wp14:anchorId="77975781" wp14:editId="23F6A340">
                  <wp:extent cx="2534920" cy="1869440"/>
                  <wp:effectExtent l="0" t="0" r="0" b="0"/>
                  <wp:docPr id="21" name="Picture 21" title="B: Censored (corrected for patient misclassification)"/>
                  <wp:cNvGraphicFramePr/>
                  <a:graphic xmlns:a="http://schemas.openxmlformats.org/drawingml/2006/main">
                    <a:graphicData uri="http://schemas.openxmlformats.org/drawingml/2006/picture">
                      <pic:pic xmlns:pic="http://schemas.openxmlformats.org/drawingml/2006/picture">
                        <pic:nvPicPr>
                          <pic:cNvPr id="21" name="Picture 21" title="B: Censored (corrected for patient misclassification)"/>
                          <pic:cNvPicPr/>
                        </pic:nvPicPr>
                        <pic:blipFill>
                          <a:blip r:embed="rId9" cstate="email">
                            <a:extLst>
                              <a:ext uri="{28A0092B-C50C-407E-A947-70E740481C1C}">
                                <a14:useLocalDpi xmlns:a14="http://schemas.microsoft.com/office/drawing/2010/main"/>
                              </a:ext>
                            </a:extLst>
                          </a:blip>
                          <a:stretch>
                            <a:fillRect/>
                          </a:stretch>
                        </pic:blipFill>
                        <pic:spPr>
                          <a:xfrm>
                            <a:off x="0" y="0"/>
                            <a:ext cx="2533650" cy="1863090"/>
                          </a:xfrm>
                          <a:prstGeom prst="rect">
                            <a:avLst/>
                          </a:prstGeom>
                        </pic:spPr>
                      </pic:pic>
                    </a:graphicData>
                  </a:graphic>
                </wp:inline>
              </w:drawing>
            </w:r>
          </w:p>
        </w:tc>
      </w:tr>
      <w:tr w:rsidR="00272B1C" w:rsidTr="00272B1C">
        <w:tc>
          <w:tcPr>
            <w:tcW w:w="4564" w:type="dxa"/>
            <w:hideMark/>
          </w:tcPr>
          <w:p w:rsidR="00272B1C" w:rsidRDefault="00272B1C" w:rsidP="003C6A0B">
            <w:pPr>
              <w:pStyle w:val="TableFooter"/>
              <w:keepNext/>
              <w:keepLines/>
              <w:widowControl w:val="0"/>
            </w:pPr>
            <w:r>
              <w:t>Source: Figure 2.8, p7</w:t>
            </w:r>
            <w:r w:rsidR="003C6A0B">
              <w:t>9</w:t>
            </w:r>
            <w:r>
              <w:t xml:space="preserve"> of the</w:t>
            </w:r>
            <w:r w:rsidR="003C6A0B">
              <w:t xml:space="preserve"> re</w:t>
            </w:r>
            <w:r>
              <w:t>submission.</w:t>
            </w:r>
          </w:p>
        </w:tc>
        <w:tc>
          <w:tcPr>
            <w:tcW w:w="4274" w:type="dxa"/>
            <w:hideMark/>
          </w:tcPr>
          <w:p w:rsidR="00272B1C" w:rsidRDefault="00272B1C" w:rsidP="003C6A0B">
            <w:pPr>
              <w:pStyle w:val="TableFooter"/>
              <w:keepNext/>
              <w:keepLines/>
              <w:widowControl w:val="0"/>
            </w:pPr>
            <w:r>
              <w:t>Source: Figure 2-</w:t>
            </w:r>
            <w:r w:rsidR="003C6A0B">
              <w:t>9</w:t>
            </w:r>
            <w:r>
              <w:t>, p</w:t>
            </w:r>
            <w:r w:rsidR="003C6A0B">
              <w:t>79</w:t>
            </w:r>
            <w:r>
              <w:t xml:space="preserve"> of the </w:t>
            </w:r>
            <w:r w:rsidR="003C6A0B">
              <w:t>re</w:t>
            </w:r>
            <w:r>
              <w:t>submission.</w:t>
            </w:r>
          </w:p>
        </w:tc>
      </w:tr>
    </w:tbl>
    <w:p w:rsidR="00272B1C" w:rsidRDefault="00272B1C" w:rsidP="008227E0"/>
    <w:p w:rsidR="00272B1C" w:rsidRDefault="00272B1C" w:rsidP="00443848">
      <w:pPr>
        <w:pStyle w:val="3-BodyText"/>
      </w:pPr>
      <w:r w:rsidRPr="008D0CDA">
        <w:t>The ESC noted that the interim analysis for OS (median follow-up of 17.9 months) indicated no statistically significant advantage for darolutamide as the pre-specified alpha significance level of 0.0005 (to take into account alpha spent with multiple comparisons) was not met. In the updated analysis (median follow-up of 29.1 months) the planned number of events (240) was reached and the pre-specified significance level of 0.05 was met (HR</w:t>
      </w:r>
      <w:r w:rsidR="003C6A0B" w:rsidRPr="008D0CDA">
        <w:t xml:space="preserve"> </w:t>
      </w:r>
      <w:r w:rsidRPr="008D0CDA">
        <w:t>=</w:t>
      </w:r>
      <w:r w:rsidR="003C6A0B" w:rsidRPr="008D0CDA">
        <w:t xml:space="preserve"> </w:t>
      </w:r>
      <w:r w:rsidRPr="008D0CDA">
        <w:t>0.6</w:t>
      </w:r>
      <w:r w:rsidR="003C6A0B" w:rsidRPr="008D0CDA">
        <w:t>9</w:t>
      </w:r>
      <w:r w:rsidRPr="008D0CDA">
        <w:t>; 95% CI: 0.53, 0.88; p=0.003). The Kaplan Meier plot for the updated analysis is provided in Figure 2.</w:t>
      </w:r>
    </w:p>
    <w:p w:rsidR="00272B1C" w:rsidRDefault="00272B1C" w:rsidP="008D0CDA">
      <w:pPr>
        <w:pStyle w:val="3-BodyText"/>
        <w:numPr>
          <w:ilvl w:val="0"/>
          <w:numId w:val="0"/>
        </w:numPr>
        <w:spacing w:after="0"/>
        <w:rPr>
          <w:rFonts w:ascii="Arial Narrow" w:hAnsi="Arial Narrow"/>
          <w:b/>
          <w:bCs/>
        </w:rPr>
      </w:pPr>
      <w:r>
        <w:rPr>
          <w:rFonts w:ascii="Arial Narrow" w:hAnsi="Arial Narrow"/>
          <w:b/>
          <w:bCs/>
          <w:sz w:val="20"/>
          <w:szCs w:val="20"/>
        </w:rPr>
        <w:t>Figure 2: Kaplan Meier curve for OS – updated analysis</w:t>
      </w:r>
    </w:p>
    <w:p w:rsidR="00272B1C" w:rsidRDefault="00272B1C" w:rsidP="008D0CDA">
      <w:pPr>
        <w:pStyle w:val="3-BodyText"/>
        <w:numPr>
          <w:ilvl w:val="0"/>
          <w:numId w:val="0"/>
        </w:numPr>
        <w:spacing w:after="0"/>
      </w:pPr>
      <w:r>
        <w:rPr>
          <w:noProof/>
        </w:rPr>
        <w:drawing>
          <wp:inline distT="0" distB="0" distL="0" distR="0" wp14:anchorId="0404FAA2" wp14:editId="5947183D">
            <wp:extent cx="5758405" cy="3375795"/>
            <wp:effectExtent l="0" t="0" r="0" b="0"/>
            <wp:docPr id="1" name="Picture 1" descr="f_14_2_2_f1_adtte_os_key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f_14_2_2_f1_adtte_os_key21"/>
                    <pic:cNvPicPr>
                      <a:picLocks noChangeAspect="1" noChangeArrowheads="1"/>
                    </pic:cNvPicPr>
                  </pic:nvPicPr>
                  <pic:blipFill rotWithShape="1">
                    <a:blip r:embed="rId10">
                      <a:extLst>
                        <a:ext uri="{28A0092B-C50C-407E-A947-70E740481C1C}">
                          <a14:useLocalDpi xmlns:a14="http://schemas.microsoft.com/office/drawing/2010/main" val="0"/>
                        </a:ext>
                      </a:extLst>
                    </a:blip>
                    <a:srcRect t="2812" r="220" b="5802"/>
                    <a:stretch/>
                  </pic:blipFill>
                  <pic:spPr bwMode="auto">
                    <a:xfrm>
                      <a:off x="0" y="0"/>
                      <a:ext cx="5761581" cy="3377657"/>
                    </a:xfrm>
                    <a:prstGeom prst="rect">
                      <a:avLst/>
                    </a:prstGeom>
                    <a:noFill/>
                    <a:ln>
                      <a:noFill/>
                    </a:ln>
                    <a:extLst>
                      <a:ext uri="{53640926-AAD7-44D8-BBD7-CCE9431645EC}">
                        <a14:shadowObscured xmlns:a14="http://schemas.microsoft.com/office/drawing/2010/main"/>
                      </a:ext>
                    </a:extLst>
                  </pic:spPr>
                </pic:pic>
              </a:graphicData>
            </a:graphic>
          </wp:inline>
        </w:drawing>
      </w:r>
    </w:p>
    <w:p w:rsidR="00272B1C" w:rsidRDefault="00272B1C" w:rsidP="008D0CDA">
      <w:pPr>
        <w:pStyle w:val="TableFooter"/>
      </w:pPr>
      <w:r>
        <w:t>Source: Figure 2.11, p</w:t>
      </w:r>
      <w:r w:rsidR="003C6A0B">
        <w:t>81</w:t>
      </w:r>
      <w:r>
        <w:t xml:space="preserve"> of the </w:t>
      </w:r>
      <w:r w:rsidR="003C6A0B">
        <w:t>re</w:t>
      </w:r>
      <w:r>
        <w:t>submission.</w:t>
      </w:r>
    </w:p>
    <w:p w:rsidR="00272B1C" w:rsidRDefault="00272B1C" w:rsidP="00272B1C"/>
    <w:p w:rsidR="00272B1C" w:rsidRPr="003C6A0B" w:rsidRDefault="003C6A0B" w:rsidP="00EC5836">
      <w:pPr>
        <w:pStyle w:val="3-BodyText"/>
        <w:rPr>
          <w:color w:val="0066FF"/>
        </w:rPr>
      </w:pPr>
      <w:r w:rsidRPr="008D0CDA">
        <w:lastRenderedPageBreak/>
        <w:t>Darolutamide was associated with a significant delay in the time to a symptomatic skeletal event, initiation of cytotoxic chemotherapy and pain progression.</w:t>
      </w:r>
    </w:p>
    <w:p w:rsidR="003C6A0B" w:rsidRPr="00470FAC" w:rsidRDefault="003C6A0B" w:rsidP="00EC5836">
      <w:pPr>
        <w:pStyle w:val="3-BodyText"/>
        <w:rPr>
          <w:color w:val="0066FF"/>
        </w:rPr>
      </w:pPr>
      <w:r w:rsidRPr="008D0CDA">
        <w:t>For patient-reported outcomes, while there were statistically significant differences reported for some scales (BPI-SF, EORTC), these differences were not clinically meaningful, as the differences did not reach the minimally important difference thresholds. There were no statistically significant, or clinically meaningful, differences between darolutamide and SOC observed for the EQ-5D.</w:t>
      </w:r>
      <w:r w:rsidR="008D0CDA">
        <w:t xml:space="preserve"> </w:t>
      </w:r>
      <w:r w:rsidRPr="00470FAC">
        <w:t>In July 2020, the PBAC noted that although there were statistically significant differences reported for some scales, there were no clinically meaningful differences across the darolutamide and SOC arms for any of the QoL measures (paragraphs 6.15 and 7.9, darolutamide PSD, July 2020).</w:t>
      </w:r>
    </w:p>
    <w:p w:rsidR="003C6A0B" w:rsidRPr="003C6A0B" w:rsidRDefault="003C6A0B" w:rsidP="00EC5836">
      <w:pPr>
        <w:pStyle w:val="3-BodyText"/>
        <w:rPr>
          <w:color w:val="0066FF"/>
        </w:rPr>
      </w:pPr>
      <w:r>
        <w:t xml:space="preserve">Results of the ITCs </w:t>
      </w:r>
      <w:r w:rsidR="00504985">
        <w:t xml:space="preserve">for efficacy </w:t>
      </w:r>
      <w:r>
        <w:t>versus apalutamide and enzalutamide are presented below.</w:t>
      </w:r>
    </w:p>
    <w:p w:rsidR="003C6A0B" w:rsidRDefault="003C6A0B" w:rsidP="006A65C9">
      <w:pPr>
        <w:pStyle w:val="TableHeading1"/>
        <w:keepLines/>
        <w:spacing w:after="0"/>
      </w:pPr>
      <w:r>
        <w:lastRenderedPageBreak/>
        <w:t xml:space="preserve">Table </w:t>
      </w:r>
      <w:r w:rsidR="000C08E6">
        <w:t>7</w:t>
      </w:r>
      <w:r>
        <w:t>:  Results of indirect comparisons for darolutamide vs. apalutamide and darolutamide vs. enzalutamide – MFS and OS</w:t>
      </w:r>
    </w:p>
    <w:tbl>
      <w:tblPr>
        <w:tblStyle w:val="TableGrid"/>
        <w:tblW w:w="9067" w:type="dxa"/>
        <w:tblCellMar>
          <w:left w:w="28" w:type="dxa"/>
          <w:right w:w="28" w:type="dxa"/>
        </w:tblCellMar>
        <w:tblLook w:val="04A0" w:firstRow="1" w:lastRow="0" w:firstColumn="1" w:lastColumn="0" w:noHBand="0" w:noVBand="1"/>
        <w:tblCaption w:val="Table 7:  Results of indirect comparisons for darolutamide vs. apalutamide and darolutamide vs. enzalutamide – MFS and OS"/>
      </w:tblPr>
      <w:tblGrid>
        <w:gridCol w:w="2518"/>
        <w:gridCol w:w="1848"/>
        <w:gridCol w:w="1615"/>
        <w:gridCol w:w="1601"/>
        <w:gridCol w:w="1485"/>
      </w:tblGrid>
      <w:tr w:rsidR="003C6A0B" w:rsidTr="008D0CDA">
        <w:trPr>
          <w:tblHeader/>
        </w:trPr>
        <w:tc>
          <w:tcPr>
            <w:tcW w:w="2518" w:type="dxa"/>
            <w:shd w:val="clear" w:color="auto" w:fill="auto"/>
            <w:vAlign w:val="center"/>
          </w:tcPr>
          <w:p w:rsidR="003C6A0B" w:rsidRPr="000549DC" w:rsidRDefault="003C6A0B" w:rsidP="006A65C9">
            <w:pPr>
              <w:pStyle w:val="TableText0"/>
              <w:keepLines/>
              <w:widowControl w:val="0"/>
            </w:pPr>
            <w:r w:rsidRPr="003F685D">
              <w:rPr>
                <w:b/>
                <w:szCs w:val="20"/>
              </w:rPr>
              <w:t>Trial</w:t>
            </w:r>
            <w:r>
              <w:rPr>
                <w:b/>
                <w:szCs w:val="20"/>
              </w:rPr>
              <w:t>/comparison</w:t>
            </w:r>
            <w:r w:rsidRPr="003F685D">
              <w:rPr>
                <w:b/>
                <w:szCs w:val="20"/>
              </w:rPr>
              <w:t xml:space="preserve"> </w:t>
            </w:r>
          </w:p>
        </w:tc>
        <w:tc>
          <w:tcPr>
            <w:tcW w:w="1848" w:type="dxa"/>
            <w:shd w:val="clear" w:color="auto" w:fill="auto"/>
            <w:vAlign w:val="center"/>
          </w:tcPr>
          <w:p w:rsidR="003C6A0B" w:rsidRPr="000549DC" w:rsidRDefault="003C6A0B" w:rsidP="006A65C9">
            <w:pPr>
              <w:pStyle w:val="TableText0"/>
              <w:keepLines/>
              <w:widowControl w:val="0"/>
              <w:jc w:val="center"/>
            </w:pPr>
            <w:r w:rsidRPr="003F685D">
              <w:rPr>
                <w:b/>
                <w:szCs w:val="20"/>
              </w:rPr>
              <w:t>Outcome</w:t>
            </w:r>
          </w:p>
        </w:tc>
        <w:tc>
          <w:tcPr>
            <w:tcW w:w="1615" w:type="dxa"/>
            <w:shd w:val="clear" w:color="auto" w:fill="auto"/>
            <w:vAlign w:val="center"/>
          </w:tcPr>
          <w:p w:rsidR="003C6A0B" w:rsidRDefault="003C6A0B" w:rsidP="006A65C9">
            <w:pPr>
              <w:pStyle w:val="TableText0"/>
              <w:keepLines/>
              <w:widowControl w:val="0"/>
              <w:jc w:val="center"/>
              <w:rPr>
                <w:b/>
                <w:iCs/>
                <w:szCs w:val="20"/>
              </w:rPr>
            </w:pPr>
            <w:r>
              <w:rPr>
                <w:b/>
                <w:iCs/>
                <w:szCs w:val="20"/>
              </w:rPr>
              <w:t>Active treatment</w:t>
            </w:r>
          </w:p>
          <w:p w:rsidR="003C6A0B" w:rsidRPr="000549DC" w:rsidRDefault="003C6A0B" w:rsidP="006A65C9">
            <w:pPr>
              <w:pStyle w:val="TableText0"/>
              <w:keepLines/>
              <w:widowControl w:val="0"/>
              <w:jc w:val="center"/>
            </w:pPr>
            <w:r w:rsidRPr="003F685D">
              <w:rPr>
                <w:b/>
                <w:iCs/>
                <w:szCs w:val="20"/>
              </w:rPr>
              <w:t>n/N (%)</w:t>
            </w:r>
          </w:p>
        </w:tc>
        <w:tc>
          <w:tcPr>
            <w:tcW w:w="1601" w:type="dxa"/>
            <w:shd w:val="clear" w:color="auto" w:fill="auto"/>
            <w:vAlign w:val="center"/>
          </w:tcPr>
          <w:p w:rsidR="003C6A0B" w:rsidRDefault="003C6A0B" w:rsidP="006A65C9">
            <w:pPr>
              <w:pStyle w:val="TableText0"/>
              <w:keepLines/>
              <w:widowControl w:val="0"/>
              <w:jc w:val="center"/>
              <w:rPr>
                <w:b/>
                <w:szCs w:val="20"/>
              </w:rPr>
            </w:pPr>
            <w:r>
              <w:rPr>
                <w:b/>
                <w:szCs w:val="20"/>
              </w:rPr>
              <w:t>SOC</w:t>
            </w:r>
          </w:p>
          <w:p w:rsidR="003C6A0B" w:rsidRPr="000549DC" w:rsidRDefault="003C6A0B" w:rsidP="006A65C9">
            <w:pPr>
              <w:pStyle w:val="TableText0"/>
              <w:keepLines/>
              <w:widowControl w:val="0"/>
              <w:jc w:val="center"/>
            </w:pPr>
            <w:r w:rsidRPr="003F685D">
              <w:rPr>
                <w:b/>
                <w:szCs w:val="20"/>
              </w:rPr>
              <w:t>n/N (%)</w:t>
            </w:r>
          </w:p>
        </w:tc>
        <w:tc>
          <w:tcPr>
            <w:tcW w:w="1485" w:type="dxa"/>
            <w:shd w:val="clear" w:color="auto" w:fill="auto"/>
            <w:vAlign w:val="center"/>
          </w:tcPr>
          <w:p w:rsidR="003C6A0B" w:rsidRPr="000549DC" w:rsidRDefault="003C6A0B" w:rsidP="006A65C9">
            <w:pPr>
              <w:pStyle w:val="TableText0"/>
              <w:keepLines/>
              <w:widowControl w:val="0"/>
              <w:jc w:val="center"/>
            </w:pPr>
            <w:r w:rsidRPr="003F685D">
              <w:rPr>
                <w:b/>
                <w:szCs w:val="20"/>
              </w:rPr>
              <w:t>HR (95% CI)</w:t>
            </w:r>
          </w:p>
        </w:tc>
      </w:tr>
      <w:tr w:rsidR="003C6A0B" w:rsidTr="008D0CDA">
        <w:tc>
          <w:tcPr>
            <w:tcW w:w="9067" w:type="dxa"/>
            <w:gridSpan w:val="5"/>
            <w:shd w:val="clear" w:color="auto" w:fill="auto"/>
            <w:vAlign w:val="center"/>
          </w:tcPr>
          <w:p w:rsidR="003C6A0B" w:rsidRPr="000549DC" w:rsidRDefault="003C6A0B" w:rsidP="006A65C9">
            <w:pPr>
              <w:pStyle w:val="TableText0"/>
              <w:keepLines/>
              <w:widowControl w:val="0"/>
            </w:pPr>
            <w:r>
              <w:rPr>
                <w:b/>
              </w:rPr>
              <w:t>MFS (uncensored)</w:t>
            </w:r>
          </w:p>
        </w:tc>
      </w:tr>
      <w:tr w:rsidR="003C6A0B" w:rsidTr="008D0CDA">
        <w:tc>
          <w:tcPr>
            <w:tcW w:w="2518" w:type="dxa"/>
            <w:vMerge w:val="restart"/>
            <w:shd w:val="clear" w:color="auto" w:fill="auto"/>
            <w:vAlign w:val="center"/>
          </w:tcPr>
          <w:p w:rsidR="003C6A0B" w:rsidRPr="000549DC" w:rsidRDefault="003C6A0B" w:rsidP="006A65C9">
            <w:pPr>
              <w:pStyle w:val="TableText0"/>
              <w:keepLines/>
              <w:widowControl w:val="0"/>
            </w:pPr>
            <w:r>
              <w:t>ARAMIS: darolutamide</w:t>
            </w:r>
          </w:p>
          <w:p w:rsidR="003C6A0B" w:rsidRPr="000549DC" w:rsidRDefault="003C6A0B" w:rsidP="006A65C9">
            <w:pPr>
              <w:pStyle w:val="TableText0"/>
              <w:keepLines/>
              <w:widowControl w:val="0"/>
            </w:pPr>
            <w:r>
              <w:t>(17.9 months median follow-up)</w:t>
            </w:r>
          </w:p>
        </w:tc>
        <w:tc>
          <w:tcPr>
            <w:tcW w:w="1848" w:type="dxa"/>
            <w:shd w:val="clear" w:color="auto" w:fill="auto"/>
            <w:vAlign w:val="center"/>
          </w:tcPr>
          <w:p w:rsidR="003C6A0B" w:rsidRPr="000549DC" w:rsidRDefault="003C6A0B" w:rsidP="006A65C9">
            <w:pPr>
              <w:pStyle w:val="TableText0"/>
              <w:keepLines/>
              <w:widowControl w:val="0"/>
            </w:pPr>
            <w:r>
              <w:rPr>
                <w:szCs w:val="20"/>
              </w:rPr>
              <w:t>Events</w:t>
            </w:r>
          </w:p>
        </w:tc>
        <w:tc>
          <w:tcPr>
            <w:tcW w:w="1615" w:type="dxa"/>
            <w:shd w:val="clear" w:color="auto" w:fill="auto"/>
            <w:vAlign w:val="center"/>
          </w:tcPr>
          <w:p w:rsidR="003C6A0B" w:rsidRPr="000549DC" w:rsidRDefault="003C6A0B" w:rsidP="006A65C9">
            <w:pPr>
              <w:pStyle w:val="TableText0"/>
              <w:keepLines/>
              <w:widowControl w:val="0"/>
              <w:jc w:val="center"/>
            </w:pPr>
            <w:r>
              <w:rPr>
                <w:szCs w:val="20"/>
              </w:rPr>
              <w:t>221/955</w:t>
            </w:r>
            <w:r w:rsidRPr="00691AEA">
              <w:rPr>
                <w:szCs w:val="20"/>
              </w:rPr>
              <w:t xml:space="preserve"> (</w:t>
            </w:r>
            <w:r>
              <w:rPr>
                <w:szCs w:val="20"/>
              </w:rPr>
              <w:t>23.1</w:t>
            </w:r>
            <w:r w:rsidRPr="00691AEA">
              <w:rPr>
                <w:szCs w:val="20"/>
              </w:rPr>
              <w:t>%)</w:t>
            </w:r>
          </w:p>
        </w:tc>
        <w:tc>
          <w:tcPr>
            <w:tcW w:w="1601" w:type="dxa"/>
            <w:shd w:val="clear" w:color="auto" w:fill="auto"/>
            <w:vAlign w:val="center"/>
          </w:tcPr>
          <w:p w:rsidR="003C6A0B" w:rsidRPr="000549DC" w:rsidRDefault="003C6A0B" w:rsidP="006A65C9">
            <w:pPr>
              <w:pStyle w:val="TableText0"/>
              <w:keepLines/>
              <w:widowControl w:val="0"/>
              <w:jc w:val="center"/>
            </w:pPr>
            <w:r>
              <w:rPr>
                <w:szCs w:val="20"/>
              </w:rPr>
              <w:t>206/554</w:t>
            </w:r>
            <w:r w:rsidRPr="00691AEA">
              <w:rPr>
                <w:szCs w:val="20"/>
              </w:rPr>
              <w:t xml:space="preserve"> (</w:t>
            </w:r>
            <w:r>
              <w:rPr>
                <w:szCs w:val="20"/>
              </w:rPr>
              <w:t>39.0</w:t>
            </w:r>
            <w:r w:rsidRPr="00691AEA">
              <w:rPr>
                <w:szCs w:val="20"/>
              </w:rPr>
              <w:t>%)</w:t>
            </w:r>
          </w:p>
        </w:tc>
        <w:tc>
          <w:tcPr>
            <w:tcW w:w="1485" w:type="dxa"/>
            <w:shd w:val="clear" w:color="auto" w:fill="auto"/>
            <w:vAlign w:val="center"/>
          </w:tcPr>
          <w:p w:rsidR="003C6A0B" w:rsidRPr="00E13B4B" w:rsidRDefault="003C6A0B" w:rsidP="006A65C9">
            <w:pPr>
              <w:pStyle w:val="TableText0"/>
              <w:keepLines/>
              <w:widowControl w:val="0"/>
              <w:jc w:val="center"/>
            </w:pPr>
            <w:r w:rsidRPr="00E13B4B">
              <w:t>-</w:t>
            </w:r>
          </w:p>
        </w:tc>
      </w:tr>
      <w:tr w:rsidR="003C6A0B" w:rsidTr="008D0CDA">
        <w:tc>
          <w:tcPr>
            <w:tcW w:w="2518" w:type="dxa"/>
            <w:vMerge/>
            <w:shd w:val="clear" w:color="auto" w:fill="auto"/>
            <w:vAlign w:val="center"/>
          </w:tcPr>
          <w:p w:rsidR="003C6A0B" w:rsidRPr="000549DC" w:rsidRDefault="003C6A0B" w:rsidP="006A65C9">
            <w:pPr>
              <w:pStyle w:val="TableText0"/>
              <w:keepLines/>
              <w:widowControl w:val="0"/>
            </w:pPr>
          </w:p>
        </w:tc>
        <w:tc>
          <w:tcPr>
            <w:tcW w:w="1848" w:type="dxa"/>
            <w:shd w:val="clear" w:color="auto" w:fill="auto"/>
            <w:vAlign w:val="center"/>
          </w:tcPr>
          <w:p w:rsidR="003C6A0B" w:rsidRPr="000549DC" w:rsidRDefault="003C6A0B" w:rsidP="006A65C9">
            <w:pPr>
              <w:pStyle w:val="TableText0"/>
              <w:keepLines/>
              <w:widowControl w:val="0"/>
            </w:pPr>
            <w:r w:rsidRPr="003F685D">
              <w:rPr>
                <w:szCs w:val="20"/>
              </w:rPr>
              <w:t xml:space="preserve">Median months </w:t>
            </w:r>
            <w:r>
              <w:rPr>
                <w:szCs w:val="20"/>
              </w:rPr>
              <w:t>M</w:t>
            </w:r>
            <w:r w:rsidRPr="003F685D">
              <w:rPr>
                <w:szCs w:val="20"/>
              </w:rPr>
              <w:t>FS</w:t>
            </w:r>
          </w:p>
        </w:tc>
        <w:tc>
          <w:tcPr>
            <w:tcW w:w="1615" w:type="dxa"/>
            <w:shd w:val="clear" w:color="auto" w:fill="auto"/>
            <w:vAlign w:val="center"/>
          </w:tcPr>
          <w:p w:rsidR="003C6A0B" w:rsidRPr="000549DC" w:rsidRDefault="003C6A0B" w:rsidP="006A65C9">
            <w:pPr>
              <w:pStyle w:val="TableText0"/>
              <w:keepLines/>
              <w:widowControl w:val="0"/>
              <w:jc w:val="center"/>
            </w:pPr>
            <w:r w:rsidRPr="00691AEA">
              <w:rPr>
                <w:szCs w:val="20"/>
              </w:rPr>
              <w:t>40.</w:t>
            </w:r>
            <w:r>
              <w:rPr>
                <w:szCs w:val="20"/>
              </w:rPr>
              <w:t>4</w:t>
            </w:r>
            <w:r w:rsidRPr="00691AEA">
              <w:rPr>
                <w:szCs w:val="20"/>
              </w:rPr>
              <w:t xml:space="preserve"> </w:t>
            </w:r>
          </w:p>
        </w:tc>
        <w:tc>
          <w:tcPr>
            <w:tcW w:w="1601" w:type="dxa"/>
            <w:shd w:val="clear" w:color="auto" w:fill="auto"/>
            <w:vAlign w:val="center"/>
          </w:tcPr>
          <w:p w:rsidR="003C6A0B" w:rsidRPr="000549DC" w:rsidRDefault="003C6A0B" w:rsidP="006A65C9">
            <w:pPr>
              <w:pStyle w:val="TableText0"/>
              <w:keepLines/>
              <w:widowControl w:val="0"/>
              <w:jc w:val="center"/>
            </w:pPr>
            <w:r>
              <w:rPr>
                <w:szCs w:val="20"/>
              </w:rPr>
              <w:t>18.4</w:t>
            </w:r>
            <w:r w:rsidRPr="00691AEA">
              <w:rPr>
                <w:szCs w:val="20"/>
              </w:rPr>
              <w:t xml:space="preserve"> </w:t>
            </w:r>
          </w:p>
        </w:tc>
        <w:tc>
          <w:tcPr>
            <w:tcW w:w="1485" w:type="dxa"/>
            <w:shd w:val="clear" w:color="auto" w:fill="auto"/>
            <w:vAlign w:val="center"/>
          </w:tcPr>
          <w:p w:rsidR="003C6A0B" w:rsidRPr="000549DC" w:rsidRDefault="003C6A0B" w:rsidP="006A65C9">
            <w:pPr>
              <w:pStyle w:val="TableText0"/>
              <w:keepLines/>
              <w:widowControl w:val="0"/>
              <w:jc w:val="center"/>
            </w:pPr>
            <w:r>
              <w:rPr>
                <w:b/>
                <w:szCs w:val="20"/>
              </w:rPr>
              <w:t>0.41 (0.34, 0.50</w:t>
            </w:r>
            <w:r w:rsidRPr="00691AEA">
              <w:rPr>
                <w:b/>
                <w:szCs w:val="20"/>
              </w:rPr>
              <w:t>)</w:t>
            </w:r>
          </w:p>
        </w:tc>
      </w:tr>
      <w:tr w:rsidR="003C6A0B" w:rsidTr="008D0CDA">
        <w:tc>
          <w:tcPr>
            <w:tcW w:w="2518" w:type="dxa"/>
            <w:vMerge w:val="restart"/>
            <w:shd w:val="clear" w:color="auto" w:fill="auto"/>
            <w:vAlign w:val="center"/>
          </w:tcPr>
          <w:p w:rsidR="003C6A0B" w:rsidRDefault="003C6A0B" w:rsidP="006A65C9">
            <w:pPr>
              <w:pStyle w:val="TableText0"/>
              <w:keepLines/>
              <w:widowControl w:val="0"/>
            </w:pPr>
            <w:r>
              <w:t xml:space="preserve">SPARTAN: apalutamide </w:t>
            </w:r>
          </w:p>
          <w:p w:rsidR="003C6A0B" w:rsidRPr="000549DC" w:rsidRDefault="003C6A0B" w:rsidP="006A65C9">
            <w:pPr>
              <w:pStyle w:val="TableText0"/>
              <w:keepLines/>
              <w:widowControl w:val="0"/>
            </w:pPr>
            <w:r>
              <w:t>(20.3 months median follow-up)</w:t>
            </w:r>
          </w:p>
        </w:tc>
        <w:tc>
          <w:tcPr>
            <w:tcW w:w="1848" w:type="dxa"/>
            <w:shd w:val="clear" w:color="auto" w:fill="auto"/>
            <w:vAlign w:val="center"/>
          </w:tcPr>
          <w:p w:rsidR="003C6A0B" w:rsidRPr="000549DC" w:rsidRDefault="003C6A0B" w:rsidP="006A65C9">
            <w:pPr>
              <w:pStyle w:val="TableText0"/>
              <w:keepLines/>
              <w:widowControl w:val="0"/>
            </w:pPr>
            <w:r>
              <w:rPr>
                <w:szCs w:val="20"/>
              </w:rPr>
              <w:t>Events</w:t>
            </w:r>
          </w:p>
        </w:tc>
        <w:tc>
          <w:tcPr>
            <w:tcW w:w="1615" w:type="dxa"/>
            <w:shd w:val="clear" w:color="auto" w:fill="auto"/>
            <w:vAlign w:val="center"/>
          </w:tcPr>
          <w:p w:rsidR="003C6A0B" w:rsidRPr="000549DC" w:rsidRDefault="003C6A0B" w:rsidP="006A65C9">
            <w:pPr>
              <w:pStyle w:val="TableText0"/>
              <w:keepLines/>
              <w:widowControl w:val="0"/>
              <w:jc w:val="center"/>
            </w:pPr>
            <w:r>
              <w:t>184/806 (22.8%)</w:t>
            </w:r>
          </w:p>
        </w:tc>
        <w:tc>
          <w:tcPr>
            <w:tcW w:w="1601" w:type="dxa"/>
            <w:shd w:val="clear" w:color="auto" w:fill="auto"/>
            <w:vAlign w:val="center"/>
          </w:tcPr>
          <w:p w:rsidR="003C6A0B" w:rsidRPr="000549DC" w:rsidRDefault="003C6A0B" w:rsidP="006A65C9">
            <w:pPr>
              <w:pStyle w:val="TableText0"/>
              <w:keepLines/>
              <w:widowControl w:val="0"/>
              <w:jc w:val="center"/>
            </w:pPr>
            <w:r>
              <w:t>228/401 (48.7%)</w:t>
            </w:r>
          </w:p>
        </w:tc>
        <w:tc>
          <w:tcPr>
            <w:tcW w:w="1485" w:type="dxa"/>
            <w:shd w:val="clear" w:color="auto" w:fill="auto"/>
            <w:vAlign w:val="center"/>
          </w:tcPr>
          <w:p w:rsidR="003C6A0B" w:rsidRPr="007258B7" w:rsidRDefault="003C6A0B" w:rsidP="006A65C9">
            <w:pPr>
              <w:pStyle w:val="TableText0"/>
              <w:keepLines/>
              <w:widowControl w:val="0"/>
              <w:jc w:val="center"/>
            </w:pPr>
            <w:r w:rsidRPr="007258B7">
              <w:t>-</w:t>
            </w:r>
          </w:p>
        </w:tc>
      </w:tr>
      <w:tr w:rsidR="003C6A0B" w:rsidTr="008D0CDA">
        <w:tc>
          <w:tcPr>
            <w:tcW w:w="2518" w:type="dxa"/>
            <w:vMerge/>
            <w:shd w:val="clear" w:color="auto" w:fill="auto"/>
            <w:vAlign w:val="center"/>
          </w:tcPr>
          <w:p w:rsidR="003C6A0B" w:rsidRPr="000549DC" w:rsidRDefault="003C6A0B" w:rsidP="006A65C9">
            <w:pPr>
              <w:pStyle w:val="TableText0"/>
              <w:keepLines/>
              <w:widowControl w:val="0"/>
            </w:pPr>
          </w:p>
        </w:tc>
        <w:tc>
          <w:tcPr>
            <w:tcW w:w="1848" w:type="dxa"/>
            <w:shd w:val="clear" w:color="auto" w:fill="auto"/>
            <w:vAlign w:val="center"/>
          </w:tcPr>
          <w:p w:rsidR="003C6A0B" w:rsidRPr="000549DC" w:rsidRDefault="003C6A0B" w:rsidP="006A65C9">
            <w:pPr>
              <w:pStyle w:val="TableText0"/>
              <w:keepLines/>
              <w:widowControl w:val="0"/>
            </w:pPr>
            <w:r w:rsidRPr="003F685D">
              <w:rPr>
                <w:szCs w:val="20"/>
              </w:rPr>
              <w:t xml:space="preserve">Median months </w:t>
            </w:r>
            <w:r>
              <w:rPr>
                <w:szCs w:val="20"/>
              </w:rPr>
              <w:t>M</w:t>
            </w:r>
            <w:r w:rsidRPr="003F685D">
              <w:rPr>
                <w:szCs w:val="20"/>
              </w:rPr>
              <w:t>FS</w:t>
            </w:r>
          </w:p>
        </w:tc>
        <w:tc>
          <w:tcPr>
            <w:tcW w:w="1615" w:type="dxa"/>
            <w:shd w:val="clear" w:color="auto" w:fill="auto"/>
            <w:vAlign w:val="center"/>
          </w:tcPr>
          <w:p w:rsidR="003C6A0B" w:rsidRPr="000549DC" w:rsidRDefault="003C6A0B" w:rsidP="006A65C9">
            <w:pPr>
              <w:pStyle w:val="TableText0"/>
              <w:keepLines/>
              <w:widowControl w:val="0"/>
              <w:jc w:val="center"/>
            </w:pPr>
            <w:r>
              <w:t>40.5</w:t>
            </w:r>
          </w:p>
        </w:tc>
        <w:tc>
          <w:tcPr>
            <w:tcW w:w="1601" w:type="dxa"/>
            <w:shd w:val="clear" w:color="auto" w:fill="auto"/>
            <w:vAlign w:val="center"/>
          </w:tcPr>
          <w:p w:rsidR="003C6A0B" w:rsidRPr="000549DC" w:rsidRDefault="003C6A0B" w:rsidP="006A65C9">
            <w:pPr>
              <w:pStyle w:val="TableText0"/>
              <w:keepLines/>
              <w:widowControl w:val="0"/>
              <w:jc w:val="center"/>
            </w:pPr>
            <w:r>
              <w:t>14.7</w:t>
            </w:r>
          </w:p>
        </w:tc>
        <w:tc>
          <w:tcPr>
            <w:tcW w:w="1485" w:type="dxa"/>
            <w:shd w:val="clear" w:color="auto" w:fill="auto"/>
            <w:vAlign w:val="center"/>
          </w:tcPr>
          <w:p w:rsidR="003C6A0B" w:rsidRPr="000549DC" w:rsidRDefault="003C6A0B" w:rsidP="006A65C9">
            <w:pPr>
              <w:pStyle w:val="TableText0"/>
              <w:keepLines/>
              <w:widowControl w:val="0"/>
              <w:jc w:val="center"/>
            </w:pPr>
            <w:r w:rsidRPr="00AE727A">
              <w:rPr>
                <w:b/>
                <w:bCs w:val="0"/>
              </w:rPr>
              <w:t>0.28 (0.23, 0.35)</w:t>
            </w:r>
          </w:p>
        </w:tc>
      </w:tr>
      <w:tr w:rsidR="003C6A0B" w:rsidTr="008D0CDA">
        <w:tc>
          <w:tcPr>
            <w:tcW w:w="2518" w:type="dxa"/>
            <w:vMerge w:val="restart"/>
            <w:shd w:val="clear" w:color="auto" w:fill="auto"/>
            <w:vAlign w:val="center"/>
          </w:tcPr>
          <w:p w:rsidR="003C6A0B" w:rsidRDefault="003C6A0B" w:rsidP="006A65C9">
            <w:pPr>
              <w:pStyle w:val="TableText0"/>
              <w:keepLines/>
              <w:widowControl w:val="0"/>
            </w:pPr>
            <w:r>
              <w:t>PROSPER: enzalutamide</w:t>
            </w:r>
          </w:p>
          <w:p w:rsidR="003C6A0B" w:rsidRPr="000549DC" w:rsidRDefault="003C6A0B" w:rsidP="006A65C9">
            <w:pPr>
              <w:pStyle w:val="TableText0"/>
              <w:keepLines/>
              <w:widowControl w:val="0"/>
            </w:pPr>
            <w:r>
              <w:t>(18.5 months</w:t>
            </w:r>
            <w:r w:rsidRPr="00717794">
              <w:rPr>
                <w:vertAlign w:val="superscript"/>
              </w:rPr>
              <w:t>a</w:t>
            </w:r>
            <w:r>
              <w:t xml:space="preserve"> median follow-up)</w:t>
            </w:r>
          </w:p>
        </w:tc>
        <w:tc>
          <w:tcPr>
            <w:tcW w:w="1848" w:type="dxa"/>
            <w:shd w:val="clear" w:color="auto" w:fill="auto"/>
            <w:vAlign w:val="center"/>
          </w:tcPr>
          <w:p w:rsidR="003C6A0B" w:rsidRPr="003F685D" w:rsidRDefault="003C6A0B" w:rsidP="006A65C9">
            <w:pPr>
              <w:pStyle w:val="TableText0"/>
              <w:keepLines/>
              <w:widowControl w:val="0"/>
              <w:rPr>
                <w:szCs w:val="20"/>
              </w:rPr>
            </w:pPr>
            <w:r>
              <w:rPr>
                <w:szCs w:val="20"/>
              </w:rPr>
              <w:t>Events</w:t>
            </w:r>
          </w:p>
        </w:tc>
        <w:tc>
          <w:tcPr>
            <w:tcW w:w="1615" w:type="dxa"/>
            <w:shd w:val="clear" w:color="auto" w:fill="auto"/>
            <w:vAlign w:val="center"/>
          </w:tcPr>
          <w:p w:rsidR="003C6A0B" w:rsidRDefault="003C6A0B" w:rsidP="006A65C9">
            <w:pPr>
              <w:pStyle w:val="TableText0"/>
              <w:keepLines/>
              <w:widowControl w:val="0"/>
              <w:jc w:val="center"/>
            </w:pPr>
            <w:r>
              <w:t>219/933 (23.5%)</w:t>
            </w:r>
          </w:p>
        </w:tc>
        <w:tc>
          <w:tcPr>
            <w:tcW w:w="1601" w:type="dxa"/>
            <w:shd w:val="clear" w:color="auto" w:fill="auto"/>
            <w:vAlign w:val="center"/>
          </w:tcPr>
          <w:p w:rsidR="003C6A0B" w:rsidRDefault="003C6A0B" w:rsidP="006A65C9">
            <w:pPr>
              <w:pStyle w:val="TableText0"/>
              <w:keepLines/>
              <w:widowControl w:val="0"/>
              <w:jc w:val="center"/>
              <w:rPr>
                <w:rFonts w:eastAsia="Times New Roman" w:cs="Times New Roman"/>
                <w:szCs w:val="20"/>
              </w:rPr>
            </w:pPr>
            <w:r>
              <w:rPr>
                <w:rFonts w:eastAsia="Times New Roman" w:cs="Times New Roman"/>
                <w:szCs w:val="20"/>
              </w:rPr>
              <w:t>228/468 (48.7%)</w:t>
            </w:r>
          </w:p>
        </w:tc>
        <w:tc>
          <w:tcPr>
            <w:tcW w:w="1485" w:type="dxa"/>
            <w:shd w:val="clear" w:color="auto" w:fill="auto"/>
            <w:vAlign w:val="center"/>
          </w:tcPr>
          <w:p w:rsidR="003C6A0B" w:rsidRPr="000549DC" w:rsidRDefault="003C6A0B" w:rsidP="006A65C9">
            <w:pPr>
              <w:pStyle w:val="TableText0"/>
              <w:keepLines/>
              <w:widowControl w:val="0"/>
              <w:jc w:val="center"/>
            </w:pPr>
            <w:r>
              <w:t>-</w:t>
            </w:r>
          </w:p>
        </w:tc>
      </w:tr>
      <w:tr w:rsidR="003C6A0B" w:rsidTr="008D0CDA">
        <w:tc>
          <w:tcPr>
            <w:tcW w:w="2518" w:type="dxa"/>
            <w:vMerge/>
            <w:shd w:val="clear" w:color="auto" w:fill="auto"/>
            <w:vAlign w:val="center"/>
          </w:tcPr>
          <w:p w:rsidR="003C6A0B" w:rsidRPr="000549DC" w:rsidRDefault="003C6A0B" w:rsidP="006A65C9">
            <w:pPr>
              <w:pStyle w:val="TableText0"/>
              <w:keepLines/>
              <w:widowControl w:val="0"/>
            </w:pPr>
          </w:p>
        </w:tc>
        <w:tc>
          <w:tcPr>
            <w:tcW w:w="1848" w:type="dxa"/>
            <w:shd w:val="clear" w:color="auto" w:fill="auto"/>
            <w:vAlign w:val="center"/>
          </w:tcPr>
          <w:p w:rsidR="003C6A0B" w:rsidRPr="003F685D" w:rsidRDefault="003C6A0B" w:rsidP="006A65C9">
            <w:pPr>
              <w:pStyle w:val="TableText0"/>
              <w:keepLines/>
              <w:widowControl w:val="0"/>
              <w:rPr>
                <w:szCs w:val="20"/>
              </w:rPr>
            </w:pPr>
            <w:r w:rsidRPr="003F685D">
              <w:rPr>
                <w:szCs w:val="20"/>
              </w:rPr>
              <w:t xml:space="preserve">Median months </w:t>
            </w:r>
            <w:r>
              <w:rPr>
                <w:szCs w:val="20"/>
              </w:rPr>
              <w:t>M</w:t>
            </w:r>
            <w:r w:rsidRPr="003F685D">
              <w:rPr>
                <w:szCs w:val="20"/>
              </w:rPr>
              <w:t>FS</w:t>
            </w:r>
          </w:p>
        </w:tc>
        <w:tc>
          <w:tcPr>
            <w:tcW w:w="1615" w:type="dxa"/>
            <w:shd w:val="clear" w:color="auto" w:fill="auto"/>
            <w:vAlign w:val="center"/>
          </w:tcPr>
          <w:p w:rsidR="003C6A0B" w:rsidRDefault="003C6A0B" w:rsidP="006A65C9">
            <w:pPr>
              <w:pStyle w:val="TableText0"/>
              <w:keepLines/>
              <w:widowControl w:val="0"/>
              <w:jc w:val="center"/>
            </w:pPr>
            <w:r>
              <w:t>36.6</w:t>
            </w:r>
          </w:p>
        </w:tc>
        <w:tc>
          <w:tcPr>
            <w:tcW w:w="1601" w:type="dxa"/>
            <w:shd w:val="clear" w:color="auto" w:fill="auto"/>
            <w:vAlign w:val="center"/>
          </w:tcPr>
          <w:p w:rsidR="003C6A0B" w:rsidRDefault="003C6A0B" w:rsidP="006A65C9">
            <w:pPr>
              <w:pStyle w:val="TableText0"/>
              <w:keepLines/>
              <w:widowControl w:val="0"/>
              <w:jc w:val="center"/>
              <w:rPr>
                <w:rFonts w:eastAsia="Times New Roman" w:cs="Times New Roman"/>
                <w:szCs w:val="20"/>
              </w:rPr>
            </w:pPr>
            <w:r>
              <w:rPr>
                <w:rFonts w:eastAsia="Times New Roman" w:cs="Times New Roman"/>
                <w:szCs w:val="20"/>
              </w:rPr>
              <w:t>14.7</w:t>
            </w:r>
          </w:p>
        </w:tc>
        <w:tc>
          <w:tcPr>
            <w:tcW w:w="1485" w:type="dxa"/>
            <w:shd w:val="clear" w:color="auto" w:fill="auto"/>
            <w:vAlign w:val="center"/>
          </w:tcPr>
          <w:p w:rsidR="003C6A0B" w:rsidRPr="007258B7" w:rsidRDefault="003C6A0B" w:rsidP="006A65C9">
            <w:pPr>
              <w:pStyle w:val="TableText0"/>
              <w:keepLines/>
              <w:widowControl w:val="0"/>
              <w:jc w:val="center"/>
              <w:rPr>
                <w:b/>
                <w:bCs w:val="0"/>
              </w:rPr>
            </w:pPr>
            <w:r w:rsidRPr="007258B7">
              <w:rPr>
                <w:b/>
                <w:bCs w:val="0"/>
              </w:rPr>
              <w:t>0.29 (0.24, 0.35)</w:t>
            </w:r>
          </w:p>
        </w:tc>
      </w:tr>
      <w:tr w:rsidR="003C6A0B" w:rsidTr="008D0CDA">
        <w:tc>
          <w:tcPr>
            <w:tcW w:w="7582" w:type="dxa"/>
            <w:gridSpan w:val="4"/>
            <w:shd w:val="clear" w:color="auto" w:fill="auto"/>
            <w:vAlign w:val="center"/>
          </w:tcPr>
          <w:p w:rsidR="003C6A0B" w:rsidRPr="00EF5ACD" w:rsidRDefault="003C6A0B" w:rsidP="006A65C9">
            <w:pPr>
              <w:pStyle w:val="TableText0"/>
              <w:keepLines/>
              <w:widowControl w:val="0"/>
              <w:jc w:val="right"/>
              <w:rPr>
                <w:b/>
                <w:bCs w:val="0"/>
              </w:rPr>
            </w:pPr>
            <w:r>
              <w:rPr>
                <w:b/>
                <w:szCs w:val="20"/>
              </w:rPr>
              <w:t>indirect</w:t>
            </w:r>
            <w:r w:rsidRPr="003F685D">
              <w:rPr>
                <w:b/>
                <w:szCs w:val="20"/>
              </w:rPr>
              <w:t xml:space="preserve"> comparison </w:t>
            </w:r>
            <w:r>
              <w:rPr>
                <w:b/>
                <w:szCs w:val="20"/>
              </w:rPr>
              <w:t>darolutamide vs. apalutamide</w:t>
            </w:r>
          </w:p>
        </w:tc>
        <w:tc>
          <w:tcPr>
            <w:tcW w:w="1485" w:type="dxa"/>
            <w:shd w:val="clear" w:color="auto" w:fill="auto"/>
            <w:vAlign w:val="center"/>
          </w:tcPr>
          <w:p w:rsidR="003C6A0B" w:rsidRPr="000549DC" w:rsidRDefault="003C6A0B" w:rsidP="006A65C9">
            <w:pPr>
              <w:pStyle w:val="TableText0"/>
              <w:keepLines/>
              <w:widowControl w:val="0"/>
              <w:jc w:val="center"/>
            </w:pPr>
            <w:r w:rsidRPr="00417EF1">
              <w:rPr>
                <w:b/>
                <w:bCs w:val="0"/>
              </w:rPr>
              <w:t>1.4</w:t>
            </w:r>
            <w:r>
              <w:rPr>
                <w:b/>
                <w:bCs w:val="0"/>
              </w:rPr>
              <w:t>8</w:t>
            </w:r>
            <w:r w:rsidRPr="00417EF1">
              <w:rPr>
                <w:b/>
                <w:bCs w:val="0"/>
              </w:rPr>
              <w:t xml:space="preserve"> </w:t>
            </w:r>
            <w:r>
              <w:rPr>
                <w:b/>
                <w:bCs w:val="0"/>
              </w:rPr>
              <w:t>(</w:t>
            </w:r>
            <w:r w:rsidRPr="00417EF1">
              <w:rPr>
                <w:b/>
                <w:bCs w:val="0"/>
              </w:rPr>
              <w:t>1.11, 1.96</w:t>
            </w:r>
            <w:r>
              <w:rPr>
                <w:b/>
                <w:bCs w:val="0"/>
              </w:rPr>
              <w:t>)</w:t>
            </w:r>
          </w:p>
        </w:tc>
      </w:tr>
      <w:tr w:rsidR="003C6A0B" w:rsidTr="008D0CDA">
        <w:tc>
          <w:tcPr>
            <w:tcW w:w="7582" w:type="dxa"/>
            <w:gridSpan w:val="4"/>
            <w:shd w:val="clear" w:color="auto" w:fill="auto"/>
            <w:vAlign w:val="center"/>
          </w:tcPr>
          <w:p w:rsidR="003C6A0B" w:rsidRDefault="003C6A0B" w:rsidP="006A65C9">
            <w:pPr>
              <w:pStyle w:val="TableText0"/>
              <w:keepLines/>
              <w:widowControl w:val="0"/>
              <w:jc w:val="right"/>
              <w:rPr>
                <w:b/>
                <w:szCs w:val="20"/>
              </w:rPr>
            </w:pPr>
            <w:r>
              <w:rPr>
                <w:b/>
                <w:szCs w:val="20"/>
              </w:rPr>
              <w:t>indirect</w:t>
            </w:r>
            <w:r w:rsidRPr="003F685D">
              <w:rPr>
                <w:b/>
                <w:szCs w:val="20"/>
              </w:rPr>
              <w:t xml:space="preserve"> comparison </w:t>
            </w:r>
            <w:r>
              <w:rPr>
                <w:b/>
                <w:szCs w:val="20"/>
              </w:rPr>
              <w:t>darolutamide vs. enzalutamide</w:t>
            </w:r>
          </w:p>
        </w:tc>
        <w:tc>
          <w:tcPr>
            <w:tcW w:w="1485" w:type="dxa"/>
            <w:shd w:val="clear" w:color="auto" w:fill="auto"/>
            <w:vAlign w:val="center"/>
          </w:tcPr>
          <w:p w:rsidR="003C6A0B" w:rsidRDefault="003C6A0B" w:rsidP="006A65C9">
            <w:pPr>
              <w:pStyle w:val="TableText0"/>
              <w:keepLines/>
              <w:widowControl w:val="0"/>
              <w:jc w:val="center"/>
              <w:rPr>
                <w:rFonts w:eastAsia="Times New Roman" w:cs="Times New Roman"/>
                <w:szCs w:val="20"/>
              </w:rPr>
            </w:pPr>
            <w:r w:rsidRPr="00417EF1">
              <w:rPr>
                <w:b/>
              </w:rPr>
              <w:t xml:space="preserve">1.42 </w:t>
            </w:r>
            <w:r>
              <w:rPr>
                <w:b/>
              </w:rPr>
              <w:t>(</w:t>
            </w:r>
            <w:r w:rsidRPr="00417EF1">
              <w:rPr>
                <w:b/>
              </w:rPr>
              <w:t>1.09, 1.86</w:t>
            </w:r>
            <w:r>
              <w:rPr>
                <w:b/>
              </w:rPr>
              <w:t>)</w:t>
            </w:r>
          </w:p>
        </w:tc>
      </w:tr>
      <w:tr w:rsidR="003C6A0B" w:rsidTr="008D0CDA">
        <w:tc>
          <w:tcPr>
            <w:tcW w:w="9067" w:type="dxa"/>
            <w:gridSpan w:val="5"/>
            <w:shd w:val="clear" w:color="auto" w:fill="auto"/>
            <w:vAlign w:val="center"/>
          </w:tcPr>
          <w:p w:rsidR="003C6A0B" w:rsidRPr="00EF5ACD" w:rsidRDefault="003C6A0B" w:rsidP="006A65C9">
            <w:pPr>
              <w:pStyle w:val="TableText0"/>
              <w:keepLines/>
              <w:widowControl w:val="0"/>
              <w:rPr>
                <w:b/>
                <w:bCs w:val="0"/>
              </w:rPr>
            </w:pPr>
            <w:r>
              <w:rPr>
                <w:b/>
              </w:rPr>
              <w:t xml:space="preserve">MFS </w:t>
            </w:r>
            <w:r>
              <w:rPr>
                <w:b/>
                <w:szCs w:val="20"/>
              </w:rPr>
              <w:t>(censored - corrected for misclassification of patients in ARAMIS)</w:t>
            </w:r>
          </w:p>
        </w:tc>
      </w:tr>
      <w:tr w:rsidR="003C6A0B" w:rsidTr="008D0CDA">
        <w:tc>
          <w:tcPr>
            <w:tcW w:w="2518" w:type="dxa"/>
            <w:vMerge w:val="restart"/>
            <w:shd w:val="clear" w:color="auto" w:fill="auto"/>
            <w:vAlign w:val="center"/>
          </w:tcPr>
          <w:p w:rsidR="003C6A0B" w:rsidRPr="000549DC" w:rsidRDefault="003C6A0B" w:rsidP="006A65C9">
            <w:pPr>
              <w:pStyle w:val="TableText0"/>
              <w:keepLines/>
              <w:widowControl w:val="0"/>
            </w:pPr>
            <w:r>
              <w:t>ARAMIS: darolutamide</w:t>
            </w:r>
          </w:p>
          <w:p w:rsidR="003C6A0B" w:rsidRPr="000549DC" w:rsidRDefault="003C6A0B" w:rsidP="006A65C9">
            <w:pPr>
              <w:pStyle w:val="TableText0"/>
              <w:keepLines/>
              <w:widowControl w:val="0"/>
            </w:pPr>
            <w:r>
              <w:t>(29.1 months median follow-up)</w:t>
            </w:r>
          </w:p>
        </w:tc>
        <w:tc>
          <w:tcPr>
            <w:tcW w:w="1848" w:type="dxa"/>
            <w:shd w:val="clear" w:color="auto" w:fill="auto"/>
            <w:vAlign w:val="center"/>
          </w:tcPr>
          <w:p w:rsidR="003C6A0B" w:rsidRPr="000549DC" w:rsidRDefault="003C6A0B" w:rsidP="006A65C9">
            <w:pPr>
              <w:pStyle w:val="TableText0"/>
              <w:keepLines/>
              <w:widowControl w:val="0"/>
            </w:pPr>
            <w:r>
              <w:rPr>
                <w:szCs w:val="20"/>
              </w:rPr>
              <w:t>Events</w:t>
            </w:r>
          </w:p>
        </w:tc>
        <w:tc>
          <w:tcPr>
            <w:tcW w:w="1615" w:type="dxa"/>
            <w:shd w:val="clear" w:color="auto" w:fill="auto"/>
            <w:vAlign w:val="center"/>
          </w:tcPr>
          <w:p w:rsidR="003C6A0B" w:rsidRPr="000549DC" w:rsidRDefault="003C6A0B" w:rsidP="006A65C9">
            <w:pPr>
              <w:pStyle w:val="TableText0"/>
              <w:keepLines/>
              <w:widowControl w:val="0"/>
              <w:jc w:val="center"/>
            </w:pPr>
            <w:r>
              <w:rPr>
                <w:szCs w:val="20"/>
              </w:rPr>
              <w:t>171 (17.9%)</w:t>
            </w:r>
          </w:p>
        </w:tc>
        <w:tc>
          <w:tcPr>
            <w:tcW w:w="1601" w:type="dxa"/>
            <w:shd w:val="clear" w:color="auto" w:fill="auto"/>
            <w:vAlign w:val="center"/>
          </w:tcPr>
          <w:p w:rsidR="003C6A0B" w:rsidRPr="000549DC" w:rsidRDefault="003C6A0B" w:rsidP="006A65C9">
            <w:pPr>
              <w:pStyle w:val="TableText0"/>
              <w:keepLines/>
              <w:widowControl w:val="0"/>
              <w:jc w:val="center"/>
            </w:pPr>
            <w:r>
              <w:rPr>
                <w:szCs w:val="20"/>
              </w:rPr>
              <w:t>177 (31.9%)</w:t>
            </w:r>
          </w:p>
        </w:tc>
        <w:tc>
          <w:tcPr>
            <w:tcW w:w="1485" w:type="dxa"/>
            <w:shd w:val="clear" w:color="auto" w:fill="auto"/>
            <w:vAlign w:val="center"/>
          </w:tcPr>
          <w:p w:rsidR="003C6A0B" w:rsidRPr="000549DC" w:rsidRDefault="003C6A0B" w:rsidP="006A65C9">
            <w:pPr>
              <w:pStyle w:val="TableText0"/>
              <w:keepLines/>
              <w:widowControl w:val="0"/>
              <w:jc w:val="center"/>
            </w:pPr>
            <w:r>
              <w:t>-</w:t>
            </w:r>
          </w:p>
        </w:tc>
      </w:tr>
      <w:tr w:rsidR="003C6A0B" w:rsidTr="008D0CDA">
        <w:tc>
          <w:tcPr>
            <w:tcW w:w="2518" w:type="dxa"/>
            <w:vMerge/>
            <w:shd w:val="clear" w:color="auto" w:fill="auto"/>
            <w:vAlign w:val="center"/>
          </w:tcPr>
          <w:p w:rsidR="003C6A0B" w:rsidRPr="000549DC" w:rsidRDefault="003C6A0B" w:rsidP="006A65C9">
            <w:pPr>
              <w:pStyle w:val="TableText0"/>
              <w:keepLines/>
              <w:widowControl w:val="0"/>
            </w:pPr>
          </w:p>
        </w:tc>
        <w:tc>
          <w:tcPr>
            <w:tcW w:w="1848" w:type="dxa"/>
            <w:shd w:val="clear" w:color="auto" w:fill="auto"/>
            <w:vAlign w:val="center"/>
          </w:tcPr>
          <w:p w:rsidR="003C6A0B" w:rsidRPr="000549DC" w:rsidRDefault="003C6A0B" w:rsidP="006A65C9">
            <w:pPr>
              <w:pStyle w:val="TableText0"/>
              <w:keepLines/>
              <w:widowControl w:val="0"/>
            </w:pPr>
            <w:r w:rsidRPr="003F685D">
              <w:rPr>
                <w:szCs w:val="20"/>
              </w:rPr>
              <w:t xml:space="preserve">Median months </w:t>
            </w:r>
            <w:r>
              <w:rPr>
                <w:szCs w:val="20"/>
              </w:rPr>
              <w:t>M</w:t>
            </w:r>
            <w:r w:rsidRPr="003F685D">
              <w:rPr>
                <w:szCs w:val="20"/>
              </w:rPr>
              <w:t>FS</w:t>
            </w:r>
          </w:p>
        </w:tc>
        <w:tc>
          <w:tcPr>
            <w:tcW w:w="1615" w:type="dxa"/>
            <w:shd w:val="clear" w:color="auto" w:fill="auto"/>
            <w:vAlign w:val="center"/>
          </w:tcPr>
          <w:p w:rsidR="003C6A0B" w:rsidRPr="000549DC" w:rsidRDefault="003C6A0B" w:rsidP="006A65C9">
            <w:pPr>
              <w:pStyle w:val="TableText0"/>
              <w:keepLines/>
              <w:widowControl w:val="0"/>
              <w:jc w:val="center"/>
            </w:pPr>
            <w:r>
              <w:rPr>
                <w:szCs w:val="20"/>
              </w:rPr>
              <w:t xml:space="preserve">40.5 </w:t>
            </w:r>
          </w:p>
        </w:tc>
        <w:tc>
          <w:tcPr>
            <w:tcW w:w="1601" w:type="dxa"/>
            <w:shd w:val="clear" w:color="auto" w:fill="auto"/>
            <w:vAlign w:val="center"/>
          </w:tcPr>
          <w:p w:rsidR="003C6A0B" w:rsidRPr="000549DC" w:rsidRDefault="003C6A0B" w:rsidP="006A65C9">
            <w:pPr>
              <w:pStyle w:val="TableText0"/>
              <w:keepLines/>
              <w:widowControl w:val="0"/>
              <w:jc w:val="center"/>
            </w:pPr>
            <w:r>
              <w:rPr>
                <w:szCs w:val="20"/>
              </w:rPr>
              <w:t xml:space="preserve">22.1 </w:t>
            </w:r>
          </w:p>
        </w:tc>
        <w:tc>
          <w:tcPr>
            <w:tcW w:w="1485" w:type="dxa"/>
            <w:shd w:val="clear" w:color="auto" w:fill="auto"/>
            <w:vAlign w:val="center"/>
          </w:tcPr>
          <w:p w:rsidR="003C6A0B" w:rsidRPr="0050512A" w:rsidRDefault="003C6A0B" w:rsidP="006A65C9">
            <w:pPr>
              <w:pStyle w:val="TableText0"/>
              <w:keepLines/>
              <w:widowControl w:val="0"/>
              <w:jc w:val="center"/>
              <w:rPr>
                <w:b/>
                <w:bCs w:val="0"/>
              </w:rPr>
            </w:pPr>
            <w:r w:rsidRPr="0050512A">
              <w:rPr>
                <w:b/>
                <w:bCs w:val="0"/>
              </w:rPr>
              <w:t>0.36 (0.2</w:t>
            </w:r>
            <w:r>
              <w:rPr>
                <w:b/>
                <w:bCs w:val="0"/>
              </w:rPr>
              <w:t>9</w:t>
            </w:r>
            <w:r w:rsidRPr="0050512A">
              <w:rPr>
                <w:b/>
                <w:bCs w:val="0"/>
              </w:rPr>
              <w:t>, 0.44</w:t>
            </w:r>
            <w:r>
              <w:rPr>
                <w:b/>
                <w:bCs w:val="0"/>
              </w:rPr>
              <w:t>)</w:t>
            </w:r>
          </w:p>
        </w:tc>
      </w:tr>
      <w:tr w:rsidR="003C6A0B" w:rsidTr="008D0CDA">
        <w:tc>
          <w:tcPr>
            <w:tcW w:w="2518" w:type="dxa"/>
            <w:vMerge w:val="restart"/>
            <w:shd w:val="clear" w:color="auto" w:fill="auto"/>
            <w:vAlign w:val="center"/>
          </w:tcPr>
          <w:p w:rsidR="003C6A0B" w:rsidRDefault="003C6A0B" w:rsidP="006A65C9">
            <w:pPr>
              <w:pStyle w:val="TableText0"/>
              <w:keepLines/>
              <w:widowControl w:val="0"/>
            </w:pPr>
            <w:r>
              <w:t xml:space="preserve">SPARTAN: apalutamide </w:t>
            </w:r>
          </w:p>
          <w:p w:rsidR="003C6A0B" w:rsidRPr="000549DC" w:rsidRDefault="003C6A0B" w:rsidP="006A65C9">
            <w:pPr>
              <w:pStyle w:val="TableText0"/>
              <w:keepLines/>
              <w:widowControl w:val="0"/>
            </w:pPr>
            <w:r>
              <w:t>(20.3 months median follow-up)</w:t>
            </w:r>
          </w:p>
        </w:tc>
        <w:tc>
          <w:tcPr>
            <w:tcW w:w="1848" w:type="dxa"/>
            <w:shd w:val="clear" w:color="auto" w:fill="auto"/>
            <w:vAlign w:val="center"/>
          </w:tcPr>
          <w:p w:rsidR="003C6A0B" w:rsidRPr="000549DC" w:rsidRDefault="003C6A0B" w:rsidP="006A65C9">
            <w:pPr>
              <w:pStyle w:val="TableText0"/>
              <w:keepLines/>
              <w:widowControl w:val="0"/>
            </w:pPr>
            <w:r>
              <w:rPr>
                <w:szCs w:val="20"/>
              </w:rPr>
              <w:t>Events</w:t>
            </w:r>
          </w:p>
        </w:tc>
        <w:tc>
          <w:tcPr>
            <w:tcW w:w="1615" w:type="dxa"/>
            <w:shd w:val="clear" w:color="auto" w:fill="auto"/>
            <w:vAlign w:val="center"/>
          </w:tcPr>
          <w:p w:rsidR="003C6A0B" w:rsidRPr="000549DC" w:rsidRDefault="003C6A0B" w:rsidP="006A65C9">
            <w:pPr>
              <w:pStyle w:val="TableText0"/>
              <w:keepLines/>
              <w:widowControl w:val="0"/>
              <w:jc w:val="center"/>
            </w:pPr>
            <w:r>
              <w:t>184/806 (22.8%)</w:t>
            </w:r>
          </w:p>
        </w:tc>
        <w:tc>
          <w:tcPr>
            <w:tcW w:w="1601" w:type="dxa"/>
            <w:shd w:val="clear" w:color="auto" w:fill="auto"/>
            <w:vAlign w:val="center"/>
          </w:tcPr>
          <w:p w:rsidR="003C6A0B" w:rsidRPr="000549DC" w:rsidRDefault="003C6A0B" w:rsidP="006A65C9">
            <w:pPr>
              <w:pStyle w:val="TableText0"/>
              <w:keepLines/>
              <w:widowControl w:val="0"/>
              <w:jc w:val="center"/>
            </w:pPr>
            <w:r>
              <w:t>228/401 (48.7%)</w:t>
            </w:r>
          </w:p>
        </w:tc>
        <w:tc>
          <w:tcPr>
            <w:tcW w:w="1485" w:type="dxa"/>
            <w:shd w:val="clear" w:color="auto" w:fill="auto"/>
            <w:vAlign w:val="center"/>
          </w:tcPr>
          <w:p w:rsidR="003C6A0B" w:rsidRPr="000549DC" w:rsidRDefault="003C6A0B" w:rsidP="006A65C9">
            <w:pPr>
              <w:pStyle w:val="TableText0"/>
              <w:keepLines/>
              <w:widowControl w:val="0"/>
              <w:jc w:val="center"/>
            </w:pPr>
            <w:r>
              <w:t>-</w:t>
            </w:r>
          </w:p>
        </w:tc>
      </w:tr>
      <w:tr w:rsidR="003C6A0B" w:rsidTr="008D0CDA">
        <w:tc>
          <w:tcPr>
            <w:tcW w:w="2518" w:type="dxa"/>
            <w:vMerge/>
            <w:shd w:val="clear" w:color="auto" w:fill="auto"/>
            <w:vAlign w:val="center"/>
          </w:tcPr>
          <w:p w:rsidR="003C6A0B" w:rsidRPr="000549DC" w:rsidRDefault="003C6A0B" w:rsidP="006A65C9">
            <w:pPr>
              <w:pStyle w:val="TableText0"/>
              <w:keepLines/>
              <w:widowControl w:val="0"/>
            </w:pPr>
          </w:p>
        </w:tc>
        <w:tc>
          <w:tcPr>
            <w:tcW w:w="1848" w:type="dxa"/>
            <w:shd w:val="clear" w:color="auto" w:fill="auto"/>
            <w:vAlign w:val="center"/>
          </w:tcPr>
          <w:p w:rsidR="003C6A0B" w:rsidRPr="000549DC" w:rsidRDefault="003C6A0B" w:rsidP="006A65C9">
            <w:pPr>
              <w:pStyle w:val="TableText0"/>
              <w:keepLines/>
              <w:widowControl w:val="0"/>
            </w:pPr>
            <w:r w:rsidRPr="003F685D">
              <w:rPr>
                <w:szCs w:val="20"/>
              </w:rPr>
              <w:t xml:space="preserve">Median months </w:t>
            </w:r>
            <w:r>
              <w:rPr>
                <w:szCs w:val="20"/>
              </w:rPr>
              <w:t>M</w:t>
            </w:r>
            <w:r w:rsidRPr="003F685D">
              <w:rPr>
                <w:szCs w:val="20"/>
              </w:rPr>
              <w:t>FS</w:t>
            </w:r>
          </w:p>
        </w:tc>
        <w:tc>
          <w:tcPr>
            <w:tcW w:w="1615" w:type="dxa"/>
            <w:shd w:val="clear" w:color="auto" w:fill="auto"/>
            <w:vAlign w:val="center"/>
          </w:tcPr>
          <w:p w:rsidR="003C6A0B" w:rsidRPr="000549DC" w:rsidRDefault="003C6A0B" w:rsidP="006A65C9">
            <w:pPr>
              <w:pStyle w:val="TableText0"/>
              <w:keepLines/>
              <w:widowControl w:val="0"/>
              <w:jc w:val="center"/>
            </w:pPr>
            <w:r>
              <w:t>40.5</w:t>
            </w:r>
          </w:p>
        </w:tc>
        <w:tc>
          <w:tcPr>
            <w:tcW w:w="1601" w:type="dxa"/>
            <w:shd w:val="clear" w:color="auto" w:fill="auto"/>
            <w:vAlign w:val="center"/>
          </w:tcPr>
          <w:p w:rsidR="003C6A0B" w:rsidRPr="000549DC" w:rsidRDefault="003C6A0B" w:rsidP="006A65C9">
            <w:pPr>
              <w:pStyle w:val="TableText0"/>
              <w:keepLines/>
              <w:widowControl w:val="0"/>
              <w:jc w:val="center"/>
            </w:pPr>
            <w:r>
              <w:t>14.7</w:t>
            </w:r>
          </w:p>
        </w:tc>
        <w:tc>
          <w:tcPr>
            <w:tcW w:w="1485" w:type="dxa"/>
            <w:shd w:val="clear" w:color="auto" w:fill="auto"/>
            <w:vAlign w:val="center"/>
          </w:tcPr>
          <w:p w:rsidR="003C6A0B" w:rsidRPr="000549DC" w:rsidRDefault="003C6A0B" w:rsidP="006A65C9">
            <w:pPr>
              <w:pStyle w:val="TableText0"/>
              <w:keepLines/>
              <w:widowControl w:val="0"/>
              <w:jc w:val="center"/>
            </w:pPr>
            <w:r w:rsidRPr="00AE727A">
              <w:rPr>
                <w:b/>
                <w:bCs w:val="0"/>
              </w:rPr>
              <w:t>0.28 (0.23, 0.35)</w:t>
            </w:r>
          </w:p>
        </w:tc>
      </w:tr>
      <w:tr w:rsidR="003C6A0B" w:rsidTr="008D0CDA">
        <w:tc>
          <w:tcPr>
            <w:tcW w:w="2518" w:type="dxa"/>
            <w:vMerge w:val="restart"/>
            <w:shd w:val="clear" w:color="auto" w:fill="auto"/>
            <w:vAlign w:val="center"/>
          </w:tcPr>
          <w:p w:rsidR="003C6A0B" w:rsidRDefault="003C6A0B" w:rsidP="006A65C9">
            <w:pPr>
              <w:pStyle w:val="TableText0"/>
              <w:keepLines/>
              <w:widowControl w:val="0"/>
            </w:pPr>
            <w:r>
              <w:t>PROSPER: enzalutamide</w:t>
            </w:r>
          </w:p>
          <w:p w:rsidR="003C6A0B" w:rsidRPr="000549DC" w:rsidRDefault="003C6A0B" w:rsidP="006A65C9">
            <w:pPr>
              <w:pStyle w:val="TableText0"/>
              <w:keepLines/>
              <w:widowControl w:val="0"/>
            </w:pPr>
            <w:r>
              <w:t>(18.5 months</w:t>
            </w:r>
            <w:r w:rsidRPr="00717794">
              <w:rPr>
                <w:vertAlign w:val="superscript"/>
              </w:rPr>
              <w:t>a</w:t>
            </w:r>
            <w:r>
              <w:t xml:space="preserve"> median follow-up)</w:t>
            </w:r>
          </w:p>
        </w:tc>
        <w:tc>
          <w:tcPr>
            <w:tcW w:w="1848" w:type="dxa"/>
            <w:shd w:val="clear" w:color="auto" w:fill="auto"/>
            <w:vAlign w:val="center"/>
          </w:tcPr>
          <w:p w:rsidR="003C6A0B" w:rsidRPr="003F685D" w:rsidRDefault="003C6A0B" w:rsidP="006A65C9">
            <w:pPr>
              <w:pStyle w:val="TableText0"/>
              <w:keepLines/>
              <w:widowControl w:val="0"/>
              <w:rPr>
                <w:szCs w:val="20"/>
              </w:rPr>
            </w:pPr>
            <w:r>
              <w:rPr>
                <w:szCs w:val="20"/>
              </w:rPr>
              <w:t>Events</w:t>
            </w:r>
          </w:p>
        </w:tc>
        <w:tc>
          <w:tcPr>
            <w:tcW w:w="1615" w:type="dxa"/>
            <w:shd w:val="clear" w:color="auto" w:fill="auto"/>
            <w:vAlign w:val="center"/>
          </w:tcPr>
          <w:p w:rsidR="003C6A0B" w:rsidRDefault="003C6A0B" w:rsidP="006A65C9">
            <w:pPr>
              <w:pStyle w:val="TableText0"/>
              <w:keepLines/>
              <w:widowControl w:val="0"/>
              <w:jc w:val="center"/>
              <w:rPr>
                <w:szCs w:val="20"/>
              </w:rPr>
            </w:pPr>
            <w:r>
              <w:t>219/933 (23.5%)</w:t>
            </w:r>
          </w:p>
        </w:tc>
        <w:tc>
          <w:tcPr>
            <w:tcW w:w="1601" w:type="dxa"/>
            <w:shd w:val="clear" w:color="auto" w:fill="auto"/>
            <w:vAlign w:val="center"/>
          </w:tcPr>
          <w:p w:rsidR="003C6A0B" w:rsidRDefault="003C6A0B" w:rsidP="006A65C9">
            <w:pPr>
              <w:pStyle w:val="TableText0"/>
              <w:keepLines/>
              <w:widowControl w:val="0"/>
              <w:jc w:val="center"/>
              <w:rPr>
                <w:szCs w:val="20"/>
              </w:rPr>
            </w:pPr>
            <w:r>
              <w:rPr>
                <w:rFonts w:eastAsia="Times New Roman" w:cs="Times New Roman"/>
                <w:szCs w:val="20"/>
              </w:rPr>
              <w:t>228/468 (48.7%)</w:t>
            </w:r>
          </w:p>
        </w:tc>
        <w:tc>
          <w:tcPr>
            <w:tcW w:w="1485" w:type="dxa"/>
            <w:shd w:val="clear" w:color="auto" w:fill="auto"/>
            <w:vAlign w:val="center"/>
          </w:tcPr>
          <w:p w:rsidR="003C6A0B" w:rsidRPr="000549DC" w:rsidRDefault="003C6A0B" w:rsidP="006A65C9">
            <w:pPr>
              <w:pStyle w:val="TableText0"/>
              <w:keepLines/>
              <w:widowControl w:val="0"/>
              <w:jc w:val="center"/>
            </w:pPr>
            <w:r>
              <w:t>-</w:t>
            </w:r>
          </w:p>
        </w:tc>
      </w:tr>
      <w:tr w:rsidR="003C6A0B" w:rsidTr="008D0CDA">
        <w:tc>
          <w:tcPr>
            <w:tcW w:w="2518" w:type="dxa"/>
            <w:vMerge/>
            <w:shd w:val="clear" w:color="auto" w:fill="auto"/>
            <w:vAlign w:val="center"/>
          </w:tcPr>
          <w:p w:rsidR="003C6A0B" w:rsidRPr="000549DC" w:rsidRDefault="003C6A0B" w:rsidP="006A65C9">
            <w:pPr>
              <w:pStyle w:val="TableText0"/>
              <w:keepLines/>
              <w:widowControl w:val="0"/>
            </w:pPr>
          </w:p>
        </w:tc>
        <w:tc>
          <w:tcPr>
            <w:tcW w:w="1848" w:type="dxa"/>
            <w:shd w:val="clear" w:color="auto" w:fill="auto"/>
            <w:vAlign w:val="center"/>
          </w:tcPr>
          <w:p w:rsidR="003C6A0B" w:rsidRPr="003F685D" w:rsidRDefault="003C6A0B" w:rsidP="006A65C9">
            <w:pPr>
              <w:pStyle w:val="TableText0"/>
              <w:keepLines/>
              <w:widowControl w:val="0"/>
              <w:rPr>
                <w:szCs w:val="20"/>
              </w:rPr>
            </w:pPr>
            <w:r w:rsidRPr="003F685D">
              <w:rPr>
                <w:szCs w:val="20"/>
              </w:rPr>
              <w:t xml:space="preserve">Median months </w:t>
            </w:r>
            <w:r>
              <w:rPr>
                <w:szCs w:val="20"/>
              </w:rPr>
              <w:t>M</w:t>
            </w:r>
            <w:r w:rsidRPr="003F685D">
              <w:rPr>
                <w:szCs w:val="20"/>
              </w:rPr>
              <w:t>FS</w:t>
            </w:r>
          </w:p>
        </w:tc>
        <w:tc>
          <w:tcPr>
            <w:tcW w:w="1615" w:type="dxa"/>
            <w:shd w:val="clear" w:color="auto" w:fill="auto"/>
            <w:vAlign w:val="center"/>
          </w:tcPr>
          <w:p w:rsidR="003C6A0B" w:rsidRDefault="003C6A0B" w:rsidP="006A65C9">
            <w:pPr>
              <w:pStyle w:val="TableText0"/>
              <w:keepLines/>
              <w:widowControl w:val="0"/>
              <w:jc w:val="center"/>
              <w:rPr>
                <w:szCs w:val="20"/>
              </w:rPr>
            </w:pPr>
            <w:r>
              <w:t>36.6</w:t>
            </w:r>
          </w:p>
        </w:tc>
        <w:tc>
          <w:tcPr>
            <w:tcW w:w="1601" w:type="dxa"/>
            <w:shd w:val="clear" w:color="auto" w:fill="auto"/>
            <w:vAlign w:val="center"/>
          </w:tcPr>
          <w:p w:rsidR="003C6A0B" w:rsidRDefault="003C6A0B" w:rsidP="006A65C9">
            <w:pPr>
              <w:pStyle w:val="TableText0"/>
              <w:keepLines/>
              <w:widowControl w:val="0"/>
              <w:jc w:val="center"/>
              <w:rPr>
                <w:szCs w:val="20"/>
              </w:rPr>
            </w:pPr>
            <w:r>
              <w:rPr>
                <w:rFonts w:eastAsia="Times New Roman" w:cs="Times New Roman"/>
                <w:szCs w:val="20"/>
              </w:rPr>
              <w:t>14.7</w:t>
            </w:r>
          </w:p>
        </w:tc>
        <w:tc>
          <w:tcPr>
            <w:tcW w:w="1485" w:type="dxa"/>
            <w:shd w:val="clear" w:color="auto" w:fill="auto"/>
            <w:vAlign w:val="center"/>
          </w:tcPr>
          <w:p w:rsidR="003C6A0B" w:rsidRPr="00466A3F" w:rsidRDefault="003C6A0B" w:rsidP="006A65C9">
            <w:pPr>
              <w:pStyle w:val="TableText0"/>
              <w:keepLines/>
              <w:widowControl w:val="0"/>
              <w:jc w:val="center"/>
              <w:rPr>
                <w:b/>
                <w:bCs w:val="0"/>
              </w:rPr>
            </w:pPr>
            <w:r w:rsidRPr="00466A3F">
              <w:rPr>
                <w:b/>
                <w:bCs w:val="0"/>
                <w:lang w:eastAsia="en-GB"/>
              </w:rPr>
              <w:t>0.29 (0.24, 0.35)</w:t>
            </w:r>
          </w:p>
        </w:tc>
      </w:tr>
      <w:tr w:rsidR="003C6A0B" w:rsidTr="008D0CDA">
        <w:tc>
          <w:tcPr>
            <w:tcW w:w="7582" w:type="dxa"/>
            <w:gridSpan w:val="4"/>
            <w:shd w:val="clear" w:color="auto" w:fill="auto"/>
            <w:vAlign w:val="center"/>
          </w:tcPr>
          <w:p w:rsidR="003C6A0B" w:rsidRDefault="003C6A0B" w:rsidP="006A65C9">
            <w:pPr>
              <w:pStyle w:val="TableText0"/>
              <w:keepLines/>
              <w:widowControl w:val="0"/>
              <w:jc w:val="right"/>
              <w:rPr>
                <w:szCs w:val="20"/>
              </w:rPr>
            </w:pPr>
            <w:r>
              <w:rPr>
                <w:b/>
                <w:szCs w:val="20"/>
              </w:rPr>
              <w:t>indirect</w:t>
            </w:r>
            <w:r w:rsidRPr="003F685D">
              <w:rPr>
                <w:b/>
                <w:szCs w:val="20"/>
              </w:rPr>
              <w:t xml:space="preserve"> comparison </w:t>
            </w:r>
            <w:r>
              <w:rPr>
                <w:b/>
                <w:szCs w:val="20"/>
              </w:rPr>
              <w:t>darolutamide vs. apalutamide</w:t>
            </w:r>
          </w:p>
        </w:tc>
        <w:tc>
          <w:tcPr>
            <w:tcW w:w="1485" w:type="dxa"/>
            <w:shd w:val="clear" w:color="auto" w:fill="auto"/>
            <w:vAlign w:val="center"/>
          </w:tcPr>
          <w:p w:rsidR="003C6A0B" w:rsidRPr="000549DC" w:rsidRDefault="003C6A0B" w:rsidP="006A65C9">
            <w:pPr>
              <w:pStyle w:val="TableText0"/>
              <w:keepLines/>
              <w:widowControl w:val="0"/>
              <w:jc w:val="center"/>
            </w:pPr>
            <w:r>
              <w:t>1.27</w:t>
            </w:r>
            <w:r w:rsidRPr="00417EF1">
              <w:t xml:space="preserve"> </w:t>
            </w:r>
            <w:r>
              <w:t>(0.94, 1.72)</w:t>
            </w:r>
          </w:p>
        </w:tc>
      </w:tr>
      <w:tr w:rsidR="003C6A0B" w:rsidTr="008D0CDA">
        <w:tc>
          <w:tcPr>
            <w:tcW w:w="7582" w:type="dxa"/>
            <w:gridSpan w:val="4"/>
            <w:shd w:val="clear" w:color="auto" w:fill="auto"/>
            <w:vAlign w:val="center"/>
          </w:tcPr>
          <w:p w:rsidR="003C6A0B" w:rsidRDefault="003C6A0B" w:rsidP="006A65C9">
            <w:pPr>
              <w:pStyle w:val="TableText0"/>
              <w:keepLines/>
              <w:widowControl w:val="0"/>
              <w:jc w:val="right"/>
              <w:rPr>
                <w:b/>
                <w:szCs w:val="20"/>
              </w:rPr>
            </w:pPr>
            <w:r>
              <w:rPr>
                <w:b/>
                <w:szCs w:val="20"/>
              </w:rPr>
              <w:t>indirect</w:t>
            </w:r>
            <w:r w:rsidRPr="003F685D">
              <w:rPr>
                <w:b/>
                <w:szCs w:val="20"/>
              </w:rPr>
              <w:t xml:space="preserve"> comparison </w:t>
            </w:r>
            <w:r>
              <w:rPr>
                <w:b/>
                <w:szCs w:val="20"/>
              </w:rPr>
              <w:t>darolutamide vs. enzalutamide</w:t>
            </w:r>
          </w:p>
        </w:tc>
        <w:tc>
          <w:tcPr>
            <w:tcW w:w="1485" w:type="dxa"/>
            <w:shd w:val="clear" w:color="auto" w:fill="auto"/>
            <w:vAlign w:val="center"/>
          </w:tcPr>
          <w:p w:rsidR="003C6A0B" w:rsidRDefault="003C6A0B" w:rsidP="006A65C9">
            <w:pPr>
              <w:pStyle w:val="TableText0"/>
              <w:keepLines/>
              <w:widowControl w:val="0"/>
              <w:jc w:val="center"/>
            </w:pPr>
            <w:r>
              <w:t>1.23</w:t>
            </w:r>
            <w:r w:rsidRPr="00417EF1">
              <w:t xml:space="preserve"> </w:t>
            </w:r>
            <w:r>
              <w:t>(0.92, 1.63)</w:t>
            </w:r>
          </w:p>
        </w:tc>
      </w:tr>
      <w:tr w:rsidR="003C6A0B" w:rsidTr="008D0CDA">
        <w:tc>
          <w:tcPr>
            <w:tcW w:w="9067" w:type="dxa"/>
            <w:gridSpan w:val="5"/>
            <w:shd w:val="clear" w:color="auto" w:fill="auto"/>
            <w:vAlign w:val="center"/>
          </w:tcPr>
          <w:p w:rsidR="003C6A0B" w:rsidRPr="000549DC" w:rsidRDefault="003C6A0B" w:rsidP="006A65C9">
            <w:pPr>
              <w:pStyle w:val="TableText0"/>
              <w:keepLines/>
              <w:widowControl w:val="0"/>
            </w:pPr>
            <w:r>
              <w:rPr>
                <w:b/>
              </w:rPr>
              <w:t>OS (updated analyses)</w:t>
            </w:r>
          </w:p>
        </w:tc>
      </w:tr>
      <w:tr w:rsidR="003C6A0B" w:rsidTr="008D0CDA">
        <w:tc>
          <w:tcPr>
            <w:tcW w:w="2518" w:type="dxa"/>
            <w:vMerge w:val="restart"/>
            <w:shd w:val="clear" w:color="auto" w:fill="auto"/>
            <w:vAlign w:val="center"/>
          </w:tcPr>
          <w:p w:rsidR="003C6A0B" w:rsidRPr="000549DC" w:rsidRDefault="003C6A0B" w:rsidP="006A65C9">
            <w:pPr>
              <w:pStyle w:val="TableText0"/>
              <w:keepLines/>
              <w:widowControl w:val="0"/>
            </w:pPr>
            <w:r>
              <w:t>ARAMIS: darolutamide</w:t>
            </w:r>
          </w:p>
          <w:p w:rsidR="003C6A0B" w:rsidRPr="000549DC" w:rsidRDefault="003C6A0B" w:rsidP="006A65C9">
            <w:pPr>
              <w:pStyle w:val="TableText0"/>
              <w:keepLines/>
              <w:widowControl w:val="0"/>
            </w:pPr>
            <w:r>
              <w:t>(29.1 months median follow-up)</w:t>
            </w:r>
          </w:p>
        </w:tc>
        <w:tc>
          <w:tcPr>
            <w:tcW w:w="1848" w:type="dxa"/>
            <w:shd w:val="clear" w:color="auto" w:fill="auto"/>
            <w:vAlign w:val="center"/>
          </w:tcPr>
          <w:p w:rsidR="003C6A0B" w:rsidRPr="003F685D" w:rsidRDefault="003C6A0B" w:rsidP="006A65C9">
            <w:pPr>
              <w:pStyle w:val="TableText0"/>
              <w:keepLines/>
              <w:widowControl w:val="0"/>
              <w:rPr>
                <w:szCs w:val="20"/>
              </w:rPr>
            </w:pPr>
            <w:r>
              <w:rPr>
                <w:szCs w:val="20"/>
              </w:rPr>
              <w:t>Dead</w:t>
            </w:r>
          </w:p>
        </w:tc>
        <w:tc>
          <w:tcPr>
            <w:tcW w:w="1615" w:type="dxa"/>
            <w:shd w:val="clear" w:color="auto" w:fill="auto"/>
            <w:vAlign w:val="center"/>
          </w:tcPr>
          <w:p w:rsidR="003C6A0B" w:rsidRDefault="003C6A0B" w:rsidP="006A65C9">
            <w:pPr>
              <w:pStyle w:val="TableText0"/>
              <w:keepLines/>
              <w:widowControl w:val="0"/>
              <w:jc w:val="center"/>
              <w:rPr>
                <w:szCs w:val="20"/>
              </w:rPr>
            </w:pPr>
            <w:r>
              <w:rPr>
                <w:szCs w:val="20"/>
              </w:rPr>
              <w:t>148/955 (15.5%)</w:t>
            </w:r>
          </w:p>
        </w:tc>
        <w:tc>
          <w:tcPr>
            <w:tcW w:w="1601" w:type="dxa"/>
            <w:shd w:val="clear" w:color="auto" w:fill="auto"/>
            <w:vAlign w:val="center"/>
          </w:tcPr>
          <w:p w:rsidR="003C6A0B" w:rsidRDefault="003C6A0B" w:rsidP="006A65C9">
            <w:pPr>
              <w:pStyle w:val="TableText0"/>
              <w:keepLines/>
              <w:widowControl w:val="0"/>
              <w:jc w:val="center"/>
              <w:rPr>
                <w:szCs w:val="20"/>
              </w:rPr>
            </w:pPr>
            <w:r>
              <w:rPr>
                <w:szCs w:val="20"/>
              </w:rPr>
              <w:t>106/554 (19.1%)</w:t>
            </w:r>
          </w:p>
        </w:tc>
        <w:tc>
          <w:tcPr>
            <w:tcW w:w="1485" w:type="dxa"/>
            <w:shd w:val="clear" w:color="auto" w:fill="auto"/>
            <w:vAlign w:val="center"/>
          </w:tcPr>
          <w:p w:rsidR="003C6A0B" w:rsidRPr="000549DC" w:rsidRDefault="003C6A0B" w:rsidP="006A65C9">
            <w:pPr>
              <w:pStyle w:val="TableText0"/>
              <w:keepLines/>
              <w:widowControl w:val="0"/>
              <w:jc w:val="center"/>
            </w:pPr>
            <w:r>
              <w:t>-</w:t>
            </w:r>
          </w:p>
        </w:tc>
      </w:tr>
      <w:tr w:rsidR="003C6A0B" w:rsidTr="008D0CDA">
        <w:tc>
          <w:tcPr>
            <w:tcW w:w="2518" w:type="dxa"/>
            <w:vMerge/>
            <w:shd w:val="clear" w:color="auto" w:fill="auto"/>
            <w:vAlign w:val="center"/>
          </w:tcPr>
          <w:p w:rsidR="003C6A0B" w:rsidRPr="000549DC" w:rsidRDefault="003C6A0B" w:rsidP="006A65C9">
            <w:pPr>
              <w:pStyle w:val="TableText0"/>
              <w:keepLines/>
              <w:widowControl w:val="0"/>
            </w:pPr>
          </w:p>
        </w:tc>
        <w:tc>
          <w:tcPr>
            <w:tcW w:w="1848" w:type="dxa"/>
            <w:shd w:val="clear" w:color="auto" w:fill="auto"/>
            <w:vAlign w:val="center"/>
          </w:tcPr>
          <w:p w:rsidR="003C6A0B" w:rsidRPr="003F685D" w:rsidRDefault="003C6A0B" w:rsidP="006A65C9">
            <w:pPr>
              <w:pStyle w:val="TableText0"/>
              <w:keepLines/>
              <w:widowControl w:val="0"/>
              <w:rPr>
                <w:szCs w:val="20"/>
              </w:rPr>
            </w:pPr>
            <w:r w:rsidRPr="003F685D">
              <w:rPr>
                <w:szCs w:val="20"/>
              </w:rPr>
              <w:t xml:space="preserve">Median months </w:t>
            </w:r>
            <w:r>
              <w:rPr>
                <w:szCs w:val="20"/>
              </w:rPr>
              <w:t>O</w:t>
            </w:r>
            <w:r w:rsidRPr="003F685D">
              <w:rPr>
                <w:szCs w:val="20"/>
              </w:rPr>
              <w:t>S</w:t>
            </w:r>
          </w:p>
        </w:tc>
        <w:tc>
          <w:tcPr>
            <w:tcW w:w="1615" w:type="dxa"/>
            <w:shd w:val="clear" w:color="auto" w:fill="auto"/>
            <w:vAlign w:val="center"/>
          </w:tcPr>
          <w:p w:rsidR="003C6A0B" w:rsidRDefault="003C6A0B" w:rsidP="006A65C9">
            <w:pPr>
              <w:pStyle w:val="TableText0"/>
              <w:keepLines/>
              <w:widowControl w:val="0"/>
              <w:jc w:val="center"/>
              <w:rPr>
                <w:szCs w:val="20"/>
              </w:rPr>
            </w:pPr>
            <w:r>
              <w:rPr>
                <w:szCs w:val="20"/>
              </w:rPr>
              <w:t>NE</w:t>
            </w:r>
          </w:p>
        </w:tc>
        <w:tc>
          <w:tcPr>
            <w:tcW w:w="1601" w:type="dxa"/>
            <w:shd w:val="clear" w:color="auto" w:fill="auto"/>
            <w:vAlign w:val="center"/>
          </w:tcPr>
          <w:p w:rsidR="003C6A0B" w:rsidRDefault="003C6A0B" w:rsidP="006A65C9">
            <w:pPr>
              <w:pStyle w:val="TableText0"/>
              <w:keepLines/>
              <w:widowControl w:val="0"/>
              <w:jc w:val="center"/>
              <w:rPr>
                <w:szCs w:val="20"/>
              </w:rPr>
            </w:pPr>
            <w:r>
              <w:rPr>
                <w:szCs w:val="20"/>
              </w:rPr>
              <w:t>NE</w:t>
            </w:r>
          </w:p>
        </w:tc>
        <w:tc>
          <w:tcPr>
            <w:tcW w:w="1485" w:type="dxa"/>
            <w:shd w:val="clear" w:color="auto" w:fill="auto"/>
            <w:vAlign w:val="center"/>
          </w:tcPr>
          <w:p w:rsidR="003C6A0B" w:rsidRPr="000549DC" w:rsidRDefault="003C6A0B" w:rsidP="006A65C9">
            <w:pPr>
              <w:pStyle w:val="TableText0"/>
              <w:keepLines/>
              <w:widowControl w:val="0"/>
              <w:jc w:val="center"/>
            </w:pPr>
            <w:r>
              <w:rPr>
                <w:b/>
                <w:szCs w:val="20"/>
              </w:rPr>
              <w:t>0.69 (0.53, 0.88)</w:t>
            </w:r>
          </w:p>
        </w:tc>
      </w:tr>
      <w:tr w:rsidR="003C6A0B" w:rsidTr="008D0CDA">
        <w:tc>
          <w:tcPr>
            <w:tcW w:w="2518" w:type="dxa"/>
            <w:vMerge w:val="restart"/>
            <w:shd w:val="clear" w:color="auto" w:fill="auto"/>
            <w:vAlign w:val="center"/>
          </w:tcPr>
          <w:p w:rsidR="003C6A0B" w:rsidRDefault="003C6A0B" w:rsidP="006A65C9">
            <w:pPr>
              <w:pStyle w:val="TableText0"/>
              <w:keepLines/>
              <w:widowControl w:val="0"/>
            </w:pPr>
            <w:r>
              <w:t xml:space="preserve">SPARTAN: apalutamide </w:t>
            </w:r>
          </w:p>
          <w:p w:rsidR="003C6A0B" w:rsidRPr="000549DC" w:rsidRDefault="003C6A0B" w:rsidP="006A65C9">
            <w:pPr>
              <w:pStyle w:val="TableText0"/>
              <w:keepLines/>
              <w:widowControl w:val="0"/>
            </w:pPr>
            <w:r>
              <w:t>(41.0 months median follow-up)</w:t>
            </w:r>
          </w:p>
        </w:tc>
        <w:tc>
          <w:tcPr>
            <w:tcW w:w="1848" w:type="dxa"/>
            <w:shd w:val="clear" w:color="auto" w:fill="auto"/>
            <w:vAlign w:val="center"/>
          </w:tcPr>
          <w:p w:rsidR="003C6A0B" w:rsidRPr="003F685D" w:rsidRDefault="003C6A0B" w:rsidP="006A65C9">
            <w:pPr>
              <w:pStyle w:val="TableText0"/>
              <w:keepLines/>
              <w:widowControl w:val="0"/>
              <w:rPr>
                <w:szCs w:val="20"/>
              </w:rPr>
            </w:pPr>
            <w:r>
              <w:rPr>
                <w:szCs w:val="20"/>
              </w:rPr>
              <w:t>Dead</w:t>
            </w:r>
          </w:p>
        </w:tc>
        <w:tc>
          <w:tcPr>
            <w:tcW w:w="1615" w:type="dxa"/>
            <w:shd w:val="clear" w:color="auto" w:fill="auto"/>
            <w:vAlign w:val="center"/>
          </w:tcPr>
          <w:p w:rsidR="003C6A0B" w:rsidRDefault="003C6A0B" w:rsidP="006A65C9">
            <w:pPr>
              <w:pStyle w:val="TableText0"/>
              <w:keepLines/>
              <w:widowControl w:val="0"/>
              <w:jc w:val="center"/>
              <w:rPr>
                <w:szCs w:val="20"/>
              </w:rPr>
            </w:pPr>
            <w:r>
              <w:rPr>
                <w:szCs w:val="20"/>
              </w:rPr>
              <w:t>178/806 (22.1%)</w:t>
            </w:r>
          </w:p>
        </w:tc>
        <w:tc>
          <w:tcPr>
            <w:tcW w:w="1601" w:type="dxa"/>
            <w:shd w:val="clear" w:color="auto" w:fill="auto"/>
            <w:vAlign w:val="center"/>
          </w:tcPr>
          <w:p w:rsidR="003C6A0B" w:rsidRDefault="003C6A0B" w:rsidP="006A65C9">
            <w:pPr>
              <w:pStyle w:val="TableText0"/>
              <w:keepLines/>
              <w:widowControl w:val="0"/>
              <w:jc w:val="center"/>
              <w:rPr>
                <w:szCs w:val="20"/>
              </w:rPr>
            </w:pPr>
            <w:r>
              <w:rPr>
                <w:szCs w:val="20"/>
              </w:rPr>
              <w:t>107/401 (26.7%)</w:t>
            </w:r>
          </w:p>
        </w:tc>
        <w:tc>
          <w:tcPr>
            <w:tcW w:w="1485" w:type="dxa"/>
            <w:shd w:val="clear" w:color="auto" w:fill="auto"/>
            <w:vAlign w:val="center"/>
          </w:tcPr>
          <w:p w:rsidR="003C6A0B" w:rsidRPr="000549DC" w:rsidRDefault="003C6A0B" w:rsidP="006A65C9">
            <w:pPr>
              <w:pStyle w:val="TableText0"/>
              <w:keepLines/>
              <w:widowControl w:val="0"/>
              <w:jc w:val="center"/>
            </w:pPr>
            <w:r>
              <w:t>-</w:t>
            </w:r>
          </w:p>
        </w:tc>
      </w:tr>
      <w:tr w:rsidR="003C6A0B" w:rsidTr="008D0CDA">
        <w:tc>
          <w:tcPr>
            <w:tcW w:w="2518" w:type="dxa"/>
            <w:vMerge/>
            <w:shd w:val="clear" w:color="auto" w:fill="auto"/>
            <w:vAlign w:val="center"/>
          </w:tcPr>
          <w:p w:rsidR="003C6A0B" w:rsidRPr="000549DC" w:rsidRDefault="003C6A0B" w:rsidP="006A65C9">
            <w:pPr>
              <w:pStyle w:val="TableText0"/>
              <w:keepLines/>
              <w:widowControl w:val="0"/>
            </w:pPr>
          </w:p>
        </w:tc>
        <w:tc>
          <w:tcPr>
            <w:tcW w:w="1848" w:type="dxa"/>
            <w:shd w:val="clear" w:color="auto" w:fill="auto"/>
            <w:vAlign w:val="center"/>
          </w:tcPr>
          <w:p w:rsidR="003C6A0B" w:rsidRPr="003F685D" w:rsidRDefault="003C6A0B" w:rsidP="006A65C9">
            <w:pPr>
              <w:pStyle w:val="TableText0"/>
              <w:keepLines/>
              <w:widowControl w:val="0"/>
              <w:rPr>
                <w:szCs w:val="20"/>
              </w:rPr>
            </w:pPr>
            <w:r w:rsidRPr="003F685D">
              <w:rPr>
                <w:szCs w:val="20"/>
              </w:rPr>
              <w:t xml:space="preserve">Median months </w:t>
            </w:r>
            <w:r>
              <w:rPr>
                <w:szCs w:val="20"/>
              </w:rPr>
              <w:t>O</w:t>
            </w:r>
            <w:r w:rsidRPr="003F685D">
              <w:rPr>
                <w:szCs w:val="20"/>
              </w:rPr>
              <w:t>S</w:t>
            </w:r>
          </w:p>
        </w:tc>
        <w:tc>
          <w:tcPr>
            <w:tcW w:w="1615" w:type="dxa"/>
            <w:shd w:val="clear" w:color="auto" w:fill="auto"/>
            <w:vAlign w:val="center"/>
          </w:tcPr>
          <w:p w:rsidR="003C6A0B" w:rsidRDefault="003C6A0B" w:rsidP="006A65C9">
            <w:pPr>
              <w:pStyle w:val="TableText0"/>
              <w:keepLines/>
              <w:widowControl w:val="0"/>
              <w:jc w:val="center"/>
              <w:rPr>
                <w:szCs w:val="20"/>
              </w:rPr>
            </w:pPr>
            <w:r>
              <w:rPr>
                <w:szCs w:val="20"/>
              </w:rPr>
              <w:t>NE</w:t>
            </w:r>
          </w:p>
        </w:tc>
        <w:tc>
          <w:tcPr>
            <w:tcW w:w="1601" w:type="dxa"/>
            <w:shd w:val="clear" w:color="auto" w:fill="auto"/>
            <w:vAlign w:val="center"/>
          </w:tcPr>
          <w:p w:rsidR="003C6A0B" w:rsidRDefault="003C6A0B" w:rsidP="006A65C9">
            <w:pPr>
              <w:pStyle w:val="TableText0"/>
              <w:keepLines/>
              <w:widowControl w:val="0"/>
              <w:jc w:val="center"/>
              <w:rPr>
                <w:szCs w:val="20"/>
              </w:rPr>
            </w:pPr>
            <w:r>
              <w:rPr>
                <w:szCs w:val="20"/>
              </w:rPr>
              <w:t>NE</w:t>
            </w:r>
          </w:p>
        </w:tc>
        <w:tc>
          <w:tcPr>
            <w:tcW w:w="1485" w:type="dxa"/>
            <w:shd w:val="clear" w:color="auto" w:fill="auto"/>
            <w:vAlign w:val="center"/>
          </w:tcPr>
          <w:p w:rsidR="003C6A0B" w:rsidRPr="003B0C6D" w:rsidRDefault="003C6A0B" w:rsidP="006A65C9">
            <w:pPr>
              <w:pStyle w:val="TableText0"/>
              <w:keepLines/>
              <w:widowControl w:val="0"/>
              <w:jc w:val="center"/>
              <w:rPr>
                <w:b/>
              </w:rPr>
            </w:pPr>
            <w:r w:rsidRPr="003B0C6D">
              <w:rPr>
                <w:b/>
              </w:rPr>
              <w:t>0.75 (0.59, 0.96)</w:t>
            </w:r>
          </w:p>
        </w:tc>
      </w:tr>
      <w:tr w:rsidR="003C6A0B" w:rsidTr="008D0CDA">
        <w:tc>
          <w:tcPr>
            <w:tcW w:w="2518" w:type="dxa"/>
            <w:vMerge w:val="restart"/>
            <w:shd w:val="clear" w:color="auto" w:fill="auto"/>
            <w:vAlign w:val="center"/>
          </w:tcPr>
          <w:p w:rsidR="003C6A0B" w:rsidRDefault="003C6A0B" w:rsidP="006A65C9">
            <w:pPr>
              <w:pStyle w:val="TableText0"/>
              <w:keepLines/>
              <w:widowControl w:val="0"/>
            </w:pPr>
            <w:r>
              <w:t>PROSPER: enzalutamide</w:t>
            </w:r>
          </w:p>
          <w:p w:rsidR="003C6A0B" w:rsidRPr="000549DC" w:rsidRDefault="003C6A0B" w:rsidP="006A65C9">
            <w:pPr>
              <w:pStyle w:val="TableText0"/>
              <w:keepLines/>
              <w:widowControl w:val="0"/>
            </w:pPr>
            <w:r>
              <w:t>(NR median follow-up)</w:t>
            </w:r>
          </w:p>
        </w:tc>
        <w:tc>
          <w:tcPr>
            <w:tcW w:w="1848" w:type="dxa"/>
            <w:shd w:val="clear" w:color="auto" w:fill="auto"/>
            <w:vAlign w:val="center"/>
          </w:tcPr>
          <w:p w:rsidR="003C6A0B" w:rsidRPr="003F685D" w:rsidRDefault="003C6A0B" w:rsidP="006A65C9">
            <w:pPr>
              <w:pStyle w:val="TableText0"/>
              <w:keepLines/>
              <w:widowControl w:val="0"/>
              <w:rPr>
                <w:szCs w:val="20"/>
              </w:rPr>
            </w:pPr>
            <w:r>
              <w:rPr>
                <w:szCs w:val="20"/>
              </w:rPr>
              <w:t>Dead</w:t>
            </w:r>
          </w:p>
        </w:tc>
        <w:tc>
          <w:tcPr>
            <w:tcW w:w="1615" w:type="dxa"/>
            <w:shd w:val="clear" w:color="auto" w:fill="auto"/>
            <w:vAlign w:val="center"/>
          </w:tcPr>
          <w:p w:rsidR="003C6A0B" w:rsidRDefault="003C6A0B" w:rsidP="006A65C9">
            <w:pPr>
              <w:pStyle w:val="TableText0"/>
              <w:keepLines/>
              <w:widowControl w:val="0"/>
              <w:jc w:val="center"/>
              <w:rPr>
                <w:szCs w:val="20"/>
              </w:rPr>
            </w:pPr>
            <w:r>
              <w:rPr>
                <w:szCs w:val="20"/>
              </w:rPr>
              <w:t>NR</w:t>
            </w:r>
          </w:p>
        </w:tc>
        <w:tc>
          <w:tcPr>
            <w:tcW w:w="1601" w:type="dxa"/>
            <w:shd w:val="clear" w:color="auto" w:fill="auto"/>
            <w:vAlign w:val="center"/>
          </w:tcPr>
          <w:p w:rsidR="003C6A0B" w:rsidRDefault="003C6A0B" w:rsidP="006A65C9">
            <w:pPr>
              <w:pStyle w:val="TableText0"/>
              <w:keepLines/>
              <w:widowControl w:val="0"/>
              <w:jc w:val="center"/>
              <w:rPr>
                <w:szCs w:val="20"/>
              </w:rPr>
            </w:pPr>
            <w:r>
              <w:rPr>
                <w:szCs w:val="20"/>
              </w:rPr>
              <w:t>NR</w:t>
            </w:r>
          </w:p>
        </w:tc>
        <w:tc>
          <w:tcPr>
            <w:tcW w:w="1485" w:type="dxa"/>
            <w:shd w:val="clear" w:color="auto" w:fill="auto"/>
            <w:vAlign w:val="center"/>
          </w:tcPr>
          <w:p w:rsidR="003C6A0B" w:rsidRPr="000549DC" w:rsidRDefault="003C6A0B" w:rsidP="006A65C9">
            <w:pPr>
              <w:pStyle w:val="TableText0"/>
              <w:keepLines/>
              <w:widowControl w:val="0"/>
              <w:jc w:val="center"/>
            </w:pPr>
            <w:r>
              <w:t>-</w:t>
            </w:r>
          </w:p>
        </w:tc>
      </w:tr>
      <w:tr w:rsidR="003C6A0B" w:rsidTr="008D0CDA">
        <w:tc>
          <w:tcPr>
            <w:tcW w:w="2518" w:type="dxa"/>
            <w:vMerge/>
            <w:shd w:val="clear" w:color="auto" w:fill="auto"/>
            <w:vAlign w:val="center"/>
          </w:tcPr>
          <w:p w:rsidR="003C6A0B" w:rsidRPr="000549DC" w:rsidRDefault="003C6A0B" w:rsidP="006A65C9">
            <w:pPr>
              <w:pStyle w:val="TableText0"/>
              <w:keepLines/>
              <w:widowControl w:val="0"/>
            </w:pPr>
          </w:p>
        </w:tc>
        <w:tc>
          <w:tcPr>
            <w:tcW w:w="1848" w:type="dxa"/>
            <w:shd w:val="clear" w:color="auto" w:fill="auto"/>
            <w:vAlign w:val="center"/>
          </w:tcPr>
          <w:p w:rsidR="003C6A0B" w:rsidRPr="003F685D" w:rsidRDefault="003C6A0B" w:rsidP="006A65C9">
            <w:pPr>
              <w:pStyle w:val="TableText0"/>
              <w:keepLines/>
              <w:widowControl w:val="0"/>
              <w:rPr>
                <w:szCs w:val="20"/>
              </w:rPr>
            </w:pPr>
            <w:r w:rsidRPr="003F685D">
              <w:rPr>
                <w:szCs w:val="20"/>
              </w:rPr>
              <w:t xml:space="preserve">Median months </w:t>
            </w:r>
            <w:r>
              <w:rPr>
                <w:szCs w:val="20"/>
              </w:rPr>
              <w:t>O</w:t>
            </w:r>
            <w:r w:rsidRPr="003F685D">
              <w:rPr>
                <w:szCs w:val="20"/>
              </w:rPr>
              <w:t>S</w:t>
            </w:r>
          </w:p>
        </w:tc>
        <w:tc>
          <w:tcPr>
            <w:tcW w:w="1615" w:type="dxa"/>
            <w:shd w:val="clear" w:color="auto" w:fill="auto"/>
            <w:vAlign w:val="center"/>
          </w:tcPr>
          <w:p w:rsidR="003C6A0B" w:rsidRDefault="003C6A0B" w:rsidP="006A65C9">
            <w:pPr>
              <w:pStyle w:val="TableText0"/>
              <w:keepLines/>
              <w:widowControl w:val="0"/>
              <w:jc w:val="center"/>
              <w:rPr>
                <w:szCs w:val="20"/>
              </w:rPr>
            </w:pPr>
            <w:r>
              <w:rPr>
                <w:szCs w:val="20"/>
              </w:rPr>
              <w:t>NR</w:t>
            </w:r>
          </w:p>
        </w:tc>
        <w:tc>
          <w:tcPr>
            <w:tcW w:w="1601" w:type="dxa"/>
            <w:shd w:val="clear" w:color="auto" w:fill="auto"/>
            <w:vAlign w:val="center"/>
          </w:tcPr>
          <w:p w:rsidR="003C6A0B" w:rsidRDefault="003C6A0B" w:rsidP="006A65C9">
            <w:pPr>
              <w:pStyle w:val="TableText0"/>
              <w:keepLines/>
              <w:widowControl w:val="0"/>
              <w:jc w:val="center"/>
              <w:rPr>
                <w:szCs w:val="20"/>
              </w:rPr>
            </w:pPr>
            <w:r>
              <w:rPr>
                <w:szCs w:val="20"/>
              </w:rPr>
              <w:t>NR</w:t>
            </w:r>
          </w:p>
        </w:tc>
        <w:tc>
          <w:tcPr>
            <w:tcW w:w="1485" w:type="dxa"/>
            <w:shd w:val="clear" w:color="auto" w:fill="auto"/>
            <w:vAlign w:val="center"/>
          </w:tcPr>
          <w:p w:rsidR="003C6A0B" w:rsidRPr="000549DC" w:rsidRDefault="003C6A0B" w:rsidP="006A65C9">
            <w:pPr>
              <w:pStyle w:val="TableText0"/>
              <w:keepLines/>
              <w:widowControl w:val="0"/>
              <w:jc w:val="center"/>
            </w:pPr>
            <w:r>
              <w:t>0.83 (0.65, 1.06)</w:t>
            </w:r>
          </w:p>
        </w:tc>
      </w:tr>
      <w:tr w:rsidR="003C6A0B" w:rsidTr="008D0CDA">
        <w:tc>
          <w:tcPr>
            <w:tcW w:w="7582" w:type="dxa"/>
            <w:gridSpan w:val="4"/>
            <w:tcBorders>
              <w:bottom w:val="single" w:sz="4" w:space="0" w:color="auto"/>
            </w:tcBorders>
            <w:shd w:val="clear" w:color="auto" w:fill="auto"/>
            <w:vAlign w:val="center"/>
          </w:tcPr>
          <w:p w:rsidR="003C6A0B" w:rsidRPr="00364615" w:rsidRDefault="003C6A0B" w:rsidP="006A65C9">
            <w:pPr>
              <w:pStyle w:val="TableText0"/>
              <w:keepLines/>
              <w:widowControl w:val="0"/>
              <w:jc w:val="right"/>
              <w:rPr>
                <w:b/>
                <w:bCs w:val="0"/>
                <w:szCs w:val="20"/>
              </w:rPr>
            </w:pPr>
            <w:r>
              <w:rPr>
                <w:b/>
                <w:szCs w:val="20"/>
              </w:rPr>
              <w:t>indirect</w:t>
            </w:r>
            <w:r w:rsidRPr="003F685D">
              <w:rPr>
                <w:b/>
                <w:szCs w:val="20"/>
              </w:rPr>
              <w:t xml:space="preserve"> comparison </w:t>
            </w:r>
            <w:r>
              <w:rPr>
                <w:b/>
                <w:szCs w:val="20"/>
              </w:rPr>
              <w:t>darolutamide vs. apalutamide (41.0 months follow-up)</w:t>
            </w:r>
          </w:p>
        </w:tc>
        <w:tc>
          <w:tcPr>
            <w:tcW w:w="1485" w:type="dxa"/>
            <w:tcBorders>
              <w:bottom w:val="single" w:sz="4" w:space="0" w:color="auto"/>
            </w:tcBorders>
            <w:shd w:val="clear" w:color="auto" w:fill="auto"/>
            <w:vAlign w:val="center"/>
          </w:tcPr>
          <w:p w:rsidR="003C6A0B" w:rsidRPr="000549DC" w:rsidRDefault="003C6A0B" w:rsidP="006A65C9">
            <w:pPr>
              <w:pStyle w:val="TableText0"/>
              <w:keepLines/>
              <w:widowControl w:val="0"/>
              <w:jc w:val="center"/>
            </w:pPr>
            <w:r>
              <w:t>0.91</w:t>
            </w:r>
            <w:r w:rsidRPr="00417EF1">
              <w:t xml:space="preserve"> </w:t>
            </w:r>
            <w:r>
              <w:t>(0.64, 1.30)</w:t>
            </w:r>
          </w:p>
        </w:tc>
      </w:tr>
      <w:tr w:rsidR="003C6A0B" w:rsidTr="008D0CDA">
        <w:tc>
          <w:tcPr>
            <w:tcW w:w="7582" w:type="dxa"/>
            <w:gridSpan w:val="4"/>
            <w:shd w:val="clear" w:color="auto" w:fill="auto"/>
            <w:vAlign w:val="center"/>
          </w:tcPr>
          <w:p w:rsidR="003C6A0B" w:rsidRDefault="003C6A0B" w:rsidP="006A65C9">
            <w:pPr>
              <w:pStyle w:val="TableText0"/>
              <w:keepLines/>
              <w:widowControl w:val="0"/>
              <w:jc w:val="right"/>
              <w:rPr>
                <w:b/>
                <w:szCs w:val="20"/>
              </w:rPr>
            </w:pPr>
            <w:r>
              <w:rPr>
                <w:b/>
                <w:szCs w:val="20"/>
              </w:rPr>
              <w:t>indirect</w:t>
            </w:r>
            <w:r w:rsidRPr="003F685D">
              <w:rPr>
                <w:b/>
                <w:szCs w:val="20"/>
              </w:rPr>
              <w:t xml:space="preserve"> comparison </w:t>
            </w:r>
            <w:r>
              <w:rPr>
                <w:b/>
                <w:szCs w:val="20"/>
              </w:rPr>
              <w:t>darolutamide vs. enzalutamide (NR follow-up)</w:t>
            </w:r>
          </w:p>
        </w:tc>
        <w:tc>
          <w:tcPr>
            <w:tcW w:w="1485" w:type="dxa"/>
            <w:shd w:val="clear" w:color="auto" w:fill="auto"/>
            <w:vAlign w:val="center"/>
          </w:tcPr>
          <w:p w:rsidR="003C6A0B" w:rsidRPr="000549DC" w:rsidRDefault="003C6A0B" w:rsidP="006A65C9">
            <w:pPr>
              <w:pStyle w:val="TableText0"/>
              <w:keepLines/>
              <w:widowControl w:val="0"/>
              <w:jc w:val="center"/>
            </w:pPr>
            <w:r w:rsidRPr="00417EF1">
              <w:t>0</w:t>
            </w:r>
            <w:r>
              <w:t>.83</w:t>
            </w:r>
            <w:r w:rsidRPr="00417EF1">
              <w:t xml:space="preserve"> </w:t>
            </w:r>
            <w:r>
              <w:t>(0.58, 1.17)</w:t>
            </w:r>
          </w:p>
        </w:tc>
      </w:tr>
      <w:tr w:rsidR="003C6A0B" w:rsidTr="008D0CDA">
        <w:tc>
          <w:tcPr>
            <w:tcW w:w="9067" w:type="dxa"/>
            <w:gridSpan w:val="5"/>
            <w:shd w:val="clear" w:color="auto" w:fill="auto"/>
            <w:vAlign w:val="center"/>
          </w:tcPr>
          <w:p w:rsidR="003C6A0B" w:rsidRPr="000549DC" w:rsidRDefault="003C6A0B" w:rsidP="006A65C9">
            <w:pPr>
              <w:pStyle w:val="TableText0"/>
              <w:keepLines/>
              <w:widowControl w:val="0"/>
            </w:pPr>
            <w:r>
              <w:rPr>
                <w:b/>
              </w:rPr>
              <w:t>OS (final analyses</w:t>
            </w:r>
            <w:r w:rsidR="00197437">
              <w:rPr>
                <w:b/>
              </w:rPr>
              <w:t xml:space="preserve"> of </w:t>
            </w:r>
            <w:r w:rsidR="0013221C">
              <w:rPr>
                <w:b/>
              </w:rPr>
              <w:t xml:space="preserve">ARAMIS, </w:t>
            </w:r>
            <w:r w:rsidR="00197437">
              <w:rPr>
                <w:b/>
              </w:rPr>
              <w:t>SPARTAN and PROSPER</w:t>
            </w:r>
            <w:r>
              <w:rPr>
                <w:b/>
              </w:rPr>
              <w:t>)</w:t>
            </w:r>
          </w:p>
        </w:tc>
      </w:tr>
      <w:tr w:rsidR="003C6A0B" w:rsidTr="008D0CDA">
        <w:tc>
          <w:tcPr>
            <w:tcW w:w="2518" w:type="dxa"/>
            <w:vMerge w:val="restart"/>
            <w:shd w:val="clear" w:color="auto" w:fill="auto"/>
            <w:vAlign w:val="center"/>
          </w:tcPr>
          <w:p w:rsidR="003C6A0B" w:rsidRPr="000549DC" w:rsidRDefault="003C6A0B" w:rsidP="006A65C9">
            <w:pPr>
              <w:pStyle w:val="TableText0"/>
              <w:keepLines/>
              <w:widowControl w:val="0"/>
            </w:pPr>
            <w:r>
              <w:t>ARAMIS: darolutamide</w:t>
            </w:r>
          </w:p>
          <w:p w:rsidR="003C6A0B" w:rsidRPr="000549DC" w:rsidRDefault="003C6A0B" w:rsidP="006A65C9">
            <w:pPr>
              <w:pStyle w:val="TableText0"/>
              <w:keepLines/>
              <w:widowControl w:val="0"/>
            </w:pPr>
            <w:r>
              <w:t>(29.1 months median follow-up)</w:t>
            </w:r>
          </w:p>
        </w:tc>
        <w:tc>
          <w:tcPr>
            <w:tcW w:w="1848" w:type="dxa"/>
            <w:shd w:val="clear" w:color="auto" w:fill="auto"/>
            <w:vAlign w:val="center"/>
          </w:tcPr>
          <w:p w:rsidR="003C6A0B" w:rsidRPr="003F685D" w:rsidRDefault="003C6A0B" w:rsidP="006A65C9">
            <w:pPr>
              <w:pStyle w:val="TableText0"/>
              <w:keepLines/>
              <w:widowControl w:val="0"/>
              <w:rPr>
                <w:szCs w:val="20"/>
              </w:rPr>
            </w:pPr>
            <w:r>
              <w:rPr>
                <w:szCs w:val="20"/>
              </w:rPr>
              <w:t>Dead</w:t>
            </w:r>
          </w:p>
        </w:tc>
        <w:tc>
          <w:tcPr>
            <w:tcW w:w="1615" w:type="dxa"/>
            <w:shd w:val="clear" w:color="auto" w:fill="auto"/>
            <w:vAlign w:val="center"/>
          </w:tcPr>
          <w:p w:rsidR="003C6A0B" w:rsidRDefault="003C6A0B" w:rsidP="006A65C9">
            <w:pPr>
              <w:pStyle w:val="TableText0"/>
              <w:keepLines/>
              <w:widowControl w:val="0"/>
              <w:jc w:val="center"/>
              <w:rPr>
                <w:szCs w:val="20"/>
              </w:rPr>
            </w:pPr>
            <w:r>
              <w:rPr>
                <w:szCs w:val="20"/>
              </w:rPr>
              <w:t>148/955 (15.5%)</w:t>
            </w:r>
          </w:p>
        </w:tc>
        <w:tc>
          <w:tcPr>
            <w:tcW w:w="1601" w:type="dxa"/>
            <w:shd w:val="clear" w:color="auto" w:fill="auto"/>
            <w:vAlign w:val="center"/>
          </w:tcPr>
          <w:p w:rsidR="003C6A0B" w:rsidRDefault="003C6A0B" w:rsidP="006A65C9">
            <w:pPr>
              <w:pStyle w:val="TableText0"/>
              <w:keepLines/>
              <w:widowControl w:val="0"/>
              <w:jc w:val="center"/>
              <w:rPr>
                <w:szCs w:val="20"/>
              </w:rPr>
            </w:pPr>
            <w:r>
              <w:rPr>
                <w:szCs w:val="20"/>
              </w:rPr>
              <w:t>106/554 (19.1%)</w:t>
            </w:r>
          </w:p>
        </w:tc>
        <w:tc>
          <w:tcPr>
            <w:tcW w:w="1485" w:type="dxa"/>
            <w:shd w:val="clear" w:color="auto" w:fill="auto"/>
            <w:vAlign w:val="center"/>
          </w:tcPr>
          <w:p w:rsidR="003C6A0B" w:rsidRPr="000549DC" w:rsidRDefault="003C6A0B" w:rsidP="006A65C9">
            <w:pPr>
              <w:pStyle w:val="TableText0"/>
              <w:keepLines/>
              <w:widowControl w:val="0"/>
              <w:jc w:val="center"/>
            </w:pPr>
            <w:r>
              <w:t>-</w:t>
            </w:r>
          </w:p>
        </w:tc>
      </w:tr>
      <w:tr w:rsidR="003C6A0B" w:rsidTr="008D0CDA">
        <w:tc>
          <w:tcPr>
            <w:tcW w:w="2518" w:type="dxa"/>
            <w:vMerge/>
            <w:shd w:val="clear" w:color="auto" w:fill="auto"/>
            <w:vAlign w:val="center"/>
          </w:tcPr>
          <w:p w:rsidR="003C6A0B" w:rsidRPr="000549DC" w:rsidRDefault="003C6A0B" w:rsidP="006A65C9">
            <w:pPr>
              <w:pStyle w:val="TableText0"/>
              <w:keepLines/>
              <w:widowControl w:val="0"/>
            </w:pPr>
          </w:p>
        </w:tc>
        <w:tc>
          <w:tcPr>
            <w:tcW w:w="1848" w:type="dxa"/>
            <w:shd w:val="clear" w:color="auto" w:fill="auto"/>
            <w:vAlign w:val="center"/>
          </w:tcPr>
          <w:p w:rsidR="003C6A0B" w:rsidRPr="003F685D" w:rsidRDefault="003C6A0B" w:rsidP="006A65C9">
            <w:pPr>
              <w:pStyle w:val="TableText0"/>
              <w:keepLines/>
              <w:widowControl w:val="0"/>
              <w:rPr>
                <w:szCs w:val="20"/>
              </w:rPr>
            </w:pPr>
            <w:r w:rsidRPr="003F685D">
              <w:rPr>
                <w:szCs w:val="20"/>
              </w:rPr>
              <w:t xml:space="preserve">Median months </w:t>
            </w:r>
            <w:r>
              <w:rPr>
                <w:szCs w:val="20"/>
              </w:rPr>
              <w:t>O</w:t>
            </w:r>
            <w:r w:rsidRPr="003F685D">
              <w:rPr>
                <w:szCs w:val="20"/>
              </w:rPr>
              <w:t>S</w:t>
            </w:r>
          </w:p>
        </w:tc>
        <w:tc>
          <w:tcPr>
            <w:tcW w:w="1615" w:type="dxa"/>
            <w:shd w:val="clear" w:color="auto" w:fill="auto"/>
            <w:vAlign w:val="center"/>
          </w:tcPr>
          <w:p w:rsidR="003C6A0B" w:rsidRDefault="003C6A0B" w:rsidP="006A65C9">
            <w:pPr>
              <w:pStyle w:val="TableText0"/>
              <w:keepLines/>
              <w:widowControl w:val="0"/>
              <w:jc w:val="center"/>
              <w:rPr>
                <w:szCs w:val="20"/>
              </w:rPr>
            </w:pPr>
            <w:r>
              <w:rPr>
                <w:szCs w:val="20"/>
              </w:rPr>
              <w:t>NE</w:t>
            </w:r>
          </w:p>
        </w:tc>
        <w:tc>
          <w:tcPr>
            <w:tcW w:w="1601" w:type="dxa"/>
            <w:shd w:val="clear" w:color="auto" w:fill="auto"/>
            <w:vAlign w:val="center"/>
          </w:tcPr>
          <w:p w:rsidR="003C6A0B" w:rsidRDefault="003C6A0B" w:rsidP="006A65C9">
            <w:pPr>
              <w:pStyle w:val="TableText0"/>
              <w:keepLines/>
              <w:widowControl w:val="0"/>
              <w:jc w:val="center"/>
              <w:rPr>
                <w:szCs w:val="20"/>
              </w:rPr>
            </w:pPr>
            <w:r>
              <w:rPr>
                <w:szCs w:val="20"/>
              </w:rPr>
              <w:t>NE</w:t>
            </w:r>
          </w:p>
        </w:tc>
        <w:tc>
          <w:tcPr>
            <w:tcW w:w="1485" w:type="dxa"/>
            <w:shd w:val="clear" w:color="auto" w:fill="auto"/>
            <w:vAlign w:val="center"/>
          </w:tcPr>
          <w:p w:rsidR="003C6A0B" w:rsidRPr="000549DC" w:rsidRDefault="003C6A0B" w:rsidP="006A65C9">
            <w:pPr>
              <w:pStyle w:val="TableText0"/>
              <w:keepLines/>
              <w:widowControl w:val="0"/>
              <w:jc w:val="center"/>
            </w:pPr>
            <w:r>
              <w:rPr>
                <w:b/>
                <w:szCs w:val="20"/>
              </w:rPr>
              <w:t>0.69 (0.53, 0.88)</w:t>
            </w:r>
          </w:p>
        </w:tc>
      </w:tr>
      <w:tr w:rsidR="003C6A0B" w:rsidTr="003C6A0B">
        <w:tblPrEx>
          <w:tblCellMar>
            <w:left w:w="108" w:type="dxa"/>
            <w:right w:w="108" w:type="dxa"/>
          </w:tblCellMar>
        </w:tblPrEx>
        <w:tc>
          <w:tcPr>
            <w:tcW w:w="2518" w:type="dxa"/>
            <w:vMerge w:val="restart"/>
            <w:tcMar>
              <w:left w:w="28" w:type="dxa"/>
              <w:right w:w="28" w:type="dxa"/>
            </w:tcMar>
          </w:tcPr>
          <w:p w:rsidR="003C6A0B" w:rsidRDefault="003C6A0B" w:rsidP="006A65C9">
            <w:pPr>
              <w:pStyle w:val="TableText0"/>
              <w:keepLines/>
              <w:widowControl w:val="0"/>
            </w:pPr>
            <w:r>
              <w:t xml:space="preserve">SPARTAN: apalutamide </w:t>
            </w:r>
            <w:r>
              <w:br/>
              <w:t>(52.0 months median follow-up)</w:t>
            </w:r>
          </w:p>
        </w:tc>
        <w:tc>
          <w:tcPr>
            <w:tcW w:w="1848" w:type="dxa"/>
            <w:tcMar>
              <w:left w:w="28" w:type="dxa"/>
              <w:right w:w="28" w:type="dxa"/>
            </w:tcMar>
          </w:tcPr>
          <w:p w:rsidR="003C6A0B" w:rsidRDefault="003C6A0B" w:rsidP="006A65C9">
            <w:pPr>
              <w:pStyle w:val="TableText0"/>
              <w:keepLines/>
              <w:widowControl w:val="0"/>
              <w:rPr>
                <w:szCs w:val="20"/>
              </w:rPr>
            </w:pPr>
            <w:r>
              <w:rPr>
                <w:szCs w:val="20"/>
              </w:rPr>
              <w:t>Dead</w:t>
            </w:r>
          </w:p>
        </w:tc>
        <w:tc>
          <w:tcPr>
            <w:tcW w:w="1615" w:type="dxa"/>
            <w:tcMar>
              <w:left w:w="28" w:type="dxa"/>
              <w:right w:w="28" w:type="dxa"/>
            </w:tcMar>
          </w:tcPr>
          <w:p w:rsidR="003C6A0B" w:rsidRDefault="003C6A0B" w:rsidP="006A65C9">
            <w:pPr>
              <w:pStyle w:val="TableText0"/>
              <w:keepLines/>
              <w:widowControl w:val="0"/>
              <w:jc w:val="center"/>
              <w:rPr>
                <w:szCs w:val="20"/>
              </w:rPr>
            </w:pPr>
            <w:r>
              <w:rPr>
                <w:szCs w:val="20"/>
              </w:rPr>
              <w:t>274/806 (34.0%)</w:t>
            </w:r>
          </w:p>
        </w:tc>
        <w:tc>
          <w:tcPr>
            <w:tcW w:w="1601" w:type="dxa"/>
            <w:tcMar>
              <w:left w:w="28" w:type="dxa"/>
              <w:right w:w="28" w:type="dxa"/>
            </w:tcMar>
          </w:tcPr>
          <w:p w:rsidR="003C6A0B" w:rsidRDefault="003C6A0B" w:rsidP="006A65C9">
            <w:pPr>
              <w:pStyle w:val="TableText0"/>
              <w:keepLines/>
              <w:widowControl w:val="0"/>
              <w:jc w:val="center"/>
              <w:rPr>
                <w:szCs w:val="20"/>
              </w:rPr>
            </w:pPr>
            <w:r>
              <w:rPr>
                <w:szCs w:val="20"/>
              </w:rPr>
              <w:t>154/401 (38.4%)</w:t>
            </w:r>
          </w:p>
        </w:tc>
        <w:tc>
          <w:tcPr>
            <w:tcW w:w="1485" w:type="dxa"/>
            <w:tcMar>
              <w:left w:w="28" w:type="dxa"/>
              <w:right w:w="28" w:type="dxa"/>
            </w:tcMar>
          </w:tcPr>
          <w:p w:rsidR="003C6A0B" w:rsidRDefault="003C6A0B" w:rsidP="006A65C9">
            <w:pPr>
              <w:pStyle w:val="TableText0"/>
              <w:keepLines/>
              <w:widowControl w:val="0"/>
              <w:jc w:val="center"/>
            </w:pPr>
            <w:r>
              <w:t>-</w:t>
            </w:r>
          </w:p>
        </w:tc>
      </w:tr>
      <w:tr w:rsidR="003C6A0B" w:rsidTr="003C6A0B">
        <w:tblPrEx>
          <w:tblCellMar>
            <w:left w:w="108" w:type="dxa"/>
            <w:right w:w="108" w:type="dxa"/>
          </w:tblCellMar>
        </w:tblPrEx>
        <w:tc>
          <w:tcPr>
            <w:tcW w:w="2518" w:type="dxa"/>
            <w:vMerge/>
            <w:tcMar>
              <w:left w:w="28" w:type="dxa"/>
              <w:right w:w="28" w:type="dxa"/>
            </w:tcMar>
          </w:tcPr>
          <w:p w:rsidR="003C6A0B" w:rsidRDefault="003C6A0B" w:rsidP="006A65C9">
            <w:pPr>
              <w:pStyle w:val="TableText0"/>
              <w:keepLines/>
              <w:widowControl w:val="0"/>
            </w:pPr>
          </w:p>
        </w:tc>
        <w:tc>
          <w:tcPr>
            <w:tcW w:w="1848" w:type="dxa"/>
            <w:tcMar>
              <w:left w:w="28" w:type="dxa"/>
              <w:right w:w="28" w:type="dxa"/>
            </w:tcMar>
          </w:tcPr>
          <w:p w:rsidR="003C6A0B" w:rsidRDefault="003C6A0B" w:rsidP="006A65C9">
            <w:pPr>
              <w:pStyle w:val="TableText0"/>
              <w:keepLines/>
              <w:widowControl w:val="0"/>
              <w:rPr>
                <w:szCs w:val="20"/>
              </w:rPr>
            </w:pPr>
            <w:r>
              <w:rPr>
                <w:szCs w:val="20"/>
              </w:rPr>
              <w:t>Median months OS</w:t>
            </w:r>
          </w:p>
        </w:tc>
        <w:tc>
          <w:tcPr>
            <w:tcW w:w="1615" w:type="dxa"/>
            <w:tcMar>
              <w:left w:w="28" w:type="dxa"/>
              <w:right w:w="28" w:type="dxa"/>
            </w:tcMar>
          </w:tcPr>
          <w:p w:rsidR="003C6A0B" w:rsidRDefault="003C6A0B" w:rsidP="006A65C9">
            <w:pPr>
              <w:pStyle w:val="TableText0"/>
              <w:keepLines/>
              <w:widowControl w:val="0"/>
              <w:jc w:val="center"/>
              <w:rPr>
                <w:szCs w:val="20"/>
              </w:rPr>
            </w:pPr>
            <w:r>
              <w:rPr>
                <w:szCs w:val="20"/>
              </w:rPr>
              <w:t>73.9</w:t>
            </w:r>
          </w:p>
        </w:tc>
        <w:tc>
          <w:tcPr>
            <w:tcW w:w="1601" w:type="dxa"/>
            <w:tcMar>
              <w:left w:w="28" w:type="dxa"/>
              <w:right w:w="28" w:type="dxa"/>
            </w:tcMar>
          </w:tcPr>
          <w:p w:rsidR="003C6A0B" w:rsidRDefault="003C6A0B" w:rsidP="006A65C9">
            <w:pPr>
              <w:pStyle w:val="TableText0"/>
              <w:keepLines/>
              <w:widowControl w:val="0"/>
              <w:jc w:val="center"/>
              <w:rPr>
                <w:szCs w:val="20"/>
              </w:rPr>
            </w:pPr>
            <w:r>
              <w:rPr>
                <w:szCs w:val="20"/>
              </w:rPr>
              <w:t>59.9</w:t>
            </w:r>
          </w:p>
        </w:tc>
        <w:tc>
          <w:tcPr>
            <w:tcW w:w="1485" w:type="dxa"/>
            <w:tcMar>
              <w:left w:w="28" w:type="dxa"/>
              <w:right w:w="28" w:type="dxa"/>
            </w:tcMar>
          </w:tcPr>
          <w:p w:rsidR="003C6A0B" w:rsidRPr="003B0C6D" w:rsidRDefault="003C6A0B" w:rsidP="006A65C9">
            <w:pPr>
              <w:pStyle w:val="TableText0"/>
              <w:keepLines/>
              <w:widowControl w:val="0"/>
              <w:jc w:val="center"/>
              <w:rPr>
                <w:b/>
              </w:rPr>
            </w:pPr>
            <w:r w:rsidRPr="003B0C6D">
              <w:rPr>
                <w:b/>
              </w:rPr>
              <w:t>0.78 (0.64, 0.96)</w:t>
            </w:r>
          </w:p>
        </w:tc>
      </w:tr>
      <w:tr w:rsidR="003C6A0B" w:rsidTr="003C6A0B">
        <w:tblPrEx>
          <w:tblCellMar>
            <w:left w:w="108" w:type="dxa"/>
            <w:right w:w="108" w:type="dxa"/>
          </w:tblCellMar>
        </w:tblPrEx>
        <w:tc>
          <w:tcPr>
            <w:tcW w:w="2518" w:type="dxa"/>
            <w:vMerge w:val="restart"/>
            <w:tcMar>
              <w:left w:w="28" w:type="dxa"/>
              <w:right w:w="28" w:type="dxa"/>
            </w:tcMar>
          </w:tcPr>
          <w:p w:rsidR="003C6A0B" w:rsidRDefault="003C6A0B" w:rsidP="006A65C9">
            <w:pPr>
              <w:pStyle w:val="TableText0"/>
              <w:keepLines/>
              <w:widowControl w:val="0"/>
            </w:pPr>
            <w:r>
              <w:t>PROSPER: enzalutamide</w:t>
            </w:r>
          </w:p>
          <w:p w:rsidR="003C6A0B" w:rsidRPr="000549DC" w:rsidRDefault="003C6A0B" w:rsidP="006A65C9">
            <w:pPr>
              <w:pStyle w:val="TableText0"/>
              <w:keepLines/>
              <w:widowControl w:val="0"/>
            </w:pPr>
            <w:r>
              <w:t>(48.0 months median follow-up)</w:t>
            </w:r>
          </w:p>
        </w:tc>
        <w:tc>
          <w:tcPr>
            <w:tcW w:w="1848" w:type="dxa"/>
            <w:tcMar>
              <w:left w:w="28" w:type="dxa"/>
              <w:right w:w="28" w:type="dxa"/>
            </w:tcMar>
          </w:tcPr>
          <w:p w:rsidR="003C6A0B" w:rsidRPr="003F685D" w:rsidRDefault="003C6A0B" w:rsidP="006A65C9">
            <w:pPr>
              <w:pStyle w:val="TableText0"/>
              <w:keepLines/>
              <w:widowControl w:val="0"/>
              <w:rPr>
                <w:szCs w:val="20"/>
              </w:rPr>
            </w:pPr>
            <w:r>
              <w:rPr>
                <w:szCs w:val="20"/>
              </w:rPr>
              <w:t>Dead</w:t>
            </w:r>
          </w:p>
        </w:tc>
        <w:tc>
          <w:tcPr>
            <w:tcW w:w="1615" w:type="dxa"/>
            <w:tcMar>
              <w:left w:w="28" w:type="dxa"/>
              <w:right w:w="28" w:type="dxa"/>
            </w:tcMar>
          </w:tcPr>
          <w:p w:rsidR="003C6A0B" w:rsidRDefault="003C6A0B" w:rsidP="006A65C9">
            <w:pPr>
              <w:pStyle w:val="TableText0"/>
              <w:keepLines/>
              <w:widowControl w:val="0"/>
              <w:jc w:val="center"/>
              <w:rPr>
                <w:szCs w:val="20"/>
              </w:rPr>
            </w:pPr>
            <w:r>
              <w:rPr>
                <w:szCs w:val="20"/>
              </w:rPr>
              <w:t>288/933 (31.8%)</w:t>
            </w:r>
          </w:p>
        </w:tc>
        <w:tc>
          <w:tcPr>
            <w:tcW w:w="1601" w:type="dxa"/>
            <w:tcMar>
              <w:left w:w="28" w:type="dxa"/>
              <w:right w:w="28" w:type="dxa"/>
            </w:tcMar>
          </w:tcPr>
          <w:p w:rsidR="003C6A0B" w:rsidRDefault="003C6A0B" w:rsidP="006A65C9">
            <w:pPr>
              <w:pStyle w:val="TableText0"/>
              <w:keepLines/>
              <w:widowControl w:val="0"/>
              <w:jc w:val="center"/>
              <w:rPr>
                <w:szCs w:val="20"/>
              </w:rPr>
            </w:pPr>
            <w:r>
              <w:rPr>
                <w:szCs w:val="20"/>
              </w:rPr>
              <w:t>178/468 (38.0%)</w:t>
            </w:r>
          </w:p>
        </w:tc>
        <w:tc>
          <w:tcPr>
            <w:tcW w:w="1485" w:type="dxa"/>
            <w:tcMar>
              <w:left w:w="28" w:type="dxa"/>
              <w:right w:w="28" w:type="dxa"/>
            </w:tcMar>
          </w:tcPr>
          <w:p w:rsidR="003C6A0B" w:rsidRDefault="003C6A0B" w:rsidP="006A65C9">
            <w:pPr>
              <w:pStyle w:val="TableText0"/>
              <w:keepLines/>
              <w:widowControl w:val="0"/>
              <w:jc w:val="center"/>
            </w:pPr>
          </w:p>
        </w:tc>
      </w:tr>
      <w:tr w:rsidR="003C6A0B" w:rsidTr="003C6A0B">
        <w:tblPrEx>
          <w:tblCellMar>
            <w:left w:w="108" w:type="dxa"/>
            <w:right w:w="108" w:type="dxa"/>
          </w:tblCellMar>
        </w:tblPrEx>
        <w:tc>
          <w:tcPr>
            <w:tcW w:w="2518" w:type="dxa"/>
            <w:vMerge/>
            <w:tcMar>
              <w:left w:w="28" w:type="dxa"/>
              <w:right w:w="28" w:type="dxa"/>
            </w:tcMar>
          </w:tcPr>
          <w:p w:rsidR="003C6A0B" w:rsidRPr="000549DC" w:rsidRDefault="003C6A0B" w:rsidP="006A65C9">
            <w:pPr>
              <w:pStyle w:val="TableText0"/>
              <w:keepLines/>
              <w:widowControl w:val="0"/>
            </w:pPr>
          </w:p>
        </w:tc>
        <w:tc>
          <w:tcPr>
            <w:tcW w:w="1848" w:type="dxa"/>
            <w:tcMar>
              <w:left w:w="28" w:type="dxa"/>
              <w:right w:w="28" w:type="dxa"/>
            </w:tcMar>
          </w:tcPr>
          <w:p w:rsidR="003C6A0B" w:rsidRPr="003F685D" w:rsidRDefault="003C6A0B" w:rsidP="006A65C9">
            <w:pPr>
              <w:pStyle w:val="TableText0"/>
              <w:keepLines/>
              <w:widowControl w:val="0"/>
              <w:rPr>
                <w:szCs w:val="20"/>
              </w:rPr>
            </w:pPr>
            <w:r>
              <w:rPr>
                <w:szCs w:val="20"/>
              </w:rPr>
              <w:t>Median months OS</w:t>
            </w:r>
          </w:p>
        </w:tc>
        <w:tc>
          <w:tcPr>
            <w:tcW w:w="1615" w:type="dxa"/>
            <w:tcMar>
              <w:left w:w="28" w:type="dxa"/>
              <w:right w:w="28" w:type="dxa"/>
            </w:tcMar>
          </w:tcPr>
          <w:p w:rsidR="003C6A0B" w:rsidRDefault="003C6A0B" w:rsidP="006A65C9">
            <w:pPr>
              <w:pStyle w:val="TableText0"/>
              <w:keepLines/>
              <w:widowControl w:val="0"/>
              <w:jc w:val="center"/>
              <w:rPr>
                <w:szCs w:val="20"/>
              </w:rPr>
            </w:pPr>
            <w:r>
              <w:rPr>
                <w:szCs w:val="20"/>
              </w:rPr>
              <w:t>67.0</w:t>
            </w:r>
          </w:p>
        </w:tc>
        <w:tc>
          <w:tcPr>
            <w:tcW w:w="1601" w:type="dxa"/>
            <w:tcMar>
              <w:left w:w="28" w:type="dxa"/>
              <w:right w:w="28" w:type="dxa"/>
            </w:tcMar>
          </w:tcPr>
          <w:p w:rsidR="003C6A0B" w:rsidRDefault="003C6A0B" w:rsidP="006A65C9">
            <w:pPr>
              <w:pStyle w:val="TableText0"/>
              <w:keepLines/>
              <w:widowControl w:val="0"/>
              <w:jc w:val="center"/>
              <w:rPr>
                <w:szCs w:val="20"/>
              </w:rPr>
            </w:pPr>
            <w:r>
              <w:rPr>
                <w:szCs w:val="20"/>
              </w:rPr>
              <w:t>56.3</w:t>
            </w:r>
          </w:p>
        </w:tc>
        <w:tc>
          <w:tcPr>
            <w:tcW w:w="1485" w:type="dxa"/>
            <w:tcMar>
              <w:left w:w="28" w:type="dxa"/>
              <w:right w:w="28" w:type="dxa"/>
            </w:tcMar>
          </w:tcPr>
          <w:p w:rsidR="003C6A0B" w:rsidRPr="00ED08E7" w:rsidRDefault="003C6A0B" w:rsidP="006A65C9">
            <w:pPr>
              <w:pStyle w:val="TableText0"/>
              <w:keepLines/>
              <w:widowControl w:val="0"/>
              <w:jc w:val="center"/>
              <w:rPr>
                <w:b/>
              </w:rPr>
            </w:pPr>
            <w:r w:rsidRPr="00ED08E7">
              <w:rPr>
                <w:b/>
              </w:rPr>
              <w:t>0.73 (0.61, 0.89)</w:t>
            </w:r>
          </w:p>
        </w:tc>
      </w:tr>
      <w:tr w:rsidR="003C6A0B" w:rsidTr="003C6A0B">
        <w:tc>
          <w:tcPr>
            <w:tcW w:w="7582" w:type="dxa"/>
            <w:gridSpan w:val="4"/>
            <w:tcBorders>
              <w:bottom w:val="single" w:sz="4" w:space="0" w:color="auto"/>
            </w:tcBorders>
            <w:tcMar>
              <w:left w:w="28" w:type="dxa"/>
              <w:right w:w="28" w:type="dxa"/>
            </w:tcMar>
            <w:vAlign w:val="center"/>
          </w:tcPr>
          <w:p w:rsidR="003C6A0B" w:rsidRDefault="003C6A0B" w:rsidP="006A65C9">
            <w:pPr>
              <w:pStyle w:val="TableText0"/>
              <w:keepLines/>
              <w:widowControl w:val="0"/>
              <w:jc w:val="right"/>
              <w:rPr>
                <w:b/>
                <w:szCs w:val="20"/>
              </w:rPr>
            </w:pPr>
            <w:r>
              <w:rPr>
                <w:b/>
                <w:szCs w:val="20"/>
              </w:rPr>
              <w:t>indirect comparison darolutamide vs apalutamide (52.0 months follow-up)</w:t>
            </w:r>
          </w:p>
        </w:tc>
        <w:tc>
          <w:tcPr>
            <w:tcW w:w="1485" w:type="dxa"/>
            <w:tcBorders>
              <w:bottom w:val="single" w:sz="4" w:space="0" w:color="auto"/>
            </w:tcBorders>
            <w:tcMar>
              <w:left w:w="28" w:type="dxa"/>
              <w:right w:w="28" w:type="dxa"/>
            </w:tcMar>
            <w:vAlign w:val="center"/>
          </w:tcPr>
          <w:p w:rsidR="003C6A0B" w:rsidRPr="00417EF1" w:rsidRDefault="003C6A0B" w:rsidP="006A65C9">
            <w:pPr>
              <w:pStyle w:val="TableText0"/>
              <w:keepLines/>
              <w:widowControl w:val="0"/>
              <w:jc w:val="center"/>
            </w:pPr>
            <w:r>
              <w:t>0.88 (0.64, 1.21)</w:t>
            </w:r>
          </w:p>
        </w:tc>
      </w:tr>
      <w:tr w:rsidR="003C6A0B" w:rsidTr="003C6A0B">
        <w:tblPrEx>
          <w:tblCellMar>
            <w:left w:w="108" w:type="dxa"/>
            <w:right w:w="108" w:type="dxa"/>
          </w:tblCellMar>
        </w:tblPrEx>
        <w:tc>
          <w:tcPr>
            <w:tcW w:w="7582" w:type="dxa"/>
            <w:gridSpan w:val="4"/>
            <w:tcMar>
              <w:left w:w="28" w:type="dxa"/>
              <w:right w:w="28" w:type="dxa"/>
            </w:tcMar>
          </w:tcPr>
          <w:p w:rsidR="003C6A0B" w:rsidRDefault="003C6A0B" w:rsidP="006A65C9">
            <w:pPr>
              <w:pStyle w:val="TableText0"/>
              <w:keepLines/>
              <w:widowControl w:val="0"/>
              <w:jc w:val="right"/>
              <w:rPr>
                <w:b/>
                <w:szCs w:val="20"/>
              </w:rPr>
            </w:pPr>
            <w:r>
              <w:rPr>
                <w:b/>
                <w:szCs w:val="20"/>
              </w:rPr>
              <w:t>indirect comparison darolutamide vs. enzalutamide (48.0 months follow-up)</w:t>
            </w:r>
          </w:p>
        </w:tc>
        <w:tc>
          <w:tcPr>
            <w:tcW w:w="1485" w:type="dxa"/>
            <w:tcMar>
              <w:left w:w="28" w:type="dxa"/>
              <w:right w:w="28" w:type="dxa"/>
            </w:tcMar>
          </w:tcPr>
          <w:p w:rsidR="003C6A0B" w:rsidRPr="00417EF1" w:rsidRDefault="003C6A0B" w:rsidP="006A65C9">
            <w:pPr>
              <w:pStyle w:val="TableText0"/>
              <w:keepLines/>
              <w:widowControl w:val="0"/>
              <w:jc w:val="center"/>
            </w:pPr>
            <w:r>
              <w:t>0.94 (0.69, 1.29)</w:t>
            </w:r>
          </w:p>
        </w:tc>
      </w:tr>
    </w:tbl>
    <w:p w:rsidR="003C6A0B" w:rsidRDefault="003C6A0B" w:rsidP="006A65C9">
      <w:pPr>
        <w:pStyle w:val="TableFooter"/>
        <w:keepNext/>
        <w:keepLines/>
      </w:pPr>
      <w:r w:rsidRPr="00E71DD6">
        <w:t>Source:</w:t>
      </w:r>
      <w:r>
        <w:t xml:space="preserve"> Table 2-18, p84; Table 2-20, p90; Table 2-21, p94; Table 2-34, p138; and Table 2-35, p141 of the resubmission.</w:t>
      </w:r>
    </w:p>
    <w:p w:rsidR="003C6A0B" w:rsidRDefault="003C6A0B" w:rsidP="006A65C9">
      <w:pPr>
        <w:pStyle w:val="TableFooter"/>
        <w:keepNext/>
        <w:keepLines/>
      </w:pPr>
      <w:r>
        <w:t xml:space="preserve">CI = confidence interval; HR = hazard ratio; MFS = metastasis-free survival; NE = not estimable; NR = not reported; OS = overall survival; SOC = standard of care; </w:t>
      </w:r>
      <w:r w:rsidRPr="00FA37F0">
        <w:rPr>
          <w:b/>
        </w:rPr>
        <w:t>bold</w:t>
      </w:r>
      <w:r>
        <w:rPr>
          <w:b/>
        </w:rPr>
        <w:t xml:space="preserve"> </w:t>
      </w:r>
      <w:r>
        <w:t>= statistically significant</w:t>
      </w:r>
    </w:p>
    <w:p w:rsidR="003C6A0B" w:rsidRDefault="003C6A0B" w:rsidP="006A65C9">
      <w:pPr>
        <w:pStyle w:val="TableFooter"/>
        <w:keepNext/>
        <w:keepLines/>
        <w:tabs>
          <w:tab w:val="left" w:pos="142"/>
        </w:tabs>
      </w:pPr>
      <w:r w:rsidRPr="00717794">
        <w:rPr>
          <w:vertAlign w:val="superscript"/>
        </w:rPr>
        <w:t>a</w:t>
      </w:r>
      <w:r>
        <w:tab/>
        <w:t>Median-follow-up for the SOC arm in PROSPER was 15.1 months</w:t>
      </w:r>
    </w:p>
    <w:p w:rsidR="00C457CF" w:rsidRPr="00717794" w:rsidRDefault="00C457CF" w:rsidP="006A65C9">
      <w:pPr>
        <w:pStyle w:val="TableFooter"/>
        <w:keepNext/>
        <w:keepLines/>
        <w:tabs>
          <w:tab w:val="left" w:pos="142"/>
        </w:tabs>
      </w:pPr>
      <w:r>
        <w:t>For the indirect comparisons, HR r</w:t>
      </w:r>
      <w:r w:rsidRPr="00C457CF">
        <w:t>esult</w:t>
      </w:r>
      <w:r>
        <w:t>s</w:t>
      </w:r>
      <w:r w:rsidRPr="00C457CF">
        <w:t xml:space="preserve"> &lt;1 favour</w:t>
      </w:r>
      <w:r>
        <w:t xml:space="preserve"> darolutamide </w:t>
      </w:r>
    </w:p>
    <w:p w:rsidR="003C6A0B" w:rsidRDefault="003C6A0B" w:rsidP="008227E0"/>
    <w:p w:rsidR="00504985" w:rsidRDefault="00504985" w:rsidP="00443848">
      <w:pPr>
        <w:pStyle w:val="3-BodyText"/>
        <w:snapToGrid w:val="0"/>
        <w:spacing w:after="160"/>
      </w:pPr>
      <w:r w:rsidRPr="008D0CDA">
        <w:t xml:space="preserve">The ITCs of MFS (not corrected) resulted in a statistically significant advantage for both apalutamide and enzalutamide when compared to darolutamide. However, when the MFS comparisons were performed correcting for the misclassification of ARAMIS patients who had baseline metastases, the differences were not statistically </w:t>
      </w:r>
      <w:r w:rsidRPr="008D0CDA">
        <w:lastRenderedPageBreak/>
        <w:t>significant. The submission argued that the inclusion of patients with metastases at baseline resulted in an underestimation of the darolutamide treatment effect.</w:t>
      </w:r>
      <w:r>
        <w:t xml:space="preserve"> </w:t>
      </w:r>
    </w:p>
    <w:p w:rsidR="00504985" w:rsidRPr="00470FAC" w:rsidRDefault="00504985" w:rsidP="00443848">
      <w:pPr>
        <w:pStyle w:val="3-BodyText"/>
        <w:snapToGrid w:val="0"/>
        <w:spacing w:after="160"/>
      </w:pPr>
      <w:r w:rsidRPr="00470FAC">
        <w:t xml:space="preserve">The ITCs of OS using the final analysis results from </w:t>
      </w:r>
      <w:r w:rsidR="0013221C" w:rsidRPr="00470FAC">
        <w:t xml:space="preserve">ARAMIS, </w:t>
      </w:r>
      <w:r w:rsidRPr="00470FAC">
        <w:t>SPARTAN and PROSPER resulted in no statistically significant differences between darolutamide and apalutamide or between darolutamide and enzalutamide.</w:t>
      </w:r>
      <w:r w:rsidR="00716486" w:rsidRPr="00470FAC">
        <w:t xml:space="preserve"> However, the trials differed in terms of length of follow-up and extent of cross-over. </w:t>
      </w:r>
    </w:p>
    <w:p w:rsidR="002C2775" w:rsidRPr="00470FAC" w:rsidRDefault="008227E0" w:rsidP="00EC5836">
      <w:pPr>
        <w:pStyle w:val="3-BodyText"/>
      </w:pPr>
      <w:r w:rsidRPr="00470FAC">
        <w:t>Jiang 2020a presented MAIC results from comparisons of MFS between darolutamide and apalutamide</w:t>
      </w:r>
      <w:r w:rsidR="009B50F4" w:rsidRPr="00470FAC">
        <w:t>,</w:t>
      </w:r>
      <w:r w:rsidRPr="00470FAC">
        <w:t xml:space="preserve"> and </w:t>
      </w:r>
      <w:r w:rsidR="009B50F4" w:rsidRPr="00470FAC">
        <w:t xml:space="preserve">between </w:t>
      </w:r>
      <w:r w:rsidRPr="00470FAC">
        <w:t xml:space="preserve">darolutamide and enzalutamide. Patients in both arms of the ARAMIS trial were reweighted so that the average baseline characteristics matched the respective active and SOC arms in the SPARTAN and PROSPER trials. </w:t>
      </w:r>
    </w:p>
    <w:p w:rsidR="008227E0" w:rsidRPr="00470FAC" w:rsidRDefault="008227E0" w:rsidP="00EC5836">
      <w:pPr>
        <w:pStyle w:val="3-BodyText"/>
        <w:rPr>
          <w:color w:val="0066FF"/>
        </w:rPr>
      </w:pPr>
      <w:r w:rsidRPr="00470FAC">
        <w:rPr>
          <w:iCs/>
        </w:rPr>
        <w:t xml:space="preserve">In terms of efficacy, Jiang 2020a observed no significant differences in MFS between darolutamide and apalutamide prior to matching (HR = 1.29; 95% CI: 0.95, 1.74) or after matching (HR = 1.14; 95% CI: 0.83, 1.58). Similarly, there were no significant differences between darolutamide and enzalutamide prior to matching (HR = 1.23; 95% CI: 0.93, 1.64) or after matching (HR = 1.20; 95% CI: 0.87, 1.65). The resubmission noted that the results from Jiang 2020a were similar to the results of the Bucher ITCs presented in Table </w:t>
      </w:r>
      <w:r w:rsidR="000C08E6">
        <w:rPr>
          <w:iCs/>
        </w:rPr>
        <w:t>7</w:t>
      </w:r>
      <w:r w:rsidR="009B50F4" w:rsidRPr="00470FAC">
        <w:rPr>
          <w:iCs/>
        </w:rPr>
        <w:t xml:space="preserve"> (when the censored results from ARAMIS corrected for misclassification of patients were used)</w:t>
      </w:r>
      <w:r w:rsidRPr="00470FAC">
        <w:rPr>
          <w:iCs/>
        </w:rPr>
        <w:t>.</w:t>
      </w:r>
      <w:r w:rsidRPr="00470FAC">
        <w:rPr>
          <w:snapToGrid/>
          <w:color w:val="0066FF"/>
          <w:lang w:val="en-US"/>
        </w:rPr>
        <w:t xml:space="preserve"> </w:t>
      </w:r>
    </w:p>
    <w:p w:rsidR="00B60939" w:rsidRPr="00C9624D" w:rsidRDefault="00B60939" w:rsidP="00D86231">
      <w:pPr>
        <w:pStyle w:val="4-SubsectionHeading"/>
      </w:pPr>
      <w:bookmarkStart w:id="15" w:name="_Toc22897642"/>
      <w:bookmarkStart w:id="16" w:name="_Toc62023472"/>
      <w:r w:rsidRPr="00C9624D">
        <w:t>Comparative harms</w:t>
      </w:r>
      <w:bookmarkEnd w:id="15"/>
      <w:bookmarkEnd w:id="16"/>
    </w:p>
    <w:p w:rsidR="00B60939" w:rsidRPr="00470FAC" w:rsidRDefault="008227E0" w:rsidP="00D86231">
      <w:pPr>
        <w:pStyle w:val="3-BodyText"/>
        <w:rPr>
          <w:color w:val="0066FF"/>
        </w:rPr>
      </w:pPr>
      <w:r w:rsidRPr="008D0CDA">
        <w:t xml:space="preserve">The resubmission provided post-hoc analyses of a wide range of AEs associated with ADT treatment (e.g. fracture, falls) and those associated with the novel anti-androgens (e.g. seizure and rash). </w:t>
      </w:r>
      <w:r w:rsidRPr="00470FAC">
        <w:t>In July 2020, the PBAC noted that there was a statistically significantly greater occurrence of rash, fatigue and cardiovascular disorders associated with darolutamide treatment compared to SOC. The PBAC considered that fatigue/asthenia may have a considerable impact on cognitive function, given treatment is likely to be long-term and the majority of the patient population are elderly (paragraph 7.10, darolutamide PSD, July 2020).</w:t>
      </w:r>
    </w:p>
    <w:p w:rsidR="006172B2" w:rsidRPr="00470FAC" w:rsidRDefault="008A3F06" w:rsidP="008A3F06">
      <w:pPr>
        <w:pStyle w:val="3-BodyText"/>
        <w:rPr>
          <w:color w:val="0066FF"/>
        </w:rPr>
      </w:pPr>
      <w:r w:rsidRPr="00470FAC">
        <w:t>In its consideration of the previous submission, the ESC noted the cardiovascular adverse event data and ‘considered that post-market monitoring would be important to discern whether there are additional safety signals for cardiac events with darolutamide’ (para</w:t>
      </w:r>
      <w:r w:rsidR="00CE65BB" w:rsidRPr="00470FAC">
        <w:t>graph</w:t>
      </w:r>
      <w:r w:rsidRPr="00470FAC">
        <w:t xml:space="preserve"> 6.23</w:t>
      </w:r>
      <w:r w:rsidR="00CE65BB" w:rsidRPr="00470FAC">
        <w:t>,</w:t>
      </w:r>
      <w:r w:rsidRPr="00470FAC">
        <w:t xml:space="preserve"> </w:t>
      </w:r>
      <w:r w:rsidR="00CE65BB" w:rsidRPr="00470FAC">
        <w:t>d</w:t>
      </w:r>
      <w:r w:rsidRPr="00470FAC">
        <w:t xml:space="preserve">arolutamide PSD, July 2020). </w:t>
      </w:r>
      <w:r w:rsidR="006172B2" w:rsidRPr="00470FAC">
        <w:t>The resubmission re</w:t>
      </w:r>
      <w:r w:rsidR="00DC1877">
        <w:noBreakHyphen/>
      </w:r>
      <w:r w:rsidR="006172B2" w:rsidRPr="00470FAC">
        <w:t xml:space="preserve">presented data from the July 2020 </w:t>
      </w:r>
      <w:r w:rsidR="00DC1877">
        <w:t>P</w:t>
      </w:r>
      <w:r w:rsidR="006172B2" w:rsidRPr="00470FAC">
        <w:t xml:space="preserve">re-Sub-Committee </w:t>
      </w:r>
      <w:r w:rsidR="00DC1877">
        <w:t>R</w:t>
      </w:r>
      <w:r w:rsidR="006172B2" w:rsidRPr="00470FAC">
        <w:t xml:space="preserve">esponse </w:t>
      </w:r>
      <w:r w:rsidR="00DC1877">
        <w:t xml:space="preserve">(PSCR) </w:t>
      </w:r>
      <w:r w:rsidR="006172B2" w:rsidRPr="00470FAC">
        <w:t>demonstrating the incidence of cardiovascular disorders in the ARAMIS trial. The resubmission noted that the major contributors to the disproportion between the darolutamide (11.8%) and SOC (7.4%) arms in terms of cardiovascular events (OR = 3.32; 95% CI: 1.27, 8.65) were cardiac arrhythmias (particularly, cardiac conduction disorders, rate and rhythm disorders and supraventricular arrhythmias; however, there were no differences between the treatment arms in terms of ventricular arrhythmias or cardiac arrest), coronary artery disorders and heart failure.</w:t>
      </w:r>
    </w:p>
    <w:p w:rsidR="006172B2" w:rsidRPr="006172B2" w:rsidRDefault="006172B2" w:rsidP="008D0CDA">
      <w:pPr>
        <w:rPr>
          <w:rFonts w:ascii="Arial Narrow" w:hAnsi="Arial Narrow"/>
          <w:b/>
          <w:sz w:val="20"/>
          <w:szCs w:val="20"/>
        </w:rPr>
      </w:pPr>
      <w:r w:rsidRPr="006172B2">
        <w:rPr>
          <w:rFonts w:ascii="Arial Narrow" w:hAnsi="Arial Narrow"/>
          <w:b/>
          <w:sz w:val="20"/>
          <w:szCs w:val="20"/>
        </w:rPr>
        <w:lastRenderedPageBreak/>
        <w:t xml:space="preserve">Table </w:t>
      </w:r>
      <w:r w:rsidR="000C08E6">
        <w:rPr>
          <w:rFonts w:ascii="Arial Narrow" w:hAnsi="Arial Narrow"/>
          <w:b/>
          <w:sz w:val="20"/>
          <w:szCs w:val="20"/>
        </w:rPr>
        <w:t>8</w:t>
      </w:r>
      <w:r w:rsidRPr="006172B2">
        <w:rPr>
          <w:rFonts w:ascii="Arial Narrow" w:hAnsi="Arial Narrow"/>
          <w:b/>
          <w:sz w:val="20"/>
          <w:szCs w:val="20"/>
        </w:rPr>
        <w:t>: Incidence rates of cardiac disorder TEAEs in the ARAMIS trial (safety analysis set)</w:t>
      </w:r>
    </w:p>
    <w:tbl>
      <w:tblPr>
        <w:tblStyle w:val="TableGrid"/>
        <w:tblW w:w="9067" w:type="dxa"/>
        <w:tblLayout w:type="fixed"/>
        <w:tblLook w:val="04A0" w:firstRow="1" w:lastRow="0" w:firstColumn="1" w:lastColumn="0" w:noHBand="0" w:noVBand="1"/>
        <w:tblCaption w:val="Table 8: Incidence rates of cardiac disorder TEAEs in the ARAMIS trial (safety analysis set)"/>
      </w:tblPr>
      <w:tblGrid>
        <w:gridCol w:w="3114"/>
        <w:gridCol w:w="1134"/>
        <w:gridCol w:w="1134"/>
        <w:gridCol w:w="992"/>
        <w:gridCol w:w="1134"/>
        <w:gridCol w:w="1559"/>
      </w:tblGrid>
      <w:tr w:rsidR="006172B2" w:rsidTr="006242C1">
        <w:trPr>
          <w:tblHeader/>
        </w:trPr>
        <w:tc>
          <w:tcPr>
            <w:tcW w:w="3114" w:type="dxa"/>
            <w:vMerge w:val="restart"/>
          </w:tcPr>
          <w:p w:rsidR="006172B2" w:rsidRPr="00631BD6" w:rsidRDefault="006172B2" w:rsidP="008D0CDA">
            <w:pPr>
              <w:pStyle w:val="Tabletext"/>
              <w:keepNext/>
              <w:rPr>
                <w:szCs w:val="20"/>
              </w:rPr>
            </w:pPr>
          </w:p>
        </w:tc>
        <w:tc>
          <w:tcPr>
            <w:tcW w:w="2268" w:type="dxa"/>
            <w:gridSpan w:val="2"/>
          </w:tcPr>
          <w:p w:rsidR="006172B2" w:rsidRPr="00631BD6" w:rsidRDefault="006172B2" w:rsidP="008D0CDA">
            <w:pPr>
              <w:pStyle w:val="Tabletext"/>
              <w:keepNext/>
              <w:jc w:val="center"/>
              <w:rPr>
                <w:b/>
                <w:szCs w:val="20"/>
              </w:rPr>
            </w:pPr>
            <w:r w:rsidRPr="00631BD6">
              <w:rPr>
                <w:b/>
                <w:szCs w:val="20"/>
              </w:rPr>
              <w:t>Darolutamide (N = 954)</w:t>
            </w:r>
          </w:p>
        </w:tc>
        <w:tc>
          <w:tcPr>
            <w:tcW w:w="2126" w:type="dxa"/>
            <w:gridSpan w:val="2"/>
          </w:tcPr>
          <w:p w:rsidR="006172B2" w:rsidRPr="00631BD6" w:rsidRDefault="006172B2" w:rsidP="008D0CDA">
            <w:pPr>
              <w:pStyle w:val="Tabletext"/>
              <w:keepNext/>
              <w:jc w:val="center"/>
              <w:rPr>
                <w:b/>
                <w:szCs w:val="20"/>
              </w:rPr>
            </w:pPr>
            <w:r w:rsidRPr="00631BD6">
              <w:rPr>
                <w:b/>
                <w:szCs w:val="20"/>
              </w:rPr>
              <w:t>SOC (N = 554)</w:t>
            </w:r>
          </w:p>
        </w:tc>
        <w:tc>
          <w:tcPr>
            <w:tcW w:w="1559" w:type="dxa"/>
            <w:vMerge w:val="restart"/>
          </w:tcPr>
          <w:p w:rsidR="006172B2" w:rsidRPr="00631BD6" w:rsidRDefault="006172B2" w:rsidP="008D0CDA">
            <w:pPr>
              <w:pStyle w:val="Tabletext"/>
              <w:keepNext/>
              <w:jc w:val="center"/>
              <w:rPr>
                <w:b/>
                <w:szCs w:val="20"/>
              </w:rPr>
            </w:pPr>
            <w:r w:rsidRPr="00631BD6">
              <w:rPr>
                <w:b/>
                <w:szCs w:val="20"/>
              </w:rPr>
              <w:t xml:space="preserve">Incidence ratio for EAIR </w:t>
            </w:r>
            <w:r w:rsidRPr="00631BD6">
              <w:rPr>
                <w:b/>
                <w:szCs w:val="20"/>
              </w:rPr>
              <w:br/>
              <w:t>(95% CI)</w:t>
            </w:r>
          </w:p>
        </w:tc>
      </w:tr>
      <w:tr w:rsidR="006172B2" w:rsidTr="006242C1">
        <w:trPr>
          <w:tblHeader/>
        </w:trPr>
        <w:tc>
          <w:tcPr>
            <w:tcW w:w="3114" w:type="dxa"/>
            <w:vMerge/>
          </w:tcPr>
          <w:p w:rsidR="006172B2" w:rsidRPr="00631BD6" w:rsidRDefault="006172B2" w:rsidP="008D0CDA">
            <w:pPr>
              <w:pStyle w:val="Tabletext"/>
              <w:keepNext/>
              <w:rPr>
                <w:szCs w:val="20"/>
              </w:rPr>
            </w:pPr>
          </w:p>
        </w:tc>
        <w:tc>
          <w:tcPr>
            <w:tcW w:w="1134" w:type="dxa"/>
          </w:tcPr>
          <w:p w:rsidR="006172B2" w:rsidRPr="00631BD6" w:rsidRDefault="006172B2" w:rsidP="008D0CDA">
            <w:pPr>
              <w:pStyle w:val="Tabletext"/>
              <w:keepNext/>
              <w:jc w:val="center"/>
              <w:rPr>
                <w:b/>
                <w:szCs w:val="20"/>
              </w:rPr>
            </w:pPr>
            <w:r w:rsidRPr="00631BD6">
              <w:rPr>
                <w:b/>
                <w:szCs w:val="20"/>
              </w:rPr>
              <w:t>n (%)</w:t>
            </w:r>
          </w:p>
        </w:tc>
        <w:tc>
          <w:tcPr>
            <w:tcW w:w="1134" w:type="dxa"/>
          </w:tcPr>
          <w:p w:rsidR="006172B2" w:rsidRPr="00631BD6" w:rsidRDefault="006172B2" w:rsidP="008D0CDA">
            <w:pPr>
              <w:pStyle w:val="Tabletext"/>
              <w:keepNext/>
              <w:jc w:val="center"/>
              <w:rPr>
                <w:b/>
                <w:szCs w:val="20"/>
              </w:rPr>
            </w:pPr>
            <w:r w:rsidRPr="00631BD6">
              <w:rPr>
                <w:b/>
                <w:szCs w:val="20"/>
              </w:rPr>
              <w:t>EAIR per</w:t>
            </w:r>
          </w:p>
          <w:p w:rsidR="006172B2" w:rsidRPr="00631BD6" w:rsidRDefault="006172B2" w:rsidP="008D0CDA">
            <w:pPr>
              <w:pStyle w:val="Tabletext"/>
              <w:keepNext/>
              <w:jc w:val="center"/>
              <w:rPr>
                <w:b/>
                <w:szCs w:val="20"/>
              </w:rPr>
            </w:pPr>
            <w:r w:rsidRPr="00631BD6">
              <w:rPr>
                <w:b/>
                <w:szCs w:val="20"/>
              </w:rPr>
              <w:t>100 PY</w:t>
            </w:r>
          </w:p>
        </w:tc>
        <w:tc>
          <w:tcPr>
            <w:tcW w:w="992" w:type="dxa"/>
          </w:tcPr>
          <w:p w:rsidR="006172B2" w:rsidRPr="00631BD6" w:rsidRDefault="006172B2" w:rsidP="008D0CDA">
            <w:pPr>
              <w:pStyle w:val="Tabletext"/>
              <w:keepNext/>
              <w:jc w:val="center"/>
              <w:rPr>
                <w:b/>
                <w:szCs w:val="20"/>
              </w:rPr>
            </w:pPr>
            <w:r w:rsidRPr="00631BD6">
              <w:rPr>
                <w:b/>
                <w:szCs w:val="20"/>
              </w:rPr>
              <w:t>n (%)</w:t>
            </w:r>
          </w:p>
        </w:tc>
        <w:tc>
          <w:tcPr>
            <w:tcW w:w="1134" w:type="dxa"/>
          </w:tcPr>
          <w:p w:rsidR="006172B2" w:rsidRPr="00631BD6" w:rsidRDefault="006172B2" w:rsidP="008D0CDA">
            <w:pPr>
              <w:pStyle w:val="Tabletext"/>
              <w:keepNext/>
              <w:jc w:val="center"/>
              <w:rPr>
                <w:b/>
                <w:szCs w:val="20"/>
              </w:rPr>
            </w:pPr>
            <w:r w:rsidRPr="00631BD6">
              <w:rPr>
                <w:b/>
                <w:szCs w:val="20"/>
              </w:rPr>
              <w:t>EAIR per</w:t>
            </w:r>
          </w:p>
          <w:p w:rsidR="006172B2" w:rsidRPr="00631BD6" w:rsidRDefault="006172B2" w:rsidP="008D0CDA">
            <w:pPr>
              <w:pStyle w:val="Tabletext"/>
              <w:keepNext/>
              <w:jc w:val="center"/>
              <w:rPr>
                <w:b/>
                <w:szCs w:val="20"/>
              </w:rPr>
            </w:pPr>
            <w:r w:rsidRPr="00631BD6">
              <w:rPr>
                <w:b/>
                <w:szCs w:val="20"/>
              </w:rPr>
              <w:t>100 PY</w:t>
            </w:r>
          </w:p>
        </w:tc>
        <w:tc>
          <w:tcPr>
            <w:tcW w:w="1559" w:type="dxa"/>
            <w:vMerge/>
          </w:tcPr>
          <w:p w:rsidR="006172B2" w:rsidRPr="00631BD6" w:rsidRDefault="006172B2" w:rsidP="008D0CDA">
            <w:pPr>
              <w:pStyle w:val="Tabletext"/>
              <w:keepNext/>
              <w:rPr>
                <w:szCs w:val="20"/>
              </w:rPr>
            </w:pPr>
          </w:p>
        </w:tc>
      </w:tr>
      <w:tr w:rsidR="006172B2" w:rsidTr="006172B2">
        <w:tc>
          <w:tcPr>
            <w:tcW w:w="3114" w:type="dxa"/>
          </w:tcPr>
          <w:p w:rsidR="006172B2" w:rsidRPr="00631BD6" w:rsidRDefault="006172B2" w:rsidP="008D0CDA">
            <w:pPr>
              <w:pStyle w:val="Tabletext"/>
              <w:keepNext/>
              <w:rPr>
                <w:szCs w:val="20"/>
              </w:rPr>
            </w:pPr>
            <w:r w:rsidRPr="00631BD6">
              <w:rPr>
                <w:szCs w:val="20"/>
              </w:rPr>
              <w:t>Cardiac disorders, total</w:t>
            </w:r>
          </w:p>
        </w:tc>
        <w:tc>
          <w:tcPr>
            <w:tcW w:w="1134" w:type="dxa"/>
          </w:tcPr>
          <w:p w:rsidR="006172B2" w:rsidRPr="00631BD6" w:rsidRDefault="006172B2" w:rsidP="008D0CDA">
            <w:pPr>
              <w:pStyle w:val="Tabletext"/>
              <w:keepNext/>
              <w:jc w:val="center"/>
              <w:rPr>
                <w:szCs w:val="20"/>
              </w:rPr>
            </w:pPr>
            <w:r w:rsidRPr="00631BD6">
              <w:rPr>
                <w:szCs w:val="20"/>
              </w:rPr>
              <w:t>113 (11.8%)</w:t>
            </w:r>
          </w:p>
        </w:tc>
        <w:tc>
          <w:tcPr>
            <w:tcW w:w="1134" w:type="dxa"/>
          </w:tcPr>
          <w:p w:rsidR="006172B2" w:rsidRPr="00631BD6" w:rsidRDefault="006172B2" w:rsidP="008D0CDA">
            <w:pPr>
              <w:pStyle w:val="Tabletext"/>
              <w:keepNext/>
              <w:jc w:val="center"/>
              <w:rPr>
                <w:szCs w:val="20"/>
              </w:rPr>
            </w:pPr>
            <w:r w:rsidRPr="00631BD6">
              <w:rPr>
                <w:szCs w:val="20"/>
              </w:rPr>
              <w:t>NA</w:t>
            </w:r>
          </w:p>
        </w:tc>
        <w:tc>
          <w:tcPr>
            <w:tcW w:w="992" w:type="dxa"/>
          </w:tcPr>
          <w:p w:rsidR="006172B2" w:rsidRPr="00631BD6" w:rsidRDefault="006172B2" w:rsidP="008D0CDA">
            <w:pPr>
              <w:pStyle w:val="Tabletext"/>
              <w:keepNext/>
              <w:jc w:val="center"/>
              <w:rPr>
                <w:szCs w:val="20"/>
              </w:rPr>
            </w:pPr>
            <w:r w:rsidRPr="00631BD6">
              <w:rPr>
                <w:szCs w:val="20"/>
              </w:rPr>
              <w:t>41 (7.4%)</w:t>
            </w:r>
          </w:p>
        </w:tc>
        <w:tc>
          <w:tcPr>
            <w:tcW w:w="1134" w:type="dxa"/>
          </w:tcPr>
          <w:p w:rsidR="006172B2" w:rsidRPr="00631BD6" w:rsidRDefault="006172B2" w:rsidP="008D0CDA">
            <w:pPr>
              <w:pStyle w:val="Tabletext"/>
              <w:keepNext/>
              <w:jc w:val="center"/>
              <w:rPr>
                <w:szCs w:val="20"/>
              </w:rPr>
            </w:pPr>
            <w:r w:rsidRPr="00631BD6">
              <w:rPr>
                <w:szCs w:val="20"/>
              </w:rPr>
              <w:t>NA</w:t>
            </w:r>
          </w:p>
        </w:tc>
        <w:tc>
          <w:tcPr>
            <w:tcW w:w="1559" w:type="dxa"/>
          </w:tcPr>
          <w:p w:rsidR="006172B2" w:rsidRPr="00631BD6" w:rsidRDefault="006172B2" w:rsidP="008D0CDA">
            <w:pPr>
              <w:pStyle w:val="Tabletext"/>
              <w:keepNext/>
              <w:jc w:val="center"/>
              <w:rPr>
                <w:szCs w:val="20"/>
              </w:rPr>
            </w:pPr>
            <w:r w:rsidRPr="00631BD6">
              <w:rPr>
                <w:szCs w:val="20"/>
              </w:rPr>
              <w:t>NA</w:t>
            </w:r>
          </w:p>
        </w:tc>
      </w:tr>
      <w:tr w:rsidR="006172B2" w:rsidTr="006172B2">
        <w:tc>
          <w:tcPr>
            <w:tcW w:w="3114" w:type="dxa"/>
            <w:tcBorders>
              <w:bottom w:val="nil"/>
            </w:tcBorders>
          </w:tcPr>
          <w:p w:rsidR="006172B2" w:rsidRPr="00631BD6" w:rsidRDefault="006172B2" w:rsidP="008D0CDA">
            <w:pPr>
              <w:pStyle w:val="Tabletext"/>
              <w:keepNext/>
              <w:rPr>
                <w:szCs w:val="20"/>
              </w:rPr>
            </w:pPr>
            <w:r w:rsidRPr="00631BD6">
              <w:rPr>
                <w:szCs w:val="20"/>
              </w:rPr>
              <w:t>Cardiac arrhythmias</w:t>
            </w:r>
          </w:p>
        </w:tc>
        <w:tc>
          <w:tcPr>
            <w:tcW w:w="1134" w:type="dxa"/>
            <w:tcBorders>
              <w:bottom w:val="nil"/>
            </w:tcBorders>
          </w:tcPr>
          <w:p w:rsidR="006172B2" w:rsidRPr="00631BD6" w:rsidRDefault="006172B2" w:rsidP="008D0CDA">
            <w:pPr>
              <w:pStyle w:val="Tabletext"/>
              <w:keepNext/>
              <w:jc w:val="center"/>
              <w:rPr>
                <w:szCs w:val="20"/>
              </w:rPr>
            </w:pPr>
            <w:r w:rsidRPr="00631BD6">
              <w:rPr>
                <w:szCs w:val="20"/>
              </w:rPr>
              <w:t>64 (6.7%)</w:t>
            </w:r>
          </w:p>
        </w:tc>
        <w:tc>
          <w:tcPr>
            <w:tcW w:w="1134" w:type="dxa"/>
            <w:tcBorders>
              <w:bottom w:val="nil"/>
            </w:tcBorders>
          </w:tcPr>
          <w:p w:rsidR="006172B2" w:rsidRPr="00631BD6" w:rsidRDefault="006172B2" w:rsidP="008D0CDA">
            <w:pPr>
              <w:pStyle w:val="Tabletext"/>
              <w:keepNext/>
              <w:jc w:val="center"/>
              <w:rPr>
                <w:szCs w:val="20"/>
              </w:rPr>
            </w:pPr>
            <w:r w:rsidRPr="00631BD6">
              <w:rPr>
                <w:szCs w:val="20"/>
              </w:rPr>
              <w:t>4.7</w:t>
            </w:r>
          </w:p>
        </w:tc>
        <w:tc>
          <w:tcPr>
            <w:tcW w:w="992" w:type="dxa"/>
            <w:tcBorders>
              <w:bottom w:val="nil"/>
            </w:tcBorders>
          </w:tcPr>
          <w:p w:rsidR="006172B2" w:rsidRPr="00631BD6" w:rsidRDefault="006172B2" w:rsidP="008D0CDA">
            <w:pPr>
              <w:pStyle w:val="Tabletext"/>
              <w:keepNext/>
              <w:jc w:val="center"/>
              <w:rPr>
                <w:szCs w:val="20"/>
              </w:rPr>
            </w:pPr>
            <w:r w:rsidRPr="00631BD6">
              <w:rPr>
                <w:szCs w:val="20"/>
              </w:rPr>
              <w:t>22 (4.0%)</w:t>
            </w:r>
          </w:p>
        </w:tc>
        <w:tc>
          <w:tcPr>
            <w:tcW w:w="1134" w:type="dxa"/>
            <w:tcBorders>
              <w:bottom w:val="nil"/>
            </w:tcBorders>
          </w:tcPr>
          <w:p w:rsidR="006172B2" w:rsidRPr="00631BD6" w:rsidRDefault="006172B2" w:rsidP="008D0CDA">
            <w:pPr>
              <w:pStyle w:val="Tabletext"/>
              <w:keepNext/>
              <w:jc w:val="center"/>
              <w:rPr>
                <w:szCs w:val="20"/>
              </w:rPr>
            </w:pPr>
            <w:r w:rsidRPr="00631BD6">
              <w:rPr>
                <w:szCs w:val="20"/>
              </w:rPr>
              <w:t>3.8</w:t>
            </w:r>
          </w:p>
        </w:tc>
        <w:tc>
          <w:tcPr>
            <w:tcW w:w="1559" w:type="dxa"/>
            <w:tcBorders>
              <w:bottom w:val="nil"/>
            </w:tcBorders>
          </w:tcPr>
          <w:p w:rsidR="006172B2" w:rsidRPr="00631BD6" w:rsidRDefault="006172B2" w:rsidP="008D0CDA">
            <w:pPr>
              <w:pStyle w:val="Tabletext"/>
              <w:keepNext/>
              <w:jc w:val="center"/>
              <w:rPr>
                <w:szCs w:val="20"/>
              </w:rPr>
            </w:pPr>
            <w:r w:rsidRPr="00631BD6">
              <w:rPr>
                <w:szCs w:val="20"/>
              </w:rPr>
              <w:t>1.24 (0.76, 2.01)</w:t>
            </w:r>
          </w:p>
        </w:tc>
      </w:tr>
      <w:tr w:rsidR="006172B2" w:rsidTr="006172B2">
        <w:tc>
          <w:tcPr>
            <w:tcW w:w="3114" w:type="dxa"/>
            <w:tcBorders>
              <w:top w:val="nil"/>
              <w:bottom w:val="nil"/>
            </w:tcBorders>
          </w:tcPr>
          <w:p w:rsidR="006172B2" w:rsidRPr="00631BD6" w:rsidRDefault="006172B2" w:rsidP="008D0CDA">
            <w:pPr>
              <w:pStyle w:val="Tabletext"/>
              <w:keepNext/>
              <w:rPr>
                <w:iCs/>
                <w:szCs w:val="20"/>
              </w:rPr>
            </w:pPr>
            <w:r w:rsidRPr="00631BD6">
              <w:rPr>
                <w:iCs/>
                <w:szCs w:val="20"/>
              </w:rPr>
              <w:t>-</w:t>
            </w:r>
            <w:r>
              <w:rPr>
                <w:iCs/>
                <w:szCs w:val="20"/>
              </w:rPr>
              <w:t xml:space="preserve"> </w:t>
            </w:r>
            <w:r w:rsidRPr="00631BD6">
              <w:rPr>
                <w:iCs/>
                <w:szCs w:val="20"/>
              </w:rPr>
              <w:t>cardiac conduction disorders</w:t>
            </w:r>
          </w:p>
        </w:tc>
        <w:tc>
          <w:tcPr>
            <w:tcW w:w="1134" w:type="dxa"/>
            <w:tcBorders>
              <w:top w:val="nil"/>
              <w:bottom w:val="nil"/>
            </w:tcBorders>
          </w:tcPr>
          <w:p w:rsidR="006172B2" w:rsidRPr="00631BD6" w:rsidRDefault="006172B2" w:rsidP="008D0CDA">
            <w:pPr>
              <w:pStyle w:val="Tabletext"/>
              <w:keepNext/>
              <w:jc w:val="center"/>
              <w:rPr>
                <w:szCs w:val="20"/>
              </w:rPr>
            </w:pPr>
            <w:r w:rsidRPr="00631BD6">
              <w:rPr>
                <w:szCs w:val="20"/>
              </w:rPr>
              <w:t>9 (0.9%)</w:t>
            </w:r>
          </w:p>
        </w:tc>
        <w:tc>
          <w:tcPr>
            <w:tcW w:w="1134" w:type="dxa"/>
            <w:tcBorders>
              <w:top w:val="nil"/>
              <w:bottom w:val="nil"/>
            </w:tcBorders>
          </w:tcPr>
          <w:p w:rsidR="006172B2" w:rsidRPr="00631BD6" w:rsidRDefault="006172B2" w:rsidP="008D0CDA">
            <w:pPr>
              <w:pStyle w:val="Tabletext"/>
              <w:keepNext/>
              <w:jc w:val="center"/>
              <w:rPr>
                <w:szCs w:val="20"/>
              </w:rPr>
            </w:pPr>
            <w:r w:rsidRPr="00631BD6">
              <w:rPr>
                <w:szCs w:val="20"/>
              </w:rPr>
              <w:t>0.7</w:t>
            </w:r>
          </w:p>
        </w:tc>
        <w:tc>
          <w:tcPr>
            <w:tcW w:w="992" w:type="dxa"/>
            <w:tcBorders>
              <w:top w:val="nil"/>
              <w:bottom w:val="nil"/>
            </w:tcBorders>
          </w:tcPr>
          <w:p w:rsidR="006172B2" w:rsidRPr="00631BD6" w:rsidRDefault="006172B2" w:rsidP="008D0CDA">
            <w:pPr>
              <w:pStyle w:val="Tabletext"/>
              <w:keepNext/>
              <w:jc w:val="center"/>
              <w:rPr>
                <w:szCs w:val="20"/>
              </w:rPr>
            </w:pPr>
            <w:r w:rsidRPr="00631BD6">
              <w:rPr>
                <w:szCs w:val="20"/>
              </w:rPr>
              <w:t>2 (0.4%)</w:t>
            </w:r>
          </w:p>
        </w:tc>
        <w:tc>
          <w:tcPr>
            <w:tcW w:w="1134" w:type="dxa"/>
            <w:tcBorders>
              <w:top w:val="nil"/>
              <w:bottom w:val="nil"/>
            </w:tcBorders>
          </w:tcPr>
          <w:p w:rsidR="006172B2" w:rsidRPr="00631BD6" w:rsidRDefault="006172B2" w:rsidP="008D0CDA">
            <w:pPr>
              <w:pStyle w:val="Tabletext"/>
              <w:keepNext/>
              <w:jc w:val="center"/>
              <w:rPr>
                <w:szCs w:val="20"/>
              </w:rPr>
            </w:pPr>
            <w:r w:rsidRPr="00631BD6">
              <w:rPr>
                <w:szCs w:val="20"/>
              </w:rPr>
              <w:t>0.3</w:t>
            </w:r>
          </w:p>
        </w:tc>
        <w:tc>
          <w:tcPr>
            <w:tcW w:w="1559" w:type="dxa"/>
            <w:tcBorders>
              <w:top w:val="nil"/>
              <w:bottom w:val="nil"/>
            </w:tcBorders>
          </w:tcPr>
          <w:p w:rsidR="006172B2" w:rsidRPr="00631BD6" w:rsidRDefault="006172B2" w:rsidP="008D0CDA">
            <w:pPr>
              <w:pStyle w:val="Tabletext"/>
              <w:keepNext/>
              <w:jc w:val="center"/>
              <w:rPr>
                <w:szCs w:val="20"/>
              </w:rPr>
            </w:pPr>
            <w:r w:rsidRPr="00631BD6">
              <w:rPr>
                <w:szCs w:val="20"/>
              </w:rPr>
              <w:t>1.91 (0.41, 8.86)</w:t>
            </w:r>
          </w:p>
        </w:tc>
      </w:tr>
      <w:tr w:rsidR="006172B2" w:rsidTr="006172B2">
        <w:tc>
          <w:tcPr>
            <w:tcW w:w="3114" w:type="dxa"/>
            <w:tcBorders>
              <w:top w:val="nil"/>
              <w:bottom w:val="nil"/>
            </w:tcBorders>
          </w:tcPr>
          <w:p w:rsidR="006172B2" w:rsidRPr="00631BD6" w:rsidRDefault="006172B2" w:rsidP="008D0CDA">
            <w:pPr>
              <w:pStyle w:val="Tabletext"/>
              <w:keepNext/>
              <w:rPr>
                <w:iCs/>
                <w:szCs w:val="20"/>
              </w:rPr>
            </w:pPr>
            <w:r w:rsidRPr="00631BD6">
              <w:rPr>
                <w:iCs/>
                <w:szCs w:val="20"/>
              </w:rPr>
              <w:t>-</w:t>
            </w:r>
            <w:r>
              <w:rPr>
                <w:iCs/>
                <w:szCs w:val="20"/>
              </w:rPr>
              <w:t xml:space="preserve"> </w:t>
            </w:r>
            <w:r w:rsidRPr="00631BD6">
              <w:rPr>
                <w:iCs/>
                <w:szCs w:val="20"/>
              </w:rPr>
              <w:t>rate and rhythm disorders NEC</w:t>
            </w:r>
          </w:p>
        </w:tc>
        <w:tc>
          <w:tcPr>
            <w:tcW w:w="1134" w:type="dxa"/>
            <w:tcBorders>
              <w:top w:val="nil"/>
              <w:bottom w:val="nil"/>
            </w:tcBorders>
          </w:tcPr>
          <w:p w:rsidR="006172B2" w:rsidRPr="00631BD6" w:rsidRDefault="006172B2" w:rsidP="008D0CDA">
            <w:pPr>
              <w:pStyle w:val="Tabletext"/>
              <w:keepNext/>
              <w:jc w:val="center"/>
              <w:rPr>
                <w:szCs w:val="20"/>
              </w:rPr>
            </w:pPr>
            <w:r w:rsidRPr="00631BD6">
              <w:rPr>
                <w:szCs w:val="20"/>
              </w:rPr>
              <w:t>32 (3.4%)</w:t>
            </w:r>
          </w:p>
        </w:tc>
        <w:tc>
          <w:tcPr>
            <w:tcW w:w="1134" w:type="dxa"/>
            <w:tcBorders>
              <w:top w:val="nil"/>
              <w:bottom w:val="nil"/>
            </w:tcBorders>
          </w:tcPr>
          <w:p w:rsidR="006172B2" w:rsidRPr="00631BD6" w:rsidRDefault="006172B2" w:rsidP="008D0CDA">
            <w:pPr>
              <w:pStyle w:val="Tabletext"/>
              <w:keepNext/>
              <w:jc w:val="center"/>
              <w:rPr>
                <w:szCs w:val="20"/>
              </w:rPr>
            </w:pPr>
            <w:r w:rsidRPr="00631BD6">
              <w:rPr>
                <w:szCs w:val="20"/>
              </w:rPr>
              <w:t>2.4</w:t>
            </w:r>
          </w:p>
        </w:tc>
        <w:tc>
          <w:tcPr>
            <w:tcW w:w="992" w:type="dxa"/>
            <w:tcBorders>
              <w:top w:val="nil"/>
              <w:bottom w:val="nil"/>
            </w:tcBorders>
          </w:tcPr>
          <w:p w:rsidR="006172B2" w:rsidRPr="00631BD6" w:rsidRDefault="006172B2" w:rsidP="008D0CDA">
            <w:pPr>
              <w:pStyle w:val="Tabletext"/>
              <w:keepNext/>
              <w:jc w:val="center"/>
              <w:rPr>
                <w:szCs w:val="20"/>
              </w:rPr>
            </w:pPr>
            <w:r w:rsidRPr="00631BD6">
              <w:rPr>
                <w:szCs w:val="20"/>
              </w:rPr>
              <w:t>6 (1.1%)</w:t>
            </w:r>
          </w:p>
        </w:tc>
        <w:tc>
          <w:tcPr>
            <w:tcW w:w="1134" w:type="dxa"/>
            <w:tcBorders>
              <w:top w:val="nil"/>
              <w:bottom w:val="nil"/>
            </w:tcBorders>
          </w:tcPr>
          <w:p w:rsidR="006172B2" w:rsidRPr="00631BD6" w:rsidRDefault="006172B2" w:rsidP="008D0CDA">
            <w:pPr>
              <w:pStyle w:val="Tabletext"/>
              <w:keepNext/>
              <w:jc w:val="center"/>
              <w:rPr>
                <w:szCs w:val="20"/>
              </w:rPr>
            </w:pPr>
            <w:r w:rsidRPr="00631BD6">
              <w:rPr>
                <w:szCs w:val="20"/>
              </w:rPr>
              <w:t>1</w:t>
            </w:r>
          </w:p>
        </w:tc>
        <w:tc>
          <w:tcPr>
            <w:tcW w:w="1559" w:type="dxa"/>
            <w:tcBorders>
              <w:top w:val="nil"/>
              <w:bottom w:val="nil"/>
            </w:tcBorders>
          </w:tcPr>
          <w:p w:rsidR="006172B2" w:rsidRPr="00631BD6" w:rsidRDefault="006172B2" w:rsidP="008D0CDA">
            <w:pPr>
              <w:pStyle w:val="Tabletext"/>
              <w:keepNext/>
              <w:jc w:val="center"/>
              <w:rPr>
                <w:szCs w:val="20"/>
              </w:rPr>
            </w:pPr>
            <w:r>
              <w:rPr>
                <w:szCs w:val="20"/>
              </w:rPr>
              <w:t>2.27 (0.95</w:t>
            </w:r>
            <w:r w:rsidRPr="00631BD6">
              <w:rPr>
                <w:szCs w:val="20"/>
              </w:rPr>
              <w:t>, 5.43)</w:t>
            </w:r>
          </w:p>
        </w:tc>
      </w:tr>
      <w:tr w:rsidR="006172B2" w:rsidTr="006172B2">
        <w:tc>
          <w:tcPr>
            <w:tcW w:w="3114" w:type="dxa"/>
            <w:tcBorders>
              <w:top w:val="nil"/>
              <w:bottom w:val="nil"/>
            </w:tcBorders>
          </w:tcPr>
          <w:p w:rsidR="006172B2" w:rsidRPr="00631BD6" w:rsidRDefault="006172B2" w:rsidP="008D0CDA">
            <w:pPr>
              <w:pStyle w:val="Tabletext"/>
              <w:keepNext/>
              <w:rPr>
                <w:iCs/>
                <w:szCs w:val="20"/>
              </w:rPr>
            </w:pPr>
            <w:r w:rsidRPr="00631BD6">
              <w:rPr>
                <w:iCs/>
                <w:szCs w:val="20"/>
              </w:rPr>
              <w:t>-</w:t>
            </w:r>
            <w:r>
              <w:rPr>
                <w:iCs/>
                <w:szCs w:val="20"/>
              </w:rPr>
              <w:t xml:space="preserve"> </w:t>
            </w:r>
            <w:r w:rsidRPr="00631BD6">
              <w:rPr>
                <w:iCs/>
                <w:szCs w:val="20"/>
              </w:rPr>
              <w:t>supraventricular arrhythmias</w:t>
            </w:r>
          </w:p>
        </w:tc>
        <w:tc>
          <w:tcPr>
            <w:tcW w:w="1134" w:type="dxa"/>
            <w:tcBorders>
              <w:top w:val="nil"/>
              <w:bottom w:val="nil"/>
            </w:tcBorders>
          </w:tcPr>
          <w:p w:rsidR="006172B2" w:rsidRPr="00631BD6" w:rsidRDefault="006172B2" w:rsidP="008D0CDA">
            <w:pPr>
              <w:pStyle w:val="Tabletext"/>
              <w:keepNext/>
              <w:jc w:val="center"/>
              <w:rPr>
                <w:szCs w:val="20"/>
              </w:rPr>
            </w:pPr>
            <w:r w:rsidRPr="00631BD6">
              <w:rPr>
                <w:szCs w:val="20"/>
              </w:rPr>
              <w:t>29 (3.0%)</w:t>
            </w:r>
          </w:p>
        </w:tc>
        <w:tc>
          <w:tcPr>
            <w:tcW w:w="1134" w:type="dxa"/>
            <w:tcBorders>
              <w:top w:val="nil"/>
              <w:bottom w:val="nil"/>
            </w:tcBorders>
          </w:tcPr>
          <w:p w:rsidR="006172B2" w:rsidRPr="00631BD6" w:rsidRDefault="006172B2" w:rsidP="008D0CDA">
            <w:pPr>
              <w:pStyle w:val="Tabletext"/>
              <w:keepNext/>
              <w:jc w:val="center"/>
              <w:rPr>
                <w:szCs w:val="20"/>
              </w:rPr>
            </w:pPr>
            <w:r w:rsidRPr="00631BD6">
              <w:rPr>
                <w:szCs w:val="20"/>
              </w:rPr>
              <w:t>2.1</w:t>
            </w:r>
          </w:p>
        </w:tc>
        <w:tc>
          <w:tcPr>
            <w:tcW w:w="992" w:type="dxa"/>
            <w:tcBorders>
              <w:top w:val="nil"/>
              <w:bottom w:val="nil"/>
            </w:tcBorders>
          </w:tcPr>
          <w:p w:rsidR="006172B2" w:rsidRPr="00631BD6" w:rsidRDefault="006172B2" w:rsidP="008D0CDA">
            <w:pPr>
              <w:pStyle w:val="Tabletext"/>
              <w:keepNext/>
              <w:jc w:val="center"/>
              <w:rPr>
                <w:szCs w:val="20"/>
              </w:rPr>
            </w:pPr>
            <w:r w:rsidRPr="00631BD6">
              <w:rPr>
                <w:szCs w:val="20"/>
              </w:rPr>
              <w:t>9 (1.6%)</w:t>
            </w:r>
          </w:p>
        </w:tc>
        <w:tc>
          <w:tcPr>
            <w:tcW w:w="1134" w:type="dxa"/>
            <w:tcBorders>
              <w:top w:val="nil"/>
              <w:bottom w:val="nil"/>
            </w:tcBorders>
          </w:tcPr>
          <w:p w:rsidR="006172B2" w:rsidRPr="00631BD6" w:rsidRDefault="006172B2" w:rsidP="008D0CDA">
            <w:pPr>
              <w:pStyle w:val="Tabletext"/>
              <w:keepNext/>
              <w:jc w:val="center"/>
              <w:rPr>
                <w:szCs w:val="20"/>
              </w:rPr>
            </w:pPr>
            <w:r w:rsidRPr="00631BD6">
              <w:rPr>
                <w:szCs w:val="20"/>
              </w:rPr>
              <w:t>1.6</w:t>
            </w:r>
          </w:p>
        </w:tc>
        <w:tc>
          <w:tcPr>
            <w:tcW w:w="1559" w:type="dxa"/>
            <w:tcBorders>
              <w:top w:val="nil"/>
              <w:bottom w:val="nil"/>
            </w:tcBorders>
          </w:tcPr>
          <w:p w:rsidR="006172B2" w:rsidRPr="00631BD6" w:rsidRDefault="006172B2" w:rsidP="008D0CDA">
            <w:pPr>
              <w:pStyle w:val="Tabletext"/>
              <w:keepNext/>
              <w:jc w:val="center"/>
              <w:rPr>
                <w:szCs w:val="20"/>
              </w:rPr>
            </w:pPr>
            <w:r w:rsidRPr="00631BD6">
              <w:rPr>
                <w:szCs w:val="20"/>
              </w:rPr>
              <w:t>1.37 (0.65, 2.90)</w:t>
            </w:r>
          </w:p>
        </w:tc>
      </w:tr>
      <w:tr w:rsidR="006172B2" w:rsidTr="006172B2">
        <w:tc>
          <w:tcPr>
            <w:tcW w:w="3114" w:type="dxa"/>
            <w:tcBorders>
              <w:top w:val="nil"/>
              <w:bottom w:val="nil"/>
            </w:tcBorders>
          </w:tcPr>
          <w:p w:rsidR="006172B2" w:rsidRPr="00631BD6" w:rsidRDefault="006172B2" w:rsidP="008D0CDA">
            <w:pPr>
              <w:pStyle w:val="Tabletext"/>
              <w:keepNext/>
              <w:rPr>
                <w:iCs/>
                <w:szCs w:val="20"/>
              </w:rPr>
            </w:pPr>
            <w:r w:rsidRPr="00631BD6">
              <w:rPr>
                <w:iCs/>
                <w:szCs w:val="20"/>
              </w:rPr>
              <w:t>-</w:t>
            </w:r>
            <w:r>
              <w:rPr>
                <w:iCs/>
                <w:szCs w:val="20"/>
              </w:rPr>
              <w:t xml:space="preserve"> </w:t>
            </w:r>
            <w:r w:rsidRPr="00631BD6">
              <w:rPr>
                <w:iCs/>
                <w:szCs w:val="20"/>
              </w:rPr>
              <w:t>ventricular arrhythmias</w:t>
            </w:r>
            <w:r>
              <w:rPr>
                <w:iCs/>
                <w:szCs w:val="20"/>
              </w:rPr>
              <w:t>/</w:t>
            </w:r>
            <w:r w:rsidRPr="00631BD6">
              <w:rPr>
                <w:iCs/>
                <w:szCs w:val="20"/>
              </w:rPr>
              <w:t>cardiac arrest</w:t>
            </w:r>
          </w:p>
        </w:tc>
        <w:tc>
          <w:tcPr>
            <w:tcW w:w="1134" w:type="dxa"/>
            <w:tcBorders>
              <w:top w:val="nil"/>
              <w:bottom w:val="nil"/>
            </w:tcBorders>
          </w:tcPr>
          <w:p w:rsidR="006172B2" w:rsidRPr="00631BD6" w:rsidRDefault="006172B2" w:rsidP="008D0CDA">
            <w:pPr>
              <w:pStyle w:val="Tabletext"/>
              <w:keepNext/>
              <w:jc w:val="center"/>
              <w:rPr>
                <w:szCs w:val="20"/>
              </w:rPr>
            </w:pPr>
            <w:r w:rsidRPr="00631BD6">
              <w:rPr>
                <w:szCs w:val="20"/>
              </w:rPr>
              <w:t>6 (0.6%)</w:t>
            </w:r>
          </w:p>
        </w:tc>
        <w:tc>
          <w:tcPr>
            <w:tcW w:w="1134" w:type="dxa"/>
            <w:tcBorders>
              <w:top w:val="nil"/>
              <w:bottom w:val="nil"/>
            </w:tcBorders>
          </w:tcPr>
          <w:p w:rsidR="006172B2" w:rsidRPr="00631BD6" w:rsidRDefault="006172B2" w:rsidP="008D0CDA">
            <w:pPr>
              <w:pStyle w:val="Tabletext"/>
              <w:keepNext/>
              <w:jc w:val="center"/>
              <w:rPr>
                <w:szCs w:val="20"/>
              </w:rPr>
            </w:pPr>
            <w:r w:rsidRPr="00631BD6">
              <w:rPr>
                <w:szCs w:val="20"/>
              </w:rPr>
              <w:t>0.4</w:t>
            </w:r>
          </w:p>
        </w:tc>
        <w:tc>
          <w:tcPr>
            <w:tcW w:w="992" w:type="dxa"/>
            <w:tcBorders>
              <w:top w:val="nil"/>
              <w:bottom w:val="nil"/>
            </w:tcBorders>
          </w:tcPr>
          <w:p w:rsidR="006172B2" w:rsidRPr="00631BD6" w:rsidRDefault="006172B2" w:rsidP="008D0CDA">
            <w:pPr>
              <w:pStyle w:val="Tabletext"/>
              <w:keepNext/>
              <w:jc w:val="center"/>
              <w:rPr>
                <w:szCs w:val="20"/>
              </w:rPr>
            </w:pPr>
            <w:r w:rsidRPr="00631BD6">
              <w:rPr>
                <w:szCs w:val="20"/>
              </w:rPr>
              <w:t>5 (0.9%)</w:t>
            </w:r>
          </w:p>
        </w:tc>
        <w:tc>
          <w:tcPr>
            <w:tcW w:w="1134" w:type="dxa"/>
            <w:tcBorders>
              <w:top w:val="nil"/>
              <w:bottom w:val="nil"/>
            </w:tcBorders>
          </w:tcPr>
          <w:p w:rsidR="006172B2" w:rsidRPr="00631BD6" w:rsidRDefault="006172B2" w:rsidP="008D0CDA">
            <w:pPr>
              <w:pStyle w:val="Tabletext"/>
              <w:keepNext/>
              <w:jc w:val="center"/>
              <w:rPr>
                <w:szCs w:val="20"/>
              </w:rPr>
            </w:pPr>
            <w:r w:rsidRPr="00631BD6">
              <w:rPr>
                <w:szCs w:val="20"/>
              </w:rPr>
              <w:t>0.9</w:t>
            </w:r>
          </w:p>
        </w:tc>
        <w:tc>
          <w:tcPr>
            <w:tcW w:w="1559" w:type="dxa"/>
            <w:tcBorders>
              <w:top w:val="nil"/>
              <w:bottom w:val="nil"/>
            </w:tcBorders>
          </w:tcPr>
          <w:p w:rsidR="006172B2" w:rsidRPr="00631BD6" w:rsidRDefault="006172B2" w:rsidP="008D0CDA">
            <w:pPr>
              <w:pStyle w:val="Tabletext"/>
              <w:keepNext/>
              <w:jc w:val="center"/>
              <w:rPr>
                <w:szCs w:val="20"/>
              </w:rPr>
            </w:pPr>
            <w:r w:rsidRPr="00631BD6">
              <w:rPr>
                <w:szCs w:val="20"/>
              </w:rPr>
              <w:t>0.51 (0.16, 1.67)</w:t>
            </w:r>
          </w:p>
        </w:tc>
      </w:tr>
      <w:tr w:rsidR="006172B2" w:rsidTr="006172B2">
        <w:tc>
          <w:tcPr>
            <w:tcW w:w="3114" w:type="dxa"/>
            <w:tcBorders>
              <w:bottom w:val="nil"/>
            </w:tcBorders>
          </w:tcPr>
          <w:p w:rsidR="006172B2" w:rsidRPr="00631BD6" w:rsidRDefault="006172B2" w:rsidP="008D0CDA">
            <w:pPr>
              <w:pStyle w:val="Tabletext"/>
              <w:keepNext/>
              <w:rPr>
                <w:szCs w:val="20"/>
              </w:rPr>
            </w:pPr>
            <w:r w:rsidRPr="00631BD6">
              <w:rPr>
                <w:szCs w:val="20"/>
              </w:rPr>
              <w:t>Coronary artery disorders</w:t>
            </w:r>
          </w:p>
        </w:tc>
        <w:tc>
          <w:tcPr>
            <w:tcW w:w="1134" w:type="dxa"/>
            <w:tcBorders>
              <w:bottom w:val="nil"/>
            </w:tcBorders>
          </w:tcPr>
          <w:p w:rsidR="006172B2" w:rsidRPr="00631BD6" w:rsidRDefault="006172B2" w:rsidP="008D0CDA">
            <w:pPr>
              <w:pStyle w:val="Tabletext"/>
              <w:keepNext/>
              <w:jc w:val="center"/>
              <w:rPr>
                <w:szCs w:val="20"/>
              </w:rPr>
            </w:pPr>
            <w:r w:rsidRPr="00631BD6">
              <w:rPr>
                <w:szCs w:val="20"/>
              </w:rPr>
              <w:t>31 (3.3%)</w:t>
            </w:r>
          </w:p>
        </w:tc>
        <w:tc>
          <w:tcPr>
            <w:tcW w:w="1134" w:type="dxa"/>
            <w:tcBorders>
              <w:bottom w:val="nil"/>
            </w:tcBorders>
          </w:tcPr>
          <w:p w:rsidR="006172B2" w:rsidRPr="00631BD6" w:rsidRDefault="006172B2" w:rsidP="008D0CDA">
            <w:pPr>
              <w:pStyle w:val="Tabletext"/>
              <w:keepNext/>
              <w:jc w:val="center"/>
              <w:rPr>
                <w:szCs w:val="20"/>
              </w:rPr>
            </w:pPr>
            <w:r w:rsidRPr="00631BD6">
              <w:rPr>
                <w:szCs w:val="20"/>
              </w:rPr>
              <w:t>2.3</w:t>
            </w:r>
          </w:p>
        </w:tc>
        <w:tc>
          <w:tcPr>
            <w:tcW w:w="992" w:type="dxa"/>
            <w:tcBorders>
              <w:bottom w:val="nil"/>
            </w:tcBorders>
          </w:tcPr>
          <w:p w:rsidR="006172B2" w:rsidRPr="00631BD6" w:rsidRDefault="006172B2" w:rsidP="008D0CDA">
            <w:pPr>
              <w:pStyle w:val="Tabletext"/>
              <w:keepNext/>
              <w:jc w:val="center"/>
              <w:rPr>
                <w:szCs w:val="20"/>
              </w:rPr>
            </w:pPr>
            <w:r w:rsidRPr="00631BD6">
              <w:rPr>
                <w:szCs w:val="20"/>
              </w:rPr>
              <w:t>14 (2.5%)</w:t>
            </w:r>
          </w:p>
        </w:tc>
        <w:tc>
          <w:tcPr>
            <w:tcW w:w="1134" w:type="dxa"/>
            <w:tcBorders>
              <w:bottom w:val="nil"/>
            </w:tcBorders>
          </w:tcPr>
          <w:p w:rsidR="006172B2" w:rsidRPr="00631BD6" w:rsidRDefault="006172B2" w:rsidP="008D0CDA">
            <w:pPr>
              <w:pStyle w:val="Tabletext"/>
              <w:keepNext/>
              <w:jc w:val="center"/>
              <w:rPr>
                <w:szCs w:val="20"/>
              </w:rPr>
            </w:pPr>
            <w:r w:rsidRPr="00631BD6">
              <w:rPr>
                <w:szCs w:val="20"/>
              </w:rPr>
              <w:t>2.4</w:t>
            </w:r>
          </w:p>
        </w:tc>
        <w:tc>
          <w:tcPr>
            <w:tcW w:w="1559" w:type="dxa"/>
            <w:tcBorders>
              <w:bottom w:val="nil"/>
            </w:tcBorders>
          </w:tcPr>
          <w:p w:rsidR="006172B2" w:rsidRPr="00631BD6" w:rsidRDefault="006172B2" w:rsidP="008D0CDA">
            <w:pPr>
              <w:pStyle w:val="Tabletext"/>
              <w:keepNext/>
              <w:jc w:val="center"/>
              <w:rPr>
                <w:szCs w:val="20"/>
              </w:rPr>
            </w:pPr>
            <w:r w:rsidRPr="00631BD6">
              <w:rPr>
                <w:szCs w:val="20"/>
              </w:rPr>
              <w:t>0.94 (0.50, 1.77)</w:t>
            </w:r>
          </w:p>
        </w:tc>
      </w:tr>
      <w:tr w:rsidR="006172B2" w:rsidTr="006172B2">
        <w:tc>
          <w:tcPr>
            <w:tcW w:w="3114" w:type="dxa"/>
            <w:tcBorders>
              <w:top w:val="nil"/>
              <w:bottom w:val="nil"/>
            </w:tcBorders>
          </w:tcPr>
          <w:p w:rsidR="006172B2" w:rsidRPr="00631BD6" w:rsidRDefault="006172B2" w:rsidP="008D0CDA">
            <w:pPr>
              <w:pStyle w:val="Tabletext"/>
              <w:keepNext/>
              <w:rPr>
                <w:iCs/>
                <w:szCs w:val="20"/>
              </w:rPr>
            </w:pPr>
            <w:r w:rsidRPr="00631BD6">
              <w:rPr>
                <w:iCs/>
                <w:szCs w:val="20"/>
              </w:rPr>
              <w:t>-</w:t>
            </w:r>
            <w:r>
              <w:rPr>
                <w:iCs/>
                <w:szCs w:val="20"/>
              </w:rPr>
              <w:t xml:space="preserve"> c</w:t>
            </w:r>
            <w:r w:rsidRPr="00631BD6">
              <w:rPr>
                <w:iCs/>
                <w:szCs w:val="20"/>
              </w:rPr>
              <w:t>oronary artery disorders NEC</w:t>
            </w:r>
          </w:p>
        </w:tc>
        <w:tc>
          <w:tcPr>
            <w:tcW w:w="1134" w:type="dxa"/>
            <w:tcBorders>
              <w:top w:val="nil"/>
              <w:bottom w:val="nil"/>
            </w:tcBorders>
          </w:tcPr>
          <w:p w:rsidR="006172B2" w:rsidRPr="00631BD6" w:rsidRDefault="006172B2" w:rsidP="008D0CDA">
            <w:pPr>
              <w:pStyle w:val="Tabletext"/>
              <w:keepNext/>
              <w:jc w:val="center"/>
              <w:rPr>
                <w:szCs w:val="20"/>
              </w:rPr>
            </w:pPr>
            <w:r w:rsidRPr="00631BD6">
              <w:rPr>
                <w:szCs w:val="20"/>
              </w:rPr>
              <w:t>13 (1.4%)</w:t>
            </w:r>
          </w:p>
        </w:tc>
        <w:tc>
          <w:tcPr>
            <w:tcW w:w="1134" w:type="dxa"/>
            <w:tcBorders>
              <w:top w:val="nil"/>
              <w:bottom w:val="nil"/>
            </w:tcBorders>
          </w:tcPr>
          <w:p w:rsidR="006172B2" w:rsidRPr="00631BD6" w:rsidRDefault="006172B2" w:rsidP="008D0CDA">
            <w:pPr>
              <w:pStyle w:val="Tabletext"/>
              <w:keepNext/>
              <w:jc w:val="center"/>
              <w:rPr>
                <w:szCs w:val="20"/>
              </w:rPr>
            </w:pPr>
            <w:r w:rsidRPr="00631BD6">
              <w:rPr>
                <w:szCs w:val="20"/>
              </w:rPr>
              <w:t>1.0</w:t>
            </w:r>
          </w:p>
        </w:tc>
        <w:tc>
          <w:tcPr>
            <w:tcW w:w="992" w:type="dxa"/>
            <w:tcBorders>
              <w:top w:val="nil"/>
              <w:bottom w:val="nil"/>
            </w:tcBorders>
          </w:tcPr>
          <w:p w:rsidR="006172B2" w:rsidRPr="00631BD6" w:rsidRDefault="006172B2" w:rsidP="008D0CDA">
            <w:pPr>
              <w:pStyle w:val="Tabletext"/>
              <w:keepNext/>
              <w:jc w:val="center"/>
              <w:rPr>
                <w:szCs w:val="20"/>
              </w:rPr>
            </w:pPr>
            <w:r w:rsidRPr="00631BD6">
              <w:rPr>
                <w:szCs w:val="20"/>
              </w:rPr>
              <w:t>3 (0.5%)</w:t>
            </w:r>
          </w:p>
        </w:tc>
        <w:tc>
          <w:tcPr>
            <w:tcW w:w="1134" w:type="dxa"/>
            <w:tcBorders>
              <w:top w:val="nil"/>
              <w:bottom w:val="nil"/>
            </w:tcBorders>
          </w:tcPr>
          <w:p w:rsidR="006172B2" w:rsidRPr="00631BD6" w:rsidRDefault="006172B2" w:rsidP="008D0CDA">
            <w:pPr>
              <w:pStyle w:val="Tabletext"/>
              <w:keepNext/>
              <w:jc w:val="center"/>
              <w:rPr>
                <w:szCs w:val="20"/>
              </w:rPr>
            </w:pPr>
            <w:r w:rsidRPr="00631BD6">
              <w:rPr>
                <w:szCs w:val="20"/>
              </w:rPr>
              <w:t>0.5</w:t>
            </w:r>
          </w:p>
        </w:tc>
        <w:tc>
          <w:tcPr>
            <w:tcW w:w="1559" w:type="dxa"/>
            <w:tcBorders>
              <w:top w:val="nil"/>
              <w:bottom w:val="nil"/>
            </w:tcBorders>
          </w:tcPr>
          <w:p w:rsidR="006172B2" w:rsidRPr="00631BD6" w:rsidRDefault="006172B2" w:rsidP="008D0CDA">
            <w:pPr>
              <w:pStyle w:val="Tabletext"/>
              <w:keepNext/>
              <w:jc w:val="center"/>
              <w:rPr>
                <w:szCs w:val="20"/>
              </w:rPr>
            </w:pPr>
            <w:r w:rsidRPr="00631BD6">
              <w:rPr>
                <w:szCs w:val="20"/>
              </w:rPr>
              <w:t>1.84 (0.53, 6.47)</w:t>
            </w:r>
          </w:p>
        </w:tc>
      </w:tr>
      <w:tr w:rsidR="006172B2" w:rsidTr="00CE22A4">
        <w:tc>
          <w:tcPr>
            <w:tcW w:w="3114" w:type="dxa"/>
            <w:tcBorders>
              <w:top w:val="nil"/>
              <w:bottom w:val="single" w:sz="4" w:space="0" w:color="auto"/>
            </w:tcBorders>
          </w:tcPr>
          <w:p w:rsidR="006172B2" w:rsidRPr="00631BD6" w:rsidRDefault="006172B2" w:rsidP="008D0CDA">
            <w:pPr>
              <w:pStyle w:val="Tabletext"/>
              <w:keepNext/>
              <w:rPr>
                <w:iCs/>
                <w:szCs w:val="20"/>
              </w:rPr>
            </w:pPr>
            <w:r w:rsidRPr="00631BD6">
              <w:rPr>
                <w:iCs/>
                <w:szCs w:val="20"/>
              </w:rPr>
              <w:t>-</w:t>
            </w:r>
            <w:r>
              <w:rPr>
                <w:iCs/>
                <w:szCs w:val="20"/>
              </w:rPr>
              <w:t xml:space="preserve"> i</w:t>
            </w:r>
            <w:r w:rsidRPr="00631BD6">
              <w:rPr>
                <w:iCs/>
                <w:szCs w:val="20"/>
              </w:rPr>
              <w:t>schaemic coronary artery disorders</w:t>
            </w:r>
          </w:p>
        </w:tc>
        <w:tc>
          <w:tcPr>
            <w:tcW w:w="1134" w:type="dxa"/>
            <w:tcBorders>
              <w:top w:val="nil"/>
              <w:bottom w:val="single" w:sz="4" w:space="0" w:color="auto"/>
            </w:tcBorders>
          </w:tcPr>
          <w:p w:rsidR="006172B2" w:rsidRPr="00631BD6" w:rsidRDefault="006172B2" w:rsidP="008D0CDA">
            <w:pPr>
              <w:pStyle w:val="Tabletext"/>
              <w:keepNext/>
              <w:jc w:val="center"/>
              <w:rPr>
                <w:szCs w:val="20"/>
              </w:rPr>
            </w:pPr>
            <w:r w:rsidRPr="00631BD6">
              <w:rPr>
                <w:szCs w:val="20"/>
              </w:rPr>
              <w:t>24 (2.5%)</w:t>
            </w:r>
          </w:p>
        </w:tc>
        <w:tc>
          <w:tcPr>
            <w:tcW w:w="1134" w:type="dxa"/>
            <w:tcBorders>
              <w:top w:val="nil"/>
              <w:bottom w:val="single" w:sz="4" w:space="0" w:color="auto"/>
            </w:tcBorders>
          </w:tcPr>
          <w:p w:rsidR="006172B2" w:rsidRPr="00631BD6" w:rsidRDefault="006172B2" w:rsidP="008D0CDA">
            <w:pPr>
              <w:pStyle w:val="Tabletext"/>
              <w:keepNext/>
              <w:jc w:val="center"/>
              <w:rPr>
                <w:szCs w:val="20"/>
              </w:rPr>
            </w:pPr>
            <w:r w:rsidRPr="00631BD6">
              <w:rPr>
                <w:szCs w:val="20"/>
              </w:rPr>
              <w:t>1.8</w:t>
            </w:r>
          </w:p>
        </w:tc>
        <w:tc>
          <w:tcPr>
            <w:tcW w:w="992" w:type="dxa"/>
            <w:tcBorders>
              <w:top w:val="nil"/>
              <w:bottom w:val="single" w:sz="4" w:space="0" w:color="auto"/>
            </w:tcBorders>
          </w:tcPr>
          <w:p w:rsidR="006172B2" w:rsidRPr="00631BD6" w:rsidRDefault="006172B2" w:rsidP="008D0CDA">
            <w:pPr>
              <w:pStyle w:val="Tabletext"/>
              <w:keepNext/>
              <w:jc w:val="center"/>
              <w:rPr>
                <w:szCs w:val="20"/>
              </w:rPr>
            </w:pPr>
            <w:r w:rsidRPr="00631BD6">
              <w:rPr>
                <w:szCs w:val="20"/>
              </w:rPr>
              <w:t>11 (2.0%)</w:t>
            </w:r>
          </w:p>
        </w:tc>
        <w:tc>
          <w:tcPr>
            <w:tcW w:w="1134" w:type="dxa"/>
            <w:tcBorders>
              <w:top w:val="nil"/>
              <w:bottom w:val="single" w:sz="4" w:space="0" w:color="auto"/>
            </w:tcBorders>
          </w:tcPr>
          <w:p w:rsidR="006172B2" w:rsidRPr="00631BD6" w:rsidRDefault="006172B2" w:rsidP="008D0CDA">
            <w:pPr>
              <w:pStyle w:val="Tabletext"/>
              <w:keepNext/>
              <w:jc w:val="center"/>
              <w:rPr>
                <w:szCs w:val="20"/>
              </w:rPr>
            </w:pPr>
            <w:r w:rsidRPr="00631BD6">
              <w:rPr>
                <w:szCs w:val="20"/>
              </w:rPr>
              <w:t>1.9</w:t>
            </w:r>
          </w:p>
        </w:tc>
        <w:tc>
          <w:tcPr>
            <w:tcW w:w="1559" w:type="dxa"/>
            <w:tcBorders>
              <w:top w:val="nil"/>
              <w:bottom w:val="single" w:sz="4" w:space="0" w:color="auto"/>
            </w:tcBorders>
          </w:tcPr>
          <w:p w:rsidR="006172B2" w:rsidRPr="00631BD6" w:rsidRDefault="006172B2" w:rsidP="008D0CDA">
            <w:pPr>
              <w:pStyle w:val="Tabletext"/>
              <w:keepNext/>
              <w:jc w:val="center"/>
              <w:rPr>
                <w:szCs w:val="20"/>
              </w:rPr>
            </w:pPr>
            <w:r w:rsidRPr="00631BD6">
              <w:rPr>
                <w:szCs w:val="20"/>
              </w:rPr>
              <w:t>0.09 (0.45, 1.89)</w:t>
            </w:r>
          </w:p>
        </w:tc>
      </w:tr>
      <w:tr w:rsidR="006172B2" w:rsidTr="00CE22A4">
        <w:tc>
          <w:tcPr>
            <w:tcW w:w="3114" w:type="dxa"/>
            <w:tcBorders>
              <w:bottom w:val="single" w:sz="4" w:space="0" w:color="auto"/>
            </w:tcBorders>
          </w:tcPr>
          <w:p w:rsidR="006172B2" w:rsidRPr="00631BD6" w:rsidRDefault="006172B2" w:rsidP="008D0CDA">
            <w:pPr>
              <w:pStyle w:val="Tabletext"/>
              <w:keepNext/>
              <w:rPr>
                <w:szCs w:val="20"/>
              </w:rPr>
            </w:pPr>
            <w:r w:rsidRPr="00631BD6">
              <w:rPr>
                <w:szCs w:val="20"/>
              </w:rPr>
              <w:t>Hear</w:t>
            </w:r>
            <w:r w:rsidR="00CE22A4">
              <w:rPr>
                <w:szCs w:val="20"/>
              </w:rPr>
              <w:t>t</w:t>
            </w:r>
            <w:r w:rsidRPr="00631BD6">
              <w:rPr>
                <w:szCs w:val="20"/>
              </w:rPr>
              <w:t xml:space="preserve"> failures</w:t>
            </w:r>
          </w:p>
        </w:tc>
        <w:tc>
          <w:tcPr>
            <w:tcW w:w="1134" w:type="dxa"/>
            <w:tcBorders>
              <w:bottom w:val="single" w:sz="4" w:space="0" w:color="auto"/>
            </w:tcBorders>
          </w:tcPr>
          <w:p w:rsidR="006172B2" w:rsidRPr="00631BD6" w:rsidRDefault="006172B2" w:rsidP="008D0CDA">
            <w:pPr>
              <w:pStyle w:val="Tabletext"/>
              <w:keepNext/>
              <w:jc w:val="center"/>
              <w:rPr>
                <w:szCs w:val="20"/>
              </w:rPr>
            </w:pPr>
            <w:r w:rsidRPr="00631BD6">
              <w:rPr>
                <w:szCs w:val="20"/>
              </w:rPr>
              <w:t>18 (1.9%)</w:t>
            </w:r>
          </w:p>
        </w:tc>
        <w:tc>
          <w:tcPr>
            <w:tcW w:w="1134" w:type="dxa"/>
            <w:tcBorders>
              <w:bottom w:val="single" w:sz="4" w:space="0" w:color="auto"/>
            </w:tcBorders>
          </w:tcPr>
          <w:p w:rsidR="006172B2" w:rsidRPr="00631BD6" w:rsidRDefault="006172B2" w:rsidP="008D0CDA">
            <w:pPr>
              <w:pStyle w:val="Tabletext"/>
              <w:keepNext/>
              <w:jc w:val="center"/>
              <w:rPr>
                <w:szCs w:val="20"/>
              </w:rPr>
            </w:pPr>
            <w:r w:rsidRPr="00631BD6">
              <w:rPr>
                <w:szCs w:val="20"/>
              </w:rPr>
              <w:t>1.3</w:t>
            </w:r>
          </w:p>
        </w:tc>
        <w:tc>
          <w:tcPr>
            <w:tcW w:w="992" w:type="dxa"/>
            <w:tcBorders>
              <w:bottom w:val="single" w:sz="4" w:space="0" w:color="auto"/>
            </w:tcBorders>
          </w:tcPr>
          <w:p w:rsidR="006172B2" w:rsidRPr="00631BD6" w:rsidRDefault="006172B2" w:rsidP="008D0CDA">
            <w:pPr>
              <w:pStyle w:val="Tabletext"/>
              <w:keepNext/>
              <w:jc w:val="center"/>
              <w:rPr>
                <w:szCs w:val="20"/>
              </w:rPr>
            </w:pPr>
            <w:r w:rsidRPr="00631BD6">
              <w:rPr>
                <w:szCs w:val="20"/>
              </w:rPr>
              <w:t>5 (0.9%)</w:t>
            </w:r>
          </w:p>
        </w:tc>
        <w:tc>
          <w:tcPr>
            <w:tcW w:w="1134" w:type="dxa"/>
            <w:tcBorders>
              <w:bottom w:val="single" w:sz="4" w:space="0" w:color="auto"/>
            </w:tcBorders>
          </w:tcPr>
          <w:p w:rsidR="006172B2" w:rsidRPr="00631BD6" w:rsidRDefault="006172B2" w:rsidP="008D0CDA">
            <w:pPr>
              <w:pStyle w:val="Tabletext"/>
              <w:keepNext/>
              <w:jc w:val="center"/>
              <w:rPr>
                <w:szCs w:val="20"/>
              </w:rPr>
            </w:pPr>
            <w:r w:rsidRPr="00631BD6">
              <w:rPr>
                <w:szCs w:val="20"/>
              </w:rPr>
              <w:t>0.9</w:t>
            </w:r>
          </w:p>
        </w:tc>
        <w:tc>
          <w:tcPr>
            <w:tcW w:w="1559" w:type="dxa"/>
            <w:tcBorders>
              <w:bottom w:val="single" w:sz="4" w:space="0" w:color="auto"/>
            </w:tcBorders>
          </w:tcPr>
          <w:p w:rsidR="006172B2" w:rsidRPr="00631BD6" w:rsidRDefault="006172B2" w:rsidP="008D0CDA">
            <w:pPr>
              <w:pStyle w:val="Tabletext"/>
              <w:keepNext/>
              <w:jc w:val="center"/>
              <w:rPr>
                <w:szCs w:val="20"/>
              </w:rPr>
            </w:pPr>
            <w:r w:rsidRPr="00631BD6">
              <w:rPr>
                <w:szCs w:val="20"/>
              </w:rPr>
              <w:t>1.53 (0.57, 4.12)</w:t>
            </w:r>
          </w:p>
        </w:tc>
      </w:tr>
    </w:tbl>
    <w:p w:rsidR="006172B2" w:rsidRPr="006172B2" w:rsidRDefault="006172B2" w:rsidP="006172B2">
      <w:pPr>
        <w:rPr>
          <w:rFonts w:ascii="Arial Narrow" w:hAnsi="Arial Narrow"/>
          <w:sz w:val="18"/>
          <w:szCs w:val="18"/>
        </w:rPr>
      </w:pPr>
      <w:r w:rsidRPr="006172B2">
        <w:rPr>
          <w:rFonts w:ascii="Arial Narrow" w:hAnsi="Arial Narrow"/>
          <w:sz w:val="18"/>
          <w:szCs w:val="18"/>
        </w:rPr>
        <w:t>Source: Table 2-26, p110 of the resubmission</w:t>
      </w:r>
    </w:p>
    <w:p w:rsidR="006172B2" w:rsidRPr="006172B2" w:rsidRDefault="006172B2" w:rsidP="006172B2">
      <w:pPr>
        <w:rPr>
          <w:rFonts w:ascii="Arial Narrow" w:hAnsi="Arial Narrow"/>
          <w:sz w:val="18"/>
          <w:szCs w:val="18"/>
        </w:rPr>
      </w:pPr>
      <w:r w:rsidRPr="006172B2">
        <w:rPr>
          <w:rFonts w:ascii="Arial Narrow" w:hAnsi="Arial Narrow"/>
          <w:sz w:val="18"/>
          <w:szCs w:val="18"/>
        </w:rPr>
        <w:t>EAIR = exposure-adjusted incidence rate; NA = not available; NEC = not elsewhere classified; SOC = standard of care</w:t>
      </w:r>
    </w:p>
    <w:p w:rsidR="006172B2" w:rsidRPr="006172B2" w:rsidRDefault="006172B2" w:rsidP="006172B2"/>
    <w:p w:rsidR="006172B2" w:rsidRPr="00470FAC" w:rsidRDefault="006172B2" w:rsidP="00D86231">
      <w:pPr>
        <w:pStyle w:val="3-BodyText"/>
      </w:pPr>
      <w:r w:rsidRPr="00470FAC">
        <w:t>The resubmission stated that, when interpreting the incidence of cardiac events in the ARAMIS trial, it should be noted that there were no significant differences between the darolutamide and SOC arms for any cardiac disorder related treatment emergent adverse event when the incident rate was adjusted for exposure, and patients in the darolutamide arms were more likely to have had a cardiac disorder at baseline (darolutamide arm = 46.1%; SOC arm = 40.3%).</w:t>
      </w:r>
    </w:p>
    <w:p w:rsidR="008F621C" w:rsidRPr="00470FAC" w:rsidRDefault="006172B2" w:rsidP="00DC7CA9">
      <w:pPr>
        <w:pStyle w:val="3-BodyText"/>
        <w:rPr>
          <w:color w:val="0066FF"/>
        </w:rPr>
      </w:pPr>
      <w:r w:rsidRPr="00470FAC">
        <w:t>The resubmission presented a post-hoc analysis, presented below, to demonstrate that patients with a medical history of cardiac disorders represented the majority of patients who experienced coronary artery disorders or heart failure in both treatment arms. As the post-hoc analysis did not include cardiac arrhythmias, the incidence of cardiac arrhythmias in patients with and without a medical history of cardiac disorders could not be assessed.</w:t>
      </w:r>
      <w:r w:rsidR="008A3F06" w:rsidRPr="00470FAC">
        <w:t xml:space="preserve"> </w:t>
      </w:r>
      <w:r w:rsidR="008F621C" w:rsidRPr="00470FAC">
        <w:t xml:space="preserve">In addition, it would be likely that a </w:t>
      </w:r>
      <w:r w:rsidR="00895615" w:rsidRPr="00470FAC">
        <w:t xml:space="preserve">substantial </w:t>
      </w:r>
      <w:r w:rsidR="008F621C" w:rsidRPr="00470FAC">
        <w:t>proportion of darolutamide patients would have a medical history of cardiac disorders in clinical practice. Therefore, it would be expected that cardiovascular AEs would be observed in the Australian setting.</w:t>
      </w:r>
    </w:p>
    <w:p w:rsidR="006172B2" w:rsidRPr="006172B2" w:rsidRDefault="006172B2" w:rsidP="008F621C">
      <w:pPr>
        <w:keepNext/>
        <w:rPr>
          <w:rFonts w:ascii="Arial Narrow" w:hAnsi="Arial Narrow"/>
          <w:b/>
          <w:sz w:val="20"/>
          <w:szCs w:val="20"/>
        </w:rPr>
      </w:pPr>
      <w:r w:rsidRPr="006172B2">
        <w:rPr>
          <w:rFonts w:ascii="Arial Narrow" w:hAnsi="Arial Narrow"/>
          <w:b/>
          <w:sz w:val="20"/>
          <w:szCs w:val="20"/>
        </w:rPr>
        <w:t xml:space="preserve">Table </w:t>
      </w:r>
      <w:r w:rsidR="000C08E6">
        <w:rPr>
          <w:rFonts w:ascii="Arial Narrow" w:hAnsi="Arial Narrow"/>
          <w:b/>
          <w:sz w:val="20"/>
          <w:szCs w:val="20"/>
        </w:rPr>
        <w:t>9</w:t>
      </w:r>
      <w:r w:rsidRPr="006172B2">
        <w:rPr>
          <w:rFonts w:ascii="Arial Narrow" w:hAnsi="Arial Narrow"/>
          <w:b/>
          <w:sz w:val="20"/>
          <w:szCs w:val="20"/>
        </w:rPr>
        <w:t>: Incidence of coronary artery disorders and heart failure by medical history of cardiac disorders in the ARAMIS trial</w:t>
      </w:r>
    </w:p>
    <w:tbl>
      <w:tblPr>
        <w:tblStyle w:val="TableGrid"/>
        <w:tblW w:w="0" w:type="auto"/>
        <w:tblLook w:val="04A0" w:firstRow="1" w:lastRow="0" w:firstColumn="1" w:lastColumn="0" w:noHBand="0" w:noVBand="1"/>
        <w:tblCaption w:val="Table 9: Incidence of coronary artery disorders and heart failure by medical history of cardiac disorders in the ARAMIS trial"/>
      </w:tblPr>
      <w:tblGrid>
        <w:gridCol w:w="2689"/>
        <w:gridCol w:w="1134"/>
        <w:gridCol w:w="992"/>
        <w:gridCol w:w="1134"/>
        <w:gridCol w:w="992"/>
        <w:gridCol w:w="1134"/>
        <w:gridCol w:w="942"/>
      </w:tblGrid>
      <w:tr w:rsidR="006172B2" w:rsidTr="006242C1">
        <w:trPr>
          <w:tblHeader/>
        </w:trPr>
        <w:tc>
          <w:tcPr>
            <w:tcW w:w="2689" w:type="dxa"/>
            <w:vMerge w:val="restart"/>
            <w:tcMar>
              <w:left w:w="28" w:type="dxa"/>
              <w:right w:w="28" w:type="dxa"/>
            </w:tcMar>
          </w:tcPr>
          <w:p w:rsidR="006172B2" w:rsidRDefault="006172B2" w:rsidP="008F621C">
            <w:pPr>
              <w:pStyle w:val="Tabletext"/>
              <w:keepNext/>
            </w:pPr>
          </w:p>
        </w:tc>
        <w:tc>
          <w:tcPr>
            <w:tcW w:w="2126" w:type="dxa"/>
            <w:gridSpan w:val="2"/>
            <w:tcMar>
              <w:left w:w="28" w:type="dxa"/>
              <w:right w:w="28" w:type="dxa"/>
            </w:tcMar>
          </w:tcPr>
          <w:p w:rsidR="006172B2" w:rsidRPr="008121B2" w:rsidRDefault="006172B2" w:rsidP="008F621C">
            <w:pPr>
              <w:pStyle w:val="Tabletext"/>
              <w:keepNext/>
              <w:jc w:val="center"/>
              <w:rPr>
                <w:b/>
              </w:rPr>
            </w:pPr>
            <w:r w:rsidRPr="008121B2">
              <w:rPr>
                <w:b/>
              </w:rPr>
              <w:t>With history of cardiac disorders</w:t>
            </w:r>
          </w:p>
        </w:tc>
        <w:tc>
          <w:tcPr>
            <w:tcW w:w="2126" w:type="dxa"/>
            <w:gridSpan w:val="2"/>
            <w:tcMar>
              <w:left w:w="28" w:type="dxa"/>
              <w:right w:w="28" w:type="dxa"/>
            </w:tcMar>
          </w:tcPr>
          <w:p w:rsidR="006172B2" w:rsidRPr="008121B2" w:rsidRDefault="006172B2" w:rsidP="008F621C">
            <w:pPr>
              <w:pStyle w:val="Tabletext"/>
              <w:keepNext/>
              <w:jc w:val="center"/>
              <w:rPr>
                <w:b/>
              </w:rPr>
            </w:pPr>
            <w:r w:rsidRPr="008121B2">
              <w:rPr>
                <w:b/>
              </w:rPr>
              <w:t>Without history of cardiac disorders</w:t>
            </w:r>
          </w:p>
        </w:tc>
        <w:tc>
          <w:tcPr>
            <w:tcW w:w="2076" w:type="dxa"/>
            <w:gridSpan w:val="2"/>
            <w:tcMar>
              <w:left w:w="28" w:type="dxa"/>
              <w:right w:w="28" w:type="dxa"/>
            </w:tcMar>
          </w:tcPr>
          <w:p w:rsidR="006172B2" w:rsidRPr="008121B2" w:rsidRDefault="006172B2" w:rsidP="008F621C">
            <w:pPr>
              <w:pStyle w:val="Tabletext"/>
              <w:keepNext/>
              <w:jc w:val="center"/>
              <w:rPr>
                <w:b/>
              </w:rPr>
            </w:pPr>
            <w:r w:rsidRPr="008121B2">
              <w:rPr>
                <w:b/>
              </w:rPr>
              <w:t>Total</w:t>
            </w:r>
          </w:p>
        </w:tc>
      </w:tr>
      <w:tr w:rsidR="006172B2" w:rsidTr="006242C1">
        <w:trPr>
          <w:tblHeader/>
        </w:trPr>
        <w:tc>
          <w:tcPr>
            <w:tcW w:w="2689" w:type="dxa"/>
            <w:vMerge/>
            <w:tcMar>
              <w:left w:w="28" w:type="dxa"/>
              <w:right w:w="28" w:type="dxa"/>
            </w:tcMar>
          </w:tcPr>
          <w:p w:rsidR="006172B2" w:rsidRDefault="006172B2" w:rsidP="008F621C">
            <w:pPr>
              <w:pStyle w:val="Tabletext"/>
              <w:keepNext/>
            </w:pPr>
          </w:p>
        </w:tc>
        <w:tc>
          <w:tcPr>
            <w:tcW w:w="1134" w:type="dxa"/>
            <w:tcMar>
              <w:left w:w="28" w:type="dxa"/>
              <w:right w:w="28" w:type="dxa"/>
            </w:tcMar>
          </w:tcPr>
          <w:p w:rsidR="006172B2" w:rsidRPr="008121B2" w:rsidRDefault="006172B2" w:rsidP="008F621C">
            <w:pPr>
              <w:pStyle w:val="Tabletext"/>
              <w:keepNext/>
              <w:jc w:val="center"/>
              <w:rPr>
                <w:b/>
              </w:rPr>
            </w:pPr>
            <w:r w:rsidRPr="008121B2">
              <w:rPr>
                <w:b/>
              </w:rPr>
              <w:t>D</w:t>
            </w:r>
            <w:r>
              <w:rPr>
                <w:b/>
              </w:rPr>
              <w:t>ARO</w:t>
            </w:r>
            <w:r w:rsidRPr="008121B2">
              <w:rPr>
                <w:b/>
              </w:rPr>
              <w:t>, n (%)</w:t>
            </w:r>
            <w:r w:rsidRPr="008121B2">
              <w:rPr>
                <w:b/>
              </w:rPr>
              <w:br/>
              <w:t>N = 440</w:t>
            </w:r>
          </w:p>
        </w:tc>
        <w:tc>
          <w:tcPr>
            <w:tcW w:w="992" w:type="dxa"/>
            <w:tcMar>
              <w:left w:w="28" w:type="dxa"/>
              <w:right w:w="28" w:type="dxa"/>
            </w:tcMar>
          </w:tcPr>
          <w:p w:rsidR="006172B2" w:rsidRPr="008121B2" w:rsidRDefault="006172B2" w:rsidP="008F621C">
            <w:pPr>
              <w:pStyle w:val="Tabletext"/>
              <w:keepNext/>
              <w:jc w:val="center"/>
              <w:rPr>
                <w:b/>
              </w:rPr>
            </w:pPr>
            <w:r>
              <w:rPr>
                <w:b/>
              </w:rPr>
              <w:t>SOC</w:t>
            </w:r>
            <w:r w:rsidRPr="008121B2">
              <w:rPr>
                <w:b/>
              </w:rPr>
              <w:t>, n (%)</w:t>
            </w:r>
            <w:r w:rsidRPr="008121B2">
              <w:rPr>
                <w:b/>
              </w:rPr>
              <w:br/>
              <w:t>N = 223</w:t>
            </w:r>
          </w:p>
        </w:tc>
        <w:tc>
          <w:tcPr>
            <w:tcW w:w="1134" w:type="dxa"/>
            <w:tcMar>
              <w:left w:w="28" w:type="dxa"/>
              <w:right w:w="28" w:type="dxa"/>
            </w:tcMar>
          </w:tcPr>
          <w:p w:rsidR="006172B2" w:rsidRPr="008121B2" w:rsidRDefault="006172B2" w:rsidP="008F621C">
            <w:pPr>
              <w:pStyle w:val="Tabletext"/>
              <w:keepNext/>
              <w:jc w:val="center"/>
              <w:rPr>
                <w:b/>
              </w:rPr>
            </w:pPr>
            <w:r w:rsidRPr="008121B2">
              <w:rPr>
                <w:b/>
              </w:rPr>
              <w:t>D</w:t>
            </w:r>
            <w:r>
              <w:rPr>
                <w:b/>
              </w:rPr>
              <w:t>ARO</w:t>
            </w:r>
            <w:r w:rsidRPr="008121B2">
              <w:rPr>
                <w:b/>
              </w:rPr>
              <w:t>, n (%)</w:t>
            </w:r>
            <w:r w:rsidRPr="008121B2">
              <w:rPr>
                <w:b/>
              </w:rPr>
              <w:br/>
              <w:t>N = 514</w:t>
            </w:r>
          </w:p>
        </w:tc>
        <w:tc>
          <w:tcPr>
            <w:tcW w:w="992" w:type="dxa"/>
            <w:tcMar>
              <w:left w:w="28" w:type="dxa"/>
              <w:right w:w="28" w:type="dxa"/>
            </w:tcMar>
          </w:tcPr>
          <w:p w:rsidR="006172B2" w:rsidRPr="008121B2" w:rsidRDefault="006172B2" w:rsidP="008F621C">
            <w:pPr>
              <w:pStyle w:val="Tabletext"/>
              <w:keepNext/>
              <w:jc w:val="center"/>
              <w:rPr>
                <w:b/>
              </w:rPr>
            </w:pPr>
            <w:r>
              <w:rPr>
                <w:b/>
              </w:rPr>
              <w:t>SOC</w:t>
            </w:r>
            <w:r w:rsidRPr="008121B2">
              <w:rPr>
                <w:b/>
              </w:rPr>
              <w:t>, n (%)</w:t>
            </w:r>
            <w:r w:rsidRPr="008121B2">
              <w:rPr>
                <w:b/>
              </w:rPr>
              <w:br/>
              <w:t>N = 331</w:t>
            </w:r>
          </w:p>
        </w:tc>
        <w:tc>
          <w:tcPr>
            <w:tcW w:w="1134" w:type="dxa"/>
            <w:tcMar>
              <w:left w:w="28" w:type="dxa"/>
              <w:right w:w="28" w:type="dxa"/>
            </w:tcMar>
          </w:tcPr>
          <w:p w:rsidR="006172B2" w:rsidRPr="008121B2" w:rsidRDefault="006172B2" w:rsidP="008F621C">
            <w:pPr>
              <w:pStyle w:val="Tabletext"/>
              <w:keepNext/>
              <w:jc w:val="center"/>
              <w:rPr>
                <w:b/>
              </w:rPr>
            </w:pPr>
            <w:r w:rsidRPr="008121B2">
              <w:rPr>
                <w:b/>
              </w:rPr>
              <w:t>D</w:t>
            </w:r>
            <w:r>
              <w:rPr>
                <w:b/>
              </w:rPr>
              <w:t>ARO</w:t>
            </w:r>
            <w:r w:rsidRPr="008121B2">
              <w:rPr>
                <w:b/>
              </w:rPr>
              <w:t>, n (%)</w:t>
            </w:r>
            <w:r w:rsidRPr="008121B2">
              <w:rPr>
                <w:b/>
              </w:rPr>
              <w:br/>
              <w:t>N = 954</w:t>
            </w:r>
          </w:p>
        </w:tc>
        <w:tc>
          <w:tcPr>
            <w:tcW w:w="942" w:type="dxa"/>
            <w:tcMar>
              <w:left w:w="28" w:type="dxa"/>
              <w:right w:w="28" w:type="dxa"/>
            </w:tcMar>
          </w:tcPr>
          <w:p w:rsidR="006172B2" w:rsidRPr="008121B2" w:rsidRDefault="006172B2" w:rsidP="008F621C">
            <w:pPr>
              <w:pStyle w:val="Tabletext"/>
              <w:keepNext/>
              <w:jc w:val="center"/>
              <w:rPr>
                <w:b/>
              </w:rPr>
            </w:pPr>
            <w:r>
              <w:rPr>
                <w:b/>
              </w:rPr>
              <w:t>SOC</w:t>
            </w:r>
            <w:r w:rsidRPr="008121B2">
              <w:rPr>
                <w:b/>
              </w:rPr>
              <w:t>, n (%)</w:t>
            </w:r>
            <w:r w:rsidRPr="008121B2">
              <w:rPr>
                <w:b/>
              </w:rPr>
              <w:br/>
              <w:t>N = 554</w:t>
            </w:r>
          </w:p>
        </w:tc>
      </w:tr>
      <w:tr w:rsidR="006172B2" w:rsidTr="006172B2">
        <w:tc>
          <w:tcPr>
            <w:tcW w:w="2689" w:type="dxa"/>
            <w:tcMar>
              <w:left w:w="28" w:type="dxa"/>
              <w:right w:w="28" w:type="dxa"/>
            </w:tcMar>
          </w:tcPr>
          <w:p w:rsidR="006172B2" w:rsidRDefault="006172B2" w:rsidP="008F621C">
            <w:pPr>
              <w:pStyle w:val="Tabletext"/>
              <w:keepNext/>
            </w:pPr>
            <w:r>
              <w:t>Coronary artery disorders</w:t>
            </w:r>
          </w:p>
          <w:p w:rsidR="006172B2" w:rsidRDefault="006172B2" w:rsidP="008F621C">
            <w:pPr>
              <w:pStyle w:val="Tabletext"/>
              <w:keepNext/>
            </w:pPr>
            <w:r>
              <w:t>- coronary artery disorders NEC</w:t>
            </w:r>
          </w:p>
          <w:p w:rsidR="006172B2" w:rsidRDefault="006172B2" w:rsidP="008F621C">
            <w:pPr>
              <w:pStyle w:val="Tabletext"/>
              <w:keepNext/>
            </w:pPr>
            <w:r>
              <w:t>- ischaemic coronary artery disorders</w:t>
            </w:r>
          </w:p>
        </w:tc>
        <w:tc>
          <w:tcPr>
            <w:tcW w:w="1134" w:type="dxa"/>
            <w:tcMar>
              <w:left w:w="28" w:type="dxa"/>
              <w:right w:w="28" w:type="dxa"/>
            </w:tcMar>
          </w:tcPr>
          <w:p w:rsidR="006172B2" w:rsidRDefault="006172B2" w:rsidP="008F621C">
            <w:pPr>
              <w:pStyle w:val="Tabletext"/>
              <w:keepNext/>
              <w:jc w:val="center"/>
            </w:pPr>
            <w:r>
              <w:t>23 (5.2%)</w:t>
            </w:r>
          </w:p>
          <w:p w:rsidR="006172B2" w:rsidRDefault="006172B2" w:rsidP="008F621C">
            <w:pPr>
              <w:pStyle w:val="Tabletext"/>
              <w:keepNext/>
              <w:jc w:val="center"/>
            </w:pPr>
            <w:r>
              <w:t>10 (2.3%)</w:t>
            </w:r>
          </w:p>
          <w:p w:rsidR="006172B2" w:rsidRDefault="006172B2" w:rsidP="008F621C">
            <w:pPr>
              <w:pStyle w:val="Tabletext"/>
              <w:keepNext/>
              <w:jc w:val="center"/>
            </w:pPr>
            <w:r>
              <w:t>17 (3.9%)</w:t>
            </w:r>
          </w:p>
          <w:p w:rsidR="006172B2" w:rsidRDefault="006172B2" w:rsidP="008F621C">
            <w:pPr>
              <w:pStyle w:val="Tabletext"/>
              <w:keepNext/>
              <w:jc w:val="center"/>
            </w:pPr>
          </w:p>
        </w:tc>
        <w:tc>
          <w:tcPr>
            <w:tcW w:w="992" w:type="dxa"/>
            <w:tcMar>
              <w:left w:w="28" w:type="dxa"/>
              <w:right w:w="28" w:type="dxa"/>
            </w:tcMar>
          </w:tcPr>
          <w:p w:rsidR="006172B2" w:rsidRDefault="006172B2" w:rsidP="008F621C">
            <w:pPr>
              <w:pStyle w:val="Tabletext"/>
              <w:keepNext/>
              <w:jc w:val="center"/>
            </w:pPr>
            <w:r>
              <w:t>12 (5.4%)</w:t>
            </w:r>
          </w:p>
          <w:p w:rsidR="006172B2" w:rsidRDefault="006172B2" w:rsidP="008F621C">
            <w:pPr>
              <w:pStyle w:val="Tabletext"/>
              <w:keepNext/>
              <w:jc w:val="center"/>
            </w:pPr>
            <w:r>
              <w:t>2 (0.9%)</w:t>
            </w:r>
          </w:p>
          <w:p w:rsidR="006172B2" w:rsidRDefault="006172B2" w:rsidP="008F621C">
            <w:pPr>
              <w:pStyle w:val="Tabletext"/>
              <w:keepNext/>
              <w:jc w:val="center"/>
            </w:pPr>
            <w:r>
              <w:t>10 (4.5%)</w:t>
            </w:r>
          </w:p>
          <w:p w:rsidR="006172B2" w:rsidRDefault="006172B2" w:rsidP="008F621C">
            <w:pPr>
              <w:pStyle w:val="Tabletext"/>
              <w:keepNext/>
              <w:jc w:val="center"/>
            </w:pPr>
          </w:p>
        </w:tc>
        <w:tc>
          <w:tcPr>
            <w:tcW w:w="1134" w:type="dxa"/>
            <w:tcMar>
              <w:left w:w="28" w:type="dxa"/>
              <w:right w:w="28" w:type="dxa"/>
            </w:tcMar>
          </w:tcPr>
          <w:p w:rsidR="006172B2" w:rsidRDefault="006172B2" w:rsidP="008F621C">
            <w:pPr>
              <w:pStyle w:val="Tabletext"/>
              <w:keepNext/>
              <w:jc w:val="center"/>
            </w:pPr>
            <w:r>
              <w:t>8 (1.6%)</w:t>
            </w:r>
          </w:p>
          <w:p w:rsidR="006172B2" w:rsidRDefault="006172B2" w:rsidP="008F621C">
            <w:pPr>
              <w:pStyle w:val="Tabletext"/>
              <w:keepNext/>
              <w:jc w:val="center"/>
            </w:pPr>
            <w:r>
              <w:t>3 (0.6%)</w:t>
            </w:r>
          </w:p>
          <w:p w:rsidR="006172B2" w:rsidRDefault="006172B2" w:rsidP="008F621C">
            <w:pPr>
              <w:pStyle w:val="Tabletext"/>
              <w:keepNext/>
              <w:jc w:val="center"/>
            </w:pPr>
            <w:r>
              <w:t>7 (1.4%)</w:t>
            </w:r>
          </w:p>
        </w:tc>
        <w:tc>
          <w:tcPr>
            <w:tcW w:w="992" w:type="dxa"/>
            <w:tcMar>
              <w:left w:w="28" w:type="dxa"/>
              <w:right w:w="28" w:type="dxa"/>
            </w:tcMar>
          </w:tcPr>
          <w:p w:rsidR="006172B2" w:rsidRDefault="006172B2" w:rsidP="008F621C">
            <w:pPr>
              <w:pStyle w:val="Tabletext"/>
              <w:keepNext/>
              <w:jc w:val="center"/>
            </w:pPr>
            <w:r>
              <w:t>2 (0.6%)</w:t>
            </w:r>
          </w:p>
          <w:p w:rsidR="006172B2" w:rsidRDefault="006172B2" w:rsidP="008F621C">
            <w:pPr>
              <w:pStyle w:val="Tabletext"/>
              <w:keepNext/>
              <w:jc w:val="center"/>
            </w:pPr>
            <w:r>
              <w:t>1 (0.3%)</w:t>
            </w:r>
          </w:p>
          <w:p w:rsidR="006172B2" w:rsidRDefault="006172B2" w:rsidP="008F621C">
            <w:pPr>
              <w:pStyle w:val="Tabletext"/>
              <w:keepNext/>
              <w:jc w:val="center"/>
            </w:pPr>
            <w:r>
              <w:t>1 (0.3%)</w:t>
            </w:r>
          </w:p>
        </w:tc>
        <w:tc>
          <w:tcPr>
            <w:tcW w:w="1134" w:type="dxa"/>
            <w:tcMar>
              <w:left w:w="28" w:type="dxa"/>
              <w:right w:w="28" w:type="dxa"/>
            </w:tcMar>
          </w:tcPr>
          <w:p w:rsidR="006172B2" w:rsidRDefault="006172B2" w:rsidP="008F621C">
            <w:pPr>
              <w:pStyle w:val="Tabletext"/>
              <w:keepNext/>
              <w:jc w:val="center"/>
            </w:pPr>
            <w:r>
              <w:t>31 (3.2%)</w:t>
            </w:r>
          </w:p>
          <w:p w:rsidR="006172B2" w:rsidRDefault="006172B2" w:rsidP="008F621C">
            <w:pPr>
              <w:pStyle w:val="Tabletext"/>
              <w:keepNext/>
              <w:jc w:val="center"/>
            </w:pPr>
            <w:r>
              <w:t>13 (1.4%)</w:t>
            </w:r>
          </w:p>
          <w:p w:rsidR="006172B2" w:rsidRDefault="006172B2" w:rsidP="008F621C">
            <w:pPr>
              <w:pStyle w:val="Tabletext"/>
              <w:keepNext/>
              <w:jc w:val="center"/>
            </w:pPr>
            <w:r>
              <w:t>24 (2.5%)</w:t>
            </w:r>
          </w:p>
        </w:tc>
        <w:tc>
          <w:tcPr>
            <w:tcW w:w="942" w:type="dxa"/>
            <w:tcMar>
              <w:left w:w="28" w:type="dxa"/>
              <w:right w:w="28" w:type="dxa"/>
            </w:tcMar>
          </w:tcPr>
          <w:p w:rsidR="006172B2" w:rsidRDefault="006172B2" w:rsidP="008F621C">
            <w:pPr>
              <w:pStyle w:val="Tabletext"/>
              <w:keepNext/>
              <w:jc w:val="center"/>
            </w:pPr>
            <w:r>
              <w:t>14 (2.5%)</w:t>
            </w:r>
          </w:p>
          <w:p w:rsidR="006172B2" w:rsidRDefault="006172B2" w:rsidP="008F621C">
            <w:pPr>
              <w:pStyle w:val="Tabletext"/>
              <w:keepNext/>
              <w:jc w:val="center"/>
            </w:pPr>
            <w:r>
              <w:t>3 (0.5%)</w:t>
            </w:r>
          </w:p>
          <w:p w:rsidR="006172B2" w:rsidRDefault="006172B2" w:rsidP="008F621C">
            <w:pPr>
              <w:pStyle w:val="Tabletext"/>
              <w:keepNext/>
              <w:jc w:val="center"/>
            </w:pPr>
            <w:r>
              <w:t>11 (2.0%)</w:t>
            </w:r>
          </w:p>
        </w:tc>
      </w:tr>
      <w:tr w:rsidR="006172B2" w:rsidTr="006172B2">
        <w:tc>
          <w:tcPr>
            <w:tcW w:w="2689" w:type="dxa"/>
            <w:tcMar>
              <w:left w:w="28" w:type="dxa"/>
              <w:right w:w="28" w:type="dxa"/>
            </w:tcMar>
          </w:tcPr>
          <w:p w:rsidR="006172B2" w:rsidRDefault="006172B2" w:rsidP="008F621C">
            <w:pPr>
              <w:pStyle w:val="Tabletext"/>
              <w:keepNext/>
            </w:pPr>
            <w:r>
              <w:t>Heart failures</w:t>
            </w:r>
          </w:p>
        </w:tc>
        <w:tc>
          <w:tcPr>
            <w:tcW w:w="1134" w:type="dxa"/>
            <w:tcMar>
              <w:left w:w="28" w:type="dxa"/>
              <w:right w:w="28" w:type="dxa"/>
            </w:tcMar>
          </w:tcPr>
          <w:p w:rsidR="006172B2" w:rsidRDefault="006172B2" w:rsidP="008F621C">
            <w:pPr>
              <w:pStyle w:val="Tabletext"/>
              <w:keepNext/>
              <w:jc w:val="center"/>
            </w:pPr>
            <w:r>
              <w:t>13 (3.0%)</w:t>
            </w:r>
          </w:p>
        </w:tc>
        <w:tc>
          <w:tcPr>
            <w:tcW w:w="992" w:type="dxa"/>
            <w:tcMar>
              <w:left w:w="28" w:type="dxa"/>
              <w:right w:w="28" w:type="dxa"/>
            </w:tcMar>
          </w:tcPr>
          <w:p w:rsidR="006172B2" w:rsidRDefault="006172B2" w:rsidP="008F621C">
            <w:pPr>
              <w:pStyle w:val="Tabletext"/>
              <w:keepNext/>
              <w:jc w:val="center"/>
            </w:pPr>
            <w:r>
              <w:t>5 (2.2%)</w:t>
            </w:r>
          </w:p>
        </w:tc>
        <w:tc>
          <w:tcPr>
            <w:tcW w:w="1134" w:type="dxa"/>
            <w:tcMar>
              <w:left w:w="28" w:type="dxa"/>
              <w:right w:w="28" w:type="dxa"/>
            </w:tcMar>
          </w:tcPr>
          <w:p w:rsidR="006172B2" w:rsidRDefault="006172B2" w:rsidP="008F621C">
            <w:pPr>
              <w:pStyle w:val="Tabletext"/>
              <w:keepNext/>
              <w:jc w:val="center"/>
            </w:pPr>
            <w:r>
              <w:t>5 (1.0%)</w:t>
            </w:r>
          </w:p>
        </w:tc>
        <w:tc>
          <w:tcPr>
            <w:tcW w:w="992" w:type="dxa"/>
            <w:tcMar>
              <w:left w:w="28" w:type="dxa"/>
              <w:right w:w="28" w:type="dxa"/>
            </w:tcMar>
          </w:tcPr>
          <w:p w:rsidR="006172B2" w:rsidRDefault="006172B2" w:rsidP="008F621C">
            <w:pPr>
              <w:pStyle w:val="Tabletext"/>
              <w:keepNext/>
              <w:jc w:val="center"/>
            </w:pPr>
            <w:r>
              <w:t>0</w:t>
            </w:r>
          </w:p>
        </w:tc>
        <w:tc>
          <w:tcPr>
            <w:tcW w:w="1134" w:type="dxa"/>
            <w:tcMar>
              <w:left w:w="28" w:type="dxa"/>
              <w:right w:w="28" w:type="dxa"/>
            </w:tcMar>
          </w:tcPr>
          <w:p w:rsidR="006172B2" w:rsidRDefault="006172B2" w:rsidP="008F621C">
            <w:pPr>
              <w:pStyle w:val="Tabletext"/>
              <w:keepNext/>
              <w:jc w:val="center"/>
            </w:pPr>
            <w:r>
              <w:t>18 (1.9%)</w:t>
            </w:r>
          </w:p>
        </w:tc>
        <w:tc>
          <w:tcPr>
            <w:tcW w:w="942" w:type="dxa"/>
            <w:tcMar>
              <w:left w:w="28" w:type="dxa"/>
              <w:right w:w="28" w:type="dxa"/>
            </w:tcMar>
          </w:tcPr>
          <w:p w:rsidR="006172B2" w:rsidRDefault="006172B2" w:rsidP="008F621C">
            <w:pPr>
              <w:pStyle w:val="Tabletext"/>
              <w:keepNext/>
              <w:jc w:val="center"/>
            </w:pPr>
            <w:r>
              <w:t>5 (0.9%)</w:t>
            </w:r>
          </w:p>
        </w:tc>
      </w:tr>
    </w:tbl>
    <w:p w:rsidR="006172B2" w:rsidRPr="006172B2" w:rsidRDefault="006172B2" w:rsidP="006172B2">
      <w:pPr>
        <w:rPr>
          <w:rFonts w:ascii="Arial Narrow" w:hAnsi="Arial Narrow"/>
          <w:sz w:val="18"/>
          <w:szCs w:val="18"/>
        </w:rPr>
      </w:pPr>
      <w:r w:rsidRPr="006172B2">
        <w:rPr>
          <w:rFonts w:ascii="Arial Narrow" w:hAnsi="Arial Narrow"/>
          <w:sz w:val="18"/>
          <w:szCs w:val="18"/>
        </w:rPr>
        <w:t>Source: Table 2-27, p110 of the resubmission</w:t>
      </w:r>
    </w:p>
    <w:p w:rsidR="006172B2" w:rsidRPr="006172B2" w:rsidRDefault="006172B2" w:rsidP="006172B2">
      <w:pPr>
        <w:rPr>
          <w:rFonts w:ascii="Arial Narrow" w:hAnsi="Arial Narrow"/>
          <w:sz w:val="18"/>
          <w:szCs w:val="18"/>
        </w:rPr>
      </w:pPr>
      <w:r w:rsidRPr="006172B2">
        <w:rPr>
          <w:rFonts w:ascii="Arial Narrow" w:hAnsi="Arial Narrow"/>
          <w:sz w:val="18"/>
          <w:szCs w:val="18"/>
        </w:rPr>
        <w:t>DARO = darolutamide; NEC = not elsewhere classified; SOC = standard of care</w:t>
      </w:r>
    </w:p>
    <w:p w:rsidR="006172B2" w:rsidRPr="006172B2" w:rsidRDefault="006172B2" w:rsidP="008F621C"/>
    <w:p w:rsidR="007F1017" w:rsidRPr="00C9624D" w:rsidRDefault="007F1017" w:rsidP="00D86231">
      <w:pPr>
        <w:pStyle w:val="4-SubsectionHeading"/>
      </w:pPr>
      <w:bookmarkStart w:id="17" w:name="_Toc22897643"/>
      <w:bookmarkStart w:id="18" w:name="_Toc62023473"/>
      <w:r w:rsidRPr="00C9624D">
        <w:lastRenderedPageBreak/>
        <w:t>Benefits/harms</w:t>
      </w:r>
      <w:bookmarkEnd w:id="17"/>
      <w:bookmarkEnd w:id="18"/>
    </w:p>
    <w:p w:rsidR="008F621C" w:rsidRDefault="008F621C" w:rsidP="00443848">
      <w:pPr>
        <w:pStyle w:val="3-BodyText"/>
        <w:snapToGrid w:val="0"/>
        <w:spacing w:after="160"/>
      </w:pPr>
      <w:r>
        <w:t xml:space="preserve">A summary of the comparative benefits and harms for darolutamide versus SOC is presented in Table </w:t>
      </w:r>
      <w:r w:rsidR="000C08E6">
        <w:t>10</w:t>
      </w:r>
      <w:r>
        <w:t>.</w:t>
      </w:r>
    </w:p>
    <w:p w:rsidR="008F621C" w:rsidRPr="00EC08F0" w:rsidRDefault="008F621C" w:rsidP="008D0CDA">
      <w:pPr>
        <w:pStyle w:val="TableFigureHeading"/>
        <w:rPr>
          <w:rStyle w:val="CommentReference"/>
          <w:b/>
          <w:bCs w:val="0"/>
        </w:rPr>
      </w:pPr>
      <w:r w:rsidRPr="00EC08F0">
        <w:rPr>
          <w:rStyle w:val="CommentReference"/>
          <w:b/>
        </w:rPr>
        <w:t xml:space="preserve">Table </w:t>
      </w:r>
      <w:r w:rsidR="000C08E6">
        <w:rPr>
          <w:rStyle w:val="CommentReference"/>
          <w:b/>
        </w:rPr>
        <w:t>10</w:t>
      </w:r>
      <w:r w:rsidRPr="00EC08F0">
        <w:rPr>
          <w:rStyle w:val="CommentReference"/>
          <w:b/>
        </w:rPr>
        <w:t>: Summary of comparative benefits and harms for darolutamide and SOC</w:t>
      </w:r>
    </w:p>
    <w:tbl>
      <w:tblPr>
        <w:tblStyle w:val="TableGrid"/>
        <w:tblW w:w="5000" w:type="pct"/>
        <w:tblCellMar>
          <w:left w:w="28" w:type="dxa"/>
          <w:right w:w="28" w:type="dxa"/>
        </w:tblCellMar>
        <w:tblLook w:val="04A0" w:firstRow="1" w:lastRow="0" w:firstColumn="1" w:lastColumn="0" w:noHBand="0" w:noVBand="1"/>
        <w:tblCaption w:val="Table 9: Summary of comparative benefits and harms for darolutamide and SOC"/>
      </w:tblPr>
      <w:tblGrid>
        <w:gridCol w:w="2120"/>
        <w:gridCol w:w="1109"/>
        <w:gridCol w:w="992"/>
        <w:gridCol w:w="570"/>
        <w:gridCol w:w="875"/>
        <w:gridCol w:w="691"/>
        <w:gridCol w:w="444"/>
        <w:gridCol w:w="840"/>
        <w:gridCol w:w="1376"/>
      </w:tblGrid>
      <w:tr w:rsidR="008F621C" w:rsidRPr="008F621C" w:rsidTr="006242C1">
        <w:trPr>
          <w:trHeight w:val="150"/>
          <w:tblHead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8F621C" w:rsidRPr="008F621C" w:rsidRDefault="008F621C" w:rsidP="008D0CDA">
            <w:pPr>
              <w:pStyle w:val="TableText0"/>
              <w:widowControl w:val="0"/>
              <w:rPr>
                <w:b/>
              </w:rPr>
            </w:pPr>
            <w:r w:rsidRPr="008F621C">
              <w:rPr>
                <w:b/>
              </w:rPr>
              <w:t>BENEFITS</w:t>
            </w:r>
          </w:p>
        </w:tc>
      </w:tr>
      <w:tr w:rsidR="008F621C" w:rsidTr="008F621C">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rPr>
                <w:b/>
                <w:i/>
              </w:rPr>
            </w:pPr>
            <w:r>
              <w:rPr>
                <w:b/>
              </w:rPr>
              <w:t xml:space="preserve">Metastasis-free survival (median follow-up 17.9 months);  not </w:t>
            </w:r>
            <w:r>
              <w:rPr>
                <w:b/>
                <w:szCs w:val="20"/>
              </w:rPr>
              <w:t>censored/corrected for misclassification of patients with metastases at baseline</w:t>
            </w:r>
          </w:p>
        </w:tc>
      </w:tr>
      <w:tr w:rsidR="008F621C" w:rsidTr="00EC08F0">
        <w:tc>
          <w:tcPr>
            <w:tcW w:w="1791"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rPr>
                <w:b/>
              </w:rPr>
            </w:pPr>
            <w:r>
              <w:rPr>
                <w:b/>
              </w:rPr>
              <w:t>ARAMIS</w:t>
            </w:r>
          </w:p>
        </w:tc>
        <w:tc>
          <w:tcPr>
            <w:tcW w:w="866"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b/>
              </w:rPr>
            </w:pPr>
            <w:r>
              <w:rPr>
                <w:b/>
              </w:rPr>
              <w:t xml:space="preserve">Darolutamide </w:t>
            </w:r>
            <w:r w:rsidR="00EC08F0">
              <w:rPr>
                <w:b/>
              </w:rPr>
              <w:br/>
            </w:r>
            <w:r>
              <w:rPr>
                <w:b/>
              </w:rPr>
              <w:t>N</w:t>
            </w:r>
            <w:r w:rsidR="00EC08F0">
              <w:rPr>
                <w:b/>
              </w:rPr>
              <w:t xml:space="preserve"> </w:t>
            </w:r>
            <w:r>
              <w:rPr>
                <w:b/>
              </w:rPr>
              <w:t>=</w:t>
            </w:r>
            <w:r w:rsidR="00EC08F0">
              <w:rPr>
                <w:b/>
              </w:rPr>
              <w:t xml:space="preserve"> </w:t>
            </w:r>
            <w:r>
              <w:rPr>
                <w:b/>
              </w:rPr>
              <w:t>955</w:t>
            </w:r>
          </w:p>
        </w:tc>
        <w:tc>
          <w:tcPr>
            <w:tcW w:w="868"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b/>
              </w:rPr>
            </w:pPr>
            <w:r>
              <w:rPr>
                <w:b/>
              </w:rPr>
              <w:t>SOC</w:t>
            </w:r>
          </w:p>
          <w:p w:rsidR="008F621C" w:rsidRDefault="008F621C" w:rsidP="008D0CDA">
            <w:pPr>
              <w:pStyle w:val="TableText0"/>
              <w:widowControl w:val="0"/>
              <w:jc w:val="center"/>
              <w:rPr>
                <w:b/>
              </w:rPr>
            </w:pPr>
            <w:r>
              <w:rPr>
                <w:b/>
              </w:rPr>
              <w:t>N</w:t>
            </w:r>
            <w:r w:rsidR="00EC08F0">
              <w:rPr>
                <w:b/>
              </w:rPr>
              <w:t xml:space="preserve"> </w:t>
            </w:r>
            <w:r>
              <w:rPr>
                <w:b/>
              </w:rPr>
              <w:t>=</w:t>
            </w:r>
            <w:r w:rsidR="00EC08F0">
              <w:rPr>
                <w:b/>
              </w:rPr>
              <w:t xml:space="preserve"> </w:t>
            </w:r>
            <w:r>
              <w:rPr>
                <w:b/>
              </w:rPr>
              <w:t>554</w:t>
            </w:r>
          </w:p>
        </w:tc>
        <w:tc>
          <w:tcPr>
            <w:tcW w:w="712"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b/>
              </w:rPr>
            </w:pPr>
            <w:r>
              <w:rPr>
                <w:b/>
              </w:rPr>
              <w:t>Absolute difference</w:t>
            </w:r>
          </w:p>
        </w:tc>
        <w:tc>
          <w:tcPr>
            <w:tcW w:w="763" w:type="pc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b/>
              </w:rPr>
            </w:pPr>
            <w:r>
              <w:rPr>
                <w:b/>
              </w:rPr>
              <w:t>HR (95% CI)</w:t>
            </w:r>
          </w:p>
        </w:tc>
      </w:tr>
      <w:tr w:rsidR="008F621C" w:rsidTr="00EC08F0">
        <w:tc>
          <w:tcPr>
            <w:tcW w:w="1791"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pPr>
            <w:r>
              <w:rPr>
                <w:szCs w:val="20"/>
              </w:rPr>
              <w:t>Event</w:t>
            </w:r>
            <w:r w:rsidR="00EC08F0">
              <w:rPr>
                <w:szCs w:val="20"/>
              </w:rPr>
              <w:t>,</w:t>
            </w:r>
            <w:r>
              <w:rPr>
                <w:szCs w:val="20"/>
              </w:rPr>
              <w:t xml:space="preserve"> n (%)</w:t>
            </w:r>
          </w:p>
        </w:tc>
        <w:tc>
          <w:tcPr>
            <w:tcW w:w="866"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b/>
              </w:rPr>
            </w:pPr>
            <w:r>
              <w:rPr>
                <w:szCs w:val="20"/>
              </w:rPr>
              <w:t>221 (23.1%)</w:t>
            </w:r>
          </w:p>
        </w:tc>
        <w:tc>
          <w:tcPr>
            <w:tcW w:w="868"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b/>
              </w:rPr>
            </w:pPr>
            <w:r>
              <w:rPr>
                <w:szCs w:val="20"/>
              </w:rPr>
              <w:t>206 (39.0%)</w:t>
            </w:r>
          </w:p>
        </w:tc>
        <w:tc>
          <w:tcPr>
            <w:tcW w:w="712"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bCs w:val="0"/>
              </w:rPr>
            </w:pPr>
            <w:r>
              <w:rPr>
                <w:bCs w:val="0"/>
              </w:rPr>
              <w:t>-</w:t>
            </w:r>
          </w:p>
        </w:tc>
        <w:tc>
          <w:tcPr>
            <w:tcW w:w="763" w:type="pct"/>
            <w:vMerge w:val="restart"/>
            <w:tcBorders>
              <w:top w:val="single" w:sz="4" w:space="0" w:color="auto"/>
              <w:left w:val="single" w:sz="4" w:space="0" w:color="auto"/>
              <w:bottom w:val="nil"/>
              <w:right w:val="single" w:sz="4" w:space="0" w:color="auto"/>
            </w:tcBorders>
            <w:vAlign w:val="center"/>
            <w:hideMark/>
          </w:tcPr>
          <w:p w:rsidR="008F621C" w:rsidRDefault="008F621C" w:rsidP="008D0CDA">
            <w:pPr>
              <w:pStyle w:val="TableText0"/>
              <w:widowControl w:val="0"/>
              <w:jc w:val="center"/>
              <w:rPr>
                <w:b/>
                <w:szCs w:val="20"/>
              </w:rPr>
            </w:pPr>
            <w:r>
              <w:rPr>
                <w:b/>
                <w:szCs w:val="20"/>
              </w:rPr>
              <w:t xml:space="preserve">0.41 </w:t>
            </w:r>
          </w:p>
          <w:p w:rsidR="008F621C" w:rsidRDefault="008F621C" w:rsidP="008D0CDA">
            <w:pPr>
              <w:pStyle w:val="TableText0"/>
              <w:widowControl w:val="0"/>
              <w:jc w:val="center"/>
              <w:rPr>
                <w:b/>
              </w:rPr>
            </w:pPr>
            <w:r>
              <w:rPr>
                <w:b/>
                <w:szCs w:val="20"/>
              </w:rPr>
              <w:t>(0.34, 0.50)</w:t>
            </w:r>
          </w:p>
        </w:tc>
      </w:tr>
      <w:tr w:rsidR="008F621C" w:rsidTr="00EC08F0">
        <w:tc>
          <w:tcPr>
            <w:tcW w:w="1791"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rPr>
                <w:szCs w:val="20"/>
              </w:rPr>
            </w:pPr>
            <w:r>
              <w:t xml:space="preserve">% metastasis-free </w:t>
            </w:r>
            <w:r>
              <w:rPr>
                <w:szCs w:val="20"/>
              </w:rPr>
              <w:t>(95% CI)</w:t>
            </w:r>
          </w:p>
        </w:tc>
        <w:tc>
          <w:tcPr>
            <w:tcW w:w="866"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76.9% (NR)</w:t>
            </w:r>
          </w:p>
        </w:tc>
        <w:tc>
          <w:tcPr>
            <w:tcW w:w="868"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61.0% (NR)</w:t>
            </w:r>
          </w:p>
        </w:tc>
        <w:tc>
          <w:tcPr>
            <w:tcW w:w="712"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B23471" w:rsidP="008D0CDA">
            <w:pPr>
              <w:pStyle w:val="TableText0"/>
              <w:widowControl w:val="0"/>
              <w:jc w:val="center"/>
              <w:rPr>
                <w:iCs/>
              </w:rPr>
            </w:pPr>
            <w:r>
              <w:rPr>
                <w:iCs/>
              </w:rPr>
              <w:t>-</w:t>
            </w:r>
          </w:p>
        </w:tc>
        <w:tc>
          <w:tcPr>
            <w:tcW w:w="0" w:type="auto"/>
            <w:vMerge/>
            <w:tcBorders>
              <w:top w:val="single" w:sz="4" w:space="0" w:color="auto"/>
              <w:left w:val="single" w:sz="4" w:space="0" w:color="auto"/>
              <w:bottom w:val="nil"/>
              <w:right w:val="single" w:sz="4" w:space="0" w:color="auto"/>
            </w:tcBorders>
            <w:vAlign w:val="center"/>
            <w:hideMark/>
          </w:tcPr>
          <w:p w:rsidR="008F621C" w:rsidRDefault="008F621C" w:rsidP="008D0CDA">
            <w:pPr>
              <w:jc w:val="left"/>
              <w:rPr>
                <w:rFonts w:ascii="Arial Narrow" w:eastAsiaTheme="majorEastAsia" w:hAnsi="Arial Narrow" w:cstheme="majorBidi"/>
                <w:b/>
                <w:bCs/>
                <w:sz w:val="20"/>
              </w:rPr>
            </w:pPr>
          </w:p>
        </w:tc>
      </w:tr>
      <w:tr w:rsidR="008F621C" w:rsidTr="00EC08F0">
        <w:tc>
          <w:tcPr>
            <w:tcW w:w="1791"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pPr>
            <w:r>
              <w:rPr>
                <w:szCs w:val="20"/>
              </w:rPr>
              <w:t xml:space="preserve">Median months to metastasis (95% CI) </w:t>
            </w:r>
          </w:p>
        </w:tc>
        <w:tc>
          <w:tcPr>
            <w:tcW w:w="866"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40.4 (34.3, NR)</w:t>
            </w:r>
          </w:p>
        </w:tc>
        <w:tc>
          <w:tcPr>
            <w:tcW w:w="868"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18.4 (15.5, 22.3)</w:t>
            </w:r>
          </w:p>
        </w:tc>
        <w:tc>
          <w:tcPr>
            <w:tcW w:w="712"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iCs/>
              </w:rPr>
            </w:pPr>
            <w:r>
              <w:rPr>
                <w:iCs/>
              </w:rPr>
              <w:t>22.0</w:t>
            </w:r>
          </w:p>
        </w:tc>
        <w:tc>
          <w:tcPr>
            <w:tcW w:w="0" w:type="auto"/>
            <w:vMerge/>
            <w:tcBorders>
              <w:top w:val="single" w:sz="4" w:space="0" w:color="auto"/>
              <w:left w:val="single" w:sz="4" w:space="0" w:color="auto"/>
              <w:bottom w:val="nil"/>
              <w:right w:val="single" w:sz="4" w:space="0" w:color="auto"/>
            </w:tcBorders>
            <w:vAlign w:val="center"/>
            <w:hideMark/>
          </w:tcPr>
          <w:p w:rsidR="008F621C" w:rsidRDefault="008F621C" w:rsidP="008D0CDA">
            <w:pPr>
              <w:jc w:val="left"/>
              <w:rPr>
                <w:rFonts w:ascii="Arial Narrow" w:eastAsiaTheme="majorEastAsia" w:hAnsi="Arial Narrow" w:cstheme="majorBidi"/>
                <w:b/>
                <w:bCs/>
                <w:sz w:val="20"/>
              </w:rPr>
            </w:pPr>
          </w:p>
        </w:tc>
      </w:tr>
      <w:tr w:rsidR="008F621C" w:rsidTr="00EC08F0">
        <w:tc>
          <w:tcPr>
            <w:tcW w:w="1791"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rPr>
                <w:szCs w:val="20"/>
              </w:rPr>
            </w:pPr>
            <w:r>
              <w:t xml:space="preserve">% metastasis-free at 12 months </w:t>
            </w:r>
            <w:r>
              <w:rPr>
                <w:szCs w:val="20"/>
              </w:rPr>
              <w:t>(95% CI)</w:t>
            </w:r>
          </w:p>
        </w:tc>
        <w:tc>
          <w:tcPr>
            <w:tcW w:w="866"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82.5% (79.9, 85.1)</w:t>
            </w:r>
          </w:p>
        </w:tc>
        <w:tc>
          <w:tcPr>
            <w:tcW w:w="868"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63.5% (58.8, 68.1)</w:t>
            </w:r>
          </w:p>
        </w:tc>
        <w:tc>
          <w:tcPr>
            <w:tcW w:w="712"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iCs/>
              </w:rPr>
            </w:pPr>
            <w:r>
              <w:rPr>
                <w:iCs/>
              </w:rPr>
              <w:t>19.0</w:t>
            </w:r>
          </w:p>
        </w:tc>
        <w:tc>
          <w:tcPr>
            <w:tcW w:w="0" w:type="auto"/>
            <w:vMerge/>
            <w:tcBorders>
              <w:top w:val="single" w:sz="4" w:space="0" w:color="auto"/>
              <w:left w:val="single" w:sz="4" w:space="0" w:color="auto"/>
              <w:bottom w:val="nil"/>
              <w:right w:val="single" w:sz="4" w:space="0" w:color="auto"/>
            </w:tcBorders>
            <w:vAlign w:val="center"/>
            <w:hideMark/>
          </w:tcPr>
          <w:p w:rsidR="008F621C" w:rsidRDefault="008F621C" w:rsidP="008D0CDA">
            <w:pPr>
              <w:jc w:val="left"/>
              <w:rPr>
                <w:rFonts w:ascii="Arial Narrow" w:eastAsiaTheme="majorEastAsia" w:hAnsi="Arial Narrow" w:cstheme="majorBidi"/>
                <w:b/>
                <w:bCs/>
                <w:sz w:val="20"/>
              </w:rPr>
            </w:pPr>
          </w:p>
        </w:tc>
      </w:tr>
      <w:tr w:rsidR="008F621C" w:rsidTr="00EC08F0">
        <w:tc>
          <w:tcPr>
            <w:tcW w:w="1791"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pPr>
            <w:r>
              <w:t xml:space="preserve">% metastasis-free at 24 months </w:t>
            </w:r>
            <w:r>
              <w:rPr>
                <w:szCs w:val="20"/>
              </w:rPr>
              <w:t>(95% CI)</w:t>
            </w:r>
          </w:p>
        </w:tc>
        <w:tc>
          <w:tcPr>
            <w:tcW w:w="866"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69.8% (65.8, 73.8)</w:t>
            </w:r>
          </w:p>
        </w:tc>
        <w:tc>
          <w:tcPr>
            <w:tcW w:w="868"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41.5% (35.1, 48.0)</w:t>
            </w:r>
          </w:p>
        </w:tc>
        <w:tc>
          <w:tcPr>
            <w:tcW w:w="712"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iCs/>
              </w:rPr>
            </w:pPr>
            <w:r>
              <w:rPr>
                <w:iCs/>
              </w:rPr>
              <w:t>28.3</w:t>
            </w:r>
          </w:p>
        </w:tc>
        <w:tc>
          <w:tcPr>
            <w:tcW w:w="0" w:type="auto"/>
            <w:vMerge/>
            <w:tcBorders>
              <w:top w:val="single" w:sz="4" w:space="0" w:color="auto"/>
              <w:left w:val="single" w:sz="4" w:space="0" w:color="auto"/>
              <w:bottom w:val="nil"/>
              <w:right w:val="single" w:sz="4" w:space="0" w:color="auto"/>
            </w:tcBorders>
            <w:vAlign w:val="center"/>
            <w:hideMark/>
          </w:tcPr>
          <w:p w:rsidR="008F621C" w:rsidRDefault="008F621C" w:rsidP="008D0CDA">
            <w:pPr>
              <w:jc w:val="left"/>
              <w:rPr>
                <w:rFonts w:ascii="Arial Narrow" w:eastAsiaTheme="majorEastAsia" w:hAnsi="Arial Narrow" w:cstheme="majorBidi"/>
                <w:b/>
                <w:bCs/>
                <w:sz w:val="20"/>
              </w:rPr>
            </w:pPr>
          </w:p>
        </w:tc>
      </w:tr>
      <w:tr w:rsidR="008F621C" w:rsidTr="00EC08F0">
        <w:tc>
          <w:tcPr>
            <w:tcW w:w="1791"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pPr>
            <w:r>
              <w:t xml:space="preserve">% metastasis-free at 36 months </w:t>
            </w:r>
            <w:r>
              <w:rPr>
                <w:szCs w:val="20"/>
              </w:rPr>
              <w:t>(95% CI)</w:t>
            </w:r>
          </w:p>
        </w:tc>
        <w:tc>
          <w:tcPr>
            <w:tcW w:w="866"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54.3% (46.6, 62.0)</w:t>
            </w:r>
          </w:p>
        </w:tc>
        <w:tc>
          <w:tcPr>
            <w:tcW w:w="868"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26.8% (16.0, 37.5)</w:t>
            </w:r>
          </w:p>
        </w:tc>
        <w:tc>
          <w:tcPr>
            <w:tcW w:w="712"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iCs/>
              </w:rPr>
            </w:pPr>
            <w:r>
              <w:rPr>
                <w:iCs/>
              </w:rPr>
              <w:t>27.5</w:t>
            </w:r>
          </w:p>
        </w:tc>
        <w:tc>
          <w:tcPr>
            <w:tcW w:w="0" w:type="auto"/>
            <w:vMerge/>
            <w:tcBorders>
              <w:top w:val="single" w:sz="4" w:space="0" w:color="auto"/>
              <w:left w:val="single" w:sz="4" w:space="0" w:color="auto"/>
              <w:bottom w:val="nil"/>
              <w:right w:val="single" w:sz="4" w:space="0" w:color="auto"/>
            </w:tcBorders>
            <w:vAlign w:val="center"/>
            <w:hideMark/>
          </w:tcPr>
          <w:p w:rsidR="008F621C" w:rsidRDefault="008F621C" w:rsidP="008D0CDA">
            <w:pPr>
              <w:jc w:val="left"/>
              <w:rPr>
                <w:rFonts w:ascii="Arial Narrow" w:eastAsiaTheme="majorEastAsia" w:hAnsi="Arial Narrow" w:cstheme="majorBidi"/>
                <w:b/>
                <w:bCs/>
                <w:sz w:val="20"/>
              </w:rPr>
            </w:pPr>
          </w:p>
        </w:tc>
      </w:tr>
      <w:tr w:rsidR="008F621C" w:rsidTr="008F621C">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rPr>
                <w:b/>
              </w:rPr>
            </w:pPr>
            <w:r>
              <w:rPr>
                <w:b/>
              </w:rPr>
              <w:t>Overall survival (median follow-up 29.1 months; not adjusted for crossover)</w:t>
            </w:r>
          </w:p>
        </w:tc>
      </w:tr>
      <w:tr w:rsidR="008F621C" w:rsidTr="00EC08F0">
        <w:tc>
          <w:tcPr>
            <w:tcW w:w="1791"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pPr>
            <w:r>
              <w:rPr>
                <w:szCs w:val="20"/>
              </w:rPr>
              <w:t>Died</w:t>
            </w:r>
            <w:r w:rsidR="00EC08F0">
              <w:rPr>
                <w:szCs w:val="20"/>
              </w:rPr>
              <w:t>,</w:t>
            </w:r>
            <w:r>
              <w:rPr>
                <w:szCs w:val="20"/>
              </w:rPr>
              <w:t xml:space="preserve"> n (%)</w:t>
            </w:r>
          </w:p>
        </w:tc>
        <w:tc>
          <w:tcPr>
            <w:tcW w:w="866"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pPr>
            <w:r>
              <w:rPr>
                <w:szCs w:val="20"/>
              </w:rPr>
              <w:t>148 (15.5%)</w:t>
            </w:r>
          </w:p>
        </w:tc>
        <w:tc>
          <w:tcPr>
            <w:tcW w:w="868"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pPr>
            <w:r>
              <w:rPr>
                <w:szCs w:val="20"/>
              </w:rPr>
              <w:t>106 (19.1%)</w:t>
            </w:r>
          </w:p>
        </w:tc>
        <w:tc>
          <w:tcPr>
            <w:tcW w:w="712"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pPr>
            <w:r>
              <w:t>-</w:t>
            </w:r>
          </w:p>
        </w:tc>
        <w:tc>
          <w:tcPr>
            <w:tcW w:w="763" w:type="pct"/>
            <w:vMerge w:val="restart"/>
            <w:tcBorders>
              <w:top w:val="single" w:sz="4" w:space="0" w:color="auto"/>
              <w:left w:val="single" w:sz="4" w:space="0" w:color="auto"/>
              <w:bottom w:val="nil"/>
              <w:right w:val="single" w:sz="4" w:space="0" w:color="auto"/>
            </w:tcBorders>
            <w:vAlign w:val="center"/>
            <w:hideMark/>
          </w:tcPr>
          <w:p w:rsidR="008F621C" w:rsidRDefault="008F621C" w:rsidP="008D0CDA">
            <w:pPr>
              <w:pStyle w:val="TableText0"/>
              <w:widowControl w:val="0"/>
              <w:jc w:val="center"/>
              <w:rPr>
                <w:b/>
                <w:szCs w:val="20"/>
              </w:rPr>
            </w:pPr>
            <w:r>
              <w:rPr>
                <w:b/>
                <w:szCs w:val="20"/>
              </w:rPr>
              <w:t xml:space="preserve">0.69 </w:t>
            </w:r>
          </w:p>
          <w:p w:rsidR="008F621C" w:rsidRDefault="008F621C" w:rsidP="008D0CDA">
            <w:pPr>
              <w:pStyle w:val="TableText0"/>
              <w:widowControl w:val="0"/>
              <w:jc w:val="center"/>
            </w:pPr>
            <w:r>
              <w:rPr>
                <w:b/>
                <w:szCs w:val="20"/>
              </w:rPr>
              <w:t>(0.53, 0.88)</w:t>
            </w:r>
          </w:p>
        </w:tc>
      </w:tr>
      <w:tr w:rsidR="008F621C" w:rsidTr="00EC08F0">
        <w:tc>
          <w:tcPr>
            <w:tcW w:w="1791"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rPr>
                <w:szCs w:val="20"/>
              </w:rPr>
            </w:pPr>
            <w:r>
              <w:t xml:space="preserve">% alive </w:t>
            </w:r>
            <w:r>
              <w:rPr>
                <w:szCs w:val="20"/>
              </w:rPr>
              <w:t>(95% CI)</w:t>
            </w:r>
          </w:p>
        </w:tc>
        <w:tc>
          <w:tcPr>
            <w:tcW w:w="866"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84.5% (NR)</w:t>
            </w:r>
          </w:p>
        </w:tc>
        <w:tc>
          <w:tcPr>
            <w:tcW w:w="868"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80.9% (NR)</w:t>
            </w:r>
          </w:p>
        </w:tc>
        <w:tc>
          <w:tcPr>
            <w:tcW w:w="712"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B23471" w:rsidP="008D0CDA">
            <w:pPr>
              <w:pStyle w:val="TableText0"/>
              <w:widowControl w:val="0"/>
              <w:jc w:val="center"/>
            </w:pPr>
            <w:r>
              <w:t>-</w:t>
            </w:r>
          </w:p>
        </w:tc>
        <w:tc>
          <w:tcPr>
            <w:tcW w:w="0" w:type="auto"/>
            <w:vMerge/>
            <w:tcBorders>
              <w:top w:val="single" w:sz="4" w:space="0" w:color="auto"/>
              <w:left w:val="single" w:sz="4" w:space="0" w:color="auto"/>
              <w:bottom w:val="nil"/>
              <w:right w:val="single" w:sz="4" w:space="0" w:color="auto"/>
            </w:tcBorders>
            <w:vAlign w:val="center"/>
            <w:hideMark/>
          </w:tcPr>
          <w:p w:rsidR="008F621C" w:rsidRDefault="008F621C" w:rsidP="008D0CDA">
            <w:pPr>
              <w:jc w:val="left"/>
              <w:rPr>
                <w:rFonts w:ascii="Arial Narrow" w:eastAsiaTheme="majorEastAsia" w:hAnsi="Arial Narrow" w:cstheme="majorBidi"/>
                <w:bCs/>
                <w:sz w:val="20"/>
              </w:rPr>
            </w:pPr>
          </w:p>
        </w:tc>
      </w:tr>
      <w:tr w:rsidR="008F621C" w:rsidTr="00EC08F0">
        <w:tc>
          <w:tcPr>
            <w:tcW w:w="1791"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pPr>
            <w:r>
              <w:rPr>
                <w:szCs w:val="20"/>
              </w:rPr>
              <w:t xml:space="preserve">Median months to death (95% CI) </w:t>
            </w:r>
          </w:p>
        </w:tc>
        <w:tc>
          <w:tcPr>
            <w:tcW w:w="866"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NE</w:t>
            </w:r>
          </w:p>
        </w:tc>
        <w:tc>
          <w:tcPr>
            <w:tcW w:w="868"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NE</w:t>
            </w:r>
          </w:p>
        </w:tc>
        <w:tc>
          <w:tcPr>
            <w:tcW w:w="712"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iCs/>
              </w:rPr>
            </w:pPr>
            <w:r>
              <w:rPr>
                <w:iCs/>
              </w:rPr>
              <w:t>-</w:t>
            </w:r>
          </w:p>
        </w:tc>
        <w:tc>
          <w:tcPr>
            <w:tcW w:w="0" w:type="auto"/>
            <w:vMerge/>
            <w:tcBorders>
              <w:top w:val="single" w:sz="4" w:space="0" w:color="auto"/>
              <w:left w:val="single" w:sz="4" w:space="0" w:color="auto"/>
              <w:bottom w:val="nil"/>
              <w:right w:val="single" w:sz="4" w:space="0" w:color="auto"/>
            </w:tcBorders>
            <w:vAlign w:val="center"/>
            <w:hideMark/>
          </w:tcPr>
          <w:p w:rsidR="008F621C" w:rsidRDefault="008F621C" w:rsidP="008D0CDA">
            <w:pPr>
              <w:jc w:val="left"/>
              <w:rPr>
                <w:rFonts w:ascii="Arial Narrow" w:eastAsiaTheme="majorEastAsia" w:hAnsi="Arial Narrow" w:cstheme="majorBidi"/>
                <w:bCs/>
                <w:sz w:val="20"/>
              </w:rPr>
            </w:pPr>
          </w:p>
        </w:tc>
      </w:tr>
      <w:tr w:rsidR="008F621C" w:rsidTr="00EC08F0">
        <w:tc>
          <w:tcPr>
            <w:tcW w:w="1791"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pPr>
            <w:r>
              <w:t xml:space="preserve">% alive at 12 months </w:t>
            </w:r>
            <w:r>
              <w:rPr>
                <w:szCs w:val="20"/>
              </w:rPr>
              <w:t>(95% CI)</w:t>
            </w:r>
          </w:p>
        </w:tc>
        <w:tc>
          <w:tcPr>
            <w:tcW w:w="866"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96.3% (95.1, 97.5)</w:t>
            </w:r>
          </w:p>
        </w:tc>
        <w:tc>
          <w:tcPr>
            <w:tcW w:w="868"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96.4% (94.8, 98.1)</w:t>
            </w:r>
          </w:p>
        </w:tc>
        <w:tc>
          <w:tcPr>
            <w:tcW w:w="712"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iCs/>
              </w:rPr>
            </w:pPr>
            <w:r>
              <w:rPr>
                <w:iCs/>
              </w:rPr>
              <w:t>-0.1</w:t>
            </w:r>
          </w:p>
        </w:tc>
        <w:tc>
          <w:tcPr>
            <w:tcW w:w="0" w:type="auto"/>
            <w:vMerge/>
            <w:tcBorders>
              <w:top w:val="single" w:sz="4" w:space="0" w:color="auto"/>
              <w:left w:val="single" w:sz="4" w:space="0" w:color="auto"/>
              <w:bottom w:val="nil"/>
              <w:right w:val="single" w:sz="4" w:space="0" w:color="auto"/>
            </w:tcBorders>
            <w:vAlign w:val="center"/>
            <w:hideMark/>
          </w:tcPr>
          <w:p w:rsidR="008F621C" w:rsidRDefault="008F621C" w:rsidP="008D0CDA">
            <w:pPr>
              <w:jc w:val="left"/>
              <w:rPr>
                <w:rFonts w:ascii="Arial Narrow" w:eastAsiaTheme="majorEastAsia" w:hAnsi="Arial Narrow" w:cstheme="majorBidi"/>
                <w:bCs/>
                <w:sz w:val="20"/>
              </w:rPr>
            </w:pPr>
          </w:p>
        </w:tc>
      </w:tr>
      <w:tr w:rsidR="008F621C" w:rsidTr="00EC08F0">
        <w:tc>
          <w:tcPr>
            <w:tcW w:w="1791"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pPr>
            <w:r>
              <w:t xml:space="preserve">% alive at 24 months </w:t>
            </w:r>
            <w:r>
              <w:rPr>
                <w:szCs w:val="20"/>
              </w:rPr>
              <w:t>(95% CI)</w:t>
            </w:r>
          </w:p>
        </w:tc>
        <w:tc>
          <w:tcPr>
            <w:tcW w:w="866"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90.3% (88.3, 92.3)</w:t>
            </w:r>
          </w:p>
        </w:tc>
        <w:tc>
          <w:tcPr>
            <w:tcW w:w="868"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86.2% (83.0, 89.4)</w:t>
            </w:r>
          </w:p>
        </w:tc>
        <w:tc>
          <w:tcPr>
            <w:tcW w:w="712"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iCs/>
              </w:rPr>
            </w:pPr>
            <w:r>
              <w:rPr>
                <w:iCs/>
              </w:rPr>
              <w:t>4.1</w:t>
            </w:r>
          </w:p>
        </w:tc>
        <w:tc>
          <w:tcPr>
            <w:tcW w:w="0" w:type="auto"/>
            <w:vMerge/>
            <w:tcBorders>
              <w:top w:val="single" w:sz="4" w:space="0" w:color="auto"/>
              <w:left w:val="single" w:sz="4" w:space="0" w:color="auto"/>
              <w:bottom w:val="nil"/>
              <w:right w:val="single" w:sz="4" w:space="0" w:color="auto"/>
            </w:tcBorders>
            <w:vAlign w:val="center"/>
            <w:hideMark/>
          </w:tcPr>
          <w:p w:rsidR="008F621C" w:rsidRDefault="008F621C" w:rsidP="008D0CDA">
            <w:pPr>
              <w:jc w:val="left"/>
              <w:rPr>
                <w:rFonts w:ascii="Arial Narrow" w:eastAsiaTheme="majorEastAsia" w:hAnsi="Arial Narrow" w:cstheme="majorBidi"/>
                <w:bCs/>
                <w:sz w:val="20"/>
              </w:rPr>
            </w:pPr>
          </w:p>
        </w:tc>
      </w:tr>
      <w:tr w:rsidR="008F621C" w:rsidTr="00EC08F0">
        <w:tc>
          <w:tcPr>
            <w:tcW w:w="1791"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pPr>
            <w:r>
              <w:t xml:space="preserve">% alive at 36 months </w:t>
            </w:r>
            <w:r>
              <w:rPr>
                <w:szCs w:val="20"/>
              </w:rPr>
              <w:t>(95% CI)</w:t>
            </w:r>
          </w:p>
        </w:tc>
        <w:tc>
          <w:tcPr>
            <w:tcW w:w="866"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82.6% (79.6, 85.5)</w:t>
            </w:r>
          </w:p>
        </w:tc>
        <w:tc>
          <w:tcPr>
            <w:tcW w:w="868"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76.9% (72.4, 81.4)</w:t>
            </w:r>
          </w:p>
        </w:tc>
        <w:tc>
          <w:tcPr>
            <w:tcW w:w="712"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iCs/>
              </w:rPr>
            </w:pPr>
            <w:r>
              <w:rPr>
                <w:iCs/>
              </w:rPr>
              <w:t>5.7</w:t>
            </w:r>
          </w:p>
        </w:tc>
        <w:tc>
          <w:tcPr>
            <w:tcW w:w="0" w:type="auto"/>
            <w:vMerge/>
            <w:tcBorders>
              <w:top w:val="single" w:sz="4" w:space="0" w:color="auto"/>
              <w:left w:val="single" w:sz="4" w:space="0" w:color="auto"/>
              <w:bottom w:val="nil"/>
              <w:right w:val="single" w:sz="4" w:space="0" w:color="auto"/>
            </w:tcBorders>
            <w:vAlign w:val="center"/>
            <w:hideMark/>
          </w:tcPr>
          <w:p w:rsidR="008F621C" w:rsidRDefault="008F621C" w:rsidP="008D0CDA">
            <w:pPr>
              <w:jc w:val="left"/>
              <w:rPr>
                <w:rFonts w:ascii="Arial Narrow" w:eastAsiaTheme="majorEastAsia" w:hAnsi="Arial Narrow" w:cstheme="majorBidi"/>
                <w:bCs/>
                <w:sz w:val="20"/>
              </w:rPr>
            </w:pPr>
          </w:p>
        </w:tc>
      </w:tr>
      <w:tr w:rsidR="008F621C" w:rsidRPr="008F621C" w:rsidTr="008F621C">
        <w:tc>
          <w:tcPr>
            <w:tcW w:w="5000" w:type="pct"/>
            <w:gridSpan w:val="9"/>
            <w:tcBorders>
              <w:top w:val="double" w:sz="4" w:space="0" w:color="auto"/>
              <w:left w:val="single" w:sz="4" w:space="0" w:color="auto"/>
              <w:bottom w:val="single" w:sz="4" w:space="0" w:color="auto"/>
              <w:right w:val="single" w:sz="4" w:space="0" w:color="auto"/>
            </w:tcBorders>
            <w:hideMark/>
          </w:tcPr>
          <w:p w:rsidR="008F621C" w:rsidRPr="008F621C" w:rsidRDefault="008F621C" w:rsidP="008D0CDA">
            <w:pPr>
              <w:pStyle w:val="TableText0"/>
              <w:widowControl w:val="0"/>
              <w:rPr>
                <w:b/>
              </w:rPr>
            </w:pPr>
            <w:r w:rsidRPr="008F621C">
              <w:rPr>
                <w:b/>
              </w:rPr>
              <w:t>HARMS</w:t>
            </w:r>
          </w:p>
        </w:tc>
      </w:tr>
      <w:tr w:rsidR="008F621C" w:rsidTr="00EC08F0">
        <w:trPr>
          <w:trHeight w:val="70"/>
        </w:trPr>
        <w:tc>
          <w:tcPr>
            <w:tcW w:w="1176" w:type="pct"/>
            <w:vMerge w:val="restar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pPr>
            <w:r>
              <w:rPr>
                <w:b/>
              </w:rPr>
              <w:t>ARAMIS</w:t>
            </w:r>
          </w:p>
        </w:tc>
        <w:tc>
          <w:tcPr>
            <w:tcW w:w="614" w:type="pct"/>
            <w:vMerge w:val="restar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b/>
              </w:rPr>
            </w:pPr>
            <w:r>
              <w:rPr>
                <w:b/>
              </w:rPr>
              <w:t>Darolutamide N=955</w:t>
            </w:r>
          </w:p>
        </w:tc>
        <w:tc>
          <w:tcPr>
            <w:tcW w:w="550" w:type="pct"/>
            <w:vMerge w:val="restar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b/>
              </w:rPr>
            </w:pPr>
            <w:r>
              <w:rPr>
                <w:b/>
              </w:rPr>
              <w:t xml:space="preserve">SOC </w:t>
            </w:r>
          </w:p>
          <w:p w:rsidR="008F621C" w:rsidRDefault="008F621C" w:rsidP="008D0CDA">
            <w:pPr>
              <w:pStyle w:val="TableText0"/>
              <w:widowControl w:val="0"/>
              <w:jc w:val="center"/>
              <w:rPr>
                <w:b/>
              </w:rPr>
            </w:pPr>
            <w:r>
              <w:rPr>
                <w:b/>
              </w:rPr>
              <w:t>N=554</w:t>
            </w:r>
          </w:p>
        </w:tc>
        <w:tc>
          <w:tcPr>
            <w:tcW w:w="801"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b/>
              </w:rPr>
            </w:pPr>
            <w:r>
              <w:rPr>
                <w:b/>
              </w:rPr>
              <w:t>RR</w:t>
            </w:r>
          </w:p>
          <w:p w:rsidR="008F621C" w:rsidRDefault="008F621C" w:rsidP="008D0CDA">
            <w:pPr>
              <w:pStyle w:val="TableText0"/>
              <w:widowControl w:val="0"/>
              <w:jc w:val="center"/>
              <w:rPr>
                <w:b/>
              </w:rPr>
            </w:pPr>
            <w:r>
              <w:rPr>
                <w:b/>
              </w:rPr>
              <w:t>(95% CI)</w:t>
            </w:r>
          </w:p>
        </w:tc>
        <w:tc>
          <w:tcPr>
            <w:tcW w:w="1095" w:type="pct"/>
            <w:gridSpan w:val="3"/>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b/>
              </w:rPr>
            </w:pPr>
            <w:r>
              <w:rPr>
                <w:b/>
              </w:rPr>
              <w:t>Events/100 patients</w:t>
            </w:r>
            <w:r>
              <w:rPr>
                <w:b/>
                <w:vertAlign w:val="superscript"/>
              </w:rPr>
              <w:t>a</w:t>
            </w:r>
          </w:p>
        </w:tc>
        <w:tc>
          <w:tcPr>
            <w:tcW w:w="763" w:type="pct"/>
            <w:vMerge w:val="restar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b/>
              </w:rPr>
            </w:pPr>
            <w:r>
              <w:rPr>
                <w:b/>
              </w:rPr>
              <w:t>RD</w:t>
            </w:r>
          </w:p>
          <w:p w:rsidR="008F621C" w:rsidRDefault="008F621C" w:rsidP="008D0CDA">
            <w:pPr>
              <w:pStyle w:val="TableText0"/>
              <w:widowControl w:val="0"/>
              <w:jc w:val="center"/>
              <w:rPr>
                <w:b/>
              </w:rPr>
            </w:pPr>
            <w:r>
              <w:rPr>
                <w:b/>
              </w:rPr>
              <w:t>(95% CI)</w:t>
            </w:r>
          </w:p>
        </w:tc>
      </w:tr>
      <w:tr w:rsidR="008F621C" w:rsidTr="00EC08F0">
        <w:trPr>
          <w:trHeight w:val="390"/>
        </w:trPr>
        <w:tc>
          <w:tcPr>
            <w:tcW w:w="1176" w:type="pct"/>
            <w:vMerge/>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jc w:val="left"/>
              <w:rPr>
                <w:rFonts w:ascii="Arial Narrow" w:eastAsiaTheme="majorEastAsia" w:hAnsi="Arial Narrow" w:cstheme="majorBidi"/>
                <w:bCs/>
                <w:sz w:val="20"/>
              </w:rPr>
            </w:pPr>
          </w:p>
        </w:tc>
        <w:tc>
          <w:tcPr>
            <w:tcW w:w="614" w:type="pct"/>
            <w:vMerge/>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jc w:val="left"/>
              <w:rPr>
                <w:rFonts w:ascii="Arial Narrow" w:eastAsiaTheme="majorEastAsia" w:hAnsi="Arial Narrow" w:cstheme="majorBidi"/>
                <w:b/>
                <w:bCs/>
                <w:sz w:val="20"/>
              </w:rPr>
            </w:pPr>
          </w:p>
        </w:tc>
        <w:tc>
          <w:tcPr>
            <w:tcW w:w="550" w:type="pct"/>
            <w:vMerge/>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jc w:val="left"/>
              <w:rPr>
                <w:rFonts w:ascii="Arial Narrow" w:eastAsiaTheme="majorEastAsia" w:hAnsi="Arial Narrow" w:cstheme="majorBidi"/>
                <w:b/>
                <w:bCs/>
                <w:sz w:val="20"/>
              </w:rPr>
            </w:pPr>
          </w:p>
        </w:tc>
        <w:tc>
          <w:tcPr>
            <w:tcW w:w="801" w:type="pct"/>
            <w:gridSpan w:val="2"/>
            <w:vMerge/>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jc w:val="left"/>
              <w:rPr>
                <w:rFonts w:ascii="Arial Narrow" w:eastAsiaTheme="majorEastAsia" w:hAnsi="Arial Narrow" w:cstheme="majorBidi"/>
                <w:b/>
                <w:bCs/>
                <w:sz w:val="20"/>
              </w:rPr>
            </w:pPr>
          </w:p>
        </w:tc>
        <w:tc>
          <w:tcPr>
            <w:tcW w:w="629"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b/>
              </w:rPr>
            </w:pPr>
            <w:r>
              <w:rPr>
                <w:b/>
              </w:rPr>
              <w:t>Darolutamide</w:t>
            </w:r>
          </w:p>
        </w:tc>
        <w:tc>
          <w:tcPr>
            <w:tcW w:w="466" w:type="pc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b/>
              </w:rPr>
            </w:pPr>
            <w:r>
              <w:rPr>
                <w:b/>
              </w:rPr>
              <w:t>SOC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jc w:val="left"/>
              <w:rPr>
                <w:rFonts w:ascii="Arial Narrow" w:eastAsiaTheme="majorEastAsia" w:hAnsi="Arial Narrow" w:cstheme="majorBidi"/>
                <w:b/>
                <w:bCs/>
                <w:sz w:val="20"/>
              </w:rPr>
            </w:pPr>
          </w:p>
        </w:tc>
      </w:tr>
      <w:tr w:rsidR="008F621C" w:rsidTr="00EC08F0">
        <w:tc>
          <w:tcPr>
            <w:tcW w:w="1176" w:type="pc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rPr>
                <w:szCs w:val="20"/>
              </w:rPr>
            </w:pPr>
            <w:r>
              <w:rPr>
                <w:szCs w:val="20"/>
              </w:rPr>
              <w:t>Cardiovascular disorders</w:t>
            </w:r>
          </w:p>
        </w:tc>
        <w:tc>
          <w:tcPr>
            <w:tcW w:w="614" w:type="pc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113 (11.8%)</w:t>
            </w:r>
          </w:p>
        </w:tc>
        <w:tc>
          <w:tcPr>
            <w:tcW w:w="550" w:type="pc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41 (7.4%)</w:t>
            </w:r>
          </w:p>
        </w:tc>
        <w:tc>
          <w:tcPr>
            <w:tcW w:w="801"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keepNext/>
              <w:jc w:val="center"/>
              <w:rPr>
                <w:rFonts w:ascii="Arial Narrow" w:hAnsi="Arial Narrow"/>
                <w:b/>
                <w:bCs/>
                <w:sz w:val="20"/>
                <w:szCs w:val="20"/>
              </w:rPr>
            </w:pPr>
            <w:r>
              <w:rPr>
                <w:rFonts w:ascii="Arial Narrow" w:hAnsi="Arial Narrow"/>
                <w:b/>
                <w:bCs/>
                <w:sz w:val="20"/>
                <w:szCs w:val="20"/>
              </w:rPr>
              <w:t>1.60 (1.14, 2.25)</w:t>
            </w:r>
          </w:p>
        </w:tc>
        <w:tc>
          <w:tcPr>
            <w:tcW w:w="629"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pPr>
            <w:r>
              <w:t>12</w:t>
            </w:r>
          </w:p>
        </w:tc>
        <w:tc>
          <w:tcPr>
            <w:tcW w:w="466" w:type="pc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pPr>
            <w:r>
              <w:t>7</w:t>
            </w:r>
          </w:p>
        </w:tc>
        <w:tc>
          <w:tcPr>
            <w:tcW w:w="763" w:type="pc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keepNext/>
              <w:jc w:val="center"/>
              <w:rPr>
                <w:rFonts w:ascii="Arial Narrow" w:hAnsi="Arial Narrow"/>
                <w:b/>
                <w:bCs/>
                <w:sz w:val="20"/>
                <w:szCs w:val="20"/>
              </w:rPr>
            </w:pPr>
            <w:r>
              <w:rPr>
                <w:rFonts w:ascii="Arial Narrow" w:hAnsi="Arial Narrow"/>
                <w:b/>
                <w:bCs/>
                <w:sz w:val="20"/>
                <w:szCs w:val="20"/>
              </w:rPr>
              <w:t>0.04 (0.01, 0.08)</w:t>
            </w:r>
          </w:p>
        </w:tc>
      </w:tr>
      <w:tr w:rsidR="008F621C" w:rsidTr="00EC08F0">
        <w:tc>
          <w:tcPr>
            <w:tcW w:w="1176" w:type="pc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pPr>
            <w:r>
              <w:rPr>
                <w:szCs w:val="20"/>
              </w:rPr>
              <w:t>Rash</w:t>
            </w:r>
          </w:p>
        </w:tc>
        <w:tc>
          <w:tcPr>
            <w:tcW w:w="614" w:type="pc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28 (2.9%)</w:t>
            </w:r>
          </w:p>
        </w:tc>
        <w:tc>
          <w:tcPr>
            <w:tcW w:w="550" w:type="pc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rPr>
                <w:szCs w:val="20"/>
              </w:rPr>
            </w:pPr>
            <w:r>
              <w:rPr>
                <w:szCs w:val="20"/>
              </w:rPr>
              <w:t>5 (0.9%)</w:t>
            </w:r>
          </w:p>
        </w:tc>
        <w:tc>
          <w:tcPr>
            <w:tcW w:w="801"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keepNext/>
              <w:jc w:val="center"/>
              <w:rPr>
                <w:rFonts w:ascii="Arial Narrow" w:hAnsi="Arial Narrow"/>
                <w:b/>
                <w:bCs/>
                <w:sz w:val="20"/>
                <w:szCs w:val="20"/>
              </w:rPr>
            </w:pPr>
            <w:r>
              <w:rPr>
                <w:rFonts w:ascii="Arial Narrow" w:hAnsi="Arial Narrow"/>
                <w:b/>
                <w:bCs/>
                <w:sz w:val="20"/>
                <w:szCs w:val="20"/>
              </w:rPr>
              <w:t>3.25 (1.26, 8.37)</w:t>
            </w:r>
          </w:p>
        </w:tc>
        <w:tc>
          <w:tcPr>
            <w:tcW w:w="629"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pPr>
            <w:r>
              <w:t>3</w:t>
            </w:r>
          </w:p>
        </w:tc>
        <w:tc>
          <w:tcPr>
            <w:tcW w:w="466" w:type="pc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pPr>
            <w:r>
              <w:t>1</w:t>
            </w:r>
          </w:p>
        </w:tc>
        <w:tc>
          <w:tcPr>
            <w:tcW w:w="763" w:type="pc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keepNext/>
              <w:jc w:val="center"/>
              <w:rPr>
                <w:rFonts w:ascii="Arial Narrow" w:hAnsi="Arial Narrow"/>
                <w:b/>
                <w:bCs/>
                <w:sz w:val="20"/>
                <w:szCs w:val="20"/>
              </w:rPr>
            </w:pPr>
            <w:r>
              <w:rPr>
                <w:rFonts w:ascii="Arial Narrow" w:hAnsi="Arial Narrow"/>
                <w:b/>
                <w:bCs/>
                <w:sz w:val="20"/>
                <w:szCs w:val="20"/>
              </w:rPr>
              <w:t>0.02 (0.01, 0.04)</w:t>
            </w:r>
          </w:p>
        </w:tc>
      </w:tr>
      <w:tr w:rsidR="008F621C" w:rsidTr="00EC08F0">
        <w:tc>
          <w:tcPr>
            <w:tcW w:w="1176" w:type="pc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pPr>
            <w:r>
              <w:rPr>
                <w:szCs w:val="20"/>
              </w:rPr>
              <w:t>Fatigue/ asthenia</w:t>
            </w:r>
          </w:p>
        </w:tc>
        <w:tc>
          <w:tcPr>
            <w:tcW w:w="614" w:type="pc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pPr>
            <w:r>
              <w:rPr>
                <w:szCs w:val="20"/>
              </w:rPr>
              <w:t>151 (15.8%)</w:t>
            </w:r>
          </w:p>
        </w:tc>
        <w:tc>
          <w:tcPr>
            <w:tcW w:w="550" w:type="pc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pPr>
            <w:r>
              <w:rPr>
                <w:szCs w:val="20"/>
              </w:rPr>
              <w:t>63 (11.4%)</w:t>
            </w:r>
          </w:p>
        </w:tc>
        <w:tc>
          <w:tcPr>
            <w:tcW w:w="801"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keepNext/>
              <w:jc w:val="center"/>
              <w:rPr>
                <w:rFonts w:ascii="Arial Narrow" w:hAnsi="Arial Narrow"/>
                <w:b/>
                <w:bCs/>
                <w:sz w:val="20"/>
                <w:szCs w:val="20"/>
              </w:rPr>
            </w:pPr>
            <w:r>
              <w:rPr>
                <w:rFonts w:ascii="Arial Narrow" w:hAnsi="Arial Narrow"/>
                <w:b/>
                <w:bCs/>
                <w:sz w:val="20"/>
                <w:szCs w:val="20"/>
              </w:rPr>
              <w:t>1.39 (1.06, 1.83)</w:t>
            </w:r>
          </w:p>
        </w:tc>
        <w:tc>
          <w:tcPr>
            <w:tcW w:w="629" w:type="pct"/>
            <w:gridSpan w:val="2"/>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pPr>
            <w:r>
              <w:t>16</w:t>
            </w:r>
          </w:p>
        </w:tc>
        <w:tc>
          <w:tcPr>
            <w:tcW w:w="466" w:type="pc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pStyle w:val="TableText0"/>
              <w:widowControl w:val="0"/>
              <w:jc w:val="center"/>
            </w:pPr>
            <w:r>
              <w:t>11</w:t>
            </w:r>
          </w:p>
        </w:tc>
        <w:tc>
          <w:tcPr>
            <w:tcW w:w="763" w:type="pct"/>
            <w:tcBorders>
              <w:top w:val="single" w:sz="4" w:space="0" w:color="auto"/>
              <w:left w:val="single" w:sz="4" w:space="0" w:color="auto"/>
              <w:bottom w:val="single" w:sz="4" w:space="0" w:color="auto"/>
              <w:right w:val="single" w:sz="4" w:space="0" w:color="auto"/>
            </w:tcBorders>
            <w:vAlign w:val="center"/>
            <w:hideMark/>
          </w:tcPr>
          <w:p w:rsidR="008F621C" w:rsidRDefault="008F621C" w:rsidP="008D0CDA">
            <w:pPr>
              <w:keepNext/>
              <w:jc w:val="center"/>
              <w:rPr>
                <w:rFonts w:ascii="Arial Narrow" w:hAnsi="Arial Narrow"/>
                <w:b/>
                <w:bCs/>
                <w:sz w:val="20"/>
                <w:szCs w:val="20"/>
              </w:rPr>
            </w:pPr>
            <w:r>
              <w:rPr>
                <w:rFonts w:ascii="Arial Narrow" w:hAnsi="Arial Narrow"/>
                <w:b/>
                <w:bCs/>
                <w:sz w:val="20"/>
                <w:szCs w:val="20"/>
              </w:rPr>
              <w:t>0.04 (0.01, 0.08)</w:t>
            </w:r>
          </w:p>
        </w:tc>
      </w:tr>
    </w:tbl>
    <w:p w:rsidR="008F621C" w:rsidRDefault="008F621C" w:rsidP="008F621C">
      <w:pPr>
        <w:pStyle w:val="TableFooter"/>
        <w:tabs>
          <w:tab w:val="left" w:pos="142"/>
        </w:tabs>
        <w:rPr>
          <w:lang w:eastAsia="en-GB"/>
        </w:rPr>
      </w:pPr>
      <w:r>
        <w:t>Source: Table 2-18, p84; Table 2-25, pp107-108 of the resubmission; Table 9.2, p74 of the ARAMIS CSR; Table 14.2.2, p1 of the ARAMIS – final – efficacy-Table 14_ provided with the submission.</w:t>
      </w:r>
    </w:p>
    <w:p w:rsidR="008F621C" w:rsidRDefault="008F621C" w:rsidP="008F621C">
      <w:pPr>
        <w:pStyle w:val="TableFooter"/>
      </w:pPr>
      <w:r>
        <w:t>CI</w:t>
      </w:r>
      <w:r w:rsidR="00EC08F0">
        <w:t xml:space="preserve"> </w:t>
      </w:r>
      <w:r>
        <w:t>=</w:t>
      </w:r>
      <w:r w:rsidR="00EC08F0">
        <w:t xml:space="preserve"> </w:t>
      </w:r>
      <w:r>
        <w:t>confidence interval; HR</w:t>
      </w:r>
      <w:r w:rsidR="00EC08F0">
        <w:t xml:space="preserve"> </w:t>
      </w:r>
      <w:r>
        <w:t>=</w:t>
      </w:r>
      <w:r w:rsidR="00EC08F0">
        <w:t xml:space="preserve"> </w:t>
      </w:r>
      <w:r>
        <w:t>hazard ratio; NE</w:t>
      </w:r>
      <w:r w:rsidR="00EC08F0">
        <w:t xml:space="preserve"> </w:t>
      </w:r>
      <w:r>
        <w:t>=</w:t>
      </w:r>
      <w:r w:rsidR="00EC08F0">
        <w:t xml:space="preserve"> </w:t>
      </w:r>
      <w:r>
        <w:t>not estimable; NR</w:t>
      </w:r>
      <w:r w:rsidR="00EC08F0">
        <w:t xml:space="preserve"> </w:t>
      </w:r>
      <w:r>
        <w:t>=</w:t>
      </w:r>
      <w:r w:rsidR="00EC08F0">
        <w:t xml:space="preserve"> </w:t>
      </w:r>
      <w:r>
        <w:t>not reported; RD</w:t>
      </w:r>
      <w:r w:rsidR="00EC08F0">
        <w:t xml:space="preserve"> </w:t>
      </w:r>
      <w:r>
        <w:t>=</w:t>
      </w:r>
      <w:r w:rsidR="00EC08F0">
        <w:t xml:space="preserve"> </w:t>
      </w:r>
      <w:r>
        <w:t>risk difference; RR</w:t>
      </w:r>
      <w:r w:rsidR="00EC08F0">
        <w:t xml:space="preserve"> </w:t>
      </w:r>
      <w:r>
        <w:t>=</w:t>
      </w:r>
      <w:r w:rsidR="00EC08F0">
        <w:t xml:space="preserve"> </w:t>
      </w:r>
      <w:r>
        <w:t>relative risk; SOC</w:t>
      </w:r>
      <w:r w:rsidR="00EC08F0">
        <w:t xml:space="preserve"> </w:t>
      </w:r>
      <w:r>
        <w:t>=</w:t>
      </w:r>
      <w:r w:rsidR="00EC08F0">
        <w:t xml:space="preserve"> </w:t>
      </w:r>
      <w:r>
        <w:t xml:space="preserve">standard of care; </w:t>
      </w:r>
      <w:r>
        <w:rPr>
          <w:b/>
        </w:rPr>
        <w:t>bold</w:t>
      </w:r>
      <w:r w:rsidR="00EC08F0">
        <w:rPr>
          <w:b/>
        </w:rPr>
        <w:t xml:space="preserve"> </w:t>
      </w:r>
      <w:r>
        <w:t>=</w:t>
      </w:r>
      <w:r w:rsidR="00EC08F0">
        <w:t xml:space="preserve"> </w:t>
      </w:r>
      <w:r>
        <w:t>statistically significant</w:t>
      </w:r>
    </w:p>
    <w:p w:rsidR="008F621C" w:rsidRDefault="008F621C" w:rsidP="008F621C">
      <w:pPr>
        <w:pStyle w:val="TableFigureFooter"/>
      </w:pPr>
    </w:p>
    <w:p w:rsidR="008F621C" w:rsidRDefault="008F621C" w:rsidP="008D0CDA">
      <w:pPr>
        <w:pStyle w:val="3-BodyText"/>
        <w:snapToGrid w:val="0"/>
        <w:spacing w:after="160"/>
      </w:pPr>
      <w:r w:rsidRPr="008D0CDA">
        <w:t xml:space="preserve">On the basis of direct evidence presented by the </w:t>
      </w:r>
      <w:r w:rsidR="00EC08F0" w:rsidRPr="008D0CDA">
        <w:t>re</w:t>
      </w:r>
      <w:r w:rsidRPr="008D0CDA">
        <w:t>submission, for every 100 patients treated with darolutamide in comparison with SOC:</w:t>
      </w:r>
    </w:p>
    <w:p w:rsidR="008F621C" w:rsidRDefault="00EC08F0" w:rsidP="0053515D">
      <w:pPr>
        <w:pStyle w:val="ListParagraph"/>
        <w:numPr>
          <w:ilvl w:val="0"/>
          <w:numId w:val="8"/>
        </w:numPr>
        <w:snapToGrid w:val="0"/>
        <w:spacing w:after="0"/>
        <w:ind w:left="993" w:hanging="284"/>
      </w:pPr>
      <w:r>
        <w:t>a</w:t>
      </w:r>
      <w:r w:rsidR="008F621C">
        <w:t>pproximately 19 additional patients will remain metastasis-free after 12 months</w:t>
      </w:r>
      <w:r>
        <w:t>;</w:t>
      </w:r>
    </w:p>
    <w:p w:rsidR="008F621C" w:rsidRDefault="00EC08F0" w:rsidP="008D0CDA">
      <w:pPr>
        <w:pStyle w:val="ListBullet"/>
        <w:tabs>
          <w:tab w:val="clear" w:pos="360"/>
          <w:tab w:val="num" w:pos="993"/>
        </w:tabs>
        <w:ind w:left="993" w:hanging="284"/>
      </w:pPr>
      <w:r>
        <w:t>a</w:t>
      </w:r>
      <w:r w:rsidR="008F621C">
        <w:t>pproximately 28 additional patients will remain metastasis-free after 24 months and after 36 months</w:t>
      </w:r>
      <w:r>
        <w:t>;</w:t>
      </w:r>
    </w:p>
    <w:p w:rsidR="008F621C" w:rsidRDefault="00EC08F0" w:rsidP="0053515D">
      <w:pPr>
        <w:pStyle w:val="ListParagraph"/>
        <w:numPr>
          <w:ilvl w:val="0"/>
          <w:numId w:val="8"/>
        </w:numPr>
        <w:snapToGrid w:val="0"/>
        <w:spacing w:after="0"/>
        <w:ind w:left="993" w:hanging="284"/>
      </w:pPr>
      <w:r>
        <w:t>a</w:t>
      </w:r>
      <w:r w:rsidR="008F621C">
        <w:t>pproximately 4 additional patients will remain alive after 24 months</w:t>
      </w:r>
      <w:r>
        <w:t>;</w:t>
      </w:r>
    </w:p>
    <w:p w:rsidR="008F621C" w:rsidRDefault="00EC08F0" w:rsidP="008D0CDA">
      <w:pPr>
        <w:pStyle w:val="ListBullet"/>
        <w:tabs>
          <w:tab w:val="clear" w:pos="360"/>
          <w:tab w:val="num" w:pos="993"/>
        </w:tabs>
        <w:ind w:left="993" w:hanging="284"/>
      </w:pPr>
      <w:r>
        <w:t>a</w:t>
      </w:r>
      <w:r w:rsidR="008F621C">
        <w:t>pproximately 6 additional patients will remain alive after 36 months</w:t>
      </w:r>
      <w:r>
        <w:t>; and</w:t>
      </w:r>
    </w:p>
    <w:p w:rsidR="008F621C" w:rsidRDefault="00EC08F0" w:rsidP="0053515D">
      <w:pPr>
        <w:pStyle w:val="ListParagraph"/>
        <w:numPr>
          <w:ilvl w:val="0"/>
          <w:numId w:val="8"/>
        </w:numPr>
        <w:snapToGrid w:val="0"/>
        <w:spacing w:after="0"/>
        <w:ind w:left="993" w:hanging="284"/>
      </w:pPr>
      <w:r>
        <w:t>a</w:t>
      </w:r>
      <w:r w:rsidR="008F621C">
        <w:t>fter 18 months, approximately 4 additional patients would experience cardiovascular disorders, 2 additional patients would experience rash, and 4 additional patients would experience fatigue.</w:t>
      </w:r>
    </w:p>
    <w:p w:rsidR="00B60939" w:rsidRPr="00C9624D" w:rsidRDefault="00B60939" w:rsidP="00E9094A">
      <w:pPr>
        <w:pStyle w:val="4-SubsectionHeading"/>
      </w:pPr>
      <w:bookmarkStart w:id="19" w:name="_Toc22897644"/>
      <w:bookmarkStart w:id="20" w:name="_Toc62023474"/>
      <w:r w:rsidRPr="00C9624D">
        <w:lastRenderedPageBreak/>
        <w:t>Clinical claim</w:t>
      </w:r>
      <w:bookmarkEnd w:id="19"/>
      <w:bookmarkEnd w:id="20"/>
    </w:p>
    <w:p w:rsidR="00EC08F0" w:rsidRPr="003E724F" w:rsidRDefault="00EC08F0" w:rsidP="00FD6D40">
      <w:pPr>
        <w:pStyle w:val="3-BodyText"/>
      </w:pPr>
      <w:r w:rsidRPr="00470FAC">
        <w:t xml:space="preserve">The clinical claims for darolutamide, based on the direct comparison versus SOC, were unchanged from July 2020. </w:t>
      </w:r>
      <w:r w:rsidRPr="008D0CDA">
        <w:t xml:space="preserve">The resubmission stated that darolutamide was superior in terms of effectiveness and inferior in terms of safety compared with placebo. </w:t>
      </w:r>
      <w:r w:rsidRPr="00470FAC">
        <w:t xml:space="preserve">In July 2020 the PBAC considered that the clinical claims that darolutamide resulted in superior efficacy and inferior safety compared to SOC were adequately supported by the evidence presented. The PBAC considered that due to the immaturity of the OS data, the magnitude of the survival benefit was uncertain (paragraph 6.29, darolutamide PSD, </w:t>
      </w:r>
      <w:r w:rsidRPr="003E724F">
        <w:t>July 2020).</w:t>
      </w:r>
      <w:r w:rsidRPr="003E724F">
        <w:rPr>
          <w:color w:val="0066FF"/>
        </w:rPr>
        <w:t xml:space="preserve"> </w:t>
      </w:r>
      <w:r w:rsidR="00FD6D40" w:rsidRPr="003E724F">
        <w:t xml:space="preserve">Given no new </w:t>
      </w:r>
      <w:r w:rsidR="009B50F4" w:rsidRPr="003E724F">
        <w:t xml:space="preserve">OS </w:t>
      </w:r>
      <w:r w:rsidR="00FD6D40" w:rsidRPr="003E724F">
        <w:t>data were provided, the magnitude of the survival benefit remained uncertain.</w:t>
      </w:r>
    </w:p>
    <w:p w:rsidR="00EC08F0" w:rsidRPr="003E724F" w:rsidRDefault="00EC08F0" w:rsidP="00E9094A">
      <w:pPr>
        <w:pStyle w:val="3-BodyText"/>
        <w:rPr>
          <w:color w:val="0066FF"/>
        </w:rPr>
      </w:pPr>
      <w:r w:rsidRPr="003E724F">
        <w:rPr>
          <w:rFonts w:cs="Calibri"/>
        </w:rPr>
        <w:t>For the comparisons with the near market comparators, apalutamide and enzalutamide, the resubmission again claimed that darolutamide was non-inferior in terms of effectiveness. This claim remained reasonable. In July 2020 the PBAC noted the limitations of the indirect comparisons, but considered that overall, the efficacy of darolutamide would likely be non-inferior compared to apalutamide and enzalutamide (paragraph 6.30, darolutamide PSD, July 2020).</w:t>
      </w:r>
    </w:p>
    <w:p w:rsidR="00670A2B" w:rsidRPr="003E724F" w:rsidRDefault="00EC08F0" w:rsidP="003E724F">
      <w:pPr>
        <w:pStyle w:val="3-BodyText"/>
        <w:rPr>
          <w:color w:val="0066FF"/>
        </w:rPr>
      </w:pPr>
      <w:r w:rsidRPr="003E724F">
        <w:rPr>
          <w:rFonts w:cs="Calibri"/>
        </w:rPr>
        <w:t>In July 2020, the submission claimed that darolutamide was superior in terms of safety compared to apalutamide and enzalutamide. Although the PBAC considered that darolutamide may be better tolerated compared to apalutamide and enzalutamide (paragraph 6.30, darolutamide PSD, July 2020), the resubmission has amended the safety claim to state that darolutamide is non-inferior in terms of safety compared to apalutamide and enzalutamide</w:t>
      </w:r>
      <w:r w:rsidR="008A3F06" w:rsidRPr="003E724F">
        <w:rPr>
          <w:rFonts w:cs="Calibri"/>
        </w:rPr>
        <w:t>.</w:t>
      </w:r>
      <w:r w:rsidRPr="003E724F">
        <w:rPr>
          <w:rFonts w:cs="Calibri"/>
        </w:rPr>
        <w:t xml:space="preserve"> </w:t>
      </w:r>
      <w:r w:rsidR="008A3F06" w:rsidRPr="003E724F">
        <w:t xml:space="preserve">The resubmission described this claim as conservative, </w:t>
      </w:r>
      <w:r w:rsidRPr="003E724F">
        <w:rPr>
          <w:rFonts w:cs="Calibri"/>
        </w:rPr>
        <w:t xml:space="preserve">noting that darolutamide appeared to have a more favourable safety profile in some outcomes of interest. This </w:t>
      </w:r>
      <w:r w:rsidR="003E724F" w:rsidRPr="003E724F">
        <w:rPr>
          <w:rFonts w:cs="Calibri"/>
        </w:rPr>
        <w:t xml:space="preserve">PBAC considered that the </w:t>
      </w:r>
      <w:r w:rsidRPr="003E724F">
        <w:rPr>
          <w:rFonts w:cs="Calibri"/>
        </w:rPr>
        <w:t xml:space="preserve">claim </w:t>
      </w:r>
      <w:r w:rsidR="003E724F" w:rsidRPr="003E724F">
        <w:rPr>
          <w:rFonts w:cs="Calibri"/>
        </w:rPr>
        <w:t xml:space="preserve">that darolutamide was non-inferior in terms of safety to apalutamide and enzalutamide </w:t>
      </w:r>
      <w:r w:rsidRPr="003E724F">
        <w:rPr>
          <w:rFonts w:cs="Calibri"/>
        </w:rPr>
        <w:t>was reasonable.</w:t>
      </w:r>
    </w:p>
    <w:p w:rsidR="00B60939" w:rsidRPr="003E724F" w:rsidRDefault="00B60939" w:rsidP="00E9094A">
      <w:pPr>
        <w:pStyle w:val="4-SubsectionHeading"/>
      </w:pPr>
      <w:bookmarkStart w:id="21" w:name="_Toc22897645"/>
      <w:bookmarkStart w:id="22" w:name="_Toc62023475"/>
      <w:r w:rsidRPr="003E724F">
        <w:t>Economic analysis</w:t>
      </w:r>
      <w:bookmarkEnd w:id="21"/>
      <w:bookmarkEnd w:id="22"/>
      <w:r w:rsidR="00491B3A" w:rsidRPr="003E724F">
        <w:t xml:space="preserve"> </w:t>
      </w:r>
    </w:p>
    <w:p w:rsidR="00EC08F0" w:rsidRPr="00470FAC" w:rsidRDefault="00EC08F0" w:rsidP="00641FB3">
      <w:pPr>
        <w:pStyle w:val="3-BodyText"/>
        <w:rPr>
          <w:b/>
          <w:bCs/>
          <w:color w:val="0066FF"/>
          <w:lang w:val="en-US"/>
        </w:rPr>
      </w:pPr>
      <w:r w:rsidRPr="003E724F">
        <w:t>The resubmission, like the July 2020 submission, presented a stepped economic</w:t>
      </w:r>
      <w:r w:rsidRPr="008D0CDA">
        <w:t xml:space="preserve"> evaluation based on the ARAMIS trial, comparing darolutamide to SOC. The modelled economic evaluation was a cost-utility analysis using a partitioned survival model with three health states.</w:t>
      </w:r>
    </w:p>
    <w:p w:rsidR="00EC08F0" w:rsidRPr="000C08E6" w:rsidRDefault="00EC08F0" w:rsidP="000C08E6">
      <w:pPr>
        <w:pStyle w:val="3-BodyText"/>
        <w:rPr>
          <w:shd w:val="clear" w:color="auto" w:fill="DBE5F1" w:themeFill="accent1" w:themeFillTint="33"/>
        </w:rPr>
      </w:pPr>
      <w:r w:rsidRPr="008D0CDA">
        <w:t>The key components of the economic evaluation are summarised in the table below.</w:t>
      </w:r>
    </w:p>
    <w:p w:rsidR="00EC08F0" w:rsidRPr="00DE2304" w:rsidRDefault="00EC08F0" w:rsidP="006A65C9">
      <w:pPr>
        <w:pStyle w:val="TableFigureHeading"/>
        <w:rPr>
          <w:rStyle w:val="CommentReference"/>
          <w:b/>
          <w:szCs w:val="24"/>
        </w:rPr>
      </w:pPr>
      <w:r w:rsidRPr="00DE2304">
        <w:rPr>
          <w:rStyle w:val="CommentReference"/>
          <w:b/>
          <w:szCs w:val="24"/>
        </w:rPr>
        <w:lastRenderedPageBreak/>
        <w:t xml:space="preserve">Table </w:t>
      </w:r>
      <w:r>
        <w:rPr>
          <w:rStyle w:val="CommentReference"/>
          <w:b/>
          <w:szCs w:val="24"/>
        </w:rPr>
        <w:t>1</w:t>
      </w:r>
      <w:r w:rsidR="000C08E6">
        <w:rPr>
          <w:rStyle w:val="CommentReference"/>
          <w:b/>
          <w:szCs w:val="24"/>
        </w:rPr>
        <w:t>1</w:t>
      </w:r>
      <w:r w:rsidRPr="00DE2304">
        <w:rPr>
          <w:rStyle w:val="CommentReference"/>
          <w:b/>
          <w:szCs w:val="24"/>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1"/>
        <w:gridCol w:w="7486"/>
      </w:tblGrid>
      <w:tr w:rsidR="00EC08F0" w:rsidRPr="00E05630" w:rsidTr="006A65C9">
        <w:tc>
          <w:tcPr>
            <w:tcW w:w="849" w:type="pct"/>
            <w:shd w:val="clear" w:color="auto" w:fill="auto"/>
            <w:vAlign w:val="center"/>
          </w:tcPr>
          <w:p w:rsidR="00EC08F0" w:rsidRPr="00E05630" w:rsidRDefault="00EC08F0" w:rsidP="006A65C9">
            <w:pPr>
              <w:pStyle w:val="In-tableHeading"/>
              <w:jc w:val="center"/>
            </w:pPr>
            <w:r w:rsidRPr="00E05630">
              <w:t>Component</w:t>
            </w:r>
          </w:p>
        </w:tc>
        <w:tc>
          <w:tcPr>
            <w:tcW w:w="4151" w:type="pct"/>
            <w:shd w:val="clear" w:color="auto" w:fill="auto"/>
            <w:vAlign w:val="center"/>
          </w:tcPr>
          <w:p w:rsidR="00EC08F0" w:rsidRPr="00E05630" w:rsidRDefault="00EC08F0" w:rsidP="006A65C9">
            <w:pPr>
              <w:pStyle w:val="In-tableHeading"/>
              <w:jc w:val="center"/>
            </w:pPr>
          </w:p>
        </w:tc>
      </w:tr>
      <w:tr w:rsidR="00EC08F0" w:rsidRPr="004E2ADC" w:rsidTr="006A65C9">
        <w:tc>
          <w:tcPr>
            <w:tcW w:w="849" w:type="pct"/>
            <w:shd w:val="clear" w:color="auto" w:fill="auto"/>
            <w:vAlign w:val="center"/>
          </w:tcPr>
          <w:p w:rsidR="00EC08F0" w:rsidRPr="004E2ADC" w:rsidRDefault="00EC08F0" w:rsidP="006A65C9">
            <w:pPr>
              <w:pStyle w:val="TableText0"/>
            </w:pPr>
            <w:r>
              <w:t>Type of analysis</w:t>
            </w:r>
          </w:p>
        </w:tc>
        <w:tc>
          <w:tcPr>
            <w:tcW w:w="4151" w:type="pct"/>
            <w:shd w:val="clear" w:color="auto" w:fill="auto"/>
            <w:vAlign w:val="center"/>
          </w:tcPr>
          <w:p w:rsidR="00EC08F0" w:rsidRPr="004E2ADC" w:rsidRDefault="00EC08F0" w:rsidP="006A65C9">
            <w:pPr>
              <w:pStyle w:val="TableText0"/>
            </w:pPr>
            <w:r>
              <w:t>Cost-utility analysis.</w:t>
            </w:r>
          </w:p>
        </w:tc>
      </w:tr>
      <w:tr w:rsidR="00EC08F0" w:rsidRPr="004E2ADC" w:rsidTr="006A65C9">
        <w:tc>
          <w:tcPr>
            <w:tcW w:w="849" w:type="pct"/>
            <w:shd w:val="clear" w:color="auto" w:fill="auto"/>
            <w:vAlign w:val="center"/>
          </w:tcPr>
          <w:p w:rsidR="00EC08F0" w:rsidRPr="004E2ADC" w:rsidRDefault="00EC08F0" w:rsidP="006A65C9">
            <w:pPr>
              <w:pStyle w:val="TableText0"/>
            </w:pPr>
            <w:r>
              <w:t>Outcomes</w:t>
            </w:r>
          </w:p>
        </w:tc>
        <w:tc>
          <w:tcPr>
            <w:tcW w:w="4151" w:type="pct"/>
            <w:shd w:val="clear" w:color="auto" w:fill="auto"/>
            <w:vAlign w:val="center"/>
          </w:tcPr>
          <w:p w:rsidR="00EC08F0" w:rsidRPr="004E2ADC" w:rsidRDefault="00EC08F0" w:rsidP="006A65C9">
            <w:pPr>
              <w:pStyle w:val="TableText0"/>
            </w:pPr>
            <w:r>
              <w:t>QALYs; LYs</w:t>
            </w:r>
          </w:p>
        </w:tc>
      </w:tr>
      <w:tr w:rsidR="00EC08F0" w:rsidRPr="004E2ADC" w:rsidTr="006A65C9">
        <w:tc>
          <w:tcPr>
            <w:tcW w:w="849" w:type="pct"/>
            <w:shd w:val="clear" w:color="auto" w:fill="auto"/>
            <w:vAlign w:val="center"/>
          </w:tcPr>
          <w:p w:rsidR="00EC08F0" w:rsidRPr="004E2ADC" w:rsidRDefault="00EC08F0" w:rsidP="006A65C9">
            <w:pPr>
              <w:pStyle w:val="TableText0"/>
            </w:pPr>
            <w:r>
              <w:t>Time horizon</w:t>
            </w:r>
          </w:p>
        </w:tc>
        <w:tc>
          <w:tcPr>
            <w:tcW w:w="4151" w:type="pct"/>
            <w:shd w:val="clear" w:color="auto" w:fill="FFFFFF" w:themeFill="background1"/>
            <w:vAlign w:val="center"/>
          </w:tcPr>
          <w:p w:rsidR="00EC08F0" w:rsidRPr="004E2ADC" w:rsidRDefault="00EC08F0" w:rsidP="006A65C9">
            <w:pPr>
              <w:pStyle w:val="TableText0"/>
            </w:pPr>
            <w:r w:rsidRPr="006A65C9">
              <w:t xml:space="preserve">10 years </w:t>
            </w:r>
            <w:r w:rsidRPr="006A65C9">
              <w:rPr>
                <w:i/>
              </w:rPr>
              <w:t xml:space="preserve">versus </w:t>
            </w:r>
            <w:r w:rsidR="005A4405" w:rsidRPr="006A65C9">
              <w:t>median follow-up of 29.1 months for OS</w:t>
            </w:r>
            <w:r w:rsidR="00B42942" w:rsidRPr="00B42942">
              <w:rPr>
                <w:i/>
                <w:shd w:val="clear" w:color="auto" w:fill="FFFFFF" w:themeFill="background1"/>
              </w:rPr>
              <w:t xml:space="preserve"> </w:t>
            </w:r>
            <w:r w:rsidR="00B42942" w:rsidRPr="006A65C9">
              <w:t>in the ARAMIS trial</w:t>
            </w:r>
            <w:r w:rsidR="00B42942" w:rsidRPr="006A65C9">
              <w:rPr>
                <w:i/>
              </w:rPr>
              <w:t>.</w:t>
            </w:r>
            <w:r w:rsidR="00B42942" w:rsidRPr="00C6306D">
              <w:rPr>
                <w:i/>
              </w:rPr>
              <w:t xml:space="preserve"> </w:t>
            </w:r>
            <w:r w:rsidR="00B42942" w:rsidRPr="00B42942">
              <w:rPr>
                <w:shd w:val="clear" w:color="auto" w:fill="FFFFFF" w:themeFill="background1"/>
              </w:rPr>
              <w:t>Kaplan-Meier data</w:t>
            </w:r>
            <w:r w:rsidR="005A4405" w:rsidRPr="00B42942">
              <w:rPr>
                <w:shd w:val="clear" w:color="auto" w:fill="FFFFFF" w:themeFill="background1"/>
              </w:rPr>
              <w:t xml:space="preserve"> </w:t>
            </w:r>
            <w:r w:rsidR="00B42942">
              <w:rPr>
                <w:shd w:val="clear" w:color="auto" w:fill="FFFFFF" w:themeFill="background1"/>
              </w:rPr>
              <w:t xml:space="preserve">were used for 54 </w:t>
            </w:r>
            <w:r w:rsidR="00B42942" w:rsidRPr="00B42942">
              <w:rPr>
                <w:shd w:val="clear" w:color="auto" w:fill="FFFFFF" w:themeFill="background1"/>
              </w:rPr>
              <w:t>months (</w:t>
            </w:r>
            <w:r w:rsidRPr="00B42942">
              <w:rPr>
                <w:shd w:val="clear" w:color="auto" w:fill="FFFFFF" w:themeFill="background1"/>
              </w:rPr>
              <w:t>4.5 years</w:t>
            </w:r>
            <w:r w:rsidR="00B42942" w:rsidRPr="00B42942">
              <w:rPr>
                <w:shd w:val="clear" w:color="auto" w:fill="FFFFFF" w:themeFill="background1"/>
              </w:rPr>
              <w:t>)</w:t>
            </w:r>
            <w:r w:rsidRPr="00B42942">
              <w:rPr>
                <w:i/>
                <w:shd w:val="clear" w:color="auto" w:fill="FFFFFF" w:themeFill="background1"/>
              </w:rPr>
              <w:t xml:space="preserve"> </w:t>
            </w:r>
          </w:p>
        </w:tc>
      </w:tr>
      <w:tr w:rsidR="00EC08F0" w:rsidRPr="004E2ADC" w:rsidTr="006A65C9">
        <w:tc>
          <w:tcPr>
            <w:tcW w:w="849" w:type="pct"/>
            <w:shd w:val="clear" w:color="auto" w:fill="auto"/>
            <w:vAlign w:val="center"/>
          </w:tcPr>
          <w:p w:rsidR="00EC08F0" w:rsidRPr="004E2ADC" w:rsidRDefault="00EC08F0" w:rsidP="006A65C9">
            <w:pPr>
              <w:pStyle w:val="TableText0"/>
            </w:pPr>
            <w:r>
              <w:t>Methods used to generate results</w:t>
            </w:r>
          </w:p>
        </w:tc>
        <w:tc>
          <w:tcPr>
            <w:tcW w:w="4151" w:type="pct"/>
            <w:shd w:val="clear" w:color="auto" w:fill="auto"/>
            <w:vAlign w:val="center"/>
          </w:tcPr>
          <w:p w:rsidR="00EC08F0" w:rsidRPr="004E2ADC" w:rsidRDefault="00EC08F0" w:rsidP="006A65C9">
            <w:pPr>
              <w:pStyle w:val="TableText0"/>
            </w:pPr>
            <w:r>
              <w:t>Partitioned survival model</w:t>
            </w:r>
          </w:p>
        </w:tc>
      </w:tr>
      <w:tr w:rsidR="00EC08F0" w:rsidRPr="004E2ADC" w:rsidTr="006A65C9">
        <w:tc>
          <w:tcPr>
            <w:tcW w:w="849" w:type="pct"/>
            <w:shd w:val="clear" w:color="auto" w:fill="auto"/>
            <w:vAlign w:val="center"/>
          </w:tcPr>
          <w:p w:rsidR="00EC08F0" w:rsidRPr="004E2ADC" w:rsidRDefault="00EC08F0" w:rsidP="006A65C9">
            <w:pPr>
              <w:pStyle w:val="TableText0"/>
            </w:pPr>
            <w:r>
              <w:t>Health states</w:t>
            </w:r>
          </w:p>
        </w:tc>
        <w:tc>
          <w:tcPr>
            <w:tcW w:w="4151" w:type="pct"/>
            <w:shd w:val="clear" w:color="auto" w:fill="auto"/>
            <w:vAlign w:val="center"/>
          </w:tcPr>
          <w:p w:rsidR="00EC08F0" w:rsidRDefault="00EC08F0" w:rsidP="006A65C9">
            <w:pPr>
              <w:pStyle w:val="Tabletext"/>
              <w:keepNext/>
            </w:pPr>
            <w:r>
              <w:t xml:space="preserve">Three health states: </w:t>
            </w:r>
          </w:p>
          <w:p w:rsidR="00EC08F0" w:rsidRDefault="00EC08F0" w:rsidP="0053515D">
            <w:pPr>
              <w:pStyle w:val="Tabletext"/>
              <w:keepNext/>
              <w:numPr>
                <w:ilvl w:val="0"/>
                <w:numId w:val="7"/>
              </w:numPr>
              <w:ind w:left="110" w:hanging="110"/>
            </w:pPr>
            <w:r>
              <w:t>m0CRPC; metastatic free: Based on MFS data from ARAMIS</w:t>
            </w:r>
          </w:p>
          <w:p w:rsidR="00EC08F0" w:rsidRDefault="00EC08F0" w:rsidP="0053515D">
            <w:pPr>
              <w:pStyle w:val="Tabletext"/>
              <w:keepNext/>
              <w:numPr>
                <w:ilvl w:val="0"/>
                <w:numId w:val="7"/>
              </w:numPr>
              <w:ind w:left="110" w:hanging="110"/>
            </w:pPr>
            <w:r>
              <w:t>mCRPC; metastatic progressed: Based on OS data from ARAMIS</w:t>
            </w:r>
          </w:p>
          <w:p w:rsidR="00EC08F0" w:rsidRPr="004E2ADC" w:rsidRDefault="00EC08F0" w:rsidP="0053515D">
            <w:pPr>
              <w:pStyle w:val="TableText0"/>
              <w:numPr>
                <w:ilvl w:val="0"/>
                <w:numId w:val="7"/>
              </w:numPr>
              <w:ind w:left="116" w:hanging="116"/>
            </w:pPr>
            <w:r>
              <w:t>dead</w:t>
            </w:r>
          </w:p>
        </w:tc>
      </w:tr>
      <w:tr w:rsidR="00EC08F0" w:rsidRPr="004E2ADC" w:rsidTr="006A65C9">
        <w:tc>
          <w:tcPr>
            <w:tcW w:w="849" w:type="pct"/>
            <w:shd w:val="clear" w:color="auto" w:fill="auto"/>
            <w:vAlign w:val="center"/>
          </w:tcPr>
          <w:p w:rsidR="00EC08F0" w:rsidRPr="004E2ADC" w:rsidRDefault="00EC08F0" w:rsidP="006A65C9">
            <w:pPr>
              <w:pStyle w:val="TableText0"/>
            </w:pPr>
            <w:r>
              <w:t>Cycle length</w:t>
            </w:r>
          </w:p>
        </w:tc>
        <w:tc>
          <w:tcPr>
            <w:tcW w:w="4151" w:type="pct"/>
            <w:shd w:val="clear" w:color="auto" w:fill="auto"/>
            <w:vAlign w:val="center"/>
          </w:tcPr>
          <w:p w:rsidR="00EC08F0" w:rsidRPr="004E2ADC" w:rsidRDefault="00EC08F0" w:rsidP="006A65C9">
            <w:pPr>
              <w:pStyle w:val="TableText0"/>
            </w:pPr>
            <w:r>
              <w:t>28 days, half cycle correction applied</w:t>
            </w:r>
          </w:p>
        </w:tc>
      </w:tr>
      <w:tr w:rsidR="00EC08F0" w:rsidRPr="004E2ADC" w:rsidTr="006A65C9">
        <w:tc>
          <w:tcPr>
            <w:tcW w:w="849" w:type="pct"/>
            <w:shd w:val="clear" w:color="auto" w:fill="auto"/>
            <w:vAlign w:val="center"/>
          </w:tcPr>
          <w:p w:rsidR="00EC08F0" w:rsidRPr="004E2ADC" w:rsidRDefault="00EC08F0" w:rsidP="006A65C9">
            <w:pPr>
              <w:pStyle w:val="TableText0"/>
            </w:pPr>
            <w:r>
              <w:t>Transition probabilities</w:t>
            </w:r>
          </w:p>
        </w:tc>
        <w:tc>
          <w:tcPr>
            <w:tcW w:w="4151" w:type="pct"/>
            <w:vAlign w:val="center"/>
          </w:tcPr>
          <w:p w:rsidR="00EC08F0" w:rsidRDefault="00EC08F0" w:rsidP="006A65C9">
            <w:pPr>
              <w:pStyle w:val="TableText0"/>
            </w:pPr>
            <w:r w:rsidRPr="006A65C9">
              <w:t>No specific transition probabilities were modelled;</w:t>
            </w:r>
            <w:r>
              <w:t xml:space="preserve"> </w:t>
            </w:r>
          </w:p>
          <w:p w:rsidR="00EC08F0" w:rsidRPr="004E2ADC" w:rsidRDefault="00EC08F0" w:rsidP="006A65C9">
            <w:pPr>
              <w:pStyle w:val="TableText0"/>
            </w:pPr>
            <w:r w:rsidRPr="006A65C9">
              <w:t>Health state allocation determined by MFS and OS curves, which were based on ARAMIS data with extrapolation.</w:t>
            </w:r>
            <w:r>
              <w:t xml:space="preserve"> Darolutamide OS curve applied the trial-based hazard ratio to the SOC OS curve (</w:t>
            </w:r>
            <w:r w:rsidR="001F2E72">
              <w:t xml:space="preserve">which was extrapolated using the Weibull function </w:t>
            </w:r>
            <w:r>
              <w:t>between 55 and 120 months).</w:t>
            </w:r>
          </w:p>
        </w:tc>
      </w:tr>
      <w:tr w:rsidR="00EC08F0" w:rsidRPr="004E2ADC" w:rsidTr="006A65C9">
        <w:tc>
          <w:tcPr>
            <w:tcW w:w="849" w:type="pct"/>
            <w:shd w:val="clear" w:color="auto" w:fill="auto"/>
            <w:vAlign w:val="center"/>
          </w:tcPr>
          <w:p w:rsidR="00EC08F0" w:rsidRPr="004E2ADC" w:rsidRDefault="00EC08F0" w:rsidP="006A65C9">
            <w:pPr>
              <w:pStyle w:val="TableText0"/>
            </w:pPr>
            <w:r>
              <w:t>Discounting</w:t>
            </w:r>
          </w:p>
        </w:tc>
        <w:tc>
          <w:tcPr>
            <w:tcW w:w="4151" w:type="pct"/>
            <w:shd w:val="clear" w:color="auto" w:fill="auto"/>
            <w:vAlign w:val="center"/>
          </w:tcPr>
          <w:p w:rsidR="00EC08F0" w:rsidRPr="004E2ADC" w:rsidRDefault="00EC08F0" w:rsidP="006A65C9">
            <w:pPr>
              <w:pStyle w:val="TableText0"/>
            </w:pPr>
            <w:r>
              <w:t>5%</w:t>
            </w:r>
          </w:p>
        </w:tc>
      </w:tr>
      <w:tr w:rsidR="00EC08F0" w:rsidRPr="004E2ADC" w:rsidTr="006A65C9">
        <w:tc>
          <w:tcPr>
            <w:tcW w:w="849" w:type="pct"/>
            <w:shd w:val="clear" w:color="auto" w:fill="auto"/>
            <w:vAlign w:val="center"/>
          </w:tcPr>
          <w:p w:rsidR="00EC08F0" w:rsidRDefault="00EC08F0" w:rsidP="006A65C9">
            <w:pPr>
              <w:pStyle w:val="TableText0"/>
            </w:pPr>
            <w:r>
              <w:t>Software package</w:t>
            </w:r>
          </w:p>
        </w:tc>
        <w:tc>
          <w:tcPr>
            <w:tcW w:w="4151" w:type="pct"/>
            <w:shd w:val="clear" w:color="auto" w:fill="auto"/>
            <w:vAlign w:val="center"/>
          </w:tcPr>
          <w:p w:rsidR="00EC08F0" w:rsidRDefault="00EC08F0" w:rsidP="006A65C9">
            <w:pPr>
              <w:pStyle w:val="TableText0"/>
            </w:pPr>
            <w:r>
              <w:t>Excel 2016</w:t>
            </w:r>
          </w:p>
        </w:tc>
      </w:tr>
    </w:tbl>
    <w:p w:rsidR="00EC08F0" w:rsidRPr="00B03AD9" w:rsidRDefault="00EC08F0" w:rsidP="006A65C9">
      <w:pPr>
        <w:pStyle w:val="Tablefootnote"/>
        <w:spacing w:before="0"/>
        <w:rPr>
          <w:szCs w:val="18"/>
        </w:rPr>
      </w:pPr>
      <w:r w:rsidRPr="00B03AD9">
        <w:rPr>
          <w:szCs w:val="18"/>
        </w:rPr>
        <w:t>Source: Table 3-</w:t>
      </w:r>
      <w:r>
        <w:rPr>
          <w:szCs w:val="18"/>
        </w:rPr>
        <w:t>2</w:t>
      </w:r>
      <w:r w:rsidRPr="00B03AD9">
        <w:rPr>
          <w:szCs w:val="18"/>
        </w:rPr>
        <w:t xml:space="preserve"> of the </w:t>
      </w:r>
      <w:r>
        <w:rPr>
          <w:szCs w:val="18"/>
        </w:rPr>
        <w:t>re</w:t>
      </w:r>
      <w:r w:rsidRPr="00B03AD9">
        <w:rPr>
          <w:szCs w:val="18"/>
        </w:rPr>
        <w:t>submission.</w:t>
      </w:r>
    </w:p>
    <w:p w:rsidR="00EC08F0" w:rsidRDefault="00EC08F0" w:rsidP="006A65C9">
      <w:pPr>
        <w:pStyle w:val="Tablefootnote"/>
        <w:spacing w:before="0" w:after="0"/>
        <w:rPr>
          <w:rStyle w:val="PageFooterChar"/>
          <w:rFonts w:ascii="Arial Narrow" w:hAnsi="Arial Narrow"/>
          <w:b w:val="0"/>
          <w:sz w:val="18"/>
          <w:szCs w:val="18"/>
        </w:rPr>
      </w:pPr>
      <w:r>
        <w:rPr>
          <w:szCs w:val="18"/>
        </w:rPr>
        <w:t xml:space="preserve">LY = life year; </w:t>
      </w:r>
      <w:r w:rsidRPr="00B03AD9">
        <w:rPr>
          <w:szCs w:val="18"/>
        </w:rPr>
        <w:t>m0CRPC</w:t>
      </w:r>
      <w:r>
        <w:rPr>
          <w:szCs w:val="18"/>
        </w:rPr>
        <w:t xml:space="preserve"> </w:t>
      </w:r>
      <w:r w:rsidRPr="00B03AD9">
        <w:rPr>
          <w:szCs w:val="18"/>
        </w:rPr>
        <w:t>=</w:t>
      </w:r>
      <w:r>
        <w:rPr>
          <w:szCs w:val="18"/>
        </w:rPr>
        <w:t xml:space="preserve"> </w:t>
      </w:r>
      <w:r w:rsidRPr="00B03AD9">
        <w:rPr>
          <w:szCs w:val="18"/>
        </w:rPr>
        <w:t>non-</w:t>
      </w:r>
      <w:r w:rsidRPr="00B03AD9">
        <w:rPr>
          <w:rStyle w:val="PageFooterChar"/>
          <w:rFonts w:ascii="Arial Narrow" w:hAnsi="Arial Narrow"/>
          <w:b w:val="0"/>
          <w:sz w:val="18"/>
          <w:szCs w:val="18"/>
        </w:rPr>
        <w:t>metastatic castrat</w:t>
      </w:r>
      <w:r>
        <w:rPr>
          <w:rStyle w:val="PageFooterChar"/>
          <w:rFonts w:ascii="Arial Narrow" w:hAnsi="Arial Narrow"/>
          <w:b w:val="0"/>
          <w:sz w:val="18"/>
          <w:szCs w:val="18"/>
        </w:rPr>
        <w:t>ion</w:t>
      </w:r>
      <w:r w:rsidRPr="00B03AD9">
        <w:rPr>
          <w:rStyle w:val="PageFooterChar"/>
          <w:rFonts w:ascii="Arial Narrow" w:hAnsi="Arial Narrow"/>
          <w:b w:val="0"/>
          <w:sz w:val="18"/>
          <w:szCs w:val="18"/>
        </w:rPr>
        <w:t xml:space="preserve"> resistant prostate cancer; </w:t>
      </w:r>
      <w:r w:rsidRPr="00B03AD9">
        <w:rPr>
          <w:szCs w:val="18"/>
        </w:rPr>
        <w:t>mCRPC</w:t>
      </w:r>
      <w:r>
        <w:rPr>
          <w:szCs w:val="18"/>
        </w:rPr>
        <w:t xml:space="preserve"> </w:t>
      </w:r>
      <w:r w:rsidRPr="00B03AD9">
        <w:rPr>
          <w:szCs w:val="18"/>
        </w:rPr>
        <w:t>=</w:t>
      </w:r>
      <w:r>
        <w:rPr>
          <w:szCs w:val="18"/>
        </w:rPr>
        <w:t xml:space="preserve"> </w:t>
      </w:r>
      <w:r w:rsidRPr="00B03AD9">
        <w:rPr>
          <w:szCs w:val="18"/>
        </w:rPr>
        <w:t>metastatic castration</w:t>
      </w:r>
      <w:r>
        <w:rPr>
          <w:szCs w:val="18"/>
        </w:rPr>
        <w:t xml:space="preserve"> </w:t>
      </w:r>
      <w:r w:rsidRPr="00B03AD9">
        <w:rPr>
          <w:szCs w:val="18"/>
        </w:rPr>
        <w:t>resistant prostate cancer; MFS</w:t>
      </w:r>
      <w:r>
        <w:rPr>
          <w:szCs w:val="18"/>
        </w:rPr>
        <w:t xml:space="preserve"> </w:t>
      </w:r>
      <w:r w:rsidRPr="00B03AD9">
        <w:rPr>
          <w:szCs w:val="18"/>
        </w:rPr>
        <w:t>=</w:t>
      </w:r>
      <w:r>
        <w:rPr>
          <w:szCs w:val="18"/>
        </w:rPr>
        <w:t xml:space="preserve"> </w:t>
      </w:r>
      <w:r w:rsidRPr="00B03AD9">
        <w:rPr>
          <w:szCs w:val="18"/>
        </w:rPr>
        <w:t xml:space="preserve">metastasis-free survival; </w:t>
      </w:r>
      <w:r w:rsidRPr="00B03AD9">
        <w:rPr>
          <w:rStyle w:val="PageFooterChar"/>
          <w:rFonts w:ascii="Arial Narrow" w:hAnsi="Arial Narrow"/>
          <w:b w:val="0"/>
          <w:sz w:val="18"/>
          <w:szCs w:val="18"/>
        </w:rPr>
        <w:t>OS</w:t>
      </w:r>
      <w:r>
        <w:rPr>
          <w:rStyle w:val="PageFooterChar"/>
          <w:rFonts w:ascii="Arial Narrow" w:hAnsi="Arial Narrow"/>
          <w:b w:val="0"/>
          <w:sz w:val="18"/>
          <w:szCs w:val="18"/>
        </w:rPr>
        <w:t xml:space="preserve"> </w:t>
      </w:r>
      <w:r w:rsidRPr="00B03AD9">
        <w:rPr>
          <w:rStyle w:val="PageFooterChar"/>
          <w:rFonts w:ascii="Arial Narrow" w:hAnsi="Arial Narrow"/>
          <w:b w:val="0"/>
          <w:sz w:val="18"/>
          <w:szCs w:val="18"/>
        </w:rPr>
        <w:t>=</w:t>
      </w:r>
      <w:r>
        <w:rPr>
          <w:rStyle w:val="PageFooterChar"/>
          <w:rFonts w:ascii="Arial Narrow" w:hAnsi="Arial Narrow"/>
          <w:b w:val="0"/>
          <w:sz w:val="18"/>
          <w:szCs w:val="18"/>
        </w:rPr>
        <w:t xml:space="preserve"> </w:t>
      </w:r>
      <w:r w:rsidRPr="00B03AD9">
        <w:rPr>
          <w:rStyle w:val="PageFooterChar"/>
          <w:rFonts w:ascii="Arial Narrow" w:hAnsi="Arial Narrow"/>
          <w:b w:val="0"/>
          <w:sz w:val="18"/>
          <w:szCs w:val="18"/>
        </w:rPr>
        <w:t>overall survival</w:t>
      </w:r>
      <w:r>
        <w:rPr>
          <w:rStyle w:val="PageFooterChar"/>
          <w:rFonts w:ascii="Arial Narrow" w:hAnsi="Arial Narrow"/>
          <w:b w:val="0"/>
          <w:sz w:val="18"/>
          <w:szCs w:val="18"/>
        </w:rPr>
        <w:t>; QALY = quality adjusted life year</w:t>
      </w:r>
    </w:p>
    <w:p w:rsidR="003F0C4D" w:rsidRPr="003F0C4D" w:rsidRDefault="003F0C4D" w:rsidP="003F0C4D">
      <w:pPr>
        <w:rPr>
          <w:rStyle w:val="PageFooterChar"/>
          <w:rFonts w:cs="Calibri"/>
          <w:b w:val="0"/>
        </w:rPr>
      </w:pPr>
    </w:p>
    <w:p w:rsidR="00EC08F0" w:rsidRPr="003F0C4D" w:rsidRDefault="003F0C4D" w:rsidP="00641FB3">
      <w:pPr>
        <w:pStyle w:val="3-BodyText"/>
        <w:rPr>
          <w:bCs/>
          <w:lang w:val="en-US"/>
        </w:rPr>
      </w:pPr>
      <w:r w:rsidRPr="003F0C4D">
        <w:rPr>
          <w:bCs/>
          <w:lang w:val="en-US"/>
        </w:rPr>
        <w:t>The major changes made to the economic model, as compared to July 2020, are outlined in the table below.</w:t>
      </w:r>
    </w:p>
    <w:p w:rsidR="003F0C4D" w:rsidRPr="003F0C4D" w:rsidRDefault="003F0C4D" w:rsidP="00786C2A">
      <w:pPr>
        <w:keepNext/>
        <w:rPr>
          <w:rFonts w:ascii="Arial Narrow" w:hAnsi="Arial Narrow"/>
          <w:b/>
          <w:sz w:val="20"/>
          <w:szCs w:val="20"/>
        </w:rPr>
      </w:pPr>
      <w:r w:rsidRPr="003F0C4D">
        <w:rPr>
          <w:rFonts w:ascii="Arial Narrow" w:hAnsi="Arial Narrow"/>
          <w:b/>
          <w:sz w:val="20"/>
          <w:szCs w:val="20"/>
        </w:rPr>
        <w:lastRenderedPageBreak/>
        <w:t xml:space="preserve">Table </w:t>
      </w:r>
      <w:r>
        <w:rPr>
          <w:rFonts w:ascii="Arial Narrow" w:hAnsi="Arial Narrow"/>
          <w:b/>
          <w:sz w:val="20"/>
          <w:szCs w:val="20"/>
        </w:rPr>
        <w:t>1</w:t>
      </w:r>
      <w:r w:rsidR="000C08E6">
        <w:rPr>
          <w:rFonts w:ascii="Arial Narrow" w:hAnsi="Arial Narrow"/>
          <w:b/>
          <w:sz w:val="20"/>
          <w:szCs w:val="20"/>
        </w:rPr>
        <w:t>2</w:t>
      </w:r>
      <w:r w:rsidRPr="003F0C4D">
        <w:rPr>
          <w:rFonts w:ascii="Arial Narrow" w:hAnsi="Arial Narrow"/>
          <w:b/>
          <w:sz w:val="20"/>
          <w:szCs w:val="20"/>
        </w:rPr>
        <w:t>: Changes made to the economic model in the March 2021 resubmission</w:t>
      </w:r>
    </w:p>
    <w:tbl>
      <w:tblPr>
        <w:tblStyle w:val="TableGrid"/>
        <w:tblW w:w="5000" w:type="pct"/>
        <w:tblLook w:val="04A0" w:firstRow="1" w:lastRow="0" w:firstColumn="1" w:lastColumn="0" w:noHBand="0" w:noVBand="1"/>
        <w:tblCaption w:val="Table 12: Changes made to the economic model in the March 2021 resubmission"/>
      </w:tblPr>
      <w:tblGrid>
        <w:gridCol w:w="3005"/>
        <w:gridCol w:w="3005"/>
        <w:gridCol w:w="3007"/>
      </w:tblGrid>
      <w:tr w:rsidR="003F0C4D" w:rsidRPr="00F450C3" w:rsidTr="003F0C4D">
        <w:trPr>
          <w:cantSplit/>
          <w:tblHeader/>
        </w:trPr>
        <w:tc>
          <w:tcPr>
            <w:tcW w:w="1666" w:type="pct"/>
            <w:tcBorders>
              <w:bottom w:val="single" w:sz="4" w:space="0" w:color="auto"/>
            </w:tcBorders>
            <w:tcMar>
              <w:left w:w="28" w:type="dxa"/>
              <w:right w:w="28" w:type="dxa"/>
            </w:tcMar>
          </w:tcPr>
          <w:p w:rsidR="003F0C4D" w:rsidRPr="00470FAC" w:rsidRDefault="003F0C4D" w:rsidP="00786C2A">
            <w:pPr>
              <w:pStyle w:val="Tabletext"/>
              <w:keepNext/>
              <w:widowControl w:val="0"/>
              <w:rPr>
                <w:b/>
                <w:bCs/>
              </w:rPr>
            </w:pPr>
            <w:r w:rsidRPr="00470FAC">
              <w:rPr>
                <w:b/>
                <w:bCs/>
              </w:rPr>
              <w:t>July 2020 submission</w:t>
            </w:r>
          </w:p>
        </w:tc>
        <w:tc>
          <w:tcPr>
            <w:tcW w:w="1666" w:type="pct"/>
            <w:tcBorders>
              <w:bottom w:val="single" w:sz="4" w:space="0" w:color="auto"/>
            </w:tcBorders>
            <w:tcMar>
              <w:left w:w="28" w:type="dxa"/>
              <w:right w:w="28" w:type="dxa"/>
            </w:tcMar>
          </w:tcPr>
          <w:p w:rsidR="003F0C4D" w:rsidRPr="00470FAC" w:rsidRDefault="003F0C4D" w:rsidP="00786C2A">
            <w:pPr>
              <w:pStyle w:val="Tabletext"/>
              <w:keepNext/>
              <w:widowControl w:val="0"/>
              <w:rPr>
                <w:b/>
                <w:bCs/>
              </w:rPr>
            </w:pPr>
            <w:r w:rsidRPr="00470FAC">
              <w:rPr>
                <w:b/>
                <w:bCs/>
              </w:rPr>
              <w:t>PBAC comments</w:t>
            </w:r>
          </w:p>
        </w:tc>
        <w:tc>
          <w:tcPr>
            <w:tcW w:w="1667" w:type="pct"/>
            <w:tcBorders>
              <w:bottom w:val="single" w:sz="4" w:space="0" w:color="auto"/>
            </w:tcBorders>
            <w:tcMar>
              <w:left w:w="28" w:type="dxa"/>
              <w:right w:w="28" w:type="dxa"/>
            </w:tcMar>
          </w:tcPr>
          <w:p w:rsidR="003F0C4D" w:rsidRPr="00470FAC" w:rsidRDefault="003F0C4D" w:rsidP="00786C2A">
            <w:pPr>
              <w:pStyle w:val="Tabletext"/>
              <w:keepNext/>
              <w:widowControl w:val="0"/>
              <w:rPr>
                <w:b/>
                <w:bCs/>
                <w:color w:val="4F81BD" w:themeColor="accent1"/>
              </w:rPr>
            </w:pPr>
            <w:r w:rsidRPr="00470FAC">
              <w:rPr>
                <w:b/>
                <w:bCs/>
              </w:rPr>
              <w:t>March 2021 resubmission</w:t>
            </w:r>
          </w:p>
        </w:tc>
      </w:tr>
      <w:tr w:rsidR="003F0C4D" w:rsidRPr="003F0C4D" w:rsidTr="003F0C4D">
        <w:trPr>
          <w:cantSplit/>
        </w:trPr>
        <w:tc>
          <w:tcPr>
            <w:tcW w:w="1666" w:type="pct"/>
            <w:tcBorders>
              <w:bottom w:val="single" w:sz="4" w:space="0" w:color="auto"/>
              <w:right w:val="nil"/>
            </w:tcBorders>
            <w:tcMar>
              <w:left w:w="28" w:type="dxa"/>
              <w:right w:w="28" w:type="dxa"/>
            </w:tcMar>
          </w:tcPr>
          <w:p w:rsidR="003F0C4D" w:rsidRPr="00470FAC" w:rsidRDefault="003F0C4D" w:rsidP="00786C2A">
            <w:pPr>
              <w:pStyle w:val="Tabletext"/>
              <w:keepNext/>
              <w:widowControl w:val="0"/>
              <w:rPr>
                <w:b/>
                <w:iCs/>
              </w:rPr>
            </w:pPr>
            <w:r w:rsidRPr="00470FAC">
              <w:rPr>
                <w:b/>
                <w:iCs/>
              </w:rPr>
              <w:t>Utilities – m0CRPC</w:t>
            </w:r>
          </w:p>
        </w:tc>
        <w:tc>
          <w:tcPr>
            <w:tcW w:w="1666" w:type="pct"/>
            <w:tcBorders>
              <w:left w:val="nil"/>
              <w:bottom w:val="single" w:sz="4" w:space="0" w:color="auto"/>
              <w:right w:val="nil"/>
            </w:tcBorders>
            <w:tcMar>
              <w:left w:w="28" w:type="dxa"/>
              <w:right w:w="28" w:type="dxa"/>
            </w:tcMar>
          </w:tcPr>
          <w:p w:rsidR="003F0C4D" w:rsidRPr="00470FAC" w:rsidRDefault="003F0C4D" w:rsidP="00786C2A">
            <w:pPr>
              <w:pStyle w:val="Tabletext"/>
              <w:keepNext/>
              <w:widowControl w:val="0"/>
              <w:rPr>
                <w:b/>
              </w:rPr>
            </w:pPr>
          </w:p>
        </w:tc>
        <w:tc>
          <w:tcPr>
            <w:tcW w:w="1667" w:type="pct"/>
            <w:tcBorders>
              <w:left w:val="nil"/>
              <w:bottom w:val="single" w:sz="4" w:space="0" w:color="auto"/>
            </w:tcBorders>
            <w:tcMar>
              <w:left w:w="28" w:type="dxa"/>
              <w:right w:w="28" w:type="dxa"/>
            </w:tcMar>
          </w:tcPr>
          <w:p w:rsidR="003F0C4D" w:rsidRPr="00470FAC" w:rsidRDefault="003F0C4D" w:rsidP="00786C2A">
            <w:pPr>
              <w:pStyle w:val="Tabletext"/>
              <w:keepNext/>
              <w:widowControl w:val="0"/>
              <w:rPr>
                <w:b/>
                <w:color w:val="4F81BD" w:themeColor="accent1"/>
              </w:rPr>
            </w:pPr>
          </w:p>
        </w:tc>
      </w:tr>
      <w:tr w:rsidR="003F0C4D" w:rsidRPr="00F450C3" w:rsidTr="003F0C4D">
        <w:trPr>
          <w:cantSplit/>
        </w:trPr>
        <w:tc>
          <w:tcPr>
            <w:tcW w:w="1666" w:type="pct"/>
            <w:tcBorders>
              <w:bottom w:val="single" w:sz="4" w:space="0" w:color="auto"/>
            </w:tcBorders>
            <w:tcMar>
              <w:left w:w="28" w:type="dxa"/>
              <w:right w:w="28" w:type="dxa"/>
            </w:tcMar>
          </w:tcPr>
          <w:p w:rsidR="003F0C4D" w:rsidRPr="00470FAC" w:rsidRDefault="003F0C4D" w:rsidP="00786C2A">
            <w:pPr>
              <w:pStyle w:val="Tabletext"/>
              <w:keepNext/>
              <w:widowControl w:val="0"/>
            </w:pPr>
            <w:r w:rsidRPr="00470FAC">
              <w:t xml:space="preserve">The values used in the m0CRPC state were 0.816 for darolutamide and 0.807 for SOC. </w:t>
            </w:r>
          </w:p>
        </w:tc>
        <w:tc>
          <w:tcPr>
            <w:tcW w:w="1666" w:type="pct"/>
            <w:tcBorders>
              <w:bottom w:val="single" w:sz="4" w:space="0" w:color="auto"/>
            </w:tcBorders>
            <w:tcMar>
              <w:left w:w="28" w:type="dxa"/>
              <w:right w:w="28" w:type="dxa"/>
            </w:tcMar>
          </w:tcPr>
          <w:p w:rsidR="003F0C4D" w:rsidRPr="00470FAC" w:rsidRDefault="003F0C4D" w:rsidP="00786C2A">
            <w:pPr>
              <w:pStyle w:val="Tabletext"/>
              <w:keepNext/>
              <w:widowControl w:val="0"/>
            </w:pPr>
            <w:r w:rsidRPr="00470FAC">
              <w:t>There were no clinically meaningful differences across the darolutamide and SOC arms for any of the QoL measures [para 7.9].</w:t>
            </w:r>
          </w:p>
          <w:p w:rsidR="003F0C4D" w:rsidRPr="00470FAC" w:rsidRDefault="003F0C4D" w:rsidP="00786C2A">
            <w:pPr>
              <w:pStyle w:val="Tabletext"/>
              <w:keepNext/>
              <w:widowControl w:val="0"/>
            </w:pPr>
            <w:r w:rsidRPr="00470FAC">
              <w:t>The same utility value should be applied to all patients in the m0CRPC health state [para 7.14].</w:t>
            </w:r>
          </w:p>
        </w:tc>
        <w:tc>
          <w:tcPr>
            <w:tcW w:w="1667" w:type="pct"/>
            <w:tcBorders>
              <w:bottom w:val="single" w:sz="4" w:space="0" w:color="auto"/>
            </w:tcBorders>
            <w:tcMar>
              <w:left w:w="28" w:type="dxa"/>
              <w:right w:w="28" w:type="dxa"/>
            </w:tcMar>
          </w:tcPr>
          <w:p w:rsidR="003F0C4D" w:rsidRPr="00470FAC" w:rsidRDefault="003F0C4D" w:rsidP="00786C2A">
            <w:pPr>
              <w:pStyle w:val="Tabletext"/>
              <w:keepNext/>
              <w:widowControl w:val="0"/>
            </w:pPr>
            <w:r w:rsidRPr="00470FAC">
              <w:t>The same utility value was applied to both arms in the m0CRPC health state (0.813).</w:t>
            </w:r>
            <w:r w:rsidR="00BE5946" w:rsidRPr="00470FAC">
              <w:t xml:space="preserve"> This was appropriate.</w:t>
            </w:r>
          </w:p>
        </w:tc>
      </w:tr>
      <w:tr w:rsidR="003F0C4D" w:rsidRPr="003F0C4D" w:rsidTr="003F0C4D">
        <w:trPr>
          <w:cantSplit/>
        </w:trPr>
        <w:tc>
          <w:tcPr>
            <w:tcW w:w="1666" w:type="pct"/>
            <w:tcBorders>
              <w:right w:val="nil"/>
            </w:tcBorders>
            <w:tcMar>
              <w:left w:w="28" w:type="dxa"/>
              <w:right w:w="28" w:type="dxa"/>
            </w:tcMar>
          </w:tcPr>
          <w:p w:rsidR="003F0C4D" w:rsidRPr="00470FAC" w:rsidRDefault="003F0C4D" w:rsidP="00786C2A">
            <w:pPr>
              <w:pStyle w:val="Tabletext"/>
              <w:keepNext/>
              <w:widowControl w:val="0"/>
              <w:rPr>
                <w:b/>
                <w:iCs/>
              </w:rPr>
            </w:pPr>
            <w:r w:rsidRPr="00470FAC">
              <w:rPr>
                <w:b/>
                <w:iCs/>
              </w:rPr>
              <w:t>Utilities - mCRPC</w:t>
            </w:r>
          </w:p>
        </w:tc>
        <w:tc>
          <w:tcPr>
            <w:tcW w:w="1666" w:type="pct"/>
            <w:tcBorders>
              <w:left w:val="nil"/>
              <w:right w:val="nil"/>
            </w:tcBorders>
            <w:tcMar>
              <w:left w:w="28" w:type="dxa"/>
              <w:right w:w="28" w:type="dxa"/>
            </w:tcMar>
          </w:tcPr>
          <w:p w:rsidR="003F0C4D" w:rsidRPr="00470FAC" w:rsidRDefault="003F0C4D" w:rsidP="00786C2A">
            <w:pPr>
              <w:pStyle w:val="Tabletext"/>
              <w:keepNext/>
              <w:widowControl w:val="0"/>
              <w:rPr>
                <w:b/>
              </w:rPr>
            </w:pPr>
          </w:p>
        </w:tc>
        <w:tc>
          <w:tcPr>
            <w:tcW w:w="1667" w:type="pct"/>
            <w:tcBorders>
              <w:left w:val="nil"/>
            </w:tcBorders>
            <w:tcMar>
              <w:left w:w="28" w:type="dxa"/>
              <w:right w:w="28" w:type="dxa"/>
            </w:tcMar>
          </w:tcPr>
          <w:p w:rsidR="003F0C4D" w:rsidRPr="00470FAC" w:rsidRDefault="003F0C4D" w:rsidP="00786C2A">
            <w:pPr>
              <w:pStyle w:val="Tabletext"/>
              <w:keepNext/>
              <w:widowControl w:val="0"/>
              <w:rPr>
                <w:b/>
                <w:color w:val="4F81BD" w:themeColor="accent1"/>
              </w:rPr>
            </w:pPr>
          </w:p>
        </w:tc>
      </w:tr>
      <w:tr w:rsidR="003F0C4D" w:rsidRPr="00F450C3" w:rsidTr="003F0C4D">
        <w:trPr>
          <w:cantSplit/>
        </w:trPr>
        <w:tc>
          <w:tcPr>
            <w:tcW w:w="1666" w:type="pct"/>
            <w:tcBorders>
              <w:bottom w:val="single" w:sz="4" w:space="0" w:color="auto"/>
            </w:tcBorders>
            <w:tcMar>
              <w:left w:w="28" w:type="dxa"/>
              <w:right w:w="28" w:type="dxa"/>
            </w:tcMar>
          </w:tcPr>
          <w:p w:rsidR="003F0C4D" w:rsidRPr="00470FAC" w:rsidRDefault="003F0C4D" w:rsidP="00786C2A">
            <w:pPr>
              <w:pStyle w:val="Tabletext"/>
              <w:keepNext/>
              <w:widowControl w:val="0"/>
            </w:pPr>
            <w:r w:rsidRPr="00470FAC">
              <w:t xml:space="preserve">The values used in the mCRPC state were 0.530 for darolutamide and 0.530 for SOC. This was based on the average EQ-5D values reported in the placebo arm of the ALYSMPCA trial pre-symptomatic skeletal events. </w:t>
            </w:r>
          </w:p>
        </w:tc>
        <w:tc>
          <w:tcPr>
            <w:tcW w:w="1666" w:type="pct"/>
            <w:tcBorders>
              <w:bottom w:val="single" w:sz="4" w:space="0" w:color="auto"/>
            </w:tcBorders>
            <w:tcMar>
              <w:left w:w="28" w:type="dxa"/>
              <w:right w:w="28" w:type="dxa"/>
            </w:tcMar>
          </w:tcPr>
          <w:p w:rsidR="003F0C4D" w:rsidRPr="00470FAC" w:rsidRDefault="003F0C4D" w:rsidP="00786C2A">
            <w:pPr>
              <w:pStyle w:val="Tabletext"/>
              <w:keepNext/>
              <w:widowControl w:val="0"/>
            </w:pPr>
            <w:r w:rsidRPr="00470FAC">
              <w:t>The utility value applied for mCRPC was too low given that metastatic disease may initially be asymptomatic. The PBAC considered that 0.530 was more reflective of end stage palliation [para</w:t>
            </w:r>
            <w:r w:rsidR="006B1F2A" w:rsidRPr="00470FAC">
              <w:t xml:space="preserve"> </w:t>
            </w:r>
            <w:r w:rsidRPr="00470FAC">
              <w:t>7.14].</w:t>
            </w:r>
          </w:p>
        </w:tc>
        <w:tc>
          <w:tcPr>
            <w:tcW w:w="1667" w:type="pct"/>
            <w:tcBorders>
              <w:bottom w:val="single" w:sz="4" w:space="0" w:color="auto"/>
            </w:tcBorders>
            <w:tcMar>
              <w:left w:w="28" w:type="dxa"/>
              <w:right w:w="28" w:type="dxa"/>
            </w:tcMar>
          </w:tcPr>
          <w:p w:rsidR="003F0C4D" w:rsidRPr="00470FAC" w:rsidRDefault="003F0C4D" w:rsidP="00786C2A">
            <w:pPr>
              <w:pStyle w:val="Tabletext"/>
              <w:keepNext/>
              <w:widowControl w:val="0"/>
            </w:pPr>
            <w:r w:rsidRPr="00470FAC">
              <w:t>A utility value of 0.56</w:t>
            </w:r>
            <w:r w:rsidR="00BE5946" w:rsidRPr="00470FAC">
              <w:t>0</w:t>
            </w:r>
            <w:r w:rsidRPr="00470FAC">
              <w:t xml:space="preserve"> was applied to the mCRPC health state. This was the average utility value reported in mCRPC patients </w:t>
            </w:r>
            <w:r w:rsidR="00F36561">
              <w:t xml:space="preserve">at 3, 6 and </w:t>
            </w:r>
            <w:r w:rsidRPr="00470FAC">
              <w:t xml:space="preserve">9 months post-baseline in Sullivan, the study ESC (Wu being a secondary source) cited as being an appropriate source of mCRPC health state utilities. </w:t>
            </w:r>
            <w:r w:rsidR="00BE5946" w:rsidRPr="00470FAC">
              <w:t>The value of 0.560 remained considerably lower than the value applied to the m0CRPC health state of 0.813.</w:t>
            </w:r>
          </w:p>
        </w:tc>
      </w:tr>
      <w:tr w:rsidR="003F0C4D" w:rsidRPr="003F0C4D" w:rsidTr="003F0C4D">
        <w:trPr>
          <w:cantSplit/>
        </w:trPr>
        <w:tc>
          <w:tcPr>
            <w:tcW w:w="1666" w:type="pct"/>
            <w:tcBorders>
              <w:right w:val="nil"/>
            </w:tcBorders>
            <w:tcMar>
              <w:left w:w="28" w:type="dxa"/>
              <w:right w:w="28" w:type="dxa"/>
            </w:tcMar>
          </w:tcPr>
          <w:p w:rsidR="003F0C4D" w:rsidRPr="00470FAC" w:rsidRDefault="003F0C4D" w:rsidP="00786C2A">
            <w:pPr>
              <w:pStyle w:val="Tabletext"/>
              <w:keepNext/>
              <w:widowControl w:val="0"/>
              <w:rPr>
                <w:b/>
                <w:iCs/>
              </w:rPr>
            </w:pPr>
            <w:r w:rsidRPr="00470FAC">
              <w:rPr>
                <w:b/>
                <w:iCs/>
              </w:rPr>
              <w:t xml:space="preserve">Extrapolation </w:t>
            </w:r>
          </w:p>
        </w:tc>
        <w:tc>
          <w:tcPr>
            <w:tcW w:w="1666" w:type="pct"/>
            <w:tcBorders>
              <w:left w:val="nil"/>
              <w:right w:val="nil"/>
            </w:tcBorders>
            <w:tcMar>
              <w:left w:w="28" w:type="dxa"/>
              <w:right w:w="28" w:type="dxa"/>
            </w:tcMar>
          </w:tcPr>
          <w:p w:rsidR="003F0C4D" w:rsidRPr="00470FAC" w:rsidRDefault="003F0C4D" w:rsidP="00786C2A">
            <w:pPr>
              <w:pStyle w:val="Tabletext"/>
              <w:keepNext/>
              <w:widowControl w:val="0"/>
              <w:rPr>
                <w:b/>
              </w:rPr>
            </w:pPr>
          </w:p>
        </w:tc>
        <w:tc>
          <w:tcPr>
            <w:tcW w:w="1667" w:type="pct"/>
            <w:tcBorders>
              <w:left w:val="nil"/>
            </w:tcBorders>
            <w:tcMar>
              <w:left w:w="28" w:type="dxa"/>
              <w:right w:w="28" w:type="dxa"/>
            </w:tcMar>
          </w:tcPr>
          <w:p w:rsidR="003F0C4D" w:rsidRPr="00470FAC" w:rsidRDefault="003F0C4D" w:rsidP="00786C2A">
            <w:pPr>
              <w:pStyle w:val="Tabletext"/>
              <w:keepNext/>
              <w:widowControl w:val="0"/>
              <w:rPr>
                <w:b/>
              </w:rPr>
            </w:pPr>
          </w:p>
        </w:tc>
      </w:tr>
      <w:tr w:rsidR="003F0C4D" w:rsidRPr="00522E47" w:rsidTr="003F0C4D">
        <w:trPr>
          <w:cantSplit/>
        </w:trPr>
        <w:tc>
          <w:tcPr>
            <w:tcW w:w="1666" w:type="pct"/>
            <w:vMerge w:val="restart"/>
            <w:tcMar>
              <w:left w:w="28" w:type="dxa"/>
              <w:right w:w="28" w:type="dxa"/>
            </w:tcMar>
          </w:tcPr>
          <w:p w:rsidR="003F0C4D" w:rsidRPr="00470FAC" w:rsidRDefault="003F0C4D" w:rsidP="00786C2A">
            <w:pPr>
              <w:pStyle w:val="Tabletext"/>
              <w:keepNext/>
              <w:widowControl w:val="0"/>
            </w:pPr>
            <w:r w:rsidRPr="00470FAC">
              <w:t xml:space="preserve">Weibull parametric extrapolations were applied </w:t>
            </w:r>
            <w:r w:rsidR="00E73377" w:rsidRPr="00470FAC">
              <w:t xml:space="preserve">independently </w:t>
            </w:r>
            <w:r w:rsidRPr="00470FAC">
              <w:t xml:space="preserve">to the OS curves (ITT) for both the darolutamide and SOC arms. Updated OS results (29.1 months median follow-up), which were unadjusted for treatment switching were used.  </w:t>
            </w:r>
          </w:p>
          <w:p w:rsidR="003F0C4D" w:rsidRPr="00470FAC" w:rsidRDefault="003F0C4D" w:rsidP="00786C2A">
            <w:pPr>
              <w:pStyle w:val="Tabletext"/>
              <w:keepNext/>
              <w:widowControl w:val="0"/>
            </w:pPr>
          </w:p>
          <w:p w:rsidR="003F0C4D" w:rsidRPr="00470FAC" w:rsidRDefault="003F0C4D" w:rsidP="00786C2A">
            <w:pPr>
              <w:pStyle w:val="Tabletext"/>
              <w:keepNext/>
              <w:widowControl w:val="0"/>
            </w:pPr>
            <w:r w:rsidRPr="00470FAC">
              <w:t>The number of QALYs gained in the:</w:t>
            </w:r>
          </w:p>
          <w:p w:rsidR="003F0C4D" w:rsidRPr="00470FAC" w:rsidRDefault="003F0C4D" w:rsidP="00786C2A">
            <w:pPr>
              <w:pStyle w:val="Tabletext"/>
              <w:keepNext/>
              <w:widowControl w:val="0"/>
            </w:pPr>
            <w:r w:rsidRPr="00470FAC">
              <w:t>- trial period = 0.2494 (25%);</w:t>
            </w:r>
          </w:p>
          <w:p w:rsidR="003F0C4D" w:rsidRPr="00470FAC" w:rsidRDefault="003F0C4D" w:rsidP="00786C2A">
            <w:pPr>
              <w:pStyle w:val="Tabletext"/>
              <w:keepNext/>
              <w:widowControl w:val="0"/>
            </w:pPr>
            <w:r w:rsidRPr="00470FAC">
              <w:t>- extrapolated period = 0.7406 (75%)</w:t>
            </w:r>
          </w:p>
        </w:tc>
        <w:tc>
          <w:tcPr>
            <w:tcW w:w="1666" w:type="pct"/>
            <w:tcMar>
              <w:left w:w="28" w:type="dxa"/>
              <w:right w:w="28" w:type="dxa"/>
            </w:tcMar>
          </w:tcPr>
          <w:p w:rsidR="003F0C4D" w:rsidRPr="00470FAC" w:rsidRDefault="003F0C4D" w:rsidP="00786C2A">
            <w:pPr>
              <w:pStyle w:val="Tabletext"/>
              <w:keepNext/>
              <w:widowControl w:val="0"/>
            </w:pPr>
            <w:r w:rsidRPr="00470FAC">
              <w:t>The OS parametric extrapolations were highly optimistic [para 7.13].</w:t>
            </w:r>
          </w:p>
          <w:p w:rsidR="003F0C4D" w:rsidRPr="00470FAC" w:rsidRDefault="003F0C4D" w:rsidP="00786C2A">
            <w:pPr>
              <w:pStyle w:val="Tabletext"/>
              <w:keepNext/>
              <w:widowControl w:val="0"/>
            </w:pPr>
            <w:r w:rsidRPr="00470FAC">
              <w:t>A revised economic model should incorporate more clinically appropriate methods of MFS and OS extrapolation [para 7.17].</w:t>
            </w:r>
          </w:p>
        </w:tc>
        <w:tc>
          <w:tcPr>
            <w:tcW w:w="1667" w:type="pct"/>
            <w:tcMar>
              <w:left w:w="28" w:type="dxa"/>
              <w:right w:w="28" w:type="dxa"/>
            </w:tcMar>
          </w:tcPr>
          <w:p w:rsidR="003F0C4D" w:rsidRPr="00470FAC" w:rsidRDefault="003F0C4D" w:rsidP="00786C2A">
            <w:pPr>
              <w:pStyle w:val="Tabletext"/>
              <w:keepNext/>
              <w:widowControl w:val="0"/>
            </w:pPr>
            <w:r w:rsidRPr="00470FAC">
              <w:t xml:space="preserve">Trial-based evidence was applied for 0-54 months for OS in the revised model (July 2020 model applied trial-based evidence for 0-44 months for OS). </w:t>
            </w:r>
          </w:p>
          <w:p w:rsidR="00B42942" w:rsidRPr="00470FAC" w:rsidRDefault="003F0C4D" w:rsidP="00786C2A">
            <w:pPr>
              <w:pStyle w:val="Tabletext"/>
              <w:keepNext/>
              <w:widowControl w:val="0"/>
            </w:pPr>
            <w:r w:rsidRPr="00470FAC">
              <w:t>OS extrapolation in the SOC arm remained based on the Weibull parametric model. For the darolutamide arm, the trial-based HR (0.685) was applied to the SOC curve.</w:t>
            </w:r>
            <w:r w:rsidR="00BE5946" w:rsidRPr="00470FAC">
              <w:t xml:space="preserve"> Noting that the OS data from ARAMIS remained immature, the reliability of this approach was uncertain</w:t>
            </w:r>
            <w:r w:rsidR="00190FF2" w:rsidRPr="00470FAC">
              <w:t>.</w:t>
            </w:r>
            <w:r w:rsidR="00B42942" w:rsidRPr="00470FAC">
              <w:t xml:space="preserve"> </w:t>
            </w:r>
          </w:p>
          <w:p w:rsidR="003F0C4D" w:rsidRPr="00470FAC" w:rsidRDefault="00B42942" w:rsidP="00786C2A">
            <w:pPr>
              <w:pStyle w:val="Tabletext"/>
              <w:keepNext/>
              <w:widowControl w:val="0"/>
            </w:pPr>
            <w:r w:rsidRPr="00470FAC">
              <w:t xml:space="preserve">MFS extrapolation remained unchanged </w:t>
            </w:r>
            <w:r w:rsidR="000A07B0" w:rsidRPr="00470FAC">
              <w:t>with exponential parametric functions independently fitted to each arm</w:t>
            </w:r>
            <w:r w:rsidRPr="00470FAC">
              <w:t>.</w:t>
            </w:r>
          </w:p>
        </w:tc>
      </w:tr>
      <w:tr w:rsidR="003F0C4D" w:rsidRPr="00522E47" w:rsidTr="003F0C4D">
        <w:trPr>
          <w:cantSplit/>
        </w:trPr>
        <w:tc>
          <w:tcPr>
            <w:tcW w:w="1666" w:type="pct"/>
            <w:vMerge/>
            <w:tcMar>
              <w:left w:w="28" w:type="dxa"/>
              <w:right w:w="28" w:type="dxa"/>
            </w:tcMar>
          </w:tcPr>
          <w:p w:rsidR="003F0C4D" w:rsidRPr="00470FAC" w:rsidRDefault="003F0C4D" w:rsidP="003F0C4D">
            <w:pPr>
              <w:pStyle w:val="Tabletext"/>
              <w:widowControl w:val="0"/>
            </w:pPr>
          </w:p>
        </w:tc>
        <w:tc>
          <w:tcPr>
            <w:tcW w:w="1666" w:type="pct"/>
            <w:tcMar>
              <w:left w:w="28" w:type="dxa"/>
              <w:right w:w="28" w:type="dxa"/>
            </w:tcMar>
          </w:tcPr>
          <w:p w:rsidR="003F0C4D" w:rsidRPr="00470FAC" w:rsidRDefault="003F0C4D" w:rsidP="00F829E4">
            <w:pPr>
              <w:pStyle w:val="Tabletext"/>
              <w:widowControl w:val="0"/>
            </w:pPr>
            <w:r w:rsidRPr="00470FAC">
              <w:t xml:space="preserve">The difference in OS at 10 years (20%) was substantially larger than that observed in the ARAMIS trial (5.7% at 3 years) [para 7.13]. </w:t>
            </w:r>
          </w:p>
        </w:tc>
        <w:tc>
          <w:tcPr>
            <w:tcW w:w="1667" w:type="pct"/>
            <w:tcMar>
              <w:left w:w="28" w:type="dxa"/>
              <w:right w:w="28" w:type="dxa"/>
            </w:tcMar>
          </w:tcPr>
          <w:p w:rsidR="003F0C4D" w:rsidRPr="00470FAC" w:rsidRDefault="003F0C4D" w:rsidP="00595E32">
            <w:pPr>
              <w:pStyle w:val="Tabletext"/>
              <w:widowControl w:val="0"/>
            </w:pPr>
            <w:r w:rsidRPr="00470FAC">
              <w:t>The difference in OS at 10 years is now 11%</w:t>
            </w:r>
            <w:r w:rsidR="00162A3E" w:rsidRPr="00470FAC">
              <w:t>. Kaplan-Meier OS data were used until 54 months. T</w:t>
            </w:r>
            <w:r w:rsidRPr="00470FAC">
              <w:t xml:space="preserve">he maximum survival benefit </w:t>
            </w:r>
            <w:r w:rsidR="00162A3E" w:rsidRPr="00470FAC">
              <w:t xml:space="preserve">in the model </w:t>
            </w:r>
            <w:r w:rsidRPr="00470FAC">
              <w:t xml:space="preserve">occurs at 54 months.  </w:t>
            </w:r>
          </w:p>
        </w:tc>
      </w:tr>
      <w:tr w:rsidR="003F0C4D" w:rsidRPr="00522E47" w:rsidTr="003F0C4D">
        <w:trPr>
          <w:cantSplit/>
        </w:trPr>
        <w:tc>
          <w:tcPr>
            <w:tcW w:w="1666" w:type="pct"/>
            <w:vMerge/>
            <w:tcMar>
              <w:left w:w="28" w:type="dxa"/>
              <w:right w:w="28" w:type="dxa"/>
            </w:tcMar>
          </w:tcPr>
          <w:p w:rsidR="003F0C4D" w:rsidRPr="00470FAC" w:rsidRDefault="003F0C4D" w:rsidP="003F0C4D">
            <w:pPr>
              <w:pStyle w:val="Tabletext"/>
              <w:widowControl w:val="0"/>
            </w:pPr>
          </w:p>
        </w:tc>
        <w:tc>
          <w:tcPr>
            <w:tcW w:w="1666" w:type="pct"/>
            <w:tcMar>
              <w:left w:w="28" w:type="dxa"/>
              <w:right w:w="28" w:type="dxa"/>
            </w:tcMar>
          </w:tcPr>
          <w:p w:rsidR="003F0C4D" w:rsidRPr="00470FAC" w:rsidRDefault="003F0C4D" w:rsidP="00F829E4">
            <w:pPr>
              <w:pStyle w:val="Tabletext"/>
              <w:widowControl w:val="0"/>
            </w:pPr>
            <w:r w:rsidRPr="00470FAC">
              <w:t xml:space="preserve">The model predicted 30% of patients treated with darolutamide would be alive at 10 years. This was unlikely given the prognosis of patients with mCRPC and the average age at entry to the model was 73.6 years [para 7.13]. </w:t>
            </w:r>
          </w:p>
        </w:tc>
        <w:tc>
          <w:tcPr>
            <w:tcW w:w="1667" w:type="pct"/>
            <w:tcMar>
              <w:left w:w="28" w:type="dxa"/>
              <w:right w:w="28" w:type="dxa"/>
            </w:tcMar>
          </w:tcPr>
          <w:p w:rsidR="003F0C4D" w:rsidRPr="00470FAC" w:rsidRDefault="003F0C4D" w:rsidP="00F829E4">
            <w:pPr>
              <w:pStyle w:val="Tabletext"/>
              <w:widowControl w:val="0"/>
            </w:pPr>
            <w:r w:rsidRPr="00470FAC">
              <w:t xml:space="preserve">The revised model predicted that approximately </w:t>
            </w:r>
            <w:r w:rsidR="00F829E4" w:rsidRPr="00470FAC">
              <w:t>20</w:t>
            </w:r>
            <w:r w:rsidRPr="00470FAC">
              <w:t>% of darolutamide patients would be alive at 10 years and, as was the case in the original submission, age matched general population mortality rates to account for impact of age on background mortality.</w:t>
            </w:r>
          </w:p>
          <w:p w:rsidR="005073EF" w:rsidRPr="00470FAC" w:rsidRDefault="005073EF" w:rsidP="005073EF">
            <w:pPr>
              <w:pStyle w:val="Tabletext"/>
              <w:widowControl w:val="0"/>
              <w:rPr>
                <w:color w:val="4F81BD" w:themeColor="accent1"/>
              </w:rPr>
            </w:pPr>
            <w:r w:rsidRPr="00470FAC">
              <w:rPr>
                <w:lang w:val="en-US"/>
              </w:rPr>
              <w:t>The resubmission provided information to attempt to validate</w:t>
            </w:r>
            <w:r w:rsidRPr="00470FAC">
              <w:t xml:space="preserve"> </w:t>
            </w:r>
            <w:r w:rsidRPr="00470FAC">
              <w:rPr>
                <w:lang w:val="en-US"/>
              </w:rPr>
              <w:t>the clinical plausibility of the OS extrapolations.</w:t>
            </w:r>
          </w:p>
        </w:tc>
      </w:tr>
      <w:tr w:rsidR="003F0C4D" w:rsidRPr="00522E47" w:rsidTr="003F0C4D">
        <w:trPr>
          <w:cantSplit/>
          <w:trHeight w:val="928"/>
        </w:trPr>
        <w:tc>
          <w:tcPr>
            <w:tcW w:w="1666" w:type="pct"/>
            <w:vMerge/>
            <w:tcMar>
              <w:left w:w="28" w:type="dxa"/>
              <w:right w:w="28" w:type="dxa"/>
            </w:tcMar>
          </w:tcPr>
          <w:p w:rsidR="003F0C4D" w:rsidRPr="00470FAC" w:rsidRDefault="003F0C4D" w:rsidP="003F0C4D">
            <w:pPr>
              <w:pStyle w:val="Tabletext"/>
              <w:widowControl w:val="0"/>
            </w:pPr>
          </w:p>
        </w:tc>
        <w:tc>
          <w:tcPr>
            <w:tcW w:w="1666" w:type="pct"/>
            <w:tcMar>
              <w:left w:w="28" w:type="dxa"/>
              <w:right w:w="28" w:type="dxa"/>
            </w:tcMar>
          </w:tcPr>
          <w:p w:rsidR="003F0C4D" w:rsidRPr="00470FAC" w:rsidRDefault="003F0C4D" w:rsidP="003F0C4D">
            <w:pPr>
              <w:pStyle w:val="Tabletext"/>
              <w:widowControl w:val="0"/>
            </w:pPr>
            <w:r w:rsidRPr="00470FAC">
              <w:t xml:space="preserve">The majority of the life-years and QALYs were gained were in the extrapolated period of the model [para 6.42]. </w:t>
            </w:r>
          </w:p>
        </w:tc>
        <w:tc>
          <w:tcPr>
            <w:tcW w:w="1667" w:type="pct"/>
            <w:tcMar>
              <w:left w:w="28" w:type="dxa"/>
              <w:right w:w="28" w:type="dxa"/>
            </w:tcMar>
          </w:tcPr>
          <w:p w:rsidR="003F0C4D" w:rsidRPr="00470FAC" w:rsidRDefault="003F0C4D" w:rsidP="003F0C4D">
            <w:pPr>
              <w:pStyle w:val="Tabletext"/>
              <w:widowControl w:val="0"/>
            </w:pPr>
            <w:r w:rsidRPr="00470FAC">
              <w:t>The number of QALYs gained in the:</w:t>
            </w:r>
          </w:p>
          <w:p w:rsidR="003F0C4D" w:rsidRPr="00470FAC" w:rsidRDefault="003F0C4D" w:rsidP="003F0C4D">
            <w:pPr>
              <w:pStyle w:val="Tabletext"/>
              <w:widowControl w:val="0"/>
            </w:pPr>
            <w:r w:rsidRPr="00470FAC">
              <w:t>- trial period = 0.3566 (39%);</w:t>
            </w:r>
          </w:p>
          <w:p w:rsidR="003F0C4D" w:rsidRPr="00470FAC" w:rsidRDefault="003F0C4D" w:rsidP="003F0C4D">
            <w:pPr>
              <w:pStyle w:val="Tabletext"/>
              <w:widowControl w:val="0"/>
            </w:pPr>
            <w:r w:rsidRPr="00470FAC">
              <w:t xml:space="preserve">- extrapolated period = 0.5551 (61%). </w:t>
            </w:r>
          </w:p>
          <w:p w:rsidR="000A07B0" w:rsidRPr="00470FAC" w:rsidRDefault="000A07B0" w:rsidP="001F2E72">
            <w:pPr>
              <w:pStyle w:val="Tabletext"/>
              <w:widowControl w:val="0"/>
              <w:rPr>
                <w:color w:val="4F81BD" w:themeColor="accent1"/>
              </w:rPr>
            </w:pPr>
            <w:r w:rsidRPr="00470FAC">
              <w:t>However,</w:t>
            </w:r>
            <w:r w:rsidR="00162A3E" w:rsidRPr="00470FAC">
              <w:t xml:space="preserve"> some of</w:t>
            </w:r>
            <w:r w:rsidRPr="00470FAC">
              <w:t xml:space="preserve"> the change in the QALYs gained in the trial versus </w:t>
            </w:r>
            <w:r w:rsidR="003F5EE9">
              <w:t xml:space="preserve">the </w:t>
            </w:r>
            <w:r w:rsidRPr="00470FAC">
              <w:t>extrapolated period w</w:t>
            </w:r>
            <w:r w:rsidR="001F2E72" w:rsidRPr="00470FAC">
              <w:t>ere</w:t>
            </w:r>
            <w:r w:rsidRPr="00470FAC">
              <w:t xml:space="preserve"> due to the resubmission’s use of Kaplan-Meier data for a longer period of time (when few patients remained at risk), </w:t>
            </w:r>
          </w:p>
        </w:tc>
      </w:tr>
    </w:tbl>
    <w:p w:rsidR="003F0C4D" w:rsidRPr="003F0C4D" w:rsidRDefault="003F0C4D" w:rsidP="003F0C4D">
      <w:pPr>
        <w:rPr>
          <w:rFonts w:ascii="Arial Narrow" w:hAnsi="Arial Narrow"/>
          <w:sz w:val="18"/>
          <w:szCs w:val="18"/>
        </w:rPr>
      </w:pPr>
      <w:r w:rsidRPr="003F0C4D">
        <w:rPr>
          <w:rFonts w:ascii="Arial Narrow" w:hAnsi="Arial Narrow"/>
          <w:sz w:val="18"/>
          <w:szCs w:val="18"/>
        </w:rPr>
        <w:t>Source: Table 3-1, pp203-204 of the resubmission</w:t>
      </w:r>
    </w:p>
    <w:p w:rsidR="003F0C4D" w:rsidRPr="003F0C4D" w:rsidRDefault="003F0C4D" w:rsidP="003F0C4D">
      <w:pPr>
        <w:rPr>
          <w:rFonts w:ascii="Arial Narrow" w:hAnsi="Arial Narrow"/>
          <w:sz w:val="18"/>
          <w:szCs w:val="18"/>
        </w:rPr>
      </w:pPr>
      <w:r w:rsidRPr="003F0C4D">
        <w:rPr>
          <w:rFonts w:ascii="Arial Narrow" w:hAnsi="Arial Narrow"/>
          <w:sz w:val="18"/>
          <w:szCs w:val="18"/>
        </w:rPr>
        <w:t>ESC = Economic Sub-Committee; HR = hazard ratio; ITT = intention to treat; m0CRPC = non-metastatic castration resistant prostate cancer; mCRPC = metastatic castration resistant prostate cancer; OS = overall survival; QALY = quality adjusted life year; QoL = quality of life; SOC = standard of care</w:t>
      </w:r>
    </w:p>
    <w:p w:rsidR="003F0C4D" w:rsidRDefault="003F0C4D" w:rsidP="003F0C4D">
      <w:pPr>
        <w:rPr>
          <w:lang w:val="en-US"/>
        </w:rPr>
      </w:pPr>
    </w:p>
    <w:p w:rsidR="00B711ED" w:rsidRDefault="00B711ED" w:rsidP="00B711ED">
      <w:pPr>
        <w:pStyle w:val="3-BodyText"/>
        <w:rPr>
          <w:bCs/>
          <w:lang w:val="en-US"/>
        </w:rPr>
      </w:pPr>
      <w:r w:rsidRPr="00470FAC">
        <w:rPr>
          <w:lang w:val="en-US"/>
        </w:rPr>
        <w:t xml:space="preserve">In the July 2020 submission, Weibull parametric extrapolations were applied independently to the OS curves for both the darolutamide and SOC arms. </w:t>
      </w:r>
      <w:r w:rsidRPr="00470FAC">
        <w:rPr>
          <w:bCs/>
          <w:lang w:val="en-US"/>
        </w:rPr>
        <w:t>However, in July 2020, the ESC had noted that the Gompertz function had visibly good fit for the Kaplan</w:t>
      </w:r>
      <w:r w:rsidR="00E476C8">
        <w:rPr>
          <w:bCs/>
          <w:lang w:val="en-US"/>
        </w:rPr>
        <w:t>-</w:t>
      </w:r>
      <w:r w:rsidRPr="00470FAC">
        <w:rPr>
          <w:bCs/>
          <w:lang w:val="en-US"/>
        </w:rPr>
        <w:t xml:space="preserve">Meier OS data, </w:t>
      </w:r>
      <w:r w:rsidR="00E476C8">
        <w:rPr>
          <w:bCs/>
          <w:lang w:val="en-US"/>
        </w:rPr>
        <w:t>and</w:t>
      </w:r>
      <w:r w:rsidR="00E476C8" w:rsidRPr="00470FAC">
        <w:rPr>
          <w:bCs/>
          <w:lang w:val="en-US"/>
        </w:rPr>
        <w:t xml:space="preserve"> </w:t>
      </w:r>
      <w:r w:rsidRPr="00470FAC">
        <w:rPr>
          <w:bCs/>
          <w:lang w:val="en-US"/>
        </w:rPr>
        <w:t>was more conservative than the Weibull model</w:t>
      </w:r>
      <w:r w:rsidR="00CA1BEB">
        <w:rPr>
          <w:bCs/>
          <w:lang w:val="en-US"/>
        </w:rPr>
        <w:t xml:space="preserve">. </w:t>
      </w:r>
      <w:r w:rsidRPr="00470FAC">
        <w:rPr>
          <w:bCs/>
          <w:lang w:val="en-US"/>
        </w:rPr>
        <w:t>The PBAC considered that given the uncertainty around the magnitude of survival benefit and immature trial data, a conservative approach to extrapolation may be appropriate (para</w:t>
      </w:r>
      <w:r w:rsidR="001F2E72" w:rsidRPr="00470FAC">
        <w:rPr>
          <w:bCs/>
          <w:lang w:val="en-US"/>
        </w:rPr>
        <w:t>graph</w:t>
      </w:r>
      <w:r w:rsidRPr="00470FAC">
        <w:rPr>
          <w:bCs/>
          <w:lang w:val="en-US"/>
        </w:rPr>
        <w:t xml:space="preserve"> 6.46, darolutamide </w:t>
      </w:r>
      <w:r w:rsidR="00DA4D35" w:rsidRPr="00470FAC">
        <w:rPr>
          <w:bCs/>
          <w:lang w:val="en-US"/>
        </w:rPr>
        <w:t>PSD</w:t>
      </w:r>
      <w:r w:rsidRPr="00470FAC">
        <w:rPr>
          <w:bCs/>
          <w:lang w:val="en-US"/>
        </w:rPr>
        <w:t xml:space="preserve">, July 2020). </w:t>
      </w:r>
    </w:p>
    <w:p w:rsidR="00DA4D35" w:rsidRPr="006A65C9" w:rsidRDefault="00B711ED" w:rsidP="00DA4D35">
      <w:pPr>
        <w:pStyle w:val="3-BodyText"/>
        <w:rPr>
          <w:lang w:val="en-US"/>
        </w:rPr>
      </w:pPr>
      <w:r w:rsidRPr="00470FAC">
        <w:rPr>
          <w:lang w:val="en-US"/>
        </w:rPr>
        <w:t xml:space="preserve">To address the PBAC’s concerns, the resubmission </w:t>
      </w:r>
      <w:r w:rsidR="001F2E72" w:rsidRPr="00470FAC">
        <w:rPr>
          <w:lang w:val="en-US"/>
        </w:rPr>
        <w:t xml:space="preserve">presented </w:t>
      </w:r>
      <w:r w:rsidR="00DA4D35" w:rsidRPr="00470FAC">
        <w:rPr>
          <w:lang w:val="en-US"/>
        </w:rPr>
        <w:t xml:space="preserve">a more conservative extrapolation of OS </w:t>
      </w:r>
      <w:r w:rsidR="005073EF" w:rsidRPr="00470FAC">
        <w:rPr>
          <w:lang w:val="en-US"/>
        </w:rPr>
        <w:t xml:space="preserve">in the darolutamide arm </w:t>
      </w:r>
      <w:r w:rsidR="00C17B39" w:rsidRPr="00470FAC">
        <w:rPr>
          <w:lang w:val="en-US"/>
        </w:rPr>
        <w:t xml:space="preserve">by applying </w:t>
      </w:r>
      <w:r w:rsidR="00DA4D35" w:rsidRPr="00470FAC">
        <w:rPr>
          <w:lang w:val="en-US"/>
        </w:rPr>
        <w:t xml:space="preserve">the trial-based </w:t>
      </w:r>
      <w:r w:rsidR="001F2E72" w:rsidRPr="00470FAC">
        <w:rPr>
          <w:lang w:val="en-US"/>
        </w:rPr>
        <w:t>hazard ratio</w:t>
      </w:r>
      <w:r w:rsidR="00DA4D35" w:rsidRPr="00470FAC">
        <w:rPr>
          <w:lang w:val="en-US"/>
        </w:rPr>
        <w:t xml:space="preserve"> of 0.685</w:t>
      </w:r>
      <w:r w:rsidR="00C17B39" w:rsidRPr="00470FAC">
        <w:rPr>
          <w:lang w:val="en-US"/>
        </w:rPr>
        <w:t xml:space="preserve"> (</w:t>
      </w:r>
      <w:r w:rsidR="00DA4D35" w:rsidRPr="00470FAC">
        <w:rPr>
          <w:lang w:val="en-US"/>
        </w:rPr>
        <w:t>unadjusted for treatment switching</w:t>
      </w:r>
      <w:r w:rsidR="00C17B39" w:rsidRPr="00470FAC">
        <w:rPr>
          <w:lang w:val="en-US"/>
        </w:rPr>
        <w:t>)</w:t>
      </w:r>
      <w:r w:rsidR="00DA4D35" w:rsidRPr="00470FAC">
        <w:rPr>
          <w:lang w:val="en-US"/>
        </w:rPr>
        <w:t xml:space="preserve"> to the extrapolated SOC arm. </w:t>
      </w:r>
      <w:r w:rsidR="00D30CBE" w:rsidRPr="00470FAC">
        <w:rPr>
          <w:lang w:val="en-US"/>
        </w:rPr>
        <w:t>The Weibull function continued to be applied to the SOC arm for OS.</w:t>
      </w:r>
      <w:r w:rsidR="003175B4" w:rsidRPr="00470FAC">
        <w:rPr>
          <w:lang w:val="en-US"/>
        </w:rPr>
        <w:t xml:space="preserve"> </w:t>
      </w:r>
      <w:r w:rsidR="00DA6A61" w:rsidRPr="006A65C9">
        <w:rPr>
          <w:lang w:val="en-US"/>
        </w:rPr>
        <w:t xml:space="preserve">Noting that the model results were highly sensitive to the choice of parametric function </w:t>
      </w:r>
      <w:r w:rsidR="00CA1BEB" w:rsidRPr="006A65C9">
        <w:rPr>
          <w:lang w:val="en-US"/>
        </w:rPr>
        <w:t xml:space="preserve">(as shown in Figure 3 below) </w:t>
      </w:r>
      <w:r w:rsidR="00DA6A61" w:rsidRPr="006A65C9">
        <w:rPr>
          <w:lang w:val="en-US"/>
        </w:rPr>
        <w:t>and the manner of extrapolation in the OS arms, indicating the high level of uncertainty in the extrapolated period, the ESC considered that the uncertainty could be reduced through the use of a shorter time horizon.</w:t>
      </w:r>
    </w:p>
    <w:p w:rsidR="00DA6A61" w:rsidRPr="006A65C9" w:rsidRDefault="00CA1BEB" w:rsidP="00DA6A61">
      <w:pPr>
        <w:pStyle w:val="TableHeading1"/>
        <w:rPr>
          <w:lang w:val="en-US"/>
        </w:rPr>
      </w:pPr>
      <w:r w:rsidRPr="006A65C9">
        <w:rPr>
          <w:lang w:val="en-US"/>
        </w:rPr>
        <w:lastRenderedPageBreak/>
        <w:t>Figure 3</w:t>
      </w:r>
      <w:r w:rsidR="00DA6A61" w:rsidRPr="006A65C9">
        <w:rPr>
          <w:lang w:val="en-US"/>
        </w:rPr>
        <w:t xml:space="preserve">: Comparison of extrapolations using the Weibull and Gompertz parametric functions </w:t>
      </w:r>
      <w:r w:rsidRPr="006A65C9">
        <w:rPr>
          <w:lang w:val="en-US"/>
        </w:rPr>
        <w:t>in current model</w:t>
      </w:r>
    </w:p>
    <w:p w:rsidR="00DA6A61" w:rsidRPr="006A65C9" w:rsidRDefault="00DA6A61" w:rsidP="00CA1BEB">
      <w:pPr>
        <w:pStyle w:val="2-SectionHeading"/>
        <w:numPr>
          <w:ilvl w:val="0"/>
          <w:numId w:val="0"/>
        </w:numPr>
        <w:ind w:left="720" w:hanging="720"/>
        <w:outlineLvl w:val="9"/>
        <w:rPr>
          <w:lang w:val="en-US"/>
        </w:rPr>
      </w:pPr>
      <w:r w:rsidRPr="006A65C9">
        <w:rPr>
          <w:noProof/>
        </w:rPr>
        <w:drawing>
          <wp:inline distT="0" distB="0" distL="0" distR="0" wp14:anchorId="2F16E584" wp14:editId="1C6FC78E">
            <wp:extent cx="4428565" cy="3093573"/>
            <wp:effectExtent l="0" t="0" r="0" b="0"/>
            <wp:docPr id="2" name="Picture 2" title="Figure 3: Comparison of extrapolations using the Weibull and Gompertz parametric functions in current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4434029" cy="3097390"/>
                    </a:xfrm>
                    <a:prstGeom prst="rect">
                      <a:avLst/>
                    </a:prstGeom>
                    <a:noFill/>
                    <a:ln>
                      <a:noFill/>
                    </a:ln>
                    <a:extLst>
                      <a:ext uri="{53640926-AAD7-44D8-BBD7-CCE9431645EC}">
                        <a14:shadowObscured xmlns:a14="http://schemas.microsoft.com/office/drawing/2010/main"/>
                      </a:ext>
                    </a:extLst>
                  </pic:spPr>
                </pic:pic>
              </a:graphicData>
            </a:graphic>
          </wp:inline>
        </w:drawing>
      </w:r>
    </w:p>
    <w:p w:rsidR="00DA6A61" w:rsidRPr="006A65C9" w:rsidRDefault="00DA6A61" w:rsidP="00DA6A61">
      <w:pPr>
        <w:pStyle w:val="Tablefootnote"/>
      </w:pPr>
      <w:r w:rsidRPr="006A65C9">
        <w:rPr>
          <w:bCs/>
          <w:lang w:val="en-US"/>
        </w:rPr>
        <w:t xml:space="preserve">Source: Compiled during evaluation using </w:t>
      </w:r>
      <w:r w:rsidRPr="006A65C9">
        <w:t>Excel workbook ‘DARO_Section3Model_November2020’ and DARO_Section3Model_March2020_FINAL’</w:t>
      </w:r>
    </w:p>
    <w:p w:rsidR="00DA6A61" w:rsidRPr="006A65C9" w:rsidRDefault="00DA6A61" w:rsidP="00DA6A61">
      <w:pPr>
        <w:pStyle w:val="Tablefootnote"/>
      </w:pPr>
      <w:r w:rsidRPr="006A65C9">
        <w:t>DARO = darolutamide; KM = Kaplan-Meier; SOC = standard of care</w:t>
      </w:r>
    </w:p>
    <w:p w:rsidR="00DA6A61" w:rsidRPr="00DA6A61" w:rsidRDefault="00DA6A61" w:rsidP="00DA6A61">
      <w:pPr>
        <w:rPr>
          <w:lang w:val="en-US"/>
        </w:rPr>
      </w:pPr>
    </w:p>
    <w:p w:rsidR="00B711ED" w:rsidRPr="00470FAC" w:rsidRDefault="00DA4D35" w:rsidP="00EA279D">
      <w:pPr>
        <w:pStyle w:val="3-BodyText"/>
        <w:rPr>
          <w:lang w:val="en-US"/>
        </w:rPr>
      </w:pPr>
      <w:r w:rsidRPr="00470FAC">
        <w:rPr>
          <w:lang w:val="en-US"/>
        </w:rPr>
        <w:t>The other change to the OS extrapolation</w:t>
      </w:r>
      <w:r w:rsidR="003175B4" w:rsidRPr="00470FAC">
        <w:rPr>
          <w:lang w:val="en-US"/>
        </w:rPr>
        <w:t>s</w:t>
      </w:r>
      <w:r w:rsidRPr="00470FAC">
        <w:rPr>
          <w:lang w:val="en-US"/>
        </w:rPr>
        <w:t xml:space="preserve"> was that</w:t>
      </w:r>
      <w:r w:rsidR="00E476C8">
        <w:rPr>
          <w:lang w:val="en-US"/>
        </w:rPr>
        <w:t xml:space="preserve"> the</w:t>
      </w:r>
      <w:r w:rsidRPr="00470FAC">
        <w:rPr>
          <w:lang w:val="en-US"/>
        </w:rPr>
        <w:t xml:space="preserve"> Kaplan-Meier curves were applied until 54 months (rather than 44 months in the previous submission) which the resubmission stated was to reduce the length of the extrapolated period.</w:t>
      </w:r>
      <w:r w:rsidR="00EA279D" w:rsidRPr="00470FAC">
        <w:rPr>
          <w:lang w:val="en-US"/>
        </w:rPr>
        <w:t xml:space="preserve"> However, at this time-point, fewer than 3.9% (37/955) of patients were at risk in the darolutamide arm and fewer than 2.9% of patients (16/554) were at risk in the SOC arm</w:t>
      </w:r>
      <w:r w:rsidR="00EA279D" w:rsidRPr="00470FAC">
        <w:rPr>
          <w:rFonts w:cstheme="minorHAnsi"/>
        </w:rPr>
        <w:t xml:space="preserve">, and hence the Kaplan-Meier estimates are unlikely to be reliable at these later time-points. </w:t>
      </w:r>
      <w:r w:rsidR="00E476C8" w:rsidRPr="006A65C9">
        <w:rPr>
          <w:rFonts w:cstheme="minorHAnsi"/>
        </w:rPr>
        <w:t>The ESC considered that it would be more reasonable to apply the</w:t>
      </w:r>
      <w:r w:rsidR="00E476C8">
        <w:rPr>
          <w:rFonts w:cstheme="minorHAnsi"/>
          <w:i/>
        </w:rPr>
        <w:t xml:space="preserve"> </w:t>
      </w:r>
      <w:r w:rsidR="00EA279D" w:rsidRPr="00470FAC">
        <w:rPr>
          <w:rFonts w:cstheme="minorHAnsi"/>
        </w:rPr>
        <w:t>Kaplan-Meier data until a</w:t>
      </w:r>
      <w:r w:rsidR="003175B4" w:rsidRPr="00470FAC">
        <w:rPr>
          <w:rFonts w:cstheme="minorHAnsi"/>
        </w:rPr>
        <w:t>pproximately</w:t>
      </w:r>
      <w:r w:rsidR="00EA279D" w:rsidRPr="00470FAC">
        <w:rPr>
          <w:rFonts w:cstheme="minorHAnsi"/>
        </w:rPr>
        <w:t xml:space="preserve"> 20% of patients remained at risk in each arm.</w:t>
      </w:r>
    </w:p>
    <w:p w:rsidR="00255BB4" w:rsidRPr="00470FAC" w:rsidRDefault="00190FF2" w:rsidP="006C3115">
      <w:pPr>
        <w:pStyle w:val="3-BodyText"/>
        <w:shd w:val="clear" w:color="auto" w:fill="FFFFFF" w:themeFill="background1"/>
        <w:rPr>
          <w:bCs/>
          <w:lang w:val="en-US"/>
        </w:rPr>
      </w:pPr>
      <w:r w:rsidRPr="00470FAC">
        <w:rPr>
          <w:bCs/>
          <w:lang w:val="en-US"/>
        </w:rPr>
        <w:t xml:space="preserve">Figure </w:t>
      </w:r>
      <w:r w:rsidR="00CA1BEB">
        <w:rPr>
          <w:bCs/>
          <w:lang w:val="en-US"/>
        </w:rPr>
        <w:t>4</w:t>
      </w:r>
      <w:r w:rsidRPr="00470FAC">
        <w:rPr>
          <w:bCs/>
          <w:lang w:val="en-US"/>
        </w:rPr>
        <w:t xml:space="preserve"> provides a comparison of the darolutamide and SOC OS curves from the July 2020 submission and this resubmission. </w:t>
      </w:r>
      <w:r w:rsidR="000279E8">
        <w:rPr>
          <w:bCs/>
          <w:lang w:val="en-US"/>
        </w:rPr>
        <w:t>T</w:t>
      </w:r>
      <w:r w:rsidR="00E476C8">
        <w:rPr>
          <w:bCs/>
          <w:lang w:val="en-US"/>
        </w:rPr>
        <w:t xml:space="preserve">he </w:t>
      </w:r>
      <w:r w:rsidRPr="00470FAC">
        <w:rPr>
          <w:bCs/>
          <w:lang w:val="en-US"/>
        </w:rPr>
        <w:t>July 2020</w:t>
      </w:r>
      <w:r w:rsidR="00E476C8">
        <w:rPr>
          <w:bCs/>
          <w:lang w:val="en-US"/>
        </w:rPr>
        <w:t xml:space="preserve"> model</w:t>
      </w:r>
      <w:r w:rsidR="000279E8">
        <w:rPr>
          <w:bCs/>
          <w:lang w:val="en-US"/>
        </w:rPr>
        <w:t xml:space="preserve"> estimated that</w:t>
      </w:r>
      <w:r w:rsidRPr="00470FAC">
        <w:rPr>
          <w:bCs/>
          <w:lang w:val="en-US"/>
        </w:rPr>
        <w:t xml:space="preserve"> </w:t>
      </w:r>
      <w:r w:rsidR="00F829E4" w:rsidRPr="003138B2">
        <w:rPr>
          <w:bCs/>
          <w:lang w:val="en-US"/>
        </w:rPr>
        <w:t xml:space="preserve">approximately </w:t>
      </w:r>
      <w:r w:rsidRPr="003138B2">
        <w:rPr>
          <w:bCs/>
          <w:lang w:val="en-US"/>
        </w:rPr>
        <w:t xml:space="preserve">30% of patients treated with darolutamide </w:t>
      </w:r>
      <w:r w:rsidR="006F440A" w:rsidRPr="003138B2">
        <w:rPr>
          <w:bCs/>
          <w:lang w:val="en-US"/>
        </w:rPr>
        <w:t>and approximately 1</w:t>
      </w:r>
      <w:r w:rsidR="00F829E4" w:rsidRPr="003138B2">
        <w:rPr>
          <w:bCs/>
          <w:lang w:val="en-US"/>
        </w:rPr>
        <w:t>0</w:t>
      </w:r>
      <w:r w:rsidR="006F440A" w:rsidRPr="003138B2">
        <w:rPr>
          <w:bCs/>
          <w:lang w:val="en-US"/>
        </w:rPr>
        <w:t xml:space="preserve">% of patients treated with SOC patients </w:t>
      </w:r>
      <w:r w:rsidR="00E476C8" w:rsidRPr="003138B2">
        <w:rPr>
          <w:bCs/>
          <w:lang w:val="en-US"/>
        </w:rPr>
        <w:t xml:space="preserve">were </w:t>
      </w:r>
      <w:r w:rsidRPr="003138B2">
        <w:rPr>
          <w:bCs/>
          <w:lang w:val="en-US"/>
        </w:rPr>
        <w:t>alive at 10 years (120 months)</w:t>
      </w:r>
      <w:r w:rsidR="006F440A" w:rsidRPr="003138B2">
        <w:rPr>
          <w:bCs/>
          <w:lang w:val="en-US"/>
        </w:rPr>
        <w:t>, a difference of 20%. The resubmission</w:t>
      </w:r>
      <w:r w:rsidR="00E476C8" w:rsidRPr="003138B2">
        <w:rPr>
          <w:bCs/>
          <w:lang w:val="en-US"/>
        </w:rPr>
        <w:t xml:space="preserve">’s revised approach </w:t>
      </w:r>
      <w:r w:rsidR="006F440A" w:rsidRPr="003138B2">
        <w:rPr>
          <w:bCs/>
          <w:lang w:val="en-US"/>
        </w:rPr>
        <w:t>result</w:t>
      </w:r>
      <w:r w:rsidR="00271C65" w:rsidRPr="003138B2">
        <w:rPr>
          <w:bCs/>
          <w:lang w:val="en-US"/>
        </w:rPr>
        <w:t>ed</w:t>
      </w:r>
      <w:r w:rsidR="006F440A" w:rsidRPr="003138B2">
        <w:rPr>
          <w:bCs/>
          <w:lang w:val="en-US"/>
        </w:rPr>
        <w:t xml:space="preserve"> in a similar proportion of patients alive at 10 years</w:t>
      </w:r>
      <w:r w:rsidR="00271C65" w:rsidRPr="003138B2">
        <w:rPr>
          <w:bCs/>
          <w:lang w:val="en-US"/>
        </w:rPr>
        <w:t xml:space="preserve"> in the SOC arm</w:t>
      </w:r>
      <w:r w:rsidR="006F440A" w:rsidRPr="003138B2">
        <w:rPr>
          <w:bCs/>
          <w:lang w:val="en-US"/>
        </w:rPr>
        <w:t xml:space="preserve">; however, application of the trial-based hazard ratio from 55 months to the SOC OS curve resulted in approximately </w:t>
      </w:r>
      <w:r w:rsidR="00271C65" w:rsidRPr="003138B2">
        <w:rPr>
          <w:bCs/>
          <w:lang w:val="en-US"/>
        </w:rPr>
        <w:t>19</w:t>
      </w:r>
      <w:r w:rsidR="006F440A" w:rsidRPr="003138B2">
        <w:rPr>
          <w:bCs/>
          <w:lang w:val="en-US"/>
        </w:rPr>
        <w:t xml:space="preserve">% of darolutamide patients </w:t>
      </w:r>
      <w:r w:rsidR="00AC4B5B" w:rsidRPr="003138B2">
        <w:rPr>
          <w:bCs/>
          <w:lang w:val="en-US"/>
        </w:rPr>
        <w:t xml:space="preserve">being </w:t>
      </w:r>
      <w:r w:rsidR="006F440A" w:rsidRPr="003138B2">
        <w:rPr>
          <w:bCs/>
          <w:lang w:val="en-US"/>
        </w:rPr>
        <w:t>alive at 10 years</w:t>
      </w:r>
      <w:r w:rsidR="00512EC7" w:rsidRPr="003138B2">
        <w:rPr>
          <w:bCs/>
          <w:lang w:val="en-US"/>
        </w:rPr>
        <w:t>, a difference of 11</w:t>
      </w:r>
      <w:r w:rsidR="006F440A" w:rsidRPr="003138B2">
        <w:rPr>
          <w:bCs/>
          <w:lang w:val="en-US"/>
        </w:rPr>
        <w:t>%</w:t>
      </w:r>
      <w:r w:rsidR="00882CE2" w:rsidRPr="003138B2">
        <w:rPr>
          <w:bCs/>
          <w:lang w:val="en-US"/>
        </w:rPr>
        <w:t xml:space="preserve">. </w:t>
      </w:r>
      <w:r w:rsidR="00EA279D" w:rsidRPr="003138B2">
        <w:rPr>
          <w:bCs/>
          <w:lang w:val="en-US"/>
        </w:rPr>
        <w:t>While t</w:t>
      </w:r>
      <w:r w:rsidR="00882CE2" w:rsidRPr="003138B2">
        <w:rPr>
          <w:bCs/>
          <w:lang w:val="en-US"/>
        </w:rPr>
        <w:t>he</w:t>
      </w:r>
      <w:r w:rsidR="00512EC7" w:rsidRPr="003138B2">
        <w:rPr>
          <w:bCs/>
          <w:lang w:val="en-US"/>
        </w:rPr>
        <w:t xml:space="preserve"> difference in the trial data at 54 months</w:t>
      </w:r>
      <w:r w:rsidR="00882CE2" w:rsidRPr="003138B2">
        <w:rPr>
          <w:bCs/>
          <w:lang w:val="en-US"/>
        </w:rPr>
        <w:t xml:space="preserve"> was 15.</w:t>
      </w:r>
      <w:r w:rsidR="00F829E4" w:rsidRPr="003138B2">
        <w:rPr>
          <w:bCs/>
          <w:lang w:val="en-US"/>
        </w:rPr>
        <w:t>9</w:t>
      </w:r>
      <w:r w:rsidR="00882CE2" w:rsidRPr="003138B2">
        <w:rPr>
          <w:bCs/>
          <w:lang w:val="en-US"/>
        </w:rPr>
        <w:t>%</w:t>
      </w:r>
      <w:r w:rsidR="0030737B" w:rsidRPr="00470FAC">
        <w:rPr>
          <w:bCs/>
          <w:lang w:val="en-US"/>
        </w:rPr>
        <w:t xml:space="preserve"> (which was the point at which the separation in the Kaplan-Meier curves was largest)</w:t>
      </w:r>
      <w:r w:rsidR="00EA279D" w:rsidRPr="00470FAC">
        <w:rPr>
          <w:bCs/>
          <w:lang w:val="en-US"/>
        </w:rPr>
        <w:t>, the Kaplan-Meier data were unlikely to be reliable at this time-point</w:t>
      </w:r>
      <w:r w:rsidR="006F440A" w:rsidRPr="00470FAC">
        <w:rPr>
          <w:bCs/>
          <w:lang w:val="en-US"/>
        </w:rPr>
        <w:t>.</w:t>
      </w:r>
    </w:p>
    <w:p w:rsidR="00EA279D" w:rsidRDefault="00EA279D" w:rsidP="00EA279D">
      <w:pPr>
        <w:pStyle w:val="3-BodyText"/>
        <w:rPr>
          <w:bCs/>
          <w:lang w:val="en-US"/>
        </w:rPr>
      </w:pPr>
      <w:r w:rsidRPr="003138B2">
        <w:rPr>
          <w:bCs/>
          <w:lang w:val="en-US"/>
        </w:rPr>
        <w:lastRenderedPageBreak/>
        <w:t>Overall, 19% of patients remained alive in the darolutamide arm at 10 years</w:t>
      </w:r>
      <w:r w:rsidR="002747DE" w:rsidRPr="003138B2">
        <w:rPr>
          <w:bCs/>
          <w:lang w:val="en-US"/>
        </w:rPr>
        <w:t>.</w:t>
      </w:r>
      <w:r w:rsidRPr="003138B2">
        <w:rPr>
          <w:bCs/>
          <w:lang w:val="en-US"/>
        </w:rPr>
        <w:t xml:space="preserve"> </w:t>
      </w:r>
      <w:r w:rsidR="002747DE" w:rsidRPr="003138B2">
        <w:rPr>
          <w:bCs/>
          <w:lang w:val="en-US"/>
        </w:rPr>
        <w:t>W</w:t>
      </w:r>
      <w:r w:rsidRPr="003138B2">
        <w:rPr>
          <w:bCs/>
          <w:lang w:val="en-US"/>
        </w:rPr>
        <w:t>hile lower than the 30% of patients</w:t>
      </w:r>
      <w:r w:rsidRPr="006A65C9">
        <w:rPr>
          <w:bCs/>
          <w:lang w:val="en-US"/>
        </w:rPr>
        <w:t xml:space="preserve"> estimated to remain alive in the previous submission, </w:t>
      </w:r>
      <w:r w:rsidR="002747DE" w:rsidRPr="006A65C9">
        <w:rPr>
          <w:bCs/>
          <w:lang w:val="en-US"/>
        </w:rPr>
        <w:t>the ESC considered that this did</w:t>
      </w:r>
      <w:r w:rsidRPr="006A65C9">
        <w:rPr>
          <w:bCs/>
          <w:lang w:val="en-US"/>
        </w:rPr>
        <w:t xml:space="preserve"> not</w:t>
      </w:r>
      <w:r w:rsidRPr="00470FAC">
        <w:rPr>
          <w:bCs/>
          <w:lang w:val="en-US"/>
        </w:rPr>
        <w:t xml:space="preserve"> </w:t>
      </w:r>
      <w:r w:rsidR="002747DE">
        <w:rPr>
          <w:bCs/>
          <w:lang w:val="en-US"/>
        </w:rPr>
        <w:t xml:space="preserve">seem </w:t>
      </w:r>
      <w:r w:rsidRPr="00470FAC">
        <w:rPr>
          <w:bCs/>
          <w:lang w:val="en-US"/>
        </w:rPr>
        <w:t>reasonable given the average age of patients was 73.6 years at the beginning of the model.</w:t>
      </w:r>
      <w:r w:rsidR="006F5A27">
        <w:rPr>
          <w:bCs/>
          <w:lang w:val="en-US"/>
        </w:rPr>
        <w:t xml:space="preserve"> </w:t>
      </w:r>
    </w:p>
    <w:p w:rsidR="00255BB4" w:rsidRPr="00470FAC" w:rsidRDefault="00512EC7" w:rsidP="00FD6D40">
      <w:pPr>
        <w:pStyle w:val="3-BodyText"/>
        <w:keepNext/>
        <w:keepLines/>
        <w:numPr>
          <w:ilvl w:val="0"/>
          <w:numId w:val="0"/>
        </w:numPr>
        <w:rPr>
          <w:rFonts w:ascii="Arial Narrow" w:hAnsi="Arial Narrow"/>
          <w:b/>
          <w:bCs/>
          <w:sz w:val="20"/>
          <w:szCs w:val="20"/>
          <w:lang w:val="en-US"/>
        </w:rPr>
      </w:pPr>
      <w:r w:rsidRPr="00470FAC">
        <w:rPr>
          <w:rFonts w:ascii="Arial Narrow" w:hAnsi="Arial Narrow"/>
          <w:b/>
          <w:bCs/>
          <w:sz w:val="20"/>
          <w:szCs w:val="20"/>
          <w:lang w:val="en-US"/>
        </w:rPr>
        <w:t xml:space="preserve">Figure </w:t>
      </w:r>
      <w:r w:rsidR="00CA1BEB">
        <w:rPr>
          <w:rFonts w:ascii="Arial Narrow" w:hAnsi="Arial Narrow"/>
          <w:b/>
          <w:bCs/>
          <w:sz w:val="20"/>
          <w:szCs w:val="20"/>
          <w:lang w:val="en-US"/>
        </w:rPr>
        <w:t>4</w:t>
      </w:r>
      <w:r w:rsidRPr="00470FAC">
        <w:rPr>
          <w:rFonts w:ascii="Arial Narrow" w:hAnsi="Arial Narrow"/>
          <w:b/>
          <w:bCs/>
          <w:sz w:val="20"/>
          <w:szCs w:val="20"/>
          <w:lang w:val="en-US"/>
        </w:rPr>
        <w:t>: Comparison of darolutamide and SOC OS curves in the July 2020 submission and the March 2021 resubmission</w:t>
      </w:r>
    </w:p>
    <w:p w:rsidR="00255BB4" w:rsidRDefault="003175B4" w:rsidP="00FD6D40">
      <w:pPr>
        <w:pStyle w:val="3-BodyText"/>
        <w:keepNext/>
        <w:keepLines/>
        <w:numPr>
          <w:ilvl w:val="0"/>
          <w:numId w:val="0"/>
        </w:numPr>
        <w:rPr>
          <w:bCs/>
          <w:lang w:val="en-US"/>
        </w:rPr>
      </w:pPr>
      <w:r>
        <w:rPr>
          <w:noProof/>
          <w:snapToGrid/>
        </w:rPr>
        <mc:AlternateContent>
          <mc:Choice Requires="wps">
            <w:drawing>
              <wp:anchor distT="0" distB="0" distL="114300" distR="114300" simplePos="0" relativeHeight="251659264" behindDoc="0" locked="0" layoutInCell="1" allowOverlap="1" wp14:anchorId="3E2E128A" wp14:editId="70A9BCFF">
                <wp:simplePos x="0" y="0"/>
                <wp:positionH relativeFrom="column">
                  <wp:posOffset>4299626</wp:posOffset>
                </wp:positionH>
                <wp:positionV relativeFrom="paragraph">
                  <wp:posOffset>609073</wp:posOffset>
                </wp:positionV>
                <wp:extent cx="865221" cy="131188"/>
                <wp:effectExtent l="0" t="0" r="11430" b="21590"/>
                <wp:wrapNone/>
                <wp:docPr id="5" name="Rectangle 5" title="."/>
                <wp:cNvGraphicFramePr/>
                <a:graphic xmlns:a="http://schemas.openxmlformats.org/drawingml/2006/main">
                  <a:graphicData uri="http://schemas.microsoft.com/office/word/2010/wordprocessingShape">
                    <wps:wsp>
                      <wps:cNvSpPr/>
                      <wps:spPr>
                        <a:xfrm>
                          <a:off x="0" y="0"/>
                          <a:ext cx="865221" cy="1311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4C796" id="Rectangle 5" o:spid="_x0000_s1026" alt="Title: ." style="position:absolute;margin-left:338.55pt;margin-top:47.95pt;width:68.15pt;height:1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" fillcolor="white [3212]" strokecolor="white [3212]" strokeweight="2pt"/>
            </w:pict>
          </mc:Fallback>
        </mc:AlternateContent>
      </w:r>
      <w:bookmarkStart w:id="23" w:name="_GoBack"/>
      <w:r w:rsidR="00D1505D">
        <w:rPr>
          <w:noProof/>
        </w:rPr>
        <w:drawing>
          <wp:inline distT="0" distB="0" distL="0" distR="0" wp14:anchorId="5DC96FCE" wp14:editId="5F88AD3C">
            <wp:extent cx="5802630" cy="3153835"/>
            <wp:effectExtent l="0" t="0" r="7620" b="8890"/>
            <wp:docPr id="16" name="Picture 16" title="Figure 4: Comparison of darolutamide and SOC OS curves in the July 2020 submission and the March 2021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clrChange>
                        <a:clrFrom>
                          <a:srgbClr val="FFFFFF"/>
                        </a:clrFrom>
                        <a:clrTo>
                          <a:srgbClr val="FFFFFF">
                            <a:alpha val="0"/>
                          </a:srgbClr>
                        </a:clrTo>
                      </a:clrChange>
                    </a:blip>
                    <a:srcRect l="48886" t="49248" r="39372" b="16724"/>
                    <a:stretch/>
                  </pic:blipFill>
                  <pic:spPr bwMode="auto">
                    <a:xfrm>
                      <a:off x="0" y="0"/>
                      <a:ext cx="5822273" cy="3164511"/>
                    </a:xfrm>
                    <a:prstGeom prst="rect">
                      <a:avLst/>
                    </a:prstGeom>
                    <a:ln>
                      <a:noFill/>
                    </a:ln>
                    <a:extLst>
                      <a:ext uri="{53640926-AAD7-44D8-BBD7-CCE9431645EC}">
                        <a14:shadowObscured xmlns:a14="http://schemas.microsoft.com/office/drawing/2010/main"/>
                      </a:ext>
                    </a:extLst>
                  </pic:spPr>
                </pic:pic>
              </a:graphicData>
            </a:graphic>
          </wp:inline>
        </w:drawing>
      </w:r>
      <w:bookmarkEnd w:id="23"/>
    </w:p>
    <w:p w:rsidR="00255BB4" w:rsidRPr="00470FAC" w:rsidRDefault="00512EC7" w:rsidP="00FD6D40">
      <w:pPr>
        <w:pStyle w:val="3-BodyText"/>
        <w:keepNext/>
        <w:keepLines/>
        <w:numPr>
          <w:ilvl w:val="0"/>
          <w:numId w:val="0"/>
        </w:numPr>
        <w:spacing w:after="0"/>
        <w:jc w:val="left"/>
        <w:rPr>
          <w:rFonts w:ascii="Arial Narrow" w:hAnsi="Arial Narrow"/>
          <w:sz w:val="18"/>
          <w:szCs w:val="18"/>
        </w:rPr>
      </w:pPr>
      <w:r w:rsidRPr="00470FAC">
        <w:rPr>
          <w:rFonts w:ascii="Arial Narrow" w:hAnsi="Arial Narrow"/>
          <w:bCs/>
          <w:sz w:val="18"/>
          <w:szCs w:val="18"/>
          <w:lang w:val="en-US"/>
        </w:rPr>
        <w:t xml:space="preserve">Source: Compiled during evaluation using </w:t>
      </w:r>
      <w:r w:rsidRPr="00470FAC">
        <w:rPr>
          <w:rFonts w:ascii="Arial Narrow" w:hAnsi="Arial Narrow"/>
          <w:sz w:val="18"/>
          <w:szCs w:val="18"/>
        </w:rPr>
        <w:t>Excel workbook ‘DARO_Section3Model_November2020’ and DARO_Section3Model_March2020_FINAL’</w:t>
      </w:r>
    </w:p>
    <w:p w:rsidR="00512EC7" w:rsidRPr="00470FAC" w:rsidRDefault="00512EC7" w:rsidP="00FD6D40">
      <w:pPr>
        <w:pStyle w:val="3-BodyText"/>
        <w:keepNext/>
        <w:keepLines/>
        <w:numPr>
          <w:ilvl w:val="0"/>
          <w:numId w:val="0"/>
        </w:numPr>
        <w:spacing w:after="0"/>
        <w:jc w:val="left"/>
        <w:rPr>
          <w:rFonts w:ascii="Arial Narrow" w:hAnsi="Arial Narrow"/>
          <w:sz w:val="18"/>
          <w:szCs w:val="18"/>
        </w:rPr>
      </w:pPr>
      <w:r w:rsidRPr="00470FAC">
        <w:rPr>
          <w:rFonts w:ascii="Arial Narrow" w:hAnsi="Arial Narrow"/>
          <w:sz w:val="18"/>
          <w:szCs w:val="18"/>
        </w:rPr>
        <w:t>DARO = darolutamide; OS = overall survival; SOC = standard of care</w:t>
      </w:r>
    </w:p>
    <w:p w:rsidR="003175B4" w:rsidRPr="00470FAC" w:rsidRDefault="003175B4" w:rsidP="00FD6D40">
      <w:pPr>
        <w:pStyle w:val="3-BodyText"/>
        <w:keepNext/>
        <w:keepLines/>
        <w:numPr>
          <w:ilvl w:val="0"/>
          <w:numId w:val="0"/>
        </w:numPr>
        <w:spacing w:after="0"/>
        <w:jc w:val="left"/>
        <w:rPr>
          <w:rFonts w:ascii="Arial Narrow" w:hAnsi="Arial Narrow"/>
          <w:sz w:val="18"/>
          <w:szCs w:val="18"/>
        </w:rPr>
      </w:pPr>
    </w:p>
    <w:p w:rsidR="000279E8" w:rsidRPr="006A65C9" w:rsidRDefault="00DC1FDB" w:rsidP="000279E8">
      <w:pPr>
        <w:pStyle w:val="3-BodyText"/>
        <w:rPr>
          <w:bCs/>
          <w:lang w:val="en-US"/>
        </w:rPr>
      </w:pPr>
      <w:r w:rsidRPr="00470FAC">
        <w:rPr>
          <w:lang w:val="en-US"/>
        </w:rPr>
        <w:t>The resubmission sought to validate the clinical plausibility of the OS extrapolation</w:t>
      </w:r>
      <w:r w:rsidR="00440AB9">
        <w:rPr>
          <w:lang w:val="en-US"/>
        </w:rPr>
        <w:t xml:space="preserve"> in the SOC arm</w:t>
      </w:r>
      <w:r w:rsidRPr="00470FAC">
        <w:rPr>
          <w:lang w:val="en-US"/>
        </w:rPr>
        <w:t xml:space="preserve">. However, the reliability and applicability of the data used for external validation was unclear e.g. it was unclear if the external validation based on the ePAD registry was applicable to the higher risk population proposed for PBS listing (which </w:t>
      </w:r>
      <w:r w:rsidRPr="004E3695">
        <w:rPr>
          <w:lang w:val="en-US"/>
        </w:rPr>
        <w:t>requires patients to have a</w:t>
      </w:r>
      <w:r w:rsidRPr="004E3695">
        <w:t xml:space="preserve"> </w:t>
      </w:r>
      <w:r w:rsidRPr="004E3695">
        <w:rPr>
          <w:bCs/>
          <w:lang w:val="en-US"/>
        </w:rPr>
        <w:t xml:space="preserve">PSA doubling time of 10 months or less); </w:t>
      </w:r>
      <w:r w:rsidRPr="006A65C9">
        <w:rPr>
          <w:bCs/>
          <w:lang w:val="en-US"/>
        </w:rPr>
        <w:t xml:space="preserve">and while the submission claimed that the ePAD registry included </w:t>
      </w:r>
      <w:r w:rsidRPr="006A65C9">
        <w:rPr>
          <w:lang w:val="en-US"/>
        </w:rPr>
        <w:t>follow-up</w:t>
      </w:r>
      <w:r w:rsidR="004E3695" w:rsidRPr="006A65C9">
        <w:rPr>
          <w:lang w:val="en-US"/>
        </w:rPr>
        <w:t xml:space="preserve"> OS</w:t>
      </w:r>
      <w:r w:rsidRPr="006A65C9">
        <w:rPr>
          <w:lang w:val="en-US"/>
        </w:rPr>
        <w:t xml:space="preserve"> data up to 100 months, it was unlikely that</w:t>
      </w:r>
      <w:r w:rsidRPr="006A65C9">
        <w:rPr>
          <w:bCs/>
          <w:lang w:val="en-US"/>
        </w:rPr>
        <w:t xml:space="preserve"> many patients </w:t>
      </w:r>
      <w:r w:rsidR="00440AB9" w:rsidRPr="006A65C9">
        <w:rPr>
          <w:bCs/>
          <w:lang w:val="en-US"/>
        </w:rPr>
        <w:t xml:space="preserve">were included </w:t>
      </w:r>
      <w:r w:rsidRPr="006A65C9">
        <w:rPr>
          <w:bCs/>
          <w:lang w:val="en-US"/>
        </w:rPr>
        <w:t xml:space="preserve">beyond 50 months given the </w:t>
      </w:r>
      <w:r w:rsidR="00440AB9" w:rsidRPr="006A65C9">
        <w:rPr>
          <w:bCs/>
          <w:lang w:val="en-US"/>
        </w:rPr>
        <w:t xml:space="preserve">size of the </w:t>
      </w:r>
      <w:r w:rsidRPr="006A65C9">
        <w:rPr>
          <w:bCs/>
          <w:lang w:val="en-US"/>
        </w:rPr>
        <w:t>steps in the ePAD Kaplan-Meier curve at these later time points.</w:t>
      </w:r>
      <w:r w:rsidR="000279E8" w:rsidRPr="006A65C9">
        <w:rPr>
          <w:bCs/>
          <w:lang w:val="en-US"/>
        </w:rPr>
        <w:t xml:space="preserve"> The submission and the PSCR also argued that the proportion of patients alive at 10 years in the darolutamide arm (19%) was clinically plausible and consistent with mortality data in an age-adjusted general Australian population which suggest that 70% of patients aged 74 years would be expected to survive to ten years. The applicability of these data to patients with CRPC was unclear.</w:t>
      </w:r>
    </w:p>
    <w:p w:rsidR="0026177E" w:rsidRPr="00470FAC" w:rsidRDefault="0026177E" w:rsidP="0026177E">
      <w:pPr>
        <w:pStyle w:val="3-BodyText"/>
        <w:rPr>
          <w:lang w:val="en-US"/>
        </w:rPr>
      </w:pPr>
      <w:r w:rsidRPr="00470FAC">
        <w:t xml:space="preserve">In July 2020, the PBAC noted that the utility value for the mCRPC health state of 0.530 was substantially lower than the values applied in the m0CRPC health state (0.813 in </w:t>
      </w:r>
      <w:r w:rsidRPr="00470FAC">
        <w:lastRenderedPageBreak/>
        <w:t>both arms in the resubmission). The PBAC considered that the value applied for mCRPC was too low given that metastatic disease may initially be asymptomatic. The PBAC considered that 0.530 was more reflective of end stage palliation</w:t>
      </w:r>
      <w:r w:rsidR="003175B4" w:rsidRPr="00470FAC">
        <w:t xml:space="preserve"> (para 7.14, d</w:t>
      </w:r>
      <w:r w:rsidRPr="00470FAC">
        <w:t xml:space="preserve">arolutamide </w:t>
      </w:r>
      <w:r w:rsidR="00520E9D">
        <w:t>PSD</w:t>
      </w:r>
      <w:r w:rsidRPr="00470FAC">
        <w:t>, July 2020). The resubmission</w:t>
      </w:r>
      <w:r w:rsidR="00D44FE7" w:rsidRPr="00470FAC">
        <w:t xml:space="preserve"> identified three utility value studies in mCRPC and </w:t>
      </w:r>
      <w:r w:rsidRPr="00470FAC">
        <w:t xml:space="preserve">argued that </w:t>
      </w:r>
      <w:r w:rsidR="00D44FE7" w:rsidRPr="00470FAC">
        <w:t>all studies demonstrated a rapid, significant and sustained decline in quality of life outcomes from baseline which were indicative of the significant morbidity of symptomatic mCRPC disease.</w:t>
      </w:r>
    </w:p>
    <w:p w:rsidR="0026177E" w:rsidRPr="005336FD" w:rsidRDefault="00D44FE7" w:rsidP="008A3FE4">
      <w:pPr>
        <w:pStyle w:val="3-BodyText"/>
        <w:rPr>
          <w:lang w:val="en-US"/>
        </w:rPr>
      </w:pPr>
      <w:r w:rsidRPr="00470FAC">
        <w:t>The resubmission applied a utility value of 0.56 in the mCRPC health state, derived from Sullivan 2007</w:t>
      </w:r>
      <w:r w:rsidR="00F34D04" w:rsidRPr="00470FAC">
        <w:t>, stating this was the upper estimate of the utility values in the three identified studies.</w:t>
      </w:r>
      <w:r w:rsidR="00A75249" w:rsidRPr="00470FAC">
        <w:t xml:space="preserve"> </w:t>
      </w:r>
      <w:r w:rsidR="00F34D04" w:rsidRPr="00470FAC">
        <w:t xml:space="preserve">The value of 0.56 was </w:t>
      </w:r>
      <w:r w:rsidR="00A75249" w:rsidRPr="00470FAC">
        <w:t xml:space="preserve">based on the average of </w:t>
      </w:r>
      <w:r w:rsidR="00F34D04" w:rsidRPr="00470FAC">
        <w:t xml:space="preserve">the </w:t>
      </w:r>
      <w:r w:rsidR="00A75249" w:rsidRPr="00470FAC">
        <w:t>values observed in Sullivan 2007</w:t>
      </w:r>
      <w:r w:rsidR="00F34D04" w:rsidRPr="00470FAC">
        <w:t xml:space="preserve"> </w:t>
      </w:r>
      <w:r w:rsidR="00A75249" w:rsidRPr="00470FAC">
        <w:t>at 3, 6 and 9 months</w:t>
      </w:r>
      <w:r w:rsidR="00D2222F" w:rsidRPr="00D2222F">
        <w:t xml:space="preserve"> </w:t>
      </w:r>
      <w:r w:rsidR="00D2222F" w:rsidRPr="006A65C9">
        <w:t>(the baseline utility of 0.635 was not included</w:t>
      </w:r>
      <w:r w:rsidR="005336FD" w:rsidRPr="006A65C9">
        <w:t xml:space="preserve"> in the calculation of the average utility</w:t>
      </w:r>
      <w:r w:rsidR="00D2222F" w:rsidRPr="006A65C9">
        <w:t>)</w:t>
      </w:r>
      <w:r w:rsidRPr="006A65C9">
        <w:t>.</w:t>
      </w:r>
      <w:r w:rsidRPr="00470FAC">
        <w:t xml:space="preserve"> In Sullivan 2007, the mean time from diagnosis of (metastatic) hormone-refractory prostate cancer to study enrolment was 1.5 years. Thus</w:t>
      </w:r>
      <w:r w:rsidR="00A75249" w:rsidRPr="00470FAC">
        <w:t>,</w:t>
      </w:r>
      <w:r w:rsidRPr="00470FAC">
        <w:t xml:space="preserve"> the utility </w:t>
      </w:r>
      <w:r w:rsidR="00A75249" w:rsidRPr="00470FAC">
        <w:t>value applied</w:t>
      </w:r>
      <w:r w:rsidRPr="00470FAC">
        <w:t xml:space="preserve"> by the submission (0.560) would reflect patients who had been in the mCRPC health state f</w:t>
      </w:r>
      <w:r w:rsidR="00D2222F">
        <w:t>or</w:t>
      </w:r>
      <w:r w:rsidRPr="00470FAC">
        <w:t xml:space="preserve"> </w:t>
      </w:r>
      <w:r w:rsidRPr="001F7E6E">
        <w:t>1.</w:t>
      </w:r>
      <w:r w:rsidR="00D2222F" w:rsidRPr="001F7E6E">
        <w:t>7</w:t>
      </w:r>
      <w:r w:rsidRPr="001F7E6E">
        <w:t>5</w:t>
      </w:r>
      <w:r w:rsidRPr="00470FAC">
        <w:t xml:space="preserve"> to 2.25 years. In the economic model the mean time spent in this he</w:t>
      </w:r>
      <w:r w:rsidRPr="003138B2">
        <w:t xml:space="preserve">alth state was </w:t>
      </w:r>
      <w:r w:rsidRPr="003138B2">
        <w:rPr>
          <w:shd w:val="clear" w:color="auto" w:fill="FFFFFF" w:themeFill="background1"/>
        </w:rPr>
        <w:t>1.3</w:t>
      </w:r>
      <w:r w:rsidRPr="003138B2">
        <w:t xml:space="preserve"> years in the darolutamide arm and 2.3</w:t>
      </w:r>
      <w:r w:rsidRPr="00470FAC">
        <w:t xml:space="preserve"> years in the SOC arm. Thus, the baseline utility of 0.635 may better reflect the entire duration of this health state. This is further supported by the fact that 30% of patients in Sullivan 2007 had died within 9 months of enrolment. This is also consistent with the ESC’s previous advice that the baseline value of 0.635 (which was also reported in the secondary source, Wu et al 2007) may be more reflective of the total time spent in the mCRPC state (para</w:t>
      </w:r>
      <w:r w:rsidR="0030737B" w:rsidRPr="00470FAC">
        <w:t>graph</w:t>
      </w:r>
      <w:r w:rsidRPr="00470FAC">
        <w:t xml:space="preserve"> 6.45, </w:t>
      </w:r>
      <w:r w:rsidR="0030737B" w:rsidRPr="00470FAC">
        <w:t>d</w:t>
      </w:r>
      <w:r w:rsidRPr="00470FAC">
        <w:t>arolutamide PSD, July 2020).</w:t>
      </w:r>
      <w:r w:rsidR="005336FD">
        <w:t xml:space="preserve"> </w:t>
      </w:r>
    </w:p>
    <w:p w:rsidR="005336FD" w:rsidRPr="006A65C9" w:rsidRDefault="005336FD" w:rsidP="00C969E7">
      <w:pPr>
        <w:pStyle w:val="3-BodyText"/>
        <w:rPr>
          <w:lang w:val="en-US"/>
        </w:rPr>
      </w:pPr>
      <w:r w:rsidRPr="006A65C9">
        <w:t xml:space="preserve">The PSCR stated that Sullivan 2007 reported a decline in utilities from 0.635 to 0.565 after 3 months which was indicative of the morbidity of symptomatic mCRPC. </w:t>
      </w:r>
      <w:r w:rsidR="00C969E7" w:rsidRPr="006A65C9">
        <w:t>However, the ESC noted this decline occurred after patients had already had mCRPC for an average of 1.5 years. Overall, the ESC maintained that a utility value of 0.56 was too low for the mCRPC health state given that metastatic disease may initially be asymptomatic</w:t>
      </w:r>
      <w:r w:rsidR="00A31E8C" w:rsidRPr="006A65C9">
        <w:t>,</w:t>
      </w:r>
      <w:r w:rsidR="00C969E7" w:rsidRPr="006A65C9">
        <w:t xml:space="preserve"> and was not reflective of the total time spent in the mCRPC health state. </w:t>
      </w:r>
      <w:r w:rsidR="006E31BF" w:rsidRPr="006A65C9">
        <w:t>The ESC re-iterated its previous advice that the baseline value of 0.635 may be more reflective of the total time spent in the mCRPC state.</w:t>
      </w:r>
    </w:p>
    <w:p w:rsidR="00EC08F0" w:rsidRPr="00470FAC" w:rsidRDefault="00AF3E28" w:rsidP="00641FB3">
      <w:pPr>
        <w:pStyle w:val="3-BodyText"/>
        <w:rPr>
          <w:bCs/>
          <w:lang w:val="en-US"/>
        </w:rPr>
      </w:pPr>
      <w:r w:rsidRPr="00470FAC">
        <w:rPr>
          <w:bCs/>
          <w:lang w:val="en-US"/>
        </w:rPr>
        <w:t>A summary of the key drivers of the economic model is presented below.</w:t>
      </w:r>
    </w:p>
    <w:p w:rsidR="00AF3E28" w:rsidRPr="00470FAC" w:rsidRDefault="00AF3E28" w:rsidP="00E97DA4">
      <w:pPr>
        <w:keepNext/>
        <w:keepLines/>
        <w:rPr>
          <w:rStyle w:val="CommentReference"/>
          <w:rFonts w:cstheme="majorBidi"/>
        </w:rPr>
      </w:pPr>
      <w:r w:rsidRPr="00470FAC">
        <w:rPr>
          <w:rStyle w:val="CommentReference"/>
        </w:rPr>
        <w:lastRenderedPageBreak/>
        <w:t>Table 1</w:t>
      </w:r>
      <w:r w:rsidR="000C08E6">
        <w:rPr>
          <w:rStyle w:val="CommentReference"/>
        </w:rPr>
        <w:t>3</w:t>
      </w:r>
      <w:r w:rsidRPr="00470FAC">
        <w:rPr>
          <w:rStyle w:val="CommentReference"/>
        </w:rPr>
        <w:t>: Key drivers of the model</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10"/>
        <w:gridCol w:w="6334"/>
        <w:gridCol w:w="1393"/>
      </w:tblGrid>
      <w:tr w:rsidR="00AF3E28" w:rsidRPr="00470FAC" w:rsidTr="00AF3E28">
        <w:trPr>
          <w:tblHeader/>
        </w:trPr>
        <w:tc>
          <w:tcPr>
            <w:tcW w:w="628" w:type="pct"/>
            <w:tcBorders>
              <w:top w:val="single" w:sz="4" w:space="0" w:color="auto"/>
              <w:left w:val="single" w:sz="4" w:space="0" w:color="auto"/>
              <w:bottom w:val="single" w:sz="4" w:space="0" w:color="auto"/>
              <w:right w:val="single" w:sz="4" w:space="0" w:color="auto"/>
            </w:tcBorders>
            <w:vAlign w:val="center"/>
            <w:hideMark/>
          </w:tcPr>
          <w:p w:rsidR="00AF3E28" w:rsidRPr="00470FAC" w:rsidRDefault="00AF3E28" w:rsidP="00E97DA4">
            <w:pPr>
              <w:pStyle w:val="In-tableHeading"/>
              <w:keepLines/>
              <w:jc w:val="center"/>
              <w:rPr>
                <w:lang w:val="en-AU"/>
              </w:rPr>
            </w:pPr>
            <w:r w:rsidRPr="00470FAC">
              <w:rPr>
                <w:lang w:val="en-AU"/>
              </w:rPr>
              <w:t>Description</w:t>
            </w:r>
          </w:p>
        </w:tc>
        <w:tc>
          <w:tcPr>
            <w:tcW w:w="3584" w:type="pct"/>
            <w:tcBorders>
              <w:top w:val="single" w:sz="4" w:space="0" w:color="auto"/>
              <w:left w:val="single" w:sz="4" w:space="0" w:color="auto"/>
              <w:bottom w:val="single" w:sz="4" w:space="0" w:color="auto"/>
              <w:right w:val="single" w:sz="4" w:space="0" w:color="auto"/>
            </w:tcBorders>
            <w:vAlign w:val="center"/>
            <w:hideMark/>
          </w:tcPr>
          <w:p w:rsidR="00AF3E28" w:rsidRPr="00470FAC" w:rsidRDefault="00AF3E28" w:rsidP="00E97DA4">
            <w:pPr>
              <w:pStyle w:val="In-tableHeading"/>
              <w:keepLines/>
              <w:jc w:val="center"/>
              <w:rPr>
                <w:lang w:val="en-AU"/>
              </w:rPr>
            </w:pPr>
            <w:r w:rsidRPr="00470FAC">
              <w:rPr>
                <w:lang w:val="en-AU"/>
              </w:rPr>
              <w:t>Method/Value</w:t>
            </w:r>
          </w:p>
        </w:tc>
        <w:tc>
          <w:tcPr>
            <w:tcW w:w="788" w:type="pct"/>
            <w:tcBorders>
              <w:top w:val="single" w:sz="4" w:space="0" w:color="auto"/>
              <w:left w:val="single" w:sz="4" w:space="0" w:color="auto"/>
              <w:bottom w:val="single" w:sz="4" w:space="0" w:color="auto"/>
              <w:right w:val="single" w:sz="4" w:space="0" w:color="auto"/>
            </w:tcBorders>
            <w:vAlign w:val="center"/>
            <w:hideMark/>
          </w:tcPr>
          <w:p w:rsidR="00AF3E28" w:rsidRPr="00470FAC" w:rsidRDefault="00AF3E28" w:rsidP="00E97DA4">
            <w:pPr>
              <w:pStyle w:val="In-tableHeading"/>
              <w:keepLines/>
              <w:jc w:val="center"/>
              <w:rPr>
                <w:lang w:val="en-AU"/>
              </w:rPr>
            </w:pPr>
            <w:r w:rsidRPr="00470FAC">
              <w:rPr>
                <w:lang w:val="en-AU"/>
              </w:rPr>
              <w:t>Impact</w:t>
            </w:r>
          </w:p>
        </w:tc>
      </w:tr>
      <w:tr w:rsidR="00AF3E28" w:rsidRPr="00470FAC" w:rsidTr="00AF3E28">
        <w:trPr>
          <w:tblHeader/>
        </w:trPr>
        <w:tc>
          <w:tcPr>
            <w:tcW w:w="628" w:type="pct"/>
            <w:tcBorders>
              <w:top w:val="single" w:sz="4" w:space="0" w:color="auto"/>
              <w:left w:val="single" w:sz="4" w:space="0" w:color="auto"/>
              <w:bottom w:val="single" w:sz="4" w:space="0" w:color="auto"/>
              <w:right w:val="single" w:sz="4" w:space="0" w:color="auto"/>
            </w:tcBorders>
            <w:vAlign w:val="center"/>
          </w:tcPr>
          <w:p w:rsidR="00AF3E28" w:rsidRPr="00470FAC" w:rsidRDefault="00AF3E28" w:rsidP="00E97DA4">
            <w:pPr>
              <w:pStyle w:val="In-tableHeading"/>
              <w:keepLines/>
              <w:rPr>
                <w:b w:val="0"/>
                <w:lang w:val="en-AU"/>
              </w:rPr>
            </w:pPr>
            <w:r w:rsidRPr="00470FAC">
              <w:rPr>
                <w:b w:val="0"/>
                <w:lang w:val="en-AU"/>
              </w:rPr>
              <w:t>Hazard ratio</w:t>
            </w:r>
          </w:p>
        </w:tc>
        <w:tc>
          <w:tcPr>
            <w:tcW w:w="3584" w:type="pct"/>
            <w:tcBorders>
              <w:top w:val="single" w:sz="4" w:space="0" w:color="auto"/>
              <w:left w:val="single" w:sz="4" w:space="0" w:color="auto"/>
              <w:bottom w:val="single" w:sz="4" w:space="0" w:color="auto"/>
              <w:right w:val="single" w:sz="4" w:space="0" w:color="auto"/>
            </w:tcBorders>
            <w:vAlign w:val="center"/>
          </w:tcPr>
          <w:p w:rsidR="00AF3E28" w:rsidRPr="00470FAC" w:rsidRDefault="00AF3E28" w:rsidP="00E97DA4">
            <w:pPr>
              <w:pStyle w:val="In-tableHeading"/>
              <w:keepLines/>
              <w:rPr>
                <w:b w:val="0"/>
                <w:lang w:val="en-AU"/>
              </w:rPr>
            </w:pPr>
            <w:r w:rsidRPr="00470FAC">
              <w:rPr>
                <w:b w:val="0"/>
                <w:lang w:val="en-AU"/>
              </w:rPr>
              <w:t xml:space="preserve">The model was sensitive to the hazard ratio applied to the SOC OS curve to determine the OS curve for the darolutamide arm. </w:t>
            </w:r>
            <w:r w:rsidRPr="00470FAC">
              <w:rPr>
                <w:b w:val="0"/>
                <w:iCs/>
              </w:rPr>
              <w:t>Although darolutamide demonstrated a statistically significant advantage for darolutamide in OS (HR = 0.685; 95% CI: 0.53, 0.88), the magnitude of the benefit was still uncertain, as median OS had not yet been reached</w:t>
            </w:r>
            <w:r w:rsidR="00BE5946" w:rsidRPr="00470FAC">
              <w:rPr>
                <w:b w:val="0"/>
                <w:iCs/>
              </w:rPr>
              <w:t xml:space="preserve"> in either arm of the ARAMIS trial</w:t>
            </w:r>
            <w:r w:rsidRPr="00470FAC">
              <w:rPr>
                <w:b w:val="0"/>
                <w:iCs/>
              </w:rPr>
              <w:t xml:space="preserve">.  </w:t>
            </w:r>
          </w:p>
        </w:tc>
        <w:tc>
          <w:tcPr>
            <w:tcW w:w="788" w:type="pct"/>
            <w:tcBorders>
              <w:top w:val="single" w:sz="4" w:space="0" w:color="auto"/>
              <w:left w:val="single" w:sz="4" w:space="0" w:color="auto"/>
              <w:bottom w:val="single" w:sz="4" w:space="0" w:color="auto"/>
              <w:right w:val="single" w:sz="4" w:space="0" w:color="auto"/>
            </w:tcBorders>
            <w:vAlign w:val="center"/>
          </w:tcPr>
          <w:p w:rsidR="00AF3E28" w:rsidRPr="00470FAC" w:rsidRDefault="00AF3E28" w:rsidP="00E97DA4">
            <w:pPr>
              <w:pStyle w:val="In-tableHeading"/>
              <w:keepLines/>
              <w:jc w:val="center"/>
              <w:rPr>
                <w:b w:val="0"/>
                <w:lang w:val="en-AU"/>
              </w:rPr>
            </w:pPr>
            <w:r w:rsidRPr="00470FAC">
              <w:rPr>
                <w:b w:val="0"/>
                <w:lang w:val="en-AU"/>
              </w:rPr>
              <w:t>Moderate</w:t>
            </w:r>
          </w:p>
        </w:tc>
      </w:tr>
      <w:tr w:rsidR="00AF3E28" w:rsidRPr="00470FAC" w:rsidTr="00AF3E28">
        <w:tc>
          <w:tcPr>
            <w:tcW w:w="628" w:type="pct"/>
            <w:tcBorders>
              <w:top w:val="single" w:sz="4" w:space="0" w:color="auto"/>
              <w:left w:val="single" w:sz="4" w:space="0" w:color="auto"/>
              <w:bottom w:val="single" w:sz="4" w:space="0" w:color="auto"/>
              <w:right w:val="single" w:sz="4" w:space="0" w:color="auto"/>
            </w:tcBorders>
            <w:vAlign w:val="center"/>
            <w:hideMark/>
          </w:tcPr>
          <w:p w:rsidR="00AF3E28" w:rsidRPr="00470FAC" w:rsidRDefault="00AF3E28" w:rsidP="00E97DA4">
            <w:pPr>
              <w:pStyle w:val="TableText0"/>
              <w:keepLines/>
            </w:pPr>
            <w:r w:rsidRPr="00470FAC">
              <w:t>Utilities</w:t>
            </w:r>
          </w:p>
        </w:tc>
        <w:tc>
          <w:tcPr>
            <w:tcW w:w="3584" w:type="pct"/>
            <w:tcBorders>
              <w:top w:val="single" w:sz="4" w:space="0" w:color="auto"/>
              <w:left w:val="single" w:sz="4" w:space="0" w:color="auto"/>
              <w:bottom w:val="single" w:sz="4" w:space="0" w:color="auto"/>
              <w:right w:val="single" w:sz="4" w:space="0" w:color="auto"/>
            </w:tcBorders>
            <w:vAlign w:val="center"/>
            <w:hideMark/>
          </w:tcPr>
          <w:p w:rsidR="00AF3E28" w:rsidRPr="00470FAC" w:rsidRDefault="00AF3E28" w:rsidP="00E97DA4">
            <w:pPr>
              <w:pStyle w:val="TableText0"/>
              <w:keepLines/>
              <w:rPr>
                <w:iCs/>
              </w:rPr>
            </w:pPr>
            <w:r w:rsidRPr="00470FAC">
              <w:rPr>
                <w:iCs/>
              </w:rPr>
              <w:t>The value of 0.5</w:t>
            </w:r>
            <w:r w:rsidR="00C969E7">
              <w:rPr>
                <w:iCs/>
              </w:rPr>
              <w:t>6</w:t>
            </w:r>
            <w:r w:rsidRPr="00470FAC">
              <w:rPr>
                <w:iCs/>
              </w:rPr>
              <w:t xml:space="preserve"> for patients in the mCRPC health state was considerably lower than the value applied to patients in the m0CRPC health state (0.813). </w:t>
            </w:r>
          </w:p>
        </w:tc>
        <w:tc>
          <w:tcPr>
            <w:tcW w:w="788" w:type="pct"/>
            <w:tcBorders>
              <w:top w:val="single" w:sz="4" w:space="0" w:color="auto"/>
              <w:left w:val="single" w:sz="4" w:space="0" w:color="auto"/>
              <w:bottom w:val="single" w:sz="4" w:space="0" w:color="auto"/>
              <w:right w:val="single" w:sz="4" w:space="0" w:color="auto"/>
            </w:tcBorders>
            <w:vAlign w:val="center"/>
            <w:hideMark/>
          </w:tcPr>
          <w:p w:rsidR="00AF3E28" w:rsidRPr="00470FAC" w:rsidRDefault="00AF3E28" w:rsidP="00E97DA4">
            <w:pPr>
              <w:pStyle w:val="TableText0"/>
              <w:keepLines/>
              <w:jc w:val="center"/>
            </w:pPr>
            <w:r w:rsidRPr="00470FAC">
              <w:t>Moderate, favours darolutamide</w:t>
            </w:r>
          </w:p>
        </w:tc>
      </w:tr>
      <w:tr w:rsidR="006E31BF" w:rsidRPr="006A65C9" w:rsidTr="00AF3E28">
        <w:tc>
          <w:tcPr>
            <w:tcW w:w="628" w:type="pct"/>
            <w:tcBorders>
              <w:top w:val="single" w:sz="4" w:space="0" w:color="auto"/>
              <w:left w:val="single" w:sz="4" w:space="0" w:color="auto"/>
              <w:bottom w:val="single" w:sz="4" w:space="0" w:color="auto"/>
              <w:right w:val="single" w:sz="4" w:space="0" w:color="auto"/>
            </w:tcBorders>
            <w:vAlign w:val="center"/>
          </w:tcPr>
          <w:p w:rsidR="006E31BF" w:rsidRPr="006A65C9" w:rsidRDefault="006E31BF" w:rsidP="00E97DA4">
            <w:pPr>
              <w:pStyle w:val="TableText0"/>
              <w:keepLines/>
            </w:pPr>
            <w:r w:rsidRPr="006A65C9">
              <w:t>Extrapolation approach</w:t>
            </w:r>
          </w:p>
        </w:tc>
        <w:tc>
          <w:tcPr>
            <w:tcW w:w="3584" w:type="pct"/>
            <w:tcBorders>
              <w:top w:val="single" w:sz="4" w:space="0" w:color="auto"/>
              <w:left w:val="single" w:sz="4" w:space="0" w:color="auto"/>
              <w:bottom w:val="single" w:sz="4" w:space="0" w:color="auto"/>
              <w:right w:val="single" w:sz="4" w:space="0" w:color="auto"/>
            </w:tcBorders>
            <w:vAlign w:val="center"/>
          </w:tcPr>
          <w:p w:rsidR="006E31BF" w:rsidRPr="006A65C9" w:rsidRDefault="006E31BF" w:rsidP="002747DE">
            <w:pPr>
              <w:pStyle w:val="TableText0"/>
              <w:keepLines/>
              <w:rPr>
                <w:iCs/>
              </w:rPr>
            </w:pPr>
            <w:r w:rsidRPr="006A65C9">
              <w:rPr>
                <w:iCs/>
              </w:rPr>
              <w:t xml:space="preserve">The overall approach to extrapolation resulted in a large proportion of patients remaining alive </w:t>
            </w:r>
            <w:r w:rsidR="002747DE" w:rsidRPr="006A65C9">
              <w:rPr>
                <w:iCs/>
              </w:rPr>
              <w:t xml:space="preserve">at 10 years </w:t>
            </w:r>
            <w:r w:rsidR="002747DE" w:rsidRPr="003138B2">
              <w:rPr>
                <w:iCs/>
              </w:rPr>
              <w:t>(19%</w:t>
            </w:r>
            <w:r w:rsidR="002747DE" w:rsidRPr="006A65C9">
              <w:rPr>
                <w:iCs/>
              </w:rPr>
              <w:t xml:space="preserve"> in the darolutamide arm) particularly given the average age of patients was 73.6 years at the beginning of the model.  </w:t>
            </w:r>
          </w:p>
        </w:tc>
        <w:tc>
          <w:tcPr>
            <w:tcW w:w="788" w:type="pct"/>
            <w:tcBorders>
              <w:top w:val="single" w:sz="4" w:space="0" w:color="auto"/>
              <w:left w:val="single" w:sz="4" w:space="0" w:color="auto"/>
              <w:bottom w:val="single" w:sz="4" w:space="0" w:color="auto"/>
              <w:right w:val="single" w:sz="4" w:space="0" w:color="auto"/>
            </w:tcBorders>
            <w:vAlign w:val="center"/>
          </w:tcPr>
          <w:p w:rsidR="006E31BF" w:rsidRPr="006A65C9" w:rsidRDefault="00A31E8C" w:rsidP="00E97DA4">
            <w:pPr>
              <w:pStyle w:val="TableText0"/>
              <w:keepLines/>
              <w:jc w:val="center"/>
            </w:pPr>
            <w:r w:rsidRPr="006A65C9">
              <w:t>Moderate, favours darolutamide</w:t>
            </w:r>
          </w:p>
        </w:tc>
      </w:tr>
    </w:tbl>
    <w:p w:rsidR="00AF3E28" w:rsidRPr="00470FAC" w:rsidRDefault="00AF3E28" w:rsidP="00E97DA4">
      <w:pPr>
        <w:keepNext/>
        <w:keepLines/>
        <w:rPr>
          <w:rFonts w:ascii="Arial Narrow" w:hAnsi="Arial Narrow"/>
          <w:sz w:val="18"/>
          <w:szCs w:val="18"/>
          <w:lang w:eastAsia="en-GB"/>
        </w:rPr>
      </w:pPr>
      <w:r w:rsidRPr="00470FAC">
        <w:rPr>
          <w:rFonts w:ascii="Arial Narrow" w:hAnsi="Arial Narrow"/>
          <w:sz w:val="18"/>
          <w:szCs w:val="18"/>
        </w:rPr>
        <w:t>Source: Section 3.4</w:t>
      </w:r>
      <w:r w:rsidR="00033992" w:rsidRPr="00470FAC">
        <w:rPr>
          <w:rFonts w:ascii="Arial Narrow" w:hAnsi="Arial Narrow"/>
          <w:sz w:val="18"/>
          <w:szCs w:val="18"/>
        </w:rPr>
        <w:t>.3, pp233-234</w:t>
      </w:r>
      <w:r w:rsidRPr="00470FAC">
        <w:rPr>
          <w:rFonts w:ascii="Arial Narrow" w:hAnsi="Arial Narrow"/>
          <w:sz w:val="18"/>
          <w:szCs w:val="18"/>
        </w:rPr>
        <w:t xml:space="preserve"> </w:t>
      </w:r>
      <w:r w:rsidR="00033992" w:rsidRPr="00470FAC">
        <w:rPr>
          <w:rFonts w:ascii="Arial Narrow" w:hAnsi="Arial Narrow"/>
          <w:sz w:val="18"/>
          <w:szCs w:val="18"/>
        </w:rPr>
        <w:t>and</w:t>
      </w:r>
      <w:r w:rsidRPr="00470FAC">
        <w:rPr>
          <w:rFonts w:ascii="Arial Narrow" w:hAnsi="Arial Narrow"/>
          <w:sz w:val="18"/>
          <w:szCs w:val="18"/>
        </w:rPr>
        <w:t xml:space="preserve"> Section 3.5</w:t>
      </w:r>
      <w:r w:rsidR="00033992" w:rsidRPr="00470FAC">
        <w:rPr>
          <w:rFonts w:ascii="Arial Narrow" w:hAnsi="Arial Narrow"/>
          <w:sz w:val="18"/>
          <w:szCs w:val="18"/>
        </w:rPr>
        <w:t>.2, pp256-259</w:t>
      </w:r>
      <w:r w:rsidRPr="00470FAC">
        <w:rPr>
          <w:rFonts w:ascii="Arial Narrow" w:hAnsi="Arial Narrow"/>
          <w:sz w:val="18"/>
          <w:szCs w:val="18"/>
        </w:rPr>
        <w:t xml:space="preserve"> of the </w:t>
      </w:r>
      <w:r w:rsidR="00033992" w:rsidRPr="00470FAC">
        <w:rPr>
          <w:rFonts w:ascii="Arial Narrow" w:hAnsi="Arial Narrow"/>
          <w:sz w:val="18"/>
          <w:szCs w:val="18"/>
        </w:rPr>
        <w:t>re</w:t>
      </w:r>
      <w:r w:rsidRPr="00470FAC">
        <w:rPr>
          <w:rFonts w:ascii="Arial Narrow" w:hAnsi="Arial Narrow"/>
          <w:sz w:val="18"/>
          <w:szCs w:val="18"/>
        </w:rPr>
        <w:t>submission.</w:t>
      </w:r>
    </w:p>
    <w:p w:rsidR="00AF3E28" w:rsidRPr="00470FAC" w:rsidRDefault="00033992" w:rsidP="00E97DA4">
      <w:pPr>
        <w:keepNext/>
        <w:keepLines/>
        <w:rPr>
          <w:rFonts w:ascii="Arial Narrow" w:hAnsi="Arial Narrow"/>
          <w:sz w:val="18"/>
          <w:szCs w:val="18"/>
        </w:rPr>
      </w:pPr>
      <w:r w:rsidRPr="00470FAC">
        <w:rPr>
          <w:rFonts w:ascii="Arial Narrow" w:hAnsi="Arial Narrow"/>
          <w:sz w:val="18"/>
          <w:szCs w:val="18"/>
        </w:rPr>
        <w:t xml:space="preserve">CI = confidence interval; HR = hazard ratio; </w:t>
      </w:r>
      <w:r w:rsidR="00AF3E28" w:rsidRPr="00470FAC">
        <w:rPr>
          <w:rFonts w:ascii="Arial Narrow" w:hAnsi="Arial Narrow"/>
          <w:sz w:val="18"/>
          <w:szCs w:val="18"/>
        </w:rPr>
        <w:t>m0CRPC</w:t>
      </w:r>
      <w:r w:rsidRPr="00470FAC">
        <w:rPr>
          <w:rFonts w:ascii="Arial Narrow" w:hAnsi="Arial Narrow"/>
          <w:sz w:val="18"/>
          <w:szCs w:val="18"/>
        </w:rPr>
        <w:t xml:space="preserve"> </w:t>
      </w:r>
      <w:r w:rsidR="00AF3E28" w:rsidRPr="00470FAC">
        <w:rPr>
          <w:rFonts w:ascii="Arial Narrow" w:hAnsi="Arial Narrow"/>
          <w:sz w:val="18"/>
          <w:szCs w:val="18"/>
        </w:rPr>
        <w:t>=</w:t>
      </w:r>
      <w:r w:rsidRPr="00470FAC">
        <w:rPr>
          <w:rFonts w:ascii="Arial Narrow" w:hAnsi="Arial Narrow"/>
          <w:sz w:val="18"/>
          <w:szCs w:val="18"/>
        </w:rPr>
        <w:t xml:space="preserve"> </w:t>
      </w:r>
      <w:r w:rsidR="00AF3E28" w:rsidRPr="00470FAC">
        <w:rPr>
          <w:rFonts w:ascii="Arial Narrow" w:hAnsi="Arial Narrow"/>
          <w:sz w:val="18"/>
          <w:szCs w:val="18"/>
        </w:rPr>
        <w:t xml:space="preserve">non-metastatic castration resistant prostate cancer; </w:t>
      </w:r>
      <w:r w:rsidRPr="00470FAC">
        <w:rPr>
          <w:rFonts w:ascii="Arial Narrow" w:hAnsi="Arial Narrow"/>
          <w:sz w:val="18"/>
          <w:szCs w:val="18"/>
        </w:rPr>
        <w:t xml:space="preserve">mCRPC = metastatic castration resistant prostate cancer; </w:t>
      </w:r>
      <w:r w:rsidR="00AF3E28" w:rsidRPr="00470FAC">
        <w:rPr>
          <w:rFonts w:ascii="Arial Narrow" w:hAnsi="Arial Narrow"/>
          <w:sz w:val="18"/>
          <w:szCs w:val="18"/>
        </w:rPr>
        <w:t>OS</w:t>
      </w:r>
      <w:r w:rsidRPr="00470FAC">
        <w:rPr>
          <w:rFonts w:ascii="Arial Narrow" w:hAnsi="Arial Narrow"/>
          <w:sz w:val="18"/>
          <w:szCs w:val="18"/>
        </w:rPr>
        <w:t xml:space="preserve"> </w:t>
      </w:r>
      <w:r w:rsidR="00AF3E28" w:rsidRPr="00470FAC">
        <w:rPr>
          <w:rFonts w:ascii="Arial Narrow" w:hAnsi="Arial Narrow"/>
          <w:sz w:val="18"/>
          <w:szCs w:val="18"/>
        </w:rPr>
        <w:t>=</w:t>
      </w:r>
      <w:r w:rsidRPr="00470FAC">
        <w:rPr>
          <w:rFonts w:ascii="Arial Narrow" w:hAnsi="Arial Narrow"/>
          <w:sz w:val="18"/>
          <w:szCs w:val="18"/>
        </w:rPr>
        <w:t xml:space="preserve"> </w:t>
      </w:r>
      <w:r w:rsidR="00AF3E28" w:rsidRPr="00470FAC">
        <w:rPr>
          <w:rFonts w:ascii="Arial Narrow" w:hAnsi="Arial Narrow"/>
          <w:sz w:val="18"/>
          <w:szCs w:val="18"/>
        </w:rPr>
        <w:t>overall survival; SOC</w:t>
      </w:r>
      <w:r w:rsidRPr="00470FAC">
        <w:rPr>
          <w:rFonts w:ascii="Arial Narrow" w:hAnsi="Arial Narrow"/>
          <w:sz w:val="18"/>
          <w:szCs w:val="18"/>
        </w:rPr>
        <w:t xml:space="preserve"> </w:t>
      </w:r>
      <w:r w:rsidR="00AF3E28" w:rsidRPr="00470FAC">
        <w:rPr>
          <w:rFonts w:ascii="Arial Narrow" w:hAnsi="Arial Narrow"/>
          <w:sz w:val="18"/>
          <w:szCs w:val="18"/>
        </w:rPr>
        <w:t>=</w:t>
      </w:r>
      <w:r w:rsidRPr="00470FAC">
        <w:rPr>
          <w:rFonts w:ascii="Arial Narrow" w:hAnsi="Arial Narrow"/>
          <w:sz w:val="18"/>
          <w:szCs w:val="18"/>
        </w:rPr>
        <w:t xml:space="preserve"> </w:t>
      </w:r>
      <w:r w:rsidR="00AF3E28" w:rsidRPr="00470FAC">
        <w:rPr>
          <w:rFonts w:ascii="Arial Narrow" w:hAnsi="Arial Narrow"/>
          <w:sz w:val="18"/>
          <w:szCs w:val="18"/>
        </w:rPr>
        <w:t>standard of care</w:t>
      </w:r>
    </w:p>
    <w:p w:rsidR="00AF3E28" w:rsidRDefault="00AF3E28" w:rsidP="0030737B">
      <w:pPr>
        <w:rPr>
          <w:lang w:val="en-US"/>
        </w:rPr>
      </w:pPr>
    </w:p>
    <w:p w:rsidR="00B23471" w:rsidRPr="00B23471" w:rsidRDefault="00AD39DD" w:rsidP="00462C37">
      <w:pPr>
        <w:pStyle w:val="3-BodyText"/>
        <w:keepLines/>
        <w:rPr>
          <w:rFonts w:ascii="Arial Narrow" w:hAnsi="Arial Narrow"/>
          <w:b/>
          <w:sz w:val="20"/>
          <w:szCs w:val="16"/>
        </w:rPr>
      </w:pPr>
      <w:r w:rsidRPr="00470FAC">
        <w:t xml:space="preserve">The results of the economic evaluation are presented below. </w:t>
      </w:r>
      <w:r w:rsidRPr="006A65C9">
        <w:t>The resubmission noted that an effective price for enzalutamide and abiraterone have been assumed based on the effective price of enzalutamide provided to the sponsor as part of the listing of radium 223, while the price used for cabazitaxel was the published price.</w:t>
      </w:r>
      <w:r w:rsidRPr="00470FAC">
        <w:t xml:space="preserve"> </w:t>
      </w:r>
    </w:p>
    <w:p w:rsidR="00AD39DD" w:rsidRDefault="00AD39DD" w:rsidP="00462C37">
      <w:pPr>
        <w:pStyle w:val="3-BodyText"/>
        <w:keepNext/>
        <w:keepLines/>
        <w:numPr>
          <w:ilvl w:val="0"/>
          <w:numId w:val="0"/>
        </w:numPr>
        <w:spacing w:after="0"/>
        <w:rPr>
          <w:rStyle w:val="CommentReference"/>
        </w:rPr>
      </w:pPr>
      <w:r>
        <w:rPr>
          <w:rStyle w:val="CommentReference"/>
        </w:rPr>
        <w:lastRenderedPageBreak/>
        <w:t>Table 1</w:t>
      </w:r>
      <w:r w:rsidR="000C08E6">
        <w:rPr>
          <w:rStyle w:val="CommentReference"/>
        </w:rPr>
        <w:t>4</w:t>
      </w:r>
      <w:r>
        <w:rPr>
          <w:rStyle w:val="CommentReference"/>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AD39DD" w:rsidTr="00AD39DD">
        <w:trPr>
          <w:tblHeader/>
        </w:trPr>
        <w:tc>
          <w:tcPr>
            <w:tcW w:w="1529" w:type="pct"/>
            <w:tcBorders>
              <w:top w:val="single" w:sz="4" w:space="0" w:color="auto"/>
              <w:left w:val="single" w:sz="4" w:space="0" w:color="auto"/>
              <w:bottom w:val="single" w:sz="4" w:space="0" w:color="auto"/>
              <w:right w:val="single" w:sz="4" w:space="0" w:color="auto"/>
            </w:tcBorders>
            <w:vAlign w:val="center"/>
            <w:hideMark/>
          </w:tcPr>
          <w:p w:rsidR="00AD39DD" w:rsidRDefault="00AD39DD" w:rsidP="00462C37">
            <w:pPr>
              <w:pStyle w:val="Tabletext"/>
              <w:keepNext/>
              <w:widowControl w:val="0"/>
            </w:pPr>
            <w:r>
              <w:rPr>
                <w:b/>
              </w:rPr>
              <w:t>Step and component</w:t>
            </w:r>
          </w:p>
        </w:tc>
        <w:tc>
          <w:tcPr>
            <w:tcW w:w="1359" w:type="pct"/>
            <w:tcBorders>
              <w:top w:val="single" w:sz="4" w:space="0" w:color="auto"/>
              <w:left w:val="single" w:sz="4" w:space="0" w:color="auto"/>
              <w:bottom w:val="single" w:sz="4" w:space="0" w:color="auto"/>
              <w:right w:val="single" w:sz="4" w:space="0" w:color="auto"/>
            </w:tcBorders>
            <w:vAlign w:val="center"/>
            <w:hideMark/>
          </w:tcPr>
          <w:p w:rsidR="00AD39DD" w:rsidRDefault="00AD39DD" w:rsidP="00462C37">
            <w:pPr>
              <w:pStyle w:val="Tabletext"/>
              <w:keepNext/>
              <w:widowControl w:val="0"/>
              <w:jc w:val="center"/>
              <w:rPr>
                <w:b/>
              </w:rPr>
            </w:pPr>
            <w:r>
              <w:rPr>
                <w:b/>
              </w:rPr>
              <w:t>Darolutamide</w:t>
            </w:r>
          </w:p>
        </w:tc>
        <w:tc>
          <w:tcPr>
            <w:tcW w:w="1274" w:type="pct"/>
            <w:tcBorders>
              <w:top w:val="single" w:sz="4" w:space="0" w:color="auto"/>
              <w:left w:val="single" w:sz="4" w:space="0" w:color="auto"/>
              <w:bottom w:val="single" w:sz="4" w:space="0" w:color="auto"/>
              <w:right w:val="single" w:sz="4" w:space="0" w:color="auto"/>
            </w:tcBorders>
            <w:vAlign w:val="center"/>
            <w:hideMark/>
          </w:tcPr>
          <w:p w:rsidR="00AD39DD" w:rsidRDefault="00AD39DD" w:rsidP="00462C37">
            <w:pPr>
              <w:pStyle w:val="Tabletext"/>
              <w:keepNext/>
              <w:widowControl w:val="0"/>
              <w:jc w:val="center"/>
              <w:rPr>
                <w:b/>
              </w:rPr>
            </w:pPr>
            <w:r>
              <w:rPr>
                <w:b/>
              </w:rPr>
              <w:t>SOC</w:t>
            </w:r>
          </w:p>
        </w:tc>
        <w:tc>
          <w:tcPr>
            <w:tcW w:w="838" w:type="pct"/>
            <w:tcBorders>
              <w:top w:val="single" w:sz="4" w:space="0" w:color="auto"/>
              <w:left w:val="single" w:sz="4" w:space="0" w:color="auto"/>
              <w:bottom w:val="single" w:sz="4" w:space="0" w:color="auto"/>
              <w:right w:val="single" w:sz="4" w:space="0" w:color="auto"/>
            </w:tcBorders>
            <w:vAlign w:val="center"/>
            <w:hideMark/>
          </w:tcPr>
          <w:p w:rsidR="00AD39DD" w:rsidRDefault="00AD39DD" w:rsidP="00462C37">
            <w:pPr>
              <w:pStyle w:val="Tabletext"/>
              <w:keepNext/>
              <w:widowControl w:val="0"/>
              <w:jc w:val="center"/>
              <w:rPr>
                <w:b/>
              </w:rPr>
            </w:pPr>
            <w:r>
              <w:rPr>
                <w:b/>
              </w:rPr>
              <w:t>Increment</w:t>
            </w:r>
          </w:p>
        </w:tc>
      </w:tr>
      <w:tr w:rsidR="00AD39DD" w:rsidTr="00AD39DD">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AD39DD" w:rsidRDefault="00AD39DD" w:rsidP="00462C37">
            <w:pPr>
              <w:pStyle w:val="Tabletext"/>
              <w:keepNext/>
              <w:widowControl w:val="0"/>
              <w:rPr>
                <w:b/>
              </w:rPr>
            </w:pPr>
            <w:r>
              <w:rPr>
                <w:b/>
              </w:rPr>
              <w:t>Step 1: trial-based time horizon (4.5 years)</w:t>
            </w:r>
          </w:p>
        </w:tc>
      </w:tr>
      <w:tr w:rsidR="00AD39DD" w:rsidTr="00AD39DD">
        <w:tc>
          <w:tcPr>
            <w:tcW w:w="1529" w:type="pct"/>
            <w:tcBorders>
              <w:top w:val="single" w:sz="4" w:space="0" w:color="auto"/>
              <w:left w:val="single" w:sz="4" w:space="0" w:color="auto"/>
              <w:bottom w:val="single" w:sz="4" w:space="0" w:color="auto"/>
              <w:right w:val="single" w:sz="4" w:space="0" w:color="auto"/>
            </w:tcBorders>
            <w:vAlign w:val="center"/>
            <w:hideMark/>
          </w:tcPr>
          <w:p w:rsidR="00AD39DD" w:rsidRDefault="00AD39DD" w:rsidP="00462C37">
            <w:pPr>
              <w:pStyle w:val="Tabletext"/>
              <w:keepNext/>
              <w:widowControl w:val="0"/>
              <w:rPr>
                <w:rFonts w:ascii="Times" w:hAnsi="Times"/>
              </w:rPr>
            </w:pPr>
            <w:r>
              <w:t>Costs</w:t>
            </w:r>
          </w:p>
        </w:tc>
        <w:tc>
          <w:tcPr>
            <w:tcW w:w="1359" w:type="pct"/>
            <w:tcBorders>
              <w:top w:val="single" w:sz="4" w:space="0" w:color="auto"/>
              <w:left w:val="single" w:sz="4" w:space="0" w:color="auto"/>
              <w:bottom w:val="single" w:sz="4" w:space="0" w:color="auto"/>
              <w:right w:val="single" w:sz="4" w:space="0" w:color="auto"/>
            </w:tcBorders>
          </w:tcPr>
          <w:p w:rsidR="00AD39DD" w:rsidRPr="00534F48" w:rsidRDefault="00AD39DD" w:rsidP="00462C37">
            <w:pPr>
              <w:pStyle w:val="Tabletext"/>
              <w:keepNext/>
              <w:widowControl w:val="0"/>
              <w:jc w:val="center"/>
            </w:pPr>
            <w:r w:rsidRPr="00534F48">
              <w:t>$</w:t>
            </w:r>
            <w:r w:rsidR="006C3115">
              <w:rPr>
                <w:noProof/>
                <w:color w:val="000000"/>
                <w:highlight w:val="black"/>
              </w:rPr>
              <w:t>'''''''''''''''</w:t>
            </w:r>
          </w:p>
        </w:tc>
        <w:tc>
          <w:tcPr>
            <w:tcW w:w="1274" w:type="pct"/>
            <w:tcBorders>
              <w:top w:val="single" w:sz="4" w:space="0" w:color="auto"/>
              <w:left w:val="single" w:sz="4" w:space="0" w:color="auto"/>
              <w:bottom w:val="single" w:sz="4" w:space="0" w:color="auto"/>
              <w:right w:val="single" w:sz="4" w:space="0" w:color="auto"/>
            </w:tcBorders>
          </w:tcPr>
          <w:p w:rsidR="00AD39DD" w:rsidRPr="00185A6F" w:rsidRDefault="00AD39DD" w:rsidP="00185A6F">
            <w:pPr>
              <w:pStyle w:val="Tabletext"/>
              <w:keepNext/>
              <w:widowControl w:val="0"/>
              <w:jc w:val="center"/>
              <w:rPr>
                <w:vertAlign w:val="superscript"/>
              </w:rPr>
            </w:pPr>
            <w:r w:rsidRPr="003138B2">
              <w:t>$38,234</w:t>
            </w:r>
          </w:p>
        </w:tc>
        <w:tc>
          <w:tcPr>
            <w:tcW w:w="838" w:type="pct"/>
            <w:tcBorders>
              <w:top w:val="single" w:sz="4" w:space="0" w:color="auto"/>
              <w:left w:val="single" w:sz="4" w:space="0" w:color="auto"/>
              <w:bottom w:val="single" w:sz="4" w:space="0" w:color="auto"/>
              <w:right w:val="single" w:sz="4" w:space="0" w:color="auto"/>
            </w:tcBorders>
          </w:tcPr>
          <w:p w:rsidR="00AD39DD" w:rsidRPr="00534F48" w:rsidRDefault="00AD39DD" w:rsidP="00462C37">
            <w:pPr>
              <w:pStyle w:val="Tabletext"/>
              <w:keepNext/>
              <w:widowControl w:val="0"/>
              <w:jc w:val="center"/>
            </w:pPr>
            <w:r w:rsidRPr="00534F48">
              <w:t>$</w:t>
            </w:r>
            <w:r w:rsidR="006C3115">
              <w:rPr>
                <w:noProof/>
                <w:color w:val="000000"/>
                <w:highlight w:val="black"/>
              </w:rPr>
              <w:t>''''''''''''''''</w:t>
            </w:r>
            <w:r w:rsidR="00185A6F">
              <w:rPr>
                <w:vertAlign w:val="superscript"/>
              </w:rPr>
              <w:t>1</w:t>
            </w:r>
          </w:p>
        </w:tc>
      </w:tr>
      <w:tr w:rsidR="00AD39DD" w:rsidTr="00AD39DD">
        <w:tc>
          <w:tcPr>
            <w:tcW w:w="1529" w:type="pct"/>
            <w:tcBorders>
              <w:top w:val="single" w:sz="4" w:space="0" w:color="auto"/>
              <w:left w:val="single" w:sz="4" w:space="0" w:color="auto"/>
              <w:bottom w:val="single" w:sz="4" w:space="0" w:color="auto"/>
              <w:right w:val="single" w:sz="4" w:space="0" w:color="auto"/>
            </w:tcBorders>
            <w:vAlign w:val="center"/>
            <w:hideMark/>
          </w:tcPr>
          <w:p w:rsidR="00AD39DD" w:rsidRDefault="00AD39DD" w:rsidP="00462C37">
            <w:pPr>
              <w:pStyle w:val="Tabletext"/>
              <w:keepNext/>
              <w:widowControl w:val="0"/>
            </w:pPr>
            <w:r>
              <w:t>LY</w:t>
            </w:r>
          </w:p>
        </w:tc>
        <w:tc>
          <w:tcPr>
            <w:tcW w:w="1359" w:type="pct"/>
            <w:tcBorders>
              <w:top w:val="single" w:sz="4" w:space="0" w:color="auto"/>
              <w:left w:val="single" w:sz="4" w:space="0" w:color="auto"/>
              <w:bottom w:val="single" w:sz="4" w:space="0" w:color="auto"/>
              <w:right w:val="single" w:sz="4" w:space="0" w:color="auto"/>
            </w:tcBorders>
          </w:tcPr>
          <w:p w:rsidR="00AD39DD" w:rsidRPr="00534F48" w:rsidRDefault="00AD39DD" w:rsidP="00462C37">
            <w:pPr>
              <w:pStyle w:val="Tabletext"/>
              <w:keepNext/>
              <w:widowControl w:val="0"/>
              <w:jc w:val="center"/>
              <w:rPr>
                <w:rFonts w:cs="Arial"/>
                <w:color w:val="000000"/>
              </w:rPr>
            </w:pPr>
            <w:r w:rsidRPr="00534F48">
              <w:rPr>
                <w:rFonts w:cs="Arial"/>
                <w:color w:val="000000"/>
              </w:rPr>
              <w:t>3.50</w:t>
            </w:r>
          </w:p>
        </w:tc>
        <w:tc>
          <w:tcPr>
            <w:tcW w:w="1274" w:type="pct"/>
            <w:tcBorders>
              <w:top w:val="single" w:sz="4" w:space="0" w:color="auto"/>
              <w:left w:val="single" w:sz="4" w:space="0" w:color="auto"/>
              <w:bottom w:val="single" w:sz="4" w:space="0" w:color="auto"/>
              <w:right w:val="single" w:sz="4" w:space="0" w:color="auto"/>
            </w:tcBorders>
          </w:tcPr>
          <w:p w:rsidR="00AD39DD" w:rsidRPr="00534F48" w:rsidRDefault="00AD39DD" w:rsidP="00462C37">
            <w:pPr>
              <w:pStyle w:val="Tabletext"/>
              <w:keepNext/>
              <w:widowControl w:val="0"/>
              <w:jc w:val="center"/>
              <w:rPr>
                <w:rFonts w:cs="Arial"/>
                <w:color w:val="000000"/>
              </w:rPr>
            </w:pPr>
            <w:r w:rsidRPr="00534F48">
              <w:rPr>
                <w:rFonts w:cs="Arial"/>
                <w:color w:val="000000"/>
              </w:rPr>
              <w:t>3.29</w:t>
            </w:r>
          </w:p>
        </w:tc>
        <w:tc>
          <w:tcPr>
            <w:tcW w:w="838" w:type="pct"/>
            <w:tcBorders>
              <w:top w:val="single" w:sz="4" w:space="0" w:color="auto"/>
              <w:left w:val="single" w:sz="4" w:space="0" w:color="auto"/>
              <w:bottom w:val="single" w:sz="4" w:space="0" w:color="auto"/>
              <w:right w:val="single" w:sz="4" w:space="0" w:color="auto"/>
            </w:tcBorders>
          </w:tcPr>
          <w:p w:rsidR="00AD39DD" w:rsidRPr="00534F48" w:rsidRDefault="00AD39DD" w:rsidP="00462C37">
            <w:pPr>
              <w:pStyle w:val="Tabletext"/>
              <w:keepNext/>
              <w:widowControl w:val="0"/>
              <w:jc w:val="center"/>
              <w:rPr>
                <w:rFonts w:cs="Arial"/>
                <w:color w:val="000000"/>
              </w:rPr>
            </w:pPr>
            <w:r w:rsidRPr="00534F48">
              <w:rPr>
                <w:rFonts w:cs="Arial"/>
                <w:color w:val="000000"/>
              </w:rPr>
              <w:t>0.21</w:t>
            </w:r>
          </w:p>
        </w:tc>
      </w:tr>
      <w:tr w:rsidR="00AD39DD" w:rsidTr="00AD39DD">
        <w:tc>
          <w:tcPr>
            <w:tcW w:w="1529" w:type="pct"/>
            <w:tcBorders>
              <w:top w:val="single" w:sz="4" w:space="0" w:color="auto"/>
              <w:left w:val="single" w:sz="4" w:space="0" w:color="auto"/>
              <w:bottom w:val="single" w:sz="4" w:space="0" w:color="auto"/>
              <w:right w:val="single" w:sz="4" w:space="0" w:color="auto"/>
            </w:tcBorders>
            <w:vAlign w:val="center"/>
            <w:hideMark/>
          </w:tcPr>
          <w:p w:rsidR="00AD39DD" w:rsidRDefault="00AD39DD" w:rsidP="00462C37">
            <w:pPr>
              <w:pStyle w:val="Tabletext"/>
              <w:keepNext/>
              <w:widowControl w:val="0"/>
            </w:pPr>
            <w:r>
              <w:t>QALY</w:t>
            </w:r>
          </w:p>
        </w:tc>
        <w:tc>
          <w:tcPr>
            <w:tcW w:w="1359" w:type="pct"/>
            <w:tcBorders>
              <w:top w:val="single" w:sz="4" w:space="0" w:color="auto"/>
              <w:left w:val="single" w:sz="4" w:space="0" w:color="auto"/>
              <w:bottom w:val="single" w:sz="4" w:space="0" w:color="auto"/>
              <w:right w:val="single" w:sz="4" w:space="0" w:color="auto"/>
            </w:tcBorders>
          </w:tcPr>
          <w:p w:rsidR="00AD39DD" w:rsidRPr="00534F48" w:rsidRDefault="00AD39DD" w:rsidP="00462C37">
            <w:pPr>
              <w:pStyle w:val="Tabletext"/>
              <w:keepNext/>
              <w:widowControl w:val="0"/>
              <w:jc w:val="center"/>
              <w:rPr>
                <w:rFonts w:cs="Arial"/>
                <w:color w:val="000000"/>
              </w:rPr>
            </w:pPr>
            <w:r w:rsidRPr="00534F48">
              <w:rPr>
                <w:rFonts w:cs="Arial"/>
                <w:color w:val="000000"/>
              </w:rPr>
              <w:t>2.66</w:t>
            </w:r>
          </w:p>
        </w:tc>
        <w:tc>
          <w:tcPr>
            <w:tcW w:w="1274" w:type="pct"/>
            <w:tcBorders>
              <w:top w:val="single" w:sz="4" w:space="0" w:color="auto"/>
              <w:left w:val="single" w:sz="4" w:space="0" w:color="auto"/>
              <w:bottom w:val="single" w:sz="4" w:space="0" w:color="auto"/>
              <w:right w:val="single" w:sz="4" w:space="0" w:color="auto"/>
            </w:tcBorders>
          </w:tcPr>
          <w:p w:rsidR="00AD39DD" w:rsidRPr="00534F48" w:rsidRDefault="00AD39DD" w:rsidP="00462C37">
            <w:pPr>
              <w:pStyle w:val="Tabletext"/>
              <w:keepNext/>
              <w:widowControl w:val="0"/>
              <w:jc w:val="center"/>
              <w:rPr>
                <w:rFonts w:cs="Arial"/>
                <w:color w:val="000000"/>
              </w:rPr>
            </w:pPr>
            <w:r w:rsidRPr="00534F48">
              <w:rPr>
                <w:rFonts w:cs="Arial"/>
                <w:color w:val="000000"/>
              </w:rPr>
              <w:t>2.31</w:t>
            </w:r>
          </w:p>
        </w:tc>
        <w:tc>
          <w:tcPr>
            <w:tcW w:w="838" w:type="pct"/>
            <w:tcBorders>
              <w:top w:val="single" w:sz="4" w:space="0" w:color="auto"/>
              <w:left w:val="single" w:sz="4" w:space="0" w:color="auto"/>
              <w:bottom w:val="single" w:sz="4" w:space="0" w:color="auto"/>
              <w:right w:val="single" w:sz="4" w:space="0" w:color="auto"/>
            </w:tcBorders>
          </w:tcPr>
          <w:p w:rsidR="00AD39DD" w:rsidRPr="00534F48" w:rsidRDefault="00AD39DD" w:rsidP="00462C37">
            <w:pPr>
              <w:pStyle w:val="Tabletext"/>
              <w:keepNext/>
              <w:widowControl w:val="0"/>
              <w:jc w:val="center"/>
              <w:rPr>
                <w:rFonts w:cs="Arial"/>
                <w:color w:val="000000"/>
              </w:rPr>
            </w:pPr>
            <w:r w:rsidRPr="00534F48">
              <w:rPr>
                <w:rFonts w:cs="Arial"/>
                <w:color w:val="000000"/>
              </w:rPr>
              <w:t>0.36</w:t>
            </w:r>
          </w:p>
        </w:tc>
      </w:tr>
      <w:tr w:rsidR="00AD39DD" w:rsidTr="00AD39DD">
        <w:tc>
          <w:tcPr>
            <w:tcW w:w="4162" w:type="pct"/>
            <w:gridSpan w:val="3"/>
            <w:tcBorders>
              <w:top w:val="single" w:sz="4" w:space="0" w:color="auto"/>
              <w:left w:val="single" w:sz="4" w:space="0" w:color="auto"/>
              <w:bottom w:val="single" w:sz="4" w:space="0" w:color="auto"/>
              <w:right w:val="single" w:sz="4" w:space="0" w:color="auto"/>
            </w:tcBorders>
            <w:vAlign w:val="center"/>
            <w:hideMark/>
          </w:tcPr>
          <w:p w:rsidR="00AD39DD" w:rsidRDefault="00AD39DD" w:rsidP="00462C37">
            <w:pPr>
              <w:pStyle w:val="Tabletext"/>
              <w:keepNext/>
              <w:widowControl w:val="0"/>
            </w:pPr>
            <w:r>
              <w:t>Incremental cost/extra LY gained</w:t>
            </w:r>
          </w:p>
        </w:tc>
        <w:tc>
          <w:tcPr>
            <w:tcW w:w="838" w:type="pct"/>
            <w:tcBorders>
              <w:top w:val="single" w:sz="4" w:space="0" w:color="auto"/>
              <w:left w:val="single" w:sz="4" w:space="0" w:color="auto"/>
              <w:bottom w:val="single" w:sz="4" w:space="0" w:color="auto"/>
              <w:right w:val="single" w:sz="4" w:space="0" w:color="auto"/>
            </w:tcBorders>
            <w:vAlign w:val="center"/>
          </w:tcPr>
          <w:p w:rsidR="00AD39DD" w:rsidRDefault="00AD39DD" w:rsidP="00462C37">
            <w:pPr>
              <w:pStyle w:val="Tabletext"/>
              <w:keepNext/>
              <w:widowControl w:val="0"/>
              <w:jc w:val="center"/>
              <w:rPr>
                <w:rFonts w:cs="Arial"/>
                <w:bCs/>
                <w:color w:val="000000"/>
              </w:rPr>
            </w:pPr>
            <w:r>
              <w:rPr>
                <w:rFonts w:cs="Arial"/>
                <w:bCs/>
                <w:color w:val="000000"/>
              </w:rPr>
              <w:t>$</w:t>
            </w:r>
            <w:r w:rsidR="006C3115">
              <w:rPr>
                <w:rFonts w:cs="Arial"/>
                <w:bCs/>
                <w:noProof/>
                <w:color w:val="000000"/>
                <w:highlight w:val="black"/>
              </w:rPr>
              <w:t>'''''''''''''''''</w:t>
            </w:r>
            <w:r w:rsidR="00185A6F">
              <w:rPr>
                <w:vertAlign w:val="superscript"/>
              </w:rPr>
              <w:t>2</w:t>
            </w:r>
          </w:p>
        </w:tc>
      </w:tr>
      <w:tr w:rsidR="00AD39DD" w:rsidTr="00AD39DD">
        <w:tc>
          <w:tcPr>
            <w:tcW w:w="4162" w:type="pct"/>
            <w:gridSpan w:val="3"/>
            <w:tcBorders>
              <w:top w:val="single" w:sz="4" w:space="0" w:color="auto"/>
              <w:left w:val="single" w:sz="4" w:space="0" w:color="auto"/>
              <w:bottom w:val="single" w:sz="4" w:space="0" w:color="auto"/>
              <w:right w:val="single" w:sz="4" w:space="0" w:color="auto"/>
            </w:tcBorders>
            <w:vAlign w:val="center"/>
            <w:hideMark/>
          </w:tcPr>
          <w:p w:rsidR="00AD39DD" w:rsidRDefault="00AD39DD" w:rsidP="00462C37">
            <w:pPr>
              <w:pStyle w:val="Tabletext"/>
              <w:keepNext/>
              <w:widowControl w:val="0"/>
            </w:pPr>
            <w:r>
              <w:t>Incremental cost/extra QALY gained</w:t>
            </w:r>
          </w:p>
        </w:tc>
        <w:tc>
          <w:tcPr>
            <w:tcW w:w="838" w:type="pct"/>
            <w:tcBorders>
              <w:top w:val="single" w:sz="4" w:space="0" w:color="auto"/>
              <w:left w:val="single" w:sz="4" w:space="0" w:color="auto"/>
              <w:bottom w:val="single" w:sz="4" w:space="0" w:color="auto"/>
              <w:right w:val="single" w:sz="4" w:space="0" w:color="auto"/>
            </w:tcBorders>
            <w:vAlign w:val="center"/>
          </w:tcPr>
          <w:p w:rsidR="00AD39DD" w:rsidRDefault="00AD39DD" w:rsidP="00462C37">
            <w:pPr>
              <w:pStyle w:val="Tabletext"/>
              <w:keepNext/>
              <w:widowControl w:val="0"/>
              <w:jc w:val="center"/>
              <w:rPr>
                <w:rFonts w:cs="Arial"/>
                <w:bCs/>
                <w:color w:val="000000"/>
              </w:rPr>
            </w:pPr>
            <w:r>
              <w:rPr>
                <w:rFonts w:cs="Arial"/>
                <w:bCs/>
                <w:color w:val="000000"/>
              </w:rPr>
              <w:t>$</w:t>
            </w:r>
            <w:r w:rsidR="006C3115">
              <w:rPr>
                <w:rFonts w:cs="Arial"/>
                <w:bCs/>
                <w:noProof/>
                <w:color w:val="000000"/>
                <w:highlight w:val="black"/>
              </w:rPr>
              <w:t>'''''''''''''''''</w:t>
            </w:r>
            <w:r w:rsidR="00185A6F">
              <w:rPr>
                <w:vertAlign w:val="superscript"/>
              </w:rPr>
              <w:t>3</w:t>
            </w:r>
          </w:p>
        </w:tc>
      </w:tr>
      <w:tr w:rsidR="00AD39DD" w:rsidTr="00AD39DD">
        <w:tc>
          <w:tcPr>
            <w:tcW w:w="5000" w:type="pct"/>
            <w:gridSpan w:val="4"/>
            <w:tcBorders>
              <w:top w:val="double" w:sz="4" w:space="0" w:color="auto"/>
              <w:left w:val="single" w:sz="4" w:space="0" w:color="auto"/>
              <w:bottom w:val="single" w:sz="4" w:space="0" w:color="auto"/>
              <w:right w:val="single" w:sz="4" w:space="0" w:color="auto"/>
            </w:tcBorders>
            <w:vAlign w:val="center"/>
            <w:hideMark/>
          </w:tcPr>
          <w:p w:rsidR="00AD39DD" w:rsidRDefault="00AD39DD" w:rsidP="00462C37">
            <w:pPr>
              <w:pStyle w:val="Tabletext"/>
              <w:keepNext/>
              <w:widowControl w:val="0"/>
              <w:rPr>
                <w:b/>
              </w:rPr>
            </w:pPr>
            <w:r>
              <w:rPr>
                <w:b/>
              </w:rPr>
              <w:t>Step 2: 10 year time horizon</w:t>
            </w:r>
          </w:p>
        </w:tc>
      </w:tr>
      <w:tr w:rsidR="00AD39DD" w:rsidTr="00AD39DD">
        <w:tc>
          <w:tcPr>
            <w:tcW w:w="1529" w:type="pct"/>
            <w:tcBorders>
              <w:top w:val="single" w:sz="4" w:space="0" w:color="auto"/>
              <w:left w:val="single" w:sz="4" w:space="0" w:color="auto"/>
              <w:bottom w:val="single" w:sz="4" w:space="0" w:color="auto"/>
              <w:right w:val="single" w:sz="4" w:space="0" w:color="auto"/>
            </w:tcBorders>
            <w:vAlign w:val="center"/>
            <w:hideMark/>
          </w:tcPr>
          <w:p w:rsidR="00AD39DD" w:rsidRDefault="00AD39DD" w:rsidP="00462C37">
            <w:pPr>
              <w:pStyle w:val="Tabletext"/>
              <w:keepNext/>
              <w:widowControl w:val="0"/>
              <w:rPr>
                <w:rFonts w:ascii="Times" w:hAnsi="Times"/>
              </w:rPr>
            </w:pPr>
            <w:r>
              <w:t>Costs</w:t>
            </w:r>
          </w:p>
        </w:tc>
        <w:tc>
          <w:tcPr>
            <w:tcW w:w="1359" w:type="pct"/>
            <w:tcBorders>
              <w:top w:val="single" w:sz="4" w:space="0" w:color="auto"/>
              <w:left w:val="single" w:sz="4" w:space="0" w:color="auto"/>
              <w:bottom w:val="single" w:sz="4" w:space="0" w:color="auto"/>
              <w:right w:val="single" w:sz="4" w:space="0" w:color="auto"/>
            </w:tcBorders>
          </w:tcPr>
          <w:p w:rsidR="00AD39DD" w:rsidRDefault="00AD39DD" w:rsidP="00462C37">
            <w:pPr>
              <w:pStyle w:val="Tabletext"/>
              <w:keepNext/>
              <w:widowControl w:val="0"/>
              <w:jc w:val="center"/>
              <w:rPr>
                <w:szCs w:val="20"/>
              </w:rPr>
            </w:pPr>
            <w:r>
              <w:rPr>
                <w:szCs w:val="20"/>
              </w:rPr>
              <w:t>$</w:t>
            </w:r>
            <w:r w:rsidR="006C3115">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tcPr>
          <w:p w:rsidR="00AD39DD" w:rsidRDefault="00AD39DD" w:rsidP="00462C37">
            <w:pPr>
              <w:pStyle w:val="Tabletext"/>
              <w:keepNext/>
              <w:widowControl w:val="0"/>
              <w:jc w:val="center"/>
              <w:rPr>
                <w:szCs w:val="20"/>
              </w:rPr>
            </w:pPr>
            <w:r w:rsidRPr="003138B2">
              <w:rPr>
                <w:szCs w:val="20"/>
              </w:rPr>
              <w:t>$56,683</w:t>
            </w:r>
          </w:p>
        </w:tc>
        <w:tc>
          <w:tcPr>
            <w:tcW w:w="838" w:type="pct"/>
            <w:tcBorders>
              <w:top w:val="single" w:sz="4" w:space="0" w:color="auto"/>
              <w:left w:val="single" w:sz="4" w:space="0" w:color="auto"/>
              <w:bottom w:val="single" w:sz="4" w:space="0" w:color="auto"/>
              <w:right w:val="single" w:sz="4" w:space="0" w:color="auto"/>
            </w:tcBorders>
          </w:tcPr>
          <w:p w:rsidR="00AD39DD" w:rsidRDefault="00AD39DD" w:rsidP="00462C37">
            <w:pPr>
              <w:pStyle w:val="Tabletext"/>
              <w:keepNext/>
              <w:widowControl w:val="0"/>
              <w:jc w:val="center"/>
              <w:rPr>
                <w:szCs w:val="20"/>
              </w:rPr>
            </w:pPr>
            <w:r>
              <w:rPr>
                <w:szCs w:val="20"/>
              </w:rPr>
              <w:t>$</w:t>
            </w:r>
            <w:r w:rsidR="006C3115">
              <w:rPr>
                <w:noProof/>
                <w:color w:val="000000"/>
                <w:szCs w:val="20"/>
                <w:highlight w:val="black"/>
              </w:rPr>
              <w:t>''''''''''''''''</w:t>
            </w:r>
            <w:r w:rsidR="00185A6F">
              <w:rPr>
                <w:vertAlign w:val="superscript"/>
              </w:rPr>
              <w:t>1</w:t>
            </w:r>
          </w:p>
        </w:tc>
      </w:tr>
      <w:tr w:rsidR="00AD39DD" w:rsidTr="00AD39DD">
        <w:tc>
          <w:tcPr>
            <w:tcW w:w="1529" w:type="pct"/>
            <w:tcBorders>
              <w:top w:val="single" w:sz="4" w:space="0" w:color="auto"/>
              <w:left w:val="single" w:sz="4" w:space="0" w:color="auto"/>
              <w:bottom w:val="single" w:sz="4" w:space="0" w:color="auto"/>
              <w:right w:val="single" w:sz="4" w:space="0" w:color="auto"/>
            </w:tcBorders>
            <w:vAlign w:val="center"/>
            <w:hideMark/>
          </w:tcPr>
          <w:p w:rsidR="00AD39DD" w:rsidRDefault="00AD39DD" w:rsidP="00462C37">
            <w:pPr>
              <w:pStyle w:val="Tabletext"/>
              <w:keepNext/>
              <w:widowControl w:val="0"/>
            </w:pPr>
            <w:r>
              <w:t>LY</w:t>
            </w:r>
          </w:p>
        </w:tc>
        <w:tc>
          <w:tcPr>
            <w:tcW w:w="1359" w:type="pct"/>
            <w:tcBorders>
              <w:top w:val="single" w:sz="4" w:space="0" w:color="auto"/>
              <w:left w:val="single" w:sz="4" w:space="0" w:color="auto"/>
              <w:bottom w:val="single" w:sz="4" w:space="0" w:color="auto"/>
              <w:right w:val="single" w:sz="4" w:space="0" w:color="auto"/>
            </w:tcBorders>
          </w:tcPr>
          <w:p w:rsidR="00AD39DD" w:rsidRDefault="00AD39DD" w:rsidP="00462C37">
            <w:pPr>
              <w:pStyle w:val="Tabletext"/>
              <w:keepNext/>
              <w:widowControl w:val="0"/>
              <w:jc w:val="center"/>
              <w:rPr>
                <w:szCs w:val="20"/>
              </w:rPr>
            </w:pPr>
            <w:r>
              <w:rPr>
                <w:szCs w:val="20"/>
              </w:rPr>
              <w:t>5.15</w:t>
            </w:r>
          </w:p>
        </w:tc>
        <w:tc>
          <w:tcPr>
            <w:tcW w:w="1274" w:type="pct"/>
            <w:tcBorders>
              <w:top w:val="single" w:sz="4" w:space="0" w:color="auto"/>
              <w:left w:val="single" w:sz="4" w:space="0" w:color="auto"/>
              <w:bottom w:val="single" w:sz="4" w:space="0" w:color="auto"/>
              <w:right w:val="single" w:sz="4" w:space="0" w:color="auto"/>
            </w:tcBorders>
          </w:tcPr>
          <w:p w:rsidR="00AD39DD" w:rsidRDefault="00AD39DD" w:rsidP="00462C37">
            <w:pPr>
              <w:pStyle w:val="Tabletext"/>
              <w:keepNext/>
              <w:widowControl w:val="0"/>
              <w:jc w:val="center"/>
              <w:rPr>
                <w:szCs w:val="20"/>
              </w:rPr>
            </w:pPr>
            <w:r>
              <w:rPr>
                <w:szCs w:val="20"/>
              </w:rPr>
              <w:t>4.35</w:t>
            </w:r>
          </w:p>
        </w:tc>
        <w:tc>
          <w:tcPr>
            <w:tcW w:w="838" w:type="pct"/>
            <w:tcBorders>
              <w:top w:val="single" w:sz="4" w:space="0" w:color="auto"/>
              <w:left w:val="single" w:sz="4" w:space="0" w:color="auto"/>
              <w:bottom w:val="single" w:sz="4" w:space="0" w:color="auto"/>
              <w:right w:val="single" w:sz="4" w:space="0" w:color="auto"/>
            </w:tcBorders>
          </w:tcPr>
          <w:p w:rsidR="00AD39DD" w:rsidRDefault="00AD39DD" w:rsidP="00462C37">
            <w:pPr>
              <w:pStyle w:val="Tabletext"/>
              <w:keepNext/>
              <w:widowControl w:val="0"/>
              <w:jc w:val="center"/>
              <w:rPr>
                <w:szCs w:val="20"/>
              </w:rPr>
            </w:pPr>
            <w:r>
              <w:rPr>
                <w:szCs w:val="20"/>
              </w:rPr>
              <w:t>0.80</w:t>
            </w:r>
          </w:p>
        </w:tc>
      </w:tr>
      <w:tr w:rsidR="00AD39DD" w:rsidTr="00AD39DD">
        <w:tc>
          <w:tcPr>
            <w:tcW w:w="1529" w:type="pct"/>
            <w:tcBorders>
              <w:top w:val="single" w:sz="4" w:space="0" w:color="auto"/>
              <w:left w:val="single" w:sz="4" w:space="0" w:color="auto"/>
              <w:bottom w:val="single" w:sz="4" w:space="0" w:color="auto"/>
              <w:right w:val="single" w:sz="4" w:space="0" w:color="auto"/>
            </w:tcBorders>
            <w:vAlign w:val="center"/>
            <w:hideMark/>
          </w:tcPr>
          <w:p w:rsidR="00AD39DD" w:rsidRDefault="00AD39DD" w:rsidP="00462C37">
            <w:pPr>
              <w:pStyle w:val="Tabletext"/>
              <w:keepNext/>
              <w:widowControl w:val="0"/>
              <w:rPr>
                <w:rFonts w:ascii="Times" w:hAnsi="Times"/>
              </w:rPr>
            </w:pPr>
            <w:r>
              <w:t>QALY</w:t>
            </w:r>
          </w:p>
        </w:tc>
        <w:tc>
          <w:tcPr>
            <w:tcW w:w="1359" w:type="pct"/>
            <w:tcBorders>
              <w:top w:val="single" w:sz="4" w:space="0" w:color="auto"/>
              <w:left w:val="single" w:sz="4" w:space="0" w:color="auto"/>
              <w:bottom w:val="single" w:sz="4" w:space="0" w:color="auto"/>
              <w:right w:val="single" w:sz="4" w:space="0" w:color="auto"/>
            </w:tcBorders>
          </w:tcPr>
          <w:p w:rsidR="00AD39DD" w:rsidRDefault="00AD39DD" w:rsidP="00462C37">
            <w:pPr>
              <w:pStyle w:val="Tabletext"/>
              <w:keepNext/>
              <w:widowControl w:val="0"/>
              <w:jc w:val="center"/>
              <w:rPr>
                <w:szCs w:val="20"/>
              </w:rPr>
            </w:pPr>
            <w:r>
              <w:rPr>
                <w:szCs w:val="20"/>
              </w:rPr>
              <w:t>3.87</w:t>
            </w:r>
          </w:p>
        </w:tc>
        <w:tc>
          <w:tcPr>
            <w:tcW w:w="1274" w:type="pct"/>
            <w:tcBorders>
              <w:top w:val="single" w:sz="4" w:space="0" w:color="auto"/>
              <w:left w:val="single" w:sz="4" w:space="0" w:color="auto"/>
              <w:bottom w:val="single" w:sz="4" w:space="0" w:color="auto"/>
              <w:right w:val="single" w:sz="4" w:space="0" w:color="auto"/>
            </w:tcBorders>
          </w:tcPr>
          <w:p w:rsidR="00AD39DD" w:rsidRDefault="00AD39DD" w:rsidP="00462C37">
            <w:pPr>
              <w:pStyle w:val="Tabletext"/>
              <w:keepNext/>
              <w:widowControl w:val="0"/>
              <w:jc w:val="center"/>
              <w:rPr>
                <w:szCs w:val="20"/>
              </w:rPr>
            </w:pPr>
            <w:r>
              <w:rPr>
                <w:szCs w:val="20"/>
              </w:rPr>
              <w:t>2.96</w:t>
            </w:r>
          </w:p>
        </w:tc>
        <w:tc>
          <w:tcPr>
            <w:tcW w:w="838" w:type="pct"/>
            <w:tcBorders>
              <w:top w:val="single" w:sz="4" w:space="0" w:color="auto"/>
              <w:left w:val="single" w:sz="4" w:space="0" w:color="auto"/>
              <w:bottom w:val="single" w:sz="4" w:space="0" w:color="auto"/>
              <w:right w:val="single" w:sz="4" w:space="0" w:color="auto"/>
            </w:tcBorders>
          </w:tcPr>
          <w:p w:rsidR="00AD39DD" w:rsidRDefault="00AD39DD" w:rsidP="00462C37">
            <w:pPr>
              <w:pStyle w:val="Tabletext"/>
              <w:keepNext/>
              <w:widowControl w:val="0"/>
              <w:jc w:val="center"/>
              <w:rPr>
                <w:szCs w:val="20"/>
              </w:rPr>
            </w:pPr>
            <w:r>
              <w:rPr>
                <w:szCs w:val="20"/>
              </w:rPr>
              <w:t>0.91</w:t>
            </w:r>
          </w:p>
        </w:tc>
      </w:tr>
      <w:tr w:rsidR="00AD39DD" w:rsidTr="00AD39DD">
        <w:tc>
          <w:tcPr>
            <w:tcW w:w="4162" w:type="pct"/>
            <w:gridSpan w:val="3"/>
            <w:tcBorders>
              <w:top w:val="single" w:sz="4" w:space="0" w:color="auto"/>
              <w:left w:val="single" w:sz="4" w:space="0" w:color="auto"/>
              <w:bottom w:val="single" w:sz="4" w:space="0" w:color="auto"/>
              <w:right w:val="single" w:sz="4" w:space="0" w:color="auto"/>
            </w:tcBorders>
            <w:vAlign w:val="center"/>
            <w:hideMark/>
          </w:tcPr>
          <w:p w:rsidR="00AD39DD" w:rsidRDefault="00AD39DD" w:rsidP="00462C37">
            <w:pPr>
              <w:pStyle w:val="Tabletext"/>
              <w:keepNext/>
              <w:widowControl w:val="0"/>
              <w:rPr>
                <w:szCs w:val="20"/>
              </w:rPr>
            </w:pPr>
            <w:r>
              <w:t>Incremental cost/extra LY gained (base case)</w:t>
            </w:r>
          </w:p>
        </w:tc>
        <w:tc>
          <w:tcPr>
            <w:tcW w:w="838" w:type="pct"/>
            <w:tcBorders>
              <w:top w:val="single" w:sz="4" w:space="0" w:color="auto"/>
              <w:left w:val="single" w:sz="4" w:space="0" w:color="auto"/>
              <w:bottom w:val="single" w:sz="4" w:space="0" w:color="auto"/>
              <w:right w:val="single" w:sz="4" w:space="0" w:color="auto"/>
            </w:tcBorders>
            <w:vAlign w:val="center"/>
          </w:tcPr>
          <w:p w:rsidR="00AD39DD" w:rsidRDefault="00AD39DD" w:rsidP="00462C37">
            <w:pPr>
              <w:pStyle w:val="Tabletext"/>
              <w:keepNext/>
              <w:widowControl w:val="0"/>
              <w:jc w:val="center"/>
              <w:rPr>
                <w:szCs w:val="20"/>
              </w:rPr>
            </w:pPr>
            <w:r>
              <w:rPr>
                <w:szCs w:val="20"/>
              </w:rPr>
              <w:t>$</w:t>
            </w:r>
            <w:r w:rsidR="006C3115">
              <w:rPr>
                <w:noProof/>
                <w:color w:val="000000"/>
                <w:szCs w:val="20"/>
                <w:highlight w:val="black"/>
              </w:rPr>
              <w:t>'''''''''''''''</w:t>
            </w:r>
            <w:r w:rsidR="00185A6F">
              <w:rPr>
                <w:vertAlign w:val="superscript"/>
              </w:rPr>
              <w:t>4</w:t>
            </w:r>
          </w:p>
        </w:tc>
      </w:tr>
      <w:tr w:rsidR="00AD39DD" w:rsidTr="00AD39DD">
        <w:tc>
          <w:tcPr>
            <w:tcW w:w="4162" w:type="pct"/>
            <w:gridSpan w:val="3"/>
            <w:tcBorders>
              <w:top w:val="single" w:sz="4" w:space="0" w:color="auto"/>
              <w:left w:val="single" w:sz="4" w:space="0" w:color="auto"/>
              <w:bottom w:val="single" w:sz="4" w:space="0" w:color="auto"/>
              <w:right w:val="single" w:sz="4" w:space="0" w:color="auto"/>
            </w:tcBorders>
            <w:vAlign w:val="center"/>
            <w:hideMark/>
          </w:tcPr>
          <w:p w:rsidR="00AD39DD" w:rsidRDefault="00AD39DD" w:rsidP="00462C37">
            <w:pPr>
              <w:pStyle w:val="Tabletext"/>
              <w:keepNext/>
              <w:widowControl w:val="0"/>
              <w:rPr>
                <w:szCs w:val="20"/>
              </w:rPr>
            </w:pPr>
            <w:r>
              <w:rPr>
                <w:b/>
              </w:rPr>
              <w:t>Incremental cost/extra QALY gained (base case)</w:t>
            </w:r>
          </w:p>
        </w:tc>
        <w:tc>
          <w:tcPr>
            <w:tcW w:w="838" w:type="pct"/>
            <w:tcBorders>
              <w:top w:val="single" w:sz="4" w:space="0" w:color="auto"/>
              <w:left w:val="single" w:sz="4" w:space="0" w:color="auto"/>
              <w:bottom w:val="single" w:sz="4" w:space="0" w:color="auto"/>
              <w:right w:val="single" w:sz="4" w:space="0" w:color="auto"/>
            </w:tcBorders>
            <w:vAlign w:val="center"/>
          </w:tcPr>
          <w:p w:rsidR="00AD39DD" w:rsidRDefault="00AD39DD" w:rsidP="00462C37">
            <w:pPr>
              <w:pStyle w:val="Tabletext"/>
              <w:keepNext/>
              <w:widowControl w:val="0"/>
              <w:jc w:val="center"/>
              <w:rPr>
                <w:b/>
                <w:szCs w:val="20"/>
              </w:rPr>
            </w:pPr>
            <w:r>
              <w:rPr>
                <w:b/>
                <w:szCs w:val="20"/>
              </w:rPr>
              <w:t>$</w:t>
            </w:r>
            <w:r w:rsidR="006C3115">
              <w:rPr>
                <w:b/>
                <w:noProof/>
                <w:color w:val="000000"/>
                <w:szCs w:val="20"/>
                <w:highlight w:val="black"/>
              </w:rPr>
              <w:t>'''''''''''''</w:t>
            </w:r>
            <w:r w:rsidR="00185A6F">
              <w:rPr>
                <w:vertAlign w:val="superscript"/>
              </w:rPr>
              <w:t>4</w:t>
            </w:r>
          </w:p>
        </w:tc>
      </w:tr>
      <w:tr w:rsidR="007D3626" w:rsidTr="003D7335">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D3626" w:rsidRDefault="007D3626" w:rsidP="00462C37">
            <w:pPr>
              <w:pStyle w:val="Tabletext"/>
              <w:keepNext/>
              <w:widowControl w:val="0"/>
              <w:rPr>
                <w:b/>
                <w:szCs w:val="20"/>
              </w:rPr>
            </w:pPr>
            <w:r>
              <w:rPr>
                <w:b/>
                <w:szCs w:val="20"/>
              </w:rPr>
              <w:t>March 2021 pre-PBAC response revised base case ICER (AEMP = $</w:t>
            </w:r>
            <w:r w:rsidR="006C3115">
              <w:rPr>
                <w:b/>
                <w:noProof/>
                <w:color w:val="000000"/>
                <w:szCs w:val="20"/>
                <w:highlight w:val="black"/>
              </w:rPr>
              <w:t>'''''''''''''''''</w:t>
            </w:r>
            <w:r>
              <w:rPr>
                <w:b/>
                <w:szCs w:val="20"/>
              </w:rPr>
              <w:t>; mCRCP utility = 0.635; KM data in OS arm used until 42 months)</w:t>
            </w:r>
          </w:p>
        </w:tc>
      </w:tr>
      <w:tr w:rsidR="007D3626" w:rsidTr="003D7335">
        <w:tc>
          <w:tcPr>
            <w:tcW w:w="1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626" w:rsidRDefault="007D3626" w:rsidP="00462C37">
            <w:pPr>
              <w:pStyle w:val="Tabletext"/>
              <w:keepNext/>
              <w:widowControl w:val="0"/>
              <w:rPr>
                <w:rFonts w:ascii="Times" w:hAnsi="Times"/>
              </w:rPr>
            </w:pPr>
            <w:r>
              <w:t>Costs</w:t>
            </w:r>
          </w:p>
        </w:tc>
        <w:tc>
          <w:tcPr>
            <w:tcW w:w="1359" w:type="pct"/>
            <w:tcBorders>
              <w:top w:val="single" w:sz="4" w:space="0" w:color="auto"/>
              <w:left w:val="single" w:sz="4" w:space="0" w:color="auto"/>
              <w:bottom w:val="single" w:sz="4" w:space="0" w:color="auto"/>
              <w:right w:val="single" w:sz="4" w:space="0" w:color="auto"/>
            </w:tcBorders>
            <w:shd w:val="clear" w:color="auto" w:fill="auto"/>
            <w:hideMark/>
          </w:tcPr>
          <w:p w:rsidR="007D3626" w:rsidRDefault="007D3626" w:rsidP="00462C37">
            <w:pPr>
              <w:pStyle w:val="Tabletext"/>
              <w:keepNext/>
              <w:widowControl w:val="0"/>
              <w:jc w:val="center"/>
              <w:rPr>
                <w:szCs w:val="20"/>
              </w:rPr>
            </w:pPr>
            <w:r>
              <w:rPr>
                <w:szCs w:val="20"/>
              </w:rPr>
              <w:t>$</w:t>
            </w:r>
            <w:r w:rsidR="006C3115">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shd w:val="clear" w:color="auto" w:fill="auto"/>
            <w:hideMark/>
          </w:tcPr>
          <w:p w:rsidR="007D3626" w:rsidRDefault="007D3626" w:rsidP="00462C37">
            <w:pPr>
              <w:pStyle w:val="Tabletext"/>
              <w:keepNext/>
              <w:widowControl w:val="0"/>
              <w:jc w:val="center"/>
              <w:rPr>
                <w:szCs w:val="20"/>
              </w:rPr>
            </w:pPr>
            <w:r w:rsidRPr="003138B2">
              <w:rPr>
                <w:szCs w:val="20"/>
              </w:rPr>
              <w:t>$57,155</w:t>
            </w:r>
          </w:p>
        </w:tc>
        <w:tc>
          <w:tcPr>
            <w:tcW w:w="838" w:type="pct"/>
            <w:tcBorders>
              <w:top w:val="single" w:sz="4" w:space="0" w:color="auto"/>
              <w:left w:val="single" w:sz="4" w:space="0" w:color="auto"/>
              <w:bottom w:val="single" w:sz="4" w:space="0" w:color="auto"/>
              <w:right w:val="single" w:sz="4" w:space="0" w:color="auto"/>
            </w:tcBorders>
            <w:shd w:val="clear" w:color="auto" w:fill="auto"/>
            <w:hideMark/>
          </w:tcPr>
          <w:p w:rsidR="007D3626" w:rsidRDefault="007D3626" w:rsidP="00462C37">
            <w:pPr>
              <w:pStyle w:val="Tabletext"/>
              <w:keepNext/>
              <w:widowControl w:val="0"/>
              <w:jc w:val="center"/>
              <w:rPr>
                <w:szCs w:val="20"/>
              </w:rPr>
            </w:pPr>
            <w:r>
              <w:rPr>
                <w:szCs w:val="20"/>
              </w:rPr>
              <w:t>$</w:t>
            </w:r>
            <w:r w:rsidR="006C3115">
              <w:rPr>
                <w:noProof/>
                <w:color w:val="000000"/>
                <w:szCs w:val="20"/>
                <w:highlight w:val="black"/>
              </w:rPr>
              <w:t>'''''''''''''''''</w:t>
            </w:r>
            <w:r w:rsidR="00185A6F">
              <w:rPr>
                <w:vertAlign w:val="superscript"/>
              </w:rPr>
              <w:t>5</w:t>
            </w:r>
          </w:p>
        </w:tc>
      </w:tr>
      <w:tr w:rsidR="007D3626" w:rsidTr="003D7335">
        <w:tc>
          <w:tcPr>
            <w:tcW w:w="1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626" w:rsidRDefault="007D3626" w:rsidP="00462C37">
            <w:pPr>
              <w:pStyle w:val="Tabletext"/>
              <w:keepNext/>
              <w:widowControl w:val="0"/>
            </w:pPr>
            <w:r>
              <w:t>LY</w:t>
            </w:r>
          </w:p>
        </w:tc>
        <w:tc>
          <w:tcPr>
            <w:tcW w:w="1359" w:type="pct"/>
            <w:tcBorders>
              <w:top w:val="single" w:sz="4" w:space="0" w:color="auto"/>
              <w:left w:val="single" w:sz="4" w:space="0" w:color="auto"/>
              <w:bottom w:val="single" w:sz="4" w:space="0" w:color="auto"/>
              <w:right w:val="single" w:sz="4" w:space="0" w:color="auto"/>
            </w:tcBorders>
            <w:shd w:val="clear" w:color="auto" w:fill="auto"/>
            <w:hideMark/>
          </w:tcPr>
          <w:p w:rsidR="007D3626" w:rsidRDefault="007D3626" w:rsidP="00462C37">
            <w:pPr>
              <w:pStyle w:val="Tabletext"/>
              <w:keepNext/>
              <w:widowControl w:val="0"/>
              <w:jc w:val="center"/>
              <w:rPr>
                <w:szCs w:val="20"/>
              </w:rPr>
            </w:pPr>
            <w:r>
              <w:rPr>
                <w:szCs w:val="20"/>
              </w:rPr>
              <w:t>5..17</w:t>
            </w:r>
          </w:p>
        </w:tc>
        <w:tc>
          <w:tcPr>
            <w:tcW w:w="1274" w:type="pct"/>
            <w:tcBorders>
              <w:top w:val="single" w:sz="4" w:space="0" w:color="auto"/>
              <w:left w:val="single" w:sz="4" w:space="0" w:color="auto"/>
              <w:bottom w:val="single" w:sz="4" w:space="0" w:color="auto"/>
              <w:right w:val="single" w:sz="4" w:space="0" w:color="auto"/>
            </w:tcBorders>
            <w:shd w:val="clear" w:color="auto" w:fill="auto"/>
            <w:hideMark/>
          </w:tcPr>
          <w:p w:rsidR="007D3626" w:rsidRDefault="007D3626" w:rsidP="00462C37">
            <w:pPr>
              <w:pStyle w:val="Tabletext"/>
              <w:keepNext/>
              <w:widowControl w:val="0"/>
              <w:jc w:val="center"/>
              <w:rPr>
                <w:szCs w:val="20"/>
              </w:rPr>
            </w:pPr>
            <w:r>
              <w:rPr>
                <w:szCs w:val="20"/>
              </w:rPr>
              <w:t>4.49</w:t>
            </w:r>
          </w:p>
        </w:tc>
        <w:tc>
          <w:tcPr>
            <w:tcW w:w="838" w:type="pct"/>
            <w:tcBorders>
              <w:top w:val="single" w:sz="4" w:space="0" w:color="auto"/>
              <w:left w:val="single" w:sz="4" w:space="0" w:color="auto"/>
              <w:bottom w:val="single" w:sz="4" w:space="0" w:color="auto"/>
              <w:right w:val="single" w:sz="4" w:space="0" w:color="auto"/>
            </w:tcBorders>
            <w:shd w:val="clear" w:color="auto" w:fill="auto"/>
            <w:hideMark/>
          </w:tcPr>
          <w:p w:rsidR="007D3626" w:rsidRDefault="007D3626" w:rsidP="00462C37">
            <w:pPr>
              <w:pStyle w:val="Tabletext"/>
              <w:keepNext/>
              <w:widowControl w:val="0"/>
              <w:jc w:val="center"/>
              <w:rPr>
                <w:szCs w:val="20"/>
              </w:rPr>
            </w:pPr>
            <w:r>
              <w:rPr>
                <w:szCs w:val="20"/>
              </w:rPr>
              <w:t>0.68</w:t>
            </w:r>
          </w:p>
        </w:tc>
      </w:tr>
      <w:tr w:rsidR="007D3626" w:rsidTr="003D7335">
        <w:tc>
          <w:tcPr>
            <w:tcW w:w="1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626" w:rsidRDefault="007D3626" w:rsidP="00462C37">
            <w:pPr>
              <w:pStyle w:val="Tabletext"/>
              <w:keepNext/>
              <w:widowControl w:val="0"/>
              <w:rPr>
                <w:rFonts w:ascii="Times" w:hAnsi="Times"/>
              </w:rPr>
            </w:pPr>
            <w:r>
              <w:t>QALY</w:t>
            </w:r>
          </w:p>
        </w:tc>
        <w:tc>
          <w:tcPr>
            <w:tcW w:w="1359" w:type="pct"/>
            <w:tcBorders>
              <w:top w:val="single" w:sz="4" w:space="0" w:color="auto"/>
              <w:left w:val="single" w:sz="4" w:space="0" w:color="auto"/>
              <w:bottom w:val="single" w:sz="4" w:space="0" w:color="auto"/>
              <w:right w:val="single" w:sz="4" w:space="0" w:color="auto"/>
            </w:tcBorders>
            <w:shd w:val="clear" w:color="auto" w:fill="auto"/>
            <w:hideMark/>
          </w:tcPr>
          <w:p w:rsidR="007D3626" w:rsidRDefault="007D3626" w:rsidP="00462C37">
            <w:pPr>
              <w:pStyle w:val="Tabletext"/>
              <w:keepNext/>
              <w:widowControl w:val="0"/>
              <w:jc w:val="center"/>
              <w:rPr>
                <w:szCs w:val="20"/>
              </w:rPr>
            </w:pPr>
            <w:r>
              <w:rPr>
                <w:szCs w:val="20"/>
              </w:rPr>
              <w:t>3.98</w:t>
            </w:r>
          </w:p>
        </w:tc>
        <w:tc>
          <w:tcPr>
            <w:tcW w:w="1274" w:type="pct"/>
            <w:tcBorders>
              <w:top w:val="single" w:sz="4" w:space="0" w:color="auto"/>
              <w:left w:val="single" w:sz="4" w:space="0" w:color="auto"/>
              <w:bottom w:val="single" w:sz="4" w:space="0" w:color="auto"/>
              <w:right w:val="single" w:sz="4" w:space="0" w:color="auto"/>
            </w:tcBorders>
            <w:shd w:val="clear" w:color="auto" w:fill="auto"/>
            <w:hideMark/>
          </w:tcPr>
          <w:p w:rsidR="007D3626" w:rsidRDefault="007D3626" w:rsidP="00462C37">
            <w:pPr>
              <w:pStyle w:val="Tabletext"/>
              <w:keepNext/>
              <w:widowControl w:val="0"/>
              <w:jc w:val="center"/>
              <w:rPr>
                <w:szCs w:val="20"/>
              </w:rPr>
            </w:pPr>
            <w:r>
              <w:rPr>
                <w:szCs w:val="20"/>
              </w:rPr>
              <w:t>3.22</w:t>
            </w:r>
          </w:p>
        </w:tc>
        <w:tc>
          <w:tcPr>
            <w:tcW w:w="838" w:type="pct"/>
            <w:tcBorders>
              <w:top w:val="single" w:sz="4" w:space="0" w:color="auto"/>
              <w:left w:val="single" w:sz="4" w:space="0" w:color="auto"/>
              <w:bottom w:val="single" w:sz="4" w:space="0" w:color="auto"/>
              <w:right w:val="single" w:sz="4" w:space="0" w:color="auto"/>
            </w:tcBorders>
            <w:shd w:val="clear" w:color="auto" w:fill="auto"/>
            <w:hideMark/>
          </w:tcPr>
          <w:p w:rsidR="007D3626" w:rsidRDefault="007D3626" w:rsidP="00462C37">
            <w:pPr>
              <w:pStyle w:val="Tabletext"/>
              <w:keepNext/>
              <w:widowControl w:val="0"/>
              <w:jc w:val="center"/>
              <w:rPr>
                <w:szCs w:val="20"/>
              </w:rPr>
            </w:pPr>
            <w:r>
              <w:rPr>
                <w:szCs w:val="20"/>
              </w:rPr>
              <w:t>0.76</w:t>
            </w:r>
          </w:p>
        </w:tc>
      </w:tr>
      <w:tr w:rsidR="007D3626" w:rsidTr="003D7335">
        <w:tc>
          <w:tcPr>
            <w:tcW w:w="416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D3626" w:rsidRDefault="007D3626" w:rsidP="00462C37">
            <w:pPr>
              <w:pStyle w:val="Tabletext"/>
              <w:keepNext/>
              <w:widowControl w:val="0"/>
              <w:rPr>
                <w:szCs w:val="20"/>
              </w:rPr>
            </w:pPr>
            <w:r>
              <w:t>Incremental cost/extra LY gained (base case)</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626" w:rsidRDefault="007D3626" w:rsidP="00462C37">
            <w:pPr>
              <w:pStyle w:val="Tabletext"/>
              <w:keepNext/>
              <w:widowControl w:val="0"/>
              <w:jc w:val="center"/>
              <w:rPr>
                <w:szCs w:val="20"/>
              </w:rPr>
            </w:pPr>
            <w:r>
              <w:rPr>
                <w:szCs w:val="20"/>
              </w:rPr>
              <w:t>$</w:t>
            </w:r>
            <w:r w:rsidR="006C3115">
              <w:rPr>
                <w:noProof/>
                <w:color w:val="000000"/>
                <w:szCs w:val="20"/>
                <w:highlight w:val="black"/>
              </w:rPr>
              <w:t>''''''''''''''''</w:t>
            </w:r>
            <w:r w:rsidR="00185A6F">
              <w:rPr>
                <w:vertAlign w:val="superscript"/>
              </w:rPr>
              <w:t>4</w:t>
            </w:r>
          </w:p>
        </w:tc>
      </w:tr>
      <w:tr w:rsidR="007D3626" w:rsidTr="003D7335">
        <w:tc>
          <w:tcPr>
            <w:tcW w:w="416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D3626" w:rsidRDefault="007D3626" w:rsidP="00462C37">
            <w:pPr>
              <w:pStyle w:val="Tabletext"/>
              <w:keepNext/>
              <w:widowControl w:val="0"/>
              <w:rPr>
                <w:szCs w:val="20"/>
              </w:rPr>
            </w:pPr>
            <w:r>
              <w:rPr>
                <w:b/>
              </w:rPr>
              <w:t>Incremental cost/extra QALY gained (base case)</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626" w:rsidRDefault="007D3626" w:rsidP="00462C37">
            <w:pPr>
              <w:pStyle w:val="Tabletext"/>
              <w:keepNext/>
              <w:widowControl w:val="0"/>
              <w:jc w:val="center"/>
              <w:rPr>
                <w:b/>
                <w:szCs w:val="20"/>
              </w:rPr>
            </w:pPr>
            <w:r>
              <w:rPr>
                <w:b/>
                <w:szCs w:val="20"/>
              </w:rPr>
              <w:t>$</w:t>
            </w:r>
            <w:r w:rsidR="006C3115">
              <w:rPr>
                <w:b/>
                <w:noProof/>
                <w:color w:val="000000"/>
                <w:szCs w:val="20"/>
                <w:highlight w:val="black"/>
              </w:rPr>
              <w:t>''''''''''''</w:t>
            </w:r>
            <w:r w:rsidR="00185A6F">
              <w:rPr>
                <w:vertAlign w:val="superscript"/>
              </w:rPr>
              <w:t>4</w:t>
            </w:r>
          </w:p>
        </w:tc>
      </w:tr>
      <w:tr w:rsidR="00EA70B6" w:rsidTr="003D7335">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EA70B6" w:rsidRDefault="00EA70B6" w:rsidP="00462C37">
            <w:pPr>
              <w:pStyle w:val="Tabletext"/>
              <w:keepNext/>
              <w:widowControl w:val="0"/>
              <w:rPr>
                <w:b/>
                <w:szCs w:val="20"/>
              </w:rPr>
            </w:pPr>
            <w:r>
              <w:rPr>
                <w:b/>
                <w:szCs w:val="20"/>
              </w:rPr>
              <w:t>July 2020 submission results</w:t>
            </w:r>
          </w:p>
        </w:tc>
      </w:tr>
      <w:tr w:rsidR="00EA70B6" w:rsidTr="003D7335">
        <w:tc>
          <w:tcPr>
            <w:tcW w:w="1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70B6" w:rsidRDefault="00EA70B6" w:rsidP="00462C37">
            <w:pPr>
              <w:pStyle w:val="Tabletext"/>
              <w:keepNext/>
              <w:widowControl w:val="0"/>
              <w:rPr>
                <w:rFonts w:ascii="Times" w:hAnsi="Times"/>
              </w:rPr>
            </w:pPr>
            <w:r>
              <w:t>Costs</w:t>
            </w:r>
          </w:p>
        </w:tc>
        <w:tc>
          <w:tcPr>
            <w:tcW w:w="1359" w:type="pct"/>
            <w:tcBorders>
              <w:top w:val="single" w:sz="4" w:space="0" w:color="auto"/>
              <w:left w:val="single" w:sz="4" w:space="0" w:color="auto"/>
              <w:bottom w:val="single" w:sz="4" w:space="0" w:color="auto"/>
              <w:right w:val="single" w:sz="4" w:space="0" w:color="auto"/>
            </w:tcBorders>
            <w:shd w:val="clear" w:color="auto" w:fill="auto"/>
            <w:hideMark/>
          </w:tcPr>
          <w:p w:rsidR="00EA70B6" w:rsidRDefault="00EA70B6" w:rsidP="00462C37">
            <w:pPr>
              <w:pStyle w:val="Tabletext"/>
              <w:keepNext/>
              <w:widowControl w:val="0"/>
              <w:jc w:val="center"/>
              <w:rPr>
                <w:szCs w:val="20"/>
              </w:rPr>
            </w:pPr>
            <w:r>
              <w:rPr>
                <w:szCs w:val="20"/>
              </w:rPr>
              <w:t>$</w:t>
            </w:r>
            <w:r w:rsidR="006C3115">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shd w:val="clear" w:color="auto" w:fill="auto"/>
            <w:hideMark/>
          </w:tcPr>
          <w:p w:rsidR="00EA70B6" w:rsidRDefault="00EA70B6" w:rsidP="00462C37">
            <w:pPr>
              <w:pStyle w:val="Tabletext"/>
              <w:keepNext/>
              <w:widowControl w:val="0"/>
              <w:jc w:val="center"/>
              <w:rPr>
                <w:szCs w:val="20"/>
              </w:rPr>
            </w:pPr>
            <w:r w:rsidRPr="003138B2">
              <w:rPr>
                <w:szCs w:val="20"/>
              </w:rPr>
              <w:t>$57,236</w:t>
            </w:r>
          </w:p>
        </w:tc>
        <w:tc>
          <w:tcPr>
            <w:tcW w:w="838" w:type="pct"/>
            <w:tcBorders>
              <w:top w:val="single" w:sz="4" w:space="0" w:color="auto"/>
              <w:left w:val="single" w:sz="4" w:space="0" w:color="auto"/>
              <w:bottom w:val="single" w:sz="4" w:space="0" w:color="auto"/>
              <w:right w:val="single" w:sz="4" w:space="0" w:color="auto"/>
            </w:tcBorders>
            <w:shd w:val="clear" w:color="auto" w:fill="auto"/>
            <w:hideMark/>
          </w:tcPr>
          <w:p w:rsidR="00EA70B6" w:rsidRDefault="00EA70B6" w:rsidP="00462C37">
            <w:pPr>
              <w:pStyle w:val="Tabletext"/>
              <w:keepNext/>
              <w:widowControl w:val="0"/>
              <w:jc w:val="center"/>
              <w:rPr>
                <w:szCs w:val="20"/>
              </w:rPr>
            </w:pPr>
            <w:r>
              <w:rPr>
                <w:szCs w:val="20"/>
              </w:rPr>
              <w:t>$</w:t>
            </w:r>
            <w:r w:rsidR="006C3115">
              <w:rPr>
                <w:noProof/>
                <w:color w:val="000000"/>
                <w:szCs w:val="20"/>
                <w:highlight w:val="black"/>
              </w:rPr>
              <w:t>''''''''''''''''''</w:t>
            </w:r>
            <w:r w:rsidR="00185A6F">
              <w:rPr>
                <w:vertAlign w:val="superscript"/>
              </w:rPr>
              <w:t>6</w:t>
            </w:r>
          </w:p>
        </w:tc>
      </w:tr>
      <w:tr w:rsidR="00EA70B6" w:rsidTr="003D7335">
        <w:tc>
          <w:tcPr>
            <w:tcW w:w="1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70B6" w:rsidRDefault="00EA70B6" w:rsidP="00462C37">
            <w:pPr>
              <w:pStyle w:val="Tabletext"/>
              <w:keepNext/>
              <w:widowControl w:val="0"/>
            </w:pPr>
            <w:r>
              <w:t>LY</w:t>
            </w:r>
          </w:p>
        </w:tc>
        <w:tc>
          <w:tcPr>
            <w:tcW w:w="1359" w:type="pct"/>
            <w:tcBorders>
              <w:top w:val="single" w:sz="4" w:space="0" w:color="auto"/>
              <w:left w:val="single" w:sz="4" w:space="0" w:color="auto"/>
              <w:bottom w:val="single" w:sz="4" w:space="0" w:color="auto"/>
              <w:right w:val="single" w:sz="4" w:space="0" w:color="auto"/>
            </w:tcBorders>
            <w:shd w:val="clear" w:color="auto" w:fill="auto"/>
            <w:hideMark/>
          </w:tcPr>
          <w:p w:rsidR="00EA70B6" w:rsidRDefault="00EA70B6" w:rsidP="00462C37">
            <w:pPr>
              <w:pStyle w:val="Tabletext"/>
              <w:keepNext/>
              <w:widowControl w:val="0"/>
              <w:jc w:val="center"/>
              <w:rPr>
                <w:szCs w:val="20"/>
              </w:rPr>
            </w:pPr>
            <w:r>
              <w:rPr>
                <w:szCs w:val="20"/>
              </w:rPr>
              <w:t>5.45</w:t>
            </w:r>
          </w:p>
        </w:tc>
        <w:tc>
          <w:tcPr>
            <w:tcW w:w="1274" w:type="pct"/>
            <w:tcBorders>
              <w:top w:val="single" w:sz="4" w:space="0" w:color="auto"/>
              <w:left w:val="single" w:sz="4" w:space="0" w:color="auto"/>
              <w:bottom w:val="single" w:sz="4" w:space="0" w:color="auto"/>
              <w:right w:val="single" w:sz="4" w:space="0" w:color="auto"/>
            </w:tcBorders>
            <w:shd w:val="clear" w:color="auto" w:fill="auto"/>
            <w:hideMark/>
          </w:tcPr>
          <w:p w:rsidR="00EA70B6" w:rsidRDefault="00EA70B6" w:rsidP="00462C37">
            <w:pPr>
              <w:pStyle w:val="Tabletext"/>
              <w:keepNext/>
              <w:widowControl w:val="0"/>
              <w:jc w:val="center"/>
              <w:rPr>
                <w:szCs w:val="20"/>
              </w:rPr>
            </w:pPr>
            <w:r>
              <w:rPr>
                <w:szCs w:val="20"/>
              </w:rPr>
              <w:t>4.51</w:t>
            </w:r>
          </w:p>
        </w:tc>
        <w:tc>
          <w:tcPr>
            <w:tcW w:w="838" w:type="pct"/>
            <w:tcBorders>
              <w:top w:val="single" w:sz="4" w:space="0" w:color="auto"/>
              <w:left w:val="single" w:sz="4" w:space="0" w:color="auto"/>
              <w:bottom w:val="single" w:sz="4" w:space="0" w:color="auto"/>
              <w:right w:val="single" w:sz="4" w:space="0" w:color="auto"/>
            </w:tcBorders>
            <w:shd w:val="clear" w:color="auto" w:fill="auto"/>
            <w:hideMark/>
          </w:tcPr>
          <w:p w:rsidR="00EA70B6" w:rsidRDefault="00EA70B6" w:rsidP="00462C37">
            <w:pPr>
              <w:pStyle w:val="Tabletext"/>
              <w:keepNext/>
              <w:widowControl w:val="0"/>
              <w:jc w:val="center"/>
              <w:rPr>
                <w:szCs w:val="20"/>
              </w:rPr>
            </w:pPr>
            <w:r>
              <w:rPr>
                <w:szCs w:val="20"/>
              </w:rPr>
              <w:t>0.94</w:t>
            </w:r>
          </w:p>
        </w:tc>
      </w:tr>
      <w:tr w:rsidR="00EA70B6" w:rsidTr="003D7335">
        <w:tc>
          <w:tcPr>
            <w:tcW w:w="15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70B6" w:rsidRDefault="00EA70B6" w:rsidP="00462C37">
            <w:pPr>
              <w:pStyle w:val="Tabletext"/>
              <w:keepNext/>
              <w:widowControl w:val="0"/>
              <w:rPr>
                <w:rFonts w:ascii="Times" w:hAnsi="Times"/>
              </w:rPr>
            </w:pPr>
            <w:r>
              <w:t>QALY</w:t>
            </w:r>
          </w:p>
        </w:tc>
        <w:tc>
          <w:tcPr>
            <w:tcW w:w="1359" w:type="pct"/>
            <w:tcBorders>
              <w:top w:val="single" w:sz="4" w:space="0" w:color="auto"/>
              <w:left w:val="single" w:sz="4" w:space="0" w:color="auto"/>
              <w:bottom w:val="single" w:sz="4" w:space="0" w:color="auto"/>
              <w:right w:val="single" w:sz="4" w:space="0" w:color="auto"/>
            </w:tcBorders>
            <w:shd w:val="clear" w:color="auto" w:fill="auto"/>
            <w:hideMark/>
          </w:tcPr>
          <w:p w:rsidR="00EA70B6" w:rsidRDefault="00EA70B6" w:rsidP="00462C37">
            <w:pPr>
              <w:pStyle w:val="Tabletext"/>
              <w:keepNext/>
              <w:widowControl w:val="0"/>
              <w:jc w:val="center"/>
              <w:rPr>
                <w:szCs w:val="20"/>
              </w:rPr>
            </w:pPr>
            <w:r>
              <w:rPr>
                <w:szCs w:val="20"/>
              </w:rPr>
              <w:t>4.00</w:t>
            </w:r>
          </w:p>
        </w:tc>
        <w:tc>
          <w:tcPr>
            <w:tcW w:w="1274" w:type="pct"/>
            <w:tcBorders>
              <w:top w:val="single" w:sz="4" w:space="0" w:color="auto"/>
              <w:left w:val="single" w:sz="4" w:space="0" w:color="auto"/>
              <w:bottom w:val="single" w:sz="4" w:space="0" w:color="auto"/>
              <w:right w:val="single" w:sz="4" w:space="0" w:color="auto"/>
            </w:tcBorders>
            <w:shd w:val="clear" w:color="auto" w:fill="auto"/>
            <w:hideMark/>
          </w:tcPr>
          <w:p w:rsidR="00EA70B6" w:rsidRDefault="00EA70B6" w:rsidP="00462C37">
            <w:pPr>
              <w:pStyle w:val="Tabletext"/>
              <w:keepNext/>
              <w:widowControl w:val="0"/>
              <w:jc w:val="center"/>
              <w:rPr>
                <w:szCs w:val="20"/>
              </w:rPr>
            </w:pPr>
            <w:r>
              <w:rPr>
                <w:szCs w:val="20"/>
              </w:rPr>
              <w:t>2.96</w:t>
            </w:r>
          </w:p>
        </w:tc>
        <w:tc>
          <w:tcPr>
            <w:tcW w:w="838" w:type="pct"/>
            <w:tcBorders>
              <w:top w:val="single" w:sz="4" w:space="0" w:color="auto"/>
              <w:left w:val="single" w:sz="4" w:space="0" w:color="auto"/>
              <w:bottom w:val="single" w:sz="4" w:space="0" w:color="auto"/>
              <w:right w:val="single" w:sz="4" w:space="0" w:color="auto"/>
            </w:tcBorders>
            <w:shd w:val="clear" w:color="auto" w:fill="auto"/>
            <w:hideMark/>
          </w:tcPr>
          <w:p w:rsidR="00EA70B6" w:rsidRDefault="00EA70B6" w:rsidP="00462C37">
            <w:pPr>
              <w:pStyle w:val="Tabletext"/>
              <w:keepNext/>
              <w:widowControl w:val="0"/>
              <w:jc w:val="center"/>
              <w:rPr>
                <w:szCs w:val="20"/>
              </w:rPr>
            </w:pPr>
            <w:r>
              <w:rPr>
                <w:szCs w:val="20"/>
              </w:rPr>
              <w:t>1.05</w:t>
            </w:r>
          </w:p>
        </w:tc>
      </w:tr>
      <w:tr w:rsidR="00EA70B6" w:rsidTr="003D7335">
        <w:tc>
          <w:tcPr>
            <w:tcW w:w="416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A70B6" w:rsidRDefault="00EA70B6" w:rsidP="00462C37">
            <w:pPr>
              <w:pStyle w:val="Tabletext"/>
              <w:keepNext/>
              <w:widowControl w:val="0"/>
              <w:rPr>
                <w:szCs w:val="20"/>
              </w:rPr>
            </w:pPr>
            <w:r>
              <w:t>Incremental cost/extra LY gained (base case)</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70B6" w:rsidRDefault="00EA70B6" w:rsidP="00462C37">
            <w:pPr>
              <w:pStyle w:val="Tabletext"/>
              <w:keepNext/>
              <w:widowControl w:val="0"/>
              <w:jc w:val="center"/>
              <w:rPr>
                <w:szCs w:val="20"/>
              </w:rPr>
            </w:pPr>
            <w:r>
              <w:rPr>
                <w:szCs w:val="20"/>
              </w:rPr>
              <w:t>$</w:t>
            </w:r>
            <w:r w:rsidR="006C3115">
              <w:rPr>
                <w:noProof/>
                <w:color w:val="000000"/>
                <w:szCs w:val="20"/>
                <w:highlight w:val="black"/>
              </w:rPr>
              <w:t>''''''''''''''''</w:t>
            </w:r>
            <w:r w:rsidR="00185A6F">
              <w:rPr>
                <w:vertAlign w:val="superscript"/>
              </w:rPr>
              <w:t>6</w:t>
            </w:r>
          </w:p>
        </w:tc>
      </w:tr>
      <w:tr w:rsidR="00EA70B6" w:rsidTr="003D7335">
        <w:tc>
          <w:tcPr>
            <w:tcW w:w="416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A70B6" w:rsidRDefault="00EA70B6" w:rsidP="00462C37">
            <w:pPr>
              <w:pStyle w:val="Tabletext"/>
              <w:keepNext/>
              <w:widowControl w:val="0"/>
              <w:rPr>
                <w:szCs w:val="20"/>
              </w:rPr>
            </w:pPr>
            <w:r>
              <w:rPr>
                <w:b/>
              </w:rPr>
              <w:t>Incremental cost/extra QALY gained (base case)</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70B6" w:rsidRDefault="00EA70B6" w:rsidP="00462C37">
            <w:pPr>
              <w:pStyle w:val="Tabletext"/>
              <w:keepNext/>
              <w:widowControl w:val="0"/>
              <w:jc w:val="center"/>
              <w:rPr>
                <w:b/>
                <w:szCs w:val="20"/>
              </w:rPr>
            </w:pPr>
            <w:r>
              <w:rPr>
                <w:b/>
                <w:szCs w:val="20"/>
              </w:rPr>
              <w:t>$</w:t>
            </w:r>
            <w:r w:rsidR="006C3115">
              <w:rPr>
                <w:b/>
                <w:noProof/>
                <w:color w:val="000000"/>
                <w:szCs w:val="20"/>
                <w:highlight w:val="black"/>
              </w:rPr>
              <w:t>'''''''''''''''</w:t>
            </w:r>
            <w:r w:rsidR="00185A6F">
              <w:rPr>
                <w:vertAlign w:val="superscript"/>
              </w:rPr>
              <w:t>4</w:t>
            </w:r>
          </w:p>
        </w:tc>
      </w:tr>
    </w:tbl>
    <w:p w:rsidR="00AD39DD" w:rsidRDefault="00AD39DD" w:rsidP="00AD39DD">
      <w:pPr>
        <w:pStyle w:val="TableFooter"/>
        <w:keepNext/>
        <w:keepLines/>
        <w:rPr>
          <w:lang w:eastAsia="en-GB"/>
        </w:rPr>
      </w:pPr>
      <w:r>
        <w:t>Source: Table 3-31, p281; Table 3-34, p283 of the resubmission and the ‘Model Results’ worksheet of the Excel workbook ‘DARO_Section3Model_November2020’</w:t>
      </w:r>
      <w:r w:rsidR="007D3626">
        <w:t xml:space="preserve"> and p2 of the pre-PBAC response</w:t>
      </w:r>
    </w:p>
    <w:p w:rsidR="00AD39DD" w:rsidRDefault="007D3626" w:rsidP="00AD39DD">
      <w:pPr>
        <w:pStyle w:val="TableFooter"/>
        <w:keepNext/>
        <w:keepLines/>
      </w:pPr>
      <w:r>
        <w:t xml:space="preserve">AEMP = approved ex-manufacturer price; </w:t>
      </w:r>
      <w:r w:rsidR="00AD39DD">
        <w:t xml:space="preserve">LY = life year; </w:t>
      </w:r>
      <w:r>
        <w:t xml:space="preserve">KM = Kaplan Meier; mCRPC = metastatic castration resistant prostate cancer; </w:t>
      </w:r>
      <w:r w:rsidR="00AD39DD">
        <w:t xml:space="preserve">MFS = metastasis-free survival; </w:t>
      </w:r>
      <w:r>
        <w:t xml:space="preserve">OS = overall survival; </w:t>
      </w:r>
      <w:r w:rsidR="00AD39DD">
        <w:t xml:space="preserve">QALY = quality adjusted life year; SOC = standard of care  </w:t>
      </w:r>
    </w:p>
    <w:p w:rsidR="00185A6F" w:rsidRPr="009868C4" w:rsidRDefault="00185A6F" w:rsidP="00185A6F">
      <w:pPr>
        <w:pStyle w:val="TableFigureFooter"/>
        <w:spacing w:after="0"/>
        <w:contextualSpacing w:val="0"/>
      </w:pPr>
      <w:r w:rsidRPr="009868C4">
        <w:rPr>
          <w:i/>
        </w:rPr>
        <w:t>The redacted values correspond to the following ranges</w:t>
      </w:r>
      <w:r>
        <w:rPr>
          <w:i/>
        </w:rPr>
        <w:t xml:space="preserve">: </w:t>
      </w:r>
    </w:p>
    <w:p w:rsidR="00185A6F" w:rsidRDefault="00185A6F" w:rsidP="00AD39DD">
      <w:pPr>
        <w:pStyle w:val="TableFooter"/>
        <w:keepNext/>
        <w:keepLines/>
        <w:rPr>
          <w:i/>
          <w:sz w:val="20"/>
        </w:rPr>
      </w:pPr>
      <w:r>
        <w:rPr>
          <w:i/>
          <w:sz w:val="20"/>
          <w:vertAlign w:val="superscript"/>
        </w:rPr>
        <w:t xml:space="preserve">1 </w:t>
      </w:r>
      <w:r w:rsidRPr="00185A6F">
        <w:rPr>
          <w:i/>
          <w:sz w:val="20"/>
        </w:rPr>
        <w:t>$35,000 to &lt; $45,000</w:t>
      </w:r>
    </w:p>
    <w:p w:rsidR="00185A6F" w:rsidRPr="00185A6F" w:rsidRDefault="00185A6F" w:rsidP="00AD39DD">
      <w:pPr>
        <w:pStyle w:val="TableFooter"/>
        <w:keepNext/>
        <w:keepLines/>
        <w:rPr>
          <w:i/>
          <w:sz w:val="20"/>
        </w:rPr>
      </w:pPr>
      <w:r>
        <w:rPr>
          <w:i/>
          <w:sz w:val="20"/>
          <w:vertAlign w:val="superscript"/>
        </w:rPr>
        <w:t xml:space="preserve">2 </w:t>
      </w:r>
      <w:r w:rsidRPr="00185A6F">
        <w:rPr>
          <w:i/>
          <w:sz w:val="20"/>
        </w:rPr>
        <w:t>$155,000 to &lt; $255,000</w:t>
      </w:r>
    </w:p>
    <w:p w:rsidR="00185A6F" w:rsidRPr="00185A6F" w:rsidRDefault="00185A6F" w:rsidP="00AD39DD">
      <w:pPr>
        <w:pStyle w:val="TableFooter"/>
        <w:keepNext/>
        <w:keepLines/>
        <w:rPr>
          <w:i/>
          <w:sz w:val="20"/>
        </w:rPr>
      </w:pPr>
      <w:r>
        <w:rPr>
          <w:i/>
          <w:sz w:val="20"/>
          <w:vertAlign w:val="superscript"/>
        </w:rPr>
        <w:t xml:space="preserve">3 </w:t>
      </w:r>
      <w:r w:rsidRPr="00185A6F">
        <w:rPr>
          <w:i/>
          <w:sz w:val="20"/>
        </w:rPr>
        <w:t>$95,000 to &lt; $115,000</w:t>
      </w:r>
    </w:p>
    <w:p w:rsidR="00185A6F" w:rsidRDefault="00185A6F" w:rsidP="00AD39DD">
      <w:pPr>
        <w:pStyle w:val="TableFooter"/>
        <w:keepNext/>
        <w:keepLines/>
        <w:rPr>
          <w:i/>
          <w:sz w:val="20"/>
        </w:rPr>
      </w:pPr>
      <w:r>
        <w:rPr>
          <w:i/>
          <w:sz w:val="20"/>
          <w:vertAlign w:val="superscript"/>
        </w:rPr>
        <w:t xml:space="preserve">4 </w:t>
      </w:r>
      <w:r w:rsidRPr="00185A6F">
        <w:rPr>
          <w:i/>
          <w:sz w:val="20"/>
        </w:rPr>
        <w:t>$45,000 to &lt; $55,000</w:t>
      </w:r>
    </w:p>
    <w:p w:rsidR="00185A6F" w:rsidRPr="00185A6F" w:rsidRDefault="00185A6F" w:rsidP="00AD39DD">
      <w:pPr>
        <w:pStyle w:val="TableFooter"/>
        <w:keepNext/>
        <w:keepLines/>
        <w:rPr>
          <w:i/>
          <w:sz w:val="20"/>
        </w:rPr>
      </w:pPr>
      <w:r>
        <w:rPr>
          <w:i/>
          <w:sz w:val="20"/>
          <w:vertAlign w:val="superscript"/>
        </w:rPr>
        <w:t xml:space="preserve">5 </w:t>
      </w:r>
      <w:r w:rsidRPr="00185A6F">
        <w:rPr>
          <w:i/>
          <w:sz w:val="20"/>
        </w:rPr>
        <w:t>$25,000 to &lt; $35,000</w:t>
      </w:r>
    </w:p>
    <w:p w:rsidR="00185A6F" w:rsidRPr="00185A6F" w:rsidRDefault="00185A6F" w:rsidP="00AD39DD">
      <w:pPr>
        <w:pStyle w:val="TableFooter"/>
        <w:keepNext/>
        <w:keepLines/>
        <w:rPr>
          <w:i/>
          <w:sz w:val="20"/>
        </w:rPr>
      </w:pPr>
      <w:r>
        <w:rPr>
          <w:i/>
          <w:sz w:val="20"/>
          <w:vertAlign w:val="superscript"/>
        </w:rPr>
        <w:t xml:space="preserve">6 </w:t>
      </w:r>
      <w:r w:rsidRPr="00185A6F">
        <w:rPr>
          <w:i/>
          <w:sz w:val="20"/>
        </w:rPr>
        <w:t>$55,000 to &lt; $75,000</w:t>
      </w:r>
    </w:p>
    <w:p w:rsidR="00AD39DD" w:rsidRDefault="00AD39DD" w:rsidP="00AD39DD">
      <w:pPr>
        <w:rPr>
          <w:lang w:val="en-US"/>
        </w:rPr>
      </w:pPr>
    </w:p>
    <w:p w:rsidR="00F34D04" w:rsidRPr="00283C55" w:rsidRDefault="00AD39DD" w:rsidP="00185A6F">
      <w:pPr>
        <w:pStyle w:val="3-BodyText"/>
        <w:rPr>
          <w:b/>
          <w:bCs/>
          <w:color w:val="0066FF"/>
          <w:lang w:val="en-US"/>
        </w:rPr>
      </w:pPr>
      <w:r w:rsidRPr="00470FAC">
        <w:t xml:space="preserve">The resubmission noted that changes to the economic model, including methods of OS extrapolation, health state utilities and a 25% reduction to the price of darolutamide have resulted in an ICER of </w:t>
      </w:r>
      <w:r w:rsidR="00185A6F" w:rsidRPr="00185A6F">
        <w:t>$45,000 to &lt; $55,000</w:t>
      </w:r>
      <w:r w:rsidR="00185A6F">
        <w:t xml:space="preserve"> </w:t>
      </w:r>
      <w:r w:rsidRPr="00470FAC">
        <w:t xml:space="preserve">per QALY (compared to an ICER of </w:t>
      </w:r>
      <w:r w:rsidR="00185A6F" w:rsidRPr="00185A6F">
        <w:t>$45,000 to &lt; $55,000</w:t>
      </w:r>
      <w:r w:rsidR="00185A6F">
        <w:t xml:space="preserve"> </w:t>
      </w:r>
      <w:r w:rsidRPr="00470FAC">
        <w:t>in July 2020). Although reduced, the ICER was not within the range of $40,000 to $45,000 per QALY which was what the PBAC considered would be cost-effective in July 2020 (paragraph 7.15, darolutamide PSD, July 2020).</w:t>
      </w:r>
      <w:r w:rsidR="007D3626">
        <w:t xml:space="preserve"> </w:t>
      </w:r>
      <w:r w:rsidR="00283C55">
        <w:rPr>
          <w:lang w:val="en-US"/>
        </w:rPr>
        <w:t>The pre-PBAC response applied Kaplan-Meier data until 42 months, increased the utility in the mCRPC health state to 0.635 and applied the revised AEMP of $</w:t>
      </w:r>
      <w:r w:rsidR="006C3115">
        <w:rPr>
          <w:noProof/>
          <w:color w:val="000000"/>
          <w:highlight w:val="black"/>
          <w:lang w:val="en-US"/>
        </w:rPr>
        <w:t>'''''''''''''''</w:t>
      </w:r>
      <w:r w:rsidR="00283C55">
        <w:rPr>
          <w:lang w:val="en-US"/>
        </w:rPr>
        <w:t xml:space="preserve">, resulting in a revised base case ICER of </w:t>
      </w:r>
      <w:r w:rsidR="00185A6F" w:rsidRPr="00185A6F">
        <w:rPr>
          <w:lang w:val="en-US"/>
        </w:rPr>
        <w:t>$45,000 to &lt; $55,000</w:t>
      </w:r>
      <w:r w:rsidR="00185A6F">
        <w:rPr>
          <w:lang w:val="en-US"/>
        </w:rPr>
        <w:t xml:space="preserve"> </w:t>
      </w:r>
      <w:r w:rsidR="00283C55">
        <w:rPr>
          <w:lang w:val="en-US"/>
        </w:rPr>
        <w:t>per QALY</w:t>
      </w:r>
      <w:r w:rsidR="00544F5A">
        <w:rPr>
          <w:lang w:val="en-US"/>
        </w:rPr>
        <w:t xml:space="preserve"> (see paragraph 6.48)</w:t>
      </w:r>
      <w:r w:rsidR="00283C55">
        <w:rPr>
          <w:lang w:val="en-US"/>
        </w:rPr>
        <w:t>.</w:t>
      </w:r>
      <w:r w:rsidR="00B23471">
        <w:rPr>
          <w:lang w:val="en-US"/>
        </w:rPr>
        <w:t xml:space="preserve"> </w:t>
      </w:r>
      <w:r w:rsidR="00F34D04" w:rsidRPr="00470FAC">
        <w:t>Applying the resubmission’s proposed price to the July 2020 model result</w:t>
      </w:r>
      <w:r w:rsidR="0030737B" w:rsidRPr="00470FAC">
        <w:t>ed</w:t>
      </w:r>
      <w:r w:rsidR="00F34D04" w:rsidRPr="00470FAC">
        <w:t xml:space="preserve"> in an ICER of </w:t>
      </w:r>
      <w:r w:rsidR="00185A6F" w:rsidRPr="00185A6F">
        <w:t>$35,000 to &lt; $45,000</w:t>
      </w:r>
      <w:r w:rsidR="00185A6F">
        <w:t xml:space="preserve"> </w:t>
      </w:r>
      <w:r w:rsidR="00F34D04" w:rsidRPr="00470FAC">
        <w:t xml:space="preserve">per QALY. </w:t>
      </w:r>
      <w:r w:rsidR="00B72CE4" w:rsidRPr="00470FAC">
        <w:t xml:space="preserve">The resubmission’s model </w:t>
      </w:r>
      <w:r w:rsidR="00C17B39" w:rsidRPr="00470FAC">
        <w:t xml:space="preserve">was </w:t>
      </w:r>
      <w:r w:rsidR="00B72CE4" w:rsidRPr="00470FAC">
        <w:t xml:space="preserve">more </w:t>
      </w:r>
      <w:r w:rsidR="00B72CE4" w:rsidRPr="00470FAC">
        <w:lastRenderedPageBreak/>
        <w:t>conservative, and t</w:t>
      </w:r>
      <w:r w:rsidR="00F34D04" w:rsidRPr="00470FAC">
        <w:t xml:space="preserve">he key change </w:t>
      </w:r>
      <w:r w:rsidR="00B72CE4" w:rsidRPr="00470FAC">
        <w:t xml:space="preserve">that impacted the model results </w:t>
      </w:r>
      <w:r w:rsidR="00F34D04" w:rsidRPr="00470FAC">
        <w:t xml:space="preserve">was the </w:t>
      </w:r>
      <w:r w:rsidR="00D72EA6" w:rsidRPr="00470FAC">
        <w:t xml:space="preserve">approach to extrapolation of OS in the darolutamide arm (by applying the </w:t>
      </w:r>
      <w:r w:rsidR="00C17B39" w:rsidRPr="00470FAC">
        <w:t xml:space="preserve">trial-based HR to the </w:t>
      </w:r>
      <w:r w:rsidR="00D72EA6" w:rsidRPr="00470FAC">
        <w:t xml:space="preserve">OS </w:t>
      </w:r>
      <w:r w:rsidR="00C17B39" w:rsidRPr="00470FAC">
        <w:t>SOC curve</w:t>
      </w:r>
      <w:r w:rsidR="00D72EA6" w:rsidRPr="00470FAC">
        <w:t>)</w:t>
      </w:r>
      <w:r w:rsidR="00F34D04" w:rsidRPr="00470FAC">
        <w:t xml:space="preserve">. </w:t>
      </w:r>
    </w:p>
    <w:p w:rsidR="00AD39DD" w:rsidRPr="00462C37" w:rsidRDefault="00AD39DD" w:rsidP="00641FB3">
      <w:pPr>
        <w:pStyle w:val="3-BodyText"/>
        <w:rPr>
          <w:b/>
          <w:bCs/>
          <w:color w:val="0066FF"/>
          <w:lang w:val="en-US"/>
        </w:rPr>
      </w:pPr>
      <w:r w:rsidRPr="00470FAC">
        <w:rPr>
          <w:iCs/>
        </w:rPr>
        <w:t>Sensitivity analyses indicated that the model was sensitive to the hazard ratio applied to the SOC OS curve, the utility value in the mCRPC health state and the extrapolation functions applied</w:t>
      </w:r>
      <w:r w:rsidRPr="00470FAC">
        <w:t>.</w:t>
      </w:r>
    </w:p>
    <w:p w:rsidR="00AD39DD" w:rsidRDefault="00AD39DD" w:rsidP="00462C37">
      <w:pPr>
        <w:keepLines/>
        <w:rPr>
          <w:rStyle w:val="CommentReference"/>
        </w:rPr>
      </w:pPr>
      <w:r>
        <w:rPr>
          <w:rStyle w:val="CommentReference"/>
        </w:rPr>
        <w:t>Table 1</w:t>
      </w:r>
      <w:r w:rsidR="000C08E6">
        <w:rPr>
          <w:rStyle w:val="CommentReference"/>
        </w:rPr>
        <w:t>5</w:t>
      </w:r>
      <w:r>
        <w:rPr>
          <w:rStyle w:val="CommentReference"/>
        </w:rPr>
        <w:t>:  Results of key sensitivity analyses</w:t>
      </w:r>
    </w:p>
    <w:tbl>
      <w:tblP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416"/>
        <w:gridCol w:w="1189"/>
        <w:gridCol w:w="1190"/>
        <w:gridCol w:w="1789"/>
        <w:gridCol w:w="1533"/>
      </w:tblGrid>
      <w:tr w:rsidR="00AD39DD" w:rsidRPr="00470FAC" w:rsidTr="00BC716C">
        <w:trPr>
          <w:cantSplit/>
          <w:tblHeader/>
        </w:trPr>
        <w:tc>
          <w:tcPr>
            <w:tcW w:w="3416"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tabs>
                <w:tab w:val="left" w:pos="142"/>
              </w:tabs>
            </w:pPr>
            <w:r w:rsidRPr="00470FAC">
              <w:rPr>
                <w:b/>
              </w:rPr>
              <w:t>Analyses</w:t>
            </w:r>
          </w:p>
        </w:tc>
        <w:tc>
          <w:tcPr>
            <w:tcW w:w="1189"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jc w:val="center"/>
              <w:rPr>
                <w:b/>
              </w:rPr>
            </w:pPr>
            <w:r w:rsidRPr="00470FAC">
              <w:rPr>
                <w:b/>
              </w:rPr>
              <w:t>Incremental cost</w:t>
            </w:r>
          </w:p>
        </w:tc>
        <w:tc>
          <w:tcPr>
            <w:tcW w:w="1190"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jc w:val="center"/>
              <w:rPr>
                <w:b/>
              </w:rPr>
            </w:pPr>
            <w:r w:rsidRPr="00470FAC">
              <w:rPr>
                <w:b/>
              </w:rPr>
              <w:t>Incremental QALY</w:t>
            </w:r>
          </w:p>
        </w:tc>
        <w:tc>
          <w:tcPr>
            <w:tcW w:w="1789"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jc w:val="center"/>
              <w:rPr>
                <w:b/>
              </w:rPr>
            </w:pPr>
            <w:r w:rsidRPr="00470FAC">
              <w:rPr>
                <w:b/>
              </w:rPr>
              <w:t>ICER</w:t>
            </w:r>
          </w:p>
        </w:tc>
        <w:tc>
          <w:tcPr>
            <w:tcW w:w="1533"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jc w:val="center"/>
              <w:rPr>
                <w:b/>
              </w:rPr>
            </w:pPr>
            <w:r w:rsidRPr="00470FAC">
              <w:rPr>
                <w:b/>
              </w:rPr>
              <w:t>% change ICER</w:t>
            </w:r>
          </w:p>
        </w:tc>
      </w:tr>
      <w:tr w:rsidR="00AD39DD" w:rsidRPr="00470FAC" w:rsidTr="00BC716C">
        <w:trPr>
          <w:cantSplit/>
        </w:trPr>
        <w:tc>
          <w:tcPr>
            <w:tcW w:w="3416"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tabs>
                <w:tab w:val="left" w:pos="142"/>
              </w:tabs>
              <w:rPr>
                <w:b/>
              </w:rPr>
            </w:pPr>
            <w:r w:rsidRPr="00470FAC">
              <w:rPr>
                <w:b/>
              </w:rPr>
              <w:t>Base case</w:t>
            </w:r>
          </w:p>
        </w:tc>
        <w:tc>
          <w:tcPr>
            <w:tcW w:w="1189" w:type="dxa"/>
            <w:tcBorders>
              <w:top w:val="single" w:sz="4" w:space="0" w:color="auto"/>
              <w:left w:val="single" w:sz="4" w:space="0" w:color="auto"/>
              <w:bottom w:val="single" w:sz="4" w:space="0" w:color="auto"/>
              <w:right w:val="single" w:sz="4" w:space="0" w:color="auto"/>
            </w:tcBorders>
            <w:vAlign w:val="center"/>
          </w:tcPr>
          <w:p w:rsidR="00AD39DD" w:rsidRPr="00470FAC" w:rsidRDefault="00AD39DD" w:rsidP="00462C37">
            <w:pPr>
              <w:pStyle w:val="Tabletext"/>
              <w:widowControl w:val="0"/>
              <w:jc w:val="center"/>
              <w:rPr>
                <w:b/>
              </w:rPr>
            </w:pPr>
            <w:r w:rsidRPr="00470FAC">
              <w:rPr>
                <w:b/>
              </w:rPr>
              <w:t>$</w:t>
            </w:r>
            <w:r w:rsidR="006C3115">
              <w:rPr>
                <w:b/>
                <w:noProof/>
                <w:color w:val="000000"/>
                <w:highlight w:val="black"/>
              </w:rPr>
              <w:t>''''''''''''''</w:t>
            </w:r>
          </w:p>
        </w:tc>
        <w:tc>
          <w:tcPr>
            <w:tcW w:w="1190" w:type="dxa"/>
            <w:tcBorders>
              <w:top w:val="single" w:sz="4" w:space="0" w:color="auto"/>
              <w:left w:val="single" w:sz="4" w:space="0" w:color="auto"/>
              <w:bottom w:val="single" w:sz="4" w:space="0" w:color="auto"/>
              <w:right w:val="single" w:sz="4" w:space="0" w:color="auto"/>
            </w:tcBorders>
            <w:vAlign w:val="center"/>
          </w:tcPr>
          <w:p w:rsidR="00AD39DD" w:rsidRPr="00470FAC" w:rsidRDefault="00AD39DD" w:rsidP="00462C37">
            <w:pPr>
              <w:pStyle w:val="Tabletext"/>
              <w:widowControl w:val="0"/>
              <w:jc w:val="center"/>
              <w:rPr>
                <w:b/>
              </w:rPr>
            </w:pPr>
            <w:r w:rsidRPr="00470FAC">
              <w:rPr>
                <w:b/>
              </w:rPr>
              <w:t>0.91</w:t>
            </w:r>
          </w:p>
        </w:tc>
        <w:tc>
          <w:tcPr>
            <w:tcW w:w="1789" w:type="dxa"/>
            <w:tcBorders>
              <w:top w:val="single" w:sz="4" w:space="0" w:color="auto"/>
              <w:left w:val="single" w:sz="4" w:space="0" w:color="auto"/>
              <w:bottom w:val="single" w:sz="4" w:space="0" w:color="auto"/>
              <w:right w:val="single" w:sz="4" w:space="0" w:color="auto"/>
            </w:tcBorders>
            <w:vAlign w:val="center"/>
          </w:tcPr>
          <w:p w:rsidR="00AD39DD" w:rsidRPr="00470FAC" w:rsidRDefault="00AD39DD" w:rsidP="00462C37">
            <w:pPr>
              <w:pStyle w:val="Tabletext"/>
              <w:widowControl w:val="0"/>
              <w:jc w:val="center"/>
              <w:rPr>
                <w:b/>
              </w:rPr>
            </w:pPr>
            <w:r w:rsidRPr="00470FAC">
              <w:rPr>
                <w:b/>
              </w:rPr>
              <w:t>$</w:t>
            </w:r>
            <w:r w:rsidR="006C3115">
              <w:rPr>
                <w:b/>
                <w:noProof/>
                <w:color w:val="000000"/>
                <w:highlight w:val="black"/>
              </w:rPr>
              <w:t>''''''''''''''</w:t>
            </w:r>
            <w:r w:rsidR="006F0510">
              <w:rPr>
                <w:vertAlign w:val="superscript"/>
              </w:rPr>
              <w:t>1</w:t>
            </w:r>
          </w:p>
        </w:tc>
        <w:tc>
          <w:tcPr>
            <w:tcW w:w="1533"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jc w:val="center"/>
              <w:rPr>
                <w:b/>
              </w:rPr>
            </w:pPr>
            <w:r w:rsidRPr="00470FAC">
              <w:rPr>
                <w:b/>
              </w:rPr>
              <w:t>-</w:t>
            </w:r>
          </w:p>
        </w:tc>
      </w:tr>
      <w:tr w:rsidR="00AD39DD" w:rsidRPr="00470FAC" w:rsidTr="00AD39DD">
        <w:trPr>
          <w:cantSplit/>
          <w:trHeight w:val="129"/>
        </w:trPr>
        <w:tc>
          <w:tcPr>
            <w:tcW w:w="9117" w:type="dxa"/>
            <w:gridSpan w:val="5"/>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pPr>
            <w:r w:rsidRPr="00470FAC">
              <w:t>OS data (base case: not adjusted for treatment switching)</w:t>
            </w:r>
          </w:p>
        </w:tc>
      </w:tr>
      <w:tr w:rsidR="00AD39DD" w:rsidRPr="00470FAC" w:rsidTr="00BC716C">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tabs>
                <w:tab w:val="left" w:pos="142"/>
              </w:tabs>
            </w:pPr>
            <w:r w:rsidRPr="00470FAC">
              <w:tab/>
              <w:t>Adjusted for treatment switching (IPE)</w:t>
            </w:r>
          </w:p>
        </w:tc>
        <w:tc>
          <w:tcPr>
            <w:tcW w:w="1189"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jc w:val="center"/>
            </w:pPr>
            <w:r w:rsidRPr="00470FAC">
              <w:rPr>
                <w:rFonts w:cs="Arial"/>
                <w:szCs w:val="20"/>
              </w:rPr>
              <w:t>$</w:t>
            </w:r>
            <w:r w:rsidR="006C3115">
              <w:rPr>
                <w:rFonts w:cs="Arial"/>
                <w:noProof/>
                <w:color w:val="000000"/>
                <w:szCs w:val="20"/>
                <w:highlight w:val="black"/>
              </w:rPr>
              <w:t>'''''''''''''''</w:t>
            </w:r>
          </w:p>
        </w:tc>
        <w:tc>
          <w:tcPr>
            <w:tcW w:w="1190" w:type="dxa"/>
            <w:tcBorders>
              <w:top w:val="single" w:sz="4" w:space="0" w:color="auto"/>
              <w:left w:val="single" w:sz="4" w:space="0" w:color="auto"/>
              <w:bottom w:val="single" w:sz="4" w:space="0" w:color="auto"/>
              <w:right w:val="single" w:sz="4" w:space="0" w:color="auto"/>
            </w:tcBorders>
            <w:vAlign w:val="center"/>
            <w:hideMark/>
          </w:tcPr>
          <w:p w:rsidR="00AD39DD" w:rsidRPr="006F0510" w:rsidRDefault="00AD39DD" w:rsidP="006F0510">
            <w:pPr>
              <w:pStyle w:val="Tabletext"/>
              <w:widowControl w:val="0"/>
              <w:jc w:val="center"/>
              <w:rPr>
                <w:vertAlign w:val="superscript"/>
              </w:rPr>
            </w:pPr>
            <w:r w:rsidRPr="00470FAC">
              <w:t>0.94</w:t>
            </w:r>
          </w:p>
        </w:tc>
        <w:tc>
          <w:tcPr>
            <w:tcW w:w="1789"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widowControl w:val="0"/>
              <w:jc w:val="center"/>
              <w:rPr>
                <w:rFonts w:ascii="Arial Narrow" w:hAnsi="Arial Narrow"/>
                <w:sz w:val="20"/>
                <w:szCs w:val="20"/>
              </w:rPr>
            </w:pPr>
            <w:r w:rsidRPr="00470FAC">
              <w:rPr>
                <w:rFonts w:ascii="Arial Narrow" w:hAnsi="Arial Narrow"/>
                <w:sz w:val="20"/>
                <w:szCs w:val="20"/>
              </w:rPr>
              <w:t>$</w:t>
            </w:r>
            <w:r w:rsidR="006C3115">
              <w:rPr>
                <w:rFonts w:ascii="Arial Narrow" w:hAnsi="Arial Narrow"/>
                <w:noProof/>
                <w:snapToGrid w:val="0"/>
                <w:color w:val="000000"/>
                <w:sz w:val="20"/>
                <w:szCs w:val="20"/>
                <w:highlight w:val="black"/>
              </w:rPr>
              <w:t>''''''''''''''''</w:t>
            </w:r>
            <w:r w:rsidR="006F0510">
              <w:rPr>
                <w:vertAlign w:val="superscript"/>
              </w:rPr>
              <w:t>1</w:t>
            </w:r>
          </w:p>
        </w:tc>
        <w:tc>
          <w:tcPr>
            <w:tcW w:w="1533"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jc w:val="center"/>
            </w:pPr>
            <w:r w:rsidRPr="00470FAC">
              <w:rPr>
                <w:rFonts w:cs="Arial"/>
                <w:szCs w:val="20"/>
              </w:rPr>
              <w:t>-1.7%</w:t>
            </w:r>
          </w:p>
        </w:tc>
      </w:tr>
      <w:tr w:rsidR="00AD39DD" w:rsidRPr="00470FAC" w:rsidTr="00AD39DD">
        <w:trPr>
          <w:cantSplit/>
          <w:trHeight w:val="129"/>
        </w:trPr>
        <w:tc>
          <w:tcPr>
            <w:tcW w:w="9117" w:type="dxa"/>
            <w:gridSpan w:val="5"/>
            <w:tcBorders>
              <w:top w:val="single" w:sz="4" w:space="0" w:color="auto"/>
              <w:left w:val="single" w:sz="4" w:space="0" w:color="auto"/>
              <w:bottom w:val="single" w:sz="4" w:space="0" w:color="auto"/>
              <w:right w:val="single" w:sz="4" w:space="0" w:color="auto"/>
            </w:tcBorders>
            <w:vAlign w:val="center"/>
          </w:tcPr>
          <w:p w:rsidR="00AD39DD" w:rsidRPr="00470FAC" w:rsidRDefault="00AD39DD" w:rsidP="00462C37">
            <w:pPr>
              <w:pStyle w:val="Tabletext"/>
              <w:widowControl w:val="0"/>
              <w:rPr>
                <w:rFonts w:cs="Arial"/>
                <w:szCs w:val="20"/>
              </w:rPr>
            </w:pPr>
            <w:r w:rsidRPr="00470FAC">
              <w:t>OS hazard ratio in darolutamide arm (base case: 0.685)</w:t>
            </w:r>
          </w:p>
        </w:tc>
      </w:tr>
      <w:tr w:rsidR="00AD39DD" w:rsidRPr="00470FAC" w:rsidTr="00BC716C">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tcPr>
          <w:p w:rsidR="00AD39DD" w:rsidRPr="00470FAC" w:rsidRDefault="00AD39DD" w:rsidP="00462C37">
            <w:pPr>
              <w:pStyle w:val="Tabletext"/>
              <w:widowControl w:val="0"/>
              <w:tabs>
                <w:tab w:val="left" w:pos="142"/>
              </w:tabs>
            </w:pPr>
            <w:r w:rsidRPr="00470FAC">
              <w:t xml:space="preserve">   HR = 0.533 (lower 95% CI)</w:t>
            </w:r>
          </w:p>
        </w:tc>
        <w:tc>
          <w:tcPr>
            <w:tcW w:w="1189" w:type="dxa"/>
            <w:tcBorders>
              <w:top w:val="single" w:sz="4" w:space="0" w:color="auto"/>
              <w:left w:val="single" w:sz="4" w:space="0" w:color="auto"/>
              <w:bottom w:val="single" w:sz="4" w:space="0" w:color="auto"/>
              <w:right w:val="single" w:sz="4" w:space="0" w:color="auto"/>
            </w:tcBorders>
            <w:vAlign w:val="center"/>
          </w:tcPr>
          <w:p w:rsidR="00AD39DD" w:rsidRPr="00470FAC" w:rsidRDefault="00AD39DD" w:rsidP="00462C37">
            <w:pPr>
              <w:pStyle w:val="Tabletext"/>
              <w:widowControl w:val="0"/>
              <w:jc w:val="center"/>
              <w:rPr>
                <w:rFonts w:cs="Arial"/>
                <w:szCs w:val="20"/>
              </w:rPr>
            </w:pPr>
            <w:r w:rsidRPr="00470FAC">
              <w:rPr>
                <w:rFonts w:cs="Arial"/>
                <w:szCs w:val="20"/>
              </w:rPr>
              <w:t>$</w:t>
            </w:r>
            <w:r w:rsidR="006C3115">
              <w:rPr>
                <w:rFonts w:cs="Arial"/>
                <w:noProof/>
                <w:color w:val="000000"/>
                <w:szCs w:val="20"/>
                <w:highlight w:val="black"/>
              </w:rPr>
              <w:t>''''''''''''''''</w:t>
            </w:r>
          </w:p>
        </w:tc>
        <w:tc>
          <w:tcPr>
            <w:tcW w:w="1190" w:type="dxa"/>
            <w:tcBorders>
              <w:top w:val="single" w:sz="4" w:space="0" w:color="auto"/>
              <w:left w:val="single" w:sz="4" w:space="0" w:color="auto"/>
              <w:bottom w:val="single" w:sz="4" w:space="0" w:color="auto"/>
              <w:right w:val="single" w:sz="4" w:space="0" w:color="auto"/>
            </w:tcBorders>
            <w:vAlign w:val="center"/>
          </w:tcPr>
          <w:p w:rsidR="00AD39DD" w:rsidRPr="00470FAC" w:rsidRDefault="00AD39DD" w:rsidP="00462C37">
            <w:pPr>
              <w:pStyle w:val="Tabletext"/>
              <w:widowControl w:val="0"/>
              <w:jc w:val="center"/>
            </w:pPr>
            <w:r w:rsidRPr="00470FAC">
              <w:t>1.00</w:t>
            </w:r>
          </w:p>
        </w:tc>
        <w:tc>
          <w:tcPr>
            <w:tcW w:w="1789" w:type="dxa"/>
            <w:tcBorders>
              <w:top w:val="single" w:sz="4" w:space="0" w:color="auto"/>
              <w:left w:val="single" w:sz="4" w:space="0" w:color="auto"/>
              <w:bottom w:val="single" w:sz="4" w:space="0" w:color="auto"/>
              <w:right w:val="single" w:sz="4" w:space="0" w:color="auto"/>
            </w:tcBorders>
            <w:vAlign w:val="center"/>
          </w:tcPr>
          <w:p w:rsidR="00AD39DD" w:rsidRPr="00470FAC" w:rsidRDefault="00AD39DD" w:rsidP="00462C37">
            <w:pPr>
              <w:widowControl w:val="0"/>
              <w:jc w:val="center"/>
              <w:rPr>
                <w:rFonts w:ascii="Arial Narrow" w:hAnsi="Arial Narrow"/>
                <w:sz w:val="20"/>
                <w:szCs w:val="20"/>
              </w:rPr>
            </w:pPr>
            <w:r w:rsidRPr="00470FAC">
              <w:rPr>
                <w:rFonts w:ascii="Arial Narrow" w:hAnsi="Arial Narrow"/>
                <w:sz w:val="20"/>
                <w:szCs w:val="20"/>
              </w:rPr>
              <w:t>$</w:t>
            </w:r>
            <w:r w:rsidR="006C3115">
              <w:rPr>
                <w:rFonts w:ascii="Arial Narrow" w:hAnsi="Arial Narrow"/>
                <w:noProof/>
                <w:snapToGrid w:val="0"/>
                <w:color w:val="000000"/>
                <w:sz w:val="20"/>
                <w:szCs w:val="20"/>
                <w:highlight w:val="black"/>
              </w:rPr>
              <w:t>''''''''''''''''</w:t>
            </w:r>
            <w:r w:rsidR="006F0510">
              <w:rPr>
                <w:vertAlign w:val="superscript"/>
              </w:rPr>
              <w:t>2</w:t>
            </w:r>
          </w:p>
        </w:tc>
        <w:tc>
          <w:tcPr>
            <w:tcW w:w="1533" w:type="dxa"/>
            <w:tcBorders>
              <w:top w:val="single" w:sz="4" w:space="0" w:color="auto"/>
              <w:left w:val="single" w:sz="4" w:space="0" w:color="auto"/>
              <w:bottom w:val="single" w:sz="4" w:space="0" w:color="auto"/>
              <w:right w:val="single" w:sz="4" w:space="0" w:color="auto"/>
            </w:tcBorders>
            <w:vAlign w:val="center"/>
          </w:tcPr>
          <w:p w:rsidR="00AD39DD" w:rsidRPr="00470FAC" w:rsidRDefault="00AD39DD" w:rsidP="00462C37">
            <w:pPr>
              <w:pStyle w:val="Tabletext"/>
              <w:widowControl w:val="0"/>
              <w:jc w:val="center"/>
              <w:rPr>
                <w:rFonts w:cs="Arial"/>
                <w:szCs w:val="20"/>
              </w:rPr>
            </w:pPr>
            <w:r w:rsidRPr="00470FAC">
              <w:rPr>
                <w:rFonts w:cs="Arial"/>
                <w:szCs w:val="20"/>
              </w:rPr>
              <w:t>-11.1%</w:t>
            </w:r>
          </w:p>
        </w:tc>
      </w:tr>
      <w:tr w:rsidR="00AD39DD" w:rsidRPr="00470FAC" w:rsidTr="00BC716C">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tcPr>
          <w:p w:rsidR="00AD39DD" w:rsidRPr="00470FAC" w:rsidRDefault="00AD39DD" w:rsidP="00462C37">
            <w:pPr>
              <w:pStyle w:val="Tabletext"/>
              <w:widowControl w:val="0"/>
              <w:tabs>
                <w:tab w:val="left" w:pos="142"/>
              </w:tabs>
            </w:pPr>
            <w:r w:rsidRPr="00470FAC">
              <w:t xml:space="preserve">   HR = 0.881 (upper 95% CI)</w:t>
            </w:r>
          </w:p>
        </w:tc>
        <w:tc>
          <w:tcPr>
            <w:tcW w:w="1189" w:type="dxa"/>
            <w:tcBorders>
              <w:top w:val="single" w:sz="4" w:space="0" w:color="auto"/>
              <w:left w:val="single" w:sz="4" w:space="0" w:color="auto"/>
              <w:bottom w:val="single" w:sz="4" w:space="0" w:color="auto"/>
              <w:right w:val="single" w:sz="4" w:space="0" w:color="auto"/>
            </w:tcBorders>
            <w:vAlign w:val="center"/>
          </w:tcPr>
          <w:p w:rsidR="00AD39DD" w:rsidRPr="00470FAC" w:rsidRDefault="00AD39DD" w:rsidP="00462C37">
            <w:pPr>
              <w:pStyle w:val="Tabletext"/>
              <w:widowControl w:val="0"/>
              <w:jc w:val="center"/>
              <w:rPr>
                <w:rFonts w:cs="Arial"/>
                <w:szCs w:val="20"/>
              </w:rPr>
            </w:pPr>
            <w:r w:rsidRPr="00470FAC">
              <w:rPr>
                <w:rFonts w:cs="Arial"/>
                <w:szCs w:val="20"/>
              </w:rPr>
              <w:t>$</w:t>
            </w:r>
            <w:r w:rsidR="006C3115">
              <w:rPr>
                <w:rFonts w:cs="Arial"/>
                <w:noProof/>
                <w:color w:val="000000"/>
                <w:szCs w:val="20"/>
                <w:highlight w:val="black"/>
              </w:rPr>
              <w:t>'''''''''''''''''</w:t>
            </w:r>
          </w:p>
        </w:tc>
        <w:tc>
          <w:tcPr>
            <w:tcW w:w="1190" w:type="dxa"/>
            <w:tcBorders>
              <w:top w:val="single" w:sz="4" w:space="0" w:color="auto"/>
              <w:left w:val="single" w:sz="4" w:space="0" w:color="auto"/>
              <w:bottom w:val="single" w:sz="4" w:space="0" w:color="auto"/>
              <w:right w:val="single" w:sz="4" w:space="0" w:color="auto"/>
            </w:tcBorders>
            <w:vAlign w:val="center"/>
          </w:tcPr>
          <w:p w:rsidR="00AD39DD" w:rsidRPr="00470FAC" w:rsidRDefault="00AD39DD" w:rsidP="00462C37">
            <w:pPr>
              <w:pStyle w:val="Tabletext"/>
              <w:widowControl w:val="0"/>
              <w:jc w:val="center"/>
            </w:pPr>
            <w:r w:rsidRPr="00470FAC">
              <w:t>0.81</w:t>
            </w:r>
          </w:p>
        </w:tc>
        <w:tc>
          <w:tcPr>
            <w:tcW w:w="1789" w:type="dxa"/>
            <w:tcBorders>
              <w:top w:val="single" w:sz="4" w:space="0" w:color="auto"/>
              <w:left w:val="single" w:sz="4" w:space="0" w:color="auto"/>
              <w:bottom w:val="single" w:sz="4" w:space="0" w:color="auto"/>
              <w:right w:val="single" w:sz="4" w:space="0" w:color="auto"/>
            </w:tcBorders>
            <w:vAlign w:val="center"/>
          </w:tcPr>
          <w:p w:rsidR="00AD39DD" w:rsidRPr="00470FAC" w:rsidRDefault="00AD39DD" w:rsidP="00462C37">
            <w:pPr>
              <w:widowControl w:val="0"/>
              <w:jc w:val="center"/>
              <w:rPr>
                <w:rFonts w:ascii="Arial Narrow" w:hAnsi="Arial Narrow"/>
                <w:sz w:val="20"/>
                <w:szCs w:val="20"/>
              </w:rPr>
            </w:pPr>
            <w:r w:rsidRPr="00470FAC">
              <w:rPr>
                <w:rFonts w:ascii="Arial Narrow" w:hAnsi="Arial Narrow"/>
                <w:sz w:val="20"/>
                <w:szCs w:val="20"/>
              </w:rPr>
              <w:t>$</w:t>
            </w:r>
            <w:r w:rsidR="006C3115">
              <w:rPr>
                <w:rFonts w:ascii="Arial Narrow" w:hAnsi="Arial Narrow"/>
                <w:noProof/>
                <w:snapToGrid w:val="0"/>
                <w:color w:val="000000"/>
                <w:sz w:val="20"/>
                <w:szCs w:val="20"/>
                <w:highlight w:val="black"/>
              </w:rPr>
              <w:t>'''''''''''''''</w:t>
            </w:r>
            <w:r w:rsidR="006F0510">
              <w:rPr>
                <w:vertAlign w:val="superscript"/>
              </w:rPr>
              <w:t>1</w:t>
            </w:r>
          </w:p>
        </w:tc>
        <w:tc>
          <w:tcPr>
            <w:tcW w:w="1533" w:type="dxa"/>
            <w:tcBorders>
              <w:top w:val="single" w:sz="4" w:space="0" w:color="auto"/>
              <w:left w:val="single" w:sz="4" w:space="0" w:color="auto"/>
              <w:bottom w:val="single" w:sz="4" w:space="0" w:color="auto"/>
              <w:right w:val="single" w:sz="4" w:space="0" w:color="auto"/>
            </w:tcBorders>
            <w:vAlign w:val="center"/>
          </w:tcPr>
          <w:p w:rsidR="00AD39DD" w:rsidRPr="00470FAC" w:rsidRDefault="00AD39DD" w:rsidP="00462C37">
            <w:pPr>
              <w:pStyle w:val="Tabletext"/>
              <w:widowControl w:val="0"/>
              <w:jc w:val="center"/>
              <w:rPr>
                <w:rFonts w:cs="Arial"/>
                <w:szCs w:val="20"/>
              </w:rPr>
            </w:pPr>
            <w:r w:rsidRPr="00470FAC">
              <w:rPr>
                <w:rFonts w:cs="Arial"/>
                <w:szCs w:val="20"/>
              </w:rPr>
              <w:t>+14.7%</w:t>
            </w:r>
          </w:p>
        </w:tc>
      </w:tr>
      <w:tr w:rsidR="00AD39DD" w:rsidRPr="00470FAC" w:rsidTr="00AD39DD">
        <w:trPr>
          <w:cantSplit/>
          <w:trHeight w:val="129"/>
        </w:trPr>
        <w:tc>
          <w:tcPr>
            <w:tcW w:w="9117" w:type="dxa"/>
            <w:gridSpan w:val="5"/>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pPr>
            <w:r w:rsidRPr="00470FAC">
              <w:t>OS extrapolation (base case: Weibull for SOC arms)</w:t>
            </w:r>
          </w:p>
        </w:tc>
      </w:tr>
      <w:tr w:rsidR="00AD39DD" w:rsidRPr="00470FAC" w:rsidTr="00BC716C">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tabs>
                <w:tab w:val="left" w:pos="142"/>
              </w:tabs>
              <w:rPr>
                <w:iCs/>
              </w:rPr>
            </w:pPr>
            <w:r w:rsidRPr="00470FAC">
              <w:rPr>
                <w:iCs/>
              </w:rPr>
              <w:tab/>
              <w:t>Log-logistic</w:t>
            </w:r>
          </w:p>
        </w:tc>
        <w:tc>
          <w:tcPr>
            <w:tcW w:w="1189"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jc w:val="center"/>
              <w:rPr>
                <w:rFonts w:cs="Arial"/>
                <w:iCs/>
                <w:szCs w:val="20"/>
              </w:rPr>
            </w:pPr>
            <w:r w:rsidRPr="00470FAC">
              <w:rPr>
                <w:rFonts w:cs="Arial"/>
                <w:iCs/>
                <w:szCs w:val="20"/>
              </w:rPr>
              <w:t>$</w:t>
            </w:r>
            <w:r w:rsidR="006C3115">
              <w:rPr>
                <w:rFonts w:cs="Arial"/>
                <w:noProof/>
                <w:color w:val="000000"/>
                <w:szCs w:val="20"/>
                <w:highlight w:val="black"/>
              </w:rPr>
              <w:t>''''''''''''''''''</w:t>
            </w:r>
          </w:p>
        </w:tc>
        <w:tc>
          <w:tcPr>
            <w:tcW w:w="1190"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jc w:val="center"/>
              <w:rPr>
                <w:rFonts w:cs="Arial"/>
                <w:iCs/>
                <w:szCs w:val="20"/>
              </w:rPr>
            </w:pPr>
            <w:r w:rsidRPr="00470FAC">
              <w:rPr>
                <w:rFonts w:cs="Arial"/>
                <w:iCs/>
                <w:szCs w:val="20"/>
              </w:rPr>
              <w:t>0.94</w:t>
            </w:r>
          </w:p>
        </w:tc>
        <w:tc>
          <w:tcPr>
            <w:tcW w:w="1789"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jc w:val="center"/>
              <w:rPr>
                <w:rFonts w:cs="Arial"/>
                <w:iCs/>
                <w:szCs w:val="20"/>
              </w:rPr>
            </w:pPr>
            <w:r w:rsidRPr="00470FAC">
              <w:rPr>
                <w:rFonts w:cs="Arial"/>
                <w:iCs/>
                <w:szCs w:val="20"/>
              </w:rPr>
              <w:t>$</w:t>
            </w:r>
            <w:r w:rsidR="006C3115">
              <w:rPr>
                <w:rFonts w:cs="Arial"/>
                <w:noProof/>
                <w:color w:val="000000"/>
                <w:szCs w:val="20"/>
                <w:highlight w:val="black"/>
              </w:rPr>
              <w:t>''''''''''''''''''</w:t>
            </w:r>
            <w:r w:rsidR="006F0510">
              <w:rPr>
                <w:vertAlign w:val="superscript"/>
              </w:rPr>
              <w:t>2</w:t>
            </w:r>
          </w:p>
        </w:tc>
        <w:tc>
          <w:tcPr>
            <w:tcW w:w="1533" w:type="dxa"/>
            <w:tcBorders>
              <w:top w:val="single" w:sz="4" w:space="0" w:color="auto"/>
              <w:left w:val="single" w:sz="4" w:space="0" w:color="auto"/>
              <w:bottom w:val="single" w:sz="4" w:space="0" w:color="auto"/>
              <w:right w:val="single" w:sz="4" w:space="0" w:color="auto"/>
            </w:tcBorders>
            <w:vAlign w:val="center"/>
          </w:tcPr>
          <w:p w:rsidR="00AD39DD" w:rsidRPr="00470FAC" w:rsidRDefault="00AD39DD" w:rsidP="00462C37">
            <w:pPr>
              <w:pStyle w:val="Tabletext"/>
              <w:widowControl w:val="0"/>
              <w:jc w:val="center"/>
              <w:rPr>
                <w:rFonts w:cs="Arial"/>
                <w:iCs/>
                <w:szCs w:val="20"/>
              </w:rPr>
            </w:pPr>
            <w:r w:rsidRPr="00470FAC">
              <w:rPr>
                <w:rFonts w:cs="Arial"/>
                <w:iCs/>
                <w:szCs w:val="20"/>
              </w:rPr>
              <w:t>-5.3%</w:t>
            </w:r>
          </w:p>
        </w:tc>
      </w:tr>
      <w:tr w:rsidR="00AD39DD" w:rsidRPr="00470FAC" w:rsidTr="00BC716C">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tabs>
                <w:tab w:val="left" w:pos="142"/>
              </w:tabs>
            </w:pPr>
            <w:r w:rsidRPr="00470FAC">
              <w:tab/>
              <w:t>Gompertz</w:t>
            </w:r>
          </w:p>
        </w:tc>
        <w:tc>
          <w:tcPr>
            <w:tcW w:w="1189"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jc w:val="center"/>
            </w:pPr>
            <w:r w:rsidRPr="00470FAC">
              <w:t>$</w:t>
            </w:r>
            <w:r w:rsidR="006C3115">
              <w:rPr>
                <w:rFonts w:cs="Arial"/>
                <w:noProof/>
                <w:color w:val="000000"/>
                <w:szCs w:val="20"/>
                <w:highlight w:val="black"/>
              </w:rPr>
              <w:t>'''''''''''''''''</w:t>
            </w:r>
          </w:p>
        </w:tc>
        <w:tc>
          <w:tcPr>
            <w:tcW w:w="1190"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jc w:val="center"/>
            </w:pPr>
            <w:r w:rsidRPr="00470FAC">
              <w:t>0.71</w:t>
            </w:r>
          </w:p>
        </w:tc>
        <w:tc>
          <w:tcPr>
            <w:tcW w:w="1789"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jc w:val="center"/>
            </w:pPr>
            <w:r w:rsidRPr="00470FAC">
              <w:t>$</w:t>
            </w:r>
            <w:r w:rsidR="006C3115">
              <w:rPr>
                <w:rFonts w:cs="Arial"/>
                <w:noProof/>
                <w:color w:val="000000"/>
                <w:szCs w:val="20"/>
                <w:highlight w:val="black"/>
              </w:rPr>
              <w:t>'''''''''''''''''</w:t>
            </w:r>
            <w:r w:rsidR="006F0510">
              <w:rPr>
                <w:vertAlign w:val="superscript"/>
              </w:rPr>
              <w:t>3</w:t>
            </w:r>
          </w:p>
        </w:tc>
        <w:tc>
          <w:tcPr>
            <w:tcW w:w="1533" w:type="dxa"/>
            <w:tcBorders>
              <w:top w:val="single" w:sz="4" w:space="0" w:color="auto"/>
              <w:left w:val="single" w:sz="4" w:space="0" w:color="auto"/>
              <w:bottom w:val="single" w:sz="4" w:space="0" w:color="auto"/>
              <w:right w:val="single" w:sz="4" w:space="0" w:color="auto"/>
            </w:tcBorders>
            <w:vAlign w:val="center"/>
          </w:tcPr>
          <w:p w:rsidR="00AD39DD" w:rsidRPr="00470FAC" w:rsidRDefault="00AD39DD" w:rsidP="00462C37">
            <w:pPr>
              <w:pStyle w:val="Tabletext"/>
              <w:widowControl w:val="0"/>
              <w:jc w:val="center"/>
            </w:pPr>
            <w:r w:rsidRPr="00470FAC">
              <w:t>+35.6%</w:t>
            </w:r>
          </w:p>
        </w:tc>
      </w:tr>
      <w:tr w:rsidR="00D30CBE" w:rsidRPr="00470FAC" w:rsidTr="00D30CBE">
        <w:trPr>
          <w:cantSplit/>
          <w:trHeight w:val="129"/>
        </w:trPr>
        <w:tc>
          <w:tcPr>
            <w:tcW w:w="9117" w:type="dxa"/>
            <w:gridSpan w:val="5"/>
            <w:tcBorders>
              <w:top w:val="single" w:sz="4" w:space="0" w:color="auto"/>
              <w:left w:val="single" w:sz="4" w:space="0" w:color="auto"/>
              <w:bottom w:val="single" w:sz="4" w:space="0" w:color="auto"/>
              <w:right w:val="single" w:sz="4" w:space="0" w:color="auto"/>
            </w:tcBorders>
            <w:vAlign w:val="center"/>
          </w:tcPr>
          <w:p w:rsidR="00D30CBE" w:rsidRPr="00470FAC" w:rsidRDefault="00D30CBE" w:rsidP="00462C37">
            <w:pPr>
              <w:pStyle w:val="Tabletext"/>
              <w:widowControl w:val="0"/>
            </w:pPr>
            <w:r w:rsidRPr="00470FAC">
              <w:t>Use of KM data in OS arm (base case: until 54 months)</w:t>
            </w:r>
          </w:p>
        </w:tc>
      </w:tr>
      <w:tr w:rsidR="00D30CBE" w:rsidRPr="00470FAC" w:rsidTr="00BC716C">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tcPr>
          <w:p w:rsidR="00D30CBE" w:rsidRPr="00470FAC" w:rsidRDefault="005336FD" w:rsidP="00462C37">
            <w:pPr>
              <w:pStyle w:val="Tabletext"/>
              <w:widowControl w:val="0"/>
              <w:tabs>
                <w:tab w:val="left" w:pos="142"/>
              </w:tabs>
            </w:pPr>
            <w:r>
              <w:t xml:space="preserve">   </w:t>
            </w:r>
            <w:r w:rsidR="00D30CBE" w:rsidRPr="00470FAC">
              <w:t xml:space="preserve">Until ~20% of patients were at risk (42 months) </w:t>
            </w:r>
            <w:r w:rsidR="00D30CBE" w:rsidRPr="00470FAC">
              <w:rPr>
                <w:vertAlign w:val="superscript"/>
              </w:rPr>
              <w:t>a</w:t>
            </w:r>
          </w:p>
        </w:tc>
        <w:tc>
          <w:tcPr>
            <w:tcW w:w="1189" w:type="dxa"/>
            <w:tcBorders>
              <w:top w:val="single" w:sz="4" w:space="0" w:color="auto"/>
              <w:left w:val="single" w:sz="4" w:space="0" w:color="auto"/>
              <w:bottom w:val="single" w:sz="4" w:space="0" w:color="auto"/>
              <w:right w:val="single" w:sz="4" w:space="0" w:color="auto"/>
            </w:tcBorders>
            <w:vAlign w:val="center"/>
          </w:tcPr>
          <w:p w:rsidR="00D30CBE" w:rsidRPr="00470FAC" w:rsidRDefault="00D30CBE" w:rsidP="00462C37">
            <w:pPr>
              <w:pStyle w:val="Tabletext"/>
              <w:widowControl w:val="0"/>
              <w:jc w:val="center"/>
            </w:pPr>
            <w:r w:rsidRPr="00470FAC">
              <w:t>$</w:t>
            </w:r>
            <w:r w:rsidR="006C3115">
              <w:rPr>
                <w:rFonts w:cs="Arial"/>
                <w:noProof/>
                <w:color w:val="000000"/>
                <w:szCs w:val="20"/>
                <w:highlight w:val="black"/>
              </w:rPr>
              <w:t>''''''''''''''''</w:t>
            </w:r>
          </w:p>
        </w:tc>
        <w:tc>
          <w:tcPr>
            <w:tcW w:w="1190" w:type="dxa"/>
            <w:tcBorders>
              <w:top w:val="single" w:sz="4" w:space="0" w:color="auto"/>
              <w:left w:val="single" w:sz="4" w:space="0" w:color="auto"/>
              <w:bottom w:val="single" w:sz="4" w:space="0" w:color="auto"/>
              <w:right w:val="single" w:sz="4" w:space="0" w:color="auto"/>
            </w:tcBorders>
            <w:vAlign w:val="center"/>
          </w:tcPr>
          <w:p w:rsidR="00D30CBE" w:rsidRPr="00470FAC" w:rsidRDefault="00D30CBE" w:rsidP="00462C37">
            <w:pPr>
              <w:pStyle w:val="Tabletext"/>
              <w:widowControl w:val="0"/>
              <w:jc w:val="center"/>
            </w:pPr>
            <w:r w:rsidRPr="00470FAC">
              <w:t>0.85</w:t>
            </w:r>
          </w:p>
        </w:tc>
        <w:tc>
          <w:tcPr>
            <w:tcW w:w="1789" w:type="dxa"/>
            <w:tcBorders>
              <w:top w:val="single" w:sz="4" w:space="0" w:color="auto"/>
              <w:left w:val="single" w:sz="4" w:space="0" w:color="auto"/>
              <w:bottom w:val="single" w:sz="4" w:space="0" w:color="auto"/>
              <w:right w:val="single" w:sz="4" w:space="0" w:color="auto"/>
            </w:tcBorders>
            <w:vAlign w:val="center"/>
          </w:tcPr>
          <w:p w:rsidR="00D30CBE" w:rsidRPr="00470FAC" w:rsidRDefault="00D30CBE" w:rsidP="00462C37">
            <w:pPr>
              <w:pStyle w:val="Tabletext"/>
              <w:widowControl w:val="0"/>
              <w:jc w:val="center"/>
            </w:pPr>
            <w:r w:rsidRPr="00470FAC">
              <w:t>$</w:t>
            </w:r>
            <w:r w:rsidR="006C3115">
              <w:rPr>
                <w:rFonts w:cs="Arial"/>
                <w:noProof/>
                <w:color w:val="000000"/>
                <w:szCs w:val="20"/>
                <w:highlight w:val="black"/>
              </w:rPr>
              <w:t>''''''''''''''''''</w:t>
            </w:r>
            <w:r w:rsidR="006F0510">
              <w:rPr>
                <w:vertAlign w:val="superscript"/>
              </w:rPr>
              <w:t>1</w:t>
            </w:r>
          </w:p>
        </w:tc>
        <w:tc>
          <w:tcPr>
            <w:tcW w:w="1533" w:type="dxa"/>
            <w:tcBorders>
              <w:top w:val="single" w:sz="4" w:space="0" w:color="auto"/>
              <w:left w:val="single" w:sz="4" w:space="0" w:color="auto"/>
              <w:bottom w:val="single" w:sz="4" w:space="0" w:color="auto"/>
              <w:right w:val="single" w:sz="4" w:space="0" w:color="auto"/>
            </w:tcBorders>
            <w:vAlign w:val="center"/>
          </w:tcPr>
          <w:p w:rsidR="00D30CBE" w:rsidRPr="00470FAC" w:rsidRDefault="00D30CBE" w:rsidP="00462C37">
            <w:pPr>
              <w:pStyle w:val="Tabletext"/>
              <w:widowControl w:val="0"/>
              <w:jc w:val="center"/>
            </w:pPr>
            <w:r w:rsidRPr="00470FAC">
              <w:t>+6.5%</w:t>
            </w:r>
          </w:p>
        </w:tc>
      </w:tr>
      <w:tr w:rsidR="00D30CBE" w:rsidRPr="00470FAC" w:rsidTr="00BC716C">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tcPr>
          <w:p w:rsidR="00D30CBE" w:rsidRPr="00470FAC" w:rsidRDefault="005336FD" w:rsidP="00462C37">
            <w:pPr>
              <w:pStyle w:val="Tabletext"/>
              <w:widowControl w:val="0"/>
              <w:tabs>
                <w:tab w:val="left" w:pos="142"/>
              </w:tabs>
            </w:pPr>
            <w:r>
              <w:t xml:space="preserve">   </w:t>
            </w:r>
            <w:r w:rsidR="00D30CBE" w:rsidRPr="00470FAC">
              <w:t xml:space="preserve">44 months, per previous submission </w:t>
            </w:r>
            <w:r w:rsidR="00D30CBE" w:rsidRPr="00470FAC">
              <w:rPr>
                <w:vertAlign w:val="superscript"/>
              </w:rPr>
              <w:t>b</w:t>
            </w:r>
          </w:p>
        </w:tc>
        <w:tc>
          <w:tcPr>
            <w:tcW w:w="1189" w:type="dxa"/>
            <w:tcBorders>
              <w:top w:val="single" w:sz="4" w:space="0" w:color="auto"/>
              <w:left w:val="single" w:sz="4" w:space="0" w:color="auto"/>
              <w:bottom w:val="single" w:sz="4" w:space="0" w:color="auto"/>
              <w:right w:val="single" w:sz="4" w:space="0" w:color="auto"/>
            </w:tcBorders>
            <w:vAlign w:val="center"/>
          </w:tcPr>
          <w:p w:rsidR="00D30CBE" w:rsidRPr="00470FAC" w:rsidRDefault="00D30CBE" w:rsidP="00462C37">
            <w:pPr>
              <w:pStyle w:val="Tabletext"/>
              <w:widowControl w:val="0"/>
              <w:jc w:val="center"/>
            </w:pPr>
            <w:r w:rsidRPr="00470FAC">
              <w:t>$</w:t>
            </w:r>
            <w:r w:rsidR="006C3115">
              <w:rPr>
                <w:rFonts w:cs="Arial"/>
                <w:noProof/>
                <w:color w:val="000000"/>
                <w:szCs w:val="20"/>
                <w:highlight w:val="black"/>
              </w:rPr>
              <w:t>'''''''''''''''</w:t>
            </w:r>
          </w:p>
        </w:tc>
        <w:tc>
          <w:tcPr>
            <w:tcW w:w="1190" w:type="dxa"/>
            <w:tcBorders>
              <w:top w:val="single" w:sz="4" w:space="0" w:color="auto"/>
              <w:left w:val="single" w:sz="4" w:space="0" w:color="auto"/>
              <w:bottom w:val="single" w:sz="4" w:space="0" w:color="auto"/>
              <w:right w:val="single" w:sz="4" w:space="0" w:color="auto"/>
            </w:tcBorders>
            <w:vAlign w:val="center"/>
          </w:tcPr>
          <w:p w:rsidR="00D30CBE" w:rsidRPr="00470FAC" w:rsidRDefault="00D30CBE" w:rsidP="00462C37">
            <w:pPr>
              <w:pStyle w:val="Tabletext"/>
              <w:widowControl w:val="0"/>
              <w:jc w:val="center"/>
            </w:pPr>
            <w:r w:rsidRPr="00470FAC">
              <w:t>0.85</w:t>
            </w:r>
          </w:p>
        </w:tc>
        <w:tc>
          <w:tcPr>
            <w:tcW w:w="1789" w:type="dxa"/>
            <w:tcBorders>
              <w:top w:val="single" w:sz="4" w:space="0" w:color="auto"/>
              <w:left w:val="single" w:sz="4" w:space="0" w:color="auto"/>
              <w:bottom w:val="single" w:sz="4" w:space="0" w:color="auto"/>
              <w:right w:val="single" w:sz="4" w:space="0" w:color="auto"/>
            </w:tcBorders>
            <w:vAlign w:val="center"/>
          </w:tcPr>
          <w:p w:rsidR="00D30CBE" w:rsidRPr="00470FAC" w:rsidRDefault="00D30CBE" w:rsidP="00462C37">
            <w:pPr>
              <w:pStyle w:val="Tabletext"/>
              <w:widowControl w:val="0"/>
              <w:jc w:val="center"/>
            </w:pPr>
            <w:r w:rsidRPr="00470FAC">
              <w:t>$</w:t>
            </w:r>
            <w:r w:rsidR="006C3115">
              <w:rPr>
                <w:rFonts w:cs="Arial"/>
                <w:noProof/>
                <w:color w:val="000000"/>
                <w:szCs w:val="20"/>
                <w:highlight w:val="black"/>
              </w:rPr>
              <w:t>''''''''''''''''</w:t>
            </w:r>
            <w:r w:rsidR="006F0510">
              <w:rPr>
                <w:vertAlign w:val="superscript"/>
              </w:rPr>
              <w:t>1</w:t>
            </w:r>
          </w:p>
        </w:tc>
        <w:tc>
          <w:tcPr>
            <w:tcW w:w="1533" w:type="dxa"/>
            <w:tcBorders>
              <w:top w:val="single" w:sz="4" w:space="0" w:color="auto"/>
              <w:left w:val="single" w:sz="4" w:space="0" w:color="auto"/>
              <w:bottom w:val="single" w:sz="4" w:space="0" w:color="auto"/>
              <w:right w:val="single" w:sz="4" w:space="0" w:color="auto"/>
            </w:tcBorders>
            <w:vAlign w:val="center"/>
          </w:tcPr>
          <w:p w:rsidR="00D30CBE" w:rsidRPr="00470FAC" w:rsidRDefault="00D30CBE" w:rsidP="00462C37">
            <w:pPr>
              <w:pStyle w:val="Tabletext"/>
              <w:widowControl w:val="0"/>
              <w:jc w:val="center"/>
            </w:pPr>
            <w:r w:rsidRPr="00470FAC">
              <w:t>+6.1%</w:t>
            </w:r>
          </w:p>
        </w:tc>
      </w:tr>
      <w:tr w:rsidR="00D30CBE" w:rsidRPr="00470FAC" w:rsidTr="00D30CBE">
        <w:trPr>
          <w:cantSplit/>
          <w:trHeight w:val="129"/>
        </w:trPr>
        <w:tc>
          <w:tcPr>
            <w:tcW w:w="9117" w:type="dxa"/>
            <w:gridSpan w:val="5"/>
            <w:tcBorders>
              <w:top w:val="single" w:sz="4" w:space="0" w:color="auto"/>
              <w:left w:val="single" w:sz="4" w:space="0" w:color="auto"/>
              <w:bottom w:val="single" w:sz="4" w:space="0" w:color="auto"/>
              <w:right w:val="single" w:sz="4" w:space="0" w:color="auto"/>
            </w:tcBorders>
            <w:vAlign w:val="center"/>
          </w:tcPr>
          <w:p w:rsidR="00D30CBE" w:rsidRPr="00470FAC" w:rsidRDefault="00D72EA6" w:rsidP="00462C37">
            <w:pPr>
              <w:pStyle w:val="Tabletext"/>
              <w:widowControl w:val="0"/>
            </w:pPr>
            <w:r w:rsidRPr="00470FAC">
              <w:t>Darolutamide OS extrapolation (base case: application of trial-based HR (0.685) to the SOC curve</w:t>
            </w:r>
            <w:r w:rsidR="00D30CBE" w:rsidRPr="00470FAC">
              <w:t>)</w:t>
            </w:r>
          </w:p>
        </w:tc>
      </w:tr>
      <w:tr w:rsidR="00D30CBE" w:rsidRPr="00470FAC" w:rsidTr="00BC716C">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tcPr>
          <w:p w:rsidR="00D30CBE" w:rsidRPr="00470FAC" w:rsidRDefault="005336FD" w:rsidP="00462C37">
            <w:pPr>
              <w:pStyle w:val="Tabletext"/>
              <w:widowControl w:val="0"/>
              <w:tabs>
                <w:tab w:val="left" w:pos="142"/>
              </w:tabs>
            </w:pPr>
            <w:r>
              <w:t xml:space="preserve">   </w:t>
            </w:r>
            <w:r w:rsidR="00F34D04" w:rsidRPr="00470FAC">
              <w:t>Independent extrapolation of SOC and darolutamide arms using the Weibull function</w:t>
            </w:r>
          </w:p>
        </w:tc>
        <w:tc>
          <w:tcPr>
            <w:tcW w:w="1189" w:type="dxa"/>
            <w:tcBorders>
              <w:top w:val="single" w:sz="4" w:space="0" w:color="auto"/>
              <w:left w:val="single" w:sz="4" w:space="0" w:color="auto"/>
              <w:bottom w:val="single" w:sz="4" w:space="0" w:color="auto"/>
              <w:right w:val="single" w:sz="4" w:space="0" w:color="auto"/>
            </w:tcBorders>
            <w:vAlign w:val="center"/>
          </w:tcPr>
          <w:p w:rsidR="00D30CBE" w:rsidRPr="00470FAC" w:rsidRDefault="00D30CBE" w:rsidP="00462C37">
            <w:pPr>
              <w:pStyle w:val="Tabletext"/>
              <w:widowControl w:val="0"/>
              <w:jc w:val="center"/>
            </w:pPr>
            <w:r w:rsidRPr="00470FAC">
              <w:t>$</w:t>
            </w:r>
            <w:r w:rsidR="006C3115">
              <w:rPr>
                <w:rFonts w:cs="Arial"/>
                <w:noProof/>
                <w:color w:val="000000"/>
                <w:szCs w:val="20"/>
                <w:highlight w:val="black"/>
              </w:rPr>
              <w:t>''''''''''''''''</w:t>
            </w:r>
          </w:p>
        </w:tc>
        <w:tc>
          <w:tcPr>
            <w:tcW w:w="1190" w:type="dxa"/>
            <w:tcBorders>
              <w:top w:val="single" w:sz="4" w:space="0" w:color="auto"/>
              <w:left w:val="single" w:sz="4" w:space="0" w:color="auto"/>
              <w:bottom w:val="single" w:sz="4" w:space="0" w:color="auto"/>
              <w:right w:val="single" w:sz="4" w:space="0" w:color="auto"/>
            </w:tcBorders>
            <w:vAlign w:val="center"/>
          </w:tcPr>
          <w:p w:rsidR="00D30CBE" w:rsidRPr="00470FAC" w:rsidRDefault="00D30CBE" w:rsidP="00462C37">
            <w:pPr>
              <w:pStyle w:val="Tabletext"/>
              <w:widowControl w:val="0"/>
              <w:jc w:val="center"/>
            </w:pPr>
            <w:r w:rsidRPr="00470FAC">
              <w:t>1.02</w:t>
            </w:r>
          </w:p>
        </w:tc>
        <w:tc>
          <w:tcPr>
            <w:tcW w:w="1789" w:type="dxa"/>
            <w:tcBorders>
              <w:top w:val="single" w:sz="4" w:space="0" w:color="auto"/>
              <w:left w:val="single" w:sz="4" w:space="0" w:color="auto"/>
              <w:bottom w:val="single" w:sz="4" w:space="0" w:color="auto"/>
              <w:right w:val="single" w:sz="4" w:space="0" w:color="auto"/>
            </w:tcBorders>
            <w:vAlign w:val="center"/>
          </w:tcPr>
          <w:p w:rsidR="00D30CBE" w:rsidRPr="00470FAC" w:rsidRDefault="00D30CBE" w:rsidP="00462C37">
            <w:pPr>
              <w:pStyle w:val="Tabletext"/>
              <w:widowControl w:val="0"/>
              <w:jc w:val="center"/>
            </w:pPr>
            <w:r w:rsidRPr="00470FAC">
              <w:t>$</w:t>
            </w:r>
            <w:r w:rsidR="006C3115">
              <w:rPr>
                <w:rFonts w:cs="Arial"/>
                <w:noProof/>
                <w:color w:val="000000"/>
                <w:szCs w:val="20"/>
                <w:highlight w:val="black"/>
              </w:rPr>
              <w:t>''''''''''''''''''</w:t>
            </w:r>
            <w:r w:rsidR="006F0510">
              <w:rPr>
                <w:vertAlign w:val="superscript"/>
              </w:rPr>
              <w:t>2</w:t>
            </w:r>
          </w:p>
        </w:tc>
        <w:tc>
          <w:tcPr>
            <w:tcW w:w="1533" w:type="dxa"/>
            <w:tcBorders>
              <w:top w:val="single" w:sz="4" w:space="0" w:color="auto"/>
              <w:left w:val="single" w:sz="4" w:space="0" w:color="auto"/>
              <w:bottom w:val="single" w:sz="4" w:space="0" w:color="auto"/>
              <w:right w:val="single" w:sz="4" w:space="0" w:color="auto"/>
            </w:tcBorders>
            <w:vAlign w:val="center"/>
          </w:tcPr>
          <w:p w:rsidR="00D30CBE" w:rsidRPr="00470FAC" w:rsidRDefault="00D30CBE" w:rsidP="00462C37">
            <w:pPr>
              <w:pStyle w:val="Tabletext"/>
              <w:widowControl w:val="0"/>
              <w:jc w:val="center"/>
            </w:pPr>
            <w:r w:rsidRPr="00470FAC">
              <w:t>-13.5%</w:t>
            </w:r>
          </w:p>
        </w:tc>
      </w:tr>
      <w:tr w:rsidR="00AD39DD" w:rsidRPr="00470FAC" w:rsidTr="00AD39DD">
        <w:trPr>
          <w:cantSplit/>
          <w:trHeight w:val="129"/>
        </w:trPr>
        <w:tc>
          <w:tcPr>
            <w:tcW w:w="9117" w:type="dxa"/>
            <w:gridSpan w:val="5"/>
            <w:tcBorders>
              <w:top w:val="single" w:sz="4" w:space="0" w:color="auto"/>
              <w:left w:val="single" w:sz="4" w:space="0" w:color="auto"/>
              <w:bottom w:val="single" w:sz="4" w:space="0" w:color="auto"/>
              <w:right w:val="single" w:sz="4" w:space="0" w:color="auto"/>
            </w:tcBorders>
            <w:vAlign w:val="center"/>
            <w:hideMark/>
          </w:tcPr>
          <w:p w:rsidR="00AD39DD" w:rsidRPr="00470FAC" w:rsidRDefault="005336FD" w:rsidP="00462C37">
            <w:pPr>
              <w:pStyle w:val="Tabletext"/>
              <w:widowControl w:val="0"/>
            </w:pPr>
            <w:r>
              <w:t xml:space="preserve">   </w:t>
            </w:r>
            <w:r w:rsidR="00AD39DD" w:rsidRPr="00470FAC">
              <w:t>TTD extrapolation (base case: Gompertz)</w:t>
            </w:r>
          </w:p>
        </w:tc>
      </w:tr>
      <w:tr w:rsidR="00AD39DD" w:rsidRPr="00470FAC" w:rsidTr="00BC716C">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tabs>
                <w:tab w:val="left" w:pos="142"/>
              </w:tabs>
            </w:pPr>
            <w:r w:rsidRPr="00470FAC">
              <w:tab/>
              <w:t>Weibull</w:t>
            </w:r>
          </w:p>
        </w:tc>
        <w:tc>
          <w:tcPr>
            <w:tcW w:w="1189"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jc w:val="center"/>
              <w:rPr>
                <w:rFonts w:ascii="Arial Narrow" w:hAnsi="Arial Narrow" w:cs="Calibri"/>
                <w:iCs/>
                <w:color w:val="000000"/>
                <w:sz w:val="20"/>
                <w:szCs w:val="20"/>
              </w:rPr>
            </w:pPr>
            <w:r w:rsidRPr="00470FAC">
              <w:rPr>
                <w:rFonts w:ascii="Arial Narrow" w:hAnsi="Arial Narrow" w:cs="Calibri"/>
                <w:iCs/>
                <w:color w:val="000000"/>
                <w:sz w:val="20"/>
                <w:szCs w:val="20"/>
              </w:rPr>
              <w:t>$</w:t>
            </w:r>
            <w:r w:rsidR="006C3115">
              <w:rPr>
                <w:rFonts w:ascii="Arial Narrow" w:hAnsi="Arial Narrow"/>
                <w:noProof/>
                <w:snapToGrid w:val="0"/>
                <w:color w:val="000000"/>
                <w:sz w:val="20"/>
                <w:szCs w:val="20"/>
                <w:highlight w:val="black"/>
              </w:rPr>
              <w:t>'''''''''''''''''</w:t>
            </w:r>
          </w:p>
        </w:tc>
        <w:tc>
          <w:tcPr>
            <w:tcW w:w="1190"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jc w:val="center"/>
              <w:rPr>
                <w:rFonts w:ascii="Arial Narrow" w:hAnsi="Arial Narrow" w:cs="Calibri"/>
                <w:iCs/>
                <w:color w:val="000000"/>
                <w:sz w:val="20"/>
                <w:szCs w:val="20"/>
              </w:rPr>
            </w:pPr>
            <w:r w:rsidRPr="00470FAC">
              <w:rPr>
                <w:rFonts w:ascii="Arial Narrow" w:hAnsi="Arial Narrow" w:cs="Calibri"/>
                <w:iCs/>
                <w:color w:val="000000"/>
                <w:sz w:val="20"/>
                <w:szCs w:val="20"/>
              </w:rPr>
              <w:t>0.91</w:t>
            </w:r>
          </w:p>
        </w:tc>
        <w:tc>
          <w:tcPr>
            <w:tcW w:w="1789"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jc w:val="center"/>
            </w:pPr>
            <w:r w:rsidRPr="00470FAC">
              <w:t>$</w:t>
            </w:r>
            <w:r w:rsidR="006C3115">
              <w:rPr>
                <w:rFonts w:cs="Arial"/>
                <w:noProof/>
                <w:color w:val="000000"/>
                <w:szCs w:val="20"/>
                <w:highlight w:val="black"/>
              </w:rPr>
              <w:t>''''''''''''''''</w:t>
            </w:r>
            <w:r w:rsidR="006F0510">
              <w:rPr>
                <w:vertAlign w:val="superscript"/>
              </w:rPr>
              <w:t>1</w:t>
            </w:r>
          </w:p>
        </w:tc>
        <w:tc>
          <w:tcPr>
            <w:tcW w:w="1533"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jc w:val="center"/>
            </w:pPr>
            <w:r w:rsidRPr="00470FAC">
              <w:t>+9.2%</w:t>
            </w:r>
          </w:p>
        </w:tc>
      </w:tr>
      <w:tr w:rsidR="00AD39DD" w:rsidRPr="00470FAC" w:rsidTr="00AD39DD">
        <w:trPr>
          <w:cantSplit/>
          <w:trHeight w:val="129"/>
        </w:trPr>
        <w:tc>
          <w:tcPr>
            <w:tcW w:w="9117" w:type="dxa"/>
            <w:gridSpan w:val="5"/>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pPr>
            <w:r w:rsidRPr="00470FAC">
              <w:t>Time to initiation of subsequent therapy extrapolation (base case: log-normal)</w:t>
            </w:r>
          </w:p>
        </w:tc>
      </w:tr>
      <w:tr w:rsidR="00AD39DD" w:rsidRPr="00470FAC" w:rsidTr="00BC716C">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tabs>
                <w:tab w:val="left" w:pos="142"/>
              </w:tabs>
            </w:pPr>
            <w:r w:rsidRPr="00470FAC">
              <w:tab/>
              <w:t>Weibull</w:t>
            </w:r>
          </w:p>
        </w:tc>
        <w:tc>
          <w:tcPr>
            <w:tcW w:w="1189"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jc w:val="center"/>
              <w:rPr>
                <w:rFonts w:ascii="Arial Narrow" w:hAnsi="Arial Narrow" w:cs="Calibri"/>
                <w:iCs/>
                <w:color w:val="000000"/>
                <w:sz w:val="20"/>
                <w:szCs w:val="20"/>
              </w:rPr>
            </w:pPr>
            <w:r w:rsidRPr="00470FAC">
              <w:rPr>
                <w:rFonts w:ascii="Arial Narrow" w:hAnsi="Arial Narrow" w:cs="Calibri"/>
                <w:iCs/>
                <w:color w:val="000000"/>
                <w:sz w:val="20"/>
                <w:szCs w:val="20"/>
              </w:rPr>
              <w:t>$</w:t>
            </w:r>
            <w:r w:rsidR="006C3115">
              <w:rPr>
                <w:rFonts w:ascii="Arial Narrow" w:hAnsi="Arial Narrow"/>
                <w:noProof/>
                <w:snapToGrid w:val="0"/>
                <w:color w:val="000000"/>
                <w:sz w:val="20"/>
                <w:szCs w:val="20"/>
                <w:highlight w:val="black"/>
              </w:rPr>
              <w:t>'''''''''''''''</w:t>
            </w:r>
          </w:p>
        </w:tc>
        <w:tc>
          <w:tcPr>
            <w:tcW w:w="1190"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jc w:val="center"/>
              <w:rPr>
                <w:rFonts w:ascii="Arial Narrow" w:hAnsi="Arial Narrow" w:cs="Calibri"/>
                <w:iCs/>
                <w:color w:val="000000"/>
                <w:sz w:val="20"/>
                <w:szCs w:val="20"/>
              </w:rPr>
            </w:pPr>
            <w:r w:rsidRPr="00470FAC">
              <w:rPr>
                <w:rFonts w:ascii="Arial Narrow" w:hAnsi="Arial Narrow" w:cs="Calibri"/>
                <w:iCs/>
                <w:color w:val="000000"/>
                <w:sz w:val="20"/>
                <w:szCs w:val="20"/>
              </w:rPr>
              <w:t>0.91</w:t>
            </w:r>
          </w:p>
        </w:tc>
        <w:tc>
          <w:tcPr>
            <w:tcW w:w="1789"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jc w:val="center"/>
            </w:pPr>
            <w:r w:rsidRPr="00470FAC">
              <w:t>$</w:t>
            </w:r>
            <w:r w:rsidR="006C3115">
              <w:rPr>
                <w:rFonts w:cs="Arial"/>
                <w:noProof/>
                <w:color w:val="000000"/>
                <w:szCs w:val="20"/>
                <w:highlight w:val="black"/>
              </w:rPr>
              <w:t>'''''''''''''''''</w:t>
            </w:r>
            <w:r w:rsidR="006F0510">
              <w:rPr>
                <w:vertAlign w:val="superscript"/>
              </w:rPr>
              <w:t>1</w:t>
            </w:r>
          </w:p>
        </w:tc>
        <w:tc>
          <w:tcPr>
            <w:tcW w:w="1533" w:type="dxa"/>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jc w:val="center"/>
            </w:pPr>
            <w:r w:rsidRPr="00470FAC">
              <w:t>-5.1%</w:t>
            </w:r>
          </w:p>
        </w:tc>
      </w:tr>
      <w:tr w:rsidR="00AD39DD" w:rsidRPr="00470FAC" w:rsidTr="00AD39DD">
        <w:trPr>
          <w:cantSplit/>
          <w:trHeight w:val="129"/>
        </w:trPr>
        <w:tc>
          <w:tcPr>
            <w:tcW w:w="9117" w:type="dxa"/>
            <w:gridSpan w:val="5"/>
            <w:tcBorders>
              <w:top w:val="single" w:sz="4" w:space="0" w:color="auto"/>
              <w:left w:val="single" w:sz="4" w:space="0" w:color="auto"/>
              <w:bottom w:val="single" w:sz="4" w:space="0" w:color="auto"/>
              <w:right w:val="single" w:sz="4" w:space="0" w:color="auto"/>
            </w:tcBorders>
            <w:vAlign w:val="center"/>
            <w:hideMark/>
          </w:tcPr>
          <w:p w:rsidR="00AD39DD" w:rsidRPr="00470FAC" w:rsidRDefault="00AD39DD" w:rsidP="00462C37">
            <w:pPr>
              <w:pStyle w:val="Tabletext"/>
              <w:widowControl w:val="0"/>
            </w:pPr>
            <w:r w:rsidRPr="00470FAC">
              <w:t>mCRPC health state utility (base case: 0.560)</w:t>
            </w:r>
          </w:p>
        </w:tc>
      </w:tr>
      <w:tr w:rsidR="00AD39DD" w:rsidRPr="00470FAC" w:rsidTr="00BC716C">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tcPr>
          <w:p w:rsidR="00AD39DD" w:rsidRPr="006A65C9" w:rsidRDefault="00AD39DD" w:rsidP="00462C37">
            <w:pPr>
              <w:pStyle w:val="Tabletext"/>
              <w:widowControl w:val="0"/>
              <w:tabs>
                <w:tab w:val="left" w:pos="142"/>
              </w:tabs>
            </w:pPr>
            <w:r w:rsidRPr="006A65C9">
              <w:t xml:space="preserve">   Decrease to 0.530 (July 2020 base case)</w:t>
            </w:r>
          </w:p>
        </w:tc>
        <w:tc>
          <w:tcPr>
            <w:tcW w:w="1189" w:type="dxa"/>
            <w:tcBorders>
              <w:top w:val="single" w:sz="4" w:space="0" w:color="auto"/>
              <w:left w:val="single" w:sz="4" w:space="0" w:color="auto"/>
              <w:bottom w:val="single" w:sz="4" w:space="0" w:color="auto"/>
              <w:right w:val="single" w:sz="4" w:space="0" w:color="auto"/>
            </w:tcBorders>
            <w:vAlign w:val="center"/>
          </w:tcPr>
          <w:p w:rsidR="00AD39DD" w:rsidRPr="006A65C9" w:rsidRDefault="00AD39DD" w:rsidP="00462C37">
            <w:pPr>
              <w:pStyle w:val="Tabletext"/>
              <w:widowControl w:val="0"/>
              <w:jc w:val="center"/>
              <w:rPr>
                <w:rFonts w:cs="Arial"/>
                <w:szCs w:val="20"/>
              </w:rPr>
            </w:pPr>
            <w:r w:rsidRPr="006A65C9">
              <w:rPr>
                <w:rFonts w:cs="Arial"/>
                <w:szCs w:val="20"/>
              </w:rPr>
              <w:t>$</w:t>
            </w:r>
            <w:r w:rsidR="006C3115">
              <w:rPr>
                <w:rFonts w:cs="Arial"/>
                <w:noProof/>
                <w:color w:val="000000"/>
                <w:szCs w:val="20"/>
                <w:highlight w:val="black"/>
              </w:rPr>
              <w:t>''''''''''''''''</w:t>
            </w:r>
          </w:p>
        </w:tc>
        <w:tc>
          <w:tcPr>
            <w:tcW w:w="1190" w:type="dxa"/>
            <w:tcBorders>
              <w:top w:val="single" w:sz="4" w:space="0" w:color="auto"/>
              <w:left w:val="single" w:sz="4" w:space="0" w:color="auto"/>
              <w:bottom w:val="single" w:sz="4" w:space="0" w:color="auto"/>
              <w:right w:val="single" w:sz="4" w:space="0" w:color="auto"/>
            </w:tcBorders>
            <w:vAlign w:val="center"/>
          </w:tcPr>
          <w:p w:rsidR="00AD39DD" w:rsidRPr="006A65C9" w:rsidRDefault="00AD39DD" w:rsidP="00462C37">
            <w:pPr>
              <w:pStyle w:val="Tabletext"/>
              <w:widowControl w:val="0"/>
              <w:jc w:val="center"/>
              <w:rPr>
                <w:rFonts w:cs="Arial"/>
                <w:szCs w:val="20"/>
              </w:rPr>
            </w:pPr>
            <w:r w:rsidRPr="006A65C9">
              <w:rPr>
                <w:rFonts w:cs="Arial"/>
                <w:szCs w:val="20"/>
              </w:rPr>
              <w:t>0.94</w:t>
            </w:r>
          </w:p>
        </w:tc>
        <w:tc>
          <w:tcPr>
            <w:tcW w:w="1789" w:type="dxa"/>
            <w:tcBorders>
              <w:top w:val="single" w:sz="4" w:space="0" w:color="auto"/>
              <w:left w:val="single" w:sz="4" w:space="0" w:color="auto"/>
              <w:bottom w:val="single" w:sz="4" w:space="0" w:color="auto"/>
              <w:right w:val="single" w:sz="4" w:space="0" w:color="auto"/>
            </w:tcBorders>
            <w:vAlign w:val="center"/>
          </w:tcPr>
          <w:p w:rsidR="00AD39DD" w:rsidRPr="006A65C9" w:rsidRDefault="00AD39DD" w:rsidP="00462C37">
            <w:pPr>
              <w:widowControl w:val="0"/>
              <w:jc w:val="center"/>
              <w:rPr>
                <w:rFonts w:ascii="Arial Narrow" w:hAnsi="Arial Narrow"/>
                <w:sz w:val="20"/>
                <w:szCs w:val="20"/>
              </w:rPr>
            </w:pPr>
            <w:r w:rsidRPr="006A65C9">
              <w:rPr>
                <w:rFonts w:ascii="Arial Narrow" w:hAnsi="Arial Narrow"/>
                <w:sz w:val="20"/>
                <w:szCs w:val="20"/>
              </w:rPr>
              <w:t>$</w:t>
            </w:r>
            <w:r w:rsidR="006C3115">
              <w:rPr>
                <w:rFonts w:ascii="Arial Narrow" w:hAnsi="Arial Narrow"/>
                <w:noProof/>
                <w:snapToGrid w:val="0"/>
                <w:color w:val="000000"/>
                <w:sz w:val="20"/>
                <w:szCs w:val="20"/>
                <w:highlight w:val="black"/>
              </w:rPr>
              <w:t>'''''''''''''''</w:t>
            </w:r>
            <w:r w:rsidR="006F0510">
              <w:rPr>
                <w:vertAlign w:val="superscript"/>
              </w:rPr>
              <w:t>1</w:t>
            </w:r>
          </w:p>
        </w:tc>
        <w:tc>
          <w:tcPr>
            <w:tcW w:w="1533" w:type="dxa"/>
            <w:tcBorders>
              <w:top w:val="single" w:sz="4" w:space="0" w:color="auto"/>
              <w:left w:val="single" w:sz="4" w:space="0" w:color="auto"/>
              <w:bottom w:val="single" w:sz="4" w:space="0" w:color="auto"/>
              <w:right w:val="single" w:sz="4" w:space="0" w:color="auto"/>
            </w:tcBorders>
            <w:vAlign w:val="center"/>
          </w:tcPr>
          <w:p w:rsidR="00AD39DD" w:rsidRPr="006A65C9" w:rsidRDefault="00AD39DD" w:rsidP="00462C37">
            <w:pPr>
              <w:pStyle w:val="Tabletext"/>
              <w:widowControl w:val="0"/>
              <w:jc w:val="center"/>
              <w:rPr>
                <w:rFonts w:cs="Arial"/>
                <w:szCs w:val="20"/>
              </w:rPr>
            </w:pPr>
            <w:r w:rsidRPr="006A65C9">
              <w:rPr>
                <w:rFonts w:cs="Arial"/>
                <w:szCs w:val="20"/>
              </w:rPr>
              <w:t>-3.3%</w:t>
            </w:r>
          </w:p>
        </w:tc>
      </w:tr>
      <w:tr w:rsidR="00AD39DD" w:rsidRPr="00470FAC" w:rsidTr="00BC716C">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tcPr>
          <w:p w:rsidR="00AD39DD" w:rsidRPr="006A65C9" w:rsidRDefault="00AD39DD" w:rsidP="00462C37">
            <w:pPr>
              <w:pStyle w:val="Tabletext"/>
              <w:widowControl w:val="0"/>
              <w:tabs>
                <w:tab w:val="left" w:pos="142"/>
              </w:tabs>
            </w:pPr>
            <w:r w:rsidRPr="006A65C9">
              <w:t xml:space="preserve">   Increase to 0.5</w:t>
            </w:r>
            <w:r w:rsidR="00D2222F" w:rsidRPr="006A65C9">
              <w:t>82</w:t>
            </w:r>
            <w:r w:rsidRPr="006A65C9">
              <w:t xml:space="preserve"> (average from Sullivan 2007</w:t>
            </w:r>
            <w:r w:rsidR="00D2222F" w:rsidRPr="006A65C9">
              <w:t xml:space="preserve"> including the baseline value</w:t>
            </w:r>
            <w:r w:rsidRPr="006A65C9">
              <w:t>)</w:t>
            </w:r>
          </w:p>
        </w:tc>
        <w:tc>
          <w:tcPr>
            <w:tcW w:w="1189" w:type="dxa"/>
            <w:tcBorders>
              <w:top w:val="single" w:sz="4" w:space="0" w:color="auto"/>
              <w:left w:val="single" w:sz="4" w:space="0" w:color="auto"/>
              <w:bottom w:val="single" w:sz="4" w:space="0" w:color="auto"/>
              <w:right w:val="single" w:sz="4" w:space="0" w:color="auto"/>
            </w:tcBorders>
            <w:vAlign w:val="center"/>
          </w:tcPr>
          <w:p w:rsidR="00AD39DD" w:rsidRPr="006A65C9" w:rsidRDefault="00AD39DD" w:rsidP="00462C37">
            <w:pPr>
              <w:pStyle w:val="Tabletext"/>
              <w:widowControl w:val="0"/>
              <w:jc w:val="center"/>
              <w:rPr>
                <w:rFonts w:cs="Arial"/>
                <w:szCs w:val="20"/>
              </w:rPr>
            </w:pPr>
            <w:r w:rsidRPr="006A65C9">
              <w:rPr>
                <w:rFonts w:cs="Arial"/>
                <w:szCs w:val="20"/>
              </w:rPr>
              <w:t>$</w:t>
            </w:r>
            <w:r w:rsidR="006C3115">
              <w:rPr>
                <w:rFonts w:cs="Arial"/>
                <w:noProof/>
                <w:color w:val="000000"/>
                <w:szCs w:val="20"/>
                <w:highlight w:val="black"/>
              </w:rPr>
              <w:t>'''''''''''''''''</w:t>
            </w:r>
          </w:p>
        </w:tc>
        <w:tc>
          <w:tcPr>
            <w:tcW w:w="1190" w:type="dxa"/>
            <w:tcBorders>
              <w:top w:val="single" w:sz="4" w:space="0" w:color="auto"/>
              <w:left w:val="single" w:sz="4" w:space="0" w:color="auto"/>
              <w:bottom w:val="single" w:sz="4" w:space="0" w:color="auto"/>
              <w:right w:val="single" w:sz="4" w:space="0" w:color="auto"/>
            </w:tcBorders>
            <w:vAlign w:val="center"/>
          </w:tcPr>
          <w:p w:rsidR="00AD39DD" w:rsidRPr="006A65C9" w:rsidRDefault="00A45723" w:rsidP="00462C37">
            <w:pPr>
              <w:pStyle w:val="Tabletext"/>
              <w:widowControl w:val="0"/>
              <w:jc w:val="center"/>
              <w:rPr>
                <w:rFonts w:cs="Arial"/>
                <w:szCs w:val="20"/>
              </w:rPr>
            </w:pPr>
            <w:r w:rsidRPr="006A65C9">
              <w:rPr>
                <w:rFonts w:cs="Arial"/>
                <w:szCs w:val="20"/>
              </w:rPr>
              <w:t>0.89</w:t>
            </w:r>
          </w:p>
        </w:tc>
        <w:tc>
          <w:tcPr>
            <w:tcW w:w="1789" w:type="dxa"/>
            <w:tcBorders>
              <w:top w:val="single" w:sz="4" w:space="0" w:color="auto"/>
              <w:left w:val="single" w:sz="4" w:space="0" w:color="auto"/>
              <w:bottom w:val="single" w:sz="4" w:space="0" w:color="auto"/>
              <w:right w:val="single" w:sz="4" w:space="0" w:color="auto"/>
            </w:tcBorders>
            <w:vAlign w:val="center"/>
          </w:tcPr>
          <w:p w:rsidR="00AD39DD" w:rsidRPr="006A65C9" w:rsidRDefault="00A45723" w:rsidP="00462C37">
            <w:pPr>
              <w:widowControl w:val="0"/>
              <w:jc w:val="center"/>
              <w:rPr>
                <w:rFonts w:ascii="Arial Narrow" w:hAnsi="Arial Narrow"/>
                <w:snapToGrid w:val="0"/>
                <w:sz w:val="20"/>
                <w:szCs w:val="20"/>
              </w:rPr>
            </w:pPr>
            <w:r w:rsidRPr="006A65C9">
              <w:rPr>
                <w:rFonts w:ascii="Arial Narrow" w:hAnsi="Arial Narrow"/>
                <w:snapToGrid w:val="0"/>
                <w:sz w:val="20"/>
                <w:szCs w:val="20"/>
              </w:rPr>
              <w:t>$</w:t>
            </w:r>
            <w:r w:rsidR="006C3115">
              <w:rPr>
                <w:rFonts w:ascii="Arial Narrow" w:hAnsi="Arial Narrow"/>
                <w:noProof/>
                <w:snapToGrid w:val="0"/>
                <w:color w:val="000000"/>
                <w:sz w:val="20"/>
                <w:szCs w:val="20"/>
                <w:highlight w:val="black"/>
              </w:rPr>
              <w:t>''''''''''''''''</w:t>
            </w:r>
            <w:r w:rsidR="006F0510">
              <w:rPr>
                <w:vertAlign w:val="superscript"/>
              </w:rPr>
              <w:t>1</w:t>
            </w:r>
          </w:p>
        </w:tc>
        <w:tc>
          <w:tcPr>
            <w:tcW w:w="1533" w:type="dxa"/>
            <w:tcBorders>
              <w:top w:val="single" w:sz="4" w:space="0" w:color="auto"/>
              <w:left w:val="single" w:sz="4" w:space="0" w:color="auto"/>
              <w:bottom w:val="single" w:sz="4" w:space="0" w:color="auto"/>
              <w:right w:val="single" w:sz="4" w:space="0" w:color="auto"/>
            </w:tcBorders>
            <w:vAlign w:val="center"/>
          </w:tcPr>
          <w:p w:rsidR="00AD39DD" w:rsidRPr="006A65C9" w:rsidRDefault="00A45723" w:rsidP="00462C37">
            <w:pPr>
              <w:pStyle w:val="Tabletext"/>
              <w:widowControl w:val="0"/>
              <w:jc w:val="center"/>
              <w:rPr>
                <w:rFonts w:cs="Arial"/>
                <w:szCs w:val="20"/>
              </w:rPr>
            </w:pPr>
            <w:r w:rsidRPr="006A65C9">
              <w:rPr>
                <w:rFonts w:cs="Arial"/>
                <w:szCs w:val="20"/>
              </w:rPr>
              <w:t>+2.6%</w:t>
            </w:r>
          </w:p>
        </w:tc>
      </w:tr>
      <w:tr w:rsidR="00AD39DD" w:rsidRPr="00470FAC" w:rsidTr="00BC716C">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tcPr>
          <w:p w:rsidR="00AD39DD" w:rsidRPr="006A65C9" w:rsidRDefault="00AD39DD" w:rsidP="00462C37">
            <w:pPr>
              <w:pStyle w:val="Tabletext"/>
              <w:widowControl w:val="0"/>
              <w:tabs>
                <w:tab w:val="left" w:pos="142"/>
              </w:tabs>
            </w:pPr>
            <w:r w:rsidRPr="006A65C9">
              <w:t xml:space="preserve">   0.635 – </w:t>
            </w:r>
            <w:r w:rsidR="00DE5B78" w:rsidRPr="006A65C9">
              <w:t xml:space="preserve">baseline utility in Sullivan </w:t>
            </w:r>
            <w:r w:rsidRPr="006A65C9">
              <w:t>2007</w:t>
            </w:r>
          </w:p>
        </w:tc>
        <w:tc>
          <w:tcPr>
            <w:tcW w:w="1189" w:type="dxa"/>
            <w:tcBorders>
              <w:top w:val="single" w:sz="4" w:space="0" w:color="auto"/>
              <w:left w:val="single" w:sz="4" w:space="0" w:color="auto"/>
              <w:bottom w:val="single" w:sz="4" w:space="0" w:color="auto"/>
              <w:right w:val="single" w:sz="4" w:space="0" w:color="auto"/>
            </w:tcBorders>
            <w:vAlign w:val="center"/>
          </w:tcPr>
          <w:p w:rsidR="00AD39DD" w:rsidRPr="006A65C9" w:rsidRDefault="00AD39DD" w:rsidP="00462C37">
            <w:pPr>
              <w:pStyle w:val="Tabletext"/>
              <w:widowControl w:val="0"/>
              <w:jc w:val="center"/>
              <w:rPr>
                <w:rFonts w:cs="Arial"/>
                <w:szCs w:val="20"/>
              </w:rPr>
            </w:pPr>
            <w:r w:rsidRPr="006A65C9">
              <w:rPr>
                <w:rFonts w:cs="Arial"/>
                <w:szCs w:val="20"/>
              </w:rPr>
              <w:t>$</w:t>
            </w:r>
            <w:r w:rsidR="006C3115">
              <w:rPr>
                <w:rFonts w:cs="Arial"/>
                <w:noProof/>
                <w:color w:val="000000"/>
                <w:szCs w:val="20"/>
                <w:highlight w:val="black"/>
              </w:rPr>
              <w:t>'''''''''''''''</w:t>
            </w:r>
          </w:p>
        </w:tc>
        <w:tc>
          <w:tcPr>
            <w:tcW w:w="1190" w:type="dxa"/>
            <w:tcBorders>
              <w:top w:val="single" w:sz="4" w:space="0" w:color="auto"/>
              <w:left w:val="single" w:sz="4" w:space="0" w:color="auto"/>
              <w:bottom w:val="single" w:sz="4" w:space="0" w:color="auto"/>
              <w:right w:val="single" w:sz="4" w:space="0" w:color="auto"/>
            </w:tcBorders>
            <w:vAlign w:val="center"/>
          </w:tcPr>
          <w:p w:rsidR="00AD39DD" w:rsidRPr="006A65C9" w:rsidRDefault="00AD39DD" w:rsidP="00462C37">
            <w:pPr>
              <w:pStyle w:val="Tabletext"/>
              <w:widowControl w:val="0"/>
              <w:jc w:val="center"/>
              <w:rPr>
                <w:rFonts w:cs="Arial"/>
                <w:szCs w:val="20"/>
              </w:rPr>
            </w:pPr>
            <w:r w:rsidRPr="006A65C9">
              <w:rPr>
                <w:rFonts w:cs="Arial"/>
                <w:szCs w:val="20"/>
              </w:rPr>
              <w:t>0.83</w:t>
            </w:r>
          </w:p>
        </w:tc>
        <w:tc>
          <w:tcPr>
            <w:tcW w:w="1789" w:type="dxa"/>
            <w:tcBorders>
              <w:top w:val="single" w:sz="4" w:space="0" w:color="auto"/>
              <w:left w:val="single" w:sz="4" w:space="0" w:color="auto"/>
              <w:bottom w:val="single" w:sz="4" w:space="0" w:color="auto"/>
              <w:right w:val="single" w:sz="4" w:space="0" w:color="auto"/>
            </w:tcBorders>
            <w:vAlign w:val="center"/>
          </w:tcPr>
          <w:p w:rsidR="00AD39DD" w:rsidRPr="006A65C9" w:rsidRDefault="00AD39DD" w:rsidP="00462C37">
            <w:pPr>
              <w:widowControl w:val="0"/>
              <w:jc w:val="center"/>
              <w:rPr>
                <w:rFonts w:ascii="Arial Narrow" w:hAnsi="Arial Narrow"/>
                <w:sz w:val="20"/>
                <w:szCs w:val="20"/>
              </w:rPr>
            </w:pPr>
            <w:r w:rsidRPr="006A65C9">
              <w:rPr>
                <w:rFonts w:ascii="Arial Narrow" w:hAnsi="Arial Narrow"/>
                <w:sz w:val="20"/>
                <w:szCs w:val="20"/>
              </w:rPr>
              <w:t>$</w:t>
            </w:r>
            <w:r w:rsidR="006C3115">
              <w:rPr>
                <w:rFonts w:ascii="Arial Narrow" w:hAnsi="Arial Narrow"/>
                <w:noProof/>
                <w:snapToGrid w:val="0"/>
                <w:color w:val="000000"/>
                <w:sz w:val="20"/>
                <w:szCs w:val="20"/>
                <w:highlight w:val="black"/>
              </w:rPr>
              <w:t>''''''''''''''''</w:t>
            </w:r>
            <w:r w:rsidR="006F0510">
              <w:rPr>
                <w:vertAlign w:val="superscript"/>
              </w:rPr>
              <w:t>1</w:t>
            </w:r>
          </w:p>
        </w:tc>
        <w:tc>
          <w:tcPr>
            <w:tcW w:w="1533" w:type="dxa"/>
            <w:tcBorders>
              <w:top w:val="single" w:sz="4" w:space="0" w:color="auto"/>
              <w:left w:val="single" w:sz="4" w:space="0" w:color="auto"/>
              <w:bottom w:val="single" w:sz="4" w:space="0" w:color="auto"/>
              <w:right w:val="single" w:sz="4" w:space="0" w:color="auto"/>
            </w:tcBorders>
            <w:vAlign w:val="center"/>
          </w:tcPr>
          <w:p w:rsidR="00AD39DD" w:rsidRPr="006A65C9" w:rsidRDefault="00AD39DD" w:rsidP="00462C37">
            <w:pPr>
              <w:pStyle w:val="Tabletext"/>
              <w:widowControl w:val="0"/>
              <w:jc w:val="center"/>
              <w:rPr>
                <w:rFonts w:cs="Arial"/>
                <w:szCs w:val="20"/>
              </w:rPr>
            </w:pPr>
            <w:r w:rsidRPr="006A65C9">
              <w:rPr>
                <w:rFonts w:cs="Arial"/>
                <w:szCs w:val="20"/>
              </w:rPr>
              <w:t>+9.4%</w:t>
            </w:r>
          </w:p>
        </w:tc>
      </w:tr>
      <w:tr w:rsidR="00AD39DD" w:rsidRPr="00470FAC" w:rsidTr="00AD39DD">
        <w:trPr>
          <w:cantSplit/>
          <w:trHeight w:val="129"/>
        </w:trPr>
        <w:tc>
          <w:tcPr>
            <w:tcW w:w="9117" w:type="dxa"/>
            <w:gridSpan w:val="5"/>
            <w:tcBorders>
              <w:top w:val="single" w:sz="4" w:space="0" w:color="auto"/>
              <w:left w:val="single" w:sz="4" w:space="0" w:color="auto"/>
              <w:bottom w:val="single" w:sz="4" w:space="0" w:color="auto"/>
              <w:right w:val="single" w:sz="4" w:space="0" w:color="auto"/>
            </w:tcBorders>
            <w:vAlign w:val="center"/>
            <w:hideMark/>
          </w:tcPr>
          <w:p w:rsidR="00AD39DD" w:rsidRPr="006A65C9" w:rsidRDefault="00AD39DD" w:rsidP="00462C37">
            <w:pPr>
              <w:pStyle w:val="Tabletext"/>
              <w:widowControl w:val="0"/>
            </w:pPr>
            <w:r w:rsidRPr="006A65C9">
              <w:t>Time horizon (base case: 10 years)</w:t>
            </w:r>
          </w:p>
        </w:tc>
      </w:tr>
      <w:tr w:rsidR="00AD39DD" w:rsidRPr="00470FAC" w:rsidTr="00BC716C">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hideMark/>
          </w:tcPr>
          <w:p w:rsidR="00AD39DD" w:rsidRPr="006A65C9" w:rsidRDefault="00AD39DD" w:rsidP="00462C37">
            <w:pPr>
              <w:pStyle w:val="Tabletext"/>
              <w:widowControl w:val="0"/>
              <w:tabs>
                <w:tab w:val="left" w:pos="142"/>
              </w:tabs>
              <w:rPr>
                <w:iCs/>
              </w:rPr>
            </w:pPr>
            <w:r w:rsidRPr="006A65C9">
              <w:rPr>
                <w:iCs/>
              </w:rPr>
              <w:tab/>
              <w:t>5 years</w:t>
            </w:r>
          </w:p>
        </w:tc>
        <w:tc>
          <w:tcPr>
            <w:tcW w:w="1189" w:type="dxa"/>
            <w:tcBorders>
              <w:top w:val="single" w:sz="4" w:space="0" w:color="auto"/>
              <w:left w:val="single" w:sz="4" w:space="0" w:color="auto"/>
              <w:bottom w:val="single" w:sz="4" w:space="0" w:color="auto"/>
              <w:right w:val="single" w:sz="4" w:space="0" w:color="auto"/>
            </w:tcBorders>
            <w:vAlign w:val="center"/>
            <w:hideMark/>
          </w:tcPr>
          <w:p w:rsidR="00AD39DD" w:rsidRPr="006A65C9" w:rsidRDefault="00AD39DD" w:rsidP="00462C37">
            <w:pPr>
              <w:jc w:val="center"/>
              <w:rPr>
                <w:rFonts w:ascii="Arial Narrow" w:hAnsi="Arial Narrow" w:cs="Calibri"/>
                <w:iCs/>
                <w:color w:val="000000"/>
                <w:sz w:val="20"/>
                <w:szCs w:val="20"/>
              </w:rPr>
            </w:pPr>
            <w:r w:rsidRPr="006A65C9">
              <w:rPr>
                <w:rFonts w:ascii="Arial Narrow" w:hAnsi="Arial Narrow" w:cs="Calibri"/>
                <w:iCs/>
                <w:color w:val="000000"/>
                <w:sz w:val="20"/>
                <w:szCs w:val="20"/>
              </w:rPr>
              <w:t>$</w:t>
            </w:r>
            <w:r w:rsidR="006C3115">
              <w:rPr>
                <w:rFonts w:ascii="Arial Narrow" w:hAnsi="Arial Narrow"/>
                <w:noProof/>
                <w:snapToGrid w:val="0"/>
                <w:color w:val="000000"/>
                <w:sz w:val="20"/>
                <w:szCs w:val="20"/>
                <w:highlight w:val="black"/>
              </w:rPr>
              <w:t>''''''''''''''''</w:t>
            </w:r>
          </w:p>
        </w:tc>
        <w:tc>
          <w:tcPr>
            <w:tcW w:w="1190" w:type="dxa"/>
            <w:tcBorders>
              <w:top w:val="single" w:sz="4" w:space="0" w:color="auto"/>
              <w:left w:val="single" w:sz="4" w:space="0" w:color="auto"/>
              <w:bottom w:val="single" w:sz="4" w:space="0" w:color="auto"/>
              <w:right w:val="single" w:sz="4" w:space="0" w:color="auto"/>
            </w:tcBorders>
            <w:vAlign w:val="center"/>
            <w:hideMark/>
          </w:tcPr>
          <w:p w:rsidR="00AD39DD" w:rsidRPr="006A65C9" w:rsidRDefault="00AD39DD" w:rsidP="00462C37">
            <w:pPr>
              <w:jc w:val="center"/>
              <w:rPr>
                <w:rFonts w:ascii="Arial Narrow" w:hAnsi="Arial Narrow" w:cs="Calibri"/>
                <w:iCs/>
                <w:color w:val="000000"/>
                <w:sz w:val="20"/>
                <w:szCs w:val="20"/>
              </w:rPr>
            </w:pPr>
            <w:r w:rsidRPr="006A65C9">
              <w:rPr>
                <w:rFonts w:ascii="Arial Narrow" w:hAnsi="Arial Narrow" w:cs="Calibri"/>
                <w:iCs/>
                <w:color w:val="000000"/>
                <w:sz w:val="20"/>
                <w:szCs w:val="20"/>
              </w:rPr>
              <w:t>0.43</w:t>
            </w:r>
          </w:p>
        </w:tc>
        <w:tc>
          <w:tcPr>
            <w:tcW w:w="1789" w:type="dxa"/>
            <w:tcBorders>
              <w:top w:val="single" w:sz="4" w:space="0" w:color="auto"/>
              <w:left w:val="single" w:sz="4" w:space="0" w:color="auto"/>
              <w:bottom w:val="single" w:sz="4" w:space="0" w:color="auto"/>
              <w:right w:val="single" w:sz="4" w:space="0" w:color="auto"/>
            </w:tcBorders>
            <w:vAlign w:val="center"/>
            <w:hideMark/>
          </w:tcPr>
          <w:p w:rsidR="00AD39DD" w:rsidRPr="006A65C9" w:rsidRDefault="00AD39DD" w:rsidP="00462C37">
            <w:pPr>
              <w:pStyle w:val="Tabletext"/>
              <w:widowControl w:val="0"/>
              <w:jc w:val="center"/>
              <w:rPr>
                <w:iCs/>
                <w:szCs w:val="20"/>
              </w:rPr>
            </w:pPr>
            <w:r w:rsidRPr="006A65C9">
              <w:rPr>
                <w:iCs/>
                <w:szCs w:val="20"/>
              </w:rPr>
              <w:t>$</w:t>
            </w:r>
            <w:r w:rsidR="006C3115">
              <w:rPr>
                <w:rFonts w:cs="Arial"/>
                <w:noProof/>
                <w:color w:val="000000"/>
                <w:szCs w:val="20"/>
                <w:highlight w:val="black"/>
              </w:rPr>
              <w:t>'''''''''''''''''</w:t>
            </w:r>
            <w:r w:rsidR="006F0510">
              <w:rPr>
                <w:vertAlign w:val="superscript"/>
              </w:rPr>
              <w:t>4</w:t>
            </w:r>
          </w:p>
        </w:tc>
        <w:tc>
          <w:tcPr>
            <w:tcW w:w="1533" w:type="dxa"/>
            <w:tcBorders>
              <w:top w:val="single" w:sz="4" w:space="0" w:color="auto"/>
              <w:left w:val="single" w:sz="4" w:space="0" w:color="auto"/>
              <w:bottom w:val="single" w:sz="4" w:space="0" w:color="auto"/>
              <w:right w:val="single" w:sz="4" w:space="0" w:color="auto"/>
            </w:tcBorders>
            <w:vAlign w:val="center"/>
            <w:hideMark/>
          </w:tcPr>
          <w:p w:rsidR="00AD39DD" w:rsidRPr="006A65C9" w:rsidRDefault="00AD39DD" w:rsidP="00462C37">
            <w:pPr>
              <w:pStyle w:val="Tabletext"/>
              <w:widowControl w:val="0"/>
              <w:jc w:val="center"/>
              <w:rPr>
                <w:iCs/>
                <w:szCs w:val="20"/>
              </w:rPr>
            </w:pPr>
            <w:r w:rsidRPr="006A65C9">
              <w:rPr>
                <w:iCs/>
                <w:szCs w:val="20"/>
              </w:rPr>
              <w:t>+98%</w:t>
            </w:r>
          </w:p>
        </w:tc>
      </w:tr>
      <w:tr w:rsidR="00DE5B78" w:rsidRPr="00470FAC" w:rsidTr="00B25FAB">
        <w:trPr>
          <w:cantSplit/>
          <w:trHeight w:val="129"/>
        </w:trPr>
        <w:tc>
          <w:tcPr>
            <w:tcW w:w="9117" w:type="dxa"/>
            <w:gridSpan w:val="5"/>
            <w:tcBorders>
              <w:top w:val="single" w:sz="4" w:space="0" w:color="auto"/>
              <w:left w:val="single" w:sz="4" w:space="0" w:color="auto"/>
              <w:bottom w:val="single" w:sz="4" w:space="0" w:color="auto"/>
              <w:right w:val="single" w:sz="4" w:space="0" w:color="auto"/>
            </w:tcBorders>
            <w:vAlign w:val="center"/>
          </w:tcPr>
          <w:p w:rsidR="00DE5B78" w:rsidRPr="006A65C9" w:rsidRDefault="00DE5B78" w:rsidP="00462C37">
            <w:pPr>
              <w:pStyle w:val="Tabletext"/>
              <w:widowControl w:val="0"/>
              <w:rPr>
                <w:iCs/>
                <w:szCs w:val="20"/>
              </w:rPr>
            </w:pPr>
            <w:r w:rsidRPr="006A65C9">
              <w:rPr>
                <w:b/>
              </w:rPr>
              <w:t>Multivariate analysis</w:t>
            </w:r>
          </w:p>
        </w:tc>
      </w:tr>
      <w:tr w:rsidR="00DE5B78" w:rsidRPr="00470FAC" w:rsidTr="00B25FAB">
        <w:trPr>
          <w:cantSplit/>
          <w:trHeight w:val="129"/>
        </w:trPr>
        <w:tc>
          <w:tcPr>
            <w:tcW w:w="9117" w:type="dxa"/>
            <w:gridSpan w:val="5"/>
            <w:tcBorders>
              <w:top w:val="single" w:sz="4" w:space="0" w:color="auto"/>
              <w:left w:val="single" w:sz="4" w:space="0" w:color="auto"/>
              <w:bottom w:val="single" w:sz="4" w:space="0" w:color="auto"/>
              <w:right w:val="single" w:sz="4" w:space="0" w:color="auto"/>
            </w:tcBorders>
            <w:vAlign w:val="center"/>
          </w:tcPr>
          <w:p w:rsidR="00DE5B78" w:rsidRPr="006A65C9" w:rsidRDefault="00DE5B78" w:rsidP="00462C37">
            <w:pPr>
              <w:pStyle w:val="Tabletext"/>
              <w:widowControl w:val="0"/>
              <w:rPr>
                <w:iCs/>
                <w:szCs w:val="20"/>
              </w:rPr>
            </w:pPr>
            <w:r w:rsidRPr="006A65C9">
              <w:t>mCRPC utility and Use of KM data in OS arm (base case: 0.560 and until 54 months)</w:t>
            </w:r>
          </w:p>
        </w:tc>
      </w:tr>
      <w:tr w:rsidR="00DE5B78" w:rsidRPr="00470FAC" w:rsidTr="00D33D5C">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tcPr>
          <w:p w:rsidR="00DE5B78" w:rsidRPr="006A65C9" w:rsidRDefault="00DE5B78" w:rsidP="00462C37">
            <w:pPr>
              <w:pStyle w:val="Tabletext"/>
              <w:widowControl w:val="0"/>
              <w:tabs>
                <w:tab w:val="left" w:pos="142"/>
              </w:tabs>
              <w:ind w:left="105" w:firstLine="142"/>
              <w:rPr>
                <w:iCs/>
              </w:rPr>
            </w:pPr>
            <w:r w:rsidRPr="006A65C9">
              <w:t>0.635 and until 42 months</w:t>
            </w:r>
          </w:p>
        </w:tc>
        <w:tc>
          <w:tcPr>
            <w:tcW w:w="1189" w:type="dxa"/>
            <w:tcBorders>
              <w:top w:val="single" w:sz="4" w:space="0" w:color="auto"/>
              <w:left w:val="single" w:sz="4" w:space="0" w:color="auto"/>
              <w:bottom w:val="single" w:sz="4" w:space="0" w:color="auto"/>
              <w:right w:val="single" w:sz="4" w:space="0" w:color="auto"/>
            </w:tcBorders>
            <w:vAlign w:val="center"/>
          </w:tcPr>
          <w:p w:rsidR="00DE5B78" w:rsidRPr="006A65C9" w:rsidRDefault="002A1225" w:rsidP="00462C37">
            <w:pPr>
              <w:jc w:val="center"/>
              <w:rPr>
                <w:rFonts w:ascii="Arial Narrow" w:hAnsi="Arial Narrow" w:cs="Calibri"/>
                <w:iCs/>
                <w:color w:val="000000"/>
                <w:sz w:val="20"/>
                <w:szCs w:val="20"/>
              </w:rPr>
            </w:pPr>
            <w:r w:rsidRPr="006A65C9">
              <w:rPr>
                <w:rFonts w:ascii="Arial Narrow" w:hAnsi="Arial Narrow"/>
                <w:noProof/>
                <w:sz w:val="20"/>
                <w:szCs w:val="20"/>
              </w:rPr>
              <w:t>$</w:t>
            </w:r>
            <w:r w:rsidR="006C3115">
              <w:rPr>
                <w:rFonts w:ascii="Arial Narrow" w:hAnsi="Arial Narrow"/>
                <w:noProof/>
                <w:snapToGrid w:val="0"/>
                <w:color w:val="000000"/>
                <w:sz w:val="20"/>
                <w:szCs w:val="20"/>
                <w:highlight w:val="black"/>
              </w:rPr>
              <w:t>'''''''''''''''''</w:t>
            </w:r>
          </w:p>
        </w:tc>
        <w:tc>
          <w:tcPr>
            <w:tcW w:w="1190" w:type="dxa"/>
            <w:tcBorders>
              <w:top w:val="single" w:sz="4" w:space="0" w:color="auto"/>
              <w:left w:val="single" w:sz="4" w:space="0" w:color="auto"/>
              <w:bottom w:val="single" w:sz="4" w:space="0" w:color="auto"/>
              <w:right w:val="single" w:sz="4" w:space="0" w:color="auto"/>
            </w:tcBorders>
            <w:vAlign w:val="center"/>
          </w:tcPr>
          <w:p w:rsidR="002A1225" w:rsidRPr="006A65C9" w:rsidRDefault="002A1225" w:rsidP="00462C37">
            <w:pPr>
              <w:jc w:val="center"/>
              <w:rPr>
                <w:rFonts w:ascii="Arial Narrow" w:hAnsi="Arial Narrow" w:cs="Calibri"/>
                <w:iCs/>
                <w:color w:val="000000"/>
                <w:sz w:val="20"/>
                <w:szCs w:val="20"/>
              </w:rPr>
            </w:pPr>
            <w:r w:rsidRPr="006A65C9">
              <w:rPr>
                <w:rFonts w:ascii="Arial Narrow" w:hAnsi="Arial Narrow"/>
                <w:color w:val="000000"/>
                <w:sz w:val="20"/>
                <w:szCs w:val="20"/>
              </w:rPr>
              <w:t>0.76</w:t>
            </w:r>
          </w:p>
        </w:tc>
        <w:tc>
          <w:tcPr>
            <w:tcW w:w="1789" w:type="dxa"/>
            <w:tcBorders>
              <w:top w:val="single" w:sz="4" w:space="0" w:color="auto"/>
              <w:left w:val="single" w:sz="4" w:space="0" w:color="auto"/>
              <w:bottom w:val="single" w:sz="4" w:space="0" w:color="auto"/>
              <w:right w:val="single" w:sz="4" w:space="0" w:color="auto"/>
            </w:tcBorders>
            <w:vAlign w:val="center"/>
          </w:tcPr>
          <w:p w:rsidR="002A1225" w:rsidRPr="006A65C9" w:rsidRDefault="002A1225" w:rsidP="00462C37">
            <w:pPr>
              <w:pStyle w:val="Tabletext"/>
              <w:widowControl w:val="0"/>
              <w:jc w:val="center"/>
              <w:rPr>
                <w:rFonts w:cs="Arial"/>
                <w:snapToGrid/>
                <w:color w:val="000000"/>
                <w:szCs w:val="20"/>
              </w:rPr>
            </w:pPr>
            <w:r w:rsidRPr="006A65C9">
              <w:rPr>
                <w:rFonts w:cs="Arial"/>
                <w:snapToGrid/>
                <w:color w:val="000000"/>
                <w:szCs w:val="20"/>
              </w:rPr>
              <w:t>$</w:t>
            </w:r>
            <w:r w:rsidR="006C3115">
              <w:rPr>
                <w:rFonts w:cs="Arial"/>
                <w:noProof/>
                <w:color w:val="000000"/>
                <w:szCs w:val="20"/>
                <w:highlight w:val="black"/>
              </w:rPr>
              <w:t>''''''''''''''''</w:t>
            </w:r>
            <w:r w:rsidR="006F0510">
              <w:rPr>
                <w:vertAlign w:val="superscript"/>
              </w:rPr>
              <w:t>3</w:t>
            </w:r>
          </w:p>
        </w:tc>
        <w:tc>
          <w:tcPr>
            <w:tcW w:w="1533" w:type="dxa"/>
            <w:tcBorders>
              <w:top w:val="single" w:sz="4" w:space="0" w:color="auto"/>
              <w:left w:val="single" w:sz="4" w:space="0" w:color="auto"/>
              <w:bottom w:val="single" w:sz="4" w:space="0" w:color="auto"/>
              <w:right w:val="single" w:sz="4" w:space="0" w:color="auto"/>
            </w:tcBorders>
            <w:vAlign w:val="center"/>
          </w:tcPr>
          <w:p w:rsidR="00DE5B78" w:rsidRPr="006A65C9" w:rsidRDefault="002A1225" w:rsidP="00462C37">
            <w:pPr>
              <w:pStyle w:val="Tabletext"/>
              <w:widowControl w:val="0"/>
              <w:jc w:val="center"/>
              <w:rPr>
                <w:iCs/>
                <w:szCs w:val="20"/>
              </w:rPr>
            </w:pPr>
            <w:r w:rsidRPr="006A65C9">
              <w:rPr>
                <w:rFonts w:cs="Arial"/>
                <w:snapToGrid/>
                <w:color w:val="000000"/>
                <w:szCs w:val="20"/>
              </w:rPr>
              <w:t>18.6%</w:t>
            </w:r>
          </w:p>
        </w:tc>
      </w:tr>
      <w:tr w:rsidR="00DE5B78" w:rsidRPr="00470FAC" w:rsidTr="00B25FAB">
        <w:trPr>
          <w:cantSplit/>
          <w:trHeight w:val="129"/>
        </w:trPr>
        <w:tc>
          <w:tcPr>
            <w:tcW w:w="9117" w:type="dxa"/>
            <w:gridSpan w:val="5"/>
            <w:tcBorders>
              <w:top w:val="single" w:sz="4" w:space="0" w:color="auto"/>
              <w:left w:val="single" w:sz="4" w:space="0" w:color="auto"/>
              <w:bottom w:val="single" w:sz="4" w:space="0" w:color="auto"/>
              <w:right w:val="single" w:sz="4" w:space="0" w:color="auto"/>
            </w:tcBorders>
            <w:vAlign w:val="center"/>
          </w:tcPr>
          <w:p w:rsidR="00DE5B78" w:rsidRPr="006A65C9" w:rsidRDefault="00DE5B78" w:rsidP="00462C37">
            <w:pPr>
              <w:pStyle w:val="Tabletext"/>
              <w:widowControl w:val="0"/>
              <w:rPr>
                <w:rFonts w:cs="Arial"/>
                <w:snapToGrid/>
                <w:color w:val="000000"/>
                <w:szCs w:val="20"/>
              </w:rPr>
            </w:pPr>
            <w:r w:rsidRPr="006A65C9">
              <w:t>mCRPC utility and SOC curve OS extrapolation (base case: 0.560 and Weibull)</w:t>
            </w:r>
          </w:p>
        </w:tc>
      </w:tr>
      <w:tr w:rsidR="00DE5B78" w:rsidRPr="00470FAC" w:rsidTr="00BC716C">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tcPr>
          <w:p w:rsidR="00DE5B78" w:rsidRPr="006A65C9" w:rsidRDefault="00DE5B78" w:rsidP="00462C37">
            <w:pPr>
              <w:pStyle w:val="Tabletext"/>
              <w:widowControl w:val="0"/>
              <w:tabs>
                <w:tab w:val="left" w:pos="142"/>
              </w:tabs>
            </w:pPr>
            <w:r w:rsidRPr="006A65C9">
              <w:tab/>
              <w:t>0.635 and Gompertz</w:t>
            </w:r>
          </w:p>
        </w:tc>
        <w:tc>
          <w:tcPr>
            <w:tcW w:w="1189" w:type="dxa"/>
            <w:tcBorders>
              <w:top w:val="single" w:sz="4" w:space="0" w:color="auto"/>
              <w:left w:val="single" w:sz="4" w:space="0" w:color="auto"/>
              <w:bottom w:val="single" w:sz="4" w:space="0" w:color="auto"/>
              <w:right w:val="single" w:sz="4" w:space="0" w:color="auto"/>
            </w:tcBorders>
            <w:vAlign w:val="center"/>
          </w:tcPr>
          <w:p w:rsidR="00DE5B78" w:rsidRPr="006A65C9" w:rsidRDefault="00DE5B78" w:rsidP="00462C37">
            <w:pPr>
              <w:jc w:val="center"/>
              <w:rPr>
                <w:rFonts w:ascii="Arial Narrow" w:hAnsi="Arial Narrow"/>
                <w:color w:val="000000"/>
                <w:sz w:val="20"/>
                <w:szCs w:val="20"/>
              </w:rPr>
            </w:pPr>
            <w:r w:rsidRPr="006A65C9">
              <w:rPr>
                <w:rFonts w:ascii="Arial Narrow" w:hAnsi="Arial Narrow"/>
                <w:color w:val="000000"/>
                <w:sz w:val="20"/>
                <w:szCs w:val="20"/>
              </w:rPr>
              <w:t>$</w:t>
            </w:r>
            <w:r w:rsidR="006C3115">
              <w:rPr>
                <w:rFonts w:ascii="Arial Narrow" w:hAnsi="Arial Narrow"/>
                <w:noProof/>
                <w:snapToGrid w:val="0"/>
                <w:color w:val="000000"/>
                <w:sz w:val="20"/>
                <w:szCs w:val="20"/>
                <w:highlight w:val="black"/>
              </w:rPr>
              <w:t>''''''''''''''''''</w:t>
            </w:r>
          </w:p>
        </w:tc>
        <w:tc>
          <w:tcPr>
            <w:tcW w:w="1190" w:type="dxa"/>
            <w:tcBorders>
              <w:top w:val="single" w:sz="4" w:space="0" w:color="auto"/>
              <w:left w:val="single" w:sz="4" w:space="0" w:color="auto"/>
              <w:bottom w:val="single" w:sz="4" w:space="0" w:color="auto"/>
              <w:right w:val="single" w:sz="4" w:space="0" w:color="auto"/>
            </w:tcBorders>
            <w:vAlign w:val="center"/>
          </w:tcPr>
          <w:p w:rsidR="00DE5B78" w:rsidRPr="006A65C9" w:rsidRDefault="00DE5B78" w:rsidP="00462C37">
            <w:pPr>
              <w:jc w:val="center"/>
              <w:rPr>
                <w:rFonts w:ascii="Arial Narrow" w:hAnsi="Arial Narrow"/>
                <w:color w:val="000000"/>
                <w:sz w:val="20"/>
                <w:szCs w:val="20"/>
              </w:rPr>
            </w:pPr>
            <w:r w:rsidRPr="006A65C9">
              <w:rPr>
                <w:rFonts w:ascii="Arial Narrow" w:hAnsi="Arial Narrow"/>
                <w:color w:val="000000"/>
                <w:sz w:val="20"/>
                <w:szCs w:val="20"/>
              </w:rPr>
              <w:t>0.64</w:t>
            </w:r>
          </w:p>
        </w:tc>
        <w:tc>
          <w:tcPr>
            <w:tcW w:w="1789" w:type="dxa"/>
            <w:tcBorders>
              <w:top w:val="single" w:sz="4" w:space="0" w:color="auto"/>
              <w:left w:val="single" w:sz="4" w:space="0" w:color="auto"/>
              <w:bottom w:val="single" w:sz="4" w:space="0" w:color="auto"/>
              <w:right w:val="single" w:sz="4" w:space="0" w:color="auto"/>
            </w:tcBorders>
            <w:vAlign w:val="center"/>
          </w:tcPr>
          <w:p w:rsidR="00DE5B78" w:rsidRPr="006A65C9" w:rsidRDefault="00DE5B78" w:rsidP="00462C37">
            <w:pPr>
              <w:pStyle w:val="Tabletext"/>
              <w:widowControl w:val="0"/>
              <w:jc w:val="center"/>
              <w:rPr>
                <w:rFonts w:cs="Arial"/>
                <w:snapToGrid/>
                <w:color w:val="000000"/>
                <w:szCs w:val="20"/>
              </w:rPr>
            </w:pPr>
            <w:r w:rsidRPr="006A65C9">
              <w:rPr>
                <w:rFonts w:cs="Arial"/>
                <w:szCs w:val="20"/>
              </w:rPr>
              <w:t>$</w:t>
            </w:r>
            <w:r w:rsidR="006C3115">
              <w:rPr>
                <w:rFonts w:cs="Arial"/>
                <w:noProof/>
                <w:color w:val="000000"/>
                <w:szCs w:val="20"/>
                <w:highlight w:val="black"/>
              </w:rPr>
              <w:t>'''''''''''''''</w:t>
            </w:r>
            <w:r w:rsidR="006F0510">
              <w:rPr>
                <w:vertAlign w:val="superscript"/>
              </w:rPr>
              <w:t>3</w:t>
            </w:r>
          </w:p>
        </w:tc>
        <w:tc>
          <w:tcPr>
            <w:tcW w:w="1533" w:type="dxa"/>
            <w:tcBorders>
              <w:top w:val="single" w:sz="4" w:space="0" w:color="auto"/>
              <w:left w:val="single" w:sz="4" w:space="0" w:color="auto"/>
              <w:bottom w:val="single" w:sz="4" w:space="0" w:color="auto"/>
              <w:right w:val="single" w:sz="4" w:space="0" w:color="auto"/>
            </w:tcBorders>
            <w:vAlign w:val="center"/>
          </w:tcPr>
          <w:p w:rsidR="00DE5B78" w:rsidRPr="006A65C9" w:rsidRDefault="00DE5B78" w:rsidP="00462C37">
            <w:pPr>
              <w:pStyle w:val="Tabletext"/>
              <w:widowControl w:val="0"/>
              <w:jc w:val="center"/>
              <w:rPr>
                <w:rFonts w:cs="Arial"/>
                <w:snapToGrid/>
                <w:color w:val="000000"/>
                <w:szCs w:val="20"/>
              </w:rPr>
            </w:pPr>
            <w:r w:rsidRPr="006A65C9">
              <w:rPr>
                <w:rFonts w:cs="Arial"/>
                <w:szCs w:val="20"/>
              </w:rPr>
              <w:t>+50.7%</w:t>
            </w:r>
          </w:p>
        </w:tc>
      </w:tr>
      <w:tr w:rsidR="00CE1406" w:rsidRPr="00470FAC" w:rsidTr="006907E5">
        <w:trPr>
          <w:cantSplit/>
          <w:trHeight w:val="129"/>
        </w:trPr>
        <w:tc>
          <w:tcPr>
            <w:tcW w:w="9117" w:type="dxa"/>
            <w:gridSpan w:val="5"/>
            <w:tcBorders>
              <w:top w:val="single" w:sz="4" w:space="0" w:color="auto"/>
              <w:left w:val="single" w:sz="4" w:space="0" w:color="auto"/>
              <w:bottom w:val="single" w:sz="4" w:space="0" w:color="auto"/>
              <w:right w:val="single" w:sz="4" w:space="0" w:color="auto"/>
            </w:tcBorders>
            <w:vAlign w:val="center"/>
          </w:tcPr>
          <w:p w:rsidR="00CE1406" w:rsidRPr="006A65C9" w:rsidRDefault="00CE1406" w:rsidP="00462C37">
            <w:pPr>
              <w:pStyle w:val="Tabletext"/>
              <w:widowControl w:val="0"/>
            </w:pPr>
            <w:r w:rsidRPr="006A65C9">
              <w:t>mCRPC utility + Use of KM data in OS arm + curve OS extrapolation (base case: 0.560 and until 54 months and Weibull)</w:t>
            </w:r>
          </w:p>
        </w:tc>
      </w:tr>
      <w:tr w:rsidR="00CE1406" w:rsidRPr="00470FAC" w:rsidTr="00BC716C">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tcPr>
          <w:p w:rsidR="00CE1406" w:rsidRPr="006A65C9" w:rsidRDefault="00CE1406" w:rsidP="00462C37">
            <w:pPr>
              <w:pStyle w:val="Tabletext"/>
              <w:widowControl w:val="0"/>
              <w:tabs>
                <w:tab w:val="left" w:pos="142"/>
              </w:tabs>
            </w:pPr>
            <w:r w:rsidRPr="006A65C9">
              <w:t>0.635 + until 42 months + Gompertz</w:t>
            </w:r>
          </w:p>
        </w:tc>
        <w:tc>
          <w:tcPr>
            <w:tcW w:w="1189" w:type="dxa"/>
            <w:tcBorders>
              <w:top w:val="single" w:sz="4" w:space="0" w:color="auto"/>
              <w:left w:val="single" w:sz="4" w:space="0" w:color="auto"/>
              <w:bottom w:val="single" w:sz="4" w:space="0" w:color="auto"/>
              <w:right w:val="single" w:sz="4" w:space="0" w:color="auto"/>
            </w:tcBorders>
          </w:tcPr>
          <w:p w:rsidR="00CE1406" w:rsidRPr="006A65C9" w:rsidRDefault="00CE1406" w:rsidP="00462C37">
            <w:pPr>
              <w:jc w:val="center"/>
              <w:rPr>
                <w:rFonts w:ascii="Arial Narrow" w:hAnsi="Arial Narrow" w:cs="Times New Roman"/>
                <w:snapToGrid w:val="0"/>
                <w:sz w:val="20"/>
              </w:rPr>
            </w:pPr>
            <w:r w:rsidRPr="006A65C9">
              <w:rPr>
                <w:rFonts w:ascii="Arial Narrow" w:hAnsi="Arial Narrow" w:cs="Times New Roman"/>
                <w:snapToGrid w:val="0"/>
                <w:sz w:val="20"/>
              </w:rPr>
              <w:t>$</w:t>
            </w:r>
            <w:r w:rsidR="006C3115">
              <w:rPr>
                <w:rFonts w:ascii="Arial Narrow" w:hAnsi="Arial Narrow"/>
                <w:noProof/>
                <w:snapToGrid w:val="0"/>
                <w:color w:val="000000"/>
                <w:sz w:val="20"/>
                <w:szCs w:val="20"/>
                <w:highlight w:val="black"/>
              </w:rPr>
              <w:t>'''''''''''''''''</w:t>
            </w:r>
          </w:p>
        </w:tc>
        <w:tc>
          <w:tcPr>
            <w:tcW w:w="1190" w:type="dxa"/>
            <w:tcBorders>
              <w:top w:val="single" w:sz="4" w:space="0" w:color="auto"/>
              <w:left w:val="single" w:sz="4" w:space="0" w:color="auto"/>
              <w:bottom w:val="single" w:sz="4" w:space="0" w:color="auto"/>
              <w:right w:val="single" w:sz="4" w:space="0" w:color="auto"/>
            </w:tcBorders>
          </w:tcPr>
          <w:p w:rsidR="00CE1406" w:rsidRPr="006A65C9" w:rsidRDefault="00CE1406" w:rsidP="00462C37">
            <w:pPr>
              <w:jc w:val="center"/>
              <w:rPr>
                <w:rFonts w:ascii="Arial Narrow" w:hAnsi="Arial Narrow" w:cs="Times New Roman"/>
                <w:snapToGrid w:val="0"/>
                <w:sz w:val="20"/>
              </w:rPr>
            </w:pPr>
            <w:r w:rsidRPr="006A65C9">
              <w:rPr>
                <w:rFonts w:ascii="Arial Narrow" w:hAnsi="Arial Narrow" w:cs="Times New Roman"/>
                <w:snapToGrid w:val="0"/>
                <w:sz w:val="20"/>
              </w:rPr>
              <w:t>0.59</w:t>
            </w:r>
          </w:p>
        </w:tc>
        <w:tc>
          <w:tcPr>
            <w:tcW w:w="1789" w:type="dxa"/>
            <w:tcBorders>
              <w:top w:val="single" w:sz="4" w:space="0" w:color="auto"/>
              <w:left w:val="single" w:sz="4" w:space="0" w:color="auto"/>
              <w:bottom w:val="single" w:sz="4" w:space="0" w:color="auto"/>
              <w:right w:val="single" w:sz="4" w:space="0" w:color="auto"/>
            </w:tcBorders>
          </w:tcPr>
          <w:p w:rsidR="00CE1406" w:rsidRPr="006A65C9" w:rsidRDefault="00CE1406" w:rsidP="00462C37">
            <w:pPr>
              <w:pStyle w:val="Tabletext"/>
              <w:widowControl w:val="0"/>
              <w:jc w:val="center"/>
            </w:pPr>
            <w:r w:rsidRPr="006A65C9">
              <w:t>$</w:t>
            </w:r>
            <w:r w:rsidR="006C3115">
              <w:rPr>
                <w:rFonts w:cs="Arial"/>
                <w:noProof/>
                <w:color w:val="000000"/>
                <w:szCs w:val="20"/>
                <w:highlight w:val="black"/>
              </w:rPr>
              <w:t>'''''''''''''''''</w:t>
            </w:r>
            <w:r w:rsidR="006F0510">
              <w:rPr>
                <w:vertAlign w:val="superscript"/>
              </w:rPr>
              <w:t>4</w:t>
            </w:r>
          </w:p>
        </w:tc>
        <w:tc>
          <w:tcPr>
            <w:tcW w:w="1533" w:type="dxa"/>
            <w:tcBorders>
              <w:top w:val="single" w:sz="4" w:space="0" w:color="auto"/>
              <w:left w:val="single" w:sz="4" w:space="0" w:color="auto"/>
              <w:bottom w:val="single" w:sz="4" w:space="0" w:color="auto"/>
              <w:right w:val="single" w:sz="4" w:space="0" w:color="auto"/>
            </w:tcBorders>
          </w:tcPr>
          <w:p w:rsidR="00CE1406" w:rsidRPr="006A65C9" w:rsidRDefault="00CE1406" w:rsidP="00462C37">
            <w:pPr>
              <w:pStyle w:val="Tabletext"/>
              <w:widowControl w:val="0"/>
              <w:jc w:val="center"/>
            </w:pPr>
            <w:r w:rsidRPr="006A65C9">
              <w:t>62.2%</w:t>
            </w:r>
          </w:p>
        </w:tc>
      </w:tr>
      <w:tr w:rsidR="002341D0" w:rsidRPr="00470FAC" w:rsidTr="002341D0">
        <w:trPr>
          <w:cantSplit/>
          <w:trHeight w:val="129"/>
        </w:trPr>
        <w:tc>
          <w:tcPr>
            <w:tcW w:w="9117" w:type="dxa"/>
            <w:gridSpan w:val="5"/>
            <w:tcBorders>
              <w:top w:val="single" w:sz="4" w:space="0" w:color="auto"/>
              <w:left w:val="single" w:sz="4" w:space="0" w:color="auto"/>
              <w:bottom w:val="single" w:sz="4" w:space="0" w:color="auto"/>
              <w:right w:val="single" w:sz="4" w:space="0" w:color="auto"/>
            </w:tcBorders>
            <w:vAlign w:val="center"/>
          </w:tcPr>
          <w:p w:rsidR="002341D0" w:rsidRPr="006A65C9" w:rsidRDefault="002341D0" w:rsidP="00462C37">
            <w:pPr>
              <w:pStyle w:val="Tabletext"/>
              <w:widowControl w:val="0"/>
            </w:pPr>
            <w:r w:rsidRPr="006A65C9">
              <w:t>mCRPC utility + Use of KM data in OS arm + time horizon (base case: 0.560 + until 54 months + 10 years)</w:t>
            </w:r>
          </w:p>
        </w:tc>
      </w:tr>
      <w:tr w:rsidR="002341D0" w:rsidRPr="00470FAC" w:rsidTr="00BC716C">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tcPr>
          <w:p w:rsidR="002341D0" w:rsidRPr="006A65C9" w:rsidRDefault="002341D0" w:rsidP="00462C37">
            <w:pPr>
              <w:pStyle w:val="Tabletext"/>
              <w:widowControl w:val="0"/>
              <w:tabs>
                <w:tab w:val="left" w:pos="142"/>
              </w:tabs>
            </w:pPr>
            <w:r w:rsidRPr="006A65C9">
              <w:t>0.635 + until 42 months + 7.5 years</w:t>
            </w:r>
          </w:p>
        </w:tc>
        <w:tc>
          <w:tcPr>
            <w:tcW w:w="1189" w:type="dxa"/>
            <w:tcBorders>
              <w:top w:val="single" w:sz="4" w:space="0" w:color="auto"/>
              <w:left w:val="single" w:sz="4" w:space="0" w:color="auto"/>
              <w:bottom w:val="single" w:sz="4" w:space="0" w:color="auto"/>
              <w:right w:val="single" w:sz="4" w:space="0" w:color="auto"/>
            </w:tcBorders>
            <w:shd w:val="clear" w:color="000000" w:fill="FFFFFF"/>
            <w:vAlign w:val="bottom"/>
          </w:tcPr>
          <w:p w:rsidR="002341D0" w:rsidRPr="006A65C9" w:rsidRDefault="002341D0" w:rsidP="00462C37">
            <w:pPr>
              <w:jc w:val="center"/>
              <w:rPr>
                <w:rFonts w:ascii="Arial Narrow" w:hAnsi="Arial Narrow" w:cs="Times New Roman"/>
                <w:snapToGrid w:val="0"/>
                <w:sz w:val="20"/>
              </w:rPr>
            </w:pPr>
            <w:r w:rsidRPr="006A65C9">
              <w:rPr>
                <w:rFonts w:ascii="Arial Narrow" w:hAnsi="Arial Narrow" w:cs="Times New Roman"/>
                <w:snapToGrid w:val="0"/>
                <w:sz w:val="20"/>
              </w:rPr>
              <w:t>$</w:t>
            </w:r>
            <w:r w:rsidR="006C3115">
              <w:rPr>
                <w:rFonts w:ascii="Arial Narrow" w:hAnsi="Arial Narrow"/>
                <w:noProof/>
                <w:snapToGrid w:val="0"/>
                <w:color w:val="000000"/>
                <w:sz w:val="20"/>
                <w:szCs w:val="20"/>
                <w:highlight w:val="black"/>
              </w:rPr>
              <w:t>''''''''''''''''</w:t>
            </w:r>
          </w:p>
        </w:tc>
        <w:tc>
          <w:tcPr>
            <w:tcW w:w="1190" w:type="dxa"/>
            <w:tcBorders>
              <w:top w:val="single" w:sz="4" w:space="0" w:color="auto"/>
              <w:left w:val="nil"/>
              <w:bottom w:val="single" w:sz="4" w:space="0" w:color="auto"/>
              <w:right w:val="single" w:sz="4" w:space="0" w:color="auto"/>
            </w:tcBorders>
            <w:shd w:val="clear" w:color="000000" w:fill="FFFFFF"/>
            <w:vAlign w:val="bottom"/>
          </w:tcPr>
          <w:p w:rsidR="002341D0" w:rsidRPr="006A65C9" w:rsidRDefault="002341D0" w:rsidP="00462C37">
            <w:pPr>
              <w:jc w:val="center"/>
              <w:rPr>
                <w:rFonts w:ascii="Arial Narrow" w:hAnsi="Arial Narrow" w:cs="Times New Roman"/>
                <w:snapToGrid w:val="0"/>
                <w:sz w:val="20"/>
              </w:rPr>
            </w:pPr>
            <w:r w:rsidRPr="006A65C9">
              <w:rPr>
                <w:rFonts w:ascii="Arial Narrow" w:hAnsi="Arial Narrow" w:cs="Times New Roman"/>
                <w:snapToGrid w:val="0"/>
                <w:sz w:val="20"/>
              </w:rPr>
              <w:t>0.58</w:t>
            </w:r>
          </w:p>
        </w:tc>
        <w:tc>
          <w:tcPr>
            <w:tcW w:w="1789" w:type="dxa"/>
            <w:tcBorders>
              <w:top w:val="single" w:sz="4" w:space="0" w:color="auto"/>
              <w:left w:val="nil"/>
              <w:bottom w:val="single" w:sz="4" w:space="0" w:color="auto"/>
              <w:right w:val="single" w:sz="4" w:space="0" w:color="auto"/>
            </w:tcBorders>
            <w:shd w:val="clear" w:color="000000" w:fill="FFFFFF"/>
            <w:vAlign w:val="bottom"/>
          </w:tcPr>
          <w:p w:rsidR="002341D0" w:rsidRPr="006A65C9" w:rsidRDefault="002341D0" w:rsidP="00462C37">
            <w:pPr>
              <w:pStyle w:val="Tabletext"/>
              <w:widowControl w:val="0"/>
              <w:jc w:val="center"/>
            </w:pPr>
            <w:r w:rsidRPr="006A65C9">
              <w:t>$</w:t>
            </w:r>
            <w:r w:rsidR="006C3115">
              <w:rPr>
                <w:rFonts w:cs="Arial"/>
                <w:noProof/>
                <w:color w:val="000000"/>
                <w:szCs w:val="20"/>
                <w:highlight w:val="black"/>
              </w:rPr>
              <w:t>''''''''''''''''</w:t>
            </w:r>
            <w:r w:rsidR="006F0510">
              <w:rPr>
                <w:vertAlign w:val="superscript"/>
              </w:rPr>
              <w:t>3</w:t>
            </w:r>
          </w:p>
        </w:tc>
        <w:tc>
          <w:tcPr>
            <w:tcW w:w="1533" w:type="dxa"/>
            <w:tcBorders>
              <w:top w:val="single" w:sz="4" w:space="0" w:color="auto"/>
              <w:left w:val="nil"/>
              <w:bottom w:val="single" w:sz="4" w:space="0" w:color="auto"/>
              <w:right w:val="single" w:sz="4" w:space="0" w:color="auto"/>
            </w:tcBorders>
            <w:shd w:val="clear" w:color="auto" w:fill="auto"/>
            <w:vAlign w:val="bottom"/>
          </w:tcPr>
          <w:p w:rsidR="002341D0" w:rsidRPr="006A65C9" w:rsidRDefault="002341D0" w:rsidP="00462C37">
            <w:pPr>
              <w:pStyle w:val="Tabletext"/>
              <w:widowControl w:val="0"/>
              <w:jc w:val="center"/>
            </w:pPr>
            <w:r w:rsidRPr="006A65C9">
              <w:t>50.5%</w:t>
            </w:r>
          </w:p>
        </w:tc>
      </w:tr>
      <w:tr w:rsidR="006F5A27" w:rsidRPr="006F5A27" w:rsidTr="003D7335">
        <w:trPr>
          <w:cantSplit/>
          <w:trHeight w:val="129"/>
        </w:trPr>
        <w:tc>
          <w:tcPr>
            <w:tcW w:w="9117" w:type="dxa"/>
            <w:gridSpan w:val="5"/>
            <w:tcBorders>
              <w:top w:val="single" w:sz="4" w:space="0" w:color="auto"/>
              <w:left w:val="single" w:sz="4" w:space="0" w:color="auto"/>
              <w:bottom w:val="single" w:sz="4" w:space="0" w:color="auto"/>
              <w:right w:val="single" w:sz="4" w:space="0" w:color="auto"/>
            </w:tcBorders>
            <w:vAlign w:val="center"/>
          </w:tcPr>
          <w:p w:rsidR="006F5A27" w:rsidRPr="006F5A27" w:rsidRDefault="006F5A27" w:rsidP="00462C37">
            <w:pPr>
              <w:pStyle w:val="Tabletext"/>
              <w:widowControl w:val="0"/>
              <w:rPr>
                <w:b/>
                <w:iCs/>
                <w:szCs w:val="20"/>
              </w:rPr>
            </w:pPr>
            <w:r w:rsidRPr="006F5A27">
              <w:rPr>
                <w:b/>
                <w:iCs/>
                <w:szCs w:val="20"/>
              </w:rPr>
              <w:t>Pre-PBAC revised base case – inclusion of AEMP of $</w:t>
            </w:r>
            <w:r w:rsidR="006C3115">
              <w:rPr>
                <w:b/>
                <w:iCs/>
                <w:noProof/>
                <w:color w:val="000000"/>
                <w:szCs w:val="20"/>
                <w:highlight w:val="black"/>
              </w:rPr>
              <w:t>''''''''''''''''''</w:t>
            </w:r>
          </w:p>
        </w:tc>
      </w:tr>
      <w:tr w:rsidR="006F5A27" w:rsidRPr="00470FAC" w:rsidTr="003D7335">
        <w:trPr>
          <w:cantSplit/>
          <w:trHeight w:val="129"/>
        </w:trPr>
        <w:tc>
          <w:tcPr>
            <w:tcW w:w="9117" w:type="dxa"/>
            <w:gridSpan w:val="5"/>
            <w:tcBorders>
              <w:top w:val="single" w:sz="4" w:space="0" w:color="auto"/>
              <w:left w:val="single" w:sz="4" w:space="0" w:color="auto"/>
              <w:bottom w:val="single" w:sz="4" w:space="0" w:color="auto"/>
              <w:right w:val="single" w:sz="4" w:space="0" w:color="auto"/>
            </w:tcBorders>
            <w:vAlign w:val="center"/>
          </w:tcPr>
          <w:p w:rsidR="006F5A27" w:rsidRPr="006A65C9" w:rsidRDefault="006F5A27" w:rsidP="00462C37">
            <w:pPr>
              <w:pStyle w:val="Tabletext"/>
              <w:widowControl w:val="0"/>
            </w:pPr>
            <w:r w:rsidRPr="006A65C9">
              <w:t>mCRPC utility and Use of KM data in OS arm (base case: 0.560 and until 54 months)</w:t>
            </w:r>
          </w:p>
        </w:tc>
      </w:tr>
      <w:tr w:rsidR="006F5A27" w:rsidRPr="00470FAC" w:rsidTr="003D7335">
        <w:trPr>
          <w:cantSplit/>
          <w:trHeight w:val="129"/>
        </w:trPr>
        <w:tc>
          <w:tcPr>
            <w:tcW w:w="3416" w:type="dxa"/>
            <w:tcBorders>
              <w:top w:val="single" w:sz="4" w:space="0" w:color="auto"/>
              <w:left w:val="single" w:sz="4" w:space="0" w:color="auto"/>
              <w:bottom w:val="single" w:sz="4" w:space="0" w:color="auto"/>
              <w:right w:val="single" w:sz="4" w:space="0" w:color="auto"/>
            </w:tcBorders>
            <w:vAlign w:val="center"/>
          </w:tcPr>
          <w:p w:rsidR="006F5A27" w:rsidRPr="006A65C9" w:rsidRDefault="006F5A27" w:rsidP="00462C37">
            <w:pPr>
              <w:pStyle w:val="Tabletext"/>
              <w:widowControl w:val="0"/>
              <w:tabs>
                <w:tab w:val="left" w:pos="142"/>
              </w:tabs>
              <w:ind w:left="105" w:firstLine="142"/>
              <w:rPr>
                <w:iCs/>
              </w:rPr>
            </w:pPr>
            <w:r w:rsidRPr="006A65C9">
              <w:t>0.635 and until 42 months</w:t>
            </w:r>
          </w:p>
        </w:tc>
        <w:tc>
          <w:tcPr>
            <w:tcW w:w="1189" w:type="dxa"/>
            <w:tcBorders>
              <w:top w:val="single" w:sz="4" w:space="0" w:color="auto"/>
              <w:left w:val="single" w:sz="4" w:space="0" w:color="auto"/>
              <w:bottom w:val="single" w:sz="4" w:space="0" w:color="auto"/>
              <w:right w:val="single" w:sz="4" w:space="0" w:color="auto"/>
            </w:tcBorders>
            <w:vAlign w:val="center"/>
          </w:tcPr>
          <w:p w:rsidR="006F5A27" w:rsidRPr="006A65C9" w:rsidRDefault="006F5A27" w:rsidP="00462C37">
            <w:pPr>
              <w:jc w:val="center"/>
              <w:rPr>
                <w:rFonts w:ascii="Arial Narrow" w:hAnsi="Arial Narrow" w:cs="Calibri"/>
                <w:iCs/>
                <w:color w:val="000000"/>
                <w:sz w:val="20"/>
                <w:szCs w:val="20"/>
              </w:rPr>
            </w:pPr>
            <w:r w:rsidRPr="006A65C9">
              <w:rPr>
                <w:rFonts w:ascii="Arial Narrow" w:hAnsi="Arial Narrow"/>
                <w:noProof/>
                <w:sz w:val="20"/>
                <w:szCs w:val="20"/>
              </w:rPr>
              <w:t>$</w:t>
            </w:r>
            <w:r w:rsidR="006C3115">
              <w:rPr>
                <w:rFonts w:ascii="Arial Narrow" w:hAnsi="Arial Narrow"/>
                <w:noProof/>
                <w:snapToGrid w:val="0"/>
                <w:color w:val="000000"/>
                <w:sz w:val="20"/>
                <w:szCs w:val="20"/>
                <w:highlight w:val="black"/>
              </w:rPr>
              <w:t>''''''''''''''''</w:t>
            </w:r>
          </w:p>
        </w:tc>
        <w:tc>
          <w:tcPr>
            <w:tcW w:w="1190" w:type="dxa"/>
            <w:tcBorders>
              <w:top w:val="single" w:sz="4" w:space="0" w:color="auto"/>
              <w:left w:val="single" w:sz="4" w:space="0" w:color="auto"/>
              <w:bottom w:val="single" w:sz="4" w:space="0" w:color="auto"/>
              <w:right w:val="single" w:sz="4" w:space="0" w:color="auto"/>
            </w:tcBorders>
            <w:vAlign w:val="center"/>
          </w:tcPr>
          <w:p w:rsidR="006F5A27" w:rsidRPr="006A65C9" w:rsidRDefault="006F5A27" w:rsidP="00462C37">
            <w:pPr>
              <w:jc w:val="center"/>
              <w:rPr>
                <w:rFonts w:ascii="Arial Narrow" w:hAnsi="Arial Narrow" w:cs="Calibri"/>
                <w:iCs/>
                <w:color w:val="000000"/>
                <w:sz w:val="20"/>
                <w:szCs w:val="20"/>
              </w:rPr>
            </w:pPr>
            <w:r w:rsidRPr="006A65C9">
              <w:rPr>
                <w:rFonts w:ascii="Arial Narrow" w:hAnsi="Arial Narrow"/>
                <w:color w:val="000000"/>
                <w:sz w:val="20"/>
                <w:szCs w:val="20"/>
              </w:rPr>
              <w:t>0.76</w:t>
            </w:r>
          </w:p>
        </w:tc>
        <w:tc>
          <w:tcPr>
            <w:tcW w:w="1789" w:type="dxa"/>
            <w:tcBorders>
              <w:top w:val="single" w:sz="4" w:space="0" w:color="auto"/>
              <w:left w:val="single" w:sz="4" w:space="0" w:color="auto"/>
              <w:bottom w:val="single" w:sz="4" w:space="0" w:color="auto"/>
              <w:right w:val="single" w:sz="4" w:space="0" w:color="auto"/>
            </w:tcBorders>
            <w:vAlign w:val="center"/>
          </w:tcPr>
          <w:p w:rsidR="006F5A27" w:rsidRPr="006A65C9" w:rsidRDefault="006F5A27" w:rsidP="00462C37">
            <w:pPr>
              <w:pStyle w:val="Tabletext"/>
              <w:widowControl w:val="0"/>
              <w:jc w:val="center"/>
              <w:rPr>
                <w:rFonts w:cs="Arial"/>
                <w:snapToGrid/>
                <w:color w:val="000000"/>
                <w:szCs w:val="20"/>
              </w:rPr>
            </w:pPr>
            <w:r w:rsidRPr="006A65C9">
              <w:rPr>
                <w:rFonts w:cs="Arial"/>
                <w:snapToGrid/>
                <w:color w:val="000000"/>
                <w:szCs w:val="20"/>
              </w:rPr>
              <w:t>$</w:t>
            </w:r>
            <w:r w:rsidR="006C3115">
              <w:rPr>
                <w:rFonts w:cs="Arial"/>
                <w:noProof/>
                <w:color w:val="000000"/>
                <w:szCs w:val="20"/>
                <w:highlight w:val="black"/>
              </w:rPr>
              <w:t>''''''''''''''''</w:t>
            </w:r>
            <w:r w:rsidR="006F0510">
              <w:rPr>
                <w:vertAlign w:val="superscript"/>
              </w:rPr>
              <w:t>1</w:t>
            </w:r>
          </w:p>
        </w:tc>
        <w:tc>
          <w:tcPr>
            <w:tcW w:w="1533" w:type="dxa"/>
            <w:tcBorders>
              <w:top w:val="single" w:sz="4" w:space="0" w:color="auto"/>
              <w:left w:val="single" w:sz="4" w:space="0" w:color="auto"/>
              <w:bottom w:val="single" w:sz="4" w:space="0" w:color="auto"/>
              <w:right w:val="single" w:sz="4" w:space="0" w:color="auto"/>
            </w:tcBorders>
            <w:vAlign w:val="center"/>
          </w:tcPr>
          <w:p w:rsidR="006F5A27" w:rsidRPr="006A65C9" w:rsidRDefault="007D3626" w:rsidP="00462C37">
            <w:pPr>
              <w:pStyle w:val="Tabletext"/>
              <w:widowControl w:val="0"/>
              <w:jc w:val="center"/>
              <w:rPr>
                <w:iCs/>
                <w:szCs w:val="20"/>
              </w:rPr>
            </w:pPr>
            <w:r>
              <w:rPr>
                <w:rFonts w:cs="Arial"/>
                <w:snapToGrid/>
                <w:color w:val="000000"/>
                <w:szCs w:val="20"/>
              </w:rPr>
              <w:t>-3.4</w:t>
            </w:r>
            <w:r w:rsidR="006F5A27" w:rsidRPr="006A65C9">
              <w:rPr>
                <w:rFonts w:cs="Arial"/>
                <w:snapToGrid/>
                <w:color w:val="000000"/>
                <w:szCs w:val="20"/>
              </w:rPr>
              <w:t>%</w:t>
            </w:r>
          </w:p>
        </w:tc>
      </w:tr>
    </w:tbl>
    <w:p w:rsidR="00AD39DD" w:rsidRPr="00470FAC" w:rsidRDefault="00AD39DD" w:rsidP="00462C37">
      <w:pPr>
        <w:pStyle w:val="TableFooter"/>
        <w:keepLines/>
        <w:rPr>
          <w:lang w:eastAsia="en-GB"/>
        </w:rPr>
      </w:pPr>
      <w:r w:rsidRPr="00470FAC">
        <w:lastRenderedPageBreak/>
        <w:t>Source: Table 3-35 of the resubmission and ‘DARO_Section3Model_November2020’.</w:t>
      </w:r>
    </w:p>
    <w:p w:rsidR="00AD39DD" w:rsidRPr="00470FAC" w:rsidRDefault="00AD39DD" w:rsidP="00462C37">
      <w:pPr>
        <w:pStyle w:val="TableFooter"/>
        <w:keepLines/>
      </w:pPr>
      <w:r w:rsidRPr="00470FAC">
        <w:t>CI = confidence interval; HR = hazard ratio; ICER = incremental cost-effectiveness ratio; IPE = iterative parameter estimation; mCRPC = metastatic castration resistant prostate cancer; MFS = metastasis-free survival; OS</w:t>
      </w:r>
      <w:r w:rsidR="00A0290C" w:rsidRPr="00470FAC">
        <w:t xml:space="preserve"> </w:t>
      </w:r>
      <w:r w:rsidRPr="00470FAC">
        <w:t>=</w:t>
      </w:r>
      <w:r w:rsidR="00A0290C" w:rsidRPr="00470FAC">
        <w:t xml:space="preserve"> </w:t>
      </w:r>
      <w:r w:rsidRPr="00470FAC">
        <w:t>overall survival; QALY = quality adjusted life year; SOC = standard of care; TTD = time to treatment discontinuation</w:t>
      </w:r>
    </w:p>
    <w:p w:rsidR="00AD39DD" w:rsidRPr="00470FAC" w:rsidRDefault="00AD39DD" w:rsidP="00462C37">
      <w:pPr>
        <w:pStyle w:val="TableFooter"/>
        <w:keepLines/>
      </w:pPr>
      <w:r w:rsidRPr="00470FAC">
        <w:t>Italics indicate sensitivity analysis conducted during the evaluation.</w:t>
      </w:r>
    </w:p>
    <w:p w:rsidR="00D30CBE" w:rsidRPr="00470FAC" w:rsidRDefault="00D30CBE" w:rsidP="00462C37">
      <w:pPr>
        <w:pStyle w:val="TableFooter"/>
        <w:keepLines/>
      </w:pPr>
      <w:r w:rsidRPr="00470FAC">
        <w:rPr>
          <w:vertAlign w:val="superscript"/>
        </w:rPr>
        <w:t xml:space="preserve">a </w:t>
      </w:r>
      <w:r w:rsidRPr="00470FAC">
        <w:t>The following cells were changed: ‘Inputs’ F62 was changed from 54 to 42; ‘Inputs’ F55 was changed to 3.5</w:t>
      </w:r>
    </w:p>
    <w:p w:rsidR="00D30CBE" w:rsidRDefault="00D30CBE" w:rsidP="00462C37">
      <w:pPr>
        <w:pStyle w:val="TableFooter"/>
        <w:keepLines/>
      </w:pPr>
      <w:r w:rsidRPr="00470FAC">
        <w:rPr>
          <w:vertAlign w:val="superscript"/>
        </w:rPr>
        <w:t xml:space="preserve">b </w:t>
      </w:r>
      <w:r w:rsidRPr="00470FAC">
        <w:t>The following cells were changed: ‘Inputs’ F62 was changed from 54 to 44; ‘Inputs’ F55 was changed to 3.667</w:t>
      </w:r>
    </w:p>
    <w:p w:rsidR="006F0510" w:rsidRDefault="006F0510" w:rsidP="00462C37">
      <w:pPr>
        <w:pStyle w:val="TableFooter"/>
        <w:keepLines/>
        <w:rPr>
          <w:i/>
        </w:rPr>
      </w:pPr>
      <w:r w:rsidRPr="009868C4">
        <w:rPr>
          <w:i/>
        </w:rPr>
        <w:t>The redacted values correspond to the following ranges</w:t>
      </w:r>
      <w:r>
        <w:rPr>
          <w:i/>
        </w:rPr>
        <w:t>:</w:t>
      </w:r>
    </w:p>
    <w:p w:rsidR="006F0510" w:rsidRPr="006F0510" w:rsidRDefault="006F0510" w:rsidP="00462C37">
      <w:pPr>
        <w:pStyle w:val="TableFooter"/>
        <w:keepLines/>
        <w:rPr>
          <w:i/>
        </w:rPr>
      </w:pPr>
      <w:r w:rsidRPr="006F0510">
        <w:rPr>
          <w:i/>
          <w:vertAlign w:val="superscript"/>
        </w:rPr>
        <w:t xml:space="preserve">1 </w:t>
      </w:r>
      <w:r w:rsidRPr="006F0510">
        <w:rPr>
          <w:i/>
        </w:rPr>
        <w:t>$45,000 to &lt; $55,000</w:t>
      </w:r>
    </w:p>
    <w:p w:rsidR="006F0510" w:rsidRPr="006F0510" w:rsidRDefault="006F0510" w:rsidP="00462C37">
      <w:pPr>
        <w:pStyle w:val="TableFooter"/>
        <w:keepLines/>
        <w:rPr>
          <w:i/>
        </w:rPr>
      </w:pPr>
      <w:r w:rsidRPr="006F0510">
        <w:rPr>
          <w:i/>
          <w:vertAlign w:val="superscript"/>
        </w:rPr>
        <w:t xml:space="preserve">2 </w:t>
      </w:r>
      <w:r w:rsidRPr="006F0510">
        <w:rPr>
          <w:i/>
        </w:rPr>
        <w:t>$35,000 to &lt; $45,000</w:t>
      </w:r>
    </w:p>
    <w:p w:rsidR="006F0510" w:rsidRPr="006F0510" w:rsidRDefault="006F0510" w:rsidP="00462C37">
      <w:pPr>
        <w:pStyle w:val="TableFooter"/>
        <w:keepLines/>
        <w:rPr>
          <w:i/>
        </w:rPr>
      </w:pPr>
      <w:r w:rsidRPr="006F0510">
        <w:rPr>
          <w:i/>
          <w:vertAlign w:val="superscript"/>
        </w:rPr>
        <w:t xml:space="preserve">3 </w:t>
      </w:r>
      <w:r w:rsidRPr="006F0510">
        <w:rPr>
          <w:i/>
        </w:rPr>
        <w:t>$55,000 to &lt; $75,000</w:t>
      </w:r>
    </w:p>
    <w:p w:rsidR="006F0510" w:rsidRPr="006F0510" w:rsidRDefault="006F0510" w:rsidP="00462C37">
      <w:pPr>
        <w:pStyle w:val="TableFooter"/>
        <w:keepLines/>
        <w:rPr>
          <w:i/>
        </w:rPr>
      </w:pPr>
      <w:r w:rsidRPr="006F0510">
        <w:rPr>
          <w:i/>
          <w:vertAlign w:val="superscript"/>
        </w:rPr>
        <w:t xml:space="preserve">4 </w:t>
      </w:r>
      <w:r w:rsidRPr="006F0510">
        <w:rPr>
          <w:i/>
        </w:rPr>
        <w:t>$75,000 to &lt; $95,000</w:t>
      </w:r>
    </w:p>
    <w:p w:rsidR="00AD39DD" w:rsidRDefault="00AD39DD" w:rsidP="00F10FFE">
      <w:pPr>
        <w:rPr>
          <w:lang w:val="en-US"/>
        </w:rPr>
      </w:pPr>
    </w:p>
    <w:p w:rsidR="00FC736B" w:rsidRPr="006A65C9" w:rsidRDefault="00FC736B" w:rsidP="006F0510">
      <w:pPr>
        <w:pStyle w:val="3-BodyText"/>
        <w:rPr>
          <w:lang w:val="en-US"/>
        </w:rPr>
      </w:pPr>
      <w:r w:rsidRPr="006A65C9">
        <w:rPr>
          <w:lang w:val="en-US"/>
        </w:rPr>
        <w:t>The ESC noted a multivariate sensitivity analysis which</w:t>
      </w:r>
      <w:r w:rsidR="004559E1" w:rsidRPr="006A65C9">
        <w:rPr>
          <w:lang w:val="en-US"/>
        </w:rPr>
        <w:t xml:space="preserve"> applied a </w:t>
      </w:r>
      <w:r w:rsidR="004559E1" w:rsidRPr="006A65C9">
        <w:t>mCRPC utility of 0.635</w:t>
      </w:r>
      <w:r w:rsidR="00BC716C" w:rsidRPr="006A65C9">
        <w:t>,</w:t>
      </w:r>
      <w:r w:rsidR="004559E1" w:rsidRPr="006A65C9">
        <w:t xml:space="preserve"> Kaplan-Meier</w:t>
      </w:r>
      <w:r w:rsidR="00542C04" w:rsidRPr="006A65C9">
        <w:t xml:space="preserve"> data until a</w:t>
      </w:r>
      <w:r w:rsidR="00BC716C" w:rsidRPr="006A65C9">
        <w:t>pproximately</w:t>
      </w:r>
      <w:r w:rsidR="00542C04" w:rsidRPr="006A65C9">
        <w:t xml:space="preserve"> </w:t>
      </w:r>
      <w:r w:rsidR="004559E1" w:rsidRPr="006A65C9">
        <w:t xml:space="preserve">20% of patients </w:t>
      </w:r>
      <w:r w:rsidR="00542C04" w:rsidRPr="006A65C9">
        <w:t>remain</w:t>
      </w:r>
      <w:r w:rsidR="004559E1" w:rsidRPr="006A65C9">
        <w:t xml:space="preserve"> at risk and a time horizon of 7.5 years</w:t>
      </w:r>
      <w:r w:rsidR="00BC716C" w:rsidRPr="006A65C9">
        <w:t xml:space="preserve"> and which resulted in an ICER of </w:t>
      </w:r>
      <w:r w:rsidR="006F0510" w:rsidRPr="006F0510">
        <w:t xml:space="preserve">$55,000 to &lt; $75,000 </w:t>
      </w:r>
      <w:r w:rsidR="00BC716C" w:rsidRPr="006A65C9">
        <w:t>per QALY</w:t>
      </w:r>
      <w:r w:rsidR="00F36561" w:rsidRPr="006A65C9">
        <w:t xml:space="preserve">. The ESC </w:t>
      </w:r>
      <w:r w:rsidR="00A41522" w:rsidRPr="006A65C9">
        <w:rPr>
          <w:lang w:val="en-US"/>
        </w:rPr>
        <w:t>considered this should be the revised base case</w:t>
      </w:r>
      <w:r w:rsidR="004559E1" w:rsidRPr="006A65C9">
        <w:t xml:space="preserve">. </w:t>
      </w:r>
      <w:r w:rsidRPr="006A65C9">
        <w:rPr>
          <w:lang w:val="en-US"/>
        </w:rPr>
        <w:t xml:space="preserve">The ESC noted that a price reduction of </w:t>
      </w:r>
      <w:r w:rsidR="00BC716C" w:rsidRPr="006A65C9">
        <w:rPr>
          <w:lang w:val="en-US"/>
        </w:rPr>
        <w:t xml:space="preserve">approximately </w:t>
      </w:r>
      <w:r w:rsidR="00542C04" w:rsidRPr="006A65C9">
        <w:rPr>
          <w:lang w:val="en-US"/>
        </w:rPr>
        <w:t>31</w:t>
      </w:r>
      <w:r w:rsidRPr="006A65C9">
        <w:rPr>
          <w:lang w:val="en-US"/>
        </w:rPr>
        <w:t xml:space="preserve">% would be required to achieve an ICER of around </w:t>
      </w:r>
      <w:r w:rsidR="006F0510" w:rsidRPr="006F0510">
        <w:rPr>
          <w:lang w:val="en-US"/>
        </w:rPr>
        <w:t>$45,000 to &lt; $55,000</w:t>
      </w:r>
      <w:r w:rsidR="006F0510">
        <w:rPr>
          <w:lang w:val="en-US"/>
        </w:rPr>
        <w:t xml:space="preserve"> </w:t>
      </w:r>
      <w:r w:rsidRPr="006A65C9">
        <w:rPr>
          <w:lang w:val="en-US"/>
        </w:rPr>
        <w:t>per QALY with this base case</w:t>
      </w:r>
      <w:r w:rsidR="008045AE" w:rsidRPr="006A65C9">
        <w:rPr>
          <w:lang w:val="en-US"/>
        </w:rPr>
        <w:t xml:space="preserve"> (using the effective prices assumed in the submission)</w:t>
      </w:r>
      <w:r w:rsidRPr="006A65C9">
        <w:rPr>
          <w:lang w:val="en-US"/>
        </w:rPr>
        <w:t xml:space="preserve">. </w:t>
      </w:r>
      <w:r w:rsidR="007D3626">
        <w:rPr>
          <w:lang w:val="en-US"/>
        </w:rPr>
        <w:t xml:space="preserve">The pre-PBAC </w:t>
      </w:r>
      <w:r w:rsidR="00283C55">
        <w:rPr>
          <w:lang w:val="en-US"/>
        </w:rPr>
        <w:t>accepted the changes to the mCRPC utility and the application of the Kaplan-Meier data and applied the revised AEMP $</w:t>
      </w:r>
      <w:r w:rsidR="006C3115">
        <w:rPr>
          <w:noProof/>
          <w:color w:val="000000"/>
          <w:highlight w:val="black"/>
          <w:lang w:val="en-US"/>
        </w:rPr>
        <w:t>'''''''''''''''''</w:t>
      </w:r>
      <w:r w:rsidR="00283C55">
        <w:rPr>
          <w:lang w:val="en-US"/>
        </w:rPr>
        <w:t xml:space="preserve">, resulting in a revised </w:t>
      </w:r>
      <w:r w:rsidR="007D3626">
        <w:rPr>
          <w:lang w:val="en-US"/>
        </w:rPr>
        <w:t xml:space="preserve">base case ICER </w:t>
      </w:r>
      <w:r w:rsidR="00283C55">
        <w:rPr>
          <w:lang w:val="en-US"/>
        </w:rPr>
        <w:t>of</w:t>
      </w:r>
      <w:r w:rsidR="007D3626">
        <w:rPr>
          <w:lang w:val="en-US"/>
        </w:rPr>
        <w:t xml:space="preserve"> </w:t>
      </w:r>
      <w:r w:rsidR="006F0510" w:rsidRPr="006F0510">
        <w:rPr>
          <w:lang w:val="en-US"/>
        </w:rPr>
        <w:t>$45,000 to &lt; $55,000</w:t>
      </w:r>
      <w:r w:rsidR="006F0510">
        <w:rPr>
          <w:lang w:val="en-US"/>
        </w:rPr>
        <w:t xml:space="preserve"> </w:t>
      </w:r>
      <w:r w:rsidR="007D3626">
        <w:rPr>
          <w:lang w:val="en-US"/>
        </w:rPr>
        <w:t>per QALY</w:t>
      </w:r>
      <w:r w:rsidR="00283C55">
        <w:rPr>
          <w:lang w:val="en-US"/>
        </w:rPr>
        <w:t>. The pre-PBAC response did not accept that the time horizon should be 7.5 years, noting that the 10 year time horizon had previously been accepted by the PBAC in the March 2017 consideration of enzalutamide in the mCRPC setting.</w:t>
      </w:r>
    </w:p>
    <w:p w:rsidR="003F4124" w:rsidRPr="006A65C9" w:rsidRDefault="003F4124" w:rsidP="00F820A7">
      <w:pPr>
        <w:pStyle w:val="3-BodyText"/>
      </w:pPr>
      <w:r w:rsidRPr="006A65C9">
        <w:rPr>
          <w:lang w:val="en-US"/>
        </w:rPr>
        <w:t>The</w:t>
      </w:r>
      <w:r w:rsidRPr="006A65C9">
        <w:t xml:space="preserve"> ESC considered that</w:t>
      </w:r>
      <w:r w:rsidR="00F820A7" w:rsidRPr="006A65C9">
        <w:t xml:space="preserve"> darolutamide should cost </w:t>
      </w:r>
      <w:r w:rsidR="00CA1BEB" w:rsidRPr="006A65C9">
        <w:t xml:space="preserve">no </w:t>
      </w:r>
      <w:r w:rsidR="00F820A7" w:rsidRPr="006A65C9">
        <w:t>more (on a cost per day basis) than the existing price of enzalutamide in mCRPC</w:t>
      </w:r>
      <w:r w:rsidRPr="006A65C9">
        <w:t>, given the overlapping places in therapy</w:t>
      </w:r>
      <w:r w:rsidR="00F820A7" w:rsidRPr="006A65C9">
        <w:t xml:space="preserve"> and given that the PBAC has previously considered that darolutamide likely has non-inferior efficacy compared with enzalutamide</w:t>
      </w:r>
      <w:r w:rsidRPr="006A65C9">
        <w:t>.</w:t>
      </w:r>
      <w:r w:rsidR="006F5A27">
        <w:t xml:space="preserve"> The pre-PBAC response acknowledged that there was likely to be some overlap between the places in therapy of darolutamide and enzalutamide, but considered that the extent of this overlap was overstated by ESC</w:t>
      </w:r>
      <w:r w:rsidR="00822004">
        <w:t xml:space="preserve"> (see paragraphs 5.6 and 5.7)</w:t>
      </w:r>
      <w:r w:rsidR="006F5A27">
        <w:t xml:space="preserve">. </w:t>
      </w:r>
    </w:p>
    <w:p w:rsidR="00786729" w:rsidRPr="006A65C9" w:rsidRDefault="00786729" w:rsidP="00A41522">
      <w:pPr>
        <w:pStyle w:val="3-BodyText"/>
      </w:pPr>
      <w:r w:rsidRPr="006A65C9">
        <w:t xml:space="preserve">The </w:t>
      </w:r>
      <w:r w:rsidRPr="006A65C9">
        <w:rPr>
          <w:lang w:val="en-US"/>
        </w:rPr>
        <w:t>ES</w:t>
      </w:r>
      <w:r w:rsidRPr="006A65C9">
        <w:t xml:space="preserve">C noted the challenges of making comparisons across the </w:t>
      </w:r>
      <w:r w:rsidR="00525C4C" w:rsidRPr="006A65C9">
        <w:t xml:space="preserve">darolutamide </w:t>
      </w:r>
      <w:r w:rsidRPr="006A65C9">
        <w:t xml:space="preserve">and </w:t>
      </w:r>
      <w:r w:rsidR="00525C4C" w:rsidRPr="006A65C9">
        <w:t xml:space="preserve">apalutamide </w:t>
      </w:r>
      <w:r w:rsidRPr="006A65C9">
        <w:t xml:space="preserve">submissions. The </w:t>
      </w:r>
      <w:r w:rsidR="00525C4C" w:rsidRPr="006A65C9">
        <w:t>ESC noted that the PBAC had previously considered</w:t>
      </w:r>
      <w:r w:rsidRPr="006A65C9">
        <w:t xml:space="preserve"> that the available comparative evidence suggested that the two drugs are likely to be similarly clinically effective. Accordingly, the </w:t>
      </w:r>
      <w:r w:rsidR="00525C4C" w:rsidRPr="006A65C9">
        <w:t>ES</w:t>
      </w:r>
      <w:r w:rsidRPr="006A65C9">
        <w:t xml:space="preserve">C considered that any difference in incremental </w:t>
      </w:r>
      <w:r w:rsidR="00DA1830" w:rsidRPr="006A65C9">
        <w:t>QALYs</w:t>
      </w:r>
      <w:r w:rsidRPr="006A65C9">
        <w:t xml:space="preserve"> gained between the models contradicted the clinical evidence and was an artefact of the d</w:t>
      </w:r>
      <w:r w:rsidR="00525C4C" w:rsidRPr="006A65C9">
        <w:t>ifferent modelling approaches</w:t>
      </w:r>
      <w:r w:rsidR="0098117F" w:rsidRPr="006A65C9">
        <w:t>, including</w:t>
      </w:r>
      <w:r w:rsidR="00234AFC" w:rsidRPr="006A65C9">
        <w:t xml:space="preserve"> variability in the input parameters</w:t>
      </w:r>
      <w:r w:rsidR="00525C4C" w:rsidRPr="006A65C9">
        <w:t xml:space="preserve">. The ESC considered that the only inputs that should result in a difference in the cost-effectiveness of darolutamide and apalutamide </w:t>
      </w:r>
      <w:r w:rsidR="00D66046" w:rsidRPr="006A65C9">
        <w:t>we</w:t>
      </w:r>
      <w:r w:rsidR="00525C4C" w:rsidRPr="006A65C9">
        <w:t>re the proposed drug costs and, potentially, any differences in costs or quality of life associated with differences in comparative safety.</w:t>
      </w:r>
    </w:p>
    <w:p w:rsidR="00C25D9C" w:rsidRDefault="00C25D9C" w:rsidP="00BB732D">
      <w:pPr>
        <w:pStyle w:val="4-SubsectionHeading"/>
      </w:pPr>
      <w:bookmarkStart w:id="24" w:name="_Toc22897646"/>
      <w:bookmarkStart w:id="25" w:name="_Toc62023476"/>
      <w:r w:rsidRPr="002C2775">
        <w:lastRenderedPageBreak/>
        <w:t>Drug cost</w:t>
      </w:r>
      <w:r w:rsidR="00A0290C">
        <w:t>/</w:t>
      </w:r>
      <w:r w:rsidRPr="002C2775">
        <w:t>patient</w:t>
      </w:r>
      <w:r w:rsidR="00A0290C">
        <w:t>/course</w:t>
      </w:r>
      <w:bookmarkEnd w:id="24"/>
      <w:bookmarkEnd w:id="25"/>
    </w:p>
    <w:p w:rsidR="00A0290C" w:rsidRPr="00AD39DD" w:rsidRDefault="00A0290C" w:rsidP="00A41522">
      <w:pPr>
        <w:pStyle w:val="3-BodyText"/>
        <w:keepNext/>
        <w:keepLines/>
        <w:rPr>
          <w:b/>
          <w:bCs/>
          <w:color w:val="0066FF"/>
          <w:lang w:val="en-US"/>
        </w:rPr>
      </w:pPr>
      <w:r>
        <w:rPr>
          <w:iCs/>
        </w:rPr>
        <w:t>The intervention costs per patient per month and per course of treatment are provided below.</w:t>
      </w:r>
    </w:p>
    <w:p w:rsidR="00A0290C" w:rsidRPr="00D6435A" w:rsidRDefault="00A0290C" w:rsidP="00A41522">
      <w:pPr>
        <w:keepNext/>
        <w:keepLines/>
        <w:rPr>
          <w:rStyle w:val="CommentReference"/>
        </w:rPr>
      </w:pPr>
      <w:r w:rsidRPr="00D6435A">
        <w:rPr>
          <w:rFonts w:ascii="Arial Narrow" w:hAnsi="Arial Narrow"/>
          <w:b/>
          <w:sz w:val="20"/>
          <w:szCs w:val="20"/>
        </w:rPr>
        <w:t xml:space="preserve">Table </w:t>
      </w:r>
      <w:r>
        <w:rPr>
          <w:rFonts w:ascii="Arial Narrow" w:hAnsi="Arial Narrow"/>
          <w:b/>
          <w:sz w:val="20"/>
          <w:szCs w:val="20"/>
        </w:rPr>
        <w:t>1</w:t>
      </w:r>
      <w:r w:rsidR="000C08E6">
        <w:rPr>
          <w:rFonts w:ascii="Arial Narrow" w:hAnsi="Arial Narrow"/>
          <w:b/>
          <w:sz w:val="20"/>
          <w:szCs w:val="20"/>
        </w:rPr>
        <w:t>6</w:t>
      </w:r>
      <w:r w:rsidRPr="00D6435A">
        <w:rPr>
          <w:rFonts w:ascii="Arial Narrow" w:hAnsi="Arial Narrow"/>
          <w:b/>
          <w:sz w:val="20"/>
          <w:szCs w:val="20"/>
        </w:rPr>
        <w:t>:  Intervention costs</w:t>
      </w:r>
      <w:r w:rsidRPr="00D6435A">
        <w:rPr>
          <w:rFonts w:ascii="Arial Narrow" w:hAnsi="Arial Narrow"/>
          <w:b/>
          <w:sz w:val="20"/>
          <w:szCs w:val="20"/>
          <w:vertAlign w:val="superscript"/>
        </w:rPr>
        <w:t>a</w:t>
      </w:r>
      <w:r w:rsidRPr="00D6435A">
        <w:rPr>
          <w:rFonts w:ascii="Arial Narrow" w:hAnsi="Arial Narrow"/>
          <w:b/>
          <w:sz w:val="20"/>
          <w:szCs w:val="20"/>
        </w:rPr>
        <w:t xml:space="preserve"> per patient across one month and model duration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59"/>
        <w:gridCol w:w="2079"/>
        <w:gridCol w:w="2366"/>
        <w:gridCol w:w="2213"/>
      </w:tblGrid>
      <w:tr w:rsidR="00A0290C" w:rsidRPr="00657AFE" w:rsidTr="00E10485">
        <w:tc>
          <w:tcPr>
            <w:tcW w:w="1308" w:type="pct"/>
            <w:vMerge w:val="restart"/>
            <w:tcBorders>
              <w:top w:val="single" w:sz="4" w:space="0" w:color="auto"/>
              <w:left w:val="single" w:sz="4" w:space="0" w:color="auto"/>
              <w:bottom w:val="single" w:sz="4" w:space="0" w:color="auto"/>
              <w:right w:val="single" w:sz="4" w:space="0" w:color="auto"/>
            </w:tcBorders>
            <w:vAlign w:val="center"/>
          </w:tcPr>
          <w:p w:rsidR="00A0290C" w:rsidRPr="00470FAC" w:rsidRDefault="00A0290C" w:rsidP="00A41522">
            <w:pPr>
              <w:keepNext/>
              <w:keepLines/>
              <w:jc w:val="left"/>
              <w:rPr>
                <w:lang w:val="en-US"/>
              </w:rPr>
            </w:pPr>
          </w:p>
        </w:tc>
        <w:tc>
          <w:tcPr>
            <w:tcW w:w="3692" w:type="pct"/>
            <w:gridSpan w:val="3"/>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center"/>
              <w:rPr>
                <w:rFonts w:ascii="Arial Narrow" w:hAnsi="Arial Narrow"/>
                <w:b/>
                <w:sz w:val="20"/>
                <w:lang w:val="en-US"/>
              </w:rPr>
            </w:pPr>
            <w:r w:rsidRPr="00470FAC">
              <w:rPr>
                <w:rFonts w:ascii="Arial Narrow" w:hAnsi="Arial Narrow"/>
                <w:b/>
                <w:sz w:val="20"/>
                <w:lang w:val="en-US"/>
              </w:rPr>
              <w:t>Darolutamide</w:t>
            </w:r>
          </w:p>
        </w:tc>
      </w:tr>
      <w:tr w:rsidR="00A0290C" w:rsidRPr="00657AFE" w:rsidTr="00E10485">
        <w:tc>
          <w:tcPr>
            <w:tcW w:w="1308" w:type="pct"/>
            <w:vMerge/>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left"/>
              <w:rPr>
                <w:lang w:val="en-US" w:eastAsia="en-GB"/>
              </w:rPr>
            </w:pPr>
          </w:p>
        </w:tc>
        <w:tc>
          <w:tcPr>
            <w:tcW w:w="1153"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center"/>
              <w:rPr>
                <w:rFonts w:ascii="Arial Narrow" w:hAnsi="Arial Narrow"/>
                <w:b/>
                <w:sz w:val="20"/>
                <w:lang w:val="en-US"/>
              </w:rPr>
            </w:pPr>
            <w:r w:rsidRPr="00470FAC">
              <w:rPr>
                <w:rFonts w:ascii="Arial Narrow" w:hAnsi="Arial Narrow"/>
                <w:b/>
                <w:sz w:val="20"/>
                <w:lang w:val="en-US"/>
              </w:rPr>
              <w:t>Trial dose and duration</w:t>
            </w:r>
          </w:p>
        </w:tc>
        <w:tc>
          <w:tcPr>
            <w:tcW w:w="1312"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center"/>
              <w:rPr>
                <w:rFonts w:ascii="Arial Narrow" w:hAnsi="Arial Narrow"/>
                <w:b/>
                <w:sz w:val="20"/>
                <w:lang w:val="en-US"/>
              </w:rPr>
            </w:pPr>
            <w:r w:rsidRPr="00470FAC">
              <w:rPr>
                <w:rFonts w:ascii="Arial Narrow" w:hAnsi="Arial Narrow"/>
                <w:b/>
                <w:sz w:val="20"/>
                <w:lang w:val="en-US"/>
              </w:rPr>
              <w:t>Model</w:t>
            </w:r>
          </w:p>
        </w:tc>
        <w:tc>
          <w:tcPr>
            <w:tcW w:w="1227"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center"/>
              <w:rPr>
                <w:rFonts w:ascii="Arial Narrow" w:hAnsi="Arial Narrow"/>
                <w:b/>
                <w:sz w:val="20"/>
                <w:lang w:val="en-US"/>
              </w:rPr>
            </w:pPr>
            <w:r w:rsidRPr="00470FAC">
              <w:rPr>
                <w:rFonts w:ascii="Arial Narrow" w:hAnsi="Arial Narrow"/>
                <w:b/>
                <w:sz w:val="20"/>
                <w:lang w:val="en-US"/>
              </w:rPr>
              <w:t>Financial estimates</w:t>
            </w:r>
          </w:p>
        </w:tc>
      </w:tr>
      <w:tr w:rsidR="00A0290C" w:rsidRPr="00657AFE" w:rsidTr="00E10485">
        <w:tc>
          <w:tcPr>
            <w:tcW w:w="1308"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left"/>
              <w:rPr>
                <w:rFonts w:ascii="Arial Narrow" w:hAnsi="Arial Narrow"/>
                <w:sz w:val="20"/>
                <w:lang w:val="en-US"/>
              </w:rPr>
            </w:pPr>
            <w:r w:rsidRPr="00470FAC">
              <w:rPr>
                <w:rFonts w:ascii="Arial Narrow" w:hAnsi="Arial Narrow"/>
                <w:sz w:val="20"/>
                <w:lang w:val="en-US"/>
              </w:rPr>
              <w:t>Mean dose</w:t>
            </w:r>
          </w:p>
        </w:tc>
        <w:tc>
          <w:tcPr>
            <w:tcW w:w="1153"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center"/>
              <w:rPr>
                <w:rFonts w:ascii="Arial Narrow" w:hAnsi="Arial Narrow"/>
                <w:sz w:val="20"/>
                <w:lang w:val="en-US"/>
              </w:rPr>
            </w:pPr>
            <w:r w:rsidRPr="00470FAC">
              <w:rPr>
                <w:rFonts w:ascii="Arial Narrow" w:hAnsi="Arial Narrow"/>
                <w:sz w:val="20"/>
                <w:lang w:val="en-US"/>
              </w:rPr>
              <w:t>1,186.61 mg/day</w:t>
            </w:r>
          </w:p>
        </w:tc>
        <w:tc>
          <w:tcPr>
            <w:tcW w:w="1312"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center"/>
              <w:rPr>
                <w:rFonts w:ascii="Arial Narrow" w:hAnsi="Arial Narrow"/>
                <w:sz w:val="20"/>
                <w:lang w:val="en-US"/>
              </w:rPr>
            </w:pPr>
            <w:r w:rsidRPr="00470FAC">
              <w:rPr>
                <w:rFonts w:ascii="Arial Narrow" w:hAnsi="Arial Narrow"/>
                <w:sz w:val="20"/>
                <w:lang w:val="en-US"/>
              </w:rPr>
              <w:t>1,</w:t>
            </w:r>
            <w:r w:rsidR="00BD2987" w:rsidRPr="00470FAC">
              <w:rPr>
                <w:rFonts w:ascii="Arial Narrow" w:hAnsi="Arial Narrow"/>
                <w:sz w:val="20"/>
                <w:lang w:val="en-US"/>
              </w:rPr>
              <w:t>186.56</w:t>
            </w:r>
            <w:r w:rsidRPr="00470FAC">
              <w:rPr>
                <w:rFonts w:ascii="Arial Narrow" w:hAnsi="Arial Narrow"/>
                <w:sz w:val="20"/>
                <w:lang w:val="en-US"/>
              </w:rPr>
              <w:t xml:space="preserve"> mg/day</w:t>
            </w:r>
            <w:r w:rsidRPr="00470FAC">
              <w:rPr>
                <w:rFonts w:ascii="Arial Narrow" w:hAnsi="Arial Narrow"/>
                <w:sz w:val="20"/>
                <w:vertAlign w:val="superscript"/>
                <w:lang w:val="en-US"/>
              </w:rPr>
              <w:t>a</w:t>
            </w:r>
          </w:p>
        </w:tc>
        <w:tc>
          <w:tcPr>
            <w:tcW w:w="1227"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center"/>
              <w:rPr>
                <w:rFonts w:ascii="Arial Narrow" w:hAnsi="Arial Narrow"/>
                <w:sz w:val="20"/>
                <w:lang w:val="en-US"/>
              </w:rPr>
            </w:pPr>
            <w:r w:rsidRPr="00470FAC">
              <w:rPr>
                <w:rFonts w:ascii="Arial Narrow" w:hAnsi="Arial Narrow"/>
                <w:sz w:val="20"/>
                <w:lang w:val="en-US"/>
              </w:rPr>
              <w:t>1,200 mg/day</w:t>
            </w:r>
            <w:r w:rsidR="00BD2987" w:rsidRPr="00470FAC">
              <w:rPr>
                <w:rFonts w:ascii="Arial Narrow" w:hAnsi="Arial Narrow"/>
                <w:sz w:val="20"/>
                <w:vertAlign w:val="superscript"/>
                <w:lang w:val="en-US"/>
              </w:rPr>
              <w:t>c</w:t>
            </w:r>
          </w:p>
        </w:tc>
      </w:tr>
      <w:tr w:rsidR="00A0290C" w:rsidRPr="00657AFE" w:rsidTr="00E10485">
        <w:tc>
          <w:tcPr>
            <w:tcW w:w="1308"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left"/>
              <w:rPr>
                <w:rFonts w:ascii="Arial Narrow" w:hAnsi="Arial Narrow"/>
                <w:sz w:val="20"/>
                <w:lang w:val="en-US"/>
              </w:rPr>
            </w:pPr>
            <w:r w:rsidRPr="00470FAC">
              <w:rPr>
                <w:rFonts w:ascii="Arial Narrow" w:hAnsi="Arial Narrow"/>
                <w:sz w:val="20"/>
                <w:lang w:val="en-US"/>
              </w:rPr>
              <w:t>Mean duration</w:t>
            </w:r>
          </w:p>
        </w:tc>
        <w:tc>
          <w:tcPr>
            <w:tcW w:w="1153"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center"/>
              <w:rPr>
                <w:rFonts w:ascii="Arial Narrow" w:hAnsi="Arial Narrow"/>
                <w:sz w:val="20"/>
                <w:lang w:val="en-US"/>
              </w:rPr>
            </w:pPr>
            <w:r w:rsidRPr="00470FAC">
              <w:rPr>
                <w:rFonts w:ascii="Arial Narrow" w:hAnsi="Arial Narrow"/>
                <w:sz w:val="20"/>
                <w:lang w:val="en-US"/>
              </w:rPr>
              <w:t>16.79 months</w:t>
            </w:r>
          </w:p>
        </w:tc>
        <w:tc>
          <w:tcPr>
            <w:tcW w:w="1312"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center"/>
              <w:rPr>
                <w:rFonts w:ascii="Arial Narrow" w:hAnsi="Arial Narrow"/>
                <w:sz w:val="20"/>
                <w:lang w:val="en-US"/>
              </w:rPr>
            </w:pPr>
            <w:r w:rsidRPr="00470FAC">
              <w:rPr>
                <w:rFonts w:ascii="Arial Narrow" w:hAnsi="Arial Narrow"/>
                <w:sz w:val="20"/>
                <w:lang w:val="en-US"/>
              </w:rPr>
              <w:t>2.32 years</w:t>
            </w:r>
          </w:p>
        </w:tc>
        <w:tc>
          <w:tcPr>
            <w:tcW w:w="1227"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center"/>
              <w:rPr>
                <w:rFonts w:ascii="Arial Narrow" w:hAnsi="Arial Narrow"/>
                <w:sz w:val="20"/>
                <w:lang w:val="en-US"/>
              </w:rPr>
            </w:pPr>
            <w:r w:rsidRPr="00470FAC">
              <w:rPr>
                <w:rFonts w:ascii="Arial Narrow" w:hAnsi="Arial Narrow"/>
                <w:sz w:val="20"/>
                <w:lang w:val="en-US"/>
              </w:rPr>
              <w:t>NR</w:t>
            </w:r>
            <w:r w:rsidRPr="00470FAC">
              <w:rPr>
                <w:rFonts w:ascii="Arial Narrow" w:hAnsi="Arial Narrow"/>
                <w:sz w:val="20"/>
                <w:vertAlign w:val="superscript"/>
                <w:lang w:val="en-US"/>
              </w:rPr>
              <w:t>b</w:t>
            </w:r>
          </w:p>
        </w:tc>
      </w:tr>
      <w:tr w:rsidR="00A0290C" w:rsidRPr="00657AFE" w:rsidTr="00E10485">
        <w:tc>
          <w:tcPr>
            <w:tcW w:w="1308"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left"/>
              <w:rPr>
                <w:rFonts w:ascii="Arial Narrow" w:hAnsi="Arial Narrow"/>
                <w:sz w:val="20"/>
                <w:lang w:val="en-US"/>
              </w:rPr>
            </w:pPr>
            <w:r w:rsidRPr="00470FAC">
              <w:rPr>
                <w:rFonts w:ascii="Arial Narrow" w:hAnsi="Arial Narrow"/>
                <w:sz w:val="20"/>
                <w:lang w:val="en-US"/>
              </w:rPr>
              <w:t>Total mg administered</w:t>
            </w:r>
          </w:p>
        </w:tc>
        <w:tc>
          <w:tcPr>
            <w:tcW w:w="1153" w:type="pct"/>
            <w:tcBorders>
              <w:top w:val="single" w:sz="4" w:space="0" w:color="auto"/>
              <w:left w:val="single" w:sz="4" w:space="0" w:color="auto"/>
              <w:bottom w:val="single" w:sz="4" w:space="0" w:color="auto"/>
              <w:right w:val="single" w:sz="4" w:space="0" w:color="auto"/>
            </w:tcBorders>
            <w:vAlign w:val="center"/>
            <w:hideMark/>
          </w:tcPr>
          <w:p w:rsidR="00A0290C" w:rsidRPr="003138B2" w:rsidRDefault="00A0290C" w:rsidP="00A41522">
            <w:pPr>
              <w:keepNext/>
              <w:keepLines/>
              <w:jc w:val="center"/>
              <w:rPr>
                <w:rFonts w:ascii="Arial Narrow" w:hAnsi="Arial Narrow"/>
                <w:sz w:val="20"/>
                <w:lang w:val="en-US"/>
              </w:rPr>
            </w:pPr>
            <w:r w:rsidRPr="003138B2">
              <w:rPr>
                <w:rFonts w:ascii="Arial Narrow" w:hAnsi="Arial Narrow"/>
                <w:sz w:val="20"/>
                <w:lang w:val="en-US"/>
              </w:rPr>
              <w:t>606,412 mg</w:t>
            </w:r>
          </w:p>
        </w:tc>
        <w:tc>
          <w:tcPr>
            <w:tcW w:w="1312" w:type="pct"/>
            <w:tcBorders>
              <w:top w:val="single" w:sz="4" w:space="0" w:color="auto"/>
              <w:left w:val="single" w:sz="4" w:space="0" w:color="auto"/>
              <w:bottom w:val="single" w:sz="4" w:space="0" w:color="auto"/>
              <w:right w:val="single" w:sz="4" w:space="0" w:color="auto"/>
            </w:tcBorders>
            <w:vAlign w:val="center"/>
            <w:hideMark/>
          </w:tcPr>
          <w:p w:rsidR="00A0290C" w:rsidRPr="003138B2" w:rsidRDefault="00A0290C" w:rsidP="00A41522">
            <w:pPr>
              <w:keepNext/>
              <w:keepLines/>
              <w:jc w:val="center"/>
              <w:rPr>
                <w:rFonts w:ascii="Arial Narrow" w:hAnsi="Arial Narrow"/>
                <w:sz w:val="20"/>
                <w:lang w:val="en-US"/>
              </w:rPr>
            </w:pPr>
            <w:r w:rsidRPr="003138B2">
              <w:rPr>
                <w:rFonts w:ascii="Arial Narrow" w:hAnsi="Arial Narrow"/>
                <w:sz w:val="20"/>
                <w:lang w:val="en-US"/>
              </w:rPr>
              <w:t>1,005,467 mg</w:t>
            </w:r>
          </w:p>
        </w:tc>
        <w:tc>
          <w:tcPr>
            <w:tcW w:w="1227" w:type="pct"/>
            <w:tcBorders>
              <w:top w:val="single" w:sz="4" w:space="0" w:color="auto"/>
              <w:left w:val="single" w:sz="4" w:space="0" w:color="auto"/>
              <w:bottom w:val="single" w:sz="4" w:space="0" w:color="auto"/>
              <w:right w:val="single" w:sz="4" w:space="0" w:color="auto"/>
            </w:tcBorders>
            <w:vAlign w:val="center"/>
            <w:hideMark/>
          </w:tcPr>
          <w:p w:rsidR="00A0290C" w:rsidRPr="003138B2" w:rsidRDefault="00182556" w:rsidP="00A41522">
            <w:pPr>
              <w:keepNext/>
              <w:keepLines/>
              <w:jc w:val="center"/>
              <w:rPr>
                <w:rFonts w:ascii="Arial Narrow" w:hAnsi="Arial Narrow"/>
                <w:sz w:val="20"/>
                <w:lang w:val="en-US"/>
              </w:rPr>
            </w:pPr>
            <w:r w:rsidRPr="003138B2">
              <w:rPr>
                <w:rFonts w:ascii="Arial Narrow" w:hAnsi="Arial Narrow"/>
                <w:sz w:val="20"/>
                <w:lang w:val="en-US"/>
              </w:rPr>
              <w:t xml:space="preserve">913,920 </w:t>
            </w:r>
            <w:r w:rsidR="00A0290C" w:rsidRPr="003138B2">
              <w:rPr>
                <w:rFonts w:ascii="Arial Narrow" w:hAnsi="Arial Narrow"/>
                <w:sz w:val="20"/>
                <w:lang w:val="en-US"/>
              </w:rPr>
              <w:t>mg</w:t>
            </w:r>
            <w:r w:rsidR="00BD2987" w:rsidRPr="003138B2">
              <w:rPr>
                <w:rFonts w:ascii="Arial Narrow" w:hAnsi="Arial Narrow"/>
                <w:iCs/>
                <w:sz w:val="20"/>
                <w:vertAlign w:val="superscript"/>
                <w:lang w:val="en-US"/>
              </w:rPr>
              <w:t>c</w:t>
            </w:r>
          </w:p>
        </w:tc>
      </w:tr>
      <w:tr w:rsidR="00A0290C" w:rsidRPr="00657AFE" w:rsidTr="00E10485">
        <w:tc>
          <w:tcPr>
            <w:tcW w:w="1308"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left"/>
              <w:rPr>
                <w:rFonts w:ascii="Arial Narrow" w:hAnsi="Arial Narrow"/>
                <w:sz w:val="20"/>
                <w:lang w:val="en-US"/>
              </w:rPr>
            </w:pPr>
            <w:r w:rsidRPr="00470FAC">
              <w:rPr>
                <w:rFonts w:ascii="Arial Narrow" w:hAnsi="Arial Narrow"/>
                <w:sz w:val="20"/>
                <w:lang w:val="en-US"/>
              </w:rPr>
              <w:t>Cost/patient/month</w:t>
            </w:r>
          </w:p>
        </w:tc>
        <w:tc>
          <w:tcPr>
            <w:tcW w:w="1153"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center"/>
              <w:rPr>
                <w:rFonts w:ascii="Arial Narrow" w:hAnsi="Arial Narrow"/>
                <w:sz w:val="20"/>
                <w:lang w:val="en-US"/>
              </w:rPr>
            </w:pPr>
            <w:r w:rsidRPr="00470FAC">
              <w:rPr>
                <w:rFonts w:ascii="Arial Narrow" w:hAnsi="Arial Narrow"/>
                <w:sz w:val="20"/>
                <w:lang w:val="en-US"/>
              </w:rPr>
              <w:t>$</w:t>
            </w:r>
            <w:r w:rsidR="006C3115">
              <w:rPr>
                <w:rFonts w:ascii="Arial Narrow" w:hAnsi="Arial Narrow"/>
                <w:noProof/>
                <w:color w:val="000000"/>
                <w:sz w:val="20"/>
                <w:highlight w:val="black"/>
                <w:lang w:val="en-US"/>
              </w:rPr>
              <w:t>'''''''''''''''''''''</w:t>
            </w:r>
          </w:p>
        </w:tc>
        <w:tc>
          <w:tcPr>
            <w:tcW w:w="1312"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center"/>
              <w:rPr>
                <w:rFonts w:ascii="Arial Narrow" w:hAnsi="Arial Narrow"/>
                <w:sz w:val="20"/>
                <w:lang w:val="en-US"/>
              </w:rPr>
            </w:pPr>
            <w:r w:rsidRPr="00470FAC">
              <w:rPr>
                <w:rFonts w:ascii="Arial Narrow" w:hAnsi="Arial Narrow"/>
                <w:sz w:val="20"/>
                <w:lang w:val="en-US"/>
              </w:rPr>
              <w:t>$</w:t>
            </w:r>
            <w:r w:rsidR="006C3115">
              <w:rPr>
                <w:rFonts w:ascii="Arial Narrow" w:hAnsi="Arial Narrow"/>
                <w:noProof/>
                <w:color w:val="000000"/>
                <w:sz w:val="20"/>
                <w:highlight w:val="black"/>
                <w:lang w:val="en-US"/>
              </w:rPr>
              <w:t>'''''''''''''''''''''</w:t>
            </w:r>
          </w:p>
        </w:tc>
        <w:tc>
          <w:tcPr>
            <w:tcW w:w="1227"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center"/>
              <w:rPr>
                <w:rFonts w:ascii="Arial Narrow" w:hAnsi="Arial Narrow"/>
                <w:sz w:val="20"/>
                <w:lang w:val="en-US"/>
              </w:rPr>
            </w:pPr>
            <w:r w:rsidRPr="00470FAC">
              <w:rPr>
                <w:rFonts w:ascii="Arial Narrow" w:hAnsi="Arial Narrow"/>
                <w:sz w:val="20"/>
                <w:lang w:val="en-US"/>
              </w:rPr>
              <w:t>$</w:t>
            </w:r>
            <w:r w:rsidR="006C3115">
              <w:rPr>
                <w:rFonts w:ascii="Arial Narrow" w:hAnsi="Arial Narrow"/>
                <w:noProof/>
                <w:color w:val="000000"/>
                <w:sz w:val="20"/>
                <w:highlight w:val="black"/>
                <w:lang w:val="en-US"/>
              </w:rPr>
              <w:t>'''''''''''''''''''</w:t>
            </w:r>
          </w:p>
        </w:tc>
      </w:tr>
      <w:tr w:rsidR="00A0290C" w:rsidRPr="00657AFE" w:rsidTr="00E10485">
        <w:tc>
          <w:tcPr>
            <w:tcW w:w="1308"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left"/>
              <w:rPr>
                <w:rFonts w:ascii="Arial Narrow" w:hAnsi="Arial Narrow"/>
                <w:sz w:val="20"/>
                <w:lang w:val="en-US"/>
              </w:rPr>
            </w:pPr>
            <w:r w:rsidRPr="00470FAC">
              <w:rPr>
                <w:rFonts w:ascii="Arial Narrow" w:hAnsi="Arial Narrow"/>
                <w:sz w:val="20"/>
                <w:lang w:val="en-US"/>
              </w:rPr>
              <w:t>Cost/patient/course</w:t>
            </w:r>
          </w:p>
        </w:tc>
        <w:tc>
          <w:tcPr>
            <w:tcW w:w="1153"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BD2987" w:rsidP="00A41522">
            <w:pPr>
              <w:keepNext/>
              <w:keepLines/>
              <w:jc w:val="center"/>
              <w:rPr>
                <w:rFonts w:ascii="Arial Narrow" w:hAnsi="Arial Narrow"/>
                <w:sz w:val="20"/>
                <w:lang w:val="en-US"/>
              </w:rPr>
            </w:pPr>
            <w:r w:rsidRPr="00470FAC">
              <w:rPr>
                <w:rFonts w:ascii="Arial Narrow" w:hAnsi="Arial Narrow"/>
                <w:sz w:val="20"/>
                <w:lang w:val="en-US"/>
              </w:rPr>
              <w:t>$</w:t>
            </w:r>
            <w:r w:rsidR="006C3115">
              <w:rPr>
                <w:rFonts w:ascii="Arial Narrow" w:hAnsi="Arial Narrow"/>
                <w:noProof/>
                <w:color w:val="000000"/>
                <w:sz w:val="20"/>
                <w:highlight w:val="black"/>
                <w:lang w:val="en-US"/>
              </w:rPr>
              <w:t>''''''''''''''''</w:t>
            </w:r>
          </w:p>
        </w:tc>
        <w:tc>
          <w:tcPr>
            <w:tcW w:w="1312"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A0290C" w:rsidP="00A41522">
            <w:pPr>
              <w:keepNext/>
              <w:keepLines/>
              <w:jc w:val="center"/>
              <w:rPr>
                <w:rFonts w:ascii="Arial Narrow" w:hAnsi="Arial Narrow"/>
                <w:sz w:val="20"/>
                <w:lang w:val="en-US"/>
              </w:rPr>
            </w:pPr>
            <w:r w:rsidRPr="00470FAC">
              <w:rPr>
                <w:rFonts w:ascii="Arial Narrow" w:hAnsi="Arial Narrow"/>
                <w:sz w:val="20"/>
                <w:lang w:val="en-US"/>
              </w:rPr>
              <w:t>$</w:t>
            </w:r>
            <w:r w:rsidR="006C3115">
              <w:rPr>
                <w:rFonts w:ascii="Arial Narrow" w:hAnsi="Arial Narrow"/>
                <w:noProof/>
                <w:color w:val="000000"/>
                <w:sz w:val="20"/>
                <w:highlight w:val="black"/>
                <w:lang w:val="en-US"/>
              </w:rPr>
              <w:t>''''''''''''''''</w:t>
            </w:r>
            <w:r w:rsidR="00BD2987" w:rsidRPr="00470FAC">
              <w:rPr>
                <w:rFonts w:ascii="Arial Narrow" w:hAnsi="Arial Narrow"/>
                <w:sz w:val="20"/>
                <w:vertAlign w:val="superscript"/>
                <w:lang w:val="en-US"/>
              </w:rPr>
              <w:t>b</w:t>
            </w:r>
          </w:p>
        </w:tc>
        <w:tc>
          <w:tcPr>
            <w:tcW w:w="1227" w:type="pct"/>
            <w:tcBorders>
              <w:top w:val="single" w:sz="4" w:space="0" w:color="auto"/>
              <w:left w:val="single" w:sz="4" w:space="0" w:color="auto"/>
              <w:bottom w:val="single" w:sz="4" w:space="0" w:color="auto"/>
              <w:right w:val="single" w:sz="4" w:space="0" w:color="auto"/>
            </w:tcBorders>
            <w:vAlign w:val="center"/>
            <w:hideMark/>
          </w:tcPr>
          <w:p w:rsidR="00A0290C" w:rsidRPr="00470FAC" w:rsidRDefault="00182556" w:rsidP="00A41522">
            <w:pPr>
              <w:keepNext/>
              <w:keepLines/>
              <w:jc w:val="center"/>
              <w:rPr>
                <w:rFonts w:ascii="Arial Narrow" w:hAnsi="Arial Narrow"/>
                <w:sz w:val="20"/>
                <w:lang w:val="en-US"/>
              </w:rPr>
            </w:pPr>
            <w:r w:rsidRPr="00470FAC">
              <w:rPr>
                <w:rFonts w:ascii="Arial Narrow" w:hAnsi="Arial Narrow"/>
                <w:sz w:val="20"/>
                <w:lang w:val="en-US"/>
              </w:rPr>
              <w:t>$</w:t>
            </w:r>
            <w:r w:rsidR="006C3115">
              <w:rPr>
                <w:rFonts w:ascii="Arial Narrow" w:hAnsi="Arial Narrow"/>
                <w:noProof/>
                <w:color w:val="000000"/>
                <w:sz w:val="20"/>
                <w:highlight w:val="black"/>
                <w:lang w:val="en-US"/>
              </w:rPr>
              <w:t>''''''''''''''''</w:t>
            </w:r>
          </w:p>
        </w:tc>
      </w:tr>
    </w:tbl>
    <w:p w:rsidR="00A0290C" w:rsidRPr="00657AFE" w:rsidRDefault="00A0290C" w:rsidP="00A41522">
      <w:pPr>
        <w:pStyle w:val="TableFooter"/>
        <w:keepNext/>
        <w:keepLines/>
        <w:tabs>
          <w:tab w:val="left" w:pos="142"/>
        </w:tabs>
        <w:ind w:left="142" w:hanging="142"/>
        <w:rPr>
          <w:lang w:eastAsia="en-GB"/>
        </w:rPr>
      </w:pPr>
      <w:r w:rsidRPr="00657AFE">
        <w:t>Source: ARAMIS CSR_Feb 2019; Excel workbook ‘DARO_Section3Model_November2020’ and DARO_Section4model_</w:t>
      </w:r>
      <w:r w:rsidR="00E10485">
        <w:t>November</w:t>
      </w:r>
      <w:r w:rsidRPr="00657AFE">
        <w:t xml:space="preserve"> 2020_Supplementary.</w:t>
      </w:r>
    </w:p>
    <w:p w:rsidR="00A0290C" w:rsidRPr="00657AFE" w:rsidRDefault="00A0290C" w:rsidP="00A0290C">
      <w:pPr>
        <w:pStyle w:val="TableFooter"/>
        <w:tabs>
          <w:tab w:val="left" w:pos="142"/>
        </w:tabs>
        <w:ind w:left="142" w:hanging="142"/>
      </w:pPr>
      <w:r w:rsidRPr="00657AFE">
        <w:rPr>
          <w:vertAlign w:val="superscript"/>
        </w:rPr>
        <w:t>a</w:t>
      </w:r>
      <w:r w:rsidRPr="00657AFE">
        <w:rPr>
          <w:vertAlign w:val="superscript"/>
        </w:rPr>
        <w:tab/>
      </w:r>
      <w:r w:rsidRPr="00657AFE">
        <w:t xml:space="preserve">The economic model applied a dose intensity </w:t>
      </w:r>
      <w:r w:rsidRPr="003138B2">
        <w:t>of 98.88</w:t>
      </w:r>
      <w:r w:rsidRPr="00657AFE">
        <w:t>% to darolutamide; cost for one month was assumed to match cycle cost of 28 days.</w:t>
      </w:r>
    </w:p>
    <w:p w:rsidR="00BD2987" w:rsidRPr="00657AFE" w:rsidRDefault="00BD2987" w:rsidP="00A0290C">
      <w:pPr>
        <w:pStyle w:val="TableFooter"/>
        <w:tabs>
          <w:tab w:val="left" w:pos="142"/>
        </w:tabs>
        <w:ind w:left="142" w:hanging="142"/>
      </w:pPr>
      <w:r w:rsidRPr="00657AFE">
        <w:rPr>
          <w:vertAlign w:val="superscript"/>
        </w:rPr>
        <w:t xml:space="preserve">b </w:t>
      </w:r>
      <w:r w:rsidR="00BE5946" w:rsidRPr="00657AFE">
        <w:rPr>
          <w:vertAlign w:val="superscript"/>
        </w:rPr>
        <w:t xml:space="preserve">  </w:t>
      </w:r>
      <w:r w:rsidRPr="00657AFE">
        <w:t xml:space="preserve">Discounting rate of 5% applied </w:t>
      </w:r>
    </w:p>
    <w:p w:rsidR="00A0290C" w:rsidRDefault="00BD2987" w:rsidP="00A0290C">
      <w:pPr>
        <w:pStyle w:val="TableFooter"/>
        <w:tabs>
          <w:tab w:val="left" w:pos="142"/>
        </w:tabs>
        <w:ind w:left="142" w:hanging="142"/>
      </w:pPr>
      <w:r w:rsidRPr="00657AFE">
        <w:rPr>
          <w:vertAlign w:val="superscript"/>
        </w:rPr>
        <w:t>c</w:t>
      </w:r>
      <w:r w:rsidR="00A0290C" w:rsidRPr="00657AFE">
        <w:rPr>
          <w:vertAlign w:val="superscript"/>
        </w:rPr>
        <w:tab/>
      </w:r>
      <w:r w:rsidR="00A0290C" w:rsidRPr="00657AFE">
        <w:t xml:space="preserve">A dose intensity </w:t>
      </w:r>
      <w:r w:rsidR="00A0290C" w:rsidRPr="003138B2">
        <w:t>of 9</w:t>
      </w:r>
      <w:r w:rsidR="00182556" w:rsidRPr="003138B2">
        <w:t>2</w:t>
      </w:r>
      <w:r w:rsidR="00A0290C" w:rsidRPr="003138B2">
        <w:t xml:space="preserve">% was applied to darolutamide for the financial estimates and it was assumed </w:t>
      </w:r>
      <w:r w:rsidR="00182556" w:rsidRPr="003138B2">
        <w:t>10.63</w:t>
      </w:r>
      <w:r w:rsidR="00A0290C" w:rsidRPr="003138B2">
        <w:t xml:space="preserve"> packs would be used in Year 1, </w:t>
      </w:r>
      <w:r w:rsidR="00182556" w:rsidRPr="003138B2">
        <w:t>7.84</w:t>
      </w:r>
      <w:r w:rsidR="00A0290C" w:rsidRPr="003138B2">
        <w:t xml:space="preserve"> packs in Year 2, </w:t>
      </w:r>
      <w:r w:rsidR="00182556" w:rsidRPr="003138B2">
        <w:t>4.97</w:t>
      </w:r>
      <w:r w:rsidR="00A0290C" w:rsidRPr="003138B2">
        <w:t xml:space="preserve"> packs in Year 3, </w:t>
      </w:r>
      <w:r w:rsidR="00182556" w:rsidRPr="003138B2">
        <w:t>2.54</w:t>
      </w:r>
      <w:r w:rsidR="00A0290C" w:rsidRPr="003138B2">
        <w:t xml:space="preserve"> packs in Year 4, </w:t>
      </w:r>
      <w:r w:rsidR="00182556" w:rsidRPr="003138B2">
        <w:t>0.98</w:t>
      </w:r>
      <w:r w:rsidR="00A0290C" w:rsidRPr="003138B2">
        <w:t xml:space="preserve"> packs in Year 5 and 0.2</w:t>
      </w:r>
      <w:r w:rsidR="00182556" w:rsidRPr="003138B2">
        <w:t>4</w:t>
      </w:r>
      <w:r w:rsidR="00A0290C" w:rsidRPr="003138B2">
        <w:t xml:space="preserve"> packs</w:t>
      </w:r>
      <w:r w:rsidR="00A0290C" w:rsidRPr="00657AFE">
        <w:t xml:space="preserve"> in Year 6.</w:t>
      </w:r>
    </w:p>
    <w:p w:rsidR="00AF73B4" w:rsidRDefault="00B60939" w:rsidP="00AF73B4">
      <w:pPr>
        <w:pStyle w:val="4-SubsectionHeading"/>
      </w:pPr>
      <w:bookmarkStart w:id="26" w:name="_Toc22897647"/>
      <w:bookmarkStart w:id="27" w:name="_Toc62023477"/>
      <w:r w:rsidRPr="00C9624D">
        <w:t>Estimated PBS usage &amp; financial implications</w:t>
      </w:r>
      <w:bookmarkEnd w:id="26"/>
      <w:bookmarkEnd w:id="27"/>
    </w:p>
    <w:p w:rsidR="008F5495" w:rsidRPr="008F5495" w:rsidRDefault="00AF73B4" w:rsidP="002B05A1">
      <w:pPr>
        <w:pStyle w:val="3-BodyText"/>
        <w:rPr>
          <w:color w:val="0066FF"/>
        </w:rPr>
      </w:pPr>
      <w:r>
        <w:t xml:space="preserve">The resubmission </w:t>
      </w:r>
      <w:r w:rsidR="00FC736B">
        <w:t xml:space="preserve">was </w:t>
      </w:r>
      <w:r>
        <w:t>not considered by DUSC</w:t>
      </w:r>
      <w:r w:rsidR="00FC736B">
        <w:t>.</w:t>
      </w:r>
      <w:r>
        <w:rPr>
          <w:color w:val="0070C0"/>
        </w:rPr>
        <w:t xml:space="preserve"> </w:t>
      </w:r>
      <w:r>
        <w:t>T</w:t>
      </w:r>
      <w:r w:rsidRPr="00417EF1">
        <w:t xml:space="preserve">here are no </w:t>
      </w:r>
      <w:r>
        <w:t>specific PBS listings</w:t>
      </w:r>
      <w:r w:rsidRPr="00417EF1">
        <w:t xml:space="preserve"> for the treatmen</w:t>
      </w:r>
      <w:r>
        <w:t>t of m</w:t>
      </w:r>
      <w:r w:rsidR="0030737B">
        <w:t>0</w:t>
      </w:r>
      <w:r>
        <w:t>CRPC</w:t>
      </w:r>
      <w:r w:rsidRPr="00417EF1">
        <w:t xml:space="preserve">. </w:t>
      </w:r>
      <w:r>
        <w:t xml:space="preserve">As such, the resubmission applied an epidemiological approach to estimate the number of patients eligible for treatment with darolutamide.  </w:t>
      </w:r>
    </w:p>
    <w:p w:rsidR="008F5495" w:rsidRPr="00470FAC" w:rsidRDefault="008F5495" w:rsidP="008F5495">
      <w:pPr>
        <w:pStyle w:val="3-BodyText"/>
      </w:pPr>
      <w:r w:rsidRPr="00470FAC">
        <w:t xml:space="preserve">The following revisions were made in the resubmission compared to the July 2020 submission: the forward estimates period was extended from 2022 to 2027; the </w:t>
      </w:r>
      <w:r w:rsidRPr="00470FAC">
        <w:rPr>
          <w:iCs/>
        </w:rPr>
        <w:t xml:space="preserve">proportion of high risk m0CRPC patients with WHO status 0-1 was reduced </w:t>
      </w:r>
      <w:r w:rsidRPr="001E1187">
        <w:rPr>
          <w:iCs/>
        </w:rPr>
        <w:t xml:space="preserve">from </w:t>
      </w:r>
      <w:r w:rsidR="006C3115">
        <w:rPr>
          <w:iCs/>
          <w:noProof/>
          <w:color w:val="000000"/>
          <w:highlight w:val="black"/>
        </w:rPr>
        <w:t>''''''</w:t>
      </w:r>
      <w:r w:rsidRPr="001E1187">
        <w:rPr>
          <w:iCs/>
        </w:rPr>
        <w:t xml:space="preserve">% to </w:t>
      </w:r>
      <w:r w:rsidR="006C3115">
        <w:rPr>
          <w:iCs/>
          <w:noProof/>
          <w:color w:val="000000"/>
          <w:highlight w:val="black"/>
        </w:rPr>
        <w:t>''''''</w:t>
      </w:r>
      <w:r w:rsidRPr="001E1187">
        <w:rPr>
          <w:iCs/>
        </w:rPr>
        <w:t>%; the</w:t>
      </w:r>
      <w:r w:rsidRPr="001E1187">
        <w:t xml:space="preserve"> estimate of grandfathered patients in Year 1 of listing was increased</w:t>
      </w:r>
      <w:r w:rsidRPr="00470FAC">
        <w:t xml:space="preserve"> from </w:t>
      </w:r>
      <w:r w:rsidR="00704191">
        <w:t>&lt; 500</w:t>
      </w:r>
      <w:r w:rsidRPr="00470FAC">
        <w:t xml:space="preserve"> to </w:t>
      </w:r>
      <w:r w:rsidR="00704191">
        <w:t>&lt; 500</w:t>
      </w:r>
      <w:r w:rsidRPr="00470FAC">
        <w:t>; treatment uptake assumptions were increased in the initial years of listing; the treatment compliance assumption was reduced from 98.88% to 92%; additional costs of ADT were excluded</w:t>
      </w:r>
      <w:r w:rsidRPr="00470FAC">
        <w:rPr>
          <w:color w:val="000000" w:themeColor="text1"/>
          <w:lang w:val="en-US"/>
        </w:rPr>
        <w:t>; and, based on the July 2020 DUSC advice, MBS item costs were excluded.</w:t>
      </w:r>
    </w:p>
    <w:p w:rsidR="002B05A1" w:rsidRPr="002B05A1" w:rsidRDefault="00AF73B4" w:rsidP="002B05A1">
      <w:pPr>
        <w:pStyle w:val="3-BodyText"/>
        <w:rPr>
          <w:color w:val="0066FF"/>
        </w:rPr>
      </w:pPr>
      <w:r>
        <w:t>Table 1</w:t>
      </w:r>
      <w:r w:rsidR="000C08E6">
        <w:t>7</w:t>
      </w:r>
      <w:r>
        <w:t xml:space="preserve"> summarises the inputs used for the financial estimates.</w:t>
      </w:r>
    </w:p>
    <w:p w:rsidR="00E42F73" w:rsidRPr="007925DF" w:rsidRDefault="00AF73B4" w:rsidP="007925DF">
      <w:pPr>
        <w:pStyle w:val="TableFigureHeading"/>
        <w:rPr>
          <w:rStyle w:val="CommentReference"/>
          <w:b/>
          <w:szCs w:val="24"/>
        </w:rPr>
      </w:pPr>
      <w:r>
        <w:rPr>
          <w:rStyle w:val="CommentReference"/>
          <w:b/>
          <w:szCs w:val="24"/>
        </w:rPr>
        <w:lastRenderedPageBreak/>
        <w:t>Table 1</w:t>
      </w:r>
      <w:r w:rsidR="000C08E6">
        <w:rPr>
          <w:rStyle w:val="CommentReference"/>
          <w:b/>
          <w:szCs w:val="24"/>
        </w:rPr>
        <w:t>7</w:t>
      </w:r>
      <w:r w:rsidR="00E42F73" w:rsidRPr="007925DF">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3668"/>
        <w:gridCol w:w="3636"/>
      </w:tblGrid>
      <w:tr w:rsidR="00E42F73" w:rsidRPr="003D1DE4" w:rsidTr="00EF20C2">
        <w:trPr>
          <w:tblHeader/>
        </w:trPr>
        <w:tc>
          <w:tcPr>
            <w:tcW w:w="950" w:type="pct"/>
            <w:shd w:val="clear" w:color="auto" w:fill="auto"/>
            <w:vAlign w:val="center"/>
          </w:tcPr>
          <w:p w:rsidR="00E42F73" w:rsidRPr="003D1DE4" w:rsidRDefault="004658B5" w:rsidP="007925DF">
            <w:pPr>
              <w:pStyle w:val="In-tableHeading"/>
            </w:pPr>
            <w:r>
              <w:t>Parameter</w:t>
            </w:r>
          </w:p>
        </w:tc>
        <w:tc>
          <w:tcPr>
            <w:tcW w:w="2034" w:type="pct"/>
            <w:shd w:val="clear" w:color="auto" w:fill="auto"/>
            <w:vAlign w:val="center"/>
          </w:tcPr>
          <w:p w:rsidR="00E42F73" w:rsidRPr="003D1DE4" w:rsidRDefault="004658B5" w:rsidP="007925DF">
            <w:pPr>
              <w:pStyle w:val="In-tableHeading"/>
            </w:pPr>
            <w:r>
              <w:t>Value applied and source</w:t>
            </w:r>
          </w:p>
        </w:tc>
        <w:tc>
          <w:tcPr>
            <w:tcW w:w="2016" w:type="pct"/>
            <w:shd w:val="clear" w:color="auto" w:fill="auto"/>
            <w:vAlign w:val="center"/>
          </w:tcPr>
          <w:p w:rsidR="00E42F73" w:rsidRPr="003D1DE4" w:rsidRDefault="004658B5" w:rsidP="007925DF">
            <w:pPr>
              <w:pStyle w:val="In-tableHeading"/>
            </w:pPr>
            <w:r>
              <w:t>Comment</w:t>
            </w:r>
          </w:p>
        </w:tc>
      </w:tr>
      <w:tr w:rsidR="00E42F73" w:rsidRPr="00470FAC" w:rsidTr="00EF20C2">
        <w:tc>
          <w:tcPr>
            <w:tcW w:w="950" w:type="pct"/>
            <w:shd w:val="clear" w:color="auto" w:fill="auto"/>
            <w:vAlign w:val="center"/>
          </w:tcPr>
          <w:p w:rsidR="00E42F73" w:rsidRPr="00470FAC" w:rsidRDefault="00AF73B4" w:rsidP="007925DF">
            <w:pPr>
              <w:pStyle w:val="TableText0"/>
              <w:rPr>
                <w:lang w:val="en-US"/>
              </w:rPr>
            </w:pPr>
            <w:r w:rsidRPr="00470FAC">
              <w:rPr>
                <w:lang w:val="en-US"/>
              </w:rPr>
              <w:t>Eligible incident and prevalent patients</w:t>
            </w:r>
          </w:p>
        </w:tc>
        <w:tc>
          <w:tcPr>
            <w:tcW w:w="2034" w:type="pct"/>
            <w:shd w:val="clear" w:color="auto" w:fill="auto"/>
            <w:vAlign w:val="center"/>
          </w:tcPr>
          <w:p w:rsidR="00AF73B4" w:rsidRPr="00470FAC" w:rsidRDefault="00AF73B4" w:rsidP="00AF73B4">
            <w:pPr>
              <w:contextualSpacing/>
              <w:jc w:val="left"/>
              <w:rPr>
                <w:rFonts w:ascii="Arial Narrow" w:hAnsi="Arial Narrow" w:cstheme="minorHAnsi"/>
                <w:sz w:val="20"/>
                <w:szCs w:val="20"/>
              </w:rPr>
            </w:pPr>
            <w:r w:rsidRPr="00470FAC">
              <w:rPr>
                <w:rFonts w:ascii="Arial Narrow" w:hAnsi="Arial Narrow" w:cstheme="minorHAnsi"/>
                <w:sz w:val="20"/>
                <w:szCs w:val="20"/>
              </w:rPr>
              <w:t>Incidence data: AIHW ACIM books (for 1982 to 2015) and Cancer in Australia 2019 - Supplementary data tables (for 2016 to 2019 estimates); Cancer incidence projection, Australia 2011 to 2020 AIHW (2012), pg. 85-90; 96% incident patients assumed to be non-metastatic, based on Cancer Australia; PCBaSe registry, Sweden.; and ‘electronic CRPC Australian Database’ (ePAD registry).</w:t>
            </w:r>
          </w:p>
          <w:p w:rsidR="00AF73B4" w:rsidRPr="00470FAC" w:rsidRDefault="00AF73B4" w:rsidP="00AF73B4">
            <w:pPr>
              <w:pStyle w:val="TableText0"/>
              <w:rPr>
                <w:szCs w:val="20"/>
              </w:rPr>
            </w:pPr>
          </w:p>
          <w:p w:rsidR="00E42F73" w:rsidRPr="00470FAC" w:rsidRDefault="00AF73B4" w:rsidP="00EF20C2">
            <w:pPr>
              <w:pStyle w:val="TableText0"/>
              <w:rPr>
                <w:lang w:val="en-US"/>
              </w:rPr>
            </w:pPr>
            <w:r w:rsidRPr="00470FAC">
              <w:rPr>
                <w:szCs w:val="20"/>
              </w:rPr>
              <w:t xml:space="preserve">Prevalent patients: Based on estimate derived from incident patients with a look back period of 12 years. </w:t>
            </w:r>
            <w:r w:rsidRPr="00470FAC">
              <w:t>Annual proportions derived from the MFS data from the placebo arm of the ARAMIS trial was applied to yearly cohorts of incident patients with high risk m0CRPC over the period 2011 to 2022</w:t>
            </w:r>
            <w:r w:rsidRPr="00470FAC">
              <w:rPr>
                <w:szCs w:val="20"/>
              </w:rPr>
              <w:t>.</w:t>
            </w:r>
          </w:p>
        </w:tc>
        <w:tc>
          <w:tcPr>
            <w:tcW w:w="2016" w:type="pct"/>
            <w:shd w:val="clear" w:color="auto" w:fill="auto"/>
            <w:vAlign w:val="center"/>
          </w:tcPr>
          <w:p w:rsidR="00E42F73" w:rsidRPr="00470FAC" w:rsidRDefault="004658B5" w:rsidP="00A9692F">
            <w:pPr>
              <w:pStyle w:val="TableText0"/>
              <w:rPr>
                <w:lang w:val="en-US"/>
              </w:rPr>
            </w:pPr>
            <w:r w:rsidRPr="00470FAC">
              <w:rPr>
                <w:lang w:val="en-US"/>
              </w:rPr>
              <w:t xml:space="preserve">Likely </w:t>
            </w:r>
            <w:r w:rsidR="00A9692F" w:rsidRPr="00470FAC">
              <w:rPr>
                <w:lang w:val="en-US"/>
              </w:rPr>
              <w:t xml:space="preserve">overestimated. Assumes </w:t>
            </w:r>
            <w:r w:rsidR="00EF20C2" w:rsidRPr="00470FAC">
              <w:rPr>
                <w:lang w:val="en-US"/>
              </w:rPr>
              <w:t xml:space="preserve">a </w:t>
            </w:r>
            <w:r w:rsidR="00A9692F" w:rsidRPr="00470FAC">
              <w:rPr>
                <w:lang w:val="en-US"/>
              </w:rPr>
              <w:t xml:space="preserve">high proportion (86%) of </w:t>
            </w:r>
            <w:r w:rsidR="00E14D34" w:rsidRPr="00470FAC">
              <w:rPr>
                <w:lang w:val="en-US"/>
              </w:rPr>
              <w:t xml:space="preserve">eligible </w:t>
            </w:r>
            <w:r w:rsidR="00A9692F" w:rsidRPr="00470FAC">
              <w:rPr>
                <w:lang w:val="en-US"/>
              </w:rPr>
              <w:t xml:space="preserve">patients will use darolutamide and forgo </w:t>
            </w:r>
            <w:r w:rsidR="00E14D34" w:rsidRPr="00470FAC">
              <w:rPr>
                <w:lang w:val="en-US"/>
              </w:rPr>
              <w:t xml:space="preserve">the </w:t>
            </w:r>
            <w:r w:rsidR="00A9692F" w:rsidRPr="00470FAC">
              <w:rPr>
                <w:lang w:val="en-US"/>
              </w:rPr>
              <w:t>use of enzalutamide or abiraterone if patients progress to metastatic disease.</w:t>
            </w:r>
          </w:p>
          <w:p w:rsidR="00A9692F" w:rsidRPr="00470FAC" w:rsidRDefault="00A9692F" w:rsidP="00A9692F">
            <w:pPr>
              <w:pStyle w:val="TableText0"/>
              <w:rPr>
                <w:lang w:val="en-US"/>
              </w:rPr>
            </w:pPr>
          </w:p>
          <w:p w:rsidR="00A9692F" w:rsidRPr="00470FAC" w:rsidRDefault="00A9692F" w:rsidP="00A9692F">
            <w:pPr>
              <w:pStyle w:val="TableText0"/>
              <w:rPr>
                <w:lang w:val="en-US"/>
              </w:rPr>
            </w:pPr>
            <w:r w:rsidRPr="00470FAC">
              <w:rPr>
                <w:lang w:val="en-US"/>
              </w:rPr>
              <w:t>In its consideration of the July 2020 submission, DUSC noted that the size of the treated population and estimates of the prevalent m0CRPC populations were unknown.</w:t>
            </w:r>
          </w:p>
        </w:tc>
      </w:tr>
      <w:tr w:rsidR="00E14D34" w:rsidRPr="00470FAC" w:rsidTr="00EF20C2">
        <w:tc>
          <w:tcPr>
            <w:tcW w:w="950" w:type="pct"/>
            <w:shd w:val="clear" w:color="auto" w:fill="auto"/>
            <w:vAlign w:val="center"/>
          </w:tcPr>
          <w:p w:rsidR="00E14D34" w:rsidRPr="00470FAC" w:rsidRDefault="00E14D34" w:rsidP="00E14D34">
            <w:pPr>
              <w:pStyle w:val="TableText0"/>
              <w:rPr>
                <w:lang w:val="en-US"/>
              </w:rPr>
            </w:pPr>
            <w:r w:rsidRPr="00470FAC">
              <w:rPr>
                <w:lang w:val="en-US"/>
              </w:rPr>
              <w:t>Uptake rate</w:t>
            </w:r>
          </w:p>
        </w:tc>
        <w:tc>
          <w:tcPr>
            <w:tcW w:w="2034" w:type="pct"/>
            <w:shd w:val="clear" w:color="auto" w:fill="auto"/>
            <w:vAlign w:val="center"/>
          </w:tcPr>
          <w:p w:rsidR="0030737B" w:rsidRPr="00307718" w:rsidRDefault="00E14D34" w:rsidP="00E14D34">
            <w:pPr>
              <w:rPr>
                <w:rFonts w:ascii="Arial Narrow" w:hAnsi="Arial Narrow" w:cstheme="minorHAnsi"/>
                <w:sz w:val="20"/>
                <w:szCs w:val="20"/>
              </w:rPr>
            </w:pPr>
            <w:r w:rsidRPr="00307718">
              <w:rPr>
                <w:rFonts w:ascii="Arial Narrow" w:hAnsi="Arial Narrow" w:cstheme="minorHAnsi"/>
                <w:sz w:val="20"/>
                <w:szCs w:val="20"/>
              </w:rPr>
              <w:t>Y</w:t>
            </w:r>
            <w:r w:rsidR="00EF20C2" w:rsidRPr="00307718">
              <w:rPr>
                <w:rFonts w:ascii="Arial Narrow" w:hAnsi="Arial Narrow" w:cstheme="minorHAnsi"/>
                <w:sz w:val="20"/>
                <w:szCs w:val="20"/>
              </w:rPr>
              <w:t>ea</w:t>
            </w:r>
            <w:r w:rsidRPr="00307718">
              <w:rPr>
                <w:rFonts w:ascii="Arial Narrow" w:hAnsi="Arial Narrow" w:cstheme="minorHAnsi"/>
                <w:sz w:val="20"/>
                <w:szCs w:val="20"/>
              </w:rPr>
              <w:t xml:space="preserve">r 1: </w:t>
            </w:r>
            <w:r w:rsidR="006C3115">
              <w:rPr>
                <w:rFonts w:ascii="Arial Narrow" w:hAnsi="Arial Narrow" w:cstheme="minorHAnsi"/>
                <w:noProof/>
                <w:color w:val="000000"/>
                <w:sz w:val="20"/>
                <w:szCs w:val="20"/>
                <w:highlight w:val="black"/>
              </w:rPr>
              <w:t>'''''''</w:t>
            </w:r>
            <w:r w:rsidRPr="00307718">
              <w:rPr>
                <w:rFonts w:ascii="Arial Narrow" w:hAnsi="Arial Narrow" w:cstheme="minorHAnsi"/>
                <w:sz w:val="20"/>
                <w:szCs w:val="20"/>
              </w:rPr>
              <w:t xml:space="preserve">%; </w:t>
            </w:r>
          </w:p>
          <w:p w:rsidR="0030737B" w:rsidRPr="00307718" w:rsidRDefault="00E14D34" w:rsidP="00E14D34">
            <w:pPr>
              <w:rPr>
                <w:rFonts w:ascii="Arial Narrow" w:hAnsi="Arial Narrow" w:cstheme="minorHAnsi"/>
                <w:sz w:val="20"/>
                <w:szCs w:val="20"/>
              </w:rPr>
            </w:pPr>
            <w:r w:rsidRPr="00307718">
              <w:rPr>
                <w:rFonts w:ascii="Arial Narrow" w:hAnsi="Arial Narrow" w:cstheme="minorHAnsi"/>
                <w:sz w:val="20"/>
                <w:szCs w:val="20"/>
              </w:rPr>
              <w:t>Y</w:t>
            </w:r>
            <w:r w:rsidR="00EF20C2" w:rsidRPr="00307718">
              <w:rPr>
                <w:rFonts w:ascii="Arial Narrow" w:hAnsi="Arial Narrow" w:cstheme="minorHAnsi"/>
                <w:sz w:val="20"/>
                <w:szCs w:val="20"/>
              </w:rPr>
              <w:t>ea</w:t>
            </w:r>
            <w:r w:rsidRPr="00307718">
              <w:rPr>
                <w:rFonts w:ascii="Arial Narrow" w:hAnsi="Arial Narrow" w:cstheme="minorHAnsi"/>
                <w:sz w:val="20"/>
                <w:szCs w:val="20"/>
              </w:rPr>
              <w:t xml:space="preserve">r 2: </w:t>
            </w:r>
            <w:r w:rsidR="006C3115">
              <w:rPr>
                <w:rFonts w:ascii="Arial Narrow" w:hAnsi="Arial Narrow" w:cstheme="minorHAnsi"/>
                <w:noProof/>
                <w:color w:val="000000"/>
                <w:sz w:val="20"/>
                <w:szCs w:val="20"/>
                <w:highlight w:val="black"/>
              </w:rPr>
              <w:t>'''''</w:t>
            </w:r>
            <w:r w:rsidRPr="00307718">
              <w:rPr>
                <w:rFonts w:ascii="Arial Narrow" w:hAnsi="Arial Narrow" w:cstheme="minorHAnsi"/>
                <w:sz w:val="20"/>
                <w:szCs w:val="20"/>
              </w:rPr>
              <w:t xml:space="preserve">%; </w:t>
            </w:r>
          </w:p>
          <w:p w:rsidR="0030737B" w:rsidRPr="00307718" w:rsidRDefault="00E14D34" w:rsidP="00E14D34">
            <w:pPr>
              <w:rPr>
                <w:rFonts w:ascii="Arial Narrow" w:hAnsi="Arial Narrow" w:cstheme="minorHAnsi"/>
                <w:sz w:val="20"/>
                <w:szCs w:val="20"/>
              </w:rPr>
            </w:pPr>
            <w:r w:rsidRPr="00307718">
              <w:rPr>
                <w:rFonts w:ascii="Arial Narrow" w:hAnsi="Arial Narrow" w:cstheme="minorHAnsi"/>
                <w:sz w:val="20"/>
                <w:szCs w:val="20"/>
              </w:rPr>
              <w:t>Y</w:t>
            </w:r>
            <w:r w:rsidR="00EF20C2" w:rsidRPr="00307718">
              <w:rPr>
                <w:rFonts w:ascii="Arial Narrow" w:hAnsi="Arial Narrow" w:cstheme="minorHAnsi"/>
                <w:sz w:val="20"/>
                <w:szCs w:val="20"/>
              </w:rPr>
              <w:t>ea</w:t>
            </w:r>
            <w:r w:rsidRPr="00307718">
              <w:rPr>
                <w:rFonts w:ascii="Arial Narrow" w:hAnsi="Arial Narrow" w:cstheme="minorHAnsi"/>
                <w:sz w:val="20"/>
                <w:szCs w:val="20"/>
              </w:rPr>
              <w:t xml:space="preserve">r 3: </w:t>
            </w:r>
            <w:r w:rsidR="006C3115">
              <w:rPr>
                <w:rFonts w:ascii="Arial Narrow" w:hAnsi="Arial Narrow" w:cstheme="minorHAnsi"/>
                <w:noProof/>
                <w:color w:val="000000"/>
                <w:sz w:val="20"/>
                <w:szCs w:val="20"/>
                <w:highlight w:val="black"/>
              </w:rPr>
              <w:t>'''''</w:t>
            </w:r>
            <w:r w:rsidRPr="00307718">
              <w:rPr>
                <w:rFonts w:ascii="Arial Narrow" w:hAnsi="Arial Narrow" w:cstheme="minorHAnsi"/>
                <w:sz w:val="20"/>
                <w:szCs w:val="20"/>
              </w:rPr>
              <w:t xml:space="preserve">%; </w:t>
            </w:r>
          </w:p>
          <w:p w:rsidR="0030737B" w:rsidRPr="00307718" w:rsidRDefault="00E14D34" w:rsidP="00E14D34">
            <w:pPr>
              <w:rPr>
                <w:rFonts w:ascii="Arial Narrow" w:hAnsi="Arial Narrow" w:cstheme="minorHAnsi"/>
                <w:sz w:val="20"/>
                <w:szCs w:val="20"/>
              </w:rPr>
            </w:pPr>
            <w:r w:rsidRPr="00307718">
              <w:rPr>
                <w:rFonts w:ascii="Arial Narrow" w:hAnsi="Arial Narrow" w:cstheme="minorHAnsi"/>
                <w:sz w:val="20"/>
                <w:szCs w:val="20"/>
              </w:rPr>
              <w:t>Y</w:t>
            </w:r>
            <w:r w:rsidR="00EF20C2" w:rsidRPr="00307718">
              <w:rPr>
                <w:rFonts w:ascii="Arial Narrow" w:hAnsi="Arial Narrow" w:cstheme="minorHAnsi"/>
                <w:sz w:val="20"/>
                <w:szCs w:val="20"/>
              </w:rPr>
              <w:t>ea</w:t>
            </w:r>
            <w:r w:rsidRPr="00307718">
              <w:rPr>
                <w:rFonts w:ascii="Arial Narrow" w:hAnsi="Arial Narrow" w:cstheme="minorHAnsi"/>
                <w:sz w:val="20"/>
                <w:szCs w:val="20"/>
              </w:rPr>
              <w:t xml:space="preserve">r 4: </w:t>
            </w:r>
            <w:r w:rsidR="006C3115">
              <w:rPr>
                <w:rFonts w:ascii="Arial Narrow" w:hAnsi="Arial Narrow" w:cstheme="minorHAnsi"/>
                <w:noProof/>
                <w:color w:val="000000"/>
                <w:sz w:val="20"/>
                <w:szCs w:val="20"/>
                <w:highlight w:val="black"/>
              </w:rPr>
              <w:t>'''''''</w:t>
            </w:r>
            <w:r w:rsidRPr="00307718">
              <w:rPr>
                <w:rFonts w:ascii="Arial Narrow" w:hAnsi="Arial Narrow" w:cstheme="minorHAnsi"/>
                <w:sz w:val="20"/>
                <w:szCs w:val="20"/>
              </w:rPr>
              <w:t xml:space="preserve">%; </w:t>
            </w:r>
          </w:p>
          <w:p w:rsidR="0030737B" w:rsidRPr="00307718" w:rsidRDefault="00E14D34" w:rsidP="00E14D34">
            <w:pPr>
              <w:rPr>
                <w:rFonts w:ascii="Arial Narrow" w:hAnsi="Arial Narrow" w:cstheme="minorHAnsi"/>
                <w:sz w:val="20"/>
                <w:szCs w:val="20"/>
              </w:rPr>
            </w:pPr>
            <w:r w:rsidRPr="00307718">
              <w:rPr>
                <w:rFonts w:ascii="Arial Narrow" w:hAnsi="Arial Narrow" w:cstheme="minorHAnsi"/>
                <w:sz w:val="20"/>
                <w:szCs w:val="20"/>
              </w:rPr>
              <w:t>Y</w:t>
            </w:r>
            <w:r w:rsidR="00EF20C2" w:rsidRPr="00307718">
              <w:rPr>
                <w:rFonts w:ascii="Arial Narrow" w:hAnsi="Arial Narrow" w:cstheme="minorHAnsi"/>
                <w:sz w:val="20"/>
                <w:szCs w:val="20"/>
              </w:rPr>
              <w:t>ea</w:t>
            </w:r>
            <w:r w:rsidRPr="00307718">
              <w:rPr>
                <w:rFonts w:ascii="Arial Narrow" w:hAnsi="Arial Narrow" w:cstheme="minorHAnsi"/>
                <w:sz w:val="20"/>
                <w:szCs w:val="20"/>
              </w:rPr>
              <w:t xml:space="preserve">r 5: </w:t>
            </w:r>
            <w:r w:rsidR="006C3115">
              <w:rPr>
                <w:rFonts w:ascii="Arial Narrow" w:hAnsi="Arial Narrow" w:cstheme="minorHAnsi"/>
                <w:noProof/>
                <w:color w:val="000000"/>
                <w:sz w:val="20"/>
                <w:szCs w:val="20"/>
                <w:highlight w:val="black"/>
              </w:rPr>
              <w:t>'''''</w:t>
            </w:r>
            <w:r w:rsidRPr="00307718">
              <w:rPr>
                <w:rFonts w:ascii="Arial Narrow" w:hAnsi="Arial Narrow" w:cstheme="minorHAnsi"/>
                <w:sz w:val="20"/>
                <w:szCs w:val="20"/>
              </w:rPr>
              <w:t xml:space="preserve">%;  </w:t>
            </w:r>
          </w:p>
          <w:p w:rsidR="00E14D34" w:rsidRPr="00470FAC" w:rsidRDefault="00E14D34" w:rsidP="00E14D34">
            <w:pPr>
              <w:rPr>
                <w:rFonts w:ascii="Arial Narrow" w:hAnsi="Arial Narrow" w:cstheme="minorHAnsi"/>
                <w:sz w:val="20"/>
                <w:szCs w:val="20"/>
              </w:rPr>
            </w:pPr>
            <w:r w:rsidRPr="00307718">
              <w:rPr>
                <w:rFonts w:ascii="Arial Narrow" w:hAnsi="Arial Narrow" w:cstheme="minorHAnsi"/>
                <w:sz w:val="20"/>
                <w:szCs w:val="20"/>
              </w:rPr>
              <w:t>Y</w:t>
            </w:r>
            <w:r w:rsidR="00EF20C2" w:rsidRPr="00307718">
              <w:rPr>
                <w:rFonts w:ascii="Arial Narrow" w:hAnsi="Arial Narrow" w:cstheme="minorHAnsi"/>
                <w:sz w:val="20"/>
                <w:szCs w:val="20"/>
              </w:rPr>
              <w:t>ea</w:t>
            </w:r>
            <w:r w:rsidRPr="00307718">
              <w:rPr>
                <w:rFonts w:ascii="Arial Narrow" w:hAnsi="Arial Narrow" w:cstheme="minorHAnsi"/>
                <w:sz w:val="20"/>
                <w:szCs w:val="20"/>
              </w:rPr>
              <w:t xml:space="preserve">r 6: </w:t>
            </w:r>
            <w:r w:rsidR="006C3115">
              <w:rPr>
                <w:rFonts w:ascii="Arial Narrow" w:hAnsi="Arial Narrow" w:cstheme="minorHAnsi"/>
                <w:noProof/>
                <w:color w:val="000000"/>
                <w:sz w:val="20"/>
                <w:szCs w:val="20"/>
                <w:highlight w:val="black"/>
              </w:rPr>
              <w:t>''''''</w:t>
            </w:r>
            <w:r w:rsidRPr="00307718">
              <w:rPr>
                <w:rFonts w:ascii="Arial Narrow" w:hAnsi="Arial Narrow" w:cstheme="minorHAnsi"/>
                <w:sz w:val="20"/>
                <w:szCs w:val="20"/>
              </w:rPr>
              <w:t>%</w:t>
            </w:r>
          </w:p>
        </w:tc>
        <w:tc>
          <w:tcPr>
            <w:tcW w:w="2016" w:type="pct"/>
            <w:shd w:val="clear" w:color="auto" w:fill="auto"/>
            <w:vAlign w:val="center"/>
          </w:tcPr>
          <w:p w:rsidR="00E14D34" w:rsidRPr="00470FAC" w:rsidRDefault="00EF20C2" w:rsidP="00EF20C2">
            <w:pPr>
              <w:pStyle w:val="TableText0"/>
              <w:rPr>
                <w:lang w:val="en-US"/>
              </w:rPr>
            </w:pPr>
            <w:r w:rsidRPr="00470FAC">
              <w:rPr>
                <w:rFonts w:cstheme="minorHAnsi"/>
                <w:szCs w:val="20"/>
              </w:rPr>
              <w:t>In</w:t>
            </w:r>
            <w:r w:rsidR="00E14D34" w:rsidRPr="00470FAC">
              <w:rPr>
                <w:rFonts w:cstheme="minorHAnsi"/>
                <w:szCs w:val="20"/>
              </w:rPr>
              <w:t xml:space="preserve"> the July 2020 submission, uptake was assumed </w:t>
            </w:r>
            <w:r w:rsidR="00E14D34" w:rsidRPr="00307718">
              <w:rPr>
                <w:rFonts w:cstheme="minorHAnsi"/>
                <w:szCs w:val="20"/>
              </w:rPr>
              <w:t xml:space="preserve">to be </w:t>
            </w:r>
            <w:r w:rsidR="006C3115">
              <w:rPr>
                <w:noProof/>
                <w:color w:val="000000"/>
                <w:szCs w:val="20"/>
                <w:highlight w:val="black"/>
                <w:lang w:val="en-US"/>
              </w:rPr>
              <w:t>''''''</w:t>
            </w:r>
            <w:r w:rsidR="00E14D34" w:rsidRPr="00307718">
              <w:rPr>
                <w:szCs w:val="20"/>
                <w:lang w:val="en-US"/>
              </w:rPr>
              <w:t xml:space="preserve">% in Year 1 increasing to </w:t>
            </w:r>
            <w:r w:rsidR="006C3115">
              <w:rPr>
                <w:noProof/>
                <w:color w:val="000000"/>
                <w:szCs w:val="20"/>
                <w:highlight w:val="black"/>
                <w:lang w:val="en-US"/>
              </w:rPr>
              <w:t>''''''</w:t>
            </w:r>
            <w:r w:rsidR="00E14D34" w:rsidRPr="00470FAC">
              <w:rPr>
                <w:szCs w:val="20"/>
                <w:lang w:val="en-US"/>
              </w:rPr>
              <w:t>% in Year 6. DUSC agreed with the evaluation that the uptake was likely to be underestimated in early years of listing as there is currently no other PBS listed agent</w:t>
            </w:r>
            <w:r w:rsidRPr="00470FAC">
              <w:rPr>
                <w:szCs w:val="20"/>
                <w:lang w:val="en-US"/>
              </w:rPr>
              <w:t xml:space="preserve"> for m0CRPC</w:t>
            </w:r>
            <w:r w:rsidR="00E14D34" w:rsidRPr="00470FAC">
              <w:rPr>
                <w:szCs w:val="20"/>
                <w:lang w:val="en-US"/>
              </w:rPr>
              <w:t xml:space="preserve">. </w:t>
            </w:r>
            <w:r w:rsidRPr="00470FAC">
              <w:rPr>
                <w:szCs w:val="20"/>
                <w:lang w:val="en-US"/>
              </w:rPr>
              <w:t>The resubmission has</w:t>
            </w:r>
            <w:r w:rsidR="00E14D34" w:rsidRPr="00470FAC">
              <w:rPr>
                <w:szCs w:val="20"/>
                <w:lang w:val="en-US"/>
              </w:rPr>
              <w:t xml:space="preserve"> increased the uptake rates </w:t>
            </w:r>
            <w:r w:rsidRPr="00470FAC">
              <w:rPr>
                <w:szCs w:val="20"/>
                <w:lang w:val="en-US"/>
              </w:rPr>
              <w:t>in</w:t>
            </w:r>
            <w:r w:rsidR="00E14D34" w:rsidRPr="00470FAC">
              <w:rPr>
                <w:szCs w:val="20"/>
                <w:lang w:val="en-US"/>
              </w:rPr>
              <w:t xml:space="preserve"> the initial years of listing.</w:t>
            </w:r>
          </w:p>
        </w:tc>
      </w:tr>
      <w:tr w:rsidR="00E14D34" w:rsidRPr="00470FAC" w:rsidTr="00EF20C2">
        <w:tc>
          <w:tcPr>
            <w:tcW w:w="950" w:type="pct"/>
            <w:shd w:val="clear" w:color="auto" w:fill="auto"/>
            <w:vAlign w:val="center"/>
          </w:tcPr>
          <w:p w:rsidR="007A7496" w:rsidRPr="00470FAC" w:rsidRDefault="007A7496" w:rsidP="007A7496">
            <w:pPr>
              <w:pStyle w:val="TableText0"/>
              <w:rPr>
                <w:lang w:val="en-US"/>
              </w:rPr>
            </w:pPr>
            <w:r w:rsidRPr="00470FAC">
              <w:rPr>
                <w:lang w:val="en-US"/>
              </w:rPr>
              <w:t>Compliance rate</w:t>
            </w:r>
          </w:p>
          <w:p w:rsidR="00E14D34" w:rsidRPr="00470FAC" w:rsidRDefault="00E14D34" w:rsidP="00E14D34">
            <w:pPr>
              <w:pStyle w:val="TableText0"/>
              <w:rPr>
                <w:lang w:val="en-US"/>
              </w:rPr>
            </w:pPr>
          </w:p>
        </w:tc>
        <w:tc>
          <w:tcPr>
            <w:tcW w:w="2034" w:type="pct"/>
            <w:shd w:val="clear" w:color="auto" w:fill="auto"/>
            <w:vAlign w:val="center"/>
          </w:tcPr>
          <w:p w:rsidR="00E14D34" w:rsidRPr="00470FAC" w:rsidRDefault="00CD1603" w:rsidP="00E14D34">
            <w:pPr>
              <w:pStyle w:val="TableText0"/>
              <w:rPr>
                <w:lang w:val="en-US"/>
              </w:rPr>
            </w:pPr>
            <w:r w:rsidRPr="00470FAC">
              <w:rPr>
                <w:color w:val="000000" w:themeColor="text1"/>
                <w:szCs w:val="20"/>
                <w:lang w:val="en-US"/>
              </w:rPr>
              <w:t xml:space="preserve">92%. </w:t>
            </w:r>
            <w:r w:rsidR="007A7496" w:rsidRPr="00470FAC">
              <w:rPr>
                <w:color w:val="000000" w:themeColor="text1"/>
                <w:szCs w:val="20"/>
                <w:lang w:val="en-US"/>
              </w:rPr>
              <w:t>A retrospective study by Behl 2017 conducted using the Truven Health MarketScan research databases (October 2012 to December 2014), reported medical possession ratios at 12 months in mCRPC patients administered abiraterone or enzalutamide of 0.95 and 0.92 respectively. The re-submission applies compliance rates reported in patients treated with enzalutamide equal to 92%.</w:t>
            </w:r>
          </w:p>
        </w:tc>
        <w:tc>
          <w:tcPr>
            <w:tcW w:w="2016" w:type="pct"/>
            <w:shd w:val="clear" w:color="auto" w:fill="auto"/>
            <w:vAlign w:val="center"/>
          </w:tcPr>
          <w:p w:rsidR="00E14D34" w:rsidRPr="00470FAC" w:rsidRDefault="007A7496" w:rsidP="00EF20C2">
            <w:pPr>
              <w:pStyle w:val="TableText0"/>
              <w:rPr>
                <w:lang w:val="en-US"/>
              </w:rPr>
            </w:pPr>
            <w:r w:rsidRPr="00470FAC">
              <w:rPr>
                <w:rFonts w:cstheme="minorHAnsi"/>
                <w:szCs w:val="20"/>
              </w:rPr>
              <w:t xml:space="preserve">The July 2020 submission assumed compliance </w:t>
            </w:r>
            <w:r w:rsidR="00EF20C2" w:rsidRPr="00470FAC">
              <w:rPr>
                <w:rFonts w:cstheme="minorHAnsi"/>
                <w:szCs w:val="20"/>
              </w:rPr>
              <w:t>with</w:t>
            </w:r>
            <w:r w:rsidRPr="00470FAC">
              <w:rPr>
                <w:rFonts w:cstheme="minorHAnsi"/>
                <w:szCs w:val="20"/>
              </w:rPr>
              <w:t xml:space="preserve"> darolutamide of 98.88% based on the ARAMIS trial. DUSC considered that compliance was substantially overestimated as patients in practice were likely to be older and frailer than the trial population. </w:t>
            </w:r>
            <w:r w:rsidR="0030737B" w:rsidRPr="00470FAC">
              <w:rPr>
                <w:rFonts w:cstheme="minorHAnsi"/>
                <w:szCs w:val="20"/>
              </w:rPr>
              <w:t xml:space="preserve">The resubmission applied a </w:t>
            </w:r>
            <w:r w:rsidRPr="00470FAC">
              <w:rPr>
                <w:rFonts w:cstheme="minorHAnsi"/>
                <w:szCs w:val="20"/>
              </w:rPr>
              <w:t xml:space="preserve">revised assumption </w:t>
            </w:r>
            <w:r w:rsidR="0030737B" w:rsidRPr="00470FAC">
              <w:rPr>
                <w:rFonts w:cstheme="minorHAnsi"/>
                <w:szCs w:val="20"/>
              </w:rPr>
              <w:t>of</w:t>
            </w:r>
            <w:r w:rsidRPr="00470FAC">
              <w:rPr>
                <w:rFonts w:cstheme="minorHAnsi"/>
                <w:szCs w:val="20"/>
              </w:rPr>
              <w:t xml:space="preserve"> 92% </w:t>
            </w:r>
            <w:r w:rsidR="0030737B" w:rsidRPr="00470FAC">
              <w:rPr>
                <w:rFonts w:cstheme="minorHAnsi"/>
                <w:szCs w:val="20"/>
              </w:rPr>
              <w:t xml:space="preserve">compliance with darolutamide. This </w:t>
            </w:r>
            <w:r w:rsidRPr="00470FAC">
              <w:rPr>
                <w:rFonts w:cstheme="minorHAnsi"/>
                <w:szCs w:val="20"/>
              </w:rPr>
              <w:t>may also be an overestimate</w:t>
            </w:r>
            <w:r w:rsidR="0030737B" w:rsidRPr="00470FAC">
              <w:rPr>
                <w:rFonts w:cstheme="minorHAnsi"/>
                <w:szCs w:val="20"/>
              </w:rPr>
              <w:t>.</w:t>
            </w:r>
            <w:r w:rsidR="00EA70B6">
              <w:rPr>
                <w:rFonts w:cstheme="minorHAnsi"/>
                <w:szCs w:val="20"/>
              </w:rPr>
              <w:t xml:space="preserve"> This was updated to </w:t>
            </w:r>
            <w:r w:rsidR="006C3115">
              <w:rPr>
                <w:rFonts w:cstheme="minorHAnsi"/>
                <w:noProof/>
                <w:color w:val="000000"/>
                <w:szCs w:val="20"/>
                <w:highlight w:val="black"/>
              </w:rPr>
              <w:t>''''''</w:t>
            </w:r>
            <w:r w:rsidR="00EA70B6">
              <w:rPr>
                <w:rFonts w:cstheme="minorHAnsi"/>
                <w:szCs w:val="20"/>
              </w:rPr>
              <w:t>% in the pre-PBAC response.</w:t>
            </w:r>
          </w:p>
        </w:tc>
      </w:tr>
      <w:tr w:rsidR="00E14D34" w:rsidRPr="00470FAC" w:rsidTr="00EF20C2">
        <w:tc>
          <w:tcPr>
            <w:tcW w:w="950" w:type="pct"/>
            <w:shd w:val="clear" w:color="auto" w:fill="auto"/>
            <w:vAlign w:val="center"/>
          </w:tcPr>
          <w:p w:rsidR="00E14D34" w:rsidRPr="00470FAC" w:rsidRDefault="00E14D34" w:rsidP="00E14D34">
            <w:pPr>
              <w:pStyle w:val="TableText0"/>
              <w:rPr>
                <w:lang w:val="en-US"/>
              </w:rPr>
            </w:pPr>
            <w:r w:rsidRPr="00470FAC">
              <w:rPr>
                <w:lang w:val="en-US"/>
              </w:rPr>
              <w:t>Grandfathered patients</w:t>
            </w:r>
          </w:p>
        </w:tc>
        <w:tc>
          <w:tcPr>
            <w:tcW w:w="2034" w:type="pct"/>
            <w:shd w:val="clear" w:color="auto" w:fill="auto"/>
            <w:vAlign w:val="center"/>
          </w:tcPr>
          <w:p w:rsidR="00E14D34" w:rsidRPr="00470FAC" w:rsidRDefault="00CD1603" w:rsidP="00E14D34">
            <w:pPr>
              <w:pStyle w:val="TableText0"/>
              <w:rPr>
                <w:lang w:val="en-US"/>
              </w:rPr>
            </w:pPr>
            <w:r w:rsidRPr="00470FAC">
              <w:rPr>
                <w:lang w:val="en-US"/>
              </w:rPr>
              <w:t>N</w:t>
            </w:r>
            <w:r w:rsidR="00EF20C2" w:rsidRPr="00470FAC">
              <w:rPr>
                <w:lang w:val="en-US"/>
              </w:rPr>
              <w:t xml:space="preserve"> </w:t>
            </w:r>
            <w:r w:rsidRPr="00470FAC">
              <w:rPr>
                <w:lang w:val="en-US"/>
              </w:rPr>
              <w:t>=</w:t>
            </w:r>
            <w:r w:rsidR="00EF20C2" w:rsidRPr="00470FAC">
              <w:rPr>
                <w:lang w:val="en-US"/>
              </w:rPr>
              <w:t xml:space="preserve"> </w:t>
            </w:r>
            <w:r w:rsidR="006C3115">
              <w:rPr>
                <w:noProof/>
                <w:color w:val="000000"/>
                <w:highlight w:val="black"/>
                <w:lang w:val="en-US"/>
              </w:rPr>
              <w:t>''''''''''</w:t>
            </w:r>
            <w:r w:rsidR="00D829BB">
              <w:rPr>
                <w:vertAlign w:val="superscript"/>
                <w:lang w:val="en-US"/>
              </w:rPr>
              <w:t>1</w:t>
            </w:r>
          </w:p>
        </w:tc>
        <w:tc>
          <w:tcPr>
            <w:tcW w:w="2016" w:type="pct"/>
            <w:shd w:val="clear" w:color="auto" w:fill="auto"/>
            <w:vAlign w:val="center"/>
          </w:tcPr>
          <w:p w:rsidR="00E14D34" w:rsidRPr="00470FAC" w:rsidRDefault="00EF20C2" w:rsidP="00EF20C2">
            <w:pPr>
              <w:pStyle w:val="TableText0"/>
              <w:rPr>
                <w:lang w:val="en-US"/>
              </w:rPr>
            </w:pPr>
            <w:r w:rsidRPr="00470FAC">
              <w:rPr>
                <w:lang w:val="en-US"/>
              </w:rPr>
              <w:t>E</w:t>
            </w:r>
            <w:r w:rsidR="00CD1603" w:rsidRPr="00470FAC">
              <w:rPr>
                <w:lang w:val="en-US"/>
              </w:rPr>
              <w:t xml:space="preserve">stimated as </w:t>
            </w:r>
            <w:r w:rsidR="006C3115">
              <w:rPr>
                <w:noProof/>
                <w:color w:val="000000"/>
                <w:highlight w:val="black"/>
                <w:lang w:val="en-US"/>
              </w:rPr>
              <w:t>'''''</w:t>
            </w:r>
            <w:r w:rsidR="00D829BB">
              <w:rPr>
                <w:vertAlign w:val="superscript"/>
                <w:lang w:val="en-US"/>
              </w:rPr>
              <w:t>1</w:t>
            </w:r>
            <w:r w:rsidR="00CD1603" w:rsidRPr="00470FAC">
              <w:rPr>
                <w:lang w:val="en-US"/>
              </w:rPr>
              <w:t xml:space="preserve"> patients </w:t>
            </w:r>
            <w:r w:rsidRPr="00470FAC">
              <w:rPr>
                <w:lang w:val="en-US"/>
              </w:rPr>
              <w:t>in the July 2020</w:t>
            </w:r>
            <w:r w:rsidR="00CD1603" w:rsidRPr="00470FAC">
              <w:rPr>
                <w:lang w:val="en-US"/>
              </w:rPr>
              <w:t xml:space="preserve"> submission.</w:t>
            </w:r>
          </w:p>
        </w:tc>
      </w:tr>
      <w:tr w:rsidR="000B0DBC" w:rsidRPr="00470FAC" w:rsidTr="00EF20C2">
        <w:tc>
          <w:tcPr>
            <w:tcW w:w="950" w:type="pct"/>
            <w:shd w:val="clear" w:color="auto" w:fill="auto"/>
            <w:vAlign w:val="center"/>
          </w:tcPr>
          <w:p w:rsidR="000B0DBC" w:rsidRPr="00470FAC" w:rsidRDefault="000B0DBC" w:rsidP="000B0DBC">
            <w:pPr>
              <w:pStyle w:val="TableText0"/>
              <w:rPr>
                <w:lang w:val="en-US"/>
              </w:rPr>
            </w:pPr>
            <w:r w:rsidRPr="00470FAC">
              <w:rPr>
                <w:lang w:val="en-US"/>
              </w:rPr>
              <w:t>Dose</w:t>
            </w:r>
          </w:p>
        </w:tc>
        <w:tc>
          <w:tcPr>
            <w:tcW w:w="2034" w:type="pct"/>
            <w:shd w:val="clear" w:color="auto" w:fill="auto"/>
            <w:vAlign w:val="center"/>
          </w:tcPr>
          <w:p w:rsidR="000B0DBC" w:rsidRPr="00D829BB" w:rsidRDefault="000B0DBC" w:rsidP="00D829BB">
            <w:pPr>
              <w:pStyle w:val="TableText0"/>
              <w:rPr>
                <w:vertAlign w:val="superscript"/>
                <w:lang w:val="en-US"/>
              </w:rPr>
            </w:pPr>
            <w:r w:rsidRPr="00470FAC">
              <w:rPr>
                <w:lang w:val="en-US"/>
              </w:rPr>
              <w:t>600</w:t>
            </w:r>
            <w:r w:rsidR="00EF20C2" w:rsidRPr="00470FAC">
              <w:rPr>
                <w:lang w:val="en-US"/>
              </w:rPr>
              <w:t xml:space="preserve"> </w:t>
            </w:r>
            <w:r w:rsidRPr="00470FAC">
              <w:rPr>
                <w:lang w:val="en-US"/>
              </w:rPr>
              <w:t>mg bid</w:t>
            </w:r>
          </w:p>
        </w:tc>
        <w:tc>
          <w:tcPr>
            <w:tcW w:w="2016" w:type="pct"/>
            <w:shd w:val="clear" w:color="auto" w:fill="auto"/>
            <w:vAlign w:val="center"/>
          </w:tcPr>
          <w:p w:rsidR="000B0DBC" w:rsidRPr="00470FAC" w:rsidRDefault="000B0DBC" w:rsidP="000B0DBC">
            <w:pPr>
              <w:pStyle w:val="TableText0"/>
              <w:rPr>
                <w:lang w:val="en-US"/>
              </w:rPr>
            </w:pPr>
            <w:r w:rsidRPr="00470FAC">
              <w:rPr>
                <w:lang w:val="en-US"/>
              </w:rPr>
              <w:t xml:space="preserve">The cost of background ADT is included in the economic model but not included in the </w:t>
            </w:r>
            <w:r w:rsidR="004F7452" w:rsidRPr="00470FAC">
              <w:rPr>
                <w:lang w:val="en-US"/>
              </w:rPr>
              <w:t xml:space="preserve">financial </w:t>
            </w:r>
            <w:r w:rsidRPr="00470FAC">
              <w:rPr>
                <w:lang w:val="en-US"/>
              </w:rPr>
              <w:t>estimates.</w:t>
            </w:r>
          </w:p>
        </w:tc>
      </w:tr>
      <w:tr w:rsidR="004F7452" w:rsidRPr="00470FAC" w:rsidTr="00EF20C2">
        <w:tc>
          <w:tcPr>
            <w:tcW w:w="950" w:type="pct"/>
            <w:shd w:val="clear" w:color="auto" w:fill="auto"/>
            <w:vAlign w:val="center"/>
          </w:tcPr>
          <w:p w:rsidR="004F7452" w:rsidRPr="00470FAC" w:rsidRDefault="004F7452" w:rsidP="004F7452">
            <w:pPr>
              <w:pStyle w:val="TableText0"/>
              <w:rPr>
                <w:lang w:val="en-US"/>
              </w:rPr>
            </w:pPr>
            <w:r w:rsidRPr="00470FAC">
              <w:rPr>
                <w:lang w:val="en-US"/>
              </w:rPr>
              <w:t>Offsets – subsequent therapy</w:t>
            </w:r>
          </w:p>
        </w:tc>
        <w:tc>
          <w:tcPr>
            <w:tcW w:w="2034" w:type="pct"/>
            <w:shd w:val="clear" w:color="auto" w:fill="auto"/>
            <w:vAlign w:val="center"/>
          </w:tcPr>
          <w:p w:rsidR="004F7452" w:rsidRPr="00470FAC" w:rsidRDefault="004F7452" w:rsidP="004F7452">
            <w:pPr>
              <w:pStyle w:val="TableText0"/>
              <w:rPr>
                <w:lang w:val="en-US"/>
              </w:rPr>
            </w:pPr>
            <w:r w:rsidRPr="00470FAC">
              <w:rPr>
                <w:lang w:val="en-US"/>
              </w:rPr>
              <w:t>Cost offsets for subsequent therapy (docetaxel, cabazitaxel only for darolutamide) were estimated.</w:t>
            </w:r>
          </w:p>
        </w:tc>
        <w:tc>
          <w:tcPr>
            <w:tcW w:w="2016" w:type="pct"/>
            <w:shd w:val="clear" w:color="auto" w:fill="auto"/>
            <w:vAlign w:val="center"/>
          </w:tcPr>
          <w:p w:rsidR="003E00CF" w:rsidRPr="003E00CF" w:rsidRDefault="004F7452" w:rsidP="004F7452">
            <w:pPr>
              <w:pStyle w:val="TableText0"/>
              <w:rPr>
                <w:i/>
                <w:lang w:val="en-US"/>
              </w:rPr>
            </w:pPr>
            <w:r w:rsidRPr="00470FAC">
              <w:rPr>
                <w:lang w:val="en-US"/>
              </w:rPr>
              <w:t>Drugs affected are consistent between the economic model and financial estimates.</w:t>
            </w:r>
          </w:p>
          <w:p w:rsidR="006D1B35" w:rsidRPr="00470FAC" w:rsidRDefault="006D1B35" w:rsidP="004F7452">
            <w:pPr>
              <w:pStyle w:val="TableText0"/>
              <w:rPr>
                <w:lang w:val="en-US"/>
              </w:rPr>
            </w:pPr>
          </w:p>
          <w:p w:rsidR="006D1B35" w:rsidRPr="00470FAC" w:rsidRDefault="00EF20C2" w:rsidP="00EF20C2">
            <w:pPr>
              <w:pStyle w:val="TableText0"/>
              <w:rPr>
                <w:lang w:val="en-US"/>
              </w:rPr>
            </w:pPr>
            <w:r w:rsidRPr="00470FAC">
              <w:rPr>
                <w:lang w:val="en-US"/>
              </w:rPr>
              <w:t>The resubmission a</w:t>
            </w:r>
            <w:r w:rsidR="006D1B35" w:rsidRPr="00470FAC">
              <w:rPr>
                <w:lang w:val="en-US"/>
              </w:rPr>
              <w:t>ssumes higher use of docetaxel than cabazitaxel post darolutamide. Cost offset</w:t>
            </w:r>
            <w:r w:rsidRPr="00470FAC">
              <w:rPr>
                <w:lang w:val="en-US"/>
              </w:rPr>
              <w:t>s</w:t>
            </w:r>
            <w:r w:rsidR="006D1B35" w:rsidRPr="00470FAC">
              <w:rPr>
                <w:lang w:val="en-US"/>
              </w:rPr>
              <w:t xml:space="preserve"> could be higher if more patients are supplied cabazitaxel than estimated.</w:t>
            </w:r>
          </w:p>
        </w:tc>
      </w:tr>
      <w:tr w:rsidR="003A059C" w:rsidRPr="00470FAC" w:rsidTr="00EF20C2">
        <w:tc>
          <w:tcPr>
            <w:tcW w:w="950" w:type="pct"/>
            <w:shd w:val="clear" w:color="auto" w:fill="auto"/>
            <w:vAlign w:val="center"/>
          </w:tcPr>
          <w:p w:rsidR="003A059C" w:rsidRPr="00470FAC" w:rsidRDefault="003A059C" w:rsidP="003A059C">
            <w:pPr>
              <w:pStyle w:val="TableText0"/>
              <w:rPr>
                <w:lang w:val="en-US"/>
              </w:rPr>
            </w:pPr>
            <w:r w:rsidRPr="00470FAC">
              <w:rPr>
                <w:lang w:val="en-US"/>
              </w:rPr>
              <w:t>MBS items</w:t>
            </w:r>
          </w:p>
        </w:tc>
        <w:tc>
          <w:tcPr>
            <w:tcW w:w="2034" w:type="pct"/>
            <w:shd w:val="clear" w:color="auto" w:fill="auto"/>
            <w:vAlign w:val="center"/>
          </w:tcPr>
          <w:p w:rsidR="003A059C" w:rsidRPr="00470FAC" w:rsidRDefault="003A059C" w:rsidP="003A059C">
            <w:pPr>
              <w:pStyle w:val="TableText0"/>
              <w:rPr>
                <w:lang w:val="en-US"/>
              </w:rPr>
            </w:pPr>
            <w:r w:rsidRPr="00470FAC">
              <w:rPr>
                <w:lang w:val="en-US"/>
              </w:rPr>
              <w:t>Not included.</w:t>
            </w:r>
          </w:p>
        </w:tc>
        <w:tc>
          <w:tcPr>
            <w:tcW w:w="2016" w:type="pct"/>
            <w:shd w:val="clear" w:color="auto" w:fill="auto"/>
            <w:vAlign w:val="center"/>
          </w:tcPr>
          <w:p w:rsidR="003A059C" w:rsidRPr="00470FAC" w:rsidRDefault="003A059C" w:rsidP="00EF20C2">
            <w:pPr>
              <w:pStyle w:val="TableText0"/>
              <w:rPr>
                <w:lang w:val="en-US"/>
              </w:rPr>
            </w:pPr>
            <w:r w:rsidRPr="00470FAC">
              <w:rPr>
                <w:lang w:val="en-US"/>
              </w:rPr>
              <w:t xml:space="preserve">Based on July 2020 DUSC advice that the cost of MBS services for darolutamide would be similar to </w:t>
            </w:r>
            <w:r w:rsidR="00EF20C2" w:rsidRPr="00470FAC">
              <w:rPr>
                <w:lang w:val="en-US"/>
              </w:rPr>
              <w:t>SOC</w:t>
            </w:r>
            <w:r w:rsidRPr="00470FAC">
              <w:rPr>
                <w:lang w:val="en-US"/>
              </w:rPr>
              <w:t xml:space="preserve"> in the m0CRPC setting.</w:t>
            </w:r>
          </w:p>
        </w:tc>
      </w:tr>
    </w:tbl>
    <w:p w:rsidR="00E43DA5" w:rsidRPr="00470FAC" w:rsidRDefault="00E43DA5" w:rsidP="00E43DA5">
      <w:pPr>
        <w:rPr>
          <w:rFonts w:ascii="Arial Narrow" w:hAnsi="Arial Narrow" w:cstheme="minorHAnsi"/>
          <w:sz w:val="18"/>
          <w:szCs w:val="18"/>
        </w:rPr>
      </w:pPr>
      <w:r w:rsidRPr="00470FAC">
        <w:rPr>
          <w:rFonts w:ascii="Arial Narrow" w:hAnsi="Arial Narrow"/>
          <w:sz w:val="18"/>
          <w:szCs w:val="18"/>
        </w:rPr>
        <w:t xml:space="preserve">Source: </w:t>
      </w:r>
      <w:r w:rsidRPr="00470FAC">
        <w:rPr>
          <w:rFonts w:ascii="Arial Narrow" w:hAnsi="Arial Narrow" w:cstheme="minorHAnsi"/>
          <w:sz w:val="18"/>
          <w:szCs w:val="18"/>
        </w:rPr>
        <w:t>‘Darolutamide_Section4_model_November 2020_Workbook.xls’.</w:t>
      </w:r>
    </w:p>
    <w:p w:rsidR="00EF20C2" w:rsidRDefault="00EF20C2" w:rsidP="00E43DA5">
      <w:pPr>
        <w:rPr>
          <w:rFonts w:ascii="Arial Narrow" w:hAnsi="Arial Narrow" w:cstheme="minorHAnsi"/>
          <w:sz w:val="18"/>
          <w:szCs w:val="18"/>
        </w:rPr>
      </w:pPr>
      <w:r>
        <w:rPr>
          <w:rFonts w:ascii="Arial Narrow" w:hAnsi="Arial Narrow" w:cstheme="minorHAnsi"/>
          <w:sz w:val="18"/>
          <w:szCs w:val="18"/>
        </w:rPr>
        <w:lastRenderedPageBreak/>
        <w:t>ACIM = Australian Cancer Incidence and Mortality; ADT = androgen deprivation therapy; AIHW = Australian Institute of Health and Welfare; CRPC = castration-resistant prostate cancer; DUSC = Drug Utilisation Sub-Committee; MBS = Medicare Benefits Scheme; m0CRPC = metastatic-free castration-resistant prostate cancer; mCRPC = metastatic castration-resistant prostate cancer; MFS = metastatic-free survival; PBS = Pharmaceutical Benefits Scheme; SOC = standard of care</w:t>
      </w:r>
    </w:p>
    <w:p w:rsidR="00D829BB" w:rsidRPr="009868C4" w:rsidRDefault="00D829BB" w:rsidP="00D829BB">
      <w:pPr>
        <w:pStyle w:val="TableFigureFooter"/>
        <w:spacing w:after="0"/>
        <w:contextualSpacing w:val="0"/>
      </w:pPr>
      <w:r w:rsidRPr="009868C4">
        <w:rPr>
          <w:i/>
        </w:rPr>
        <w:t>The redacted values correspond to the following ranges</w:t>
      </w:r>
      <w:r>
        <w:rPr>
          <w:i/>
        </w:rPr>
        <w:t xml:space="preserve">: </w:t>
      </w:r>
    </w:p>
    <w:p w:rsidR="00D829BB" w:rsidRPr="00D829BB" w:rsidRDefault="00D829BB" w:rsidP="00E43DA5">
      <w:pPr>
        <w:rPr>
          <w:rFonts w:ascii="Arial Narrow" w:hAnsi="Arial Narrow" w:cstheme="minorHAnsi"/>
          <w:i/>
          <w:sz w:val="18"/>
          <w:szCs w:val="18"/>
        </w:rPr>
      </w:pPr>
      <w:r>
        <w:rPr>
          <w:rFonts w:ascii="Arial Narrow" w:hAnsi="Arial Narrow" w:cstheme="minorHAnsi"/>
          <w:i/>
          <w:sz w:val="18"/>
          <w:szCs w:val="18"/>
          <w:vertAlign w:val="superscript"/>
        </w:rPr>
        <w:t xml:space="preserve">1 </w:t>
      </w:r>
      <w:r w:rsidRPr="00D829BB">
        <w:rPr>
          <w:rFonts w:ascii="Arial Narrow" w:hAnsi="Arial Narrow" w:cstheme="minorHAnsi"/>
          <w:i/>
          <w:sz w:val="18"/>
          <w:szCs w:val="18"/>
        </w:rPr>
        <w:t>&lt; 500</w:t>
      </w:r>
    </w:p>
    <w:p w:rsidR="00EF20C2" w:rsidRPr="00EF20C2" w:rsidRDefault="00EF20C2" w:rsidP="00E43DA5">
      <w:pPr>
        <w:rPr>
          <w:rFonts w:ascii="Arial Narrow" w:hAnsi="Arial Narrow"/>
          <w:sz w:val="18"/>
          <w:szCs w:val="18"/>
        </w:rPr>
      </w:pPr>
    </w:p>
    <w:p w:rsidR="00F30FA9" w:rsidRPr="00470FAC" w:rsidRDefault="00F30FA9" w:rsidP="00F30FA9">
      <w:pPr>
        <w:pStyle w:val="3-BodyText"/>
        <w:spacing w:after="160"/>
      </w:pPr>
      <w:r w:rsidRPr="00470FAC">
        <w:t>The estimated utilisation and costs for the PBS listing of darolutamide are provided in Table 1</w:t>
      </w:r>
      <w:r w:rsidR="000C08E6">
        <w:t>8</w:t>
      </w:r>
      <w:r w:rsidRPr="00470FAC">
        <w:t xml:space="preserve">.  </w:t>
      </w:r>
      <w:r w:rsidR="00EA70B6">
        <w:t xml:space="preserve"> Updated financial impact estimates provided in the pre-PBAC response are provided below. These estimates applied the revised AEMP of $</w:t>
      </w:r>
      <w:r w:rsidR="006C3115">
        <w:rPr>
          <w:noProof/>
          <w:color w:val="000000"/>
          <w:highlight w:val="black"/>
        </w:rPr>
        <w:t>'''''''''''''''</w:t>
      </w:r>
      <w:r w:rsidR="00EA70B6">
        <w:t xml:space="preserve">, a compliance rate of </w:t>
      </w:r>
      <w:r w:rsidR="006C3115">
        <w:rPr>
          <w:noProof/>
          <w:color w:val="000000"/>
          <w:highlight w:val="black"/>
        </w:rPr>
        <w:t>'''''</w:t>
      </w:r>
      <w:r w:rsidR="00EA70B6">
        <w:t>% and complied with ESCs advice that prescriptions for grandfathered patients be modelled separately to account for the duration of treatment already received.</w:t>
      </w:r>
    </w:p>
    <w:p w:rsidR="00C25D9C" w:rsidRPr="00606FBA" w:rsidRDefault="00F30FA9" w:rsidP="00EF20C2">
      <w:pPr>
        <w:pStyle w:val="3-BodyText"/>
        <w:numPr>
          <w:ilvl w:val="0"/>
          <w:numId w:val="0"/>
        </w:numPr>
        <w:spacing w:after="0"/>
      </w:pPr>
      <w:r>
        <w:rPr>
          <w:rStyle w:val="CommentReference"/>
          <w:szCs w:val="24"/>
        </w:rPr>
        <w:t>Table 1</w:t>
      </w:r>
      <w:r w:rsidR="000C08E6">
        <w:rPr>
          <w:rStyle w:val="CommentReference"/>
          <w:szCs w:val="24"/>
        </w:rPr>
        <w:t>8</w:t>
      </w:r>
      <w:r w:rsidR="002A2F50" w:rsidRPr="00F30FA9">
        <w:rPr>
          <w:rStyle w:val="CommentReference"/>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385A9D" w:rsidRPr="00D1078F" w:rsidTr="00923349">
        <w:trPr>
          <w:tblHeader/>
        </w:trPr>
        <w:tc>
          <w:tcPr>
            <w:tcW w:w="1116" w:type="pct"/>
            <w:shd w:val="clear" w:color="auto" w:fill="auto"/>
            <w:vAlign w:val="center"/>
          </w:tcPr>
          <w:p w:rsidR="00385A9D" w:rsidRPr="003639A6" w:rsidRDefault="00385A9D" w:rsidP="00606FBA">
            <w:pPr>
              <w:pStyle w:val="In-tableHeading"/>
              <w:jc w:val="center"/>
            </w:pPr>
          </w:p>
        </w:tc>
        <w:tc>
          <w:tcPr>
            <w:tcW w:w="647" w:type="pct"/>
            <w:shd w:val="clear" w:color="auto" w:fill="auto"/>
            <w:vAlign w:val="center"/>
          </w:tcPr>
          <w:p w:rsidR="00385A9D" w:rsidRPr="00D1078F" w:rsidRDefault="00385A9D" w:rsidP="00606FBA">
            <w:pPr>
              <w:pStyle w:val="In-tableHeading"/>
              <w:jc w:val="center"/>
            </w:pPr>
            <w:r w:rsidRPr="00D1078F">
              <w:t>Year 1</w:t>
            </w:r>
          </w:p>
        </w:tc>
        <w:tc>
          <w:tcPr>
            <w:tcW w:w="647" w:type="pct"/>
            <w:shd w:val="clear" w:color="auto" w:fill="auto"/>
            <w:vAlign w:val="center"/>
          </w:tcPr>
          <w:p w:rsidR="00385A9D" w:rsidRPr="00D1078F" w:rsidRDefault="00385A9D" w:rsidP="00606FBA">
            <w:pPr>
              <w:pStyle w:val="In-tableHeading"/>
              <w:jc w:val="center"/>
            </w:pPr>
            <w:r w:rsidRPr="00D1078F">
              <w:t>Year 2</w:t>
            </w:r>
          </w:p>
        </w:tc>
        <w:tc>
          <w:tcPr>
            <w:tcW w:w="647" w:type="pct"/>
            <w:shd w:val="clear" w:color="auto" w:fill="auto"/>
            <w:vAlign w:val="center"/>
          </w:tcPr>
          <w:p w:rsidR="00385A9D" w:rsidRPr="00D1078F" w:rsidRDefault="00385A9D" w:rsidP="00606FBA">
            <w:pPr>
              <w:pStyle w:val="In-tableHeading"/>
              <w:jc w:val="center"/>
            </w:pPr>
            <w:r w:rsidRPr="00D1078F">
              <w:t>Year 3</w:t>
            </w:r>
          </w:p>
        </w:tc>
        <w:tc>
          <w:tcPr>
            <w:tcW w:w="647" w:type="pct"/>
            <w:shd w:val="clear" w:color="auto" w:fill="auto"/>
            <w:vAlign w:val="center"/>
          </w:tcPr>
          <w:p w:rsidR="00385A9D" w:rsidRPr="00D1078F" w:rsidRDefault="00385A9D" w:rsidP="00606FBA">
            <w:pPr>
              <w:pStyle w:val="In-tableHeading"/>
              <w:jc w:val="center"/>
            </w:pPr>
            <w:r w:rsidRPr="00D1078F">
              <w:t>Year 4</w:t>
            </w:r>
          </w:p>
        </w:tc>
        <w:tc>
          <w:tcPr>
            <w:tcW w:w="647" w:type="pct"/>
            <w:shd w:val="clear" w:color="auto" w:fill="auto"/>
            <w:vAlign w:val="center"/>
          </w:tcPr>
          <w:p w:rsidR="00385A9D" w:rsidRPr="00D1078F" w:rsidRDefault="00385A9D" w:rsidP="00606FBA">
            <w:pPr>
              <w:pStyle w:val="In-tableHeading"/>
              <w:jc w:val="center"/>
            </w:pPr>
            <w:r w:rsidRPr="00D1078F">
              <w:t>Year 5</w:t>
            </w:r>
          </w:p>
        </w:tc>
        <w:tc>
          <w:tcPr>
            <w:tcW w:w="649" w:type="pct"/>
          </w:tcPr>
          <w:p w:rsidR="00385A9D" w:rsidRPr="00D1078F" w:rsidRDefault="00385A9D" w:rsidP="00606FBA">
            <w:pPr>
              <w:pStyle w:val="In-tableHeading"/>
              <w:jc w:val="center"/>
            </w:pPr>
            <w:r w:rsidRPr="00D1078F">
              <w:t>Year 6</w:t>
            </w:r>
          </w:p>
        </w:tc>
      </w:tr>
      <w:tr w:rsidR="00385A9D" w:rsidRPr="00D1078F" w:rsidTr="009C3A3A">
        <w:tc>
          <w:tcPr>
            <w:tcW w:w="5000" w:type="pct"/>
            <w:gridSpan w:val="7"/>
            <w:shd w:val="clear" w:color="auto" w:fill="auto"/>
            <w:vAlign w:val="center"/>
          </w:tcPr>
          <w:p w:rsidR="00385A9D" w:rsidRPr="00D1078F" w:rsidRDefault="00385A9D" w:rsidP="00606FBA">
            <w:pPr>
              <w:pStyle w:val="In-tableHeading"/>
              <w:rPr>
                <w:bCs/>
                <w:color w:val="000000"/>
              </w:rPr>
            </w:pPr>
            <w:r w:rsidRPr="00D1078F">
              <w:rPr>
                <w:bCs/>
                <w:color w:val="000000"/>
              </w:rPr>
              <w:t>Estimated extent of use</w:t>
            </w:r>
          </w:p>
        </w:tc>
      </w:tr>
      <w:tr w:rsidR="00923349" w:rsidRPr="003639A6" w:rsidTr="00923349">
        <w:tc>
          <w:tcPr>
            <w:tcW w:w="1116" w:type="pct"/>
            <w:shd w:val="clear" w:color="auto" w:fill="auto"/>
            <w:vAlign w:val="center"/>
          </w:tcPr>
          <w:p w:rsidR="00923349" w:rsidRPr="003639A6" w:rsidRDefault="00923349" w:rsidP="00923349">
            <w:pPr>
              <w:pStyle w:val="TableText0"/>
              <w:rPr>
                <w:rFonts w:ascii="Times" w:hAnsi="Times"/>
              </w:rPr>
            </w:pPr>
            <w:r w:rsidRPr="003639A6">
              <w:t>Number of patients treated</w:t>
            </w:r>
          </w:p>
        </w:tc>
        <w:tc>
          <w:tcPr>
            <w:tcW w:w="647" w:type="pct"/>
            <w:shd w:val="clear" w:color="auto" w:fill="auto"/>
          </w:tcPr>
          <w:p w:rsidR="00923349" w:rsidRPr="006C3115" w:rsidRDefault="006C3115" w:rsidP="00923349">
            <w:pPr>
              <w:pStyle w:val="TableText0"/>
              <w:jc w:val="center"/>
              <w:rPr>
                <w:color w:val="000000"/>
              </w:rPr>
            </w:pPr>
            <w:r>
              <w:rPr>
                <w:noProof/>
                <w:color w:val="000000"/>
                <w:highlight w:val="black"/>
              </w:rPr>
              <w:t>''''''''''''</w:t>
            </w:r>
            <w:r w:rsidR="00D829BB">
              <w:rPr>
                <w:sz w:val="19"/>
                <w:szCs w:val="19"/>
                <w:vertAlign w:val="superscript"/>
              </w:rPr>
              <w:t>1</w:t>
            </w:r>
          </w:p>
        </w:tc>
        <w:tc>
          <w:tcPr>
            <w:tcW w:w="647" w:type="pct"/>
            <w:shd w:val="clear" w:color="auto" w:fill="auto"/>
          </w:tcPr>
          <w:p w:rsidR="00923349" w:rsidRPr="006C3115" w:rsidRDefault="006C3115" w:rsidP="00923349">
            <w:pPr>
              <w:pStyle w:val="TableText0"/>
              <w:jc w:val="center"/>
              <w:rPr>
                <w:color w:val="000000"/>
              </w:rPr>
            </w:pPr>
            <w:r>
              <w:rPr>
                <w:noProof/>
                <w:color w:val="000000"/>
                <w:highlight w:val="black"/>
              </w:rPr>
              <w:t>''''''''''''</w:t>
            </w:r>
            <w:r w:rsidR="00D829BB">
              <w:rPr>
                <w:sz w:val="19"/>
                <w:szCs w:val="19"/>
                <w:vertAlign w:val="superscript"/>
              </w:rPr>
              <w:t>1</w:t>
            </w:r>
          </w:p>
        </w:tc>
        <w:tc>
          <w:tcPr>
            <w:tcW w:w="647" w:type="pct"/>
            <w:shd w:val="clear" w:color="auto" w:fill="auto"/>
          </w:tcPr>
          <w:p w:rsidR="00923349" w:rsidRPr="006C3115" w:rsidRDefault="006C3115" w:rsidP="00923349">
            <w:pPr>
              <w:pStyle w:val="TableText0"/>
              <w:jc w:val="center"/>
              <w:rPr>
                <w:color w:val="000000"/>
              </w:rPr>
            </w:pPr>
            <w:r>
              <w:rPr>
                <w:noProof/>
                <w:color w:val="000000"/>
                <w:highlight w:val="black"/>
              </w:rPr>
              <w:t>'''''''''''''''</w:t>
            </w:r>
            <w:r w:rsidR="00D829BB">
              <w:rPr>
                <w:sz w:val="19"/>
                <w:szCs w:val="19"/>
                <w:vertAlign w:val="superscript"/>
              </w:rPr>
              <w:t>1</w:t>
            </w:r>
          </w:p>
        </w:tc>
        <w:tc>
          <w:tcPr>
            <w:tcW w:w="647" w:type="pct"/>
            <w:shd w:val="clear" w:color="auto" w:fill="auto"/>
          </w:tcPr>
          <w:p w:rsidR="00923349" w:rsidRPr="006C3115" w:rsidRDefault="006C3115" w:rsidP="00923349">
            <w:pPr>
              <w:pStyle w:val="TableText0"/>
              <w:jc w:val="center"/>
              <w:rPr>
                <w:color w:val="000000"/>
              </w:rPr>
            </w:pPr>
            <w:r>
              <w:rPr>
                <w:noProof/>
                <w:color w:val="000000"/>
                <w:highlight w:val="black"/>
              </w:rPr>
              <w:t>''''''''''''</w:t>
            </w:r>
            <w:r w:rsidR="00D829BB">
              <w:rPr>
                <w:sz w:val="19"/>
                <w:szCs w:val="19"/>
                <w:vertAlign w:val="superscript"/>
              </w:rPr>
              <w:t>1</w:t>
            </w:r>
          </w:p>
        </w:tc>
        <w:tc>
          <w:tcPr>
            <w:tcW w:w="647" w:type="pct"/>
            <w:shd w:val="clear" w:color="auto" w:fill="auto"/>
          </w:tcPr>
          <w:p w:rsidR="00923349" w:rsidRPr="006C3115" w:rsidRDefault="006C3115" w:rsidP="00923349">
            <w:pPr>
              <w:pStyle w:val="TableText0"/>
              <w:jc w:val="center"/>
              <w:rPr>
                <w:color w:val="000000"/>
              </w:rPr>
            </w:pPr>
            <w:r>
              <w:rPr>
                <w:noProof/>
                <w:color w:val="000000"/>
                <w:highlight w:val="black"/>
              </w:rPr>
              <w:t>'''''''''''''</w:t>
            </w:r>
            <w:r w:rsidR="00D829BB">
              <w:rPr>
                <w:sz w:val="19"/>
                <w:szCs w:val="19"/>
                <w:vertAlign w:val="superscript"/>
              </w:rPr>
              <w:t>1</w:t>
            </w:r>
          </w:p>
        </w:tc>
        <w:tc>
          <w:tcPr>
            <w:tcW w:w="649" w:type="pct"/>
          </w:tcPr>
          <w:p w:rsidR="00923349" w:rsidRPr="006C3115" w:rsidRDefault="006C3115" w:rsidP="00923349">
            <w:pPr>
              <w:pStyle w:val="TableText0"/>
              <w:jc w:val="center"/>
              <w:rPr>
                <w:color w:val="000000"/>
              </w:rPr>
            </w:pPr>
            <w:r>
              <w:rPr>
                <w:noProof/>
                <w:color w:val="000000"/>
                <w:highlight w:val="black"/>
              </w:rPr>
              <w:t>'''''''''''''</w:t>
            </w:r>
            <w:r w:rsidR="00D829BB">
              <w:rPr>
                <w:sz w:val="19"/>
                <w:szCs w:val="19"/>
                <w:vertAlign w:val="superscript"/>
              </w:rPr>
              <w:t>1</w:t>
            </w:r>
          </w:p>
        </w:tc>
      </w:tr>
      <w:tr w:rsidR="00923349" w:rsidRPr="003639A6" w:rsidTr="00923349">
        <w:tc>
          <w:tcPr>
            <w:tcW w:w="1116" w:type="pct"/>
            <w:shd w:val="clear" w:color="auto" w:fill="auto"/>
            <w:vAlign w:val="center"/>
          </w:tcPr>
          <w:p w:rsidR="00923349" w:rsidRPr="003639A6" w:rsidRDefault="00923349" w:rsidP="00923349">
            <w:pPr>
              <w:pStyle w:val="TableText0"/>
              <w:rPr>
                <w:rFonts w:ascii="Times" w:hAnsi="Times"/>
              </w:rPr>
            </w:pPr>
            <w:r w:rsidRPr="003639A6">
              <w:t xml:space="preserve">Number of </w:t>
            </w:r>
            <w:r>
              <w:t>scripts</w:t>
            </w:r>
            <w:r w:rsidRPr="003639A6">
              <w:t xml:space="preserve"> dispensed</w:t>
            </w:r>
            <w:r w:rsidRPr="003639A6">
              <w:rPr>
                <w:vertAlign w:val="superscript"/>
              </w:rPr>
              <w:t>a</w:t>
            </w:r>
          </w:p>
        </w:tc>
        <w:tc>
          <w:tcPr>
            <w:tcW w:w="647" w:type="pct"/>
            <w:shd w:val="clear" w:color="auto" w:fill="auto"/>
          </w:tcPr>
          <w:p w:rsidR="00923349" w:rsidRPr="006C3115" w:rsidRDefault="006C3115" w:rsidP="00923349">
            <w:pPr>
              <w:pStyle w:val="TableText0"/>
              <w:jc w:val="center"/>
              <w:rPr>
                <w:color w:val="000000"/>
              </w:rPr>
            </w:pPr>
            <w:r>
              <w:rPr>
                <w:noProof/>
                <w:color w:val="000000"/>
                <w:highlight w:val="black"/>
              </w:rPr>
              <w:t>'''''''''''''''''</w:t>
            </w:r>
            <w:r w:rsidR="00D829BB">
              <w:rPr>
                <w:sz w:val="19"/>
                <w:szCs w:val="19"/>
                <w:vertAlign w:val="superscript"/>
              </w:rPr>
              <w:t>2</w:t>
            </w:r>
          </w:p>
        </w:tc>
        <w:tc>
          <w:tcPr>
            <w:tcW w:w="647" w:type="pct"/>
            <w:shd w:val="clear" w:color="auto" w:fill="auto"/>
          </w:tcPr>
          <w:p w:rsidR="00923349" w:rsidRPr="006C3115" w:rsidRDefault="006C3115" w:rsidP="00923349">
            <w:pPr>
              <w:pStyle w:val="TableText0"/>
              <w:jc w:val="center"/>
              <w:rPr>
                <w:color w:val="000000"/>
              </w:rPr>
            </w:pPr>
            <w:r>
              <w:rPr>
                <w:noProof/>
                <w:color w:val="000000"/>
                <w:highlight w:val="black"/>
              </w:rPr>
              <w:t>''''''''''''''''''</w:t>
            </w:r>
            <w:r w:rsidR="00D829BB">
              <w:rPr>
                <w:sz w:val="19"/>
                <w:szCs w:val="19"/>
                <w:vertAlign w:val="superscript"/>
              </w:rPr>
              <w:t>3</w:t>
            </w:r>
          </w:p>
        </w:tc>
        <w:tc>
          <w:tcPr>
            <w:tcW w:w="647" w:type="pct"/>
            <w:shd w:val="clear" w:color="auto" w:fill="auto"/>
          </w:tcPr>
          <w:p w:rsidR="00923349" w:rsidRPr="006C3115" w:rsidRDefault="006C3115" w:rsidP="00923349">
            <w:pPr>
              <w:pStyle w:val="TableText0"/>
              <w:jc w:val="center"/>
              <w:rPr>
                <w:color w:val="000000"/>
              </w:rPr>
            </w:pPr>
            <w:r>
              <w:rPr>
                <w:noProof/>
                <w:color w:val="000000"/>
                <w:highlight w:val="black"/>
              </w:rPr>
              <w:t>'''''''''''''''''</w:t>
            </w:r>
            <w:r w:rsidR="00D829BB">
              <w:rPr>
                <w:sz w:val="19"/>
                <w:szCs w:val="19"/>
                <w:vertAlign w:val="superscript"/>
              </w:rPr>
              <w:t>4</w:t>
            </w:r>
          </w:p>
        </w:tc>
        <w:tc>
          <w:tcPr>
            <w:tcW w:w="647" w:type="pct"/>
            <w:shd w:val="clear" w:color="auto" w:fill="auto"/>
          </w:tcPr>
          <w:p w:rsidR="00923349" w:rsidRPr="006C3115" w:rsidRDefault="006C3115" w:rsidP="00923349">
            <w:pPr>
              <w:pStyle w:val="TableText0"/>
              <w:jc w:val="center"/>
              <w:rPr>
                <w:color w:val="000000"/>
              </w:rPr>
            </w:pPr>
            <w:r>
              <w:rPr>
                <w:noProof/>
                <w:color w:val="000000"/>
                <w:highlight w:val="black"/>
              </w:rPr>
              <w:t>''''''''''''''''''</w:t>
            </w:r>
            <w:r w:rsidR="00D829BB">
              <w:rPr>
                <w:sz w:val="19"/>
                <w:szCs w:val="19"/>
                <w:vertAlign w:val="superscript"/>
              </w:rPr>
              <w:t>4</w:t>
            </w:r>
          </w:p>
        </w:tc>
        <w:tc>
          <w:tcPr>
            <w:tcW w:w="647" w:type="pct"/>
            <w:shd w:val="clear" w:color="auto" w:fill="auto"/>
          </w:tcPr>
          <w:p w:rsidR="00923349" w:rsidRPr="006C3115" w:rsidRDefault="006C3115" w:rsidP="00923349">
            <w:pPr>
              <w:pStyle w:val="TableText0"/>
              <w:jc w:val="center"/>
              <w:rPr>
                <w:color w:val="000000"/>
              </w:rPr>
            </w:pPr>
            <w:r>
              <w:rPr>
                <w:noProof/>
                <w:color w:val="000000"/>
                <w:highlight w:val="black"/>
              </w:rPr>
              <w:t>''''''''''''''''</w:t>
            </w:r>
            <w:r w:rsidR="00D829BB">
              <w:rPr>
                <w:sz w:val="19"/>
                <w:szCs w:val="19"/>
                <w:vertAlign w:val="superscript"/>
              </w:rPr>
              <w:t>4</w:t>
            </w:r>
          </w:p>
        </w:tc>
        <w:tc>
          <w:tcPr>
            <w:tcW w:w="649" w:type="pct"/>
          </w:tcPr>
          <w:p w:rsidR="00923349" w:rsidRPr="006C3115" w:rsidRDefault="006C3115" w:rsidP="00923349">
            <w:pPr>
              <w:pStyle w:val="TableText0"/>
              <w:jc w:val="center"/>
              <w:rPr>
                <w:color w:val="000000"/>
              </w:rPr>
            </w:pPr>
            <w:r>
              <w:rPr>
                <w:noProof/>
                <w:color w:val="000000"/>
                <w:highlight w:val="black"/>
              </w:rPr>
              <w:t>'''''''''''''''</w:t>
            </w:r>
            <w:r w:rsidR="00D829BB">
              <w:rPr>
                <w:sz w:val="19"/>
                <w:szCs w:val="19"/>
                <w:vertAlign w:val="superscript"/>
              </w:rPr>
              <w:t>4</w:t>
            </w:r>
          </w:p>
        </w:tc>
      </w:tr>
      <w:tr w:rsidR="00385A9D" w:rsidRPr="00D1078F" w:rsidTr="009C3A3A">
        <w:tc>
          <w:tcPr>
            <w:tcW w:w="5000" w:type="pct"/>
            <w:gridSpan w:val="7"/>
            <w:shd w:val="clear" w:color="auto" w:fill="auto"/>
            <w:vAlign w:val="center"/>
          </w:tcPr>
          <w:p w:rsidR="00385A9D" w:rsidRPr="00D1078F" w:rsidRDefault="00385A9D" w:rsidP="00606FBA">
            <w:pPr>
              <w:pStyle w:val="In-tableHeading"/>
            </w:pPr>
            <w:r w:rsidRPr="00D1078F">
              <w:t xml:space="preserve">Estimated </w:t>
            </w:r>
            <w:r>
              <w:t>financial implica</w:t>
            </w:r>
            <w:r w:rsidR="00923349">
              <w:t>tions of darolutamide</w:t>
            </w:r>
          </w:p>
        </w:tc>
      </w:tr>
      <w:tr w:rsidR="00923349" w:rsidRPr="003639A6" w:rsidTr="00923349">
        <w:tc>
          <w:tcPr>
            <w:tcW w:w="1116" w:type="pct"/>
            <w:shd w:val="clear" w:color="auto" w:fill="auto"/>
            <w:vAlign w:val="center"/>
          </w:tcPr>
          <w:p w:rsidR="00923349" w:rsidRDefault="00923349" w:rsidP="00923349">
            <w:pPr>
              <w:pStyle w:val="TableText0"/>
              <w:rPr>
                <w:sz w:val="19"/>
                <w:szCs w:val="19"/>
              </w:rPr>
            </w:pPr>
            <w:r>
              <w:rPr>
                <w:sz w:val="19"/>
                <w:szCs w:val="19"/>
              </w:rPr>
              <w:t>Cost to PBS/RPBS less copayments</w:t>
            </w:r>
          </w:p>
        </w:tc>
        <w:tc>
          <w:tcPr>
            <w:tcW w:w="647" w:type="pct"/>
            <w:shd w:val="clear" w:color="auto" w:fill="auto"/>
          </w:tcPr>
          <w:p w:rsidR="00923349" w:rsidRPr="003639A6" w:rsidRDefault="00923349" w:rsidP="00923349">
            <w:pPr>
              <w:pStyle w:val="TableText0"/>
              <w:jc w:val="center"/>
            </w:pPr>
            <w:r w:rsidRPr="003D2E66">
              <w:t>$</w:t>
            </w:r>
            <w:r w:rsidR="006C3115">
              <w:rPr>
                <w:noProof/>
                <w:color w:val="000000"/>
                <w:highlight w:val="black"/>
              </w:rPr>
              <w:t>''''''''''''''''''''''''''''</w:t>
            </w:r>
            <w:r w:rsidR="00D829BB">
              <w:rPr>
                <w:sz w:val="19"/>
                <w:szCs w:val="19"/>
                <w:vertAlign w:val="superscript"/>
              </w:rPr>
              <w:t>5</w:t>
            </w:r>
          </w:p>
        </w:tc>
        <w:tc>
          <w:tcPr>
            <w:tcW w:w="647" w:type="pct"/>
            <w:shd w:val="clear" w:color="auto" w:fill="auto"/>
          </w:tcPr>
          <w:p w:rsidR="00923349" w:rsidRPr="003639A6" w:rsidRDefault="00923349" w:rsidP="00923349">
            <w:pPr>
              <w:pStyle w:val="TableText0"/>
              <w:jc w:val="center"/>
            </w:pPr>
            <w:r w:rsidRPr="003D2E66">
              <w:t>$</w:t>
            </w:r>
            <w:r w:rsidR="006C3115">
              <w:rPr>
                <w:noProof/>
                <w:color w:val="000000"/>
                <w:highlight w:val="black"/>
              </w:rPr>
              <w:t>'''''''''''''''''''''''</w:t>
            </w:r>
            <w:r w:rsidR="00D829BB">
              <w:rPr>
                <w:sz w:val="19"/>
                <w:szCs w:val="19"/>
                <w:vertAlign w:val="superscript"/>
              </w:rPr>
              <w:t>6</w:t>
            </w:r>
          </w:p>
        </w:tc>
        <w:tc>
          <w:tcPr>
            <w:tcW w:w="647" w:type="pct"/>
            <w:shd w:val="clear" w:color="auto" w:fill="auto"/>
          </w:tcPr>
          <w:p w:rsidR="00923349" w:rsidRPr="003639A6" w:rsidRDefault="00923349" w:rsidP="00923349">
            <w:pPr>
              <w:pStyle w:val="TableText0"/>
              <w:jc w:val="center"/>
            </w:pPr>
            <w:r w:rsidRPr="003D2E66">
              <w:t>$</w:t>
            </w:r>
            <w:r w:rsidR="006C3115">
              <w:rPr>
                <w:noProof/>
                <w:color w:val="000000"/>
                <w:highlight w:val="black"/>
              </w:rPr>
              <w:t>''''''''''''''''''''''''''</w:t>
            </w:r>
            <w:r w:rsidR="00D829BB">
              <w:rPr>
                <w:sz w:val="19"/>
                <w:szCs w:val="19"/>
                <w:vertAlign w:val="superscript"/>
              </w:rPr>
              <w:t>7</w:t>
            </w:r>
          </w:p>
        </w:tc>
        <w:tc>
          <w:tcPr>
            <w:tcW w:w="647" w:type="pct"/>
            <w:shd w:val="clear" w:color="auto" w:fill="auto"/>
          </w:tcPr>
          <w:p w:rsidR="00923349" w:rsidRPr="003639A6" w:rsidRDefault="00923349" w:rsidP="00923349">
            <w:pPr>
              <w:pStyle w:val="TableText0"/>
              <w:jc w:val="center"/>
            </w:pPr>
            <w:r w:rsidRPr="003D2E66">
              <w:t>$</w:t>
            </w:r>
            <w:r w:rsidR="006C3115">
              <w:rPr>
                <w:noProof/>
                <w:color w:val="000000"/>
                <w:highlight w:val="black"/>
              </w:rPr>
              <w:t>''''''''''''''''''''''''</w:t>
            </w:r>
            <w:r w:rsidR="00D829BB">
              <w:rPr>
                <w:sz w:val="19"/>
                <w:szCs w:val="19"/>
                <w:vertAlign w:val="superscript"/>
              </w:rPr>
              <w:t>7</w:t>
            </w:r>
          </w:p>
        </w:tc>
        <w:tc>
          <w:tcPr>
            <w:tcW w:w="647" w:type="pct"/>
            <w:shd w:val="clear" w:color="auto" w:fill="auto"/>
          </w:tcPr>
          <w:p w:rsidR="00923349" w:rsidRPr="003639A6" w:rsidRDefault="00923349" w:rsidP="00923349">
            <w:pPr>
              <w:pStyle w:val="TableText0"/>
              <w:jc w:val="center"/>
            </w:pPr>
            <w:r w:rsidRPr="003D2E66">
              <w:t>$</w:t>
            </w:r>
            <w:r w:rsidR="006C3115">
              <w:rPr>
                <w:noProof/>
                <w:color w:val="000000"/>
                <w:highlight w:val="black"/>
              </w:rPr>
              <w:t>'''''''''''''''''''''''''''</w:t>
            </w:r>
            <w:r w:rsidR="00D829BB">
              <w:rPr>
                <w:sz w:val="19"/>
                <w:szCs w:val="19"/>
                <w:vertAlign w:val="superscript"/>
              </w:rPr>
              <w:t>8</w:t>
            </w:r>
          </w:p>
        </w:tc>
        <w:tc>
          <w:tcPr>
            <w:tcW w:w="649" w:type="pct"/>
          </w:tcPr>
          <w:p w:rsidR="00923349" w:rsidRPr="003639A6" w:rsidRDefault="00923349" w:rsidP="00923349">
            <w:pPr>
              <w:pStyle w:val="TableText0"/>
              <w:jc w:val="center"/>
            </w:pPr>
            <w:r w:rsidRPr="003D2E66">
              <w:t>$</w:t>
            </w:r>
            <w:r w:rsidR="006C3115">
              <w:rPr>
                <w:noProof/>
                <w:color w:val="000000"/>
                <w:highlight w:val="black"/>
              </w:rPr>
              <w:t>'''''''''''''''''''''''''''''</w:t>
            </w:r>
            <w:r w:rsidR="00D829BB">
              <w:rPr>
                <w:sz w:val="19"/>
                <w:szCs w:val="19"/>
                <w:vertAlign w:val="superscript"/>
              </w:rPr>
              <w:t>8</w:t>
            </w:r>
          </w:p>
        </w:tc>
      </w:tr>
      <w:tr w:rsidR="00385A9D" w:rsidRPr="003639A6" w:rsidTr="009C3A3A">
        <w:tc>
          <w:tcPr>
            <w:tcW w:w="5000" w:type="pct"/>
            <w:gridSpan w:val="7"/>
            <w:shd w:val="clear" w:color="auto" w:fill="auto"/>
            <w:vAlign w:val="center"/>
          </w:tcPr>
          <w:p w:rsidR="00385A9D" w:rsidRPr="00923349" w:rsidRDefault="00385A9D" w:rsidP="00606FBA">
            <w:pPr>
              <w:pStyle w:val="TableText0"/>
              <w:rPr>
                <w:b/>
              </w:rPr>
            </w:pPr>
            <w:r w:rsidRPr="00923349">
              <w:rPr>
                <w:b/>
              </w:rPr>
              <w:t>Estimated financial im</w:t>
            </w:r>
            <w:r w:rsidR="00923349" w:rsidRPr="00923349">
              <w:rPr>
                <w:b/>
              </w:rPr>
              <w:t>plications for subsequent mCRPC PBS listings (abiraterone, cabazitaxel, docetaxel and enzalutamide)</w:t>
            </w:r>
          </w:p>
        </w:tc>
      </w:tr>
      <w:tr w:rsidR="00923349" w:rsidRPr="003639A6" w:rsidTr="00CD2670">
        <w:tc>
          <w:tcPr>
            <w:tcW w:w="1116" w:type="pct"/>
            <w:shd w:val="clear" w:color="auto" w:fill="auto"/>
            <w:vAlign w:val="center"/>
          </w:tcPr>
          <w:p w:rsidR="00923349" w:rsidRDefault="00923349" w:rsidP="00923349">
            <w:pPr>
              <w:pStyle w:val="TableText0"/>
              <w:rPr>
                <w:sz w:val="19"/>
                <w:szCs w:val="19"/>
              </w:rPr>
            </w:pPr>
            <w:r>
              <w:rPr>
                <w:sz w:val="19"/>
                <w:szCs w:val="19"/>
              </w:rPr>
              <w:t>Cost to PBS/RPBS less copayments</w:t>
            </w:r>
          </w:p>
        </w:tc>
        <w:tc>
          <w:tcPr>
            <w:tcW w:w="647" w:type="pct"/>
            <w:shd w:val="clear" w:color="auto" w:fill="auto"/>
          </w:tcPr>
          <w:p w:rsidR="00923349" w:rsidRPr="003639A6" w:rsidRDefault="00923349" w:rsidP="00923349">
            <w:pPr>
              <w:pStyle w:val="TableText0"/>
              <w:jc w:val="center"/>
            </w:pPr>
            <w:r w:rsidRPr="00F961D0">
              <w:t>-$</w:t>
            </w:r>
            <w:r w:rsidR="006C3115">
              <w:rPr>
                <w:noProof/>
                <w:color w:val="000000"/>
                <w:highlight w:val="black"/>
              </w:rPr>
              <w:t>'''''''''''''''''''''''</w:t>
            </w:r>
            <w:r w:rsidR="00704191">
              <w:rPr>
                <w:sz w:val="19"/>
                <w:szCs w:val="19"/>
                <w:vertAlign w:val="superscript"/>
              </w:rPr>
              <w:t>9</w:t>
            </w:r>
          </w:p>
        </w:tc>
        <w:tc>
          <w:tcPr>
            <w:tcW w:w="647" w:type="pct"/>
            <w:shd w:val="clear" w:color="auto" w:fill="auto"/>
          </w:tcPr>
          <w:p w:rsidR="00923349" w:rsidRPr="003639A6" w:rsidRDefault="00923349" w:rsidP="00923349">
            <w:pPr>
              <w:pStyle w:val="TableText0"/>
              <w:jc w:val="center"/>
            </w:pPr>
            <w:r w:rsidRPr="00F961D0">
              <w:t>-$</w:t>
            </w:r>
            <w:r w:rsidR="006C3115">
              <w:rPr>
                <w:noProof/>
                <w:color w:val="000000"/>
                <w:highlight w:val="black"/>
              </w:rPr>
              <w:t>''''''''''''''''''''''''</w:t>
            </w:r>
            <w:r w:rsidR="00704191">
              <w:rPr>
                <w:sz w:val="19"/>
                <w:szCs w:val="19"/>
                <w:vertAlign w:val="superscript"/>
              </w:rPr>
              <w:t>9</w:t>
            </w:r>
          </w:p>
        </w:tc>
        <w:tc>
          <w:tcPr>
            <w:tcW w:w="647" w:type="pct"/>
            <w:shd w:val="clear" w:color="auto" w:fill="auto"/>
          </w:tcPr>
          <w:p w:rsidR="00923349" w:rsidRPr="003639A6" w:rsidRDefault="00923349" w:rsidP="00923349">
            <w:pPr>
              <w:pStyle w:val="TableText0"/>
              <w:jc w:val="center"/>
            </w:pPr>
            <w:r w:rsidRPr="00F961D0">
              <w:t>-$</w:t>
            </w:r>
            <w:r w:rsidR="006C3115">
              <w:rPr>
                <w:noProof/>
                <w:color w:val="000000"/>
                <w:highlight w:val="black"/>
              </w:rPr>
              <w:t>'''''''''''''''''''''''</w:t>
            </w:r>
            <w:r w:rsidR="00704191">
              <w:rPr>
                <w:sz w:val="19"/>
                <w:szCs w:val="19"/>
                <w:vertAlign w:val="superscript"/>
              </w:rPr>
              <w:t>9</w:t>
            </w:r>
          </w:p>
        </w:tc>
        <w:tc>
          <w:tcPr>
            <w:tcW w:w="647" w:type="pct"/>
            <w:shd w:val="clear" w:color="auto" w:fill="auto"/>
          </w:tcPr>
          <w:p w:rsidR="00923349" w:rsidRPr="003639A6" w:rsidRDefault="00923349" w:rsidP="00923349">
            <w:pPr>
              <w:pStyle w:val="TableText0"/>
              <w:jc w:val="center"/>
            </w:pPr>
            <w:r w:rsidRPr="00F961D0">
              <w:t>-$</w:t>
            </w:r>
            <w:r w:rsidR="006C3115">
              <w:rPr>
                <w:noProof/>
                <w:color w:val="000000"/>
                <w:highlight w:val="black"/>
              </w:rPr>
              <w:t>''''''''''''''''''''''''''</w:t>
            </w:r>
            <w:r w:rsidR="00704191">
              <w:rPr>
                <w:sz w:val="19"/>
                <w:szCs w:val="19"/>
                <w:vertAlign w:val="superscript"/>
              </w:rPr>
              <w:t>9</w:t>
            </w:r>
          </w:p>
        </w:tc>
        <w:tc>
          <w:tcPr>
            <w:tcW w:w="647" w:type="pct"/>
            <w:shd w:val="clear" w:color="auto" w:fill="auto"/>
          </w:tcPr>
          <w:p w:rsidR="00923349" w:rsidRPr="003639A6" w:rsidRDefault="00923349" w:rsidP="00923349">
            <w:pPr>
              <w:pStyle w:val="TableText0"/>
              <w:jc w:val="center"/>
            </w:pPr>
            <w:r w:rsidRPr="00F961D0">
              <w:t>-$</w:t>
            </w:r>
            <w:r w:rsidR="006C3115">
              <w:rPr>
                <w:noProof/>
                <w:color w:val="000000"/>
                <w:highlight w:val="black"/>
              </w:rPr>
              <w:t>'''''''''''''''''''''''''</w:t>
            </w:r>
            <w:r w:rsidR="00704191">
              <w:rPr>
                <w:sz w:val="19"/>
                <w:szCs w:val="19"/>
                <w:vertAlign w:val="superscript"/>
              </w:rPr>
              <w:t>9</w:t>
            </w:r>
          </w:p>
        </w:tc>
        <w:tc>
          <w:tcPr>
            <w:tcW w:w="649" w:type="pct"/>
          </w:tcPr>
          <w:p w:rsidR="00923349" w:rsidRPr="003639A6" w:rsidRDefault="00923349" w:rsidP="00923349">
            <w:pPr>
              <w:pStyle w:val="TableText0"/>
              <w:jc w:val="center"/>
            </w:pPr>
            <w:r w:rsidRPr="00F961D0">
              <w:t>-$</w:t>
            </w:r>
            <w:r w:rsidR="006C3115">
              <w:rPr>
                <w:noProof/>
                <w:color w:val="000000"/>
                <w:highlight w:val="black"/>
              </w:rPr>
              <w:t>'''''''''''''''''''''''''</w:t>
            </w:r>
            <w:r w:rsidR="00704191">
              <w:rPr>
                <w:sz w:val="19"/>
                <w:szCs w:val="19"/>
                <w:vertAlign w:val="superscript"/>
              </w:rPr>
              <w:t>9</w:t>
            </w:r>
          </w:p>
        </w:tc>
      </w:tr>
      <w:tr w:rsidR="00385A9D" w:rsidRPr="00FC22AB" w:rsidTr="009C3A3A">
        <w:tc>
          <w:tcPr>
            <w:tcW w:w="5000" w:type="pct"/>
            <w:gridSpan w:val="7"/>
            <w:shd w:val="clear" w:color="auto" w:fill="auto"/>
            <w:vAlign w:val="center"/>
          </w:tcPr>
          <w:p w:rsidR="00385A9D" w:rsidRPr="00FC22AB" w:rsidRDefault="00385A9D" w:rsidP="00923349">
            <w:pPr>
              <w:pStyle w:val="In-tableHeading"/>
            </w:pPr>
            <w:r w:rsidRPr="00FC22AB">
              <w:t>Net financial implications</w:t>
            </w:r>
          </w:p>
        </w:tc>
      </w:tr>
      <w:tr w:rsidR="00923349" w:rsidRPr="003639A6" w:rsidTr="00CD2670">
        <w:tc>
          <w:tcPr>
            <w:tcW w:w="1116" w:type="pct"/>
            <w:shd w:val="clear" w:color="auto" w:fill="auto"/>
            <w:vAlign w:val="center"/>
          </w:tcPr>
          <w:p w:rsidR="00923349" w:rsidRDefault="00923349" w:rsidP="00923349">
            <w:pPr>
              <w:pStyle w:val="TableText0"/>
              <w:rPr>
                <w:sz w:val="19"/>
                <w:szCs w:val="19"/>
              </w:rPr>
            </w:pPr>
            <w:r>
              <w:rPr>
                <w:sz w:val="19"/>
                <w:szCs w:val="19"/>
              </w:rPr>
              <w:t>Net cost to PBS/RPBS</w:t>
            </w:r>
          </w:p>
        </w:tc>
        <w:tc>
          <w:tcPr>
            <w:tcW w:w="647" w:type="pct"/>
            <w:shd w:val="clear" w:color="auto" w:fill="auto"/>
          </w:tcPr>
          <w:p w:rsidR="00923349" w:rsidRPr="003639A6" w:rsidRDefault="00923349" w:rsidP="00923349">
            <w:pPr>
              <w:pStyle w:val="TableText0"/>
              <w:jc w:val="center"/>
            </w:pPr>
            <w:r w:rsidRPr="00797602">
              <w:t>$</w:t>
            </w:r>
            <w:r w:rsidR="006C3115">
              <w:rPr>
                <w:noProof/>
                <w:color w:val="000000"/>
                <w:highlight w:val="black"/>
              </w:rPr>
              <w:t>''''''''''''''''''''''''''''</w:t>
            </w:r>
            <w:r w:rsidR="00704191">
              <w:rPr>
                <w:sz w:val="19"/>
                <w:szCs w:val="19"/>
                <w:vertAlign w:val="superscript"/>
              </w:rPr>
              <w:t>10</w:t>
            </w:r>
          </w:p>
        </w:tc>
        <w:tc>
          <w:tcPr>
            <w:tcW w:w="647" w:type="pct"/>
            <w:shd w:val="clear" w:color="auto" w:fill="auto"/>
          </w:tcPr>
          <w:p w:rsidR="00923349" w:rsidRPr="003639A6" w:rsidRDefault="00923349" w:rsidP="00923349">
            <w:pPr>
              <w:pStyle w:val="TableText0"/>
              <w:jc w:val="center"/>
            </w:pPr>
            <w:r w:rsidRPr="00797602">
              <w:t>$</w:t>
            </w:r>
            <w:r w:rsidR="006C3115">
              <w:rPr>
                <w:noProof/>
                <w:color w:val="000000"/>
                <w:highlight w:val="black"/>
              </w:rPr>
              <w:t>'''''''''''''''''''''''</w:t>
            </w:r>
            <w:r w:rsidR="00704191">
              <w:rPr>
                <w:sz w:val="19"/>
                <w:szCs w:val="19"/>
                <w:vertAlign w:val="superscript"/>
              </w:rPr>
              <w:t>6</w:t>
            </w:r>
          </w:p>
        </w:tc>
        <w:tc>
          <w:tcPr>
            <w:tcW w:w="647" w:type="pct"/>
            <w:shd w:val="clear" w:color="auto" w:fill="auto"/>
          </w:tcPr>
          <w:p w:rsidR="00923349" w:rsidRPr="003639A6" w:rsidRDefault="00923349" w:rsidP="00923349">
            <w:pPr>
              <w:pStyle w:val="TableText0"/>
              <w:jc w:val="center"/>
            </w:pPr>
            <w:r w:rsidRPr="00797602">
              <w:t>$</w:t>
            </w:r>
            <w:r w:rsidR="006C3115">
              <w:rPr>
                <w:noProof/>
                <w:color w:val="000000"/>
                <w:highlight w:val="black"/>
              </w:rPr>
              <w:t>'''''''''''''''''''''''''''''</w:t>
            </w:r>
            <w:r w:rsidR="00704191">
              <w:rPr>
                <w:sz w:val="19"/>
                <w:szCs w:val="19"/>
                <w:vertAlign w:val="superscript"/>
              </w:rPr>
              <w:t>7</w:t>
            </w:r>
          </w:p>
        </w:tc>
        <w:tc>
          <w:tcPr>
            <w:tcW w:w="647" w:type="pct"/>
            <w:shd w:val="clear" w:color="auto" w:fill="auto"/>
          </w:tcPr>
          <w:p w:rsidR="00923349" w:rsidRPr="003639A6" w:rsidRDefault="00923349" w:rsidP="00923349">
            <w:pPr>
              <w:pStyle w:val="TableText0"/>
              <w:jc w:val="center"/>
            </w:pPr>
            <w:r w:rsidRPr="00797602">
              <w:t>$</w:t>
            </w:r>
            <w:r w:rsidR="006C3115">
              <w:rPr>
                <w:noProof/>
                <w:color w:val="000000"/>
                <w:highlight w:val="black"/>
              </w:rPr>
              <w:t>''''''''''''''''''''''''</w:t>
            </w:r>
            <w:r w:rsidR="00704191">
              <w:rPr>
                <w:sz w:val="19"/>
                <w:szCs w:val="19"/>
                <w:vertAlign w:val="superscript"/>
              </w:rPr>
              <w:t>7</w:t>
            </w:r>
          </w:p>
        </w:tc>
        <w:tc>
          <w:tcPr>
            <w:tcW w:w="647" w:type="pct"/>
            <w:shd w:val="clear" w:color="auto" w:fill="auto"/>
          </w:tcPr>
          <w:p w:rsidR="00923349" w:rsidRPr="003639A6" w:rsidRDefault="00923349" w:rsidP="00923349">
            <w:pPr>
              <w:pStyle w:val="TableText0"/>
              <w:jc w:val="center"/>
            </w:pPr>
            <w:r w:rsidRPr="00797602">
              <w:t>$</w:t>
            </w:r>
            <w:r w:rsidR="006C3115">
              <w:rPr>
                <w:noProof/>
                <w:color w:val="000000"/>
                <w:highlight w:val="black"/>
              </w:rPr>
              <w:t>''''''''''''''''''''''''</w:t>
            </w:r>
            <w:r w:rsidR="00704191">
              <w:rPr>
                <w:sz w:val="19"/>
                <w:szCs w:val="19"/>
                <w:vertAlign w:val="superscript"/>
              </w:rPr>
              <w:t>7</w:t>
            </w:r>
          </w:p>
        </w:tc>
        <w:tc>
          <w:tcPr>
            <w:tcW w:w="649" w:type="pct"/>
          </w:tcPr>
          <w:p w:rsidR="00923349" w:rsidRPr="003639A6" w:rsidRDefault="00923349" w:rsidP="00923349">
            <w:pPr>
              <w:pStyle w:val="TableText0"/>
              <w:jc w:val="center"/>
            </w:pPr>
            <w:r w:rsidRPr="00797602">
              <w:t>$</w:t>
            </w:r>
            <w:r w:rsidR="006C3115">
              <w:rPr>
                <w:noProof/>
                <w:color w:val="000000"/>
                <w:highlight w:val="black"/>
              </w:rPr>
              <w:t>'''''''''''''''''''''''''''''</w:t>
            </w:r>
            <w:r w:rsidR="00704191">
              <w:rPr>
                <w:sz w:val="19"/>
                <w:szCs w:val="19"/>
                <w:vertAlign w:val="superscript"/>
              </w:rPr>
              <w:t>7</w:t>
            </w:r>
          </w:p>
        </w:tc>
      </w:tr>
      <w:tr w:rsidR="00923349" w:rsidRPr="003639A6" w:rsidTr="00CD2670">
        <w:tc>
          <w:tcPr>
            <w:tcW w:w="1116" w:type="pct"/>
            <w:shd w:val="clear" w:color="auto" w:fill="auto"/>
            <w:vAlign w:val="center"/>
          </w:tcPr>
          <w:p w:rsidR="00923349" w:rsidRPr="00D829BB" w:rsidRDefault="00923349" w:rsidP="00D829BB">
            <w:pPr>
              <w:pStyle w:val="TableText0"/>
              <w:rPr>
                <w:rFonts w:ascii="Times" w:hAnsi="Times"/>
                <w:vertAlign w:val="superscript"/>
              </w:rPr>
            </w:pPr>
            <w:r>
              <w:rPr>
                <w:sz w:val="19"/>
                <w:szCs w:val="19"/>
              </w:rPr>
              <w:t>Net cost to</w:t>
            </w:r>
            <w:r w:rsidRPr="003639A6">
              <w:rPr>
                <w:sz w:val="19"/>
                <w:szCs w:val="19"/>
              </w:rPr>
              <w:t xml:space="preserve"> </w:t>
            </w:r>
            <w:r>
              <w:rPr>
                <w:sz w:val="19"/>
                <w:szCs w:val="19"/>
              </w:rPr>
              <w:t>MBS</w:t>
            </w:r>
          </w:p>
        </w:tc>
        <w:tc>
          <w:tcPr>
            <w:tcW w:w="647" w:type="pct"/>
            <w:shd w:val="clear" w:color="auto" w:fill="auto"/>
            <w:vAlign w:val="center"/>
          </w:tcPr>
          <w:p w:rsidR="00923349" w:rsidRPr="003639A6" w:rsidRDefault="00923349" w:rsidP="00923349">
            <w:pPr>
              <w:pStyle w:val="TableText0"/>
              <w:jc w:val="center"/>
            </w:pPr>
            <w:r>
              <w:t>No change</w:t>
            </w:r>
          </w:p>
        </w:tc>
        <w:tc>
          <w:tcPr>
            <w:tcW w:w="647" w:type="pct"/>
            <w:shd w:val="clear" w:color="auto" w:fill="auto"/>
          </w:tcPr>
          <w:p w:rsidR="00923349" w:rsidRPr="003639A6" w:rsidRDefault="00923349" w:rsidP="00923349">
            <w:pPr>
              <w:pStyle w:val="TableText0"/>
              <w:jc w:val="center"/>
            </w:pPr>
            <w:r w:rsidRPr="00585A87">
              <w:t>No change</w:t>
            </w:r>
          </w:p>
        </w:tc>
        <w:tc>
          <w:tcPr>
            <w:tcW w:w="647" w:type="pct"/>
            <w:shd w:val="clear" w:color="auto" w:fill="auto"/>
          </w:tcPr>
          <w:p w:rsidR="00923349" w:rsidRPr="003639A6" w:rsidRDefault="00923349" w:rsidP="00923349">
            <w:pPr>
              <w:pStyle w:val="TableText0"/>
              <w:jc w:val="center"/>
            </w:pPr>
            <w:r w:rsidRPr="00585A87">
              <w:t>No change</w:t>
            </w:r>
          </w:p>
        </w:tc>
        <w:tc>
          <w:tcPr>
            <w:tcW w:w="647" w:type="pct"/>
            <w:shd w:val="clear" w:color="auto" w:fill="auto"/>
          </w:tcPr>
          <w:p w:rsidR="00923349" w:rsidRPr="003639A6" w:rsidRDefault="00923349" w:rsidP="00923349">
            <w:pPr>
              <w:pStyle w:val="TableText0"/>
              <w:jc w:val="center"/>
            </w:pPr>
            <w:r w:rsidRPr="00585A87">
              <w:t>No change</w:t>
            </w:r>
          </w:p>
        </w:tc>
        <w:tc>
          <w:tcPr>
            <w:tcW w:w="647" w:type="pct"/>
            <w:shd w:val="clear" w:color="auto" w:fill="auto"/>
          </w:tcPr>
          <w:p w:rsidR="00923349" w:rsidRPr="003639A6" w:rsidRDefault="00923349" w:rsidP="00923349">
            <w:pPr>
              <w:pStyle w:val="TableText0"/>
              <w:jc w:val="center"/>
            </w:pPr>
            <w:r w:rsidRPr="00585A87">
              <w:t>No change</w:t>
            </w:r>
          </w:p>
        </w:tc>
        <w:tc>
          <w:tcPr>
            <w:tcW w:w="649" w:type="pct"/>
          </w:tcPr>
          <w:p w:rsidR="00923349" w:rsidRPr="003639A6" w:rsidRDefault="00923349" w:rsidP="00923349">
            <w:pPr>
              <w:pStyle w:val="TableText0"/>
              <w:jc w:val="center"/>
            </w:pPr>
            <w:r w:rsidRPr="00585A87">
              <w:t>No change</w:t>
            </w:r>
          </w:p>
        </w:tc>
      </w:tr>
      <w:tr w:rsidR="00EA70B6" w:rsidRPr="003639A6" w:rsidTr="003D7335">
        <w:tc>
          <w:tcPr>
            <w:tcW w:w="1" w:type="pct"/>
            <w:gridSpan w:val="7"/>
            <w:shd w:val="clear" w:color="auto" w:fill="auto"/>
            <w:vAlign w:val="center"/>
          </w:tcPr>
          <w:p w:rsidR="00EA70B6" w:rsidRPr="00EA70B6" w:rsidRDefault="00EA70B6" w:rsidP="00EA70B6">
            <w:pPr>
              <w:pStyle w:val="TableText0"/>
              <w:rPr>
                <w:b/>
              </w:rPr>
            </w:pPr>
            <w:r w:rsidRPr="00EA70B6">
              <w:rPr>
                <w:b/>
              </w:rPr>
              <w:t>Pre-PBAC revised financial implications</w:t>
            </w:r>
          </w:p>
        </w:tc>
      </w:tr>
      <w:tr w:rsidR="00EA70B6" w:rsidRPr="003639A6" w:rsidTr="00CD2670">
        <w:tc>
          <w:tcPr>
            <w:tcW w:w="1116" w:type="pct"/>
            <w:shd w:val="clear" w:color="auto" w:fill="auto"/>
            <w:vAlign w:val="center"/>
          </w:tcPr>
          <w:p w:rsidR="00EA70B6" w:rsidRDefault="00EA70B6" w:rsidP="00923349">
            <w:pPr>
              <w:pStyle w:val="TableText0"/>
              <w:rPr>
                <w:sz w:val="19"/>
                <w:szCs w:val="19"/>
              </w:rPr>
            </w:pPr>
            <w:r>
              <w:rPr>
                <w:sz w:val="19"/>
                <w:szCs w:val="19"/>
              </w:rPr>
              <w:t>Cost to PBS/RPBS</w:t>
            </w:r>
          </w:p>
        </w:tc>
        <w:tc>
          <w:tcPr>
            <w:tcW w:w="647" w:type="pct"/>
            <w:shd w:val="clear" w:color="auto" w:fill="auto"/>
            <w:vAlign w:val="center"/>
          </w:tcPr>
          <w:p w:rsidR="00EA70B6" w:rsidRDefault="00EA70B6" w:rsidP="00923349">
            <w:pPr>
              <w:pStyle w:val="TableText0"/>
              <w:jc w:val="center"/>
            </w:pPr>
            <w:r>
              <w:t>$</w:t>
            </w:r>
            <w:r w:rsidR="006C3115">
              <w:rPr>
                <w:noProof/>
                <w:color w:val="000000"/>
                <w:highlight w:val="black"/>
              </w:rPr>
              <w:t>'''''''''''''''''''''''</w:t>
            </w:r>
            <w:r w:rsidR="00704191">
              <w:rPr>
                <w:sz w:val="19"/>
                <w:szCs w:val="19"/>
                <w:vertAlign w:val="superscript"/>
              </w:rPr>
              <w:t>11</w:t>
            </w:r>
          </w:p>
        </w:tc>
        <w:tc>
          <w:tcPr>
            <w:tcW w:w="647" w:type="pct"/>
            <w:shd w:val="clear" w:color="auto" w:fill="auto"/>
          </w:tcPr>
          <w:p w:rsidR="00EA70B6" w:rsidRPr="00585A87" w:rsidRDefault="00EA70B6" w:rsidP="00923349">
            <w:pPr>
              <w:pStyle w:val="TableText0"/>
              <w:jc w:val="center"/>
            </w:pPr>
            <w:r>
              <w:t>$</w:t>
            </w:r>
            <w:r w:rsidR="006C3115">
              <w:rPr>
                <w:noProof/>
                <w:color w:val="000000"/>
                <w:highlight w:val="black"/>
              </w:rPr>
              <w:t>'''''''''''''''''''''''''''</w:t>
            </w:r>
            <w:r w:rsidR="00704191">
              <w:rPr>
                <w:sz w:val="19"/>
                <w:szCs w:val="19"/>
                <w:vertAlign w:val="superscript"/>
              </w:rPr>
              <w:t>10</w:t>
            </w:r>
          </w:p>
        </w:tc>
        <w:tc>
          <w:tcPr>
            <w:tcW w:w="647" w:type="pct"/>
            <w:shd w:val="clear" w:color="auto" w:fill="auto"/>
          </w:tcPr>
          <w:p w:rsidR="00EA70B6" w:rsidRPr="00585A87" w:rsidRDefault="00EA70B6" w:rsidP="00923349">
            <w:pPr>
              <w:pStyle w:val="TableText0"/>
              <w:jc w:val="center"/>
            </w:pPr>
            <w:r>
              <w:t>$</w:t>
            </w:r>
            <w:r w:rsidR="006C3115">
              <w:rPr>
                <w:noProof/>
                <w:color w:val="000000"/>
                <w:highlight w:val="black"/>
              </w:rPr>
              <w:t>'''''''''''''''''''''''''''''</w:t>
            </w:r>
            <w:r w:rsidR="00704191">
              <w:rPr>
                <w:sz w:val="19"/>
                <w:szCs w:val="19"/>
                <w:vertAlign w:val="superscript"/>
              </w:rPr>
              <w:t>5</w:t>
            </w:r>
          </w:p>
        </w:tc>
        <w:tc>
          <w:tcPr>
            <w:tcW w:w="647" w:type="pct"/>
            <w:shd w:val="clear" w:color="auto" w:fill="auto"/>
          </w:tcPr>
          <w:p w:rsidR="00EA70B6" w:rsidRPr="00585A87" w:rsidRDefault="00EA70B6" w:rsidP="00923349">
            <w:pPr>
              <w:pStyle w:val="TableText0"/>
              <w:jc w:val="center"/>
            </w:pPr>
            <w:r>
              <w:t>$</w:t>
            </w:r>
            <w:r w:rsidR="006C3115">
              <w:rPr>
                <w:noProof/>
                <w:color w:val="000000"/>
                <w:highlight w:val="black"/>
              </w:rPr>
              <w:t>'''''''''''''''''''''''''''''</w:t>
            </w:r>
            <w:r w:rsidR="00704191">
              <w:rPr>
                <w:sz w:val="19"/>
                <w:szCs w:val="19"/>
                <w:vertAlign w:val="superscript"/>
              </w:rPr>
              <w:t>5</w:t>
            </w:r>
          </w:p>
        </w:tc>
        <w:tc>
          <w:tcPr>
            <w:tcW w:w="647" w:type="pct"/>
            <w:shd w:val="clear" w:color="auto" w:fill="auto"/>
          </w:tcPr>
          <w:p w:rsidR="00EA70B6" w:rsidRPr="00585A87" w:rsidRDefault="00EA70B6" w:rsidP="00923349">
            <w:pPr>
              <w:pStyle w:val="TableText0"/>
              <w:jc w:val="center"/>
            </w:pPr>
            <w:r>
              <w:t>$</w:t>
            </w:r>
            <w:r w:rsidR="006C3115">
              <w:rPr>
                <w:noProof/>
                <w:color w:val="000000"/>
                <w:highlight w:val="black"/>
              </w:rPr>
              <w:t>''''''''''''''''''''''''''''</w:t>
            </w:r>
            <w:r w:rsidR="00704191">
              <w:rPr>
                <w:sz w:val="19"/>
                <w:szCs w:val="19"/>
                <w:vertAlign w:val="superscript"/>
              </w:rPr>
              <w:t>5</w:t>
            </w:r>
          </w:p>
        </w:tc>
        <w:tc>
          <w:tcPr>
            <w:tcW w:w="649" w:type="pct"/>
          </w:tcPr>
          <w:p w:rsidR="00EA70B6" w:rsidRPr="00585A87" w:rsidRDefault="00EA70B6" w:rsidP="00923349">
            <w:pPr>
              <w:pStyle w:val="TableText0"/>
              <w:jc w:val="center"/>
            </w:pPr>
            <w:r>
              <w:t>$</w:t>
            </w:r>
            <w:r w:rsidR="006C3115">
              <w:rPr>
                <w:noProof/>
                <w:color w:val="000000"/>
                <w:highlight w:val="black"/>
              </w:rPr>
              <w:t>'''''''''''''''''''''''''''</w:t>
            </w:r>
            <w:r w:rsidR="00704191">
              <w:rPr>
                <w:sz w:val="19"/>
                <w:szCs w:val="19"/>
                <w:vertAlign w:val="superscript"/>
              </w:rPr>
              <w:t>5</w:t>
            </w:r>
          </w:p>
        </w:tc>
      </w:tr>
      <w:tr w:rsidR="000902D9" w:rsidRPr="003639A6" w:rsidTr="006A65C9">
        <w:tc>
          <w:tcPr>
            <w:tcW w:w="5000" w:type="pct"/>
            <w:gridSpan w:val="7"/>
            <w:shd w:val="clear" w:color="auto" w:fill="auto"/>
            <w:vAlign w:val="center"/>
          </w:tcPr>
          <w:p w:rsidR="000902D9" w:rsidRPr="000902D9" w:rsidRDefault="000902D9" w:rsidP="00606FBA">
            <w:pPr>
              <w:pStyle w:val="In-tableHeading"/>
            </w:pPr>
            <w:r>
              <w:t>P</w:t>
            </w:r>
            <w:r w:rsidR="00923349">
              <w:t>revious submission July 2020</w:t>
            </w:r>
          </w:p>
        </w:tc>
      </w:tr>
      <w:tr w:rsidR="006D3C72" w:rsidRPr="003639A6" w:rsidTr="006A65C9">
        <w:tc>
          <w:tcPr>
            <w:tcW w:w="1116" w:type="pct"/>
            <w:shd w:val="clear" w:color="auto" w:fill="auto"/>
            <w:vAlign w:val="center"/>
          </w:tcPr>
          <w:p w:rsidR="006D3C72" w:rsidRDefault="006D3C72" w:rsidP="006D3C72">
            <w:pPr>
              <w:pStyle w:val="TableText0"/>
              <w:rPr>
                <w:sz w:val="19"/>
                <w:szCs w:val="19"/>
              </w:rPr>
            </w:pPr>
            <w:r>
              <w:rPr>
                <w:sz w:val="19"/>
                <w:szCs w:val="19"/>
              </w:rPr>
              <w:t>Net cost to PBS/RPBS</w:t>
            </w:r>
          </w:p>
        </w:tc>
        <w:tc>
          <w:tcPr>
            <w:tcW w:w="647" w:type="pct"/>
            <w:shd w:val="clear" w:color="auto" w:fill="auto"/>
            <w:vAlign w:val="center"/>
          </w:tcPr>
          <w:p w:rsidR="006D3C72" w:rsidRPr="003639A6" w:rsidRDefault="006D3C72" w:rsidP="006D3C72">
            <w:pPr>
              <w:pStyle w:val="TableText0"/>
              <w:jc w:val="center"/>
            </w:pPr>
            <w:r w:rsidRPr="00E02784">
              <w:rPr>
                <w:szCs w:val="20"/>
              </w:rPr>
              <w:t>$</w:t>
            </w:r>
            <w:r w:rsidR="006C3115">
              <w:rPr>
                <w:noProof/>
                <w:color w:val="000000"/>
                <w:highlight w:val="black"/>
              </w:rPr>
              <w:t>''''''''''''''''''''''''</w:t>
            </w:r>
            <w:r w:rsidR="00704191">
              <w:rPr>
                <w:sz w:val="19"/>
                <w:szCs w:val="19"/>
                <w:vertAlign w:val="superscript"/>
              </w:rPr>
              <w:t>10</w:t>
            </w:r>
          </w:p>
        </w:tc>
        <w:tc>
          <w:tcPr>
            <w:tcW w:w="647" w:type="pct"/>
            <w:shd w:val="clear" w:color="auto" w:fill="auto"/>
            <w:vAlign w:val="center"/>
          </w:tcPr>
          <w:p w:rsidR="006D3C72" w:rsidRPr="003639A6" w:rsidRDefault="006D3C72" w:rsidP="006D3C72">
            <w:pPr>
              <w:pStyle w:val="TableText0"/>
              <w:jc w:val="center"/>
            </w:pPr>
            <w:r w:rsidRPr="00E02784">
              <w:rPr>
                <w:szCs w:val="20"/>
              </w:rPr>
              <w:t>$</w:t>
            </w:r>
            <w:r w:rsidR="006C3115">
              <w:rPr>
                <w:noProof/>
                <w:color w:val="000000"/>
                <w:highlight w:val="black"/>
              </w:rPr>
              <w:t>''''''''''''''''''''''''''''</w:t>
            </w:r>
            <w:r w:rsidR="00704191">
              <w:rPr>
                <w:sz w:val="19"/>
                <w:szCs w:val="19"/>
                <w:vertAlign w:val="superscript"/>
              </w:rPr>
              <w:t>7</w:t>
            </w:r>
          </w:p>
        </w:tc>
        <w:tc>
          <w:tcPr>
            <w:tcW w:w="647" w:type="pct"/>
            <w:shd w:val="clear" w:color="auto" w:fill="auto"/>
            <w:vAlign w:val="center"/>
          </w:tcPr>
          <w:p w:rsidR="006D3C72" w:rsidRPr="003639A6" w:rsidRDefault="006D3C72" w:rsidP="006D3C72">
            <w:pPr>
              <w:pStyle w:val="TableText0"/>
              <w:jc w:val="center"/>
            </w:pPr>
            <w:r w:rsidRPr="00E02784">
              <w:rPr>
                <w:szCs w:val="20"/>
              </w:rPr>
              <w:t>$</w:t>
            </w:r>
            <w:r w:rsidR="006C3115">
              <w:rPr>
                <w:noProof/>
                <w:color w:val="000000"/>
                <w:highlight w:val="black"/>
              </w:rPr>
              <w:t>'''''''''''''''''''''''''''</w:t>
            </w:r>
            <w:r w:rsidR="00704191">
              <w:rPr>
                <w:sz w:val="19"/>
                <w:szCs w:val="19"/>
                <w:vertAlign w:val="superscript"/>
              </w:rPr>
              <w:t>8</w:t>
            </w:r>
          </w:p>
        </w:tc>
        <w:tc>
          <w:tcPr>
            <w:tcW w:w="647" w:type="pct"/>
            <w:shd w:val="clear" w:color="auto" w:fill="auto"/>
            <w:vAlign w:val="center"/>
          </w:tcPr>
          <w:p w:rsidR="006D3C72" w:rsidRPr="003639A6" w:rsidRDefault="006D3C72" w:rsidP="006D3C72">
            <w:pPr>
              <w:pStyle w:val="TableText0"/>
              <w:jc w:val="center"/>
            </w:pPr>
            <w:r w:rsidRPr="00E02784">
              <w:rPr>
                <w:szCs w:val="20"/>
              </w:rPr>
              <w:t>$</w:t>
            </w:r>
            <w:r w:rsidR="006C3115">
              <w:rPr>
                <w:noProof/>
                <w:color w:val="000000"/>
                <w:highlight w:val="black"/>
              </w:rPr>
              <w:t>''''''''''''''''''''''''''</w:t>
            </w:r>
            <w:r w:rsidR="00704191">
              <w:rPr>
                <w:sz w:val="19"/>
                <w:szCs w:val="19"/>
                <w:vertAlign w:val="superscript"/>
              </w:rPr>
              <w:t>12</w:t>
            </w:r>
          </w:p>
        </w:tc>
        <w:tc>
          <w:tcPr>
            <w:tcW w:w="647" w:type="pct"/>
            <w:shd w:val="clear" w:color="auto" w:fill="auto"/>
            <w:vAlign w:val="center"/>
          </w:tcPr>
          <w:p w:rsidR="006D3C72" w:rsidRPr="003639A6" w:rsidRDefault="006D3C72" w:rsidP="006D3C72">
            <w:pPr>
              <w:pStyle w:val="TableText0"/>
              <w:jc w:val="center"/>
            </w:pPr>
            <w:r w:rsidRPr="00E02784">
              <w:rPr>
                <w:szCs w:val="20"/>
              </w:rPr>
              <w:t>$</w:t>
            </w:r>
            <w:r w:rsidR="006C3115">
              <w:rPr>
                <w:noProof/>
                <w:color w:val="000000"/>
                <w:highlight w:val="black"/>
              </w:rPr>
              <w:t>''''''''''''''''''''''''''</w:t>
            </w:r>
            <w:r w:rsidR="00704191">
              <w:rPr>
                <w:sz w:val="19"/>
                <w:szCs w:val="19"/>
                <w:vertAlign w:val="superscript"/>
              </w:rPr>
              <w:t>12</w:t>
            </w:r>
          </w:p>
        </w:tc>
        <w:tc>
          <w:tcPr>
            <w:tcW w:w="649" w:type="pct"/>
            <w:shd w:val="clear" w:color="auto" w:fill="auto"/>
            <w:vAlign w:val="center"/>
          </w:tcPr>
          <w:p w:rsidR="006D3C72" w:rsidRPr="003639A6" w:rsidRDefault="006D3C72" w:rsidP="006D3C72">
            <w:pPr>
              <w:pStyle w:val="TableText0"/>
              <w:jc w:val="center"/>
            </w:pPr>
            <w:r w:rsidRPr="00E02784">
              <w:rPr>
                <w:szCs w:val="20"/>
              </w:rPr>
              <w:t>$</w:t>
            </w:r>
            <w:r w:rsidR="006C3115">
              <w:rPr>
                <w:noProof/>
                <w:color w:val="000000"/>
                <w:highlight w:val="black"/>
              </w:rPr>
              <w:t>''''''''''''''''''''''''''</w:t>
            </w:r>
            <w:r w:rsidR="00704191">
              <w:rPr>
                <w:sz w:val="19"/>
                <w:szCs w:val="19"/>
                <w:vertAlign w:val="superscript"/>
              </w:rPr>
              <w:t>13</w:t>
            </w:r>
          </w:p>
        </w:tc>
      </w:tr>
    </w:tbl>
    <w:p w:rsidR="00620C25" w:rsidRDefault="00620C25" w:rsidP="00071A9D">
      <w:pPr>
        <w:rPr>
          <w:rFonts w:ascii="Arial Narrow" w:hAnsi="Arial Narrow"/>
          <w:snapToGrid w:val="0"/>
          <w:sz w:val="18"/>
          <w:szCs w:val="22"/>
        </w:rPr>
      </w:pPr>
      <w:r w:rsidRPr="00071A9D">
        <w:rPr>
          <w:rFonts w:ascii="Arial Narrow" w:hAnsi="Arial Narrow"/>
          <w:snapToGrid w:val="0"/>
          <w:sz w:val="18"/>
          <w:szCs w:val="22"/>
        </w:rPr>
        <w:t xml:space="preserve">Source: </w:t>
      </w:r>
      <w:r w:rsidR="00071A9D" w:rsidRPr="00071A9D">
        <w:rPr>
          <w:rFonts w:ascii="Arial Narrow" w:hAnsi="Arial Narrow"/>
          <w:snapToGrid w:val="0"/>
          <w:sz w:val="18"/>
          <w:szCs w:val="22"/>
        </w:rPr>
        <w:t xml:space="preserve">Table 4-35 of the </w:t>
      </w:r>
      <w:r w:rsidR="00EF20C2">
        <w:rPr>
          <w:rFonts w:ascii="Arial Narrow" w:hAnsi="Arial Narrow"/>
          <w:snapToGrid w:val="0"/>
          <w:sz w:val="18"/>
          <w:szCs w:val="22"/>
        </w:rPr>
        <w:t>re</w:t>
      </w:r>
      <w:r w:rsidR="00071A9D" w:rsidRPr="00071A9D">
        <w:rPr>
          <w:rFonts w:ascii="Arial Narrow" w:hAnsi="Arial Narrow"/>
          <w:snapToGrid w:val="0"/>
          <w:sz w:val="18"/>
          <w:szCs w:val="22"/>
        </w:rPr>
        <w:t xml:space="preserve">submission. </w:t>
      </w:r>
    </w:p>
    <w:p w:rsidR="00EF20C2" w:rsidRPr="00071A9D" w:rsidRDefault="00EF20C2" w:rsidP="00071A9D">
      <w:pPr>
        <w:rPr>
          <w:rStyle w:val="CommentReference"/>
          <w:b w:val="0"/>
          <w:snapToGrid w:val="0"/>
          <w:sz w:val="18"/>
          <w:szCs w:val="22"/>
        </w:rPr>
      </w:pPr>
      <w:r>
        <w:rPr>
          <w:rStyle w:val="CommentReference"/>
          <w:b w:val="0"/>
          <w:snapToGrid w:val="0"/>
          <w:sz w:val="18"/>
          <w:szCs w:val="22"/>
        </w:rPr>
        <w:t>MBS = Medicare Benefits Schedule; mCRPC = metastatic castration-resistant prostate cancer; PBS = Pharmaceutical Benefits Scheme; RPBS = Repatriation Pharmaceutical Benefits Scheme</w:t>
      </w:r>
    </w:p>
    <w:p w:rsidR="00E466F3" w:rsidRDefault="00E466F3" w:rsidP="00606FBA">
      <w:pPr>
        <w:pStyle w:val="TableFigureFooter"/>
      </w:pPr>
      <w:r w:rsidRPr="003639A6">
        <w:rPr>
          <w:vertAlign w:val="superscript"/>
        </w:rPr>
        <w:t>a</w:t>
      </w:r>
      <w:r w:rsidR="00606FBA">
        <w:t xml:space="preserve"> </w:t>
      </w:r>
      <w:r w:rsidR="00071A9D">
        <w:t xml:space="preserve">Assuming </w:t>
      </w:r>
      <w:r w:rsidR="00D829BB">
        <w:t xml:space="preserve">&lt; 500 </w:t>
      </w:r>
      <w:r w:rsidR="00071A9D">
        <w:t>scripts</w:t>
      </w:r>
      <w:r w:rsidRPr="003639A6">
        <w:t xml:space="preserve"> per year as estimated by the submission.</w:t>
      </w:r>
    </w:p>
    <w:p w:rsidR="00D829BB" w:rsidRPr="009868C4" w:rsidRDefault="00D829BB" w:rsidP="00D829BB">
      <w:pPr>
        <w:pStyle w:val="TableFigureFooter"/>
        <w:spacing w:after="0"/>
        <w:contextualSpacing w:val="0"/>
      </w:pPr>
      <w:r w:rsidRPr="009868C4">
        <w:rPr>
          <w:i/>
        </w:rPr>
        <w:t>The redacted values correspond to the following ranges</w:t>
      </w:r>
      <w:r>
        <w:rPr>
          <w:i/>
        </w:rPr>
        <w:t xml:space="preserve">: </w:t>
      </w:r>
    </w:p>
    <w:p w:rsidR="00D829BB" w:rsidRPr="00D829BB" w:rsidRDefault="00D829BB" w:rsidP="00606FBA">
      <w:pPr>
        <w:pStyle w:val="TableFigureFooter"/>
        <w:rPr>
          <w:i/>
        </w:rPr>
      </w:pPr>
      <w:r>
        <w:rPr>
          <w:i/>
          <w:vertAlign w:val="superscript"/>
        </w:rPr>
        <w:t xml:space="preserve">1 </w:t>
      </w:r>
      <w:r w:rsidRPr="00D829BB">
        <w:rPr>
          <w:i/>
        </w:rPr>
        <w:t>500 to &lt; 5,000</w:t>
      </w:r>
    </w:p>
    <w:p w:rsidR="00D829BB" w:rsidRPr="00D829BB" w:rsidRDefault="00D829BB" w:rsidP="00D829BB">
      <w:pPr>
        <w:pStyle w:val="TableFigureFooter"/>
        <w:rPr>
          <w:i/>
        </w:rPr>
      </w:pPr>
      <w:r>
        <w:rPr>
          <w:i/>
          <w:vertAlign w:val="superscript"/>
        </w:rPr>
        <w:t xml:space="preserve">2 </w:t>
      </w:r>
      <w:r w:rsidRPr="00D829BB">
        <w:rPr>
          <w:i/>
        </w:rPr>
        <w:t>10,000 to &lt; 20,000</w:t>
      </w:r>
    </w:p>
    <w:p w:rsidR="00D829BB" w:rsidRPr="00D829BB" w:rsidRDefault="00D829BB" w:rsidP="00D829BB">
      <w:pPr>
        <w:pStyle w:val="TableFigureFooter"/>
        <w:rPr>
          <w:i/>
        </w:rPr>
      </w:pPr>
      <w:r>
        <w:rPr>
          <w:i/>
          <w:vertAlign w:val="superscript"/>
        </w:rPr>
        <w:t xml:space="preserve">3 </w:t>
      </w:r>
      <w:r w:rsidRPr="00D829BB">
        <w:rPr>
          <w:i/>
        </w:rPr>
        <w:t>20,000 to &lt; 30,000</w:t>
      </w:r>
    </w:p>
    <w:p w:rsidR="00D829BB" w:rsidRPr="00D829BB" w:rsidRDefault="00D829BB" w:rsidP="00D829BB">
      <w:pPr>
        <w:pStyle w:val="TableFigureFooter"/>
        <w:rPr>
          <w:i/>
        </w:rPr>
      </w:pPr>
      <w:r>
        <w:rPr>
          <w:i/>
          <w:vertAlign w:val="superscript"/>
        </w:rPr>
        <w:t xml:space="preserve">4 </w:t>
      </w:r>
      <w:r w:rsidRPr="00D829BB">
        <w:rPr>
          <w:i/>
        </w:rPr>
        <w:t>30,000 to &lt; 40,000</w:t>
      </w:r>
    </w:p>
    <w:p w:rsidR="00D829BB" w:rsidRPr="00D829BB" w:rsidRDefault="00D829BB" w:rsidP="00D829BB">
      <w:pPr>
        <w:pStyle w:val="TableFigureFooter"/>
        <w:rPr>
          <w:i/>
        </w:rPr>
      </w:pPr>
      <w:r>
        <w:rPr>
          <w:i/>
          <w:vertAlign w:val="superscript"/>
        </w:rPr>
        <w:t xml:space="preserve">5 </w:t>
      </w:r>
      <w:r w:rsidRPr="00D829BB">
        <w:rPr>
          <w:i/>
        </w:rPr>
        <w:t>$30 million to &lt; $40 million</w:t>
      </w:r>
    </w:p>
    <w:p w:rsidR="00D829BB" w:rsidRPr="00D829BB" w:rsidRDefault="00D829BB" w:rsidP="00D829BB">
      <w:pPr>
        <w:pStyle w:val="TableFigureFooter"/>
        <w:rPr>
          <w:i/>
        </w:rPr>
      </w:pPr>
      <w:r>
        <w:rPr>
          <w:i/>
          <w:vertAlign w:val="superscript"/>
        </w:rPr>
        <w:t xml:space="preserve">6 </w:t>
      </w:r>
      <w:r w:rsidRPr="00D829BB">
        <w:rPr>
          <w:i/>
        </w:rPr>
        <w:t>$40 million to &lt; $50 million</w:t>
      </w:r>
    </w:p>
    <w:p w:rsidR="00D829BB" w:rsidRPr="00D829BB" w:rsidRDefault="00D829BB" w:rsidP="00D829BB">
      <w:pPr>
        <w:pStyle w:val="TableFigureFooter"/>
        <w:rPr>
          <w:i/>
        </w:rPr>
      </w:pPr>
      <w:r>
        <w:rPr>
          <w:i/>
          <w:vertAlign w:val="superscript"/>
        </w:rPr>
        <w:t xml:space="preserve">7 </w:t>
      </w:r>
      <w:r w:rsidRPr="00D829BB">
        <w:rPr>
          <w:i/>
        </w:rPr>
        <w:t>$50 million to &lt; $60 million</w:t>
      </w:r>
    </w:p>
    <w:p w:rsidR="00D829BB" w:rsidRPr="00D829BB" w:rsidRDefault="00D829BB" w:rsidP="00D829BB">
      <w:pPr>
        <w:pStyle w:val="TableFigureFooter"/>
        <w:rPr>
          <w:i/>
        </w:rPr>
      </w:pPr>
      <w:r>
        <w:rPr>
          <w:i/>
          <w:vertAlign w:val="superscript"/>
        </w:rPr>
        <w:t xml:space="preserve">8 </w:t>
      </w:r>
      <w:r w:rsidRPr="00D829BB">
        <w:rPr>
          <w:i/>
        </w:rPr>
        <w:t>$60 million to &lt; $70 million</w:t>
      </w:r>
    </w:p>
    <w:p w:rsidR="00D829BB" w:rsidRPr="00D829BB" w:rsidRDefault="00D829BB" w:rsidP="00D829BB">
      <w:pPr>
        <w:pStyle w:val="TableFigureFooter"/>
        <w:rPr>
          <w:i/>
        </w:rPr>
      </w:pPr>
      <w:r>
        <w:rPr>
          <w:i/>
          <w:vertAlign w:val="superscript"/>
        </w:rPr>
        <w:t xml:space="preserve">9 </w:t>
      </w:r>
      <w:r w:rsidRPr="00D829BB">
        <w:rPr>
          <w:i/>
        </w:rPr>
        <w:t>$0 to &lt; $10 million</w:t>
      </w:r>
    </w:p>
    <w:p w:rsidR="00D829BB" w:rsidRPr="00D829BB" w:rsidRDefault="00D829BB" w:rsidP="00D829BB">
      <w:pPr>
        <w:pStyle w:val="TableFigureFooter"/>
        <w:rPr>
          <w:i/>
        </w:rPr>
      </w:pPr>
      <w:r>
        <w:rPr>
          <w:i/>
          <w:vertAlign w:val="superscript"/>
        </w:rPr>
        <w:t xml:space="preserve">10 </w:t>
      </w:r>
      <w:r w:rsidRPr="00D829BB">
        <w:rPr>
          <w:i/>
        </w:rPr>
        <w:t>$20 million to &lt; $30 million</w:t>
      </w:r>
    </w:p>
    <w:p w:rsidR="00D829BB" w:rsidRDefault="00D829BB" w:rsidP="00D829BB">
      <w:pPr>
        <w:pStyle w:val="TableFigureFooter"/>
        <w:rPr>
          <w:i/>
        </w:rPr>
      </w:pPr>
      <w:r>
        <w:rPr>
          <w:i/>
          <w:vertAlign w:val="superscript"/>
        </w:rPr>
        <w:t xml:space="preserve">11 </w:t>
      </w:r>
      <w:r w:rsidRPr="00D829BB">
        <w:rPr>
          <w:i/>
        </w:rPr>
        <w:t>$10 million to &lt; $20 million</w:t>
      </w:r>
    </w:p>
    <w:p w:rsidR="00704191" w:rsidRPr="00704191" w:rsidRDefault="00704191" w:rsidP="00704191">
      <w:pPr>
        <w:pStyle w:val="TableFigureFooter"/>
        <w:rPr>
          <w:i/>
        </w:rPr>
      </w:pPr>
      <w:r>
        <w:rPr>
          <w:i/>
          <w:vertAlign w:val="superscript"/>
        </w:rPr>
        <w:t xml:space="preserve">12 </w:t>
      </w:r>
      <w:r w:rsidRPr="00704191">
        <w:rPr>
          <w:i/>
        </w:rPr>
        <w:t>$80 million to &lt; $90 million</w:t>
      </w:r>
    </w:p>
    <w:p w:rsidR="00704191" w:rsidRPr="00D829BB" w:rsidRDefault="00704191" w:rsidP="00704191">
      <w:pPr>
        <w:pStyle w:val="TableFigureFooter"/>
        <w:rPr>
          <w:i/>
        </w:rPr>
      </w:pPr>
      <w:r>
        <w:rPr>
          <w:i/>
          <w:vertAlign w:val="superscript"/>
        </w:rPr>
        <w:t xml:space="preserve">13 </w:t>
      </w:r>
      <w:r w:rsidRPr="00704191">
        <w:rPr>
          <w:i/>
        </w:rPr>
        <w:t>$90 million to &lt; $100 million</w:t>
      </w:r>
    </w:p>
    <w:p w:rsidR="000902D9" w:rsidRPr="00470FAC" w:rsidRDefault="000902D9" w:rsidP="00D829BB">
      <w:pPr>
        <w:pStyle w:val="3-BodyText"/>
      </w:pPr>
      <w:r w:rsidRPr="00470FAC">
        <w:t xml:space="preserve">The total cost to the PBS/RPBS of listing </w:t>
      </w:r>
      <w:r w:rsidR="0091103F" w:rsidRPr="00470FAC">
        <w:t>darolutamide</w:t>
      </w:r>
      <w:r w:rsidRPr="00470FAC">
        <w:t xml:space="preserve"> was estimated </w:t>
      </w:r>
      <w:r w:rsidR="005711CC">
        <w:t xml:space="preserve">in the submission </w:t>
      </w:r>
      <w:r w:rsidR="00A05C32" w:rsidRPr="00470FAC">
        <w:t>to be</w:t>
      </w:r>
      <w:r w:rsidRPr="00470FAC">
        <w:t xml:space="preserve"> </w:t>
      </w:r>
      <w:r w:rsidR="00D829BB" w:rsidRPr="00D829BB">
        <w:t>$60 million to &lt; $70 million</w:t>
      </w:r>
      <w:r w:rsidR="00D829BB">
        <w:t xml:space="preserve"> </w:t>
      </w:r>
      <w:r w:rsidRPr="00470FAC">
        <w:t xml:space="preserve">in Year 6, and a total of </w:t>
      </w:r>
      <w:r w:rsidR="00D829BB" w:rsidRPr="00D829BB">
        <w:t>$300 million to &lt; $400 million</w:t>
      </w:r>
      <w:r w:rsidR="00D829BB" w:rsidRPr="00D829BB" w:rsidDel="00D829BB">
        <w:t xml:space="preserve"> </w:t>
      </w:r>
      <w:r w:rsidRPr="00470FAC">
        <w:lastRenderedPageBreak/>
        <w:t xml:space="preserve">in the first </w:t>
      </w:r>
      <w:r w:rsidR="00EA70B6">
        <w:t>six</w:t>
      </w:r>
      <w:r w:rsidR="00EA70B6" w:rsidRPr="00470FAC">
        <w:t xml:space="preserve"> </w:t>
      </w:r>
      <w:r w:rsidRPr="00470FAC">
        <w:t>years of listing</w:t>
      </w:r>
      <w:r w:rsidRPr="00470FAC">
        <w:rPr>
          <w:color w:val="3366FF"/>
        </w:rPr>
        <w:t xml:space="preserve">. </w:t>
      </w:r>
      <w:r w:rsidR="00EA70B6">
        <w:t xml:space="preserve"> The total cost to the PBS/RPBS, as estimated in the pre-PBAC response, was </w:t>
      </w:r>
      <w:r w:rsidR="00D829BB" w:rsidRPr="00D829BB">
        <w:t>$30 million to &lt; $40 million</w:t>
      </w:r>
      <w:r w:rsidR="00D829BB">
        <w:t xml:space="preserve"> </w:t>
      </w:r>
      <w:r w:rsidR="00EA70B6">
        <w:t xml:space="preserve">in Year 6 and a total of </w:t>
      </w:r>
      <w:r w:rsidR="00D829BB" w:rsidRPr="00D829BB">
        <w:t>$100 million to &lt; $200 million</w:t>
      </w:r>
      <w:r w:rsidR="00D829BB">
        <w:t xml:space="preserve"> </w:t>
      </w:r>
      <w:r w:rsidR="00EA70B6">
        <w:t>over the first six years.</w:t>
      </w:r>
    </w:p>
    <w:p w:rsidR="00FA4D0F" w:rsidRPr="00551972" w:rsidRDefault="00D142F5" w:rsidP="00FA4D0F">
      <w:pPr>
        <w:pStyle w:val="3-BodyText"/>
      </w:pPr>
      <w:r w:rsidRPr="00470FAC">
        <w:t xml:space="preserve">There </w:t>
      </w:r>
      <w:r w:rsidR="00C3395D">
        <w:t>are</w:t>
      </w:r>
      <w:r w:rsidRPr="00470FAC">
        <w:t xml:space="preserve"> a lack of Australian epidemiological data to inform the estimates of high risk m</w:t>
      </w:r>
      <w:r w:rsidR="006D16CE" w:rsidRPr="00470FAC">
        <w:t>0</w:t>
      </w:r>
      <w:r w:rsidRPr="00470FAC">
        <w:t xml:space="preserve">CRPC patients who would be eligible for darolutamide. </w:t>
      </w:r>
      <w:r w:rsidR="00FA4D0F">
        <w:t>Further, t</w:t>
      </w:r>
      <w:r w:rsidRPr="00470FAC">
        <w:t>he willingness to treat patients with darolutamide, which would make them ineligible for subsidised abiraterone or enzalutamide if they progress to m</w:t>
      </w:r>
      <w:r w:rsidR="006D16CE" w:rsidRPr="00470FAC">
        <w:t>etastatic disease, wa</w:t>
      </w:r>
      <w:r w:rsidRPr="00470FAC">
        <w:t xml:space="preserve">s also uncertain. </w:t>
      </w:r>
      <w:r w:rsidR="00FA4D0F" w:rsidRPr="006A65C9">
        <w:t xml:space="preserve">The resubmission assumed that </w:t>
      </w:r>
      <w:r w:rsidR="00D44BEF" w:rsidRPr="006A65C9">
        <w:t xml:space="preserve">a maximum of </w:t>
      </w:r>
      <w:r w:rsidR="00FA4D0F" w:rsidRPr="006A65C9">
        <w:t xml:space="preserve">86% of </w:t>
      </w:r>
      <w:r w:rsidR="00D44BEF" w:rsidRPr="006A65C9">
        <w:t xml:space="preserve">high risk m0CRPC (WHO 0-1) patients in a given year would be considered for treatment with a second generation androgen receptor antagonist (such as darolutamide) </w:t>
      </w:r>
      <w:r w:rsidR="00FA4D0F" w:rsidRPr="006A65C9">
        <w:t>and forgo the opportunity to use enzalutamide or abiraterone for mCRPC</w:t>
      </w:r>
      <w:r w:rsidR="005A7264" w:rsidRPr="006A65C9">
        <w:t>. T</w:t>
      </w:r>
      <w:r w:rsidR="00D44BEF" w:rsidRPr="006A65C9">
        <w:t>his was applied as a separate uptake rate</w:t>
      </w:r>
      <w:r w:rsidR="005A7264" w:rsidRPr="006A65C9">
        <w:t xml:space="preserve"> and</w:t>
      </w:r>
      <w:r w:rsidR="00FA4D0F" w:rsidRPr="006A65C9">
        <w:t xml:space="preserve"> was informed by the opinion of an unknown number of international panel experts from the 2019 Advanced Prostate Cancer Consensus Conference. The resubmission acknowledged that as the panel consisted of international clinicians, its responses may not be indicative of an Australian treatment </w:t>
      </w:r>
      <w:r w:rsidR="00FA4D0F" w:rsidRPr="00551972">
        <w:t>setting.</w:t>
      </w:r>
      <w:r w:rsidR="00FA4D0F" w:rsidRPr="00551972">
        <w:rPr>
          <w:i/>
        </w:rPr>
        <w:t xml:space="preserve"> </w:t>
      </w:r>
      <w:r w:rsidR="00D44BEF" w:rsidRPr="00551972">
        <w:t>Overall</w:t>
      </w:r>
      <w:r w:rsidRPr="00551972">
        <w:t xml:space="preserve">, the number of initiating patients </w:t>
      </w:r>
      <w:r w:rsidR="006D16CE" w:rsidRPr="00551972">
        <w:t>wa</w:t>
      </w:r>
      <w:r w:rsidRPr="00551972">
        <w:t>s likely to be overestimated.</w:t>
      </w:r>
      <w:r w:rsidR="000902D9" w:rsidRPr="00551972">
        <w:t xml:space="preserve"> </w:t>
      </w:r>
    </w:p>
    <w:p w:rsidR="00D44BEF" w:rsidRPr="006A65C9" w:rsidRDefault="00D44BEF" w:rsidP="00D44BEF">
      <w:pPr>
        <w:pStyle w:val="3-BodyText"/>
      </w:pPr>
      <w:r w:rsidRPr="00551972">
        <w:t xml:space="preserve">The resubmission assumed an uptake rate of </w:t>
      </w:r>
      <w:r w:rsidR="006C3115">
        <w:rPr>
          <w:noProof/>
          <w:color w:val="000000"/>
          <w:highlight w:val="black"/>
        </w:rPr>
        <w:t>'''''</w:t>
      </w:r>
      <w:r w:rsidRPr="00551972">
        <w:t xml:space="preserve">%, in Year 1 gradually increasing to </w:t>
      </w:r>
      <w:r w:rsidR="006C3115">
        <w:rPr>
          <w:noProof/>
          <w:color w:val="000000"/>
          <w:highlight w:val="black"/>
        </w:rPr>
        <w:t>'''''</w:t>
      </w:r>
      <w:r w:rsidRPr="00551972">
        <w:t xml:space="preserve">% in Year 6. The rates in Years 1 to 4 were increased compared to the previous submission in response to DUSC’s advice that the </w:t>
      </w:r>
      <w:r w:rsidR="005A7264" w:rsidRPr="00551972">
        <w:t xml:space="preserve">previous </w:t>
      </w:r>
      <w:r w:rsidRPr="00551972">
        <w:t xml:space="preserve">treatment uptake assumptions </w:t>
      </w:r>
      <w:r w:rsidR="005A7264" w:rsidRPr="00551972">
        <w:t xml:space="preserve">were underestimated </w:t>
      </w:r>
      <w:r w:rsidRPr="00551972">
        <w:t xml:space="preserve">in at least the first two years of darolutamide listing (previously </w:t>
      </w:r>
      <w:r w:rsidR="006C3115">
        <w:rPr>
          <w:noProof/>
          <w:color w:val="000000"/>
          <w:highlight w:val="black"/>
        </w:rPr>
        <w:t>'''''</w:t>
      </w:r>
      <w:r w:rsidRPr="00551972">
        <w:t xml:space="preserve">% and </w:t>
      </w:r>
      <w:r w:rsidR="006C3115">
        <w:rPr>
          <w:noProof/>
          <w:color w:val="000000"/>
          <w:highlight w:val="black"/>
        </w:rPr>
        <w:t>'''''</w:t>
      </w:r>
      <w:r w:rsidRPr="00551972">
        <w:t xml:space="preserve">% in Years 1 and 2, respectively increased to </w:t>
      </w:r>
      <w:r w:rsidR="006C3115">
        <w:rPr>
          <w:noProof/>
          <w:color w:val="000000"/>
          <w:highlight w:val="black"/>
        </w:rPr>
        <w:t>''''''</w:t>
      </w:r>
      <w:r w:rsidRPr="00551972">
        <w:t xml:space="preserve">% and </w:t>
      </w:r>
      <w:r w:rsidR="006C3115">
        <w:rPr>
          <w:noProof/>
          <w:color w:val="000000"/>
          <w:highlight w:val="black"/>
        </w:rPr>
        <w:t>''''''</w:t>
      </w:r>
      <w:r w:rsidRPr="00551972">
        <w:t>%</w:t>
      </w:r>
      <w:r w:rsidR="00284621" w:rsidRPr="00551972">
        <w:t xml:space="preserve"> in the resubmission</w:t>
      </w:r>
      <w:r w:rsidRPr="00551972">
        <w:t xml:space="preserve">). </w:t>
      </w:r>
      <w:r w:rsidR="0026266E" w:rsidRPr="00551972">
        <w:t>It was unclear if these revised uptake rates we</w:t>
      </w:r>
      <w:r w:rsidRPr="00551972">
        <w:t>re appropriate</w:t>
      </w:r>
      <w:r w:rsidR="00CD174A" w:rsidRPr="00551972">
        <w:t xml:space="preserve">, and </w:t>
      </w:r>
      <w:r w:rsidR="006B07B8" w:rsidRPr="00551972">
        <w:t>were likely overestimated</w:t>
      </w:r>
      <w:r w:rsidR="006B07B8" w:rsidRPr="006A65C9">
        <w:t xml:space="preserve"> given the overlapping place in therapy with the</w:t>
      </w:r>
      <w:r w:rsidR="00CD174A" w:rsidRPr="006A65C9">
        <w:t xml:space="preserve"> existing use of enzalutamide and abiraterone</w:t>
      </w:r>
      <w:r w:rsidRPr="006A65C9">
        <w:t xml:space="preserve">. </w:t>
      </w:r>
    </w:p>
    <w:p w:rsidR="00725922" w:rsidRPr="00470FAC" w:rsidRDefault="006F2E5C" w:rsidP="00D44BEF">
      <w:pPr>
        <w:pStyle w:val="3-BodyText"/>
      </w:pPr>
      <w:r w:rsidRPr="00470FAC">
        <w:t xml:space="preserve">Compliance to darolutamide </w:t>
      </w:r>
      <w:r w:rsidR="006D16CE" w:rsidRPr="00470FAC">
        <w:t>wa</w:t>
      </w:r>
      <w:r w:rsidRPr="00470FAC">
        <w:t xml:space="preserve">s assumed to be 92% </w:t>
      </w:r>
      <w:r w:rsidR="005A7264">
        <w:t xml:space="preserve">(based on real-world compliance data for enzalutamide) </w:t>
      </w:r>
      <w:r w:rsidRPr="00470FAC">
        <w:t xml:space="preserve">which may overestimate the </w:t>
      </w:r>
      <w:r w:rsidR="00F32A93" w:rsidRPr="00470FAC">
        <w:t>utilisation of darolutamide</w:t>
      </w:r>
      <w:r w:rsidRPr="00470FAC">
        <w:t>. The July 2020 submission assumed a compliance to darolutamide of 98.88% based on the ARAMIS trial, which DUSC considered was substantially overestimated as patients in practice were likely to be older and frailer than the trial population. The revised assumption of 92% is of similar magnitude to the original estimate.</w:t>
      </w:r>
      <w:r w:rsidR="00EA70B6">
        <w:t xml:space="preserve"> This was revised to </w:t>
      </w:r>
      <w:r w:rsidR="006C3115">
        <w:rPr>
          <w:noProof/>
          <w:color w:val="000000"/>
          <w:highlight w:val="black"/>
        </w:rPr>
        <w:t>''''''</w:t>
      </w:r>
      <w:r w:rsidR="00EA70B6">
        <w:t>% in the pre-PBAC response.</w:t>
      </w:r>
    </w:p>
    <w:p w:rsidR="00284621" w:rsidRPr="006A65C9" w:rsidRDefault="00284621" w:rsidP="003B23ED">
      <w:pPr>
        <w:pStyle w:val="3-BodyText"/>
      </w:pPr>
      <w:r w:rsidRPr="006A65C9">
        <w:t xml:space="preserve">The resubmission attempted to validate the epidemiological </w:t>
      </w:r>
      <w:r w:rsidR="003B23ED" w:rsidRPr="006A65C9">
        <w:t>estimates</w:t>
      </w:r>
      <w:r w:rsidRPr="006A65C9">
        <w:t xml:space="preserve"> using PBS utilisation data for mCRPC listings provided by the DUSC Secretariat. These data indicated </w:t>
      </w:r>
      <w:r w:rsidR="0026266E" w:rsidRPr="006A65C9">
        <w:t xml:space="preserve">that </w:t>
      </w:r>
      <w:r w:rsidRPr="006A65C9">
        <w:t xml:space="preserve">there are approximately </w:t>
      </w:r>
      <w:r w:rsidR="00026927">
        <w:t>500 to &lt; 5000</w:t>
      </w:r>
      <w:r w:rsidRPr="006A65C9">
        <w:t xml:space="preserve"> patients initiating mCRPC treatment each year. The </w:t>
      </w:r>
      <w:r w:rsidR="0026266E" w:rsidRPr="006A65C9">
        <w:t xml:space="preserve">resubmission’s </w:t>
      </w:r>
      <w:r w:rsidRPr="006A65C9">
        <w:t>epidemiological model estimate</w:t>
      </w:r>
      <w:r w:rsidR="0026266E" w:rsidRPr="006A65C9">
        <w:t>d</w:t>
      </w:r>
      <w:r w:rsidRPr="006A65C9">
        <w:t xml:space="preserve"> that </w:t>
      </w:r>
      <w:r w:rsidR="00026927">
        <w:t>500 to &lt; 5000</w:t>
      </w:r>
      <w:r w:rsidRPr="006A65C9">
        <w:t>high risk m0CRPC patients will initiate mCRPC treatment each year</w:t>
      </w:r>
      <w:r w:rsidR="003B23ED" w:rsidRPr="006A65C9">
        <w:t>, which indicated that</w:t>
      </w:r>
      <w:r w:rsidRPr="006A65C9">
        <w:t xml:space="preserve"> approximately 35% </w:t>
      </w:r>
      <w:r w:rsidRPr="003138B2">
        <w:t>(</w:t>
      </w:r>
      <w:r w:rsidR="00026927" w:rsidRPr="003138B2">
        <w:t>500 to &lt; 5000</w:t>
      </w:r>
      <w:r w:rsidRPr="003138B2">
        <w:t>/</w:t>
      </w:r>
      <w:r w:rsidR="00026927">
        <w:t>500 to &lt; 5000</w:t>
      </w:r>
      <w:r w:rsidRPr="006A65C9">
        <w:t xml:space="preserve">) of mCRPC treated patients came via the m0CRPC disease pathway. </w:t>
      </w:r>
      <w:r w:rsidRPr="006A65C9">
        <w:rPr>
          <w:rFonts w:cstheme="minorHAnsi"/>
          <w:color w:val="000000" w:themeColor="text1"/>
        </w:rPr>
        <w:t>The resubmission presented data from the ePAD registry which indicated that 45% (323/712) of mCRPC patients in the registry were metastatic at diagnosis before developing CRPC. Based on this, the resubmission estimate</w:t>
      </w:r>
      <w:r w:rsidR="0026266E" w:rsidRPr="006A65C9">
        <w:rPr>
          <w:rFonts w:cstheme="minorHAnsi"/>
          <w:color w:val="000000" w:themeColor="text1"/>
        </w:rPr>
        <w:t>d</w:t>
      </w:r>
      <w:r w:rsidRPr="006A65C9">
        <w:rPr>
          <w:rFonts w:cstheme="minorHAnsi"/>
          <w:color w:val="000000" w:themeColor="text1"/>
        </w:rPr>
        <w:t xml:space="preserve"> that the remaining 55% of ePAD patients were from the </w:t>
      </w:r>
      <w:r w:rsidRPr="006A65C9">
        <w:rPr>
          <w:rFonts w:cstheme="minorHAnsi"/>
          <w:color w:val="000000" w:themeColor="text1"/>
        </w:rPr>
        <w:lastRenderedPageBreak/>
        <w:t>m0CRPC disease pathway which is higher than the 35% estimated in the resubmission. As such, the resubmission considered that its estimated number of high risk m0CRPC patients was likely to be conservative.</w:t>
      </w:r>
      <w:r w:rsidR="003B23ED" w:rsidRPr="006A65C9">
        <w:rPr>
          <w:rFonts w:cstheme="minorHAnsi"/>
          <w:color w:val="000000" w:themeColor="text1"/>
        </w:rPr>
        <w:t xml:space="preserve"> However, the representativeness of the ePAD registry for all Australian patients is unclear as the sample size of the registry m0CRPC cohort is small relative to the number of patients estimated to be eligible for darolutamide.</w:t>
      </w:r>
    </w:p>
    <w:p w:rsidR="004C5561" w:rsidRPr="006A65C9" w:rsidRDefault="00F30C70" w:rsidP="004C5561">
      <w:pPr>
        <w:pStyle w:val="3-BodyText"/>
      </w:pPr>
      <w:r w:rsidRPr="006A65C9">
        <w:t>In terms of flow-on impacts, t</w:t>
      </w:r>
      <w:r w:rsidR="00B82E18" w:rsidRPr="006A65C9">
        <w:t>he resubmission assumed that listing darolutamide would</w:t>
      </w:r>
      <w:r w:rsidR="004C5561" w:rsidRPr="006A65C9">
        <w:t>:</w:t>
      </w:r>
    </w:p>
    <w:p w:rsidR="004C5561" w:rsidRPr="006A65C9" w:rsidRDefault="00B82E18" w:rsidP="0053515D">
      <w:pPr>
        <w:pStyle w:val="3-BodyText"/>
        <w:numPr>
          <w:ilvl w:val="0"/>
          <w:numId w:val="15"/>
        </w:numPr>
        <w:spacing w:after="0"/>
      </w:pPr>
      <w:r w:rsidRPr="006A65C9">
        <w:t xml:space="preserve">reduce the number of patients initiating mCRPC treatments (docetaxel, cabazitaxel, abiraterone and enzalutamide) each year due to superior MFS compared to SOC. </w:t>
      </w:r>
      <w:r w:rsidR="004C5561" w:rsidRPr="006A65C9">
        <w:t xml:space="preserve">The </w:t>
      </w:r>
      <w:r w:rsidR="00F916D5" w:rsidRPr="006A65C9">
        <w:rPr>
          <w:rFonts w:cstheme="minorHAnsi"/>
        </w:rPr>
        <w:t xml:space="preserve">proportion of high risk metastatic-free patients progressing to metastatic disease and initiating a mCRPC listing was based on the time to initiating subsequent treatment (chemotherapy or anti-neoplastic treatment) Kaplan-Meier data from the ARAMIS trial. </w:t>
      </w:r>
      <w:r w:rsidR="00F916D5" w:rsidRPr="006A65C9">
        <w:t>The number of patients who would progress to mCRPC treatment after darolutamide listing was assumed to be the difference in patients receiving subsequent treatment in the watchful waiting arm versus the darolutamide arm of ARAMIS.</w:t>
      </w:r>
    </w:p>
    <w:p w:rsidR="00F32A93" w:rsidRPr="006A65C9" w:rsidRDefault="004C5561" w:rsidP="0053515D">
      <w:pPr>
        <w:pStyle w:val="3-BodyText"/>
        <w:numPr>
          <w:ilvl w:val="0"/>
          <w:numId w:val="15"/>
        </w:numPr>
      </w:pPr>
      <w:r w:rsidRPr="006A65C9">
        <w:t>impact treatment selection in mCRPC</w:t>
      </w:r>
      <w:r w:rsidR="00F30C70" w:rsidRPr="006A65C9">
        <w:t xml:space="preserve"> given t</w:t>
      </w:r>
      <w:r w:rsidR="005D047D" w:rsidRPr="006A65C9">
        <w:t>he PBAC previously advised that the restriction should pre</w:t>
      </w:r>
      <w:r w:rsidR="005A7264" w:rsidRPr="006A65C9">
        <w:t>clude</w:t>
      </w:r>
      <w:r w:rsidR="005D047D" w:rsidRPr="006A65C9">
        <w:t xml:space="preserve"> the use of abiraterone or enzalutamide </w:t>
      </w:r>
      <w:r w:rsidR="005A7264" w:rsidRPr="006A65C9">
        <w:t>after</w:t>
      </w:r>
      <w:r w:rsidR="005D047D" w:rsidRPr="006A65C9">
        <w:t xml:space="preserve"> darolutamide. </w:t>
      </w:r>
      <w:r w:rsidR="005A7264" w:rsidRPr="006A65C9">
        <w:t>T</w:t>
      </w:r>
      <w:r w:rsidR="005D047D" w:rsidRPr="006A65C9">
        <w:t>he resubmission estimated the reduction in use of abiraterone and enzalutamide in mCRPC</w:t>
      </w:r>
      <w:r w:rsidR="00203457" w:rsidRPr="006A65C9">
        <w:t xml:space="preserve"> (and the impact on use of cabazitaxel and docetaxel)</w:t>
      </w:r>
      <w:r w:rsidR="003B23ED" w:rsidRPr="006A65C9">
        <w:t xml:space="preserve"> using d</w:t>
      </w:r>
      <w:r w:rsidR="00F32A93" w:rsidRPr="006A65C9">
        <w:t xml:space="preserve">ata provided by the DUSC Secretariat. This included </w:t>
      </w:r>
      <w:r w:rsidR="000C5278" w:rsidRPr="006A65C9">
        <w:t>informing assumptions on the</w:t>
      </w:r>
      <w:r w:rsidR="00F32A93" w:rsidRPr="006A65C9">
        <w:t xml:space="preserve"> distribution of metastatic patients on each </w:t>
      </w:r>
      <w:r w:rsidR="000C5278" w:rsidRPr="006A65C9">
        <w:t xml:space="preserve">mCRPC </w:t>
      </w:r>
      <w:r w:rsidR="00F32A93" w:rsidRPr="006A65C9">
        <w:t xml:space="preserve">agent, the number of packs per course of treatment and net impact on the use </w:t>
      </w:r>
      <w:r w:rsidR="000C5278" w:rsidRPr="006A65C9">
        <w:t>of abiraterone, cabazitaxel, docetaxel and</w:t>
      </w:r>
      <w:r w:rsidR="00076BE1" w:rsidRPr="006A65C9">
        <w:t xml:space="preserve"> enzalutamide</w:t>
      </w:r>
      <w:r w:rsidR="000C5278" w:rsidRPr="006A65C9">
        <w:t xml:space="preserve"> after the listing of darolutamide.</w:t>
      </w:r>
      <w:r w:rsidR="00C03E87" w:rsidRPr="006A65C9">
        <w:t xml:space="preserve"> Compared </w:t>
      </w:r>
      <w:r w:rsidR="006B07B8" w:rsidRPr="006A65C9">
        <w:t>with</w:t>
      </w:r>
      <w:r w:rsidR="00C03E87" w:rsidRPr="006A65C9">
        <w:t xml:space="preserve"> the current scenario with patients managed by ‘watchful waiting’, the resubmission estimated that the availability of darolutamide would reduce the number of m0CRPC patients accessing mCRPC treatment by </w:t>
      </w:r>
      <w:r w:rsidR="00CD1C94">
        <w:t>&lt; 500</w:t>
      </w:r>
      <w:r w:rsidR="00CD1C94" w:rsidRPr="006A65C9">
        <w:t xml:space="preserve"> </w:t>
      </w:r>
      <w:r w:rsidR="00C03E87" w:rsidRPr="006A65C9">
        <w:t xml:space="preserve">in Year 1 to </w:t>
      </w:r>
      <w:r w:rsidR="00CD1C94">
        <w:t>&lt; 500</w:t>
      </w:r>
      <w:r w:rsidR="00CD1C94" w:rsidRPr="006A65C9">
        <w:t xml:space="preserve"> </w:t>
      </w:r>
      <w:r w:rsidR="00C03E87" w:rsidRPr="006A65C9">
        <w:t>in Year 6.</w:t>
      </w:r>
    </w:p>
    <w:p w:rsidR="005A7264" w:rsidRPr="006A65C9" w:rsidRDefault="005A7264" w:rsidP="007F6882">
      <w:pPr>
        <w:pStyle w:val="3-BodyText"/>
      </w:pPr>
      <w:r w:rsidRPr="006A65C9">
        <w:t xml:space="preserve">The resubmission assumed that, of those patients who initiate cytotoxic chemotherapy for mCRPC after darolutamide, 95% would be initiated on docetaxel and 5% on cabazitaxel based on initiation data provided by the DUSC Secretariat. This may underestimate the impact on cabazitaxel </w:t>
      </w:r>
      <w:r w:rsidR="007F6882" w:rsidRPr="006A65C9">
        <w:t xml:space="preserve">utilisation </w:t>
      </w:r>
      <w:r w:rsidRPr="006A65C9">
        <w:t xml:space="preserve">given </w:t>
      </w:r>
      <w:r w:rsidR="007F6882" w:rsidRPr="006A65C9">
        <w:t>use of abiraterone and enzalutamide would be precluded after</w:t>
      </w:r>
      <w:r w:rsidRPr="006A65C9">
        <w:t xml:space="preserve"> darolutamide.</w:t>
      </w:r>
    </w:p>
    <w:p w:rsidR="008F5495" w:rsidRPr="006A65C9" w:rsidRDefault="008F5495" w:rsidP="00E43261">
      <w:pPr>
        <w:pStyle w:val="3-BodyText"/>
      </w:pPr>
      <w:r w:rsidRPr="006A65C9">
        <w:t xml:space="preserve">The ESC considered that </w:t>
      </w:r>
      <w:r w:rsidR="00E43261" w:rsidRPr="006A65C9">
        <w:t xml:space="preserve">given </w:t>
      </w:r>
      <w:r w:rsidR="00FB4B79" w:rsidRPr="006A65C9">
        <w:t>the increas</w:t>
      </w:r>
      <w:r w:rsidR="00E43261" w:rsidRPr="006A65C9">
        <w:t>ed</w:t>
      </w:r>
      <w:r w:rsidR="00045DE4">
        <w:t xml:space="preserve"> use of PSMA </w:t>
      </w:r>
      <w:r w:rsidR="00FB4B79" w:rsidRPr="006A65C9">
        <w:t>PET</w:t>
      </w:r>
      <w:r w:rsidR="00E43261" w:rsidRPr="006A65C9">
        <w:t>, darolutamide will have the same place in therapy as enzalutamide and abiraterone</w:t>
      </w:r>
      <w:r w:rsidR="00FB4B79" w:rsidRPr="006A65C9">
        <w:t xml:space="preserve"> </w:t>
      </w:r>
      <w:r w:rsidR="00E43261" w:rsidRPr="006A65C9">
        <w:t>in some patients (i.</w:t>
      </w:r>
      <w:r w:rsidR="00871470">
        <w:t>e. those patients with metastase</w:t>
      </w:r>
      <w:r w:rsidR="00045DE4">
        <w:t xml:space="preserve">s detected on PSMA </w:t>
      </w:r>
      <w:r w:rsidR="00E43261" w:rsidRPr="006A65C9">
        <w:t xml:space="preserve">PET but with no signs of distant metastases on conventional imaging, who have predicted intolerance to docetaxel). Enzalutamide and abiraterone, which are already established therapies in the treatment of mCRPC, may be used in preference to darolutamide in these patients, </w:t>
      </w:r>
      <w:r w:rsidR="00E43261" w:rsidRPr="006A65C9">
        <w:lastRenderedPageBreak/>
        <w:t xml:space="preserve">which would substantially decrease the utilisation of darolutamide. </w:t>
      </w:r>
      <w:r w:rsidR="000D3836" w:rsidRPr="006A65C9">
        <w:t xml:space="preserve">Overall, the ESC considered that the </w:t>
      </w:r>
      <w:r w:rsidR="00FB4B79" w:rsidRPr="006A65C9">
        <w:t>size of the incremental population relative to the existing market for abiraterone and enzalutamide</w:t>
      </w:r>
      <w:r w:rsidR="000D3836" w:rsidRPr="006A65C9">
        <w:t>, and thus the net financial impact of listing darolutamide, was substantially overestimated</w:t>
      </w:r>
      <w:r w:rsidR="00FB4B79" w:rsidRPr="006A65C9">
        <w:t>.</w:t>
      </w:r>
      <w:r w:rsidR="00C427C4" w:rsidRPr="006A65C9">
        <w:t xml:space="preserve"> The extent w</w:t>
      </w:r>
      <w:r w:rsidR="00045DE4">
        <w:t xml:space="preserve">ill depending on uptake of PSMA </w:t>
      </w:r>
      <w:r w:rsidR="00C427C4" w:rsidRPr="006A65C9">
        <w:t>PET</w:t>
      </w:r>
      <w:r w:rsidR="00A41522" w:rsidRPr="006A65C9">
        <w:t xml:space="preserve">, the proportion of the population </w:t>
      </w:r>
      <w:r w:rsidR="000520D6" w:rsidRPr="006A65C9">
        <w:t xml:space="preserve">who </w:t>
      </w:r>
      <w:r w:rsidR="00A41522" w:rsidRPr="006A65C9">
        <w:t>h</w:t>
      </w:r>
      <w:r w:rsidR="00045DE4">
        <w:t xml:space="preserve">ave metastasis detected on PSMA </w:t>
      </w:r>
      <w:r w:rsidR="00A41522" w:rsidRPr="006A65C9">
        <w:t>PET but not on conventional imaging,</w:t>
      </w:r>
      <w:r w:rsidR="00C427C4" w:rsidRPr="006A65C9">
        <w:t xml:space="preserve"> and the extent of use of abiraterone and enzalutamide prior to docetaxel</w:t>
      </w:r>
      <w:r w:rsidR="00A41522" w:rsidRPr="006A65C9">
        <w:t xml:space="preserve"> (these were further discussed in the ‘requested listing’ and ‘comparator’ sections)</w:t>
      </w:r>
      <w:r w:rsidR="00C427C4" w:rsidRPr="006A65C9">
        <w:t xml:space="preserve">. </w:t>
      </w:r>
    </w:p>
    <w:p w:rsidR="001671A0" w:rsidRPr="006A65C9" w:rsidRDefault="00EF4150" w:rsidP="00725922">
      <w:pPr>
        <w:pStyle w:val="3-BodyText"/>
        <w:rPr>
          <w:color w:val="0066FF"/>
        </w:rPr>
      </w:pPr>
      <w:r w:rsidRPr="006A65C9">
        <w:t>The requested restriction include</w:t>
      </w:r>
      <w:r w:rsidR="00C86DD1">
        <w:t>d</w:t>
      </w:r>
      <w:r w:rsidRPr="006A65C9">
        <w:t xml:space="preserve"> a grandfather provision. The resubmission estimate</w:t>
      </w:r>
      <w:r w:rsidR="004F4CFF">
        <w:t>d</w:t>
      </w:r>
      <w:r w:rsidRPr="006A65C9">
        <w:t xml:space="preserve"> there w</w:t>
      </w:r>
      <w:r w:rsidR="004F4CFF">
        <w:t>ould</w:t>
      </w:r>
      <w:r w:rsidRPr="006A65C9">
        <w:t xml:space="preserve"> be an additional </w:t>
      </w:r>
      <w:r w:rsidR="00181820">
        <w:t>&lt; 500</w:t>
      </w:r>
      <w:r w:rsidR="00181820" w:rsidRPr="006A65C9">
        <w:t xml:space="preserve"> </w:t>
      </w:r>
      <w:r w:rsidRPr="006A65C9">
        <w:t xml:space="preserve">patients in the patient access program who will continue to receive PBS subsidised darolutamide. </w:t>
      </w:r>
      <w:r w:rsidR="006F5B3D" w:rsidRPr="006A65C9">
        <w:t xml:space="preserve">The ESC considered that grandfather patients were likely to have been double-counted, as they would likely already be included in the overall prevalent estimate. The ESC considered that, while including grandfather patients as additional patients was likely inappropriate, scripts for these patients should be modelled separately to account for the duration of treatment already received in this cohort. </w:t>
      </w:r>
      <w:r w:rsidR="00EA70B6">
        <w:t>Th</w:t>
      </w:r>
      <w:r w:rsidR="004F4CFF">
        <w:t>e</w:t>
      </w:r>
      <w:r w:rsidR="00EA70B6">
        <w:t xml:space="preserve"> pre-PBAC response</w:t>
      </w:r>
      <w:r w:rsidR="00943476">
        <w:t xml:space="preserve"> provided revised estimates which accounted for the duration of treatment already received by grandfathered patients.</w:t>
      </w:r>
    </w:p>
    <w:p w:rsidR="00576972" w:rsidRPr="00C9624D" w:rsidRDefault="00576972" w:rsidP="00606FBA">
      <w:pPr>
        <w:pStyle w:val="4-SubsectionHeading"/>
      </w:pPr>
      <w:bookmarkStart w:id="28" w:name="_Toc22897648"/>
      <w:bookmarkStart w:id="29" w:name="_Toc62023478"/>
      <w:r w:rsidRPr="00C9624D">
        <w:t>Quality Use of Medicines</w:t>
      </w:r>
      <w:bookmarkEnd w:id="28"/>
      <w:bookmarkEnd w:id="29"/>
    </w:p>
    <w:p w:rsidR="002650A0" w:rsidRPr="00470FAC" w:rsidRDefault="002650A0" w:rsidP="002650A0">
      <w:pPr>
        <w:pStyle w:val="3-BodyText"/>
      </w:pPr>
      <w:bookmarkStart w:id="30" w:name="_Toc22897649"/>
      <w:r w:rsidRPr="00470FAC">
        <w:t>The resubmission did not address quality use of medicines issues. In its consideration of the July 2020 submission, DUSC noted that there was a likelihood of cross-resistance between apalutamide (a near market comparator)</w:t>
      </w:r>
      <w:r w:rsidR="002C5358" w:rsidRPr="00470FAC">
        <w:t xml:space="preserve"> and </w:t>
      </w:r>
      <w:r w:rsidRPr="00470FAC">
        <w:t xml:space="preserve">abiraterone or enzalutamide in sequential use. DUSC advised that it was essential </w:t>
      </w:r>
      <w:r w:rsidR="002C5358" w:rsidRPr="00470FAC">
        <w:t>that</w:t>
      </w:r>
      <w:r w:rsidRPr="00470FAC">
        <w:t xml:space="preserve"> the </w:t>
      </w:r>
      <w:r w:rsidR="002C5358" w:rsidRPr="00470FAC">
        <w:t>restrictions prevent use of abiraterone and enzalutamide following darolutamide</w:t>
      </w:r>
      <w:r w:rsidRPr="00470FAC">
        <w:t>.</w:t>
      </w:r>
    </w:p>
    <w:p w:rsidR="00576972" w:rsidRPr="002650A0" w:rsidRDefault="00576972" w:rsidP="002650A0">
      <w:pPr>
        <w:pStyle w:val="3-BodyText"/>
        <w:numPr>
          <w:ilvl w:val="0"/>
          <w:numId w:val="0"/>
        </w:numPr>
        <w:rPr>
          <w:rFonts w:eastAsiaTheme="majorEastAsia" w:cstheme="majorBidi"/>
          <w:b/>
          <w:i/>
          <w:snapToGrid/>
          <w:spacing w:val="5"/>
          <w:kern w:val="28"/>
          <w:sz w:val="28"/>
          <w:szCs w:val="36"/>
        </w:rPr>
      </w:pPr>
      <w:r w:rsidRPr="002650A0">
        <w:rPr>
          <w:rFonts w:eastAsiaTheme="majorEastAsia" w:cstheme="majorBidi"/>
          <w:b/>
          <w:i/>
          <w:snapToGrid/>
          <w:spacing w:val="5"/>
          <w:kern w:val="28"/>
          <w:sz w:val="28"/>
          <w:szCs w:val="36"/>
        </w:rPr>
        <w:t>Financial Management – Risk Sharing Arrangements</w:t>
      </w:r>
      <w:bookmarkEnd w:id="30"/>
    </w:p>
    <w:p w:rsidR="00576972" w:rsidRPr="006A65C9" w:rsidRDefault="00F044B3" w:rsidP="00CA3338">
      <w:pPr>
        <w:pStyle w:val="3-BodyText"/>
        <w:rPr>
          <w:color w:val="0066FF"/>
        </w:rPr>
      </w:pPr>
      <w:r w:rsidRPr="00470FAC">
        <w:t>The sponsor propose</w:t>
      </w:r>
      <w:r w:rsidR="00657AFE" w:rsidRPr="00470FAC">
        <w:t>d</w:t>
      </w:r>
      <w:r w:rsidRPr="00470FAC">
        <w:t xml:space="preserve"> to address any remaining uncertainty with a risk-sharing arrangement in the form of an expenditure cap with a </w:t>
      </w:r>
      <w:r w:rsidR="006C3115">
        <w:rPr>
          <w:noProof/>
          <w:color w:val="000000"/>
          <w:highlight w:val="black"/>
        </w:rPr>
        <w:t>''''''''</w:t>
      </w:r>
      <w:r w:rsidRPr="00470FAC">
        <w:t xml:space="preserve">% rebate for expenditure above the amounts estimated for annual net cost to </w:t>
      </w:r>
      <w:r w:rsidR="002C5358" w:rsidRPr="00470FAC">
        <w:t xml:space="preserve">PBS and </w:t>
      </w:r>
      <w:r w:rsidRPr="00470FAC">
        <w:t xml:space="preserve">RPBS (Table </w:t>
      </w:r>
      <w:r w:rsidR="002C5358" w:rsidRPr="00470FAC">
        <w:t>1</w:t>
      </w:r>
      <w:r w:rsidR="000C08E6">
        <w:t>8)</w:t>
      </w:r>
      <w:r w:rsidRPr="00470FAC">
        <w:t xml:space="preserve">. The estimated caps </w:t>
      </w:r>
      <w:r w:rsidR="002C5358" w:rsidRPr="00470FAC">
        <w:t>were</w:t>
      </w:r>
      <w:r w:rsidRPr="00470FAC">
        <w:t xml:space="preserve"> highly sensitive to the </w:t>
      </w:r>
      <w:r w:rsidR="00480FAF" w:rsidRPr="006A65C9">
        <w:t xml:space="preserve">increasing use of </w:t>
      </w:r>
      <w:r w:rsidR="00480FAF" w:rsidRPr="006A65C9">
        <w:rPr>
          <w:rFonts w:ascii="Calibri" w:hAnsi="Calibri"/>
          <w:snapToGrid/>
        </w:rPr>
        <w:t>more ac</w:t>
      </w:r>
      <w:r w:rsidR="00045DE4">
        <w:rPr>
          <w:rFonts w:ascii="Calibri" w:hAnsi="Calibri"/>
          <w:snapToGrid/>
        </w:rPr>
        <w:t xml:space="preserve">curate diagnostic methods (PSMA </w:t>
      </w:r>
      <w:r w:rsidR="00480FAF" w:rsidRPr="006A65C9">
        <w:rPr>
          <w:rFonts w:ascii="Calibri" w:hAnsi="Calibri"/>
          <w:snapToGrid/>
        </w:rPr>
        <w:t xml:space="preserve">PET), the </w:t>
      </w:r>
      <w:r w:rsidRPr="006A65C9">
        <w:t>forecasted number of eligible m</w:t>
      </w:r>
      <w:r w:rsidR="002C5358" w:rsidRPr="006A65C9">
        <w:t>0</w:t>
      </w:r>
      <w:r w:rsidRPr="006A65C9">
        <w:t xml:space="preserve">CRPC patients, willingness to use darolutamide over enzalutamide or abiraterone should </w:t>
      </w:r>
      <w:r w:rsidR="0013221C" w:rsidRPr="006A65C9">
        <w:t xml:space="preserve">a </w:t>
      </w:r>
      <w:r w:rsidRPr="006A65C9">
        <w:t>patient progress to metastatic disease</w:t>
      </w:r>
      <w:r w:rsidR="00CA3338" w:rsidRPr="006A65C9">
        <w:t xml:space="preserve"> or shou</w:t>
      </w:r>
      <w:r w:rsidR="00871470">
        <w:t>ld a patient have micro metastase</w:t>
      </w:r>
      <w:r w:rsidR="00CA3338" w:rsidRPr="006A65C9">
        <w:t>s</w:t>
      </w:r>
      <w:r w:rsidRPr="006A65C9">
        <w:t>, and the assumption</w:t>
      </w:r>
      <w:r w:rsidR="00871470">
        <w:t>s regarding</w:t>
      </w:r>
      <w:r w:rsidRPr="006A65C9">
        <w:t xml:space="preserve"> compliance to treatment. Each of these modelling parameters </w:t>
      </w:r>
      <w:r w:rsidR="002C5358" w:rsidRPr="006A65C9">
        <w:t>we</w:t>
      </w:r>
      <w:r w:rsidRPr="006A65C9">
        <w:t xml:space="preserve">re likely to be overestimated, and as such, the overall caps </w:t>
      </w:r>
      <w:r w:rsidR="002C5358" w:rsidRPr="006A65C9">
        <w:t>we</w:t>
      </w:r>
      <w:r w:rsidRPr="006A65C9">
        <w:t xml:space="preserve">re likely to be </w:t>
      </w:r>
      <w:r w:rsidR="00480FAF" w:rsidRPr="006A65C9">
        <w:t>substantially</w:t>
      </w:r>
      <w:r w:rsidR="00480FAF">
        <w:rPr>
          <w:i/>
        </w:rPr>
        <w:t xml:space="preserve"> </w:t>
      </w:r>
      <w:r w:rsidRPr="00470FAC">
        <w:t>overestimated.</w:t>
      </w:r>
    </w:p>
    <w:p w:rsidR="006A65C9" w:rsidRDefault="006A65C9" w:rsidP="006A65C9">
      <w:pPr>
        <w:pStyle w:val="3-BodyText"/>
        <w:numPr>
          <w:ilvl w:val="0"/>
          <w:numId w:val="0"/>
        </w:numPr>
        <w:ind w:left="720"/>
        <w:rPr>
          <w:i/>
        </w:rPr>
      </w:pPr>
      <w:r w:rsidRPr="006A65C9">
        <w:rPr>
          <w:i/>
        </w:rPr>
        <w:t>For more detail on PBAC’s view, see section 7 PBAC outcome.</w:t>
      </w:r>
    </w:p>
    <w:p w:rsidR="00670A2B" w:rsidRPr="00D52702" w:rsidRDefault="00670A2B" w:rsidP="00670A2B">
      <w:pPr>
        <w:pStyle w:val="2-SectionHeading"/>
      </w:pPr>
      <w:r w:rsidRPr="00D52702">
        <w:t>PBAC Outcome</w:t>
      </w:r>
    </w:p>
    <w:p w:rsidR="00190183" w:rsidRDefault="00190183" w:rsidP="00670A2B">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did not recommend the listing of darolutamide for the treatment of patients </w:t>
      </w:r>
      <w:r>
        <w:rPr>
          <w:rFonts w:asciiTheme="minorHAnsi" w:hAnsiTheme="minorHAnsi"/>
          <w:bCs/>
          <w:snapToGrid w:val="0"/>
          <w:lang w:val="en-GB"/>
        </w:rPr>
        <w:lastRenderedPageBreak/>
        <w:t xml:space="preserve">with non-metastatic castration resistant prostate cancer (m0CRPC) who are at high risk of distant metastases. </w:t>
      </w:r>
      <w:r w:rsidR="003E0272">
        <w:rPr>
          <w:rFonts w:asciiTheme="minorHAnsi" w:hAnsiTheme="minorHAnsi"/>
          <w:bCs/>
          <w:snapToGrid w:val="0"/>
          <w:lang w:val="en-GB"/>
        </w:rPr>
        <w:t>The</w:t>
      </w:r>
      <w:r w:rsidR="00554CF9">
        <w:rPr>
          <w:rFonts w:asciiTheme="minorHAnsi" w:hAnsiTheme="minorHAnsi"/>
          <w:bCs/>
          <w:snapToGrid w:val="0"/>
          <w:lang w:val="en-GB"/>
        </w:rPr>
        <w:t xml:space="preserve"> submission nominated best supportive care as the comparator, consistent with previous PBAC advice</w:t>
      </w:r>
      <w:r w:rsidR="00462C37">
        <w:rPr>
          <w:rFonts w:asciiTheme="minorHAnsi" w:hAnsiTheme="minorHAnsi"/>
          <w:bCs/>
          <w:snapToGrid w:val="0"/>
          <w:lang w:val="en-GB"/>
        </w:rPr>
        <w:t>;</w:t>
      </w:r>
      <w:r w:rsidR="00554CF9">
        <w:rPr>
          <w:rFonts w:asciiTheme="minorHAnsi" w:hAnsiTheme="minorHAnsi"/>
          <w:bCs/>
          <w:snapToGrid w:val="0"/>
          <w:lang w:val="en-GB"/>
        </w:rPr>
        <w:t xml:space="preserve"> however</w:t>
      </w:r>
      <w:r w:rsidR="00462C37">
        <w:rPr>
          <w:rFonts w:asciiTheme="minorHAnsi" w:hAnsiTheme="minorHAnsi"/>
          <w:bCs/>
          <w:snapToGrid w:val="0"/>
          <w:lang w:val="en-GB"/>
        </w:rPr>
        <w:t>,</w:t>
      </w:r>
      <w:r w:rsidR="00554CF9">
        <w:rPr>
          <w:rFonts w:asciiTheme="minorHAnsi" w:hAnsiTheme="minorHAnsi"/>
          <w:bCs/>
          <w:snapToGrid w:val="0"/>
          <w:lang w:val="en-GB"/>
        </w:rPr>
        <w:t xml:space="preserve"> the</w:t>
      </w:r>
      <w:r w:rsidR="003E0272">
        <w:rPr>
          <w:rFonts w:asciiTheme="minorHAnsi" w:hAnsiTheme="minorHAnsi"/>
          <w:bCs/>
          <w:snapToGrid w:val="0"/>
          <w:lang w:val="en-GB"/>
        </w:rPr>
        <w:t xml:space="preserve"> PBAC considered that </w:t>
      </w:r>
      <w:r w:rsidR="00554CF9">
        <w:rPr>
          <w:rFonts w:asciiTheme="minorHAnsi" w:hAnsiTheme="minorHAnsi"/>
          <w:bCs/>
          <w:snapToGrid w:val="0"/>
          <w:lang w:val="en-GB"/>
        </w:rPr>
        <w:t>based on changing clinical practice, abiraterone and enzalutamide were also relevant comparators</w:t>
      </w:r>
      <w:r w:rsidR="003E0272">
        <w:rPr>
          <w:rFonts w:asciiTheme="minorHAnsi" w:hAnsiTheme="minorHAnsi"/>
          <w:bCs/>
          <w:snapToGrid w:val="0"/>
          <w:lang w:val="en-GB"/>
        </w:rPr>
        <w:t xml:space="preserve">. </w:t>
      </w:r>
      <w:r>
        <w:rPr>
          <w:rFonts w:asciiTheme="minorHAnsi" w:hAnsiTheme="minorHAnsi"/>
          <w:bCs/>
          <w:snapToGrid w:val="0"/>
          <w:lang w:val="en-GB"/>
        </w:rPr>
        <w:t xml:space="preserve">The PBAC noted that the resubmission provided revisions to the economic model, but considered that the resultant incremental cost effectiveness ratio (ICER) remained </w:t>
      </w:r>
      <w:r w:rsidR="00747303">
        <w:rPr>
          <w:rFonts w:asciiTheme="minorHAnsi" w:hAnsiTheme="minorHAnsi"/>
          <w:bCs/>
          <w:snapToGrid w:val="0"/>
          <w:lang w:val="en-GB"/>
        </w:rPr>
        <w:t xml:space="preserve">underestimated and </w:t>
      </w:r>
      <w:r>
        <w:rPr>
          <w:rFonts w:asciiTheme="minorHAnsi" w:hAnsiTheme="minorHAnsi"/>
          <w:bCs/>
          <w:snapToGrid w:val="0"/>
          <w:lang w:val="en-GB"/>
        </w:rPr>
        <w:t xml:space="preserve">high at the proposed price. Further, the PBAC considered that </w:t>
      </w:r>
      <w:r w:rsidR="00554CF9" w:rsidRPr="006A65C9">
        <w:t>the size of the incremental population relative to the existing market for abiraterone and enzalutamide, and thus the net financial impact of listing darolutamide, was substantially overestimated</w:t>
      </w:r>
      <w:r>
        <w:rPr>
          <w:rFonts w:asciiTheme="minorHAnsi" w:hAnsiTheme="minorHAnsi"/>
          <w:bCs/>
          <w:snapToGrid w:val="0"/>
          <w:lang w:val="en-GB"/>
        </w:rPr>
        <w:t xml:space="preserve">. </w:t>
      </w:r>
    </w:p>
    <w:p w:rsidR="003D7335" w:rsidRDefault="003D7335" w:rsidP="00670A2B">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noted consumer comments which </w:t>
      </w:r>
      <w:r w:rsidR="00871470">
        <w:rPr>
          <w:rFonts w:asciiTheme="minorHAnsi" w:hAnsiTheme="minorHAnsi"/>
          <w:bCs/>
          <w:snapToGrid w:val="0"/>
          <w:lang w:val="en-GB"/>
        </w:rPr>
        <w:t xml:space="preserve">generally </w:t>
      </w:r>
      <w:r>
        <w:rPr>
          <w:rFonts w:asciiTheme="minorHAnsi" w:hAnsiTheme="minorHAnsi"/>
          <w:bCs/>
          <w:snapToGrid w:val="0"/>
          <w:lang w:val="en-GB"/>
        </w:rPr>
        <w:t>supported the listing of darolutamide on the PBS for the treatment of m0CRPC.</w:t>
      </w:r>
    </w:p>
    <w:p w:rsidR="006C6BBB" w:rsidRDefault="006C6BBB" w:rsidP="00670A2B">
      <w:pPr>
        <w:widowControl w:val="0"/>
        <w:numPr>
          <w:ilvl w:val="1"/>
          <w:numId w:val="1"/>
        </w:numPr>
        <w:spacing w:after="120"/>
        <w:rPr>
          <w:rFonts w:asciiTheme="minorHAnsi" w:hAnsiTheme="minorHAnsi"/>
          <w:bCs/>
          <w:snapToGrid w:val="0"/>
          <w:lang w:val="en-GB"/>
        </w:rPr>
      </w:pPr>
      <w:r>
        <w:t>The PBAC noted that the proposed restriction included the criterion ‘Patient must not have distant metastases on conventional imaging’, and that this was consistent with its recommendation for apalutamide for the same indication at the November 2020 meeting on the basis that it aligned the PBS population with the trial population</w:t>
      </w:r>
      <w:r w:rsidR="00462C37">
        <w:t xml:space="preserve"> (paragraph 3.5, apalutamide PSD, November 2020)</w:t>
      </w:r>
      <w:r>
        <w:rPr>
          <w:rStyle w:val="CommentReference"/>
          <w:rFonts w:cs="Times New Roman"/>
        </w:rPr>
        <w:t>.</w:t>
      </w:r>
      <w:r>
        <w:t xml:space="preserve"> However, noting the increasing use of more sensitive prostate-specific membrane antigen (</w:t>
      </w:r>
      <w:r w:rsidRPr="008D0CDA">
        <w:t>PSMA</w:t>
      </w:r>
      <w:r>
        <w:t xml:space="preserve">) </w:t>
      </w:r>
      <w:r w:rsidRPr="008D0CDA">
        <w:t>PET sc</w:t>
      </w:r>
      <w:r>
        <w:t>ann</w:t>
      </w:r>
      <w:r w:rsidRPr="008D0CDA">
        <w:t>ing</w:t>
      </w:r>
      <w:r>
        <w:t xml:space="preserve"> for staging CRPC, and hence the broader population classified as having distant metastases, including a substantial proportion of patients classified as m0CRPC on conventional imaging, the PBAC </w:t>
      </w:r>
      <w:r w:rsidR="000A10E6">
        <w:t xml:space="preserve">reconsidered </w:t>
      </w:r>
      <w:r>
        <w:t>that the clinical criterion requiring patients to not have distant metastases could be</w:t>
      </w:r>
      <w:r w:rsidR="00F5377E">
        <w:t xml:space="preserve"> </w:t>
      </w:r>
      <w:r w:rsidR="000A10E6">
        <w:t>omitted</w:t>
      </w:r>
      <w:r>
        <w:t xml:space="preserve">. Further support for removal of this criterion is that </w:t>
      </w:r>
      <w:r w:rsidRPr="00BF5D3B">
        <w:rPr>
          <w:bCs/>
        </w:rPr>
        <w:t>the majority of patients</w:t>
      </w:r>
      <w:r>
        <w:t xml:space="preserve"> with a </w:t>
      </w:r>
      <w:r w:rsidRPr="00AB5A3D">
        <w:t>PSA doubling time of 10 months or less</w:t>
      </w:r>
      <w:r>
        <w:t xml:space="preserve"> are </w:t>
      </w:r>
      <w:r w:rsidRPr="00E86152">
        <w:rPr>
          <w:bCs/>
        </w:rPr>
        <w:t>likely be diagnosed with, or would soon progress to, metastatic castration resistant prostate cancer (mCRPC)</w:t>
      </w:r>
      <w:r w:rsidR="00C91116">
        <w:rPr>
          <w:bCs/>
        </w:rPr>
        <w:t>, especially with the use of the more sensitive</w:t>
      </w:r>
      <w:r>
        <w:rPr>
          <w:bCs/>
        </w:rPr>
        <w:t xml:space="preserve"> PSMA PET scans</w:t>
      </w:r>
      <w:r w:rsidRPr="00E86152">
        <w:rPr>
          <w:bCs/>
        </w:rPr>
        <w:t>.</w:t>
      </w:r>
      <w:r w:rsidRPr="008D0CDA">
        <w:t xml:space="preserve"> </w:t>
      </w:r>
    </w:p>
    <w:p w:rsidR="00462C37" w:rsidRPr="00462C37" w:rsidRDefault="002C071C" w:rsidP="003534C4">
      <w:pPr>
        <w:widowControl w:val="0"/>
        <w:numPr>
          <w:ilvl w:val="1"/>
          <w:numId w:val="1"/>
        </w:numPr>
        <w:spacing w:after="120"/>
        <w:rPr>
          <w:rFonts w:asciiTheme="minorHAnsi" w:hAnsiTheme="minorHAnsi"/>
          <w:bCs/>
          <w:snapToGrid w:val="0"/>
          <w:lang w:val="en-GB"/>
        </w:rPr>
      </w:pPr>
      <w:r>
        <w:t>The PBAC reiterated that treatment with a novel hormonal agent (NHA, i.e. darolutamide</w:t>
      </w:r>
      <w:r w:rsidR="00C9451A">
        <w:t>, enzalutamide</w:t>
      </w:r>
      <w:r>
        <w:t xml:space="preserve"> or abiraterone) should be limited to one </w:t>
      </w:r>
      <w:r w:rsidR="00871470">
        <w:t xml:space="preserve">treatment course </w:t>
      </w:r>
      <w:r>
        <w:t>per lifetime.</w:t>
      </w:r>
    </w:p>
    <w:p w:rsidR="00485231" w:rsidRPr="00462C37" w:rsidRDefault="00485231" w:rsidP="003534C4">
      <w:pPr>
        <w:widowControl w:val="0"/>
        <w:numPr>
          <w:ilvl w:val="1"/>
          <w:numId w:val="1"/>
        </w:numPr>
        <w:spacing w:after="120"/>
        <w:rPr>
          <w:rFonts w:asciiTheme="minorHAnsi" w:hAnsiTheme="minorHAnsi"/>
          <w:bCs/>
          <w:snapToGrid w:val="0"/>
          <w:lang w:val="en-GB"/>
        </w:rPr>
      </w:pPr>
      <w:r w:rsidRPr="008D0CDA">
        <w:t xml:space="preserve">The </w:t>
      </w:r>
      <w:r>
        <w:t xml:space="preserve">PBAC </w:t>
      </w:r>
      <w:r w:rsidR="00334CEE">
        <w:t xml:space="preserve">noted </w:t>
      </w:r>
      <w:r w:rsidRPr="008D0CDA">
        <w:t>that, in clinical practice, a patient with metastatic disease detected with PSMA</w:t>
      </w:r>
      <w:r>
        <w:t xml:space="preserve"> </w:t>
      </w:r>
      <w:r w:rsidRPr="008D0CDA">
        <w:t xml:space="preserve">PET scanning, but not with conventional imaging, would </w:t>
      </w:r>
      <w:r w:rsidR="00D43599">
        <w:t>receive</w:t>
      </w:r>
      <w:r w:rsidRPr="008D0CDA">
        <w:t xml:space="preserve"> either (i) darolutamide; or</w:t>
      </w:r>
      <w:r w:rsidR="00D43599">
        <w:t>, noting data provided by the DUSC secretariat indicated that the majority of mCRPC patients are being treated with abiraterone and enzalutamide without prior treatment with docetaxel,</w:t>
      </w:r>
      <w:r w:rsidRPr="008D0CDA">
        <w:t xml:space="preserve"> (ii) </w:t>
      </w:r>
      <w:r w:rsidR="00462C37">
        <w:t xml:space="preserve">abiraterone or </w:t>
      </w:r>
      <w:r w:rsidR="00C9451A" w:rsidRPr="008D0CDA">
        <w:t>enzalutamide</w:t>
      </w:r>
      <w:r w:rsidR="00C9451A">
        <w:t xml:space="preserve">. </w:t>
      </w:r>
      <w:r w:rsidR="00251602">
        <w:t xml:space="preserve">The PBAC </w:t>
      </w:r>
      <w:r>
        <w:t>further</w:t>
      </w:r>
      <w:r w:rsidR="00251602">
        <w:t xml:space="preserve"> noted that if the </w:t>
      </w:r>
      <w:r w:rsidR="00C30BE6">
        <w:t xml:space="preserve">PBS </w:t>
      </w:r>
      <w:r>
        <w:t xml:space="preserve">restriction for darolutamide does not require staging as m0CRPC using conventional imaging, the overlap in the darolutamide and abiraterone/enzalutamide populations would be substantial. </w:t>
      </w:r>
    </w:p>
    <w:p w:rsidR="002C071C" w:rsidRDefault="00251602" w:rsidP="00670A2B">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w:t>
      </w:r>
      <w:r w:rsidR="00C30BE6">
        <w:rPr>
          <w:rFonts w:asciiTheme="minorHAnsi" w:hAnsiTheme="minorHAnsi"/>
          <w:bCs/>
          <w:snapToGrid w:val="0"/>
          <w:lang w:val="en-GB"/>
        </w:rPr>
        <w:t xml:space="preserve">therefore </w:t>
      </w:r>
      <w:r>
        <w:rPr>
          <w:rFonts w:asciiTheme="minorHAnsi" w:hAnsiTheme="minorHAnsi"/>
          <w:bCs/>
          <w:snapToGrid w:val="0"/>
          <w:lang w:val="en-GB"/>
        </w:rPr>
        <w:t xml:space="preserve">considered that, while standard of care had previously been considered the relevant comparator, the changing clinical practices outlined above supported the current treatments for mCRPC (i.e. abiraterone and enzalutamide) </w:t>
      </w:r>
      <w:r w:rsidR="00C43FFB">
        <w:rPr>
          <w:rFonts w:asciiTheme="minorHAnsi" w:hAnsiTheme="minorHAnsi"/>
          <w:bCs/>
          <w:snapToGrid w:val="0"/>
          <w:lang w:val="en-GB"/>
        </w:rPr>
        <w:t xml:space="preserve">also </w:t>
      </w:r>
      <w:r>
        <w:rPr>
          <w:rFonts w:asciiTheme="minorHAnsi" w:hAnsiTheme="minorHAnsi"/>
          <w:bCs/>
          <w:snapToGrid w:val="0"/>
          <w:lang w:val="en-GB"/>
        </w:rPr>
        <w:lastRenderedPageBreak/>
        <w:t>being relevant comparators.</w:t>
      </w:r>
    </w:p>
    <w:p w:rsidR="003D7335" w:rsidRPr="00334CEE" w:rsidRDefault="00544F5A" w:rsidP="001007EE">
      <w:pPr>
        <w:widowControl w:val="0"/>
        <w:numPr>
          <w:ilvl w:val="1"/>
          <w:numId w:val="1"/>
        </w:numPr>
        <w:spacing w:after="120"/>
        <w:rPr>
          <w:rFonts w:asciiTheme="minorHAnsi" w:hAnsiTheme="minorHAnsi"/>
          <w:bCs/>
          <w:snapToGrid w:val="0"/>
          <w:lang w:val="en-GB"/>
        </w:rPr>
      </w:pPr>
      <w:r w:rsidRPr="00334CEE">
        <w:rPr>
          <w:rFonts w:asciiTheme="minorHAnsi" w:hAnsiTheme="minorHAnsi"/>
          <w:bCs/>
          <w:snapToGrid w:val="0"/>
          <w:lang w:val="en-GB"/>
        </w:rPr>
        <w:t>The PBAC recalled that it had previously considered that the clinical claims that darolutamide resulted in superior efficacy and inferior safety compared to standard of care (SOC) were adequately supported by the evidence presented. The PBAC recalled that it considered that the efficacy of darolutamide would likely be non-inferior compared to apalutamide and enzalutamide</w:t>
      </w:r>
      <w:r w:rsidR="00142B21" w:rsidRPr="00334CEE">
        <w:rPr>
          <w:rFonts w:asciiTheme="minorHAnsi" w:hAnsiTheme="minorHAnsi"/>
          <w:bCs/>
          <w:snapToGrid w:val="0"/>
          <w:lang w:val="en-GB"/>
        </w:rPr>
        <w:t xml:space="preserve">. The PBAC noted that </w:t>
      </w:r>
      <w:r w:rsidR="00142B21" w:rsidRPr="00334CEE">
        <w:rPr>
          <w:rFonts w:cs="Calibri"/>
        </w:rPr>
        <w:t>the resubmission amended the safety claim to state that darolutamide was non-inferior in terms of safety compared to apalutamide and enzalutamide</w:t>
      </w:r>
      <w:r w:rsidR="00FE3DCB">
        <w:rPr>
          <w:rFonts w:cs="Calibri"/>
        </w:rPr>
        <w:t xml:space="preserve"> and considered this appropriate</w:t>
      </w:r>
      <w:r w:rsidR="00142B21" w:rsidRPr="00334CEE">
        <w:rPr>
          <w:rFonts w:cs="Calibri"/>
        </w:rPr>
        <w:t xml:space="preserve">. </w:t>
      </w:r>
    </w:p>
    <w:p w:rsidR="003551E1" w:rsidRDefault="00544F5A" w:rsidP="00D829BB">
      <w:pPr>
        <w:pStyle w:val="3-BodyText"/>
        <w:rPr>
          <w:lang w:val="en-GB"/>
        </w:rPr>
      </w:pPr>
      <w:r w:rsidRPr="003551E1">
        <w:rPr>
          <w:lang w:val="en-GB"/>
        </w:rPr>
        <w:t xml:space="preserve">The PBAC noted that the resubmission </w:t>
      </w:r>
      <w:r w:rsidR="003551E1" w:rsidRPr="003551E1">
        <w:rPr>
          <w:lang w:val="en-GB"/>
        </w:rPr>
        <w:t>made a number of revisions to the economic model</w:t>
      </w:r>
      <w:r w:rsidR="003551E1">
        <w:rPr>
          <w:lang w:val="en-GB"/>
        </w:rPr>
        <w:t>, including to the methods of overall survival extrapolation and to the health state utilities. These revisions</w:t>
      </w:r>
      <w:r w:rsidR="003551E1" w:rsidRPr="003138B2">
        <w:rPr>
          <w:lang w:val="en-GB"/>
        </w:rPr>
        <w:t xml:space="preserve">, plus the inclusion of the 25% reduction to the price of darolutamide, resulted in a difference in overall survival (OS) at 10 years of 11% </w:t>
      </w:r>
      <w:r w:rsidR="001F7E6E" w:rsidRPr="003138B2">
        <w:rPr>
          <w:lang w:val="en-GB"/>
        </w:rPr>
        <w:t>(19% of darolutamide patients and 8%</w:t>
      </w:r>
      <w:r w:rsidR="001F7E6E">
        <w:rPr>
          <w:lang w:val="en-GB"/>
        </w:rPr>
        <w:t xml:space="preserve"> of SOC patients were estimated to be alive at 10 years) </w:t>
      </w:r>
      <w:r w:rsidR="003551E1">
        <w:rPr>
          <w:lang w:val="en-GB"/>
        </w:rPr>
        <w:t xml:space="preserve">and an ICER of </w:t>
      </w:r>
      <w:r w:rsidR="00D829BB" w:rsidRPr="00D829BB">
        <w:rPr>
          <w:bCs/>
          <w:lang w:val="en-GB"/>
        </w:rPr>
        <w:t>$45,000 to &lt; $55,000</w:t>
      </w:r>
      <w:r w:rsidR="00D829BB">
        <w:rPr>
          <w:bCs/>
          <w:lang w:val="en-GB"/>
        </w:rPr>
        <w:t xml:space="preserve"> </w:t>
      </w:r>
      <w:r w:rsidR="003551E1">
        <w:rPr>
          <w:lang w:val="en-GB"/>
        </w:rPr>
        <w:t xml:space="preserve">per quality adjusted life year (QALY), compared to a 20% difference in OS and an ICER of </w:t>
      </w:r>
      <w:r w:rsidR="00D829BB" w:rsidRPr="00D829BB">
        <w:rPr>
          <w:lang w:val="en-GB"/>
        </w:rPr>
        <w:t>$45,000 to &lt; $55,000</w:t>
      </w:r>
      <w:r w:rsidR="00D829BB">
        <w:rPr>
          <w:lang w:val="en-GB"/>
        </w:rPr>
        <w:t xml:space="preserve"> </w:t>
      </w:r>
      <w:r w:rsidR="003551E1">
        <w:rPr>
          <w:lang w:val="en-GB"/>
        </w:rPr>
        <w:t>per QALY in July 2020.</w:t>
      </w:r>
      <w:r w:rsidR="00D10C00">
        <w:rPr>
          <w:lang w:val="en-GB"/>
        </w:rPr>
        <w:t xml:space="preserve"> </w:t>
      </w:r>
    </w:p>
    <w:p w:rsidR="00BB5215" w:rsidRPr="00BB5215" w:rsidRDefault="00D10C00" w:rsidP="00D829BB">
      <w:pPr>
        <w:pStyle w:val="3-BodyText"/>
        <w:rPr>
          <w:bCs/>
          <w:lang w:val="en-GB"/>
        </w:rPr>
      </w:pPr>
      <w:r>
        <w:rPr>
          <w:bCs/>
          <w:lang w:val="en-GB"/>
        </w:rPr>
        <w:t xml:space="preserve">The PBAC noted that the ESC </w:t>
      </w:r>
      <w:r w:rsidR="007267E0">
        <w:rPr>
          <w:bCs/>
          <w:lang w:val="en-GB"/>
        </w:rPr>
        <w:t xml:space="preserve">proposed an alternate base case </w:t>
      </w:r>
      <w:r w:rsidR="007267E0" w:rsidRPr="006A65C9">
        <w:rPr>
          <w:lang w:val="en-US"/>
        </w:rPr>
        <w:t xml:space="preserve">which applied a </w:t>
      </w:r>
      <w:r w:rsidR="007267E0" w:rsidRPr="006A65C9">
        <w:t xml:space="preserve">mCRPC utility of 0.635, Kaplan-Meier data until approximately 20% of patients remain at risk and a time horizon of 7.5 years which resulted in an ICER of </w:t>
      </w:r>
      <w:r w:rsidR="00D829BB" w:rsidRPr="00D829BB">
        <w:rPr>
          <w:rFonts w:ascii="Calibri" w:hAnsi="Calibri"/>
          <w:snapToGrid/>
        </w:rPr>
        <w:t xml:space="preserve">$55,000 to &lt; $75,000 </w:t>
      </w:r>
      <w:r w:rsidR="007267E0" w:rsidRPr="006A65C9">
        <w:t xml:space="preserve">per QALY. </w:t>
      </w:r>
      <w:r w:rsidR="005B7730">
        <w:t>The PBAC noted that the pre-PBAC response presented a revised base case which accepted the ESC proposed changes</w:t>
      </w:r>
      <w:r w:rsidR="003E0272">
        <w:t>,</w:t>
      </w:r>
      <w:r w:rsidR="005B7730">
        <w:t xml:space="preserve"> with the exception of the 7.5 year time horizon. The PBAC considered that the application of a 10 year time horizon was reasonable and was consistent with what was considered acceptable in the apalutamide submission (Table 12, apalutamide PSD, November 2020). </w:t>
      </w:r>
    </w:p>
    <w:p w:rsidR="001550EC" w:rsidRDefault="005B7730" w:rsidP="00C24C69">
      <w:pPr>
        <w:widowControl w:val="0"/>
        <w:numPr>
          <w:ilvl w:val="1"/>
          <w:numId w:val="1"/>
        </w:numPr>
        <w:spacing w:after="120"/>
        <w:rPr>
          <w:rFonts w:asciiTheme="minorHAnsi" w:hAnsiTheme="minorHAnsi"/>
          <w:bCs/>
          <w:snapToGrid w:val="0"/>
          <w:lang w:val="en-GB"/>
        </w:rPr>
      </w:pPr>
      <w:r>
        <w:t xml:space="preserve">In further comparisons with the apalutamide model, the PBAC noted </w:t>
      </w:r>
      <w:r w:rsidR="00BB5215">
        <w:t xml:space="preserve">the </w:t>
      </w:r>
      <w:r>
        <w:t xml:space="preserve">utility value applied </w:t>
      </w:r>
      <w:r w:rsidR="003E0272">
        <w:t>to</w:t>
      </w:r>
      <w:r>
        <w:t xml:space="preserve"> the mCRPC health state in the darolutamide model</w:t>
      </w:r>
      <w:r w:rsidR="00BB5215">
        <w:t xml:space="preserve"> </w:t>
      </w:r>
      <w:r w:rsidR="00FE3DCB">
        <w:t xml:space="preserve">(0.635) </w:t>
      </w:r>
      <w:r w:rsidR="00BB5215">
        <w:t xml:space="preserve">was considerably lower than that applied in the apalutamide model </w:t>
      </w:r>
      <w:r w:rsidR="00FE3DCB">
        <w:t>(</w:t>
      </w:r>
      <w:r w:rsidR="00BB5215">
        <w:t>0.721</w:t>
      </w:r>
      <w:r w:rsidR="00FE3DCB">
        <w:t>)</w:t>
      </w:r>
      <w:r w:rsidR="00BB5215">
        <w:t xml:space="preserve">, and that the </w:t>
      </w:r>
      <w:r w:rsidR="00FE3DCB">
        <w:t xml:space="preserve">estimated </w:t>
      </w:r>
      <w:r w:rsidR="00360CAC">
        <w:t xml:space="preserve">incremental </w:t>
      </w:r>
      <w:r w:rsidR="00BB5215">
        <w:t xml:space="preserve">QALY gains for darolutamide (0.76) </w:t>
      </w:r>
      <w:r w:rsidR="00FE3DCB">
        <w:t>were substantially higher than for</w:t>
      </w:r>
      <w:r w:rsidR="00BB5215">
        <w:t xml:space="preserve"> apalutamide (0.49)</w:t>
      </w:r>
      <w:r w:rsidR="00360CAC">
        <w:t xml:space="preserve"> (Tables 12 and 14, apalutamide PSD, November 2020)</w:t>
      </w:r>
      <w:r w:rsidR="00BB5215">
        <w:t xml:space="preserve">. </w:t>
      </w:r>
      <w:r w:rsidR="00822004">
        <w:rPr>
          <w:rFonts w:asciiTheme="minorHAnsi" w:hAnsiTheme="minorHAnsi"/>
          <w:bCs/>
          <w:snapToGrid w:val="0"/>
          <w:lang w:val="en-GB"/>
        </w:rPr>
        <w:t xml:space="preserve">Considering that the available comparative evidence suggested that darolutamide and apalutamide were likely to be non-inferior in terms of efficacy and safety, the PBAC considered that </w:t>
      </w:r>
      <w:r w:rsidR="00A863C5">
        <w:rPr>
          <w:rFonts w:asciiTheme="minorHAnsi" w:hAnsiTheme="minorHAnsi"/>
          <w:bCs/>
          <w:snapToGrid w:val="0"/>
          <w:lang w:val="en-GB"/>
        </w:rPr>
        <w:t xml:space="preserve">any </w:t>
      </w:r>
      <w:r w:rsidR="00822004">
        <w:rPr>
          <w:rFonts w:asciiTheme="minorHAnsi" w:hAnsiTheme="minorHAnsi"/>
          <w:bCs/>
          <w:snapToGrid w:val="0"/>
          <w:lang w:val="en-GB"/>
        </w:rPr>
        <w:t xml:space="preserve">differences in QALYs gained were artefacts of the different modelling approaches. </w:t>
      </w:r>
      <w:r w:rsidR="00FE3DCB">
        <w:rPr>
          <w:rFonts w:asciiTheme="minorHAnsi" w:hAnsiTheme="minorHAnsi"/>
          <w:bCs/>
          <w:snapToGrid w:val="0"/>
          <w:lang w:val="en-GB"/>
        </w:rPr>
        <w:t>The PBAC considered</w:t>
      </w:r>
      <w:r w:rsidR="00C47865">
        <w:rPr>
          <w:rFonts w:asciiTheme="minorHAnsi" w:hAnsiTheme="minorHAnsi"/>
          <w:bCs/>
          <w:snapToGrid w:val="0"/>
          <w:lang w:val="en-GB"/>
        </w:rPr>
        <w:t xml:space="preserve"> that</w:t>
      </w:r>
      <w:r w:rsidR="00FE3DCB">
        <w:rPr>
          <w:rFonts w:asciiTheme="minorHAnsi" w:hAnsiTheme="minorHAnsi"/>
          <w:bCs/>
          <w:snapToGrid w:val="0"/>
          <w:lang w:val="en-GB"/>
        </w:rPr>
        <w:t xml:space="preserve"> this suggested the QALY gains for darolutamide remained overestimated.</w:t>
      </w:r>
    </w:p>
    <w:p w:rsidR="005F6A8C" w:rsidRDefault="003E6D32" w:rsidP="00C24C69">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Alternatively, n</w:t>
      </w:r>
      <w:r w:rsidR="00A863C5">
        <w:rPr>
          <w:rFonts w:asciiTheme="minorHAnsi" w:hAnsiTheme="minorHAnsi"/>
          <w:bCs/>
          <w:snapToGrid w:val="0"/>
          <w:lang w:val="en-GB"/>
        </w:rPr>
        <w:t xml:space="preserve">oting that abiraterone </w:t>
      </w:r>
      <w:r w:rsidR="00FE3DCB">
        <w:rPr>
          <w:rFonts w:asciiTheme="minorHAnsi" w:hAnsiTheme="minorHAnsi"/>
          <w:bCs/>
          <w:snapToGrid w:val="0"/>
          <w:lang w:val="en-GB"/>
        </w:rPr>
        <w:t>and</w:t>
      </w:r>
      <w:r w:rsidR="00A863C5">
        <w:rPr>
          <w:rFonts w:asciiTheme="minorHAnsi" w:hAnsiTheme="minorHAnsi"/>
          <w:bCs/>
          <w:snapToGrid w:val="0"/>
          <w:lang w:val="en-GB"/>
        </w:rPr>
        <w:t xml:space="preserve"> enzalutamide </w:t>
      </w:r>
      <w:r w:rsidR="00FE3DCB">
        <w:rPr>
          <w:rFonts w:asciiTheme="minorHAnsi" w:hAnsiTheme="minorHAnsi"/>
          <w:bCs/>
          <w:snapToGrid w:val="0"/>
          <w:lang w:val="en-GB"/>
        </w:rPr>
        <w:t>are relevant comparators</w:t>
      </w:r>
      <w:r w:rsidR="00A863C5">
        <w:rPr>
          <w:rFonts w:asciiTheme="minorHAnsi" w:hAnsiTheme="minorHAnsi"/>
          <w:bCs/>
          <w:snapToGrid w:val="0"/>
          <w:lang w:val="en-GB"/>
        </w:rPr>
        <w:t xml:space="preserve">, </w:t>
      </w:r>
      <w:r w:rsidR="000609DB">
        <w:rPr>
          <w:rFonts w:asciiTheme="minorHAnsi" w:hAnsiTheme="minorHAnsi"/>
          <w:bCs/>
          <w:snapToGrid w:val="0"/>
          <w:lang w:val="en-GB"/>
        </w:rPr>
        <w:t xml:space="preserve">the PBAC considered that darolutamide </w:t>
      </w:r>
      <w:r w:rsidR="00FE3DCB">
        <w:rPr>
          <w:rFonts w:asciiTheme="minorHAnsi" w:hAnsiTheme="minorHAnsi"/>
          <w:bCs/>
          <w:snapToGrid w:val="0"/>
          <w:lang w:val="en-GB"/>
        </w:rPr>
        <w:t>c</w:t>
      </w:r>
      <w:r>
        <w:rPr>
          <w:rFonts w:asciiTheme="minorHAnsi" w:hAnsiTheme="minorHAnsi"/>
          <w:bCs/>
          <w:snapToGrid w:val="0"/>
          <w:lang w:val="en-GB"/>
        </w:rPr>
        <w:t xml:space="preserve">ould </w:t>
      </w:r>
      <w:r w:rsidR="000609DB">
        <w:rPr>
          <w:rFonts w:asciiTheme="minorHAnsi" w:hAnsiTheme="minorHAnsi"/>
          <w:bCs/>
          <w:snapToGrid w:val="0"/>
          <w:lang w:val="en-GB"/>
        </w:rPr>
        <w:t xml:space="preserve">be cost-minimised to </w:t>
      </w:r>
      <w:r>
        <w:rPr>
          <w:rFonts w:asciiTheme="minorHAnsi" w:hAnsiTheme="minorHAnsi"/>
          <w:bCs/>
          <w:snapToGrid w:val="0"/>
          <w:lang w:val="en-GB"/>
        </w:rPr>
        <w:t xml:space="preserve">abiraterone </w:t>
      </w:r>
      <w:r w:rsidR="00CD3F31">
        <w:rPr>
          <w:rFonts w:asciiTheme="minorHAnsi" w:hAnsiTheme="minorHAnsi"/>
          <w:bCs/>
          <w:snapToGrid w:val="0"/>
          <w:lang w:val="en-GB"/>
        </w:rPr>
        <w:t>or</w:t>
      </w:r>
      <w:r>
        <w:rPr>
          <w:rFonts w:asciiTheme="minorHAnsi" w:hAnsiTheme="minorHAnsi"/>
          <w:bCs/>
          <w:snapToGrid w:val="0"/>
          <w:lang w:val="en-GB"/>
        </w:rPr>
        <w:t xml:space="preserve"> </w:t>
      </w:r>
      <w:r w:rsidR="000609DB">
        <w:rPr>
          <w:rFonts w:asciiTheme="minorHAnsi" w:hAnsiTheme="minorHAnsi"/>
          <w:bCs/>
          <w:snapToGrid w:val="0"/>
          <w:lang w:val="en-GB"/>
        </w:rPr>
        <w:t xml:space="preserve">enzalutamide. </w:t>
      </w:r>
      <w:r w:rsidR="002832D5">
        <w:rPr>
          <w:rFonts w:asciiTheme="minorHAnsi" w:hAnsiTheme="minorHAnsi"/>
          <w:bCs/>
          <w:snapToGrid w:val="0"/>
          <w:lang w:val="en-GB"/>
        </w:rPr>
        <w:t xml:space="preserve"> </w:t>
      </w:r>
    </w:p>
    <w:p w:rsidR="005F6A8C" w:rsidRDefault="002832D5" w:rsidP="00C24C69">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w:t>
      </w:r>
      <w:r w:rsidR="005F6A8C">
        <w:rPr>
          <w:rFonts w:asciiTheme="minorHAnsi" w:hAnsiTheme="minorHAnsi"/>
          <w:bCs/>
          <w:snapToGrid w:val="0"/>
          <w:lang w:val="en-GB"/>
        </w:rPr>
        <w:t>noted</w:t>
      </w:r>
      <w:r>
        <w:rPr>
          <w:rFonts w:asciiTheme="minorHAnsi" w:hAnsiTheme="minorHAnsi"/>
          <w:bCs/>
          <w:snapToGrid w:val="0"/>
          <w:lang w:val="en-GB"/>
        </w:rPr>
        <w:t xml:space="preserve"> that</w:t>
      </w:r>
      <w:r w:rsidR="005F6A8C">
        <w:rPr>
          <w:rFonts w:asciiTheme="minorHAnsi" w:hAnsiTheme="minorHAnsi"/>
          <w:bCs/>
          <w:snapToGrid w:val="0"/>
          <w:lang w:val="en-GB"/>
        </w:rPr>
        <w:t xml:space="preserve"> when darolutamide was cost minimised to </w:t>
      </w:r>
      <w:r w:rsidR="003E6D32">
        <w:rPr>
          <w:rFonts w:asciiTheme="minorHAnsi" w:hAnsiTheme="minorHAnsi"/>
          <w:bCs/>
          <w:snapToGrid w:val="0"/>
          <w:lang w:val="en-GB"/>
        </w:rPr>
        <w:t xml:space="preserve">abiraterone or </w:t>
      </w:r>
      <w:r w:rsidR="005F6A8C">
        <w:rPr>
          <w:rFonts w:asciiTheme="minorHAnsi" w:hAnsiTheme="minorHAnsi"/>
          <w:bCs/>
          <w:snapToGrid w:val="0"/>
          <w:lang w:val="en-GB"/>
        </w:rPr>
        <w:t xml:space="preserve">enzalutamide, application of this price in </w:t>
      </w:r>
      <w:r w:rsidR="00896534">
        <w:rPr>
          <w:rFonts w:asciiTheme="minorHAnsi" w:hAnsiTheme="minorHAnsi"/>
          <w:bCs/>
          <w:snapToGrid w:val="0"/>
          <w:lang w:val="en-GB"/>
        </w:rPr>
        <w:t xml:space="preserve">a model scenario more consistent with that </w:t>
      </w:r>
      <w:r w:rsidR="00360CAC">
        <w:rPr>
          <w:rFonts w:asciiTheme="minorHAnsi" w:hAnsiTheme="minorHAnsi"/>
          <w:bCs/>
          <w:snapToGrid w:val="0"/>
          <w:lang w:val="en-GB"/>
        </w:rPr>
        <w:lastRenderedPageBreak/>
        <w:t xml:space="preserve">presented </w:t>
      </w:r>
      <w:r w:rsidR="00896534">
        <w:rPr>
          <w:rFonts w:asciiTheme="minorHAnsi" w:hAnsiTheme="minorHAnsi"/>
          <w:bCs/>
          <w:snapToGrid w:val="0"/>
          <w:lang w:val="en-GB"/>
        </w:rPr>
        <w:t xml:space="preserve">for apalutamide </w:t>
      </w:r>
      <w:r w:rsidR="00360CAC">
        <w:rPr>
          <w:rFonts w:asciiTheme="minorHAnsi" w:hAnsiTheme="minorHAnsi"/>
          <w:bCs/>
          <w:snapToGrid w:val="0"/>
          <w:lang w:val="en-GB"/>
        </w:rPr>
        <w:t xml:space="preserve">in November 2020 </w:t>
      </w:r>
      <w:r w:rsidR="00896534">
        <w:rPr>
          <w:rFonts w:asciiTheme="minorHAnsi" w:hAnsiTheme="minorHAnsi"/>
          <w:bCs/>
          <w:snapToGrid w:val="0"/>
          <w:lang w:val="en-GB"/>
        </w:rPr>
        <w:t xml:space="preserve">would result in an </w:t>
      </w:r>
      <w:r w:rsidR="005F6A8C">
        <w:rPr>
          <w:rFonts w:asciiTheme="minorHAnsi" w:hAnsiTheme="minorHAnsi"/>
          <w:bCs/>
          <w:snapToGrid w:val="0"/>
          <w:lang w:val="en-GB"/>
        </w:rPr>
        <w:t>ICER which was in the range</w:t>
      </w:r>
      <w:r w:rsidR="00CD3F31" w:rsidRPr="00CD3F31">
        <w:rPr>
          <w:rFonts w:asciiTheme="minorHAnsi" w:hAnsiTheme="minorHAnsi"/>
          <w:bCs/>
          <w:snapToGrid w:val="0"/>
          <w:lang w:val="en-GB"/>
        </w:rPr>
        <w:t xml:space="preserve"> </w:t>
      </w:r>
      <w:r w:rsidR="00CD3F31">
        <w:rPr>
          <w:rFonts w:asciiTheme="minorHAnsi" w:hAnsiTheme="minorHAnsi"/>
          <w:bCs/>
          <w:snapToGrid w:val="0"/>
          <w:lang w:val="en-GB"/>
        </w:rPr>
        <w:t>previously considered cost-effective (</w:t>
      </w:r>
      <w:r w:rsidR="005F6A8C">
        <w:rPr>
          <w:rFonts w:asciiTheme="minorHAnsi" w:hAnsiTheme="minorHAnsi"/>
          <w:bCs/>
          <w:snapToGrid w:val="0"/>
          <w:lang w:val="en-GB"/>
        </w:rPr>
        <w:t>$40,000 to $45,000 per QALY</w:t>
      </w:r>
      <w:r w:rsidR="00CD3F31">
        <w:rPr>
          <w:rFonts w:asciiTheme="minorHAnsi" w:hAnsiTheme="minorHAnsi"/>
          <w:bCs/>
          <w:snapToGrid w:val="0"/>
          <w:lang w:val="en-GB"/>
        </w:rPr>
        <w:t>)</w:t>
      </w:r>
      <w:r w:rsidR="005F6A8C">
        <w:rPr>
          <w:rFonts w:asciiTheme="minorHAnsi" w:hAnsiTheme="minorHAnsi"/>
          <w:bCs/>
          <w:snapToGrid w:val="0"/>
          <w:lang w:val="en-GB"/>
        </w:rPr>
        <w:t>.</w:t>
      </w:r>
    </w:p>
    <w:p w:rsidR="00851FBB" w:rsidRDefault="00D7589A" w:rsidP="00C24C69">
      <w:pPr>
        <w:widowControl w:val="0"/>
        <w:numPr>
          <w:ilvl w:val="1"/>
          <w:numId w:val="1"/>
        </w:numPr>
        <w:spacing w:after="120"/>
        <w:rPr>
          <w:rFonts w:asciiTheme="minorHAnsi" w:hAnsiTheme="minorHAnsi"/>
          <w:bCs/>
          <w:snapToGrid w:val="0"/>
          <w:lang w:val="en-GB"/>
        </w:rPr>
      </w:pPr>
      <w:r>
        <w:t xml:space="preserve">The PBAC agreed with </w:t>
      </w:r>
      <w:r w:rsidRPr="006A65C9">
        <w:t>ESC that the size of the incremental population relative to the existing market for abiraterone and enzalutamide, and thus the net financial impact of listing darolutamide, was substantially overestimated</w:t>
      </w:r>
      <w:r w:rsidR="00360CAC">
        <w:t xml:space="preserve"> (paragraph </w:t>
      </w:r>
      <w:r w:rsidR="00360CAC" w:rsidRPr="00045DE4">
        <w:t>6.63</w:t>
      </w:r>
      <w:r w:rsidR="00360CAC">
        <w:t>)</w:t>
      </w:r>
      <w:r w:rsidRPr="006A65C9">
        <w:t>.</w:t>
      </w:r>
      <w:r w:rsidR="00035F87">
        <w:rPr>
          <w:rFonts w:asciiTheme="minorHAnsi" w:hAnsiTheme="minorHAnsi"/>
          <w:bCs/>
          <w:snapToGrid w:val="0"/>
          <w:lang w:val="en-GB"/>
        </w:rPr>
        <w:t>The PBAC noted that the pre-PBAC response estimated</w:t>
      </w:r>
      <w:r w:rsidR="00851FBB">
        <w:rPr>
          <w:rFonts w:asciiTheme="minorHAnsi" w:hAnsiTheme="minorHAnsi"/>
          <w:bCs/>
          <w:snapToGrid w:val="0"/>
          <w:lang w:val="en-GB"/>
        </w:rPr>
        <w:t xml:space="preserve">, under the current restrictions, that </w:t>
      </w:r>
      <w:r w:rsidR="00035F87">
        <w:rPr>
          <w:rFonts w:asciiTheme="minorHAnsi" w:hAnsiTheme="minorHAnsi"/>
          <w:bCs/>
          <w:snapToGrid w:val="0"/>
          <w:lang w:val="en-GB"/>
        </w:rPr>
        <w:t>2.3% to 5.7% of the darolutamide population would overlap with the enzalutamide and abiraterone population. The PBAC considered that th</w:t>
      </w:r>
      <w:r w:rsidR="00851FBB">
        <w:rPr>
          <w:rFonts w:asciiTheme="minorHAnsi" w:hAnsiTheme="minorHAnsi"/>
          <w:bCs/>
          <w:snapToGrid w:val="0"/>
          <w:lang w:val="en-GB"/>
        </w:rPr>
        <w:t xml:space="preserve">e overlapping population would be more substantial, </w:t>
      </w:r>
      <w:r w:rsidR="00035F87">
        <w:rPr>
          <w:rFonts w:asciiTheme="minorHAnsi" w:hAnsiTheme="minorHAnsi"/>
          <w:bCs/>
          <w:snapToGrid w:val="0"/>
          <w:lang w:val="en-GB"/>
        </w:rPr>
        <w:t xml:space="preserve">noting that </w:t>
      </w:r>
      <w:r w:rsidR="00851FBB">
        <w:rPr>
          <w:rFonts w:asciiTheme="minorHAnsi" w:hAnsiTheme="minorHAnsi"/>
          <w:bCs/>
          <w:snapToGrid w:val="0"/>
          <w:lang w:val="en-GB"/>
        </w:rPr>
        <w:t>for patients with a rapidly rising prostate specific antigen (PSA)</w:t>
      </w:r>
      <w:r w:rsidR="0092796D">
        <w:rPr>
          <w:rFonts w:asciiTheme="minorHAnsi" w:hAnsiTheme="minorHAnsi"/>
          <w:bCs/>
          <w:snapToGrid w:val="0"/>
          <w:lang w:val="en-GB"/>
        </w:rPr>
        <w:t>, PSMA PET imaging was likely common clinical practice</w:t>
      </w:r>
      <w:r w:rsidR="00851FBB">
        <w:rPr>
          <w:rFonts w:asciiTheme="minorHAnsi" w:hAnsiTheme="minorHAnsi"/>
          <w:bCs/>
          <w:snapToGrid w:val="0"/>
          <w:lang w:val="en-GB"/>
        </w:rPr>
        <w:t>.</w:t>
      </w:r>
      <w:r w:rsidR="00C30BE6">
        <w:rPr>
          <w:rFonts w:asciiTheme="minorHAnsi" w:hAnsiTheme="minorHAnsi"/>
          <w:bCs/>
          <w:snapToGrid w:val="0"/>
          <w:lang w:val="en-GB"/>
        </w:rPr>
        <w:t xml:space="preserve"> </w:t>
      </w:r>
    </w:p>
    <w:p w:rsidR="00CD727D" w:rsidRPr="00CD727D" w:rsidRDefault="00D51B88" w:rsidP="0092796D">
      <w:pPr>
        <w:widowControl w:val="0"/>
        <w:numPr>
          <w:ilvl w:val="1"/>
          <w:numId w:val="1"/>
        </w:numPr>
        <w:spacing w:after="120"/>
        <w:rPr>
          <w:rFonts w:asciiTheme="minorHAnsi" w:hAnsiTheme="minorHAnsi"/>
          <w:bCs/>
          <w:snapToGrid w:val="0"/>
        </w:rPr>
      </w:pPr>
      <w:r>
        <w:rPr>
          <w:rFonts w:asciiTheme="minorHAnsi" w:hAnsiTheme="minorHAnsi"/>
          <w:bCs/>
          <w:snapToGrid w:val="0"/>
          <w:lang w:val="en-GB"/>
        </w:rPr>
        <w:t xml:space="preserve">Noting that the use of a NHA would remain limited to one </w:t>
      </w:r>
      <w:r w:rsidR="00871470">
        <w:rPr>
          <w:rFonts w:asciiTheme="minorHAnsi" w:hAnsiTheme="minorHAnsi"/>
          <w:bCs/>
          <w:snapToGrid w:val="0"/>
          <w:lang w:val="en-GB"/>
        </w:rPr>
        <w:t xml:space="preserve">treatment course </w:t>
      </w:r>
      <w:r>
        <w:rPr>
          <w:rFonts w:asciiTheme="minorHAnsi" w:hAnsiTheme="minorHAnsi"/>
          <w:bCs/>
          <w:snapToGrid w:val="0"/>
          <w:lang w:val="en-GB"/>
        </w:rPr>
        <w:t xml:space="preserve">per lifetime, the PBAC considered that any use of darolutamide in the overlapping population would, in the majority of cases, replace the use of abiraterone or enzalutamide. </w:t>
      </w:r>
    </w:p>
    <w:p w:rsidR="0092796D" w:rsidRDefault="009B7FD1" w:rsidP="0092796D">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PBAC noted that removal of the requirement for no </w:t>
      </w:r>
      <w:r w:rsidR="00CD3F31">
        <w:rPr>
          <w:rFonts w:asciiTheme="minorHAnsi" w:hAnsiTheme="minorHAnsi"/>
          <w:bCs/>
          <w:snapToGrid w:val="0"/>
        </w:rPr>
        <w:t xml:space="preserve">distant </w:t>
      </w:r>
      <w:r>
        <w:rPr>
          <w:rFonts w:asciiTheme="minorHAnsi" w:hAnsiTheme="minorHAnsi"/>
          <w:bCs/>
          <w:snapToGrid w:val="0"/>
        </w:rPr>
        <w:t>metastases for access to darolutamide would increase the number of eligible patients</w:t>
      </w:r>
      <w:r w:rsidR="00360CAC">
        <w:rPr>
          <w:rFonts w:asciiTheme="minorHAnsi" w:hAnsiTheme="minorHAnsi"/>
          <w:bCs/>
          <w:snapToGrid w:val="0"/>
        </w:rPr>
        <w:t>;</w:t>
      </w:r>
      <w:r>
        <w:rPr>
          <w:rFonts w:asciiTheme="minorHAnsi" w:hAnsiTheme="minorHAnsi"/>
          <w:bCs/>
          <w:snapToGrid w:val="0"/>
        </w:rPr>
        <w:t xml:space="preserve"> however, the increase in use would be offset by reduced use of ab</w:t>
      </w:r>
      <w:r w:rsidR="00360CAC">
        <w:rPr>
          <w:rFonts w:asciiTheme="minorHAnsi" w:hAnsiTheme="minorHAnsi"/>
          <w:bCs/>
          <w:snapToGrid w:val="0"/>
        </w:rPr>
        <w:t>i</w:t>
      </w:r>
      <w:r>
        <w:rPr>
          <w:rFonts w:asciiTheme="minorHAnsi" w:hAnsiTheme="minorHAnsi"/>
          <w:bCs/>
          <w:snapToGrid w:val="0"/>
        </w:rPr>
        <w:t>raterone or enzalutamide.</w:t>
      </w:r>
    </w:p>
    <w:p w:rsidR="00E91D65" w:rsidRPr="00360CAC" w:rsidRDefault="00D51B88" w:rsidP="00360CAC">
      <w:pPr>
        <w:widowControl w:val="0"/>
        <w:numPr>
          <w:ilvl w:val="1"/>
          <w:numId w:val="1"/>
        </w:numPr>
        <w:spacing w:after="120"/>
        <w:rPr>
          <w:bCs/>
          <w:snapToGrid w:val="0"/>
          <w:u w:val="single"/>
          <w:lang w:val="en-GB"/>
        </w:rPr>
      </w:pPr>
      <w:r w:rsidRPr="00772394">
        <w:rPr>
          <w:bCs/>
          <w:snapToGrid w:val="0"/>
          <w:lang w:val="en-GB"/>
        </w:rPr>
        <w:t xml:space="preserve">The PBAC considered the outstanding issues may be addressed in a simple resubmission for </w:t>
      </w:r>
      <w:r>
        <w:rPr>
          <w:bCs/>
          <w:snapToGrid w:val="0"/>
          <w:lang w:val="en-GB"/>
        </w:rPr>
        <w:t>darolutamide</w:t>
      </w:r>
      <w:r w:rsidRPr="00772394">
        <w:rPr>
          <w:bCs/>
          <w:snapToGrid w:val="0"/>
          <w:lang w:val="en-GB"/>
        </w:rPr>
        <w:t xml:space="preserve"> if the following changes were made, without any additional amendments</w:t>
      </w:r>
      <w:r>
        <w:rPr>
          <w:bCs/>
          <w:snapToGrid w:val="0"/>
          <w:lang w:val="en-GB"/>
        </w:rPr>
        <w:t>,</w:t>
      </w:r>
      <w:r w:rsidRPr="00772394">
        <w:rPr>
          <w:bCs/>
          <w:snapToGrid w:val="0"/>
          <w:lang w:val="en-GB"/>
        </w:rPr>
        <w:t xml:space="preserve"> to the</w:t>
      </w:r>
      <w:r>
        <w:rPr>
          <w:bCs/>
          <w:snapToGrid w:val="0"/>
          <w:lang w:val="en-GB"/>
        </w:rPr>
        <w:t xml:space="preserve"> - </w:t>
      </w:r>
    </w:p>
    <w:p w:rsidR="00D51B88" w:rsidRPr="003138B2" w:rsidRDefault="00D51B88" w:rsidP="00D51B88">
      <w:pPr>
        <w:pStyle w:val="ListParagraph"/>
        <w:widowControl w:val="0"/>
        <w:numPr>
          <w:ilvl w:val="0"/>
          <w:numId w:val="28"/>
        </w:numPr>
        <w:rPr>
          <w:bCs/>
          <w:u w:val="single"/>
          <w:lang w:val="en-GB"/>
        </w:rPr>
      </w:pPr>
      <w:r w:rsidRPr="003138B2">
        <w:rPr>
          <w:bCs/>
          <w:lang w:val="en-GB"/>
        </w:rPr>
        <w:t>economic evaluation:</w:t>
      </w:r>
    </w:p>
    <w:p w:rsidR="00D51B88" w:rsidRPr="003138B2" w:rsidRDefault="00D51B88" w:rsidP="00D51B88">
      <w:pPr>
        <w:pStyle w:val="ListParagraph"/>
        <w:widowControl w:val="0"/>
        <w:numPr>
          <w:ilvl w:val="1"/>
          <w:numId w:val="27"/>
        </w:numPr>
        <w:ind w:left="1434" w:hanging="357"/>
        <w:rPr>
          <w:bCs/>
          <w:lang w:val="en-GB"/>
        </w:rPr>
      </w:pPr>
      <w:r w:rsidRPr="003138B2">
        <w:rPr>
          <w:bCs/>
          <w:lang w:val="en-GB"/>
        </w:rPr>
        <w:t>Perform a cost minimisation analysis between darolutamide and enzalutamide</w:t>
      </w:r>
      <w:r w:rsidR="00CD727D" w:rsidRPr="003138B2">
        <w:rPr>
          <w:bCs/>
          <w:lang w:val="en-GB"/>
        </w:rPr>
        <w:t>;</w:t>
      </w:r>
    </w:p>
    <w:p w:rsidR="00D51B88" w:rsidRPr="003138B2" w:rsidRDefault="00D51B88" w:rsidP="00D51B88">
      <w:pPr>
        <w:pStyle w:val="ListParagraph"/>
        <w:widowControl w:val="0"/>
        <w:numPr>
          <w:ilvl w:val="0"/>
          <w:numId w:val="28"/>
        </w:numPr>
        <w:rPr>
          <w:bCs/>
          <w:lang w:val="en-GB"/>
        </w:rPr>
      </w:pPr>
      <w:r w:rsidRPr="003138B2">
        <w:rPr>
          <w:bCs/>
          <w:lang w:val="en-GB"/>
        </w:rPr>
        <w:t>utilisation and financial impact estimates:</w:t>
      </w:r>
    </w:p>
    <w:p w:rsidR="00D51B88" w:rsidRPr="003138B2" w:rsidRDefault="00D51B88" w:rsidP="003E0272">
      <w:pPr>
        <w:pStyle w:val="ListBullet"/>
        <w:tabs>
          <w:tab w:val="clear" w:pos="360"/>
          <w:tab w:val="num" w:pos="1440"/>
        </w:tabs>
        <w:spacing w:after="120"/>
        <w:ind w:left="1434" w:hanging="357"/>
        <w:rPr>
          <w:lang w:val="en-GB"/>
        </w:rPr>
      </w:pPr>
      <w:r w:rsidRPr="003138B2">
        <w:rPr>
          <w:lang w:val="en-GB"/>
        </w:rPr>
        <w:t>Provide</w:t>
      </w:r>
      <w:r w:rsidR="003E0272" w:rsidRPr="003138B2">
        <w:rPr>
          <w:lang w:val="en-GB"/>
        </w:rPr>
        <w:t xml:space="preserve"> patient estimates and the associated financial impact for </w:t>
      </w:r>
      <w:r w:rsidR="00E91D65" w:rsidRPr="003138B2">
        <w:rPr>
          <w:lang w:val="en-GB"/>
        </w:rPr>
        <w:t xml:space="preserve">listing darolutamide with a restriction that does not require </w:t>
      </w:r>
      <w:r w:rsidR="00360CAC" w:rsidRPr="003138B2">
        <w:rPr>
          <w:lang w:val="en-GB"/>
        </w:rPr>
        <w:t xml:space="preserve">the absence of </w:t>
      </w:r>
      <w:r w:rsidR="00E91D65" w:rsidRPr="003138B2">
        <w:rPr>
          <w:lang w:val="en-GB"/>
        </w:rPr>
        <w:t>distant metastases</w:t>
      </w:r>
      <w:r w:rsidR="003E0272" w:rsidRPr="003138B2">
        <w:rPr>
          <w:lang w:val="en-GB"/>
        </w:rPr>
        <w:t xml:space="preserve">. </w:t>
      </w:r>
    </w:p>
    <w:p w:rsidR="00D51B88" w:rsidRPr="00D51B88" w:rsidRDefault="00D51B88" w:rsidP="00D51B88">
      <w:pPr>
        <w:widowControl w:val="0"/>
        <w:numPr>
          <w:ilvl w:val="1"/>
          <w:numId w:val="1"/>
        </w:numPr>
        <w:spacing w:after="120"/>
        <w:rPr>
          <w:rFonts w:asciiTheme="minorHAnsi" w:hAnsiTheme="minorHAnsi"/>
          <w:bCs/>
          <w:i/>
          <w:snapToGrid w:val="0"/>
          <w:lang w:val="en-GB"/>
        </w:rPr>
      </w:pPr>
      <w:r>
        <w:rPr>
          <w:snapToGrid w:val="0"/>
          <w:lang w:val="en-GB"/>
        </w:rPr>
        <w:t>The PBAC considered an Early Re-E</w:t>
      </w:r>
      <w:r w:rsidRPr="00D51B88">
        <w:rPr>
          <w:snapToGrid w:val="0"/>
          <w:lang w:val="en-GB"/>
        </w:rPr>
        <w:t>ntry pathway would be acceptable if the resubmission accepted either of the options stated above with no further adjustment. The resubmission must be lodged by week 7 of the current PBAC cycle or the next cycle. If any of these terms are no</w:t>
      </w:r>
      <w:r>
        <w:rPr>
          <w:snapToGrid w:val="0"/>
          <w:lang w:val="en-GB"/>
        </w:rPr>
        <w:t>t acceptable to the sponsor, a S</w:t>
      </w:r>
      <w:r w:rsidRPr="00D51B88">
        <w:rPr>
          <w:snapToGrid w:val="0"/>
          <w:lang w:val="en-GB"/>
        </w:rPr>
        <w:t xml:space="preserve">tandard </w:t>
      </w:r>
      <w:r>
        <w:rPr>
          <w:snapToGrid w:val="0"/>
          <w:lang w:val="en-GB"/>
        </w:rPr>
        <w:t>Re-E</w:t>
      </w:r>
      <w:r w:rsidRPr="00D51B88">
        <w:rPr>
          <w:snapToGrid w:val="0"/>
          <w:lang w:val="en-GB"/>
        </w:rPr>
        <w:t>ntry pathway is available.</w:t>
      </w:r>
    </w:p>
    <w:p w:rsidR="00D51B88" w:rsidRPr="00D51B88" w:rsidRDefault="00D51B88" w:rsidP="00D51B88">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The PBAC noted that this submission is eligible for an Independent Review.</w:t>
      </w:r>
    </w:p>
    <w:p w:rsidR="00670A2B" w:rsidRPr="00525B39" w:rsidRDefault="00670A2B" w:rsidP="00670A2B">
      <w:pPr>
        <w:spacing w:before="240"/>
        <w:rPr>
          <w:rFonts w:asciiTheme="minorHAnsi" w:hAnsiTheme="minorHAnsi"/>
          <w:b/>
          <w:bCs/>
          <w:snapToGrid w:val="0"/>
          <w:lang w:val="en-GB"/>
        </w:rPr>
      </w:pPr>
      <w:r w:rsidRPr="00525B39">
        <w:rPr>
          <w:rFonts w:asciiTheme="minorHAnsi" w:hAnsiTheme="minorHAnsi"/>
          <w:b/>
          <w:bCs/>
          <w:snapToGrid w:val="0"/>
          <w:lang w:val="en-GB"/>
        </w:rPr>
        <w:t>Outcome:</w:t>
      </w:r>
    </w:p>
    <w:p w:rsidR="00670A2B" w:rsidRPr="00525B39" w:rsidRDefault="00670A2B" w:rsidP="00670A2B">
      <w:pPr>
        <w:rPr>
          <w:rFonts w:asciiTheme="minorHAnsi" w:hAnsiTheme="minorHAnsi"/>
          <w:bCs/>
          <w:snapToGrid w:val="0"/>
          <w:lang w:val="en-GB"/>
        </w:rPr>
      </w:pPr>
      <w:r w:rsidRPr="00525B39">
        <w:rPr>
          <w:rFonts w:asciiTheme="minorHAnsi" w:hAnsiTheme="minorHAnsi"/>
          <w:bCs/>
          <w:snapToGrid w:val="0"/>
          <w:lang w:val="en-GB"/>
        </w:rPr>
        <w:t xml:space="preserve">Rejected </w:t>
      </w:r>
    </w:p>
    <w:p w:rsidR="00670A2B" w:rsidRDefault="00670A2B" w:rsidP="00670A2B">
      <w:pPr>
        <w:widowControl w:val="0"/>
        <w:rPr>
          <w:rFonts w:asciiTheme="minorHAnsi" w:hAnsiTheme="minorHAnsi"/>
          <w:b/>
          <w:bCs/>
          <w:snapToGrid w:val="0"/>
        </w:rPr>
      </w:pPr>
    </w:p>
    <w:p w:rsidR="006F1B03" w:rsidRPr="006F1B03" w:rsidRDefault="006F1B03" w:rsidP="006F1B03">
      <w:pPr>
        <w:pStyle w:val="2-SectionHeading"/>
      </w:pPr>
      <w:r w:rsidRPr="00C07617">
        <w:lastRenderedPageBreak/>
        <w:t>Context for Decision</w:t>
      </w:r>
    </w:p>
    <w:p w:rsidR="006F1B03" w:rsidRPr="007129F2" w:rsidRDefault="006F1B03" w:rsidP="003138B2">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6F1B03" w:rsidRPr="006F1B03" w:rsidRDefault="006F1B03" w:rsidP="006F1B03">
      <w:pPr>
        <w:pStyle w:val="2-SectionHeading"/>
      </w:pPr>
      <w:r>
        <w:t>Sponsor’s Comment</w:t>
      </w:r>
    </w:p>
    <w:p w:rsidR="006F1B03" w:rsidRPr="00525B39" w:rsidRDefault="00190A9A" w:rsidP="003138B2">
      <w:pPr>
        <w:widowControl w:val="0"/>
        <w:ind w:left="720"/>
        <w:rPr>
          <w:rFonts w:asciiTheme="minorHAnsi" w:hAnsiTheme="minorHAnsi"/>
          <w:b/>
          <w:bCs/>
          <w:snapToGrid w:val="0"/>
        </w:rPr>
      </w:pPr>
      <w:r w:rsidRPr="00190A9A">
        <w:rPr>
          <w:bCs/>
          <w:lang w:val="en-GB"/>
        </w:rPr>
        <w:t>Bayer is disappointed by the PBAC’s decision not to recommend darolutamide for the treatment of castration resistant carcinoma of the prostate. Bayer remains committed to working with the PBAC to find a pathway forward to ensure darolutamide is made available to Australian patients through the PBS.</w:t>
      </w:r>
    </w:p>
    <w:sectPr w:rsidR="006F1B03" w:rsidRPr="00525B39" w:rsidSect="00657AFE">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8A4AE0" w16cid:durableId="23E0CD9E"/>
  <w16cid:commentId w16cid:paraId="46B0D3EB" w16cid:durableId="23E0CD9F"/>
  <w16cid:commentId w16cid:paraId="454B4E4F" w16cid:durableId="23E0CDA0"/>
  <w16cid:commentId w16cid:paraId="799CACFA" w16cid:durableId="23E0CDA1"/>
  <w16cid:commentId w16cid:paraId="0EF28D92" w16cid:durableId="23E0CDA2"/>
  <w16cid:commentId w16cid:paraId="53C85760" w16cid:durableId="23E0CDA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115" w:rsidRDefault="006C3115" w:rsidP="00124A51">
      <w:r>
        <w:separator/>
      </w:r>
    </w:p>
    <w:p w:rsidR="006C3115" w:rsidRDefault="006C3115"/>
  </w:endnote>
  <w:endnote w:type="continuationSeparator" w:id="0">
    <w:p w:rsidR="006C3115" w:rsidRDefault="006C3115" w:rsidP="00124A51">
      <w:r>
        <w:continuationSeparator/>
      </w:r>
    </w:p>
    <w:p w:rsidR="006C3115" w:rsidRDefault="006C31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Bold">
    <w:altName w:val="Optima"/>
    <w:panose1 w:val="020B0704020202020204"/>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115" w:rsidRDefault="006C31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0A" w:rsidRDefault="0057750A">
    <w:pPr>
      <w:pStyle w:val="Footer"/>
      <w:jc w:val="center"/>
    </w:pPr>
  </w:p>
  <w:p w:rsidR="0057750A" w:rsidRDefault="00A431CB">
    <w:pPr>
      <w:pStyle w:val="Footer"/>
      <w:jc w:val="center"/>
    </w:pPr>
    <w:sdt>
      <w:sdtPr>
        <w:id w:val="-1636567530"/>
        <w:docPartObj>
          <w:docPartGallery w:val="Page Numbers (Bottom of Page)"/>
          <w:docPartUnique/>
        </w:docPartObj>
      </w:sdtPr>
      <w:sdtEndPr>
        <w:rPr>
          <w:noProof/>
        </w:rPr>
      </w:sdtEndPr>
      <w:sdtContent>
        <w:r w:rsidR="0057750A" w:rsidRPr="006A65C9">
          <w:rPr>
            <w:b/>
          </w:rPr>
          <w:fldChar w:fldCharType="begin"/>
        </w:r>
        <w:r w:rsidR="0057750A" w:rsidRPr="006A65C9">
          <w:rPr>
            <w:b/>
          </w:rPr>
          <w:instrText xml:space="preserve"> PAGE   \* MERGEFORMAT </w:instrText>
        </w:r>
        <w:r w:rsidR="0057750A" w:rsidRPr="006A65C9">
          <w:rPr>
            <w:b/>
          </w:rPr>
          <w:fldChar w:fldCharType="separate"/>
        </w:r>
        <w:r>
          <w:rPr>
            <w:b/>
            <w:noProof/>
          </w:rPr>
          <w:t>40</w:t>
        </w:r>
        <w:r w:rsidR="0057750A" w:rsidRPr="006A65C9">
          <w:rPr>
            <w:b/>
            <w:noProof/>
          </w:rPr>
          <w:fldChar w:fldCharType="end"/>
        </w:r>
      </w:sdtContent>
    </w:sdt>
  </w:p>
  <w:p w:rsidR="0057750A" w:rsidRDefault="0057750A" w:rsidP="00470FA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115" w:rsidRDefault="006C3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115" w:rsidRDefault="006C3115" w:rsidP="00124A51">
      <w:r>
        <w:separator/>
      </w:r>
    </w:p>
    <w:p w:rsidR="006C3115" w:rsidRDefault="006C3115"/>
  </w:footnote>
  <w:footnote w:type="continuationSeparator" w:id="0">
    <w:p w:rsidR="006C3115" w:rsidRDefault="006C3115" w:rsidP="00124A51">
      <w:r>
        <w:continuationSeparator/>
      </w:r>
    </w:p>
    <w:p w:rsidR="006C3115" w:rsidRDefault="006C3115"/>
  </w:footnote>
  <w:footnote w:id="1">
    <w:p w:rsidR="0057750A" w:rsidRPr="0062675E" w:rsidRDefault="0057750A" w:rsidP="00BB1A6E">
      <w:pPr>
        <w:pStyle w:val="FootnoteText"/>
        <w:rPr>
          <w:rFonts w:ascii="Arial Narrow" w:hAnsi="Arial Narrow"/>
          <w:sz w:val="18"/>
          <w:szCs w:val="18"/>
        </w:rPr>
      </w:pPr>
      <w:r w:rsidRPr="0062675E">
        <w:rPr>
          <w:rStyle w:val="FootnoteReference"/>
          <w:rFonts w:ascii="Arial Narrow" w:hAnsi="Arial Narrow"/>
          <w:sz w:val="18"/>
          <w:szCs w:val="18"/>
        </w:rPr>
        <w:footnoteRef/>
      </w:r>
      <w:r w:rsidRPr="0062675E">
        <w:rPr>
          <w:rFonts w:ascii="Arial Narrow" w:hAnsi="Arial Narrow"/>
          <w:sz w:val="18"/>
          <w:szCs w:val="18"/>
        </w:rPr>
        <w:t xml:space="preserve"> Fendler et al, Prostate-Specific Membrane Antigen Ligand Positron Emission Tomography in Men with Nonmetastatic Castration-Resistant Prostate Cancer; Clin Cancer Res December  2019 (25) (24) 7448-7454; Accessed at: https://clincancerres.aacrjournals.org/content/25/24/7448</w:t>
      </w:r>
    </w:p>
  </w:footnote>
  <w:footnote w:id="2">
    <w:p w:rsidR="0057750A" w:rsidRDefault="0057750A">
      <w:pPr>
        <w:pStyle w:val="FootnoteText"/>
      </w:pPr>
      <w:r>
        <w:rPr>
          <w:rStyle w:val="FootnoteReference"/>
        </w:rPr>
        <w:footnoteRef/>
      </w:r>
      <w:r>
        <w:t xml:space="preserve"> 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115" w:rsidRDefault="006C3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0A" w:rsidRPr="006A65C9" w:rsidRDefault="0057750A">
    <w:pPr>
      <w:pStyle w:val="Header"/>
      <w:rPr>
        <w:i/>
      </w:rPr>
    </w:pPr>
    <w:r>
      <w:rPr>
        <w:i/>
      </w:rPr>
      <w:t>Public Summary Document</w:t>
    </w:r>
    <w:r w:rsidRPr="006A65C9">
      <w:rPr>
        <w:i/>
      </w:rPr>
      <w:t>– March 2021 PBAC Meeting</w:t>
    </w:r>
  </w:p>
  <w:p w:rsidR="0057750A" w:rsidRDefault="0057750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115" w:rsidRDefault="006C3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941823"/>
    <w:multiLevelType w:val="multilevel"/>
    <w:tmpl w:val="A3300ECE"/>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5E34BC"/>
    <w:multiLevelType w:val="multilevel"/>
    <w:tmpl w:val="B1F0D434"/>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EF294E"/>
    <w:multiLevelType w:val="hybridMultilevel"/>
    <w:tmpl w:val="573052A6"/>
    <w:lvl w:ilvl="0" w:tplc="09264EEE">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7A51F5"/>
    <w:multiLevelType w:val="hybridMultilevel"/>
    <w:tmpl w:val="B4B4E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B227FB"/>
    <w:multiLevelType w:val="hybridMultilevel"/>
    <w:tmpl w:val="8DB28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317E14"/>
    <w:multiLevelType w:val="hybridMultilevel"/>
    <w:tmpl w:val="BC545F64"/>
    <w:lvl w:ilvl="0" w:tplc="FB90775E">
      <w:start w:val="1"/>
      <w:numFmt w:val="decimal"/>
      <w:lvlText w:val="%1)"/>
      <w:lvlJc w:val="left"/>
      <w:pPr>
        <w:ind w:left="1080" w:hanging="360"/>
      </w:pPr>
      <w:rPr>
        <w:rFonts w:hint="default"/>
        <w:u w:val="none"/>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357474"/>
    <w:multiLevelType w:val="hybridMultilevel"/>
    <w:tmpl w:val="C07AAD88"/>
    <w:lvl w:ilvl="0" w:tplc="0C090003">
      <w:start w:val="1"/>
      <w:numFmt w:val="bullet"/>
      <w:lvlText w:val="o"/>
      <w:lvlJc w:val="left"/>
      <w:pPr>
        <w:ind w:left="717" w:hanging="360"/>
      </w:pPr>
      <w:rPr>
        <w:rFonts w:ascii="Courier New" w:hAnsi="Courier New" w:cs="Courier New"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3" w15:restartNumberingAfterBreak="0">
    <w:nsid w:val="3D202D2F"/>
    <w:multiLevelType w:val="hybridMultilevel"/>
    <w:tmpl w:val="29447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0B6ECC"/>
    <w:multiLevelType w:val="hybridMultilevel"/>
    <w:tmpl w:val="C23E7B90"/>
    <w:lvl w:ilvl="0" w:tplc="ED1E5F1E">
      <w:start w:val="1"/>
      <w:numFmt w:val="bullet"/>
      <w:pStyle w:val="BulletedList"/>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15"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4BBF1BDB"/>
    <w:multiLevelType w:val="multilevel"/>
    <w:tmpl w:val="B6F6B2AA"/>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163A51"/>
    <w:multiLevelType w:val="hybridMultilevel"/>
    <w:tmpl w:val="FB243AC4"/>
    <w:lvl w:ilvl="0" w:tplc="31CCB374">
      <w:start w:val="1"/>
      <w:numFmt w:val="decimal"/>
      <w:pStyle w:val="Tableheading"/>
      <w:lvlText w:val="Table 2-%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5222" w:hanging="360"/>
      </w:pPr>
    </w:lvl>
    <w:lvl w:ilvl="2" w:tplc="0409001B" w:tentative="1">
      <w:start w:val="1"/>
      <w:numFmt w:val="lowerRoman"/>
      <w:lvlText w:val="%3."/>
      <w:lvlJc w:val="right"/>
      <w:pPr>
        <w:ind w:left="-4502" w:hanging="180"/>
      </w:pPr>
    </w:lvl>
    <w:lvl w:ilvl="3" w:tplc="0409000F" w:tentative="1">
      <w:start w:val="1"/>
      <w:numFmt w:val="decimal"/>
      <w:lvlText w:val="%4."/>
      <w:lvlJc w:val="left"/>
      <w:pPr>
        <w:ind w:left="-3782" w:hanging="360"/>
      </w:pPr>
    </w:lvl>
    <w:lvl w:ilvl="4" w:tplc="04090019" w:tentative="1">
      <w:start w:val="1"/>
      <w:numFmt w:val="lowerLetter"/>
      <w:lvlText w:val="%5."/>
      <w:lvlJc w:val="left"/>
      <w:pPr>
        <w:ind w:left="-3062" w:hanging="360"/>
      </w:pPr>
    </w:lvl>
    <w:lvl w:ilvl="5" w:tplc="0409001B" w:tentative="1">
      <w:start w:val="1"/>
      <w:numFmt w:val="lowerRoman"/>
      <w:lvlText w:val="%6."/>
      <w:lvlJc w:val="right"/>
      <w:pPr>
        <w:ind w:left="-2342" w:hanging="180"/>
      </w:pPr>
    </w:lvl>
    <w:lvl w:ilvl="6" w:tplc="0409000F" w:tentative="1">
      <w:start w:val="1"/>
      <w:numFmt w:val="decimal"/>
      <w:lvlText w:val="%7."/>
      <w:lvlJc w:val="left"/>
      <w:pPr>
        <w:ind w:left="-1622" w:hanging="360"/>
      </w:pPr>
    </w:lvl>
    <w:lvl w:ilvl="7" w:tplc="04090019" w:tentative="1">
      <w:start w:val="1"/>
      <w:numFmt w:val="lowerLetter"/>
      <w:lvlText w:val="%8."/>
      <w:lvlJc w:val="left"/>
      <w:pPr>
        <w:ind w:left="-902" w:hanging="360"/>
      </w:pPr>
    </w:lvl>
    <w:lvl w:ilvl="8" w:tplc="0409001B" w:tentative="1">
      <w:start w:val="1"/>
      <w:numFmt w:val="lowerRoman"/>
      <w:lvlText w:val="%9."/>
      <w:lvlJc w:val="right"/>
      <w:pPr>
        <w:ind w:left="-182" w:hanging="180"/>
      </w:pPr>
    </w:lvl>
  </w:abstractNum>
  <w:abstractNum w:abstractNumId="21" w15:restartNumberingAfterBreak="0">
    <w:nsid w:val="5A0F2795"/>
    <w:multiLevelType w:val="hybridMultilevel"/>
    <w:tmpl w:val="390030C0"/>
    <w:lvl w:ilvl="0" w:tplc="81DE8742">
      <w:start w:val="1"/>
      <w:numFmt w:val="decimal"/>
      <w:lvlText w:val="%1."/>
      <w:lvlJc w:val="left"/>
      <w:pPr>
        <w:ind w:left="36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60D447A"/>
    <w:multiLevelType w:val="multilevel"/>
    <w:tmpl w:val="B1F0D434"/>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62311A1"/>
    <w:multiLevelType w:val="hybridMultilevel"/>
    <w:tmpl w:val="EADECC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74BE69CF"/>
    <w:multiLevelType w:val="hybridMultilevel"/>
    <w:tmpl w:val="79F8AA04"/>
    <w:lvl w:ilvl="0" w:tplc="0C090001">
      <w:start w:val="1"/>
      <w:numFmt w:val="bullet"/>
      <w:lvlText w:val=""/>
      <w:lvlJc w:val="left"/>
      <w:pPr>
        <w:ind w:left="1080" w:hanging="360"/>
      </w:pPr>
      <w:rPr>
        <w:rFonts w:ascii="Symbol" w:hAnsi="Symbol" w:hint="default"/>
        <w:i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77775D8A"/>
    <w:multiLevelType w:val="hybridMultilevel"/>
    <w:tmpl w:val="7430BE4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6" w15:restartNumberingAfterBreak="0">
    <w:nsid w:val="784D033C"/>
    <w:multiLevelType w:val="multilevel"/>
    <w:tmpl w:val="856AB822"/>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EC272B"/>
    <w:multiLevelType w:val="hybridMultilevel"/>
    <w:tmpl w:val="47B42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17"/>
  </w:num>
  <w:num w:numId="4">
    <w:abstractNumId w:val="0"/>
  </w:num>
  <w:num w:numId="5">
    <w:abstractNumId w:val="27"/>
  </w:num>
  <w:num w:numId="6">
    <w:abstractNumId w:val="18"/>
  </w:num>
  <w:num w:numId="7">
    <w:abstractNumId w:val="6"/>
  </w:num>
  <w:num w:numId="8">
    <w:abstractNumId w:val="17"/>
  </w:num>
  <w:num w:numId="9">
    <w:abstractNumId w:val="14"/>
  </w:num>
  <w:num w:numId="10">
    <w:abstractNumId w:val="20"/>
  </w:num>
  <w:num w:numId="11">
    <w:abstractNumId w:val="7"/>
  </w:num>
  <w:num w:numId="12">
    <w:abstractNumId w:val="21"/>
  </w:num>
  <w:num w:numId="13">
    <w:abstractNumId w:val="23"/>
  </w:num>
  <w:num w:numId="14">
    <w:abstractNumId w:val="5"/>
  </w:num>
  <w:num w:numId="15">
    <w:abstractNumId w:val="24"/>
  </w:num>
  <w:num w:numId="16">
    <w:abstractNumId w:val="12"/>
  </w:num>
  <w:num w:numId="17">
    <w:abstractNumId w:val="3"/>
  </w:num>
  <w:num w:numId="18">
    <w:abstractNumId w:val="1"/>
  </w:num>
  <w:num w:numId="19">
    <w:abstractNumId w:val="9"/>
  </w:num>
  <w:num w:numId="20">
    <w:abstractNumId w:val="11"/>
  </w:num>
  <w:num w:numId="21">
    <w:abstractNumId w:val="8"/>
  </w:num>
  <w:num w:numId="22">
    <w:abstractNumId w:val="19"/>
  </w:num>
  <w:num w:numId="23">
    <w:abstractNumId w:val="4"/>
  </w:num>
  <w:num w:numId="24">
    <w:abstractNumId w:val="22"/>
  </w:num>
  <w:num w:numId="25">
    <w:abstractNumId w:val="25"/>
  </w:num>
  <w:num w:numId="26">
    <w:abstractNumId w:val="13"/>
  </w:num>
  <w:num w:numId="27">
    <w:abstractNumId w:val="2"/>
  </w:num>
  <w:num w:numId="28">
    <w:abstractNumId w:val="10"/>
  </w:num>
  <w:num w:numId="29">
    <w:abstractNumId w:val="26"/>
  </w:num>
  <w:num w:numId="30">
    <w:abstractNumId w:val="26"/>
  </w:num>
  <w:num w:numId="31">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s-ES" w:vendorID="64" w:dllVersion="6" w:nlCheck="1" w:checkStyle="0"/>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s-ES" w:vendorID="64" w:dllVersion="131078" w:nlCheck="1" w:checkStyle="0"/>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8ED"/>
    <w:rsid w:val="00003499"/>
    <w:rsid w:val="000039B7"/>
    <w:rsid w:val="00003D12"/>
    <w:rsid w:val="0000639A"/>
    <w:rsid w:val="00013247"/>
    <w:rsid w:val="00013D38"/>
    <w:rsid w:val="00015886"/>
    <w:rsid w:val="000162EF"/>
    <w:rsid w:val="000207C9"/>
    <w:rsid w:val="0002225F"/>
    <w:rsid w:val="00023763"/>
    <w:rsid w:val="00026927"/>
    <w:rsid w:val="000274B8"/>
    <w:rsid w:val="000279E8"/>
    <w:rsid w:val="00030C34"/>
    <w:rsid w:val="00033863"/>
    <w:rsid w:val="00033992"/>
    <w:rsid w:val="00035DC0"/>
    <w:rsid w:val="00035F87"/>
    <w:rsid w:val="00036829"/>
    <w:rsid w:val="0004024B"/>
    <w:rsid w:val="00040895"/>
    <w:rsid w:val="00040A9B"/>
    <w:rsid w:val="000435EE"/>
    <w:rsid w:val="00043C37"/>
    <w:rsid w:val="000440CE"/>
    <w:rsid w:val="000448E5"/>
    <w:rsid w:val="00045017"/>
    <w:rsid w:val="00045A2B"/>
    <w:rsid w:val="00045DE4"/>
    <w:rsid w:val="0004698F"/>
    <w:rsid w:val="000520D6"/>
    <w:rsid w:val="00052D94"/>
    <w:rsid w:val="000539D0"/>
    <w:rsid w:val="00054212"/>
    <w:rsid w:val="00054621"/>
    <w:rsid w:val="000546D7"/>
    <w:rsid w:val="000561EB"/>
    <w:rsid w:val="00056ECF"/>
    <w:rsid w:val="0005729A"/>
    <w:rsid w:val="000604DF"/>
    <w:rsid w:val="000609DB"/>
    <w:rsid w:val="00060CA3"/>
    <w:rsid w:val="0006118E"/>
    <w:rsid w:val="000653B5"/>
    <w:rsid w:val="00066360"/>
    <w:rsid w:val="00066AF8"/>
    <w:rsid w:val="00071248"/>
    <w:rsid w:val="00071A9D"/>
    <w:rsid w:val="00071B7E"/>
    <w:rsid w:val="000720B9"/>
    <w:rsid w:val="0007225F"/>
    <w:rsid w:val="000737F7"/>
    <w:rsid w:val="0007672F"/>
    <w:rsid w:val="00076B54"/>
    <w:rsid w:val="00076BE1"/>
    <w:rsid w:val="000774F0"/>
    <w:rsid w:val="00080909"/>
    <w:rsid w:val="000812CA"/>
    <w:rsid w:val="00081776"/>
    <w:rsid w:val="00081E63"/>
    <w:rsid w:val="0008258D"/>
    <w:rsid w:val="00083E99"/>
    <w:rsid w:val="000843D3"/>
    <w:rsid w:val="00084FA8"/>
    <w:rsid w:val="000856C5"/>
    <w:rsid w:val="00085C31"/>
    <w:rsid w:val="000902D9"/>
    <w:rsid w:val="00090C7E"/>
    <w:rsid w:val="00092600"/>
    <w:rsid w:val="0009262B"/>
    <w:rsid w:val="00093310"/>
    <w:rsid w:val="0009445C"/>
    <w:rsid w:val="00095200"/>
    <w:rsid w:val="00095FE5"/>
    <w:rsid w:val="00096284"/>
    <w:rsid w:val="000970F8"/>
    <w:rsid w:val="000A07B0"/>
    <w:rsid w:val="000A089D"/>
    <w:rsid w:val="000A10E6"/>
    <w:rsid w:val="000A1BC0"/>
    <w:rsid w:val="000A3AF8"/>
    <w:rsid w:val="000A6039"/>
    <w:rsid w:val="000A7453"/>
    <w:rsid w:val="000A7D08"/>
    <w:rsid w:val="000B0121"/>
    <w:rsid w:val="000B0670"/>
    <w:rsid w:val="000B0DBC"/>
    <w:rsid w:val="000B0E75"/>
    <w:rsid w:val="000B1BF3"/>
    <w:rsid w:val="000B1D1F"/>
    <w:rsid w:val="000B2DCB"/>
    <w:rsid w:val="000B5CE0"/>
    <w:rsid w:val="000B6CAC"/>
    <w:rsid w:val="000B7612"/>
    <w:rsid w:val="000B78AE"/>
    <w:rsid w:val="000C08E6"/>
    <w:rsid w:val="000C333C"/>
    <w:rsid w:val="000C3DF9"/>
    <w:rsid w:val="000C3F7F"/>
    <w:rsid w:val="000C447C"/>
    <w:rsid w:val="000C5278"/>
    <w:rsid w:val="000C603C"/>
    <w:rsid w:val="000C6713"/>
    <w:rsid w:val="000D0D44"/>
    <w:rsid w:val="000D1BFC"/>
    <w:rsid w:val="000D1D5D"/>
    <w:rsid w:val="000D281A"/>
    <w:rsid w:val="000D2848"/>
    <w:rsid w:val="000D326A"/>
    <w:rsid w:val="000D3836"/>
    <w:rsid w:val="000D51FB"/>
    <w:rsid w:val="000E010A"/>
    <w:rsid w:val="000E0640"/>
    <w:rsid w:val="000E135D"/>
    <w:rsid w:val="000F00BA"/>
    <w:rsid w:val="000F316A"/>
    <w:rsid w:val="000F3C74"/>
    <w:rsid w:val="000F4BB8"/>
    <w:rsid w:val="000F4FA9"/>
    <w:rsid w:val="000F53FB"/>
    <w:rsid w:val="000F66E5"/>
    <w:rsid w:val="000F7127"/>
    <w:rsid w:val="000F72F3"/>
    <w:rsid w:val="000F7B54"/>
    <w:rsid w:val="001007EE"/>
    <w:rsid w:val="0010081E"/>
    <w:rsid w:val="00100F8A"/>
    <w:rsid w:val="001020FC"/>
    <w:rsid w:val="00104504"/>
    <w:rsid w:val="0010452E"/>
    <w:rsid w:val="00105AE2"/>
    <w:rsid w:val="001060C6"/>
    <w:rsid w:val="00106B80"/>
    <w:rsid w:val="00107152"/>
    <w:rsid w:val="0011032E"/>
    <w:rsid w:val="00110857"/>
    <w:rsid w:val="00111BDE"/>
    <w:rsid w:val="0011348B"/>
    <w:rsid w:val="00115285"/>
    <w:rsid w:val="00115982"/>
    <w:rsid w:val="0011611C"/>
    <w:rsid w:val="00116C53"/>
    <w:rsid w:val="00121799"/>
    <w:rsid w:val="001222FC"/>
    <w:rsid w:val="00123902"/>
    <w:rsid w:val="00123F91"/>
    <w:rsid w:val="0012416D"/>
    <w:rsid w:val="00124A51"/>
    <w:rsid w:val="00126621"/>
    <w:rsid w:val="00126B1D"/>
    <w:rsid w:val="001301E9"/>
    <w:rsid w:val="00131D82"/>
    <w:rsid w:val="0013221C"/>
    <w:rsid w:val="00132B22"/>
    <w:rsid w:val="00133D36"/>
    <w:rsid w:val="00137645"/>
    <w:rsid w:val="0013780A"/>
    <w:rsid w:val="0014015A"/>
    <w:rsid w:val="00140E99"/>
    <w:rsid w:val="00142B21"/>
    <w:rsid w:val="0014316C"/>
    <w:rsid w:val="00143F67"/>
    <w:rsid w:val="00143FB1"/>
    <w:rsid w:val="00145540"/>
    <w:rsid w:val="001456B0"/>
    <w:rsid w:val="00150EEC"/>
    <w:rsid w:val="00151924"/>
    <w:rsid w:val="001550EC"/>
    <w:rsid w:val="00156E47"/>
    <w:rsid w:val="00156F8F"/>
    <w:rsid w:val="00157130"/>
    <w:rsid w:val="001576B1"/>
    <w:rsid w:val="0016047B"/>
    <w:rsid w:val="00160A4C"/>
    <w:rsid w:val="00160ED3"/>
    <w:rsid w:val="00162913"/>
    <w:rsid w:val="00162A3E"/>
    <w:rsid w:val="00163EFF"/>
    <w:rsid w:val="00163F66"/>
    <w:rsid w:val="001661FB"/>
    <w:rsid w:val="001671A0"/>
    <w:rsid w:val="0016767F"/>
    <w:rsid w:val="00170CA4"/>
    <w:rsid w:val="00173565"/>
    <w:rsid w:val="00173B07"/>
    <w:rsid w:val="00173CFB"/>
    <w:rsid w:val="001751FA"/>
    <w:rsid w:val="00181820"/>
    <w:rsid w:val="00181D9C"/>
    <w:rsid w:val="00182515"/>
    <w:rsid w:val="00182556"/>
    <w:rsid w:val="001838CB"/>
    <w:rsid w:val="00184B0E"/>
    <w:rsid w:val="00185A6F"/>
    <w:rsid w:val="00186A64"/>
    <w:rsid w:val="0018752F"/>
    <w:rsid w:val="00187861"/>
    <w:rsid w:val="00190183"/>
    <w:rsid w:val="00190A9A"/>
    <w:rsid w:val="00190FF2"/>
    <w:rsid w:val="001915B6"/>
    <w:rsid w:val="00193838"/>
    <w:rsid w:val="00194AD8"/>
    <w:rsid w:val="00195222"/>
    <w:rsid w:val="00195952"/>
    <w:rsid w:val="001961EC"/>
    <w:rsid w:val="0019695D"/>
    <w:rsid w:val="00197437"/>
    <w:rsid w:val="001975D8"/>
    <w:rsid w:val="001A178E"/>
    <w:rsid w:val="001A41AC"/>
    <w:rsid w:val="001A43FA"/>
    <w:rsid w:val="001A47C5"/>
    <w:rsid w:val="001A4ADF"/>
    <w:rsid w:val="001A59FB"/>
    <w:rsid w:val="001A5CAF"/>
    <w:rsid w:val="001A5E9E"/>
    <w:rsid w:val="001A6354"/>
    <w:rsid w:val="001A6366"/>
    <w:rsid w:val="001A7AE8"/>
    <w:rsid w:val="001B07A3"/>
    <w:rsid w:val="001B204E"/>
    <w:rsid w:val="001B2372"/>
    <w:rsid w:val="001B3443"/>
    <w:rsid w:val="001B4D20"/>
    <w:rsid w:val="001C2A9B"/>
    <w:rsid w:val="001C4062"/>
    <w:rsid w:val="001C4299"/>
    <w:rsid w:val="001C4874"/>
    <w:rsid w:val="001C5F94"/>
    <w:rsid w:val="001C6E66"/>
    <w:rsid w:val="001D1100"/>
    <w:rsid w:val="001D1391"/>
    <w:rsid w:val="001D150E"/>
    <w:rsid w:val="001D25D7"/>
    <w:rsid w:val="001D4680"/>
    <w:rsid w:val="001D50B2"/>
    <w:rsid w:val="001D7645"/>
    <w:rsid w:val="001D791D"/>
    <w:rsid w:val="001E1187"/>
    <w:rsid w:val="001E1E86"/>
    <w:rsid w:val="001E238E"/>
    <w:rsid w:val="001E2483"/>
    <w:rsid w:val="001E2B1E"/>
    <w:rsid w:val="001E2CFF"/>
    <w:rsid w:val="001E2F24"/>
    <w:rsid w:val="001E30D4"/>
    <w:rsid w:val="001E31D6"/>
    <w:rsid w:val="001E34DF"/>
    <w:rsid w:val="001E4D66"/>
    <w:rsid w:val="001E52EB"/>
    <w:rsid w:val="001E61D2"/>
    <w:rsid w:val="001E740C"/>
    <w:rsid w:val="001F1235"/>
    <w:rsid w:val="001F1CB3"/>
    <w:rsid w:val="001F2E72"/>
    <w:rsid w:val="001F38B5"/>
    <w:rsid w:val="001F4081"/>
    <w:rsid w:val="001F7361"/>
    <w:rsid w:val="001F7E6E"/>
    <w:rsid w:val="002010CB"/>
    <w:rsid w:val="002011B0"/>
    <w:rsid w:val="00203181"/>
    <w:rsid w:val="00203457"/>
    <w:rsid w:val="00203783"/>
    <w:rsid w:val="0020385F"/>
    <w:rsid w:val="00203B75"/>
    <w:rsid w:val="002068A0"/>
    <w:rsid w:val="00207021"/>
    <w:rsid w:val="0020732F"/>
    <w:rsid w:val="00207D00"/>
    <w:rsid w:val="002105C1"/>
    <w:rsid w:val="00213EF5"/>
    <w:rsid w:val="00214CE6"/>
    <w:rsid w:val="002153FA"/>
    <w:rsid w:val="00216BF5"/>
    <w:rsid w:val="00222E9E"/>
    <w:rsid w:val="00223B49"/>
    <w:rsid w:val="00223D5A"/>
    <w:rsid w:val="00224DD4"/>
    <w:rsid w:val="002278A0"/>
    <w:rsid w:val="002309CC"/>
    <w:rsid w:val="00231319"/>
    <w:rsid w:val="00232096"/>
    <w:rsid w:val="0023209F"/>
    <w:rsid w:val="00232317"/>
    <w:rsid w:val="00233C01"/>
    <w:rsid w:val="0023413C"/>
    <w:rsid w:val="002341D0"/>
    <w:rsid w:val="002346F0"/>
    <w:rsid w:val="00234AFC"/>
    <w:rsid w:val="002361CC"/>
    <w:rsid w:val="0023629D"/>
    <w:rsid w:val="00237255"/>
    <w:rsid w:val="002424AF"/>
    <w:rsid w:val="002439DC"/>
    <w:rsid w:val="002441D2"/>
    <w:rsid w:val="00244DC8"/>
    <w:rsid w:val="002458BA"/>
    <w:rsid w:val="00245CE9"/>
    <w:rsid w:val="0024636C"/>
    <w:rsid w:val="00247925"/>
    <w:rsid w:val="00251006"/>
    <w:rsid w:val="00251602"/>
    <w:rsid w:val="002524D5"/>
    <w:rsid w:val="00253B1D"/>
    <w:rsid w:val="00254DCF"/>
    <w:rsid w:val="0025534B"/>
    <w:rsid w:val="00255BB4"/>
    <w:rsid w:val="00255BB7"/>
    <w:rsid w:val="00257541"/>
    <w:rsid w:val="00257A39"/>
    <w:rsid w:val="00257AC4"/>
    <w:rsid w:val="0026177E"/>
    <w:rsid w:val="00261EEF"/>
    <w:rsid w:val="0026206F"/>
    <w:rsid w:val="0026266E"/>
    <w:rsid w:val="00262A1A"/>
    <w:rsid w:val="00262A87"/>
    <w:rsid w:val="00264D26"/>
    <w:rsid w:val="002650A0"/>
    <w:rsid w:val="00266298"/>
    <w:rsid w:val="00267642"/>
    <w:rsid w:val="00267AEA"/>
    <w:rsid w:val="002700E6"/>
    <w:rsid w:val="00270EC2"/>
    <w:rsid w:val="00271C65"/>
    <w:rsid w:val="0027294B"/>
    <w:rsid w:val="00272B1C"/>
    <w:rsid w:val="00273EB4"/>
    <w:rsid w:val="00274682"/>
    <w:rsid w:val="002747DE"/>
    <w:rsid w:val="00275C5A"/>
    <w:rsid w:val="00275C83"/>
    <w:rsid w:val="00281014"/>
    <w:rsid w:val="002824E5"/>
    <w:rsid w:val="002829D2"/>
    <w:rsid w:val="002832D5"/>
    <w:rsid w:val="00283C55"/>
    <w:rsid w:val="00284621"/>
    <w:rsid w:val="0028665D"/>
    <w:rsid w:val="00295891"/>
    <w:rsid w:val="00297F57"/>
    <w:rsid w:val="002A0029"/>
    <w:rsid w:val="002A1225"/>
    <w:rsid w:val="002A14AB"/>
    <w:rsid w:val="002A2947"/>
    <w:rsid w:val="002A2ADE"/>
    <w:rsid w:val="002A2F50"/>
    <w:rsid w:val="002A3F17"/>
    <w:rsid w:val="002B05A1"/>
    <w:rsid w:val="002B09A4"/>
    <w:rsid w:val="002B1C1F"/>
    <w:rsid w:val="002B35B0"/>
    <w:rsid w:val="002B432F"/>
    <w:rsid w:val="002B548E"/>
    <w:rsid w:val="002B62B3"/>
    <w:rsid w:val="002B6754"/>
    <w:rsid w:val="002B6CCE"/>
    <w:rsid w:val="002B7331"/>
    <w:rsid w:val="002C071C"/>
    <w:rsid w:val="002C11B4"/>
    <w:rsid w:val="002C146A"/>
    <w:rsid w:val="002C2510"/>
    <w:rsid w:val="002C2775"/>
    <w:rsid w:val="002C27C1"/>
    <w:rsid w:val="002C2A85"/>
    <w:rsid w:val="002C30B5"/>
    <w:rsid w:val="002C5099"/>
    <w:rsid w:val="002C5358"/>
    <w:rsid w:val="002C53B2"/>
    <w:rsid w:val="002C5889"/>
    <w:rsid w:val="002C64E8"/>
    <w:rsid w:val="002C71CE"/>
    <w:rsid w:val="002D08F8"/>
    <w:rsid w:val="002D157E"/>
    <w:rsid w:val="002D21F9"/>
    <w:rsid w:val="002D2A8A"/>
    <w:rsid w:val="002D34F5"/>
    <w:rsid w:val="002D577C"/>
    <w:rsid w:val="002E1071"/>
    <w:rsid w:val="002E15B9"/>
    <w:rsid w:val="002E2158"/>
    <w:rsid w:val="002E4F02"/>
    <w:rsid w:val="002E7245"/>
    <w:rsid w:val="002E7722"/>
    <w:rsid w:val="002F059F"/>
    <w:rsid w:val="002F07BA"/>
    <w:rsid w:val="002F0DA9"/>
    <w:rsid w:val="002F1014"/>
    <w:rsid w:val="002F16CF"/>
    <w:rsid w:val="002F3BC9"/>
    <w:rsid w:val="002F643C"/>
    <w:rsid w:val="002F71C0"/>
    <w:rsid w:val="002F74F1"/>
    <w:rsid w:val="00301017"/>
    <w:rsid w:val="0030155F"/>
    <w:rsid w:val="003048E3"/>
    <w:rsid w:val="0030587B"/>
    <w:rsid w:val="00306D98"/>
    <w:rsid w:val="0030737B"/>
    <w:rsid w:val="00307718"/>
    <w:rsid w:val="0030786C"/>
    <w:rsid w:val="00307B10"/>
    <w:rsid w:val="00307D88"/>
    <w:rsid w:val="0031031A"/>
    <w:rsid w:val="00310981"/>
    <w:rsid w:val="003124D9"/>
    <w:rsid w:val="00312594"/>
    <w:rsid w:val="00313352"/>
    <w:rsid w:val="003138B2"/>
    <w:rsid w:val="00313B5D"/>
    <w:rsid w:val="00315498"/>
    <w:rsid w:val="00316474"/>
    <w:rsid w:val="003175B4"/>
    <w:rsid w:val="00317F84"/>
    <w:rsid w:val="00322107"/>
    <w:rsid w:val="00322355"/>
    <w:rsid w:val="00322846"/>
    <w:rsid w:val="00326DA7"/>
    <w:rsid w:val="003270E4"/>
    <w:rsid w:val="00330DAA"/>
    <w:rsid w:val="00330F5C"/>
    <w:rsid w:val="00332767"/>
    <w:rsid w:val="00334CEE"/>
    <w:rsid w:val="0033571B"/>
    <w:rsid w:val="00335AD9"/>
    <w:rsid w:val="003366C9"/>
    <w:rsid w:val="00336EE4"/>
    <w:rsid w:val="003371B0"/>
    <w:rsid w:val="00337215"/>
    <w:rsid w:val="00340DF1"/>
    <w:rsid w:val="00341366"/>
    <w:rsid w:val="003420A4"/>
    <w:rsid w:val="003442FB"/>
    <w:rsid w:val="0035045B"/>
    <w:rsid w:val="0035061E"/>
    <w:rsid w:val="003517F9"/>
    <w:rsid w:val="00351BA9"/>
    <w:rsid w:val="00352695"/>
    <w:rsid w:val="00352869"/>
    <w:rsid w:val="003534C4"/>
    <w:rsid w:val="00353C90"/>
    <w:rsid w:val="00354F64"/>
    <w:rsid w:val="003551E1"/>
    <w:rsid w:val="0035620E"/>
    <w:rsid w:val="00356CF4"/>
    <w:rsid w:val="00356FB0"/>
    <w:rsid w:val="00360345"/>
    <w:rsid w:val="00360CAC"/>
    <w:rsid w:val="003619F9"/>
    <w:rsid w:val="00361A05"/>
    <w:rsid w:val="00361E5F"/>
    <w:rsid w:val="003624C4"/>
    <w:rsid w:val="00363B00"/>
    <w:rsid w:val="003649DE"/>
    <w:rsid w:val="00364D2B"/>
    <w:rsid w:val="003654AC"/>
    <w:rsid w:val="003710CF"/>
    <w:rsid w:val="00371EA3"/>
    <w:rsid w:val="0037358A"/>
    <w:rsid w:val="003750F6"/>
    <w:rsid w:val="003760FC"/>
    <w:rsid w:val="00380495"/>
    <w:rsid w:val="00382DEB"/>
    <w:rsid w:val="0038365C"/>
    <w:rsid w:val="0038369B"/>
    <w:rsid w:val="00383B78"/>
    <w:rsid w:val="00384D42"/>
    <w:rsid w:val="00385A9D"/>
    <w:rsid w:val="003902B1"/>
    <w:rsid w:val="0039179C"/>
    <w:rsid w:val="00393146"/>
    <w:rsid w:val="003945FA"/>
    <w:rsid w:val="00396896"/>
    <w:rsid w:val="00396FD0"/>
    <w:rsid w:val="003A059C"/>
    <w:rsid w:val="003A1A7A"/>
    <w:rsid w:val="003A2392"/>
    <w:rsid w:val="003A2831"/>
    <w:rsid w:val="003A3CB6"/>
    <w:rsid w:val="003A3ED1"/>
    <w:rsid w:val="003A44DB"/>
    <w:rsid w:val="003A70F6"/>
    <w:rsid w:val="003B00FD"/>
    <w:rsid w:val="003B01E8"/>
    <w:rsid w:val="003B0C6D"/>
    <w:rsid w:val="003B23ED"/>
    <w:rsid w:val="003B3971"/>
    <w:rsid w:val="003B55D1"/>
    <w:rsid w:val="003B5B61"/>
    <w:rsid w:val="003C030C"/>
    <w:rsid w:val="003C1654"/>
    <w:rsid w:val="003C2B45"/>
    <w:rsid w:val="003C5542"/>
    <w:rsid w:val="003C6A0B"/>
    <w:rsid w:val="003C6DA0"/>
    <w:rsid w:val="003C7141"/>
    <w:rsid w:val="003C7D19"/>
    <w:rsid w:val="003C7D2F"/>
    <w:rsid w:val="003D12A7"/>
    <w:rsid w:val="003D1828"/>
    <w:rsid w:val="003D1DE4"/>
    <w:rsid w:val="003D1E9A"/>
    <w:rsid w:val="003D2422"/>
    <w:rsid w:val="003D39A1"/>
    <w:rsid w:val="003D3FBF"/>
    <w:rsid w:val="003D4A30"/>
    <w:rsid w:val="003D64CF"/>
    <w:rsid w:val="003D68F4"/>
    <w:rsid w:val="003D7335"/>
    <w:rsid w:val="003D7452"/>
    <w:rsid w:val="003D79BB"/>
    <w:rsid w:val="003D7C98"/>
    <w:rsid w:val="003D7D9D"/>
    <w:rsid w:val="003E00CF"/>
    <w:rsid w:val="003E0272"/>
    <w:rsid w:val="003E0543"/>
    <w:rsid w:val="003E2C02"/>
    <w:rsid w:val="003E6011"/>
    <w:rsid w:val="003E6D32"/>
    <w:rsid w:val="003E724F"/>
    <w:rsid w:val="003E749E"/>
    <w:rsid w:val="003F0C4D"/>
    <w:rsid w:val="003F0F70"/>
    <w:rsid w:val="003F159C"/>
    <w:rsid w:val="003F1AEC"/>
    <w:rsid w:val="003F4124"/>
    <w:rsid w:val="003F4156"/>
    <w:rsid w:val="003F44D4"/>
    <w:rsid w:val="003F5ADF"/>
    <w:rsid w:val="003F5EE9"/>
    <w:rsid w:val="003F6697"/>
    <w:rsid w:val="003F6950"/>
    <w:rsid w:val="003F6CA1"/>
    <w:rsid w:val="00400B29"/>
    <w:rsid w:val="00401657"/>
    <w:rsid w:val="00403614"/>
    <w:rsid w:val="0040504B"/>
    <w:rsid w:val="004059F4"/>
    <w:rsid w:val="0040743F"/>
    <w:rsid w:val="00407914"/>
    <w:rsid w:val="00407FE5"/>
    <w:rsid w:val="004101B0"/>
    <w:rsid w:val="00410326"/>
    <w:rsid w:val="00410708"/>
    <w:rsid w:val="00410EC7"/>
    <w:rsid w:val="00411B39"/>
    <w:rsid w:val="00411EFD"/>
    <w:rsid w:val="004127A7"/>
    <w:rsid w:val="00413A1E"/>
    <w:rsid w:val="00414476"/>
    <w:rsid w:val="00414C2E"/>
    <w:rsid w:val="004151CF"/>
    <w:rsid w:val="00416364"/>
    <w:rsid w:val="0042047F"/>
    <w:rsid w:val="00420AA6"/>
    <w:rsid w:val="00420B9F"/>
    <w:rsid w:val="004217F5"/>
    <w:rsid w:val="0042192C"/>
    <w:rsid w:val="00422260"/>
    <w:rsid w:val="00423C7D"/>
    <w:rsid w:val="0042413F"/>
    <w:rsid w:val="00424E5C"/>
    <w:rsid w:val="00426309"/>
    <w:rsid w:val="004271C6"/>
    <w:rsid w:val="004319F8"/>
    <w:rsid w:val="00431E55"/>
    <w:rsid w:val="004321F6"/>
    <w:rsid w:val="00433044"/>
    <w:rsid w:val="00434088"/>
    <w:rsid w:val="0043563F"/>
    <w:rsid w:val="004375B9"/>
    <w:rsid w:val="00440AB9"/>
    <w:rsid w:val="004428D0"/>
    <w:rsid w:val="00443848"/>
    <w:rsid w:val="00444185"/>
    <w:rsid w:val="004443A7"/>
    <w:rsid w:val="0044442C"/>
    <w:rsid w:val="00445941"/>
    <w:rsid w:val="004464EB"/>
    <w:rsid w:val="00447D26"/>
    <w:rsid w:val="00447DFC"/>
    <w:rsid w:val="00450DC8"/>
    <w:rsid w:val="004559E1"/>
    <w:rsid w:val="00455D45"/>
    <w:rsid w:val="004576FF"/>
    <w:rsid w:val="00461E74"/>
    <w:rsid w:val="00462C37"/>
    <w:rsid w:val="00463984"/>
    <w:rsid w:val="004642B0"/>
    <w:rsid w:val="00464595"/>
    <w:rsid w:val="004658B5"/>
    <w:rsid w:val="0047058E"/>
    <w:rsid w:val="00470FAC"/>
    <w:rsid w:val="00471EA5"/>
    <w:rsid w:val="00472A79"/>
    <w:rsid w:val="00473786"/>
    <w:rsid w:val="00473F19"/>
    <w:rsid w:val="004741F9"/>
    <w:rsid w:val="0047444A"/>
    <w:rsid w:val="00475E22"/>
    <w:rsid w:val="004807AD"/>
    <w:rsid w:val="0048088E"/>
    <w:rsid w:val="00480F2B"/>
    <w:rsid w:val="00480FAF"/>
    <w:rsid w:val="00482720"/>
    <w:rsid w:val="004835E7"/>
    <w:rsid w:val="00485231"/>
    <w:rsid w:val="0048666B"/>
    <w:rsid w:val="004867E2"/>
    <w:rsid w:val="00487536"/>
    <w:rsid w:val="00490B17"/>
    <w:rsid w:val="00491B3A"/>
    <w:rsid w:val="00492CFD"/>
    <w:rsid w:val="00494207"/>
    <w:rsid w:val="00494DD5"/>
    <w:rsid w:val="004962D2"/>
    <w:rsid w:val="004965CB"/>
    <w:rsid w:val="004967A8"/>
    <w:rsid w:val="00496CB6"/>
    <w:rsid w:val="004A0DA1"/>
    <w:rsid w:val="004A13D6"/>
    <w:rsid w:val="004A16B4"/>
    <w:rsid w:val="004A4B71"/>
    <w:rsid w:val="004A52E9"/>
    <w:rsid w:val="004A6040"/>
    <w:rsid w:val="004A6597"/>
    <w:rsid w:val="004A7848"/>
    <w:rsid w:val="004B1CB4"/>
    <w:rsid w:val="004B22E8"/>
    <w:rsid w:val="004B2F18"/>
    <w:rsid w:val="004B3DDB"/>
    <w:rsid w:val="004B44FD"/>
    <w:rsid w:val="004B5CFC"/>
    <w:rsid w:val="004B6F79"/>
    <w:rsid w:val="004B774D"/>
    <w:rsid w:val="004C0F21"/>
    <w:rsid w:val="004C4AED"/>
    <w:rsid w:val="004C5561"/>
    <w:rsid w:val="004C75EC"/>
    <w:rsid w:val="004D06BD"/>
    <w:rsid w:val="004D2C2D"/>
    <w:rsid w:val="004D3996"/>
    <w:rsid w:val="004D4B56"/>
    <w:rsid w:val="004D69B5"/>
    <w:rsid w:val="004D7227"/>
    <w:rsid w:val="004E0E7F"/>
    <w:rsid w:val="004E0EB8"/>
    <w:rsid w:val="004E18E9"/>
    <w:rsid w:val="004E1FD1"/>
    <w:rsid w:val="004E2ADC"/>
    <w:rsid w:val="004E3695"/>
    <w:rsid w:val="004E3F00"/>
    <w:rsid w:val="004E43B2"/>
    <w:rsid w:val="004F0335"/>
    <w:rsid w:val="004F1D02"/>
    <w:rsid w:val="004F2679"/>
    <w:rsid w:val="004F2F21"/>
    <w:rsid w:val="004F3DE5"/>
    <w:rsid w:val="004F4CFF"/>
    <w:rsid w:val="004F57BC"/>
    <w:rsid w:val="004F649F"/>
    <w:rsid w:val="004F6913"/>
    <w:rsid w:val="004F72A6"/>
    <w:rsid w:val="004F7452"/>
    <w:rsid w:val="004F7865"/>
    <w:rsid w:val="0050174E"/>
    <w:rsid w:val="00501854"/>
    <w:rsid w:val="0050219B"/>
    <w:rsid w:val="00503F17"/>
    <w:rsid w:val="00503F25"/>
    <w:rsid w:val="00504985"/>
    <w:rsid w:val="005057B4"/>
    <w:rsid w:val="00506928"/>
    <w:rsid w:val="00506A83"/>
    <w:rsid w:val="0050701C"/>
    <w:rsid w:val="005073EF"/>
    <w:rsid w:val="005077EF"/>
    <w:rsid w:val="00510329"/>
    <w:rsid w:val="00511AD5"/>
    <w:rsid w:val="00511DC7"/>
    <w:rsid w:val="00512EC7"/>
    <w:rsid w:val="00513F67"/>
    <w:rsid w:val="005142C5"/>
    <w:rsid w:val="0051501B"/>
    <w:rsid w:val="005152B5"/>
    <w:rsid w:val="00516946"/>
    <w:rsid w:val="0051698E"/>
    <w:rsid w:val="00520E9D"/>
    <w:rsid w:val="0052123C"/>
    <w:rsid w:val="00521319"/>
    <w:rsid w:val="00521D13"/>
    <w:rsid w:val="00522A60"/>
    <w:rsid w:val="00522BC8"/>
    <w:rsid w:val="00523282"/>
    <w:rsid w:val="00523C28"/>
    <w:rsid w:val="00525A00"/>
    <w:rsid w:val="00525C4C"/>
    <w:rsid w:val="00527483"/>
    <w:rsid w:val="00531352"/>
    <w:rsid w:val="0053176B"/>
    <w:rsid w:val="00531AF2"/>
    <w:rsid w:val="005336FD"/>
    <w:rsid w:val="00534F48"/>
    <w:rsid w:val="0053515D"/>
    <w:rsid w:val="00536F42"/>
    <w:rsid w:val="00537182"/>
    <w:rsid w:val="00541EDD"/>
    <w:rsid w:val="00542743"/>
    <w:rsid w:val="00542C04"/>
    <w:rsid w:val="00542C2D"/>
    <w:rsid w:val="00543960"/>
    <w:rsid w:val="00544F5A"/>
    <w:rsid w:val="005469AB"/>
    <w:rsid w:val="005478BD"/>
    <w:rsid w:val="005479E3"/>
    <w:rsid w:val="00547E98"/>
    <w:rsid w:val="00550AF5"/>
    <w:rsid w:val="0055136D"/>
    <w:rsid w:val="00551972"/>
    <w:rsid w:val="00551985"/>
    <w:rsid w:val="00551FE1"/>
    <w:rsid w:val="00552BD3"/>
    <w:rsid w:val="005532A0"/>
    <w:rsid w:val="00554CF9"/>
    <w:rsid w:val="00555109"/>
    <w:rsid w:val="00556B35"/>
    <w:rsid w:val="0055741A"/>
    <w:rsid w:val="00557633"/>
    <w:rsid w:val="00557CA7"/>
    <w:rsid w:val="00560A18"/>
    <w:rsid w:val="005611B7"/>
    <w:rsid w:val="00561392"/>
    <w:rsid w:val="005618D4"/>
    <w:rsid w:val="005629AE"/>
    <w:rsid w:val="005652DE"/>
    <w:rsid w:val="00565DF0"/>
    <w:rsid w:val="0056696F"/>
    <w:rsid w:val="005704D8"/>
    <w:rsid w:val="005707A5"/>
    <w:rsid w:val="005711CC"/>
    <w:rsid w:val="00572004"/>
    <w:rsid w:val="00572269"/>
    <w:rsid w:val="0057244A"/>
    <w:rsid w:val="00572F26"/>
    <w:rsid w:val="00575063"/>
    <w:rsid w:val="005750C5"/>
    <w:rsid w:val="005752DE"/>
    <w:rsid w:val="00575D8D"/>
    <w:rsid w:val="0057611E"/>
    <w:rsid w:val="00576972"/>
    <w:rsid w:val="0057750A"/>
    <w:rsid w:val="00582EFC"/>
    <w:rsid w:val="00583699"/>
    <w:rsid w:val="00585CDD"/>
    <w:rsid w:val="005866F4"/>
    <w:rsid w:val="00587058"/>
    <w:rsid w:val="00587106"/>
    <w:rsid w:val="00591957"/>
    <w:rsid w:val="00593865"/>
    <w:rsid w:val="00593BA5"/>
    <w:rsid w:val="0059434C"/>
    <w:rsid w:val="00595E32"/>
    <w:rsid w:val="00597BF9"/>
    <w:rsid w:val="005A0241"/>
    <w:rsid w:val="005A309A"/>
    <w:rsid w:val="005A373D"/>
    <w:rsid w:val="005A4405"/>
    <w:rsid w:val="005A7264"/>
    <w:rsid w:val="005B0B58"/>
    <w:rsid w:val="005B4E53"/>
    <w:rsid w:val="005B5857"/>
    <w:rsid w:val="005B7730"/>
    <w:rsid w:val="005C19C4"/>
    <w:rsid w:val="005C1B83"/>
    <w:rsid w:val="005C25FF"/>
    <w:rsid w:val="005C2C1B"/>
    <w:rsid w:val="005C2D55"/>
    <w:rsid w:val="005C346B"/>
    <w:rsid w:val="005C4C2B"/>
    <w:rsid w:val="005C7256"/>
    <w:rsid w:val="005D044D"/>
    <w:rsid w:val="005D047D"/>
    <w:rsid w:val="005D0ABD"/>
    <w:rsid w:val="005D18AD"/>
    <w:rsid w:val="005D26B4"/>
    <w:rsid w:val="005E6CBC"/>
    <w:rsid w:val="005E72FF"/>
    <w:rsid w:val="005E73C0"/>
    <w:rsid w:val="005F0984"/>
    <w:rsid w:val="005F2706"/>
    <w:rsid w:val="005F599B"/>
    <w:rsid w:val="005F6A8C"/>
    <w:rsid w:val="005F6A8F"/>
    <w:rsid w:val="005F6B56"/>
    <w:rsid w:val="005F6BB7"/>
    <w:rsid w:val="005F70BE"/>
    <w:rsid w:val="005F7588"/>
    <w:rsid w:val="00601F05"/>
    <w:rsid w:val="00602BAA"/>
    <w:rsid w:val="006039C2"/>
    <w:rsid w:val="00603DB9"/>
    <w:rsid w:val="00605170"/>
    <w:rsid w:val="00606FBA"/>
    <w:rsid w:val="00607669"/>
    <w:rsid w:val="006076F4"/>
    <w:rsid w:val="00607AFD"/>
    <w:rsid w:val="00610833"/>
    <w:rsid w:val="00612F97"/>
    <w:rsid w:val="0061345D"/>
    <w:rsid w:val="00613927"/>
    <w:rsid w:val="006148BD"/>
    <w:rsid w:val="0061549B"/>
    <w:rsid w:val="00616802"/>
    <w:rsid w:val="006172B2"/>
    <w:rsid w:val="00617E12"/>
    <w:rsid w:val="00620C25"/>
    <w:rsid w:val="00621477"/>
    <w:rsid w:val="00621ADA"/>
    <w:rsid w:val="00622B93"/>
    <w:rsid w:val="00623E6A"/>
    <w:rsid w:val="00623F7B"/>
    <w:rsid w:val="006242C1"/>
    <w:rsid w:val="006261E5"/>
    <w:rsid w:val="0062675E"/>
    <w:rsid w:val="00627993"/>
    <w:rsid w:val="00627F57"/>
    <w:rsid w:val="00631114"/>
    <w:rsid w:val="0063158F"/>
    <w:rsid w:val="00631BD6"/>
    <w:rsid w:val="00631D6B"/>
    <w:rsid w:val="00632183"/>
    <w:rsid w:val="006330A1"/>
    <w:rsid w:val="00633E9B"/>
    <w:rsid w:val="0063479F"/>
    <w:rsid w:val="006353F0"/>
    <w:rsid w:val="006357B5"/>
    <w:rsid w:val="006364A1"/>
    <w:rsid w:val="0063678E"/>
    <w:rsid w:val="00637BFD"/>
    <w:rsid w:val="00640F8D"/>
    <w:rsid w:val="00641C4E"/>
    <w:rsid w:val="00641FB3"/>
    <w:rsid w:val="0064434C"/>
    <w:rsid w:val="00646279"/>
    <w:rsid w:val="006471CC"/>
    <w:rsid w:val="00647A29"/>
    <w:rsid w:val="0065044A"/>
    <w:rsid w:val="0065079F"/>
    <w:rsid w:val="00652A28"/>
    <w:rsid w:val="0065379F"/>
    <w:rsid w:val="00656188"/>
    <w:rsid w:val="0065715A"/>
    <w:rsid w:val="00657AFE"/>
    <w:rsid w:val="006610F1"/>
    <w:rsid w:val="00661C6B"/>
    <w:rsid w:val="00664CE3"/>
    <w:rsid w:val="0066579A"/>
    <w:rsid w:val="006671FF"/>
    <w:rsid w:val="0066779A"/>
    <w:rsid w:val="00670A2B"/>
    <w:rsid w:val="00671004"/>
    <w:rsid w:val="00672646"/>
    <w:rsid w:val="00674335"/>
    <w:rsid w:val="00674E42"/>
    <w:rsid w:val="00680734"/>
    <w:rsid w:val="00680E31"/>
    <w:rsid w:val="006813F8"/>
    <w:rsid w:val="0068180E"/>
    <w:rsid w:val="00682112"/>
    <w:rsid w:val="00682BA6"/>
    <w:rsid w:val="006831E2"/>
    <w:rsid w:val="00686957"/>
    <w:rsid w:val="006872BA"/>
    <w:rsid w:val="00690795"/>
    <w:rsid w:val="006907E5"/>
    <w:rsid w:val="00691648"/>
    <w:rsid w:val="006917D7"/>
    <w:rsid w:val="00692C9F"/>
    <w:rsid w:val="0069349D"/>
    <w:rsid w:val="00693D06"/>
    <w:rsid w:val="0069434C"/>
    <w:rsid w:val="00694F44"/>
    <w:rsid w:val="00695F04"/>
    <w:rsid w:val="00696663"/>
    <w:rsid w:val="00696788"/>
    <w:rsid w:val="00696F51"/>
    <w:rsid w:val="006979A5"/>
    <w:rsid w:val="006A1253"/>
    <w:rsid w:val="006A1C89"/>
    <w:rsid w:val="006A453F"/>
    <w:rsid w:val="006A52E8"/>
    <w:rsid w:val="006A65C9"/>
    <w:rsid w:val="006A6B99"/>
    <w:rsid w:val="006A6E98"/>
    <w:rsid w:val="006A7E5F"/>
    <w:rsid w:val="006B036A"/>
    <w:rsid w:val="006B07B8"/>
    <w:rsid w:val="006B1F2A"/>
    <w:rsid w:val="006B261B"/>
    <w:rsid w:val="006B2C90"/>
    <w:rsid w:val="006B35E6"/>
    <w:rsid w:val="006B3A03"/>
    <w:rsid w:val="006B465A"/>
    <w:rsid w:val="006B562F"/>
    <w:rsid w:val="006B6DD0"/>
    <w:rsid w:val="006B7E53"/>
    <w:rsid w:val="006C0399"/>
    <w:rsid w:val="006C0685"/>
    <w:rsid w:val="006C2A8E"/>
    <w:rsid w:val="006C2B50"/>
    <w:rsid w:val="006C3115"/>
    <w:rsid w:val="006C3255"/>
    <w:rsid w:val="006C3F26"/>
    <w:rsid w:val="006C61C2"/>
    <w:rsid w:val="006C64B0"/>
    <w:rsid w:val="006C6BBB"/>
    <w:rsid w:val="006D0678"/>
    <w:rsid w:val="006D0D17"/>
    <w:rsid w:val="006D16CE"/>
    <w:rsid w:val="006D1B35"/>
    <w:rsid w:val="006D26EC"/>
    <w:rsid w:val="006D3C72"/>
    <w:rsid w:val="006D3C7D"/>
    <w:rsid w:val="006D4659"/>
    <w:rsid w:val="006D5D5F"/>
    <w:rsid w:val="006D68FB"/>
    <w:rsid w:val="006E1629"/>
    <w:rsid w:val="006E2868"/>
    <w:rsid w:val="006E31BF"/>
    <w:rsid w:val="006F0510"/>
    <w:rsid w:val="006F1B03"/>
    <w:rsid w:val="006F2333"/>
    <w:rsid w:val="006F2E5C"/>
    <w:rsid w:val="006F306C"/>
    <w:rsid w:val="006F440A"/>
    <w:rsid w:val="006F5A27"/>
    <w:rsid w:val="006F5B3D"/>
    <w:rsid w:val="006F63A5"/>
    <w:rsid w:val="0070142B"/>
    <w:rsid w:val="0070276E"/>
    <w:rsid w:val="00702F8F"/>
    <w:rsid w:val="00704191"/>
    <w:rsid w:val="007055FC"/>
    <w:rsid w:val="007079FC"/>
    <w:rsid w:val="00711A36"/>
    <w:rsid w:val="00714C26"/>
    <w:rsid w:val="0071529C"/>
    <w:rsid w:val="00716486"/>
    <w:rsid w:val="007170DA"/>
    <w:rsid w:val="007172AD"/>
    <w:rsid w:val="0072073B"/>
    <w:rsid w:val="00720801"/>
    <w:rsid w:val="00721854"/>
    <w:rsid w:val="00722B1B"/>
    <w:rsid w:val="0072416F"/>
    <w:rsid w:val="00725922"/>
    <w:rsid w:val="007267E0"/>
    <w:rsid w:val="00727C94"/>
    <w:rsid w:val="00731B0A"/>
    <w:rsid w:val="00731EAE"/>
    <w:rsid w:val="00733073"/>
    <w:rsid w:val="00735033"/>
    <w:rsid w:val="00735328"/>
    <w:rsid w:val="007362F6"/>
    <w:rsid w:val="0073685B"/>
    <w:rsid w:val="007449BF"/>
    <w:rsid w:val="00746BC0"/>
    <w:rsid w:val="00747303"/>
    <w:rsid w:val="007477BA"/>
    <w:rsid w:val="00750529"/>
    <w:rsid w:val="00750E40"/>
    <w:rsid w:val="007510B4"/>
    <w:rsid w:val="00752142"/>
    <w:rsid w:val="007523F9"/>
    <w:rsid w:val="007532BA"/>
    <w:rsid w:val="0075357E"/>
    <w:rsid w:val="0075492E"/>
    <w:rsid w:val="007564FB"/>
    <w:rsid w:val="007573E8"/>
    <w:rsid w:val="00760C4E"/>
    <w:rsid w:val="00760F9E"/>
    <w:rsid w:val="007627BE"/>
    <w:rsid w:val="00764F03"/>
    <w:rsid w:val="00765B1A"/>
    <w:rsid w:val="00775C32"/>
    <w:rsid w:val="0077616C"/>
    <w:rsid w:val="00777057"/>
    <w:rsid w:val="00777335"/>
    <w:rsid w:val="007843F2"/>
    <w:rsid w:val="00785A9F"/>
    <w:rsid w:val="00785CE0"/>
    <w:rsid w:val="00786658"/>
    <w:rsid w:val="00786729"/>
    <w:rsid w:val="00786C2A"/>
    <w:rsid w:val="00787F4C"/>
    <w:rsid w:val="007924E5"/>
    <w:rsid w:val="007925DF"/>
    <w:rsid w:val="007931F5"/>
    <w:rsid w:val="00794E63"/>
    <w:rsid w:val="00796387"/>
    <w:rsid w:val="007A07A5"/>
    <w:rsid w:val="007A08AA"/>
    <w:rsid w:val="007A0A12"/>
    <w:rsid w:val="007A132D"/>
    <w:rsid w:val="007A1345"/>
    <w:rsid w:val="007A2DDB"/>
    <w:rsid w:val="007A51A9"/>
    <w:rsid w:val="007A6E94"/>
    <w:rsid w:val="007A70BA"/>
    <w:rsid w:val="007A7496"/>
    <w:rsid w:val="007B0D68"/>
    <w:rsid w:val="007B251D"/>
    <w:rsid w:val="007B29C4"/>
    <w:rsid w:val="007B3790"/>
    <w:rsid w:val="007B4F58"/>
    <w:rsid w:val="007B528D"/>
    <w:rsid w:val="007B63CA"/>
    <w:rsid w:val="007B77D1"/>
    <w:rsid w:val="007C02EC"/>
    <w:rsid w:val="007C0467"/>
    <w:rsid w:val="007C07C7"/>
    <w:rsid w:val="007C1CD9"/>
    <w:rsid w:val="007C32EF"/>
    <w:rsid w:val="007C361D"/>
    <w:rsid w:val="007C4452"/>
    <w:rsid w:val="007C4B84"/>
    <w:rsid w:val="007C70FF"/>
    <w:rsid w:val="007C7C25"/>
    <w:rsid w:val="007D004F"/>
    <w:rsid w:val="007D0B38"/>
    <w:rsid w:val="007D13E5"/>
    <w:rsid w:val="007D271B"/>
    <w:rsid w:val="007D3626"/>
    <w:rsid w:val="007D4CDD"/>
    <w:rsid w:val="007D5440"/>
    <w:rsid w:val="007D677C"/>
    <w:rsid w:val="007D69EB"/>
    <w:rsid w:val="007E02F8"/>
    <w:rsid w:val="007E128F"/>
    <w:rsid w:val="007E1ADC"/>
    <w:rsid w:val="007E234E"/>
    <w:rsid w:val="007F1017"/>
    <w:rsid w:val="007F1436"/>
    <w:rsid w:val="007F37B5"/>
    <w:rsid w:val="007F4A3F"/>
    <w:rsid w:val="007F4A61"/>
    <w:rsid w:val="007F5255"/>
    <w:rsid w:val="007F56CC"/>
    <w:rsid w:val="007F61C2"/>
    <w:rsid w:val="007F6882"/>
    <w:rsid w:val="00800773"/>
    <w:rsid w:val="00804500"/>
    <w:rsid w:val="008045AE"/>
    <w:rsid w:val="00805142"/>
    <w:rsid w:val="00805FCE"/>
    <w:rsid w:val="00806462"/>
    <w:rsid w:val="00807A8B"/>
    <w:rsid w:val="00811383"/>
    <w:rsid w:val="00812149"/>
    <w:rsid w:val="008121B2"/>
    <w:rsid w:val="00812CAC"/>
    <w:rsid w:val="008146CC"/>
    <w:rsid w:val="00814B90"/>
    <w:rsid w:val="00816361"/>
    <w:rsid w:val="008166EF"/>
    <w:rsid w:val="00816FEF"/>
    <w:rsid w:val="00820A8C"/>
    <w:rsid w:val="008215FB"/>
    <w:rsid w:val="00822004"/>
    <w:rsid w:val="008227E0"/>
    <w:rsid w:val="00823174"/>
    <w:rsid w:val="00825751"/>
    <w:rsid w:val="008264EB"/>
    <w:rsid w:val="0083186E"/>
    <w:rsid w:val="00832D10"/>
    <w:rsid w:val="00833B05"/>
    <w:rsid w:val="008362B4"/>
    <w:rsid w:val="00840CA2"/>
    <w:rsid w:val="00841D64"/>
    <w:rsid w:val="00842576"/>
    <w:rsid w:val="0084374F"/>
    <w:rsid w:val="00844A22"/>
    <w:rsid w:val="008452A5"/>
    <w:rsid w:val="00845CA2"/>
    <w:rsid w:val="00846597"/>
    <w:rsid w:val="00846E30"/>
    <w:rsid w:val="00847703"/>
    <w:rsid w:val="00847DF5"/>
    <w:rsid w:val="00850647"/>
    <w:rsid w:val="00851FBB"/>
    <w:rsid w:val="00852B4D"/>
    <w:rsid w:val="0085309D"/>
    <w:rsid w:val="0085556B"/>
    <w:rsid w:val="00856897"/>
    <w:rsid w:val="00856E9A"/>
    <w:rsid w:val="0086075D"/>
    <w:rsid w:val="00862502"/>
    <w:rsid w:val="00862CC1"/>
    <w:rsid w:val="008660D4"/>
    <w:rsid w:val="00871470"/>
    <w:rsid w:val="00871FA9"/>
    <w:rsid w:val="008728E9"/>
    <w:rsid w:val="00874B61"/>
    <w:rsid w:val="008763B7"/>
    <w:rsid w:val="00877A88"/>
    <w:rsid w:val="00880625"/>
    <w:rsid w:val="00881055"/>
    <w:rsid w:val="00881799"/>
    <w:rsid w:val="00882874"/>
    <w:rsid w:val="00882CE2"/>
    <w:rsid w:val="00882E3C"/>
    <w:rsid w:val="00883787"/>
    <w:rsid w:val="008855E4"/>
    <w:rsid w:val="00886CD2"/>
    <w:rsid w:val="00891E6F"/>
    <w:rsid w:val="0089275D"/>
    <w:rsid w:val="00892A36"/>
    <w:rsid w:val="00893239"/>
    <w:rsid w:val="00893F63"/>
    <w:rsid w:val="00894489"/>
    <w:rsid w:val="00895615"/>
    <w:rsid w:val="00896161"/>
    <w:rsid w:val="008963A5"/>
    <w:rsid w:val="00896534"/>
    <w:rsid w:val="00896D5D"/>
    <w:rsid w:val="008A2C26"/>
    <w:rsid w:val="008A303B"/>
    <w:rsid w:val="008A3363"/>
    <w:rsid w:val="008A3371"/>
    <w:rsid w:val="008A3C3E"/>
    <w:rsid w:val="008A3F06"/>
    <w:rsid w:val="008A3FE4"/>
    <w:rsid w:val="008A4802"/>
    <w:rsid w:val="008A79DE"/>
    <w:rsid w:val="008B1757"/>
    <w:rsid w:val="008B3698"/>
    <w:rsid w:val="008B769C"/>
    <w:rsid w:val="008B7992"/>
    <w:rsid w:val="008B7D7E"/>
    <w:rsid w:val="008C014D"/>
    <w:rsid w:val="008C3D2C"/>
    <w:rsid w:val="008C55B0"/>
    <w:rsid w:val="008C5610"/>
    <w:rsid w:val="008C5739"/>
    <w:rsid w:val="008C5AFB"/>
    <w:rsid w:val="008C7712"/>
    <w:rsid w:val="008C7ECB"/>
    <w:rsid w:val="008D0CDA"/>
    <w:rsid w:val="008D3B86"/>
    <w:rsid w:val="008D4755"/>
    <w:rsid w:val="008D4C3D"/>
    <w:rsid w:val="008D6D39"/>
    <w:rsid w:val="008D743C"/>
    <w:rsid w:val="008E0D3C"/>
    <w:rsid w:val="008E1B9E"/>
    <w:rsid w:val="008E55AB"/>
    <w:rsid w:val="008E7A4F"/>
    <w:rsid w:val="008F120A"/>
    <w:rsid w:val="008F27E0"/>
    <w:rsid w:val="008F47B1"/>
    <w:rsid w:val="008F48EB"/>
    <w:rsid w:val="008F4F0B"/>
    <w:rsid w:val="008F508C"/>
    <w:rsid w:val="008F5495"/>
    <w:rsid w:val="008F5A60"/>
    <w:rsid w:val="008F621C"/>
    <w:rsid w:val="0090035E"/>
    <w:rsid w:val="0090186C"/>
    <w:rsid w:val="00903E8E"/>
    <w:rsid w:val="009046C4"/>
    <w:rsid w:val="00905C51"/>
    <w:rsid w:val="0090624D"/>
    <w:rsid w:val="009062A5"/>
    <w:rsid w:val="009077B6"/>
    <w:rsid w:val="00910A5C"/>
    <w:rsid w:val="00910FA7"/>
    <w:rsid w:val="00911034"/>
    <w:rsid w:val="0091103F"/>
    <w:rsid w:val="00911272"/>
    <w:rsid w:val="009133DA"/>
    <w:rsid w:val="009135D6"/>
    <w:rsid w:val="00914200"/>
    <w:rsid w:val="00914C77"/>
    <w:rsid w:val="009156EC"/>
    <w:rsid w:val="00921ACB"/>
    <w:rsid w:val="00921B00"/>
    <w:rsid w:val="00923349"/>
    <w:rsid w:val="0092369B"/>
    <w:rsid w:val="00925EFB"/>
    <w:rsid w:val="00927611"/>
    <w:rsid w:val="0092796D"/>
    <w:rsid w:val="00930506"/>
    <w:rsid w:val="009342DE"/>
    <w:rsid w:val="00934988"/>
    <w:rsid w:val="00937089"/>
    <w:rsid w:val="009408D6"/>
    <w:rsid w:val="00943476"/>
    <w:rsid w:val="00943BB7"/>
    <w:rsid w:val="00944F8A"/>
    <w:rsid w:val="0095017B"/>
    <w:rsid w:val="009510A2"/>
    <w:rsid w:val="009511B0"/>
    <w:rsid w:val="00953257"/>
    <w:rsid w:val="00954107"/>
    <w:rsid w:val="00954552"/>
    <w:rsid w:val="0095474C"/>
    <w:rsid w:val="00961EDB"/>
    <w:rsid w:val="00962CB9"/>
    <w:rsid w:val="00963A04"/>
    <w:rsid w:val="00964312"/>
    <w:rsid w:val="00965ACB"/>
    <w:rsid w:val="00965B8A"/>
    <w:rsid w:val="0097071F"/>
    <w:rsid w:val="009717AC"/>
    <w:rsid w:val="00974942"/>
    <w:rsid w:val="009751C1"/>
    <w:rsid w:val="00975D67"/>
    <w:rsid w:val="0098117F"/>
    <w:rsid w:val="009811F1"/>
    <w:rsid w:val="0098158B"/>
    <w:rsid w:val="00983E57"/>
    <w:rsid w:val="00985DE2"/>
    <w:rsid w:val="0098675D"/>
    <w:rsid w:val="00986C98"/>
    <w:rsid w:val="009926E0"/>
    <w:rsid w:val="0099451E"/>
    <w:rsid w:val="00996B1A"/>
    <w:rsid w:val="009A0027"/>
    <w:rsid w:val="009A2DCC"/>
    <w:rsid w:val="009A5ABC"/>
    <w:rsid w:val="009A7F10"/>
    <w:rsid w:val="009B1299"/>
    <w:rsid w:val="009B3E26"/>
    <w:rsid w:val="009B4B52"/>
    <w:rsid w:val="009B50F4"/>
    <w:rsid w:val="009B56FF"/>
    <w:rsid w:val="009B7FD1"/>
    <w:rsid w:val="009C2324"/>
    <w:rsid w:val="009C29D2"/>
    <w:rsid w:val="009C2E3A"/>
    <w:rsid w:val="009C3706"/>
    <w:rsid w:val="009C3717"/>
    <w:rsid w:val="009C3A3A"/>
    <w:rsid w:val="009C6CEA"/>
    <w:rsid w:val="009C7B85"/>
    <w:rsid w:val="009D0254"/>
    <w:rsid w:val="009D1A64"/>
    <w:rsid w:val="009D38F9"/>
    <w:rsid w:val="009D5B91"/>
    <w:rsid w:val="009D792E"/>
    <w:rsid w:val="009E0BB5"/>
    <w:rsid w:val="009E0DFE"/>
    <w:rsid w:val="009E17C4"/>
    <w:rsid w:val="009E31F6"/>
    <w:rsid w:val="009E4A1D"/>
    <w:rsid w:val="009E4C07"/>
    <w:rsid w:val="009E733E"/>
    <w:rsid w:val="009E79CD"/>
    <w:rsid w:val="009F2558"/>
    <w:rsid w:val="009F2E2C"/>
    <w:rsid w:val="009F3039"/>
    <w:rsid w:val="009F3855"/>
    <w:rsid w:val="00A01184"/>
    <w:rsid w:val="00A01520"/>
    <w:rsid w:val="00A0290C"/>
    <w:rsid w:val="00A037C2"/>
    <w:rsid w:val="00A03D43"/>
    <w:rsid w:val="00A04380"/>
    <w:rsid w:val="00A04910"/>
    <w:rsid w:val="00A05472"/>
    <w:rsid w:val="00A0548B"/>
    <w:rsid w:val="00A059A9"/>
    <w:rsid w:val="00A05C32"/>
    <w:rsid w:val="00A0653F"/>
    <w:rsid w:val="00A11CD0"/>
    <w:rsid w:val="00A13948"/>
    <w:rsid w:val="00A1555B"/>
    <w:rsid w:val="00A155C5"/>
    <w:rsid w:val="00A16AD8"/>
    <w:rsid w:val="00A208B7"/>
    <w:rsid w:val="00A21C95"/>
    <w:rsid w:val="00A21CF3"/>
    <w:rsid w:val="00A24813"/>
    <w:rsid w:val="00A27AEC"/>
    <w:rsid w:val="00A3079B"/>
    <w:rsid w:val="00A30C07"/>
    <w:rsid w:val="00A31E8C"/>
    <w:rsid w:val="00A320DB"/>
    <w:rsid w:val="00A35524"/>
    <w:rsid w:val="00A35B35"/>
    <w:rsid w:val="00A35D16"/>
    <w:rsid w:val="00A37BCD"/>
    <w:rsid w:val="00A40826"/>
    <w:rsid w:val="00A40CE1"/>
    <w:rsid w:val="00A41522"/>
    <w:rsid w:val="00A41689"/>
    <w:rsid w:val="00A42435"/>
    <w:rsid w:val="00A42592"/>
    <w:rsid w:val="00A431CB"/>
    <w:rsid w:val="00A43C59"/>
    <w:rsid w:val="00A45723"/>
    <w:rsid w:val="00A5082A"/>
    <w:rsid w:val="00A50ECD"/>
    <w:rsid w:val="00A518F3"/>
    <w:rsid w:val="00A52729"/>
    <w:rsid w:val="00A53675"/>
    <w:rsid w:val="00A537D1"/>
    <w:rsid w:val="00A53D59"/>
    <w:rsid w:val="00A564D7"/>
    <w:rsid w:val="00A56B6A"/>
    <w:rsid w:val="00A56C60"/>
    <w:rsid w:val="00A578DC"/>
    <w:rsid w:val="00A640E2"/>
    <w:rsid w:val="00A64D65"/>
    <w:rsid w:val="00A6725B"/>
    <w:rsid w:val="00A67276"/>
    <w:rsid w:val="00A70605"/>
    <w:rsid w:val="00A73134"/>
    <w:rsid w:val="00A738FF"/>
    <w:rsid w:val="00A75249"/>
    <w:rsid w:val="00A76001"/>
    <w:rsid w:val="00A7658F"/>
    <w:rsid w:val="00A777B2"/>
    <w:rsid w:val="00A80BE8"/>
    <w:rsid w:val="00A825D4"/>
    <w:rsid w:val="00A8277B"/>
    <w:rsid w:val="00A828F6"/>
    <w:rsid w:val="00A82AED"/>
    <w:rsid w:val="00A82B73"/>
    <w:rsid w:val="00A82EB4"/>
    <w:rsid w:val="00A84AF9"/>
    <w:rsid w:val="00A863C5"/>
    <w:rsid w:val="00A86E8B"/>
    <w:rsid w:val="00A87164"/>
    <w:rsid w:val="00A93072"/>
    <w:rsid w:val="00A938BD"/>
    <w:rsid w:val="00A93953"/>
    <w:rsid w:val="00A959D8"/>
    <w:rsid w:val="00A9692F"/>
    <w:rsid w:val="00A97090"/>
    <w:rsid w:val="00AA113D"/>
    <w:rsid w:val="00AA160E"/>
    <w:rsid w:val="00AA20FA"/>
    <w:rsid w:val="00AA4623"/>
    <w:rsid w:val="00AA6BD5"/>
    <w:rsid w:val="00AA6BD8"/>
    <w:rsid w:val="00AA6C7D"/>
    <w:rsid w:val="00AA7FD6"/>
    <w:rsid w:val="00AB042A"/>
    <w:rsid w:val="00AB19EF"/>
    <w:rsid w:val="00AB20EE"/>
    <w:rsid w:val="00AB21C5"/>
    <w:rsid w:val="00AB2D34"/>
    <w:rsid w:val="00AB3430"/>
    <w:rsid w:val="00AB37B9"/>
    <w:rsid w:val="00AB4AD1"/>
    <w:rsid w:val="00AB542B"/>
    <w:rsid w:val="00AB569E"/>
    <w:rsid w:val="00AB5A3D"/>
    <w:rsid w:val="00AB5E07"/>
    <w:rsid w:val="00AB6424"/>
    <w:rsid w:val="00AB7CFA"/>
    <w:rsid w:val="00AC04AA"/>
    <w:rsid w:val="00AC4B5B"/>
    <w:rsid w:val="00AC5B48"/>
    <w:rsid w:val="00AD1450"/>
    <w:rsid w:val="00AD39DD"/>
    <w:rsid w:val="00AD6502"/>
    <w:rsid w:val="00AE0695"/>
    <w:rsid w:val="00AE3E7E"/>
    <w:rsid w:val="00AE59B3"/>
    <w:rsid w:val="00AF1315"/>
    <w:rsid w:val="00AF19BF"/>
    <w:rsid w:val="00AF2DC3"/>
    <w:rsid w:val="00AF3D1F"/>
    <w:rsid w:val="00AF3E28"/>
    <w:rsid w:val="00AF73B4"/>
    <w:rsid w:val="00B00266"/>
    <w:rsid w:val="00B033E5"/>
    <w:rsid w:val="00B03A63"/>
    <w:rsid w:val="00B03AD9"/>
    <w:rsid w:val="00B201A4"/>
    <w:rsid w:val="00B201D1"/>
    <w:rsid w:val="00B213A6"/>
    <w:rsid w:val="00B216C3"/>
    <w:rsid w:val="00B23471"/>
    <w:rsid w:val="00B235B0"/>
    <w:rsid w:val="00B24DF6"/>
    <w:rsid w:val="00B25FAB"/>
    <w:rsid w:val="00B32668"/>
    <w:rsid w:val="00B33877"/>
    <w:rsid w:val="00B33B13"/>
    <w:rsid w:val="00B34FE2"/>
    <w:rsid w:val="00B35166"/>
    <w:rsid w:val="00B357D8"/>
    <w:rsid w:val="00B35EEC"/>
    <w:rsid w:val="00B360F4"/>
    <w:rsid w:val="00B36A00"/>
    <w:rsid w:val="00B37BFC"/>
    <w:rsid w:val="00B40358"/>
    <w:rsid w:val="00B41614"/>
    <w:rsid w:val="00B41CC5"/>
    <w:rsid w:val="00B42851"/>
    <w:rsid w:val="00B42942"/>
    <w:rsid w:val="00B42F80"/>
    <w:rsid w:val="00B435CB"/>
    <w:rsid w:val="00B462F9"/>
    <w:rsid w:val="00B505C8"/>
    <w:rsid w:val="00B50DB8"/>
    <w:rsid w:val="00B53654"/>
    <w:rsid w:val="00B53905"/>
    <w:rsid w:val="00B54B5B"/>
    <w:rsid w:val="00B5562E"/>
    <w:rsid w:val="00B55862"/>
    <w:rsid w:val="00B55D65"/>
    <w:rsid w:val="00B57000"/>
    <w:rsid w:val="00B57F9A"/>
    <w:rsid w:val="00B60939"/>
    <w:rsid w:val="00B60AFD"/>
    <w:rsid w:val="00B62715"/>
    <w:rsid w:val="00B65611"/>
    <w:rsid w:val="00B6641B"/>
    <w:rsid w:val="00B67154"/>
    <w:rsid w:val="00B70E8E"/>
    <w:rsid w:val="00B711ED"/>
    <w:rsid w:val="00B72CE4"/>
    <w:rsid w:val="00B73447"/>
    <w:rsid w:val="00B73D21"/>
    <w:rsid w:val="00B74A2F"/>
    <w:rsid w:val="00B76C92"/>
    <w:rsid w:val="00B77AB2"/>
    <w:rsid w:val="00B804C7"/>
    <w:rsid w:val="00B818A4"/>
    <w:rsid w:val="00B82E18"/>
    <w:rsid w:val="00B84117"/>
    <w:rsid w:val="00B858F0"/>
    <w:rsid w:val="00B85AA2"/>
    <w:rsid w:val="00B8649C"/>
    <w:rsid w:val="00B86691"/>
    <w:rsid w:val="00B8695D"/>
    <w:rsid w:val="00B87F0A"/>
    <w:rsid w:val="00B92D0B"/>
    <w:rsid w:val="00B93217"/>
    <w:rsid w:val="00B93350"/>
    <w:rsid w:val="00B94945"/>
    <w:rsid w:val="00B94DD6"/>
    <w:rsid w:val="00B952B2"/>
    <w:rsid w:val="00B95E20"/>
    <w:rsid w:val="00BA1D7F"/>
    <w:rsid w:val="00BA322D"/>
    <w:rsid w:val="00BA57D1"/>
    <w:rsid w:val="00BA63FA"/>
    <w:rsid w:val="00BB00B3"/>
    <w:rsid w:val="00BB0BDD"/>
    <w:rsid w:val="00BB176C"/>
    <w:rsid w:val="00BB1A6E"/>
    <w:rsid w:val="00BB2576"/>
    <w:rsid w:val="00BB2A73"/>
    <w:rsid w:val="00BB31B3"/>
    <w:rsid w:val="00BB3A45"/>
    <w:rsid w:val="00BB4394"/>
    <w:rsid w:val="00BB4ACC"/>
    <w:rsid w:val="00BB5215"/>
    <w:rsid w:val="00BB703E"/>
    <w:rsid w:val="00BB732D"/>
    <w:rsid w:val="00BB7405"/>
    <w:rsid w:val="00BC1414"/>
    <w:rsid w:val="00BC306A"/>
    <w:rsid w:val="00BC3631"/>
    <w:rsid w:val="00BC591F"/>
    <w:rsid w:val="00BC655A"/>
    <w:rsid w:val="00BC716C"/>
    <w:rsid w:val="00BC7D6D"/>
    <w:rsid w:val="00BD2108"/>
    <w:rsid w:val="00BD2987"/>
    <w:rsid w:val="00BD68A3"/>
    <w:rsid w:val="00BD6938"/>
    <w:rsid w:val="00BD6CF3"/>
    <w:rsid w:val="00BD7900"/>
    <w:rsid w:val="00BE0ECA"/>
    <w:rsid w:val="00BE2017"/>
    <w:rsid w:val="00BE2180"/>
    <w:rsid w:val="00BE21F2"/>
    <w:rsid w:val="00BE4275"/>
    <w:rsid w:val="00BE5946"/>
    <w:rsid w:val="00BF06AE"/>
    <w:rsid w:val="00BF0F95"/>
    <w:rsid w:val="00BF22BF"/>
    <w:rsid w:val="00BF2433"/>
    <w:rsid w:val="00BF3EBB"/>
    <w:rsid w:val="00BF61C9"/>
    <w:rsid w:val="00BF6C94"/>
    <w:rsid w:val="00C00424"/>
    <w:rsid w:val="00C028E1"/>
    <w:rsid w:val="00C03E87"/>
    <w:rsid w:val="00C03FCA"/>
    <w:rsid w:val="00C113A3"/>
    <w:rsid w:val="00C1179F"/>
    <w:rsid w:val="00C11DD7"/>
    <w:rsid w:val="00C12323"/>
    <w:rsid w:val="00C12C14"/>
    <w:rsid w:val="00C13F8F"/>
    <w:rsid w:val="00C15F04"/>
    <w:rsid w:val="00C179B3"/>
    <w:rsid w:val="00C17B39"/>
    <w:rsid w:val="00C17D4A"/>
    <w:rsid w:val="00C17E3F"/>
    <w:rsid w:val="00C200AA"/>
    <w:rsid w:val="00C20575"/>
    <w:rsid w:val="00C237ED"/>
    <w:rsid w:val="00C24632"/>
    <w:rsid w:val="00C2486C"/>
    <w:rsid w:val="00C24C69"/>
    <w:rsid w:val="00C25418"/>
    <w:rsid w:val="00C25D9C"/>
    <w:rsid w:val="00C25FA7"/>
    <w:rsid w:val="00C2778B"/>
    <w:rsid w:val="00C30BE6"/>
    <w:rsid w:val="00C31649"/>
    <w:rsid w:val="00C3395D"/>
    <w:rsid w:val="00C3434C"/>
    <w:rsid w:val="00C40385"/>
    <w:rsid w:val="00C40856"/>
    <w:rsid w:val="00C41768"/>
    <w:rsid w:val="00C427C4"/>
    <w:rsid w:val="00C43FFB"/>
    <w:rsid w:val="00C457CF"/>
    <w:rsid w:val="00C475AA"/>
    <w:rsid w:val="00C47865"/>
    <w:rsid w:val="00C50C0B"/>
    <w:rsid w:val="00C518EC"/>
    <w:rsid w:val="00C53C98"/>
    <w:rsid w:val="00C5435F"/>
    <w:rsid w:val="00C56FCF"/>
    <w:rsid w:val="00C57B6C"/>
    <w:rsid w:val="00C612E8"/>
    <w:rsid w:val="00C628A6"/>
    <w:rsid w:val="00C6306D"/>
    <w:rsid w:val="00C64344"/>
    <w:rsid w:val="00C64EBB"/>
    <w:rsid w:val="00C65108"/>
    <w:rsid w:val="00C65576"/>
    <w:rsid w:val="00C66165"/>
    <w:rsid w:val="00C67123"/>
    <w:rsid w:val="00C7005A"/>
    <w:rsid w:val="00C7060A"/>
    <w:rsid w:val="00C7151A"/>
    <w:rsid w:val="00C717E3"/>
    <w:rsid w:val="00C71F60"/>
    <w:rsid w:val="00C72241"/>
    <w:rsid w:val="00C750C8"/>
    <w:rsid w:val="00C7560F"/>
    <w:rsid w:val="00C7580B"/>
    <w:rsid w:val="00C76EA3"/>
    <w:rsid w:val="00C77E1D"/>
    <w:rsid w:val="00C80A0E"/>
    <w:rsid w:val="00C80E35"/>
    <w:rsid w:val="00C81D16"/>
    <w:rsid w:val="00C8213F"/>
    <w:rsid w:val="00C834DF"/>
    <w:rsid w:val="00C85154"/>
    <w:rsid w:val="00C86DD1"/>
    <w:rsid w:val="00C8797A"/>
    <w:rsid w:val="00C900B8"/>
    <w:rsid w:val="00C90C71"/>
    <w:rsid w:val="00C91116"/>
    <w:rsid w:val="00C91FD1"/>
    <w:rsid w:val="00C931CF"/>
    <w:rsid w:val="00C938A0"/>
    <w:rsid w:val="00C938CF"/>
    <w:rsid w:val="00C94053"/>
    <w:rsid w:val="00C9451A"/>
    <w:rsid w:val="00C9624D"/>
    <w:rsid w:val="00C969DA"/>
    <w:rsid w:val="00C969E7"/>
    <w:rsid w:val="00CA04AD"/>
    <w:rsid w:val="00CA0518"/>
    <w:rsid w:val="00CA102A"/>
    <w:rsid w:val="00CA1210"/>
    <w:rsid w:val="00CA1BEB"/>
    <w:rsid w:val="00CA2C77"/>
    <w:rsid w:val="00CA3338"/>
    <w:rsid w:val="00CA444F"/>
    <w:rsid w:val="00CA5245"/>
    <w:rsid w:val="00CA5C7E"/>
    <w:rsid w:val="00CA71F4"/>
    <w:rsid w:val="00CA7B09"/>
    <w:rsid w:val="00CA7FA8"/>
    <w:rsid w:val="00CB12A5"/>
    <w:rsid w:val="00CB1CAC"/>
    <w:rsid w:val="00CB23B3"/>
    <w:rsid w:val="00CB2F2A"/>
    <w:rsid w:val="00CB45A7"/>
    <w:rsid w:val="00CB4EAC"/>
    <w:rsid w:val="00CB5B1A"/>
    <w:rsid w:val="00CB6B22"/>
    <w:rsid w:val="00CB7F5F"/>
    <w:rsid w:val="00CC1B39"/>
    <w:rsid w:val="00CC35EA"/>
    <w:rsid w:val="00CC3848"/>
    <w:rsid w:val="00CC521B"/>
    <w:rsid w:val="00CC6F53"/>
    <w:rsid w:val="00CD025D"/>
    <w:rsid w:val="00CD1603"/>
    <w:rsid w:val="00CD174A"/>
    <w:rsid w:val="00CD1C94"/>
    <w:rsid w:val="00CD2670"/>
    <w:rsid w:val="00CD3F31"/>
    <w:rsid w:val="00CD3F77"/>
    <w:rsid w:val="00CD4206"/>
    <w:rsid w:val="00CD6ADC"/>
    <w:rsid w:val="00CD7193"/>
    <w:rsid w:val="00CD727D"/>
    <w:rsid w:val="00CE1406"/>
    <w:rsid w:val="00CE177B"/>
    <w:rsid w:val="00CE192E"/>
    <w:rsid w:val="00CE22A4"/>
    <w:rsid w:val="00CE38B4"/>
    <w:rsid w:val="00CE38C8"/>
    <w:rsid w:val="00CE6036"/>
    <w:rsid w:val="00CE6274"/>
    <w:rsid w:val="00CE65BB"/>
    <w:rsid w:val="00CE7298"/>
    <w:rsid w:val="00CE77B6"/>
    <w:rsid w:val="00CE7E38"/>
    <w:rsid w:val="00CF2B8D"/>
    <w:rsid w:val="00CF456B"/>
    <w:rsid w:val="00CF5A22"/>
    <w:rsid w:val="00CF69C7"/>
    <w:rsid w:val="00D0216E"/>
    <w:rsid w:val="00D0262E"/>
    <w:rsid w:val="00D03ED8"/>
    <w:rsid w:val="00D0509E"/>
    <w:rsid w:val="00D05E3D"/>
    <w:rsid w:val="00D06139"/>
    <w:rsid w:val="00D10C00"/>
    <w:rsid w:val="00D110BD"/>
    <w:rsid w:val="00D128B4"/>
    <w:rsid w:val="00D13675"/>
    <w:rsid w:val="00D141E1"/>
    <w:rsid w:val="00D142F5"/>
    <w:rsid w:val="00D1505D"/>
    <w:rsid w:val="00D15314"/>
    <w:rsid w:val="00D17D6C"/>
    <w:rsid w:val="00D2155B"/>
    <w:rsid w:val="00D21926"/>
    <w:rsid w:val="00D219B4"/>
    <w:rsid w:val="00D2222F"/>
    <w:rsid w:val="00D23D11"/>
    <w:rsid w:val="00D244B6"/>
    <w:rsid w:val="00D2754D"/>
    <w:rsid w:val="00D27B27"/>
    <w:rsid w:val="00D30CBE"/>
    <w:rsid w:val="00D31717"/>
    <w:rsid w:val="00D31C93"/>
    <w:rsid w:val="00D33BE9"/>
    <w:rsid w:val="00D33D5C"/>
    <w:rsid w:val="00D33F93"/>
    <w:rsid w:val="00D34CF1"/>
    <w:rsid w:val="00D357FF"/>
    <w:rsid w:val="00D379DF"/>
    <w:rsid w:val="00D4048B"/>
    <w:rsid w:val="00D412D2"/>
    <w:rsid w:val="00D424C7"/>
    <w:rsid w:val="00D43599"/>
    <w:rsid w:val="00D43B2A"/>
    <w:rsid w:val="00D43D83"/>
    <w:rsid w:val="00D43DDA"/>
    <w:rsid w:val="00D44BEF"/>
    <w:rsid w:val="00D44FE7"/>
    <w:rsid w:val="00D47575"/>
    <w:rsid w:val="00D51B88"/>
    <w:rsid w:val="00D51ED6"/>
    <w:rsid w:val="00D5243B"/>
    <w:rsid w:val="00D533EC"/>
    <w:rsid w:val="00D559F8"/>
    <w:rsid w:val="00D56A95"/>
    <w:rsid w:val="00D5700E"/>
    <w:rsid w:val="00D6034C"/>
    <w:rsid w:val="00D62B5B"/>
    <w:rsid w:val="00D6435A"/>
    <w:rsid w:val="00D66046"/>
    <w:rsid w:val="00D70F16"/>
    <w:rsid w:val="00D72EA6"/>
    <w:rsid w:val="00D72F57"/>
    <w:rsid w:val="00D73547"/>
    <w:rsid w:val="00D7589A"/>
    <w:rsid w:val="00D76A44"/>
    <w:rsid w:val="00D76C34"/>
    <w:rsid w:val="00D80F72"/>
    <w:rsid w:val="00D815EF"/>
    <w:rsid w:val="00D81F26"/>
    <w:rsid w:val="00D829BB"/>
    <w:rsid w:val="00D84F75"/>
    <w:rsid w:val="00D86231"/>
    <w:rsid w:val="00D862E6"/>
    <w:rsid w:val="00D9153C"/>
    <w:rsid w:val="00D91923"/>
    <w:rsid w:val="00D93753"/>
    <w:rsid w:val="00D951B3"/>
    <w:rsid w:val="00D97B1E"/>
    <w:rsid w:val="00DA1830"/>
    <w:rsid w:val="00DA249E"/>
    <w:rsid w:val="00DA3167"/>
    <w:rsid w:val="00DA4D35"/>
    <w:rsid w:val="00DA4DC3"/>
    <w:rsid w:val="00DA6A61"/>
    <w:rsid w:val="00DA77A5"/>
    <w:rsid w:val="00DB3DBF"/>
    <w:rsid w:val="00DB484F"/>
    <w:rsid w:val="00DB4EDF"/>
    <w:rsid w:val="00DB62BB"/>
    <w:rsid w:val="00DB718E"/>
    <w:rsid w:val="00DB784C"/>
    <w:rsid w:val="00DB78D4"/>
    <w:rsid w:val="00DC04F6"/>
    <w:rsid w:val="00DC0690"/>
    <w:rsid w:val="00DC1877"/>
    <w:rsid w:val="00DC1D65"/>
    <w:rsid w:val="00DC1FDB"/>
    <w:rsid w:val="00DC3C57"/>
    <w:rsid w:val="00DC5501"/>
    <w:rsid w:val="00DC7154"/>
    <w:rsid w:val="00DC7CA9"/>
    <w:rsid w:val="00DC7E8A"/>
    <w:rsid w:val="00DD08D7"/>
    <w:rsid w:val="00DD0F78"/>
    <w:rsid w:val="00DD273C"/>
    <w:rsid w:val="00DD2765"/>
    <w:rsid w:val="00DD2E78"/>
    <w:rsid w:val="00DD396E"/>
    <w:rsid w:val="00DD3F28"/>
    <w:rsid w:val="00DD4537"/>
    <w:rsid w:val="00DD4E15"/>
    <w:rsid w:val="00DD5556"/>
    <w:rsid w:val="00DE2304"/>
    <w:rsid w:val="00DE3138"/>
    <w:rsid w:val="00DE37F8"/>
    <w:rsid w:val="00DE4FCB"/>
    <w:rsid w:val="00DE5B78"/>
    <w:rsid w:val="00DE5D07"/>
    <w:rsid w:val="00DE72A7"/>
    <w:rsid w:val="00DE7832"/>
    <w:rsid w:val="00DF0F5A"/>
    <w:rsid w:val="00DF18FC"/>
    <w:rsid w:val="00DF3CFC"/>
    <w:rsid w:val="00DF4603"/>
    <w:rsid w:val="00DF5412"/>
    <w:rsid w:val="00DF5D2B"/>
    <w:rsid w:val="00DF6D89"/>
    <w:rsid w:val="00E00E8E"/>
    <w:rsid w:val="00E05630"/>
    <w:rsid w:val="00E06DBB"/>
    <w:rsid w:val="00E073DE"/>
    <w:rsid w:val="00E07D26"/>
    <w:rsid w:val="00E10149"/>
    <w:rsid w:val="00E10485"/>
    <w:rsid w:val="00E11340"/>
    <w:rsid w:val="00E122A1"/>
    <w:rsid w:val="00E12A39"/>
    <w:rsid w:val="00E12D92"/>
    <w:rsid w:val="00E13B4B"/>
    <w:rsid w:val="00E13E06"/>
    <w:rsid w:val="00E14D34"/>
    <w:rsid w:val="00E161C9"/>
    <w:rsid w:val="00E16372"/>
    <w:rsid w:val="00E20E4D"/>
    <w:rsid w:val="00E20ED6"/>
    <w:rsid w:val="00E21358"/>
    <w:rsid w:val="00E2249B"/>
    <w:rsid w:val="00E22A0D"/>
    <w:rsid w:val="00E23825"/>
    <w:rsid w:val="00E244F6"/>
    <w:rsid w:val="00E24E05"/>
    <w:rsid w:val="00E25DCF"/>
    <w:rsid w:val="00E2771E"/>
    <w:rsid w:val="00E311EF"/>
    <w:rsid w:val="00E31887"/>
    <w:rsid w:val="00E32180"/>
    <w:rsid w:val="00E32BD0"/>
    <w:rsid w:val="00E34948"/>
    <w:rsid w:val="00E3539D"/>
    <w:rsid w:val="00E37569"/>
    <w:rsid w:val="00E401B2"/>
    <w:rsid w:val="00E41E30"/>
    <w:rsid w:val="00E42F73"/>
    <w:rsid w:val="00E43261"/>
    <w:rsid w:val="00E43D70"/>
    <w:rsid w:val="00E43DA5"/>
    <w:rsid w:val="00E453CA"/>
    <w:rsid w:val="00E462F9"/>
    <w:rsid w:val="00E466F3"/>
    <w:rsid w:val="00E476C8"/>
    <w:rsid w:val="00E47B2C"/>
    <w:rsid w:val="00E51560"/>
    <w:rsid w:val="00E51659"/>
    <w:rsid w:val="00E53FC8"/>
    <w:rsid w:val="00E54347"/>
    <w:rsid w:val="00E55424"/>
    <w:rsid w:val="00E55915"/>
    <w:rsid w:val="00E55BB5"/>
    <w:rsid w:val="00E572CD"/>
    <w:rsid w:val="00E638A7"/>
    <w:rsid w:val="00E65CBF"/>
    <w:rsid w:val="00E65E79"/>
    <w:rsid w:val="00E66BA2"/>
    <w:rsid w:val="00E66FB2"/>
    <w:rsid w:val="00E6730F"/>
    <w:rsid w:val="00E67416"/>
    <w:rsid w:val="00E718B6"/>
    <w:rsid w:val="00E723BA"/>
    <w:rsid w:val="00E725BB"/>
    <w:rsid w:val="00E729AF"/>
    <w:rsid w:val="00E73377"/>
    <w:rsid w:val="00E73581"/>
    <w:rsid w:val="00E82C6E"/>
    <w:rsid w:val="00E833F7"/>
    <w:rsid w:val="00E83BDF"/>
    <w:rsid w:val="00E847D4"/>
    <w:rsid w:val="00E86152"/>
    <w:rsid w:val="00E87A1D"/>
    <w:rsid w:val="00E9094A"/>
    <w:rsid w:val="00E91D35"/>
    <w:rsid w:val="00E91D65"/>
    <w:rsid w:val="00E926A5"/>
    <w:rsid w:val="00E96C12"/>
    <w:rsid w:val="00E97D7F"/>
    <w:rsid w:val="00E97DA4"/>
    <w:rsid w:val="00EA0A26"/>
    <w:rsid w:val="00EA0DBF"/>
    <w:rsid w:val="00EA17C3"/>
    <w:rsid w:val="00EA1DCA"/>
    <w:rsid w:val="00EA279D"/>
    <w:rsid w:val="00EA2CAA"/>
    <w:rsid w:val="00EA3864"/>
    <w:rsid w:val="00EA3CB9"/>
    <w:rsid w:val="00EA583C"/>
    <w:rsid w:val="00EA591D"/>
    <w:rsid w:val="00EA70B6"/>
    <w:rsid w:val="00EA7F1C"/>
    <w:rsid w:val="00EB0291"/>
    <w:rsid w:val="00EB15B6"/>
    <w:rsid w:val="00EB3D06"/>
    <w:rsid w:val="00EB4916"/>
    <w:rsid w:val="00EC00C9"/>
    <w:rsid w:val="00EC08F0"/>
    <w:rsid w:val="00EC0DD9"/>
    <w:rsid w:val="00EC2649"/>
    <w:rsid w:val="00EC31ED"/>
    <w:rsid w:val="00EC5836"/>
    <w:rsid w:val="00EC688C"/>
    <w:rsid w:val="00EC7AFB"/>
    <w:rsid w:val="00EC7B31"/>
    <w:rsid w:val="00ED01CA"/>
    <w:rsid w:val="00ED08E7"/>
    <w:rsid w:val="00ED1ABE"/>
    <w:rsid w:val="00ED4ADD"/>
    <w:rsid w:val="00ED54BF"/>
    <w:rsid w:val="00ED57EA"/>
    <w:rsid w:val="00ED5BD4"/>
    <w:rsid w:val="00EE07D3"/>
    <w:rsid w:val="00EE1996"/>
    <w:rsid w:val="00EE1C01"/>
    <w:rsid w:val="00EE1D62"/>
    <w:rsid w:val="00EE22AF"/>
    <w:rsid w:val="00EE565E"/>
    <w:rsid w:val="00EE7B46"/>
    <w:rsid w:val="00EF0171"/>
    <w:rsid w:val="00EF0FAD"/>
    <w:rsid w:val="00EF1B25"/>
    <w:rsid w:val="00EF1DA0"/>
    <w:rsid w:val="00EF1DB7"/>
    <w:rsid w:val="00EF20C2"/>
    <w:rsid w:val="00EF2570"/>
    <w:rsid w:val="00EF3188"/>
    <w:rsid w:val="00EF4150"/>
    <w:rsid w:val="00EF4747"/>
    <w:rsid w:val="00EF4BF8"/>
    <w:rsid w:val="00F01969"/>
    <w:rsid w:val="00F01E0E"/>
    <w:rsid w:val="00F02253"/>
    <w:rsid w:val="00F03C2E"/>
    <w:rsid w:val="00F044B3"/>
    <w:rsid w:val="00F04A66"/>
    <w:rsid w:val="00F04B4B"/>
    <w:rsid w:val="00F0516C"/>
    <w:rsid w:val="00F067A2"/>
    <w:rsid w:val="00F070ED"/>
    <w:rsid w:val="00F07B9E"/>
    <w:rsid w:val="00F10FFE"/>
    <w:rsid w:val="00F1116F"/>
    <w:rsid w:val="00F120C7"/>
    <w:rsid w:val="00F1263A"/>
    <w:rsid w:val="00F1513A"/>
    <w:rsid w:val="00F15298"/>
    <w:rsid w:val="00F15B77"/>
    <w:rsid w:val="00F24837"/>
    <w:rsid w:val="00F2575F"/>
    <w:rsid w:val="00F25F20"/>
    <w:rsid w:val="00F263EE"/>
    <w:rsid w:val="00F27565"/>
    <w:rsid w:val="00F30C70"/>
    <w:rsid w:val="00F30FA9"/>
    <w:rsid w:val="00F310D4"/>
    <w:rsid w:val="00F31BAE"/>
    <w:rsid w:val="00F31D5A"/>
    <w:rsid w:val="00F32A93"/>
    <w:rsid w:val="00F334C7"/>
    <w:rsid w:val="00F33975"/>
    <w:rsid w:val="00F33DE9"/>
    <w:rsid w:val="00F343C0"/>
    <w:rsid w:val="00F34D04"/>
    <w:rsid w:val="00F35E6D"/>
    <w:rsid w:val="00F3619A"/>
    <w:rsid w:val="00F36561"/>
    <w:rsid w:val="00F40AAA"/>
    <w:rsid w:val="00F40BA7"/>
    <w:rsid w:val="00F40F9D"/>
    <w:rsid w:val="00F41ACD"/>
    <w:rsid w:val="00F44B57"/>
    <w:rsid w:val="00F46C07"/>
    <w:rsid w:val="00F46CB6"/>
    <w:rsid w:val="00F4756D"/>
    <w:rsid w:val="00F47DE8"/>
    <w:rsid w:val="00F5001B"/>
    <w:rsid w:val="00F5377E"/>
    <w:rsid w:val="00F542C1"/>
    <w:rsid w:val="00F55E73"/>
    <w:rsid w:val="00F55EDA"/>
    <w:rsid w:val="00F5681D"/>
    <w:rsid w:val="00F56C80"/>
    <w:rsid w:val="00F60092"/>
    <w:rsid w:val="00F61C18"/>
    <w:rsid w:val="00F65F4B"/>
    <w:rsid w:val="00F67A69"/>
    <w:rsid w:val="00F70BFF"/>
    <w:rsid w:val="00F70C9D"/>
    <w:rsid w:val="00F73CAE"/>
    <w:rsid w:val="00F74BA3"/>
    <w:rsid w:val="00F74CD9"/>
    <w:rsid w:val="00F80A7B"/>
    <w:rsid w:val="00F80E5D"/>
    <w:rsid w:val="00F81E78"/>
    <w:rsid w:val="00F820A7"/>
    <w:rsid w:val="00F829E4"/>
    <w:rsid w:val="00F834F2"/>
    <w:rsid w:val="00F851CE"/>
    <w:rsid w:val="00F90694"/>
    <w:rsid w:val="00F91219"/>
    <w:rsid w:val="00F916D5"/>
    <w:rsid w:val="00F922FA"/>
    <w:rsid w:val="00F92444"/>
    <w:rsid w:val="00F9393E"/>
    <w:rsid w:val="00F95833"/>
    <w:rsid w:val="00F958FB"/>
    <w:rsid w:val="00F96FD0"/>
    <w:rsid w:val="00F97A78"/>
    <w:rsid w:val="00FA0B20"/>
    <w:rsid w:val="00FA24E7"/>
    <w:rsid w:val="00FA4D0F"/>
    <w:rsid w:val="00FA5EE6"/>
    <w:rsid w:val="00FA7956"/>
    <w:rsid w:val="00FB2FCB"/>
    <w:rsid w:val="00FB4B79"/>
    <w:rsid w:val="00FB66E0"/>
    <w:rsid w:val="00FB7634"/>
    <w:rsid w:val="00FB7C55"/>
    <w:rsid w:val="00FC1074"/>
    <w:rsid w:val="00FC1884"/>
    <w:rsid w:val="00FC371D"/>
    <w:rsid w:val="00FC5F0B"/>
    <w:rsid w:val="00FC736B"/>
    <w:rsid w:val="00FD1720"/>
    <w:rsid w:val="00FD1C75"/>
    <w:rsid w:val="00FD2100"/>
    <w:rsid w:val="00FD436C"/>
    <w:rsid w:val="00FD446D"/>
    <w:rsid w:val="00FD4F2C"/>
    <w:rsid w:val="00FD6394"/>
    <w:rsid w:val="00FD64C4"/>
    <w:rsid w:val="00FD6BC0"/>
    <w:rsid w:val="00FD6D40"/>
    <w:rsid w:val="00FE09D2"/>
    <w:rsid w:val="00FE0E6C"/>
    <w:rsid w:val="00FE1CDC"/>
    <w:rsid w:val="00FE395E"/>
    <w:rsid w:val="00FE3DCB"/>
    <w:rsid w:val="00FE70C3"/>
    <w:rsid w:val="00FE78D3"/>
    <w:rsid w:val="00FF0F2C"/>
    <w:rsid w:val="00FF10CE"/>
    <w:rsid w:val="00FF29ED"/>
    <w:rsid w:val="00FF2AD9"/>
    <w:rsid w:val="00FF359F"/>
    <w:rsid w:val="00FF3741"/>
    <w:rsid w:val="00FF3DCF"/>
    <w:rsid w:val="00FF492C"/>
    <w:rsid w:val="00FF4A21"/>
    <w:rsid w:val="00FF4CD1"/>
    <w:rsid w:val="00FF5646"/>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7CAE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0">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aliases w:val="- H19,Comment Text Char1 Char,Comment Text Char Char Char,Comment Text Char2,Comment Text Char Char1,Comment Text Char2 Char Char,Comment Text Char Char1 Char Char,Comment Text Char2 Char Char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1 Char Char,Comment Text Char Char Char Char,Comment Text Char2 Char,Comment Text Char Char1 Char,Comment Text Char2 Char Char Char,Comment Text Char Char1 Char Char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qFormat/>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aliases w:val="Footnote Text Char1,Footnote Text Char Char,Footnote Text Char2,Footnote Text Char Char1"/>
    <w:basedOn w:val="Normal"/>
    <w:link w:val="FootnoteTextChar"/>
    <w:unhideWhenUsed/>
    <w:rsid w:val="009C2324"/>
    <w:rPr>
      <w:rFonts w:cs="Times New Roman"/>
      <w:sz w:val="20"/>
      <w:szCs w:val="20"/>
      <w:lang w:eastAsia="en-GB"/>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9C2324"/>
    <w:rPr>
      <w:rFonts w:ascii="Calibri" w:hAnsi="Calibri"/>
      <w:lang w:eastAsia="en-GB"/>
    </w:rPr>
  </w:style>
  <w:style w:type="character" w:styleId="FootnoteReference">
    <w:name w:val="footnote reference"/>
    <w:basedOn w:val="DefaultParagraphFont"/>
    <w:unhideWhenUsed/>
    <w:rsid w:val="009C2324"/>
    <w:rPr>
      <w:vertAlign w:val="superscript"/>
    </w:rPr>
  </w:style>
  <w:style w:type="paragraph" w:customStyle="1" w:styleId="Tablefootnote">
    <w:name w:val="Table footnote"/>
    <w:basedOn w:val="Normal"/>
    <w:link w:val="TablefootnoteChar"/>
    <w:qFormat/>
    <w:rsid w:val="00FB66E0"/>
    <w:pPr>
      <w:keepNext/>
      <w:keepLines/>
      <w:spacing w:before="120" w:after="120"/>
      <w:contextualSpacing/>
      <w:jc w:val="left"/>
    </w:pPr>
    <w:rPr>
      <w:rFonts w:ascii="Arial Narrow" w:hAnsi="Arial Narrow" w:cs="Times New Roman"/>
      <w:sz w:val="18"/>
      <w:szCs w:val="22"/>
      <w:lang w:eastAsia="en-US"/>
    </w:rPr>
  </w:style>
  <w:style w:type="character" w:customStyle="1" w:styleId="TablefootnoteChar">
    <w:name w:val="Table footnote Char"/>
    <w:basedOn w:val="DefaultParagraphFont"/>
    <w:link w:val="Tablefootnote"/>
    <w:rsid w:val="00FB66E0"/>
    <w:rPr>
      <w:rFonts w:ascii="Arial Narrow" w:hAnsi="Arial Narrow"/>
      <w:sz w:val="18"/>
      <w:szCs w:val="22"/>
      <w:lang w:eastAsia="en-US"/>
    </w:rPr>
  </w:style>
  <w:style w:type="character" w:customStyle="1" w:styleId="BodyText1Char">
    <w:name w:val="Body Text1 Char"/>
    <w:link w:val="BodyText1"/>
    <w:locked/>
    <w:rsid w:val="00846597"/>
    <w:rPr>
      <w:rFonts w:ascii="Arial" w:hAnsi="Arial"/>
      <w:sz w:val="22"/>
      <w:szCs w:val="22"/>
      <w:lang w:val="en-US" w:eastAsia="en-GB"/>
    </w:rPr>
  </w:style>
  <w:style w:type="paragraph" w:customStyle="1" w:styleId="BodyText1">
    <w:name w:val="Body Text1"/>
    <w:basedOn w:val="Normal"/>
    <w:link w:val="BodyText1Char"/>
    <w:qFormat/>
    <w:rsid w:val="00846597"/>
    <w:pPr>
      <w:widowControl w:val="0"/>
      <w:spacing w:before="120" w:after="120" w:line="276" w:lineRule="auto"/>
    </w:pPr>
    <w:rPr>
      <w:rFonts w:ascii="Arial" w:hAnsi="Arial" w:cs="Times New Roman"/>
      <w:sz w:val="22"/>
      <w:szCs w:val="22"/>
      <w:lang w:val="en-US" w:eastAsia="en-GB"/>
    </w:rPr>
  </w:style>
  <w:style w:type="character" w:customStyle="1" w:styleId="apple-converted-space">
    <w:name w:val="apple-converted-space"/>
    <w:basedOn w:val="DefaultParagraphFont"/>
    <w:rsid w:val="00846597"/>
  </w:style>
  <w:style w:type="character" w:customStyle="1" w:styleId="contribdegrees">
    <w:name w:val="contribdegrees"/>
    <w:basedOn w:val="DefaultParagraphFont"/>
    <w:rsid w:val="00846597"/>
  </w:style>
  <w:style w:type="character" w:styleId="HTMLCite">
    <w:name w:val="HTML Cite"/>
    <w:basedOn w:val="DefaultParagraphFont"/>
    <w:uiPriority w:val="99"/>
    <w:semiHidden/>
    <w:unhideWhenUsed/>
    <w:rsid w:val="00846597"/>
    <w:rPr>
      <w:i/>
      <w:iCs/>
    </w:rPr>
  </w:style>
  <w:style w:type="paragraph" w:customStyle="1" w:styleId="TableHeading1">
    <w:name w:val="Table Heading"/>
    <w:basedOn w:val="Normal"/>
    <w:link w:val="TableHeadingChar"/>
    <w:qFormat/>
    <w:rsid w:val="00846597"/>
    <w:pPr>
      <w:keepNext/>
      <w:spacing w:after="60"/>
      <w:jc w:val="left"/>
    </w:pPr>
    <w:rPr>
      <w:rFonts w:ascii="Arial Narrow" w:eastAsiaTheme="minorHAnsi" w:hAnsi="Arial Narrow" w:cstheme="minorBidi"/>
      <w:b/>
      <w:sz w:val="20"/>
      <w:szCs w:val="22"/>
      <w:lang w:eastAsia="en-US"/>
    </w:rPr>
  </w:style>
  <w:style w:type="paragraph" w:customStyle="1" w:styleId="Heading50">
    <w:name w:val="Heading5"/>
    <w:basedOn w:val="Normal"/>
    <w:next w:val="Normal"/>
    <w:autoRedefine/>
    <w:uiPriority w:val="99"/>
    <w:qFormat/>
    <w:rsid w:val="00846597"/>
    <w:pPr>
      <w:keepNext/>
      <w:widowControl w:val="0"/>
      <w:spacing w:before="240" w:after="120"/>
      <w:jc w:val="left"/>
      <w:outlineLvl w:val="4"/>
    </w:pPr>
    <w:rPr>
      <w:rFonts w:ascii="Arial" w:hAnsi="Arial" w:cs="Times New Roman"/>
      <w:b/>
      <w:bCs/>
      <w:i/>
      <w:sz w:val="22"/>
      <w:lang w:eastAsia="en-GB"/>
    </w:rPr>
  </w:style>
  <w:style w:type="paragraph" w:customStyle="1" w:styleId="TableText1">
    <w:name w:val="TableText"/>
    <w:basedOn w:val="Normal"/>
    <w:link w:val="TableTextChar1"/>
    <w:uiPriority w:val="3"/>
    <w:qFormat/>
    <w:rsid w:val="00846597"/>
    <w:pPr>
      <w:keepNext/>
      <w:spacing w:before="40" w:after="40"/>
      <w:jc w:val="left"/>
    </w:pPr>
    <w:rPr>
      <w:rFonts w:ascii="Arial" w:hAnsi="Arial" w:cs="Times New Roman"/>
      <w:snapToGrid w:val="0"/>
      <w:sz w:val="18"/>
      <w:szCs w:val="20"/>
      <w:lang w:eastAsia="en-US"/>
    </w:rPr>
  </w:style>
  <w:style w:type="character" w:customStyle="1" w:styleId="TableTextChar1">
    <w:name w:val="TableText Char"/>
    <w:link w:val="TableText1"/>
    <w:uiPriority w:val="3"/>
    <w:rsid w:val="00846597"/>
    <w:rPr>
      <w:rFonts w:ascii="Arial" w:hAnsi="Arial"/>
      <w:snapToGrid w:val="0"/>
      <w:sz w:val="18"/>
      <w:lang w:eastAsia="en-US"/>
    </w:rPr>
  </w:style>
  <w:style w:type="paragraph" w:customStyle="1" w:styleId="summarybox">
    <w:name w:val="summary box"/>
    <w:basedOn w:val="Normal"/>
    <w:link w:val="summaryboxChar"/>
    <w:autoRedefine/>
    <w:uiPriority w:val="99"/>
    <w:rsid w:val="00846597"/>
    <w:pPr>
      <w:pBdr>
        <w:top w:val="single" w:sz="12" w:space="10" w:color="auto"/>
        <w:left w:val="single" w:sz="12" w:space="10" w:color="auto"/>
        <w:bottom w:val="single" w:sz="12" w:space="10" w:color="auto"/>
        <w:right w:val="single" w:sz="12" w:space="10" w:color="auto"/>
      </w:pBdr>
      <w:tabs>
        <w:tab w:val="left" w:pos="416"/>
        <w:tab w:val="left" w:pos="582"/>
        <w:tab w:val="left" w:pos="720"/>
        <w:tab w:val="left" w:pos="1440"/>
        <w:tab w:val="left" w:pos="2160"/>
        <w:tab w:val="left" w:pos="2880"/>
        <w:tab w:val="left" w:pos="3600"/>
        <w:tab w:val="left" w:pos="4320"/>
        <w:tab w:val="left" w:pos="5040"/>
        <w:tab w:val="left" w:pos="5760"/>
        <w:tab w:val="left" w:pos="6480"/>
        <w:tab w:val="left" w:pos="7200"/>
        <w:tab w:val="left" w:pos="7920"/>
        <w:tab w:val="left" w:pos="8820"/>
        <w:tab w:val="left" w:pos="9360"/>
      </w:tabs>
      <w:spacing w:before="360" w:after="120" w:line="360" w:lineRule="auto"/>
      <w:jc w:val="left"/>
    </w:pPr>
    <w:rPr>
      <w:rFonts w:ascii="Arial" w:hAnsi="Arial" w:cs="Times New Roman"/>
      <w:b/>
      <w:sz w:val="28"/>
      <w:szCs w:val="28"/>
      <w:lang w:eastAsia="en-GB"/>
    </w:rPr>
  </w:style>
  <w:style w:type="character" w:customStyle="1" w:styleId="summaryboxChar">
    <w:name w:val="summary box Char"/>
    <w:link w:val="summarybox"/>
    <w:uiPriority w:val="99"/>
    <w:locked/>
    <w:rsid w:val="00846597"/>
    <w:rPr>
      <w:rFonts w:ascii="Arial" w:hAnsi="Arial"/>
      <w:b/>
      <w:sz w:val="28"/>
      <w:szCs w:val="28"/>
      <w:lang w:eastAsia="en-GB"/>
    </w:rPr>
  </w:style>
  <w:style w:type="paragraph" w:customStyle="1" w:styleId="Heading40">
    <w:name w:val="Heading4"/>
    <w:basedOn w:val="Normal"/>
    <w:next w:val="Normal"/>
    <w:link w:val="Heading4Char0"/>
    <w:autoRedefine/>
    <w:qFormat/>
    <w:rsid w:val="00846597"/>
    <w:pPr>
      <w:keepNext/>
      <w:keepLines/>
      <w:spacing w:before="240" w:after="120" w:line="276" w:lineRule="auto"/>
      <w:contextualSpacing/>
      <w:jc w:val="left"/>
      <w:outlineLvl w:val="3"/>
    </w:pPr>
    <w:rPr>
      <w:rFonts w:ascii="Arial" w:hAnsi="Arial" w:cs="Times New Roman"/>
      <w:b/>
      <w:sz w:val="22"/>
      <w:lang w:eastAsia="en-GB"/>
    </w:rPr>
  </w:style>
  <w:style w:type="character" w:customStyle="1" w:styleId="Heading4Char0">
    <w:name w:val="Heading4 Char"/>
    <w:link w:val="Heading40"/>
    <w:locked/>
    <w:rsid w:val="00846597"/>
    <w:rPr>
      <w:rFonts w:ascii="Arial" w:hAnsi="Arial"/>
      <w:b/>
      <w:sz w:val="22"/>
      <w:szCs w:val="24"/>
      <w:lang w:eastAsia="en-GB"/>
    </w:rPr>
  </w:style>
  <w:style w:type="character" w:customStyle="1" w:styleId="UnresolvedMention1">
    <w:name w:val="Unresolved Mention1"/>
    <w:basedOn w:val="DefaultParagraphFont"/>
    <w:uiPriority w:val="99"/>
    <w:semiHidden/>
    <w:unhideWhenUsed/>
    <w:rsid w:val="00846597"/>
    <w:rPr>
      <w:color w:val="605E5C"/>
      <w:shd w:val="clear" w:color="auto" w:fill="E1DFDD"/>
    </w:rPr>
  </w:style>
  <w:style w:type="character" w:styleId="Emphasis">
    <w:name w:val="Emphasis"/>
    <w:basedOn w:val="DefaultParagraphFont"/>
    <w:uiPriority w:val="20"/>
    <w:qFormat/>
    <w:rsid w:val="00846597"/>
    <w:rPr>
      <w:i/>
      <w:iCs/>
    </w:rPr>
  </w:style>
  <w:style w:type="character" w:customStyle="1" w:styleId="cit">
    <w:name w:val="cit"/>
    <w:basedOn w:val="DefaultParagraphFont"/>
    <w:rsid w:val="00846597"/>
  </w:style>
  <w:style w:type="character" w:customStyle="1" w:styleId="doi">
    <w:name w:val="doi"/>
    <w:basedOn w:val="DefaultParagraphFont"/>
    <w:rsid w:val="00846597"/>
  </w:style>
  <w:style w:type="character" w:customStyle="1" w:styleId="fm-citation-ids-label">
    <w:name w:val="fm-citation-ids-label"/>
    <w:basedOn w:val="DefaultParagraphFont"/>
    <w:rsid w:val="00846597"/>
  </w:style>
  <w:style w:type="paragraph" w:customStyle="1" w:styleId="V50Instructions">
    <w:name w:val="V5.0 Instructions"/>
    <w:basedOn w:val="Normal"/>
    <w:link w:val="V50InstructionsChar"/>
    <w:rsid w:val="00846597"/>
    <w:pPr>
      <w:spacing w:before="120" w:after="160"/>
      <w:jc w:val="left"/>
    </w:pPr>
    <w:rPr>
      <w:rFonts w:asciiTheme="minorHAnsi" w:eastAsiaTheme="minorHAnsi" w:hAnsiTheme="minorHAnsi" w:cstheme="minorBidi"/>
      <w:snapToGrid w:val="0"/>
      <w:color w:val="4BACC6" w:themeColor="accent5"/>
      <w:lang w:eastAsia="en-US"/>
    </w:rPr>
  </w:style>
  <w:style w:type="character" w:customStyle="1" w:styleId="V50InstructionsChar">
    <w:name w:val="V5.0 Instructions Char"/>
    <w:basedOn w:val="DefaultParagraphFont"/>
    <w:link w:val="V50Instructions"/>
    <w:rsid w:val="00846597"/>
    <w:rPr>
      <w:rFonts w:asciiTheme="minorHAnsi" w:eastAsiaTheme="minorHAnsi" w:hAnsiTheme="minorHAnsi" w:cstheme="minorBidi"/>
      <w:snapToGrid w:val="0"/>
      <w:color w:val="4BACC6" w:themeColor="accent5"/>
      <w:sz w:val="24"/>
      <w:szCs w:val="24"/>
      <w:lang w:eastAsia="en-US"/>
    </w:rPr>
  </w:style>
  <w:style w:type="table" w:customStyle="1" w:styleId="Summarybox2">
    <w:name w:val="Summary box2"/>
    <w:basedOn w:val="TableNormal"/>
    <w:uiPriority w:val="59"/>
    <w:rsid w:val="008465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rsid w:val="00846597"/>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846597"/>
    <w:rPr>
      <w:rFonts w:ascii="Arial Narrow" w:hAnsi="Arial Narrow"/>
      <w:lang w:eastAsia="en-US"/>
    </w:rPr>
  </w:style>
  <w:style w:type="paragraph" w:customStyle="1" w:styleId="PbacTableHeading">
    <w:name w:val="Pbac Table Heading"/>
    <w:basedOn w:val="PBACTableText"/>
    <w:rsid w:val="00846597"/>
    <w:pPr>
      <w:spacing w:before="0" w:after="80"/>
    </w:pPr>
    <w:rPr>
      <w:rFonts w:eastAsiaTheme="minorHAnsi" w:cs="Arial"/>
      <w:b/>
    </w:rPr>
  </w:style>
  <w:style w:type="character" w:customStyle="1" w:styleId="UnresolvedMention11">
    <w:name w:val="Unresolved Mention11"/>
    <w:basedOn w:val="DefaultParagraphFont"/>
    <w:uiPriority w:val="99"/>
    <w:semiHidden/>
    <w:unhideWhenUsed/>
    <w:rsid w:val="00846597"/>
    <w:rPr>
      <w:color w:val="605E5C"/>
      <w:shd w:val="clear" w:color="auto" w:fill="E1DFDD"/>
    </w:rPr>
  </w:style>
  <w:style w:type="character" w:customStyle="1" w:styleId="Heading1Char">
    <w:name w:val="Heading 1 Char"/>
    <w:basedOn w:val="DefaultParagraphFont"/>
    <w:link w:val="Heading1"/>
    <w:rsid w:val="00846597"/>
    <w:rPr>
      <w:rFonts w:ascii="Calibri" w:hAnsi="Calibri" w:cs="Arial"/>
      <w:b/>
      <w:caps/>
      <w:sz w:val="32"/>
      <w:szCs w:val="24"/>
    </w:rPr>
  </w:style>
  <w:style w:type="character" w:customStyle="1" w:styleId="Heading3Char">
    <w:name w:val="Heading 3 Char"/>
    <w:basedOn w:val="DefaultParagraphFont"/>
    <w:link w:val="Heading3"/>
    <w:rsid w:val="00846597"/>
    <w:rPr>
      <w:rFonts w:ascii="Calibri" w:hAnsi="Calibri" w:cs="Arial"/>
      <w:sz w:val="24"/>
      <w:szCs w:val="24"/>
      <w:u w:val="single"/>
    </w:rPr>
  </w:style>
  <w:style w:type="character" w:customStyle="1" w:styleId="Heading4Char">
    <w:name w:val="Heading 4 Char"/>
    <w:basedOn w:val="DefaultParagraphFont"/>
    <w:link w:val="Heading4"/>
    <w:rsid w:val="00846597"/>
    <w:rPr>
      <w:rFonts w:ascii="Calibri" w:hAnsi="Calibri" w:cs="Arial"/>
      <w:b/>
      <w:bCs/>
      <w:i/>
      <w:sz w:val="26"/>
      <w:szCs w:val="28"/>
    </w:rPr>
  </w:style>
  <w:style w:type="character" w:customStyle="1" w:styleId="Heading5Char">
    <w:name w:val="Heading 5 Char"/>
    <w:basedOn w:val="DefaultParagraphFont"/>
    <w:link w:val="Heading5"/>
    <w:rsid w:val="00846597"/>
    <w:rPr>
      <w:rFonts w:ascii="Calibri" w:hAnsi="Calibri" w:cs="Arial"/>
      <w:b/>
      <w:bCs/>
      <w:iCs/>
      <w:sz w:val="26"/>
      <w:szCs w:val="26"/>
    </w:rPr>
  </w:style>
  <w:style w:type="character" w:customStyle="1" w:styleId="Heading6Char">
    <w:name w:val="Heading 6 Char"/>
    <w:basedOn w:val="DefaultParagraphFont"/>
    <w:link w:val="Heading6"/>
    <w:rsid w:val="00846597"/>
    <w:rPr>
      <w:rFonts w:ascii="Calibri" w:hAnsi="Calibri" w:cs="Arial"/>
      <w:b/>
      <w:bCs/>
      <w:i/>
      <w:sz w:val="24"/>
      <w:szCs w:val="24"/>
    </w:rPr>
  </w:style>
  <w:style w:type="paragraph" w:styleId="ListNumber">
    <w:name w:val="List Number"/>
    <w:basedOn w:val="Normal"/>
    <w:uiPriority w:val="16"/>
    <w:qFormat/>
    <w:rsid w:val="00846597"/>
    <w:pPr>
      <w:tabs>
        <w:tab w:val="num" w:pos="357"/>
      </w:tabs>
      <w:spacing w:after="240" w:line="360" w:lineRule="auto"/>
      <w:ind w:left="357" w:hanging="357"/>
      <w:jc w:val="left"/>
    </w:pPr>
    <w:rPr>
      <w:rFonts w:ascii="Arial" w:eastAsiaTheme="minorHAnsi" w:hAnsi="Arial" w:cstheme="minorBidi"/>
      <w:sz w:val="20"/>
      <w:szCs w:val="20"/>
      <w:lang w:eastAsia="en-US"/>
    </w:rPr>
  </w:style>
  <w:style w:type="paragraph" w:styleId="ListNumber2">
    <w:name w:val="List Number 2"/>
    <w:basedOn w:val="Normal"/>
    <w:uiPriority w:val="16"/>
    <w:qFormat/>
    <w:rsid w:val="00846597"/>
    <w:pPr>
      <w:tabs>
        <w:tab w:val="num" w:pos="720"/>
      </w:tabs>
      <w:spacing w:after="240" w:line="360" w:lineRule="auto"/>
      <w:ind w:left="720" w:hanging="363"/>
      <w:jc w:val="left"/>
    </w:pPr>
    <w:rPr>
      <w:rFonts w:ascii="Arial" w:eastAsiaTheme="minorHAnsi" w:hAnsi="Arial" w:cstheme="minorBidi"/>
      <w:sz w:val="20"/>
      <w:szCs w:val="20"/>
      <w:lang w:eastAsia="en-US"/>
    </w:rPr>
  </w:style>
  <w:style w:type="numbering" w:customStyle="1" w:styleId="Lists">
    <w:name w:val="Lists"/>
    <w:uiPriority w:val="99"/>
    <w:rsid w:val="00846597"/>
    <w:pPr>
      <w:numPr>
        <w:numId w:val="6"/>
      </w:numPr>
    </w:pPr>
  </w:style>
  <w:style w:type="paragraph" w:styleId="ListNumber3">
    <w:name w:val="List Number 3"/>
    <w:basedOn w:val="Normal"/>
    <w:uiPriority w:val="16"/>
    <w:qFormat/>
    <w:rsid w:val="00846597"/>
    <w:pPr>
      <w:tabs>
        <w:tab w:val="num" w:pos="1077"/>
      </w:tabs>
      <w:spacing w:after="240" w:line="360" w:lineRule="auto"/>
      <w:ind w:left="1077" w:hanging="357"/>
      <w:jc w:val="left"/>
    </w:pPr>
    <w:rPr>
      <w:rFonts w:ascii="Arial" w:eastAsiaTheme="minorHAnsi" w:hAnsi="Arial" w:cstheme="minorBidi"/>
      <w:sz w:val="20"/>
      <w:szCs w:val="20"/>
      <w:lang w:eastAsia="en-US"/>
    </w:rPr>
  </w:style>
  <w:style w:type="paragraph" w:styleId="ListNumber4">
    <w:name w:val="List Number 4"/>
    <w:basedOn w:val="Normal"/>
    <w:uiPriority w:val="16"/>
    <w:qFormat/>
    <w:rsid w:val="00846597"/>
    <w:pPr>
      <w:tabs>
        <w:tab w:val="num" w:pos="1435"/>
      </w:tabs>
      <w:spacing w:after="240" w:line="360" w:lineRule="auto"/>
      <w:ind w:left="1435" w:hanging="358"/>
      <w:contextualSpacing/>
      <w:jc w:val="left"/>
    </w:pPr>
    <w:rPr>
      <w:rFonts w:ascii="Arial" w:eastAsiaTheme="minorHAnsi" w:hAnsi="Arial" w:cstheme="minorBidi"/>
      <w:sz w:val="20"/>
      <w:szCs w:val="20"/>
      <w:lang w:eastAsia="en-US"/>
    </w:rPr>
  </w:style>
  <w:style w:type="table" w:customStyle="1" w:styleId="TableGrid1">
    <w:name w:val="Table Grid1"/>
    <w:basedOn w:val="TableNormal"/>
    <w:next w:val="TableGrid"/>
    <w:rsid w:val="00846597"/>
    <w:pPr>
      <w:spacing w:before="57" w:after="57" w:line="360" w:lineRule="auto"/>
      <w:ind w:left="108" w:right="108"/>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TableHeadingChar">
    <w:name w:val="Table Heading Char"/>
    <w:link w:val="TableHeading1"/>
    <w:rsid w:val="00846597"/>
    <w:rPr>
      <w:rFonts w:ascii="Arial Narrow" w:eastAsiaTheme="minorHAnsi" w:hAnsi="Arial Narrow" w:cstheme="minorBidi"/>
      <w:b/>
      <w:szCs w:val="22"/>
      <w:lang w:eastAsia="en-US"/>
    </w:rPr>
  </w:style>
  <w:style w:type="numbering" w:customStyle="1" w:styleId="Lists1">
    <w:name w:val="Lists1"/>
    <w:uiPriority w:val="99"/>
    <w:rsid w:val="00846597"/>
  </w:style>
  <w:style w:type="paragraph" w:customStyle="1" w:styleId="msonormal0">
    <w:name w:val="msonormal"/>
    <w:basedOn w:val="Normal"/>
    <w:uiPriority w:val="99"/>
    <w:rsid w:val="00846597"/>
    <w:pPr>
      <w:spacing w:before="100" w:after="100"/>
      <w:jc w:val="left"/>
    </w:pPr>
    <w:rPr>
      <w:rFonts w:ascii="Times New Roman" w:hAnsi="Times New Roman" w:cs="Times New Roman"/>
      <w:szCs w:val="22"/>
      <w:lang w:val="en-GB" w:eastAsia="en-US"/>
    </w:rPr>
  </w:style>
  <w:style w:type="character" w:customStyle="1" w:styleId="FootnoteTextChar3">
    <w:name w:val="Footnote Text Char3"/>
    <w:aliases w:val="Footnote Text Char1 Char1,Footnote Text Char Char Char1,Footnote Text Char2 Char1,Footnote Text Char Char1 Char1"/>
    <w:basedOn w:val="DefaultParagraphFont"/>
    <w:semiHidden/>
    <w:rsid w:val="00846597"/>
    <w:rPr>
      <w:rFonts w:ascii="Calibri" w:hAnsi="Calibri" w:cs="Arial"/>
      <w:lang w:eastAsia="en-US"/>
    </w:rPr>
  </w:style>
  <w:style w:type="character" w:customStyle="1" w:styleId="CommentTextChar1">
    <w:name w:val="Comment Text Char1"/>
    <w:aliases w:val="- H19 Char1"/>
    <w:basedOn w:val="DefaultParagraphFont"/>
    <w:uiPriority w:val="99"/>
    <w:semiHidden/>
    <w:rsid w:val="00846597"/>
    <w:rPr>
      <w:rFonts w:ascii="Calibri" w:eastAsia="Times New Roman" w:hAnsi="Calibri" w:cs="Arial"/>
      <w:sz w:val="20"/>
      <w:szCs w:val="20"/>
    </w:rPr>
  </w:style>
  <w:style w:type="character" w:customStyle="1" w:styleId="HeaderChar1">
    <w:name w:val="Header Char1"/>
    <w:aliases w:val="Page Header Char1,Header title Char1,he=header Char1,cntr/bld Char1"/>
    <w:basedOn w:val="DefaultParagraphFont"/>
    <w:uiPriority w:val="99"/>
    <w:semiHidden/>
    <w:rsid w:val="00846597"/>
    <w:rPr>
      <w:rFonts w:ascii="Calibri" w:eastAsia="Times New Roman" w:hAnsi="Calibri" w:cs="Arial"/>
      <w:szCs w:val="22"/>
    </w:rPr>
  </w:style>
  <w:style w:type="table" w:customStyle="1" w:styleId="Summarybox1">
    <w:name w:val="Summary box1"/>
    <w:basedOn w:val="TableNormal"/>
    <w:next w:val="TableGrid"/>
    <w:uiPriority w:val="39"/>
    <w:rsid w:val="008465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DB4EDF"/>
  </w:style>
  <w:style w:type="table" w:styleId="PlainTable5">
    <w:name w:val="Plain Table 5"/>
    <w:basedOn w:val="TableNormal"/>
    <w:uiPriority w:val="45"/>
    <w:rsid w:val="00882CE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882CE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882CE2"/>
    <w:rPr>
      <w:color w:val="808080"/>
    </w:rPr>
  </w:style>
  <w:style w:type="paragraph" w:customStyle="1" w:styleId="BulletedList">
    <w:name w:val="Bulleted List"/>
    <w:basedOn w:val="Normal"/>
    <w:uiPriority w:val="3"/>
    <w:qFormat/>
    <w:rsid w:val="00882CE2"/>
    <w:pPr>
      <w:numPr>
        <w:numId w:val="9"/>
      </w:numPr>
      <w:spacing w:after="240"/>
      <w:ind w:left="357" w:hanging="357"/>
      <w:contextualSpacing/>
    </w:pPr>
    <w:rPr>
      <w:rFonts w:ascii="Candara" w:eastAsiaTheme="majorEastAsia" w:hAnsi="Candara" w:cstheme="majorBidi"/>
      <w:szCs w:val="22"/>
      <w:lang w:eastAsia="en-US"/>
    </w:rPr>
  </w:style>
  <w:style w:type="paragraph" w:customStyle="1" w:styleId="TableHeadingRow">
    <w:name w:val="TableHeadingRow"/>
    <w:basedOn w:val="Normal"/>
    <w:uiPriority w:val="3"/>
    <w:qFormat/>
    <w:rsid w:val="00882CE2"/>
    <w:pPr>
      <w:keepNext/>
      <w:spacing w:before="20" w:after="20"/>
      <w:jc w:val="left"/>
    </w:pPr>
    <w:rPr>
      <w:rFonts w:cstheme="minorHAnsi"/>
      <w:b/>
      <w:snapToGrid w:val="0"/>
      <w:sz w:val="20"/>
      <w:szCs w:val="20"/>
      <w:lang w:eastAsia="en-US"/>
    </w:rPr>
  </w:style>
  <w:style w:type="table" w:customStyle="1" w:styleId="Summarybox4">
    <w:name w:val="Summary box4"/>
    <w:basedOn w:val="TableNormal"/>
    <w:next w:val="TableGrid"/>
    <w:uiPriority w:val="59"/>
    <w:rsid w:val="00882CE2"/>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882CE2"/>
    <w:pPr>
      <w:keepNext/>
      <w:numPr>
        <w:numId w:val="10"/>
      </w:numPr>
      <w:jc w:val="left"/>
    </w:pPr>
    <w:rPr>
      <w:rFonts w:ascii="Arial Bold" w:eastAsiaTheme="minorHAnsi" w:hAnsi="Arial Bold" w:cs="Times New Roman"/>
      <w:b/>
      <w:sz w:val="20"/>
      <w:lang w:eastAsia="en-US"/>
    </w:rPr>
  </w:style>
  <w:style w:type="character" w:customStyle="1" w:styleId="UnresolvedMention12">
    <w:name w:val="Unresolved Mention12"/>
    <w:basedOn w:val="DefaultParagraphFont"/>
    <w:uiPriority w:val="99"/>
    <w:semiHidden/>
    <w:unhideWhenUsed/>
    <w:rsid w:val="00882CE2"/>
    <w:rPr>
      <w:color w:val="605E5C"/>
      <w:shd w:val="clear" w:color="auto" w:fill="E1DFDD"/>
    </w:rPr>
  </w:style>
  <w:style w:type="table" w:styleId="PlainTable4">
    <w:name w:val="Plain Table 4"/>
    <w:basedOn w:val="TableNormal"/>
    <w:uiPriority w:val="44"/>
    <w:rsid w:val="00882CE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submissioncaptions">
    <w:name w:val="Resubmission captions"/>
    <w:basedOn w:val="Caption"/>
    <w:link w:val="ResubmissioncaptionsChar"/>
    <w:qFormat/>
    <w:rsid w:val="002A2947"/>
    <w:pPr>
      <w:keepNext/>
      <w:tabs>
        <w:tab w:val="left" w:pos="7938"/>
      </w:tabs>
      <w:spacing w:before="240" w:after="0"/>
      <w:ind w:left="1276" w:hanging="1276"/>
    </w:pPr>
    <w:rPr>
      <w:rFonts w:ascii="Arial" w:hAnsi="Arial"/>
      <w:i/>
      <w:sz w:val="20"/>
      <w:szCs w:val="22"/>
    </w:rPr>
  </w:style>
  <w:style w:type="character" w:customStyle="1" w:styleId="ResubmissioncaptionsChar">
    <w:name w:val="Resubmission captions Char"/>
    <w:basedOn w:val="DefaultParagraphFont"/>
    <w:link w:val="Resubmissioncaptions"/>
    <w:rsid w:val="002A2947"/>
    <w:rPr>
      <w:rFonts w:ascii="Arial" w:hAnsi="Arial" w:cs="Arial"/>
      <w:b/>
      <w:bCs/>
      <w:i/>
      <w:color w:val="4F81BD" w:themeColor="accent1"/>
      <w:szCs w:val="22"/>
    </w:rPr>
  </w:style>
  <w:style w:type="paragraph" w:customStyle="1" w:styleId="Resubmissiontext">
    <w:name w:val="Resubmission text"/>
    <w:basedOn w:val="BodyText1"/>
    <w:uiPriority w:val="99"/>
    <w:qFormat/>
    <w:rsid w:val="002A2947"/>
    <w:rPr>
      <w:rFonts w:eastAsiaTheme="minorHAnsi"/>
      <w:i/>
      <w:color w:val="4F81BD" w:themeColor="accent1"/>
    </w:rPr>
  </w:style>
  <w:style w:type="paragraph" w:customStyle="1" w:styleId="Default">
    <w:name w:val="Default"/>
    <w:rsid w:val="002A2947"/>
    <w:pPr>
      <w:autoSpaceDE w:val="0"/>
      <w:autoSpaceDN w:val="0"/>
      <w:adjustRightInd w:val="0"/>
    </w:pPr>
    <w:rPr>
      <w:rFonts w:ascii="Century Schoolbook" w:hAnsi="Century Schoolbook" w:cs="Century Schoolbook"/>
      <w:color w:val="000000"/>
      <w:sz w:val="24"/>
      <w:szCs w:val="24"/>
    </w:rPr>
  </w:style>
  <w:style w:type="character" w:customStyle="1" w:styleId="period">
    <w:name w:val="period"/>
    <w:basedOn w:val="DefaultParagraphFont"/>
    <w:rsid w:val="002A2947"/>
  </w:style>
  <w:style w:type="table" w:customStyle="1" w:styleId="TableGrid2">
    <w:name w:val="Table Grid2"/>
    <w:basedOn w:val="TableNormal"/>
    <w:next w:val="TableGrid"/>
    <w:uiPriority w:val="39"/>
    <w:rsid w:val="00F44B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odytext">
    <w:name w:val="3. Body text"/>
    <w:basedOn w:val="ListParagraph"/>
    <w:qFormat/>
    <w:rsid w:val="003D7335"/>
    <w:pPr>
      <w:numPr>
        <w:numId w:val="0"/>
      </w:numPr>
      <w:ind w:left="720" w:hanging="720"/>
      <w:jc w:val="left"/>
    </w:pPr>
    <w:rPr>
      <w:rFonts w:eastAsiaTheme="minorHAnsi" w:cstheme="minorBidi"/>
      <w:snapToGrid/>
      <w:szCs w:val="22"/>
    </w:rPr>
  </w:style>
  <w:style w:type="paragraph" w:customStyle="1" w:styleId="PBACESHeading1">
    <w:name w:val="PBAC ES Heading 1"/>
    <w:basedOn w:val="Heading1"/>
    <w:next w:val="ListParagraph"/>
    <w:uiPriority w:val="1"/>
    <w:qFormat/>
    <w:rsid w:val="003F6CA1"/>
    <w:pPr>
      <w:keepNext/>
      <w:keepLines/>
      <w:tabs>
        <w:tab w:val="left" w:pos="1077"/>
      </w:tabs>
      <w:spacing w:before="240" w:after="120"/>
      <w:jc w:val="left"/>
    </w:pPr>
    <w:rPr>
      <w:rFonts w:asciiTheme="minorHAnsi" w:hAnsiTheme="minorHAnsi"/>
      <w:caps w:val="0"/>
      <w:snapToGrid w:val="0"/>
      <w:szCs w:val="32"/>
      <w:lang w:eastAsia="en-US"/>
    </w:rPr>
  </w:style>
  <w:style w:type="paragraph" w:customStyle="1" w:styleId="MSACHeading1">
    <w:name w:val="MSAC Heading 1"/>
    <w:basedOn w:val="Heading1"/>
    <w:next w:val="Normal"/>
    <w:uiPriority w:val="1"/>
    <w:qFormat/>
    <w:rsid w:val="003F6CA1"/>
    <w:pPr>
      <w:keepNext/>
      <w:keepLines/>
      <w:spacing w:before="160" w:after="240" w:line="259" w:lineRule="auto"/>
      <w:jc w:val="left"/>
    </w:pPr>
    <w:rPr>
      <w:rFonts w:ascii="Times New Roman" w:eastAsiaTheme="majorEastAsia" w:hAnsi="Times New Roman" w:cstheme="majorBidi"/>
      <w:caps w:val="0"/>
      <w:sz w:val="24"/>
      <w:szCs w:val="28"/>
      <w:lang w:eastAsia="en-US"/>
    </w:rPr>
  </w:style>
  <w:style w:type="paragraph" w:customStyle="1" w:styleId="MSACESHeading2">
    <w:name w:val="MSAC ES Heading 2"/>
    <w:basedOn w:val="Heading2"/>
    <w:next w:val="Normal"/>
    <w:uiPriority w:val="1"/>
    <w:qFormat/>
    <w:rsid w:val="003F6CA1"/>
    <w:pPr>
      <w:keepNext/>
      <w:keepLines/>
      <w:spacing w:before="360" w:after="120"/>
      <w:ind w:left="720" w:hanging="720"/>
      <w:jc w:val="left"/>
    </w:pPr>
    <w:rPr>
      <w:rFonts w:ascii="Cambria" w:eastAsiaTheme="majorEastAsia" w:hAnsi="Cambria" w:cstheme="majorBidi"/>
      <w:i w:val="0"/>
      <w:snapToGrid w:val="0"/>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81029066">
      <w:bodyDiv w:val="1"/>
      <w:marLeft w:val="0"/>
      <w:marRight w:val="0"/>
      <w:marTop w:val="0"/>
      <w:marBottom w:val="0"/>
      <w:divBdr>
        <w:top w:val="none" w:sz="0" w:space="0" w:color="auto"/>
        <w:left w:val="none" w:sz="0" w:space="0" w:color="auto"/>
        <w:bottom w:val="none" w:sz="0" w:space="0" w:color="auto"/>
        <w:right w:val="none" w:sz="0" w:space="0" w:color="auto"/>
      </w:divBdr>
    </w:div>
    <w:div w:id="648704470">
      <w:bodyDiv w:val="1"/>
      <w:marLeft w:val="0"/>
      <w:marRight w:val="0"/>
      <w:marTop w:val="0"/>
      <w:marBottom w:val="0"/>
      <w:divBdr>
        <w:top w:val="none" w:sz="0" w:space="0" w:color="auto"/>
        <w:left w:val="none" w:sz="0" w:space="0" w:color="auto"/>
        <w:bottom w:val="none" w:sz="0" w:space="0" w:color="auto"/>
        <w:right w:val="none" w:sz="0" w:space="0" w:color="auto"/>
      </w:divBdr>
    </w:div>
    <w:div w:id="685445524">
      <w:bodyDiv w:val="1"/>
      <w:marLeft w:val="0"/>
      <w:marRight w:val="0"/>
      <w:marTop w:val="0"/>
      <w:marBottom w:val="0"/>
      <w:divBdr>
        <w:top w:val="none" w:sz="0" w:space="0" w:color="auto"/>
        <w:left w:val="none" w:sz="0" w:space="0" w:color="auto"/>
        <w:bottom w:val="none" w:sz="0" w:space="0" w:color="auto"/>
        <w:right w:val="none" w:sz="0" w:space="0" w:color="auto"/>
      </w:divBdr>
      <w:divsChild>
        <w:div w:id="1717583090">
          <w:marLeft w:val="1080"/>
          <w:marRight w:val="0"/>
          <w:marTop w:val="100"/>
          <w:marBottom w:val="0"/>
          <w:divBdr>
            <w:top w:val="none" w:sz="0" w:space="0" w:color="auto"/>
            <w:left w:val="none" w:sz="0" w:space="0" w:color="auto"/>
            <w:bottom w:val="none" w:sz="0" w:space="0" w:color="auto"/>
            <w:right w:val="none" w:sz="0" w:space="0" w:color="auto"/>
          </w:divBdr>
        </w:div>
      </w:divsChild>
    </w:div>
    <w:div w:id="724566845">
      <w:bodyDiv w:val="1"/>
      <w:marLeft w:val="0"/>
      <w:marRight w:val="0"/>
      <w:marTop w:val="0"/>
      <w:marBottom w:val="0"/>
      <w:divBdr>
        <w:top w:val="none" w:sz="0" w:space="0" w:color="auto"/>
        <w:left w:val="none" w:sz="0" w:space="0" w:color="auto"/>
        <w:bottom w:val="none" w:sz="0" w:space="0" w:color="auto"/>
        <w:right w:val="none" w:sz="0" w:space="0" w:color="auto"/>
      </w:divBdr>
    </w:div>
    <w:div w:id="735054289">
      <w:bodyDiv w:val="1"/>
      <w:marLeft w:val="0"/>
      <w:marRight w:val="0"/>
      <w:marTop w:val="0"/>
      <w:marBottom w:val="0"/>
      <w:divBdr>
        <w:top w:val="none" w:sz="0" w:space="0" w:color="auto"/>
        <w:left w:val="none" w:sz="0" w:space="0" w:color="auto"/>
        <w:bottom w:val="none" w:sz="0" w:space="0" w:color="auto"/>
        <w:right w:val="none" w:sz="0" w:space="0" w:color="auto"/>
      </w:divBdr>
    </w:div>
    <w:div w:id="800346378">
      <w:bodyDiv w:val="1"/>
      <w:marLeft w:val="0"/>
      <w:marRight w:val="0"/>
      <w:marTop w:val="0"/>
      <w:marBottom w:val="0"/>
      <w:divBdr>
        <w:top w:val="none" w:sz="0" w:space="0" w:color="auto"/>
        <w:left w:val="none" w:sz="0" w:space="0" w:color="auto"/>
        <w:bottom w:val="none" w:sz="0" w:space="0" w:color="auto"/>
        <w:right w:val="none" w:sz="0" w:space="0" w:color="auto"/>
      </w:divBdr>
    </w:div>
    <w:div w:id="978800454">
      <w:bodyDiv w:val="1"/>
      <w:marLeft w:val="0"/>
      <w:marRight w:val="0"/>
      <w:marTop w:val="0"/>
      <w:marBottom w:val="0"/>
      <w:divBdr>
        <w:top w:val="none" w:sz="0" w:space="0" w:color="auto"/>
        <w:left w:val="none" w:sz="0" w:space="0" w:color="auto"/>
        <w:bottom w:val="none" w:sz="0" w:space="0" w:color="auto"/>
        <w:right w:val="none" w:sz="0" w:space="0" w:color="auto"/>
      </w:divBdr>
    </w:div>
    <w:div w:id="1083380188">
      <w:bodyDiv w:val="1"/>
      <w:marLeft w:val="0"/>
      <w:marRight w:val="0"/>
      <w:marTop w:val="0"/>
      <w:marBottom w:val="0"/>
      <w:divBdr>
        <w:top w:val="none" w:sz="0" w:space="0" w:color="auto"/>
        <w:left w:val="none" w:sz="0" w:space="0" w:color="auto"/>
        <w:bottom w:val="none" w:sz="0" w:space="0" w:color="auto"/>
        <w:right w:val="none" w:sz="0" w:space="0" w:color="auto"/>
      </w:divBdr>
    </w:div>
    <w:div w:id="1149594552">
      <w:bodyDiv w:val="1"/>
      <w:marLeft w:val="0"/>
      <w:marRight w:val="0"/>
      <w:marTop w:val="0"/>
      <w:marBottom w:val="0"/>
      <w:divBdr>
        <w:top w:val="none" w:sz="0" w:space="0" w:color="auto"/>
        <w:left w:val="none" w:sz="0" w:space="0" w:color="auto"/>
        <w:bottom w:val="none" w:sz="0" w:space="0" w:color="auto"/>
        <w:right w:val="none" w:sz="0" w:space="0" w:color="auto"/>
      </w:divBdr>
    </w:div>
    <w:div w:id="115352022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83600">
      <w:bodyDiv w:val="1"/>
      <w:marLeft w:val="0"/>
      <w:marRight w:val="0"/>
      <w:marTop w:val="0"/>
      <w:marBottom w:val="0"/>
      <w:divBdr>
        <w:top w:val="none" w:sz="0" w:space="0" w:color="auto"/>
        <w:left w:val="none" w:sz="0" w:space="0" w:color="auto"/>
        <w:bottom w:val="none" w:sz="0" w:space="0" w:color="auto"/>
        <w:right w:val="none" w:sz="0" w:space="0" w:color="auto"/>
      </w:divBdr>
    </w:div>
    <w:div w:id="1322346717">
      <w:bodyDiv w:val="1"/>
      <w:marLeft w:val="0"/>
      <w:marRight w:val="0"/>
      <w:marTop w:val="0"/>
      <w:marBottom w:val="0"/>
      <w:divBdr>
        <w:top w:val="none" w:sz="0" w:space="0" w:color="auto"/>
        <w:left w:val="none" w:sz="0" w:space="0" w:color="auto"/>
        <w:bottom w:val="none" w:sz="0" w:space="0" w:color="auto"/>
        <w:right w:val="none" w:sz="0" w:space="0" w:color="auto"/>
      </w:divBdr>
    </w:div>
    <w:div w:id="1581791196">
      <w:bodyDiv w:val="1"/>
      <w:marLeft w:val="0"/>
      <w:marRight w:val="0"/>
      <w:marTop w:val="0"/>
      <w:marBottom w:val="0"/>
      <w:divBdr>
        <w:top w:val="none" w:sz="0" w:space="0" w:color="auto"/>
        <w:left w:val="none" w:sz="0" w:space="0" w:color="auto"/>
        <w:bottom w:val="none" w:sz="0" w:space="0" w:color="auto"/>
        <w:right w:val="none" w:sz="0" w:space="0" w:color="auto"/>
      </w:divBdr>
    </w:div>
    <w:div w:id="1671519815">
      <w:bodyDiv w:val="1"/>
      <w:marLeft w:val="0"/>
      <w:marRight w:val="0"/>
      <w:marTop w:val="0"/>
      <w:marBottom w:val="0"/>
      <w:divBdr>
        <w:top w:val="none" w:sz="0" w:space="0" w:color="auto"/>
        <w:left w:val="none" w:sz="0" w:space="0" w:color="auto"/>
        <w:bottom w:val="none" w:sz="0" w:space="0" w:color="auto"/>
        <w:right w:val="none" w:sz="0" w:space="0" w:color="auto"/>
      </w:divBdr>
    </w:div>
    <w:div w:id="178410628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319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9A41C-D69A-48CD-B044-00819DBAC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14597</Words>
  <Characters>81287</Characters>
  <Application>Microsoft Office Word</Application>
  <DocSecurity>0</DocSecurity>
  <Lines>677</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2021-06-29T04:22:00Z</dcterms:created>
  <dcterms:modified xsi:type="dcterms:W3CDTF">2021-06-29T04:22:00Z</dcterms:modified>
</cp:coreProperties>
</file>