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E5B" w:rsidRDefault="00B54A13" w:rsidP="000F5E3F">
      <w:pPr>
        <w:ind w:left="709" w:hanging="709"/>
        <w:jc w:val="left"/>
        <w:outlineLvl w:val="0"/>
        <w:rPr>
          <w:b/>
          <w:sz w:val="36"/>
          <w:szCs w:val="36"/>
        </w:rPr>
      </w:pPr>
      <w:r>
        <w:rPr>
          <w:b/>
          <w:sz w:val="36"/>
          <w:szCs w:val="36"/>
        </w:rPr>
        <w:t>7</w:t>
      </w:r>
      <w:r w:rsidR="00DE2E5B" w:rsidRPr="00C12C14">
        <w:rPr>
          <w:b/>
          <w:sz w:val="36"/>
          <w:szCs w:val="36"/>
        </w:rPr>
        <w:t>.</w:t>
      </w:r>
      <w:r>
        <w:rPr>
          <w:b/>
          <w:sz w:val="36"/>
          <w:szCs w:val="36"/>
        </w:rPr>
        <w:t>02</w:t>
      </w:r>
      <w:r w:rsidR="00DE2E5B" w:rsidRPr="00C12C14">
        <w:rPr>
          <w:b/>
          <w:sz w:val="36"/>
          <w:szCs w:val="36"/>
        </w:rPr>
        <w:tab/>
      </w:r>
      <w:r w:rsidR="00DE2E5B" w:rsidRPr="001F59D5">
        <w:rPr>
          <w:b/>
          <w:sz w:val="36"/>
          <w:szCs w:val="36"/>
        </w:rPr>
        <w:t xml:space="preserve">BROLUCIZUMAB, </w:t>
      </w:r>
      <w:r w:rsidR="00EC5513">
        <w:rPr>
          <w:b/>
          <w:sz w:val="36"/>
          <w:szCs w:val="36"/>
        </w:rPr>
        <w:br/>
      </w:r>
      <w:r w:rsidR="00A200FC">
        <w:rPr>
          <w:b/>
          <w:sz w:val="36"/>
          <w:szCs w:val="36"/>
        </w:rPr>
        <w:t>S</w:t>
      </w:r>
      <w:r w:rsidR="00DE2E5B" w:rsidRPr="001F59D5">
        <w:rPr>
          <w:b/>
          <w:sz w:val="36"/>
          <w:szCs w:val="36"/>
        </w:rPr>
        <w:t xml:space="preserve">olution for </w:t>
      </w:r>
      <w:r w:rsidR="00DE2E5B">
        <w:rPr>
          <w:b/>
          <w:sz w:val="36"/>
          <w:szCs w:val="36"/>
        </w:rPr>
        <w:t>injection 19.8 mg in 0.165 </w:t>
      </w:r>
      <w:r w:rsidR="00DE2E5B" w:rsidRPr="001F59D5">
        <w:rPr>
          <w:b/>
          <w:sz w:val="36"/>
          <w:szCs w:val="36"/>
        </w:rPr>
        <w:t>mL pre-filled syringe,</w:t>
      </w:r>
      <w:r w:rsidR="00EC5513">
        <w:rPr>
          <w:b/>
          <w:sz w:val="36"/>
          <w:szCs w:val="36"/>
        </w:rPr>
        <w:t xml:space="preserve"> </w:t>
      </w:r>
      <w:r w:rsidR="00EC5513">
        <w:rPr>
          <w:b/>
          <w:sz w:val="36"/>
          <w:szCs w:val="36"/>
        </w:rPr>
        <w:br/>
      </w:r>
      <w:r w:rsidR="00DE2E5B" w:rsidRPr="001F59D5">
        <w:rPr>
          <w:b/>
          <w:sz w:val="36"/>
          <w:szCs w:val="36"/>
        </w:rPr>
        <w:t xml:space="preserve">Beovu®, </w:t>
      </w:r>
      <w:r w:rsidR="00EC5513">
        <w:rPr>
          <w:b/>
          <w:sz w:val="36"/>
          <w:szCs w:val="36"/>
        </w:rPr>
        <w:br/>
      </w:r>
      <w:r w:rsidR="00DE2E5B" w:rsidRPr="001F59D5">
        <w:rPr>
          <w:b/>
          <w:sz w:val="36"/>
          <w:szCs w:val="36"/>
        </w:rPr>
        <w:t>Novartis</w:t>
      </w:r>
      <w:r w:rsidR="00A200FC">
        <w:rPr>
          <w:b/>
          <w:sz w:val="36"/>
          <w:szCs w:val="36"/>
        </w:rPr>
        <w:t xml:space="preserve"> Pharmaceuticals</w:t>
      </w:r>
      <w:r w:rsidR="00DE2E5B" w:rsidRPr="001F59D5">
        <w:rPr>
          <w:b/>
          <w:sz w:val="36"/>
          <w:szCs w:val="36"/>
        </w:rPr>
        <w:t xml:space="preserve"> Australia Pty Ltd</w:t>
      </w:r>
    </w:p>
    <w:p w:rsidR="00DE2E5B" w:rsidRPr="002723CE" w:rsidRDefault="00DE2E5B" w:rsidP="007131D8">
      <w:pPr>
        <w:pStyle w:val="Bodytextitalics"/>
        <w:spacing w:after="0"/>
      </w:pPr>
    </w:p>
    <w:p w:rsidR="00DE2E5B" w:rsidRPr="001E084F" w:rsidRDefault="001E084F" w:rsidP="0086420A">
      <w:pPr>
        <w:pStyle w:val="Heading1"/>
        <w:spacing w:after="120"/>
      </w:pPr>
      <w:bookmarkStart w:id="0" w:name="_Toc61002902"/>
      <w:bookmarkStart w:id="1" w:name="_Toc62041380"/>
      <w:bookmarkStart w:id="2" w:name="_Hlk61279323"/>
      <w:r>
        <w:t>1</w:t>
      </w:r>
      <w:r>
        <w:tab/>
      </w:r>
      <w:r w:rsidR="00DE2E5B" w:rsidRPr="001E084F">
        <w:t>Purpose of Application</w:t>
      </w:r>
      <w:bookmarkEnd w:id="0"/>
      <w:bookmarkEnd w:id="1"/>
    </w:p>
    <w:p w:rsidR="00DE2E5B" w:rsidRPr="006808BF" w:rsidRDefault="00DE2E5B" w:rsidP="00BD7A90">
      <w:pPr>
        <w:pStyle w:val="ListParagraph"/>
        <w:widowControl/>
        <w:numPr>
          <w:ilvl w:val="1"/>
          <w:numId w:val="1"/>
        </w:numPr>
      </w:pPr>
      <w:r w:rsidRPr="006808BF">
        <w:t xml:space="preserve">This </w:t>
      </w:r>
      <w:r w:rsidR="00895A71" w:rsidRPr="006808BF">
        <w:t>re</w:t>
      </w:r>
      <w:r w:rsidRPr="006808BF">
        <w:t>submission requested a</w:t>
      </w:r>
      <w:r w:rsidR="009E7D5A" w:rsidRPr="006808BF">
        <w:t>n</w:t>
      </w:r>
      <w:r w:rsidRPr="006808BF">
        <w:t xml:space="preserve"> Authority Required listing for brolucizumab for the treatment of subfoveal choroidal neovascularisation (CNV) due to age-related macular degeneration (AMD) in patients who are non-responsive </w:t>
      </w:r>
      <w:r w:rsidR="00895A71" w:rsidRPr="006808BF">
        <w:t>(ongoing exudation/fluid) despite first-line anti-vascular endothelial growth factor (VEGF) treatment i.e. a second-line listing</w:t>
      </w:r>
      <w:r w:rsidR="00D93152">
        <w:t>. Brolucizumab was</w:t>
      </w:r>
      <w:r w:rsidR="00977559">
        <w:t xml:space="preserve"> </w:t>
      </w:r>
      <w:r w:rsidRPr="006808BF">
        <w:t>considered</w:t>
      </w:r>
      <w:r w:rsidR="00977559">
        <w:t xml:space="preserve"> </w:t>
      </w:r>
      <w:r w:rsidR="00D93152">
        <w:t>for a first-</w:t>
      </w:r>
      <w:r w:rsidR="00977559">
        <w:t xml:space="preserve">line listing </w:t>
      </w:r>
      <w:r w:rsidRPr="006808BF">
        <w:t>by the PBAC in November 2019</w:t>
      </w:r>
      <w:r w:rsidR="00977559">
        <w:t xml:space="preserve">, </w:t>
      </w:r>
      <w:r w:rsidRPr="006808BF">
        <w:t xml:space="preserve">March 2020 and July 2020. </w:t>
      </w:r>
    </w:p>
    <w:p w:rsidR="00DE2E5B" w:rsidRDefault="00DE2E5B" w:rsidP="00BD7A90">
      <w:pPr>
        <w:pStyle w:val="ListParagraph"/>
        <w:widowControl/>
        <w:numPr>
          <w:ilvl w:val="1"/>
          <w:numId w:val="1"/>
        </w:numPr>
        <w:spacing w:after="120"/>
      </w:pPr>
      <w:r>
        <w:t>The requested listing</w:t>
      </w:r>
      <w:r w:rsidR="00924829">
        <w:t xml:space="preserve"> for second-line use</w:t>
      </w:r>
      <w:r>
        <w:t xml:space="preserve"> was based on a cost-minimisation analysis of brolucizumab to</w:t>
      </w:r>
      <w:r w:rsidR="00924829">
        <w:t xml:space="preserve"> first-line agents</w:t>
      </w:r>
      <w:r>
        <w:t xml:space="preserve"> aflibercept (main comparator) and ranibizumab (secondary comparator)</w:t>
      </w:r>
      <w:r w:rsidR="00924829">
        <w:t>.</w:t>
      </w:r>
      <w:r>
        <w:t xml:space="preserve"> </w:t>
      </w:r>
      <w:r w:rsidR="00924829">
        <w:t xml:space="preserve">The submission incorporated </w:t>
      </w:r>
      <w:r w:rsidR="00895A71">
        <w:t xml:space="preserve">a </w:t>
      </w:r>
      <w:r w:rsidR="00895A71" w:rsidRPr="00BB2EBF">
        <w:t>5</w:t>
      </w:r>
      <w:r w:rsidR="00895A71">
        <w:t>% price reduction</w:t>
      </w:r>
      <w:r w:rsidR="00924829">
        <w:t xml:space="preserve"> for brolucizumab, </w:t>
      </w:r>
      <w:r w:rsidR="00924829" w:rsidRPr="006A2536">
        <w:t xml:space="preserve">which </w:t>
      </w:r>
      <w:r w:rsidR="00895A71" w:rsidRPr="006A2536">
        <w:t xml:space="preserve">was </w:t>
      </w:r>
      <w:r w:rsidR="002B7FA5" w:rsidRPr="006A2536">
        <w:t>an</w:t>
      </w:r>
      <w:r w:rsidR="00895A71" w:rsidRPr="006A2536">
        <w:t xml:space="preserve"> acknowledgement</w:t>
      </w:r>
      <w:r w:rsidR="00895A71" w:rsidRPr="00A948F4">
        <w:t xml:space="preserve"> that there may be uncertain costs in managing brolucizumab-specific safety events in clinical practice</w:t>
      </w:r>
      <w:r>
        <w:t>. The key components of the clinical issue addressed by the submission are summarised</w:t>
      </w:r>
      <w:r w:rsidR="00BD6A57">
        <w:t xml:space="preserve"> in Table 1</w:t>
      </w:r>
      <w:r>
        <w:t>.</w:t>
      </w:r>
    </w:p>
    <w:p w:rsidR="00DE2E5B" w:rsidRPr="00895A71" w:rsidRDefault="00895A71" w:rsidP="00895A71">
      <w:pPr>
        <w:pStyle w:val="Caption"/>
        <w:keepNext/>
        <w:spacing w:after="0"/>
        <w:rPr>
          <w:rStyle w:val="CommentReference"/>
          <w:b/>
          <w:bCs w:val="0"/>
          <w:color w:val="auto"/>
          <w:szCs w:val="20"/>
        </w:rPr>
      </w:pPr>
      <w:r w:rsidRPr="00895A71">
        <w:rPr>
          <w:rFonts w:ascii="Arial Narrow" w:hAnsi="Arial Narrow"/>
          <w:color w:val="auto"/>
          <w:sz w:val="20"/>
          <w:szCs w:val="20"/>
        </w:rPr>
        <w:t xml:space="preserve">Table </w:t>
      </w:r>
      <w:r w:rsidR="00CD7BF3">
        <w:rPr>
          <w:rFonts w:ascii="Arial Narrow" w:hAnsi="Arial Narrow"/>
          <w:noProof/>
          <w:color w:val="auto"/>
          <w:sz w:val="20"/>
          <w:szCs w:val="20"/>
        </w:rPr>
        <w:t>1</w:t>
      </w:r>
      <w:r w:rsidRPr="00895A71">
        <w:rPr>
          <w:rStyle w:val="CommentReference"/>
          <w:color w:val="auto"/>
          <w:szCs w:val="20"/>
        </w:rPr>
        <w:t>:</w:t>
      </w:r>
      <w:r w:rsidR="00DE2E5B" w:rsidRPr="00895A71">
        <w:rPr>
          <w:rStyle w:val="CommentReference"/>
          <w:b/>
          <w:bCs w:val="0"/>
          <w:color w:val="auto"/>
          <w:szCs w:val="20"/>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DE2E5B" w:rsidRPr="00A518F3" w:rsidTr="00DE2E5B">
        <w:tc>
          <w:tcPr>
            <w:tcW w:w="1668" w:type="dxa"/>
            <w:vAlign w:val="center"/>
          </w:tcPr>
          <w:p w:rsidR="00DE2E5B" w:rsidRPr="00A518F3" w:rsidRDefault="00DE2E5B" w:rsidP="00895A71">
            <w:pPr>
              <w:pStyle w:val="Tabletext"/>
              <w:keepNext/>
              <w:rPr>
                <w:b/>
              </w:rPr>
            </w:pPr>
            <w:r w:rsidRPr="00A518F3">
              <w:rPr>
                <w:b/>
              </w:rPr>
              <w:t>Component</w:t>
            </w:r>
          </w:p>
        </w:tc>
        <w:tc>
          <w:tcPr>
            <w:tcW w:w="7488" w:type="dxa"/>
            <w:vAlign w:val="center"/>
          </w:tcPr>
          <w:p w:rsidR="00DE2E5B" w:rsidRPr="00A518F3" w:rsidRDefault="00DE2E5B" w:rsidP="00895A71">
            <w:pPr>
              <w:pStyle w:val="Tabletext"/>
              <w:keepNext/>
              <w:jc w:val="center"/>
              <w:rPr>
                <w:b/>
              </w:rPr>
            </w:pPr>
            <w:r w:rsidRPr="00A518F3">
              <w:rPr>
                <w:b/>
              </w:rPr>
              <w:t>Description</w:t>
            </w:r>
          </w:p>
        </w:tc>
      </w:tr>
      <w:tr w:rsidR="00DE2E5B" w:rsidTr="00DE2E5B">
        <w:tc>
          <w:tcPr>
            <w:tcW w:w="1668" w:type="dxa"/>
            <w:vAlign w:val="center"/>
          </w:tcPr>
          <w:p w:rsidR="00DE2E5B" w:rsidRPr="00AE5EC3" w:rsidRDefault="00DE2E5B" w:rsidP="00895A71">
            <w:pPr>
              <w:pStyle w:val="Tabletext"/>
              <w:keepNext/>
            </w:pPr>
            <w:r w:rsidRPr="00AE5EC3">
              <w:t>Population</w:t>
            </w:r>
          </w:p>
        </w:tc>
        <w:tc>
          <w:tcPr>
            <w:tcW w:w="7488" w:type="dxa"/>
            <w:tcBorders>
              <w:top w:val="single" w:sz="4" w:space="0" w:color="auto"/>
            </w:tcBorders>
          </w:tcPr>
          <w:p w:rsidR="00DE2E5B" w:rsidRPr="00AE5EC3" w:rsidRDefault="00DE2E5B" w:rsidP="00895A71">
            <w:pPr>
              <w:pStyle w:val="Tabletext"/>
              <w:keepNext/>
            </w:pPr>
            <w:r w:rsidRPr="00AE5EC3">
              <w:t>Patient</w:t>
            </w:r>
            <w:r>
              <w:t>s with neovascular (wet) AMD</w:t>
            </w:r>
            <w:r w:rsidRPr="00AE5EC3">
              <w:t xml:space="preserve"> who are non-responsive to prior anti-VEGF therapy</w:t>
            </w:r>
          </w:p>
        </w:tc>
      </w:tr>
      <w:tr w:rsidR="00895A71" w:rsidTr="00DE2E5B">
        <w:tc>
          <w:tcPr>
            <w:tcW w:w="1668" w:type="dxa"/>
            <w:vAlign w:val="center"/>
          </w:tcPr>
          <w:p w:rsidR="00895A71" w:rsidRPr="00AE5EC3" w:rsidRDefault="00895A71" w:rsidP="00895A71">
            <w:pPr>
              <w:pStyle w:val="Tabletext"/>
              <w:keepNext/>
            </w:pPr>
            <w:r w:rsidRPr="00AE5EC3">
              <w:t>Intervention</w:t>
            </w:r>
          </w:p>
        </w:tc>
        <w:tc>
          <w:tcPr>
            <w:tcW w:w="7488" w:type="dxa"/>
          </w:tcPr>
          <w:p w:rsidR="00895A71" w:rsidRPr="00AE5EC3" w:rsidRDefault="00895A71" w:rsidP="00895A71">
            <w:pPr>
              <w:pStyle w:val="Tabletext"/>
              <w:keepNext/>
            </w:pPr>
            <w:r>
              <w:t xml:space="preserve">Brolucizumab 6 mg every 4 weeks for the first three doses, with subsequent treatment every 8 or 12 weeks, dependent on disease activity as assessed by visual acuity and/or anatomical parameters. </w:t>
            </w:r>
          </w:p>
        </w:tc>
      </w:tr>
      <w:tr w:rsidR="00895A71" w:rsidTr="00DE2E5B">
        <w:tc>
          <w:tcPr>
            <w:tcW w:w="1668" w:type="dxa"/>
            <w:vAlign w:val="center"/>
          </w:tcPr>
          <w:p w:rsidR="00895A71" w:rsidRPr="00AE5EC3" w:rsidRDefault="00895A71" w:rsidP="00895A71">
            <w:pPr>
              <w:pStyle w:val="Tabletext"/>
              <w:keepNext/>
            </w:pPr>
            <w:r w:rsidRPr="00AE5EC3">
              <w:t>Comparators</w:t>
            </w:r>
          </w:p>
        </w:tc>
        <w:tc>
          <w:tcPr>
            <w:tcW w:w="7488" w:type="dxa"/>
          </w:tcPr>
          <w:p w:rsidR="00895A71" w:rsidRDefault="00895A71" w:rsidP="00895A71">
            <w:pPr>
              <w:pStyle w:val="Tabletext"/>
              <w:keepNext/>
            </w:pPr>
            <w:r w:rsidRPr="00FF3536">
              <w:rPr>
                <w:u w:val="single"/>
              </w:rPr>
              <w:t>Main comparator</w:t>
            </w:r>
            <w:r>
              <w:t xml:space="preserve">: Aflibercept 2 mg every month for three months, followed by treatment every two months (treatment may continue every two months or be adjusted to longer intervals between treatments based on </w:t>
            </w:r>
            <w:r w:rsidRPr="00FF3536">
              <w:t>the physician’s judgement of visual and/or anatomic outcomes</w:t>
            </w:r>
            <w:r>
              <w:t>. Treatment intervals greater than four months (16 weeks) between injections have not been studied).</w:t>
            </w:r>
            <w:r w:rsidDel="00FF3536">
              <w:t xml:space="preserve"> </w:t>
            </w:r>
            <w:r>
              <w:t xml:space="preserve"> </w:t>
            </w:r>
          </w:p>
          <w:p w:rsidR="00895A71" w:rsidRPr="00AE5EC3" w:rsidRDefault="00895A71" w:rsidP="00895A71">
            <w:pPr>
              <w:pStyle w:val="Tabletext"/>
              <w:keepNext/>
            </w:pPr>
            <w:r>
              <w:rPr>
                <w:u w:val="single"/>
              </w:rPr>
              <w:t>S</w:t>
            </w:r>
            <w:r w:rsidRPr="00FF3536">
              <w:rPr>
                <w:u w:val="single"/>
              </w:rPr>
              <w:t>econdary comparator</w:t>
            </w:r>
            <w:r w:rsidRPr="00FF3536">
              <w:t>:</w:t>
            </w:r>
            <w:r>
              <w:t xml:space="preserve"> Ranibizumab</w:t>
            </w:r>
            <w:r>
              <w:rPr>
                <w:vertAlign w:val="superscript"/>
              </w:rPr>
              <w:t xml:space="preserve"> </w:t>
            </w:r>
            <w:r>
              <w:t>0.5 mg every month until maximum visual acuity is achieved and/or there are no signs of disease activity. Thereafter, monitoring and treatment intervals should be determined by the physician and should be based on disease activity, as assessed by visual acuity and/or anatomical parameters.</w:t>
            </w:r>
            <w:r w:rsidDel="00FF3536">
              <w:t xml:space="preserve"> </w:t>
            </w:r>
          </w:p>
        </w:tc>
      </w:tr>
      <w:tr w:rsidR="00DE2E5B" w:rsidTr="00DE2E5B">
        <w:trPr>
          <w:trHeight w:val="209"/>
        </w:trPr>
        <w:tc>
          <w:tcPr>
            <w:tcW w:w="1668" w:type="dxa"/>
            <w:vAlign w:val="center"/>
          </w:tcPr>
          <w:p w:rsidR="00DE2E5B" w:rsidRPr="00AE5EC3" w:rsidRDefault="00DE2E5B" w:rsidP="00895A71">
            <w:pPr>
              <w:pStyle w:val="Tabletext"/>
              <w:keepNext/>
            </w:pPr>
            <w:r w:rsidRPr="00AE5EC3">
              <w:t>Outcomes</w:t>
            </w:r>
          </w:p>
        </w:tc>
        <w:tc>
          <w:tcPr>
            <w:tcW w:w="7488" w:type="dxa"/>
          </w:tcPr>
          <w:p w:rsidR="00DE2E5B" w:rsidRPr="00AE5EC3" w:rsidRDefault="00DE2E5B" w:rsidP="00895A71">
            <w:pPr>
              <w:pStyle w:val="Tabletext"/>
              <w:keepNext/>
            </w:pPr>
            <w:r w:rsidRPr="00AE5EC3">
              <w:t>Anatomical changes: Reduction of disease activity at 16 weeks and change from baseline in Central Subfield Thickness</w:t>
            </w:r>
          </w:p>
          <w:p w:rsidR="00DE2E5B" w:rsidRPr="00AE5EC3" w:rsidRDefault="00DE2E5B" w:rsidP="00895A71">
            <w:pPr>
              <w:pStyle w:val="Tabletext"/>
              <w:keepNext/>
            </w:pPr>
            <w:r w:rsidRPr="00AE5EC3">
              <w:t>Functional changes: Visual acuity</w:t>
            </w:r>
          </w:p>
          <w:p w:rsidR="00DE2E5B" w:rsidRPr="00AE5EC3" w:rsidRDefault="00DE2E5B" w:rsidP="00895A71">
            <w:pPr>
              <w:pStyle w:val="Tabletext"/>
              <w:keepNext/>
            </w:pPr>
            <w:r w:rsidRPr="00AE5EC3">
              <w:t>Adverse events</w:t>
            </w:r>
          </w:p>
        </w:tc>
      </w:tr>
      <w:tr w:rsidR="00DE2E5B" w:rsidTr="00DE2E5B">
        <w:tc>
          <w:tcPr>
            <w:tcW w:w="1668" w:type="dxa"/>
            <w:vAlign w:val="center"/>
          </w:tcPr>
          <w:p w:rsidR="00DE2E5B" w:rsidRPr="00AE5EC3" w:rsidRDefault="00DE2E5B" w:rsidP="00895A71">
            <w:pPr>
              <w:pStyle w:val="Tabletext"/>
              <w:keepNext/>
            </w:pPr>
            <w:r w:rsidRPr="00AE5EC3">
              <w:t>Clinical claim</w:t>
            </w:r>
          </w:p>
        </w:tc>
        <w:tc>
          <w:tcPr>
            <w:tcW w:w="7488" w:type="dxa"/>
            <w:vAlign w:val="center"/>
          </w:tcPr>
          <w:p w:rsidR="00DE2E5B" w:rsidRPr="00AE5EC3" w:rsidRDefault="00DE2E5B" w:rsidP="00895A71">
            <w:pPr>
              <w:pStyle w:val="Tabletext"/>
              <w:keepNext/>
            </w:pPr>
            <w:r w:rsidRPr="00AE5EC3">
              <w:t>Brolucizumab is superior in terms of efficacy and marginally inferior in terms of safety compared to VEGF inhibitors aflibercept and ranibizumab when used to treat patients with wet AMD who are non-responsive to prior anti-VEGF.</w:t>
            </w:r>
          </w:p>
        </w:tc>
      </w:tr>
    </w:tbl>
    <w:p w:rsidR="00DE2E5B" w:rsidRDefault="00DE2E5B" w:rsidP="00895A71">
      <w:pPr>
        <w:pStyle w:val="TableFooter"/>
        <w:keepNext/>
      </w:pPr>
      <w:r>
        <w:t>AMD = age-related macular degeneration, VEGF = vascular endothelial growth factor</w:t>
      </w:r>
    </w:p>
    <w:p w:rsidR="00DE2E5B" w:rsidRPr="0023209F" w:rsidRDefault="00DE2E5B" w:rsidP="00895A71">
      <w:pPr>
        <w:pStyle w:val="TableFooter"/>
        <w:keepNext/>
        <w:rPr>
          <w:sz w:val="20"/>
        </w:rPr>
      </w:pPr>
      <w:r>
        <w:t xml:space="preserve">Source: Table 1.1 </w:t>
      </w:r>
      <w:r w:rsidRPr="00D13A3E">
        <w:t xml:space="preserve">of the </w:t>
      </w:r>
      <w:r w:rsidR="00895A71">
        <w:t>re</w:t>
      </w:r>
      <w:r>
        <w:t>submission</w:t>
      </w:r>
    </w:p>
    <w:p w:rsidR="00DE2E5B" w:rsidRPr="00882085" w:rsidRDefault="002F6087" w:rsidP="00DE2E5B">
      <w:r>
        <w:br/>
      </w:r>
    </w:p>
    <w:p w:rsidR="002F3F66" w:rsidRPr="002A7D1F" w:rsidRDefault="002F3F66" w:rsidP="002F3F66">
      <w:pPr>
        <w:pStyle w:val="PBACHeading1"/>
        <w:outlineLvl w:val="0"/>
      </w:pPr>
      <w:bookmarkStart w:id="3" w:name="_Toc61267747"/>
      <w:bookmarkStart w:id="4" w:name="_Toc62041381"/>
      <w:bookmarkStart w:id="5" w:name="_Toc61002903"/>
      <w:r w:rsidRPr="002A7D1F">
        <w:lastRenderedPageBreak/>
        <w:t>Requested listing</w:t>
      </w:r>
      <w:bookmarkEnd w:id="3"/>
      <w:bookmarkEnd w:id="4"/>
    </w:p>
    <w:bookmarkEnd w:id="5"/>
    <w:p w:rsidR="00DE2E5B" w:rsidRDefault="00DE2E5B" w:rsidP="00DE2E5B">
      <w:pPr>
        <w:rPr>
          <w:rStyle w:val="CommentReference"/>
        </w:rPr>
      </w:pPr>
    </w:p>
    <w:p w:rsidR="00E326CC" w:rsidRPr="00E326CC" w:rsidRDefault="00E326CC" w:rsidP="00BD7A90">
      <w:pPr>
        <w:pStyle w:val="ListParagraph"/>
        <w:widowControl/>
        <w:numPr>
          <w:ilvl w:val="1"/>
          <w:numId w:val="1"/>
        </w:numPr>
        <w:rPr>
          <w:rStyle w:val="CommentReference"/>
          <w:rFonts w:ascii="Calibri" w:hAnsi="Calibri"/>
          <w:b w:val="0"/>
          <w:sz w:val="24"/>
          <w:szCs w:val="22"/>
        </w:rPr>
      </w:pPr>
      <w:r w:rsidRPr="001B446F">
        <w:t>The requested listing is provided below. Suggested additions are in italics and deletions are in strikethrough</w:t>
      </w:r>
      <w:r w:rsidRPr="001B446F">
        <w:rPr>
          <w:i/>
        </w:rPr>
        <w:t>.</w:t>
      </w:r>
    </w:p>
    <w:p w:rsidR="00E326CC" w:rsidRDefault="00E326CC" w:rsidP="00DE2E5B">
      <w:pPr>
        <w:rPr>
          <w:rStyle w:val="CommentReference"/>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13"/>
        <w:gridCol w:w="1172"/>
        <w:gridCol w:w="1136"/>
        <w:gridCol w:w="850"/>
        <w:gridCol w:w="1894"/>
        <w:gridCol w:w="1562"/>
      </w:tblGrid>
      <w:tr w:rsidR="00DE2E5B" w:rsidRPr="007D2D5F" w:rsidTr="00DE2E5B">
        <w:tc>
          <w:tcPr>
            <w:tcW w:w="1337" w:type="pct"/>
          </w:tcPr>
          <w:p w:rsidR="00DE2E5B" w:rsidRPr="002C71CE" w:rsidRDefault="00DE2E5B" w:rsidP="00DE2E5B">
            <w:pPr>
              <w:pStyle w:val="Tabletext"/>
              <w:rPr>
                <w:b/>
                <w:bCs/>
              </w:rPr>
            </w:pPr>
            <w:r w:rsidRPr="002C71CE">
              <w:rPr>
                <w:b/>
              </w:rPr>
              <w:t>Name, restriction, manner of administration, form</w:t>
            </w:r>
          </w:p>
        </w:tc>
        <w:tc>
          <w:tcPr>
            <w:tcW w:w="649" w:type="pct"/>
          </w:tcPr>
          <w:p w:rsidR="00DE2E5B" w:rsidRPr="002C71CE" w:rsidRDefault="00DE2E5B" w:rsidP="00DE2E5B">
            <w:pPr>
              <w:pStyle w:val="Tabletext"/>
              <w:jc w:val="center"/>
              <w:rPr>
                <w:b/>
                <w:bCs/>
              </w:rPr>
            </w:pPr>
            <w:r w:rsidRPr="002C71CE">
              <w:rPr>
                <w:b/>
              </w:rPr>
              <w:t>Maximum quantity (packs)</w:t>
            </w:r>
          </w:p>
        </w:tc>
        <w:tc>
          <w:tcPr>
            <w:tcW w:w="629" w:type="pct"/>
          </w:tcPr>
          <w:p w:rsidR="00DE2E5B" w:rsidRPr="002C71CE" w:rsidRDefault="00DE2E5B" w:rsidP="00DE2E5B">
            <w:pPr>
              <w:pStyle w:val="Tabletext"/>
              <w:jc w:val="center"/>
              <w:rPr>
                <w:b/>
                <w:bCs/>
              </w:rPr>
            </w:pPr>
            <w:r w:rsidRPr="002C71CE">
              <w:rPr>
                <w:b/>
              </w:rPr>
              <w:t>Maximum quantity (units)</w:t>
            </w:r>
          </w:p>
        </w:tc>
        <w:tc>
          <w:tcPr>
            <w:tcW w:w="471" w:type="pct"/>
          </w:tcPr>
          <w:p w:rsidR="00DE2E5B" w:rsidRPr="002C71CE" w:rsidRDefault="00DE2E5B" w:rsidP="00DE2E5B">
            <w:pPr>
              <w:pStyle w:val="Tabletext"/>
              <w:rPr>
                <w:b/>
                <w:bCs/>
              </w:rPr>
            </w:pPr>
            <w:r w:rsidRPr="002C71CE">
              <w:rPr>
                <w:b/>
              </w:rPr>
              <w:t>No. of repeats</w:t>
            </w:r>
          </w:p>
        </w:tc>
        <w:tc>
          <w:tcPr>
            <w:tcW w:w="1049" w:type="pct"/>
          </w:tcPr>
          <w:p w:rsidR="00DE2E5B" w:rsidRPr="002C71CE" w:rsidRDefault="00DE2E5B" w:rsidP="00DE2E5B">
            <w:pPr>
              <w:pStyle w:val="Tabletext"/>
              <w:rPr>
                <w:b/>
                <w:bCs/>
              </w:rPr>
            </w:pPr>
            <w:r w:rsidRPr="002C71CE">
              <w:rPr>
                <w:b/>
              </w:rPr>
              <w:t>Dispensed price for maximum quantity</w:t>
            </w:r>
          </w:p>
        </w:tc>
        <w:tc>
          <w:tcPr>
            <w:tcW w:w="865" w:type="pct"/>
          </w:tcPr>
          <w:p w:rsidR="00DE2E5B" w:rsidRPr="002C71CE" w:rsidRDefault="00DE2E5B" w:rsidP="00DE2E5B">
            <w:pPr>
              <w:pStyle w:val="Tabletext"/>
              <w:rPr>
                <w:b/>
                <w:bCs/>
              </w:rPr>
            </w:pPr>
            <w:r w:rsidRPr="002C71CE">
              <w:rPr>
                <w:b/>
              </w:rPr>
              <w:t>Proprietary name and manufacturer</w:t>
            </w:r>
          </w:p>
        </w:tc>
      </w:tr>
      <w:tr w:rsidR="00DE2E5B" w:rsidRPr="00151E16" w:rsidTr="00DE2E5B">
        <w:tc>
          <w:tcPr>
            <w:tcW w:w="1337" w:type="pct"/>
          </w:tcPr>
          <w:p w:rsidR="00DE2E5B" w:rsidRPr="00151E16" w:rsidRDefault="00DE2E5B" w:rsidP="00DE2E5B">
            <w:pPr>
              <w:pStyle w:val="Tabletext"/>
            </w:pPr>
            <w:r w:rsidRPr="00151E16">
              <w:t>BROLUCIZUMAB</w:t>
            </w:r>
          </w:p>
          <w:p w:rsidR="00DE2E5B" w:rsidRPr="00151E16" w:rsidRDefault="00DE2E5B" w:rsidP="00DE2E5B">
            <w:pPr>
              <w:pStyle w:val="Tabletext"/>
            </w:pPr>
            <w:r w:rsidRPr="00151E16">
              <w:t>solution for intravitreal injection</w:t>
            </w:r>
          </w:p>
          <w:p w:rsidR="00DE2E5B" w:rsidRPr="00151E16" w:rsidRDefault="00DE2E5B" w:rsidP="00DE2E5B">
            <w:pPr>
              <w:pStyle w:val="Tabletext"/>
              <w:rPr>
                <w:b/>
                <w:bCs/>
              </w:rPr>
            </w:pPr>
            <w:r w:rsidRPr="00151E16">
              <w:t>19.8</w:t>
            </w:r>
            <w:r>
              <w:t> </w:t>
            </w:r>
            <w:r w:rsidRPr="00151E16">
              <w:t>mg in 0.165</w:t>
            </w:r>
            <w:r>
              <w:t> </w:t>
            </w:r>
            <w:r w:rsidRPr="00151E16">
              <w:t>mL syringe</w:t>
            </w:r>
          </w:p>
        </w:tc>
        <w:tc>
          <w:tcPr>
            <w:tcW w:w="649" w:type="pct"/>
          </w:tcPr>
          <w:p w:rsidR="00DE2E5B" w:rsidRPr="00151E16" w:rsidRDefault="00DE2E5B" w:rsidP="00DE2E5B">
            <w:pPr>
              <w:pStyle w:val="Tabletext"/>
              <w:jc w:val="center"/>
              <w:rPr>
                <w:rFonts w:ascii="Times" w:hAnsi="Times"/>
              </w:rPr>
            </w:pPr>
            <w:r w:rsidRPr="00151E16">
              <w:t>1</w:t>
            </w:r>
          </w:p>
        </w:tc>
        <w:tc>
          <w:tcPr>
            <w:tcW w:w="629" w:type="pct"/>
          </w:tcPr>
          <w:p w:rsidR="00DE2E5B" w:rsidRPr="00151E16" w:rsidRDefault="00DE2E5B" w:rsidP="00DE2E5B">
            <w:pPr>
              <w:pStyle w:val="Tabletext"/>
              <w:jc w:val="center"/>
              <w:rPr>
                <w:rFonts w:ascii="Times" w:hAnsi="Times"/>
              </w:rPr>
            </w:pPr>
            <w:r w:rsidRPr="00151E16">
              <w:t>1</w:t>
            </w:r>
          </w:p>
        </w:tc>
        <w:tc>
          <w:tcPr>
            <w:tcW w:w="471" w:type="pct"/>
          </w:tcPr>
          <w:p w:rsidR="00DE2E5B" w:rsidRPr="00151E16" w:rsidRDefault="00DE2E5B" w:rsidP="00DE2E5B">
            <w:pPr>
              <w:pStyle w:val="Tabletext"/>
              <w:jc w:val="center"/>
              <w:rPr>
                <w:rFonts w:ascii="Times" w:hAnsi="Times"/>
              </w:rPr>
            </w:pPr>
            <w:r w:rsidRPr="00151E16">
              <w:t>2</w:t>
            </w:r>
          </w:p>
        </w:tc>
        <w:tc>
          <w:tcPr>
            <w:tcW w:w="1049" w:type="pct"/>
          </w:tcPr>
          <w:p w:rsidR="00DE2E5B" w:rsidRDefault="00DE2E5B" w:rsidP="00DE2E5B">
            <w:pPr>
              <w:pStyle w:val="Tabletext"/>
            </w:pPr>
            <w:r>
              <w:t>$1,042.89 (published)</w:t>
            </w:r>
          </w:p>
          <w:p w:rsidR="00895A71" w:rsidRPr="000D32CD" w:rsidRDefault="00895A71" w:rsidP="00DE2E5B">
            <w:pPr>
              <w:pStyle w:val="Tabletext"/>
            </w:pPr>
            <w:r>
              <w:t>$</w:t>
            </w:r>
            <w:r w:rsidR="00FF1746">
              <w:rPr>
                <w:noProof/>
                <w:color w:val="000000"/>
                <w:highlight w:val="black"/>
              </w:rPr>
              <w:t>''''''''''''''''''</w:t>
            </w:r>
            <w:r>
              <w:t xml:space="preserve"> (effective)</w:t>
            </w:r>
          </w:p>
        </w:tc>
        <w:tc>
          <w:tcPr>
            <w:tcW w:w="865" w:type="pct"/>
          </w:tcPr>
          <w:p w:rsidR="00DE2E5B" w:rsidRPr="00151E16" w:rsidRDefault="00DE2E5B" w:rsidP="00DE2E5B">
            <w:pPr>
              <w:pStyle w:val="Tabletext"/>
            </w:pPr>
            <w:r w:rsidRPr="00151E16">
              <w:t>Beovu</w:t>
            </w:r>
            <w:r w:rsidRPr="00151E16">
              <w:rPr>
                <w:vertAlign w:val="superscript"/>
              </w:rPr>
              <w:t>®</w:t>
            </w:r>
          </w:p>
          <w:p w:rsidR="00DE2E5B" w:rsidRPr="00151E16" w:rsidRDefault="00DE2E5B" w:rsidP="00DE2E5B">
            <w:pPr>
              <w:pStyle w:val="Tabletext"/>
              <w:rPr>
                <w:rFonts w:ascii="Times" w:hAnsi="Times"/>
              </w:rPr>
            </w:pPr>
            <w:r w:rsidRPr="00151E16">
              <w:t>Novartis Australia Pty Ltd</w:t>
            </w:r>
          </w:p>
        </w:tc>
      </w:tr>
    </w:tbl>
    <w:p w:rsidR="00E326CC" w:rsidRPr="006A2536" w:rsidRDefault="00E326CC" w:rsidP="00E326CC">
      <w:pPr>
        <w:pStyle w:val="Bodytextitalics"/>
        <w:keepNext/>
        <w:keepLines/>
        <w:spacing w:after="0"/>
        <w:rPr>
          <w:rFonts w:ascii="Arial Narrow" w:hAnsi="Arial Narrow"/>
          <w:b/>
          <w:i w:val="0"/>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50DC" w:rsidRPr="00E326CC" w:rsidTr="00B150DC">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sz w:val="18"/>
                <w:szCs w:val="18"/>
              </w:rPr>
            </w:pPr>
            <w:r w:rsidRPr="00E326CC">
              <w:rPr>
                <w:rFonts w:ascii="Arial Narrow" w:hAnsi="Arial Narrow"/>
                <w:b/>
                <w:sz w:val="18"/>
                <w:szCs w:val="18"/>
              </w:rPr>
              <w:t xml:space="preserve">Category / Program:   </w:t>
            </w:r>
            <w:r w:rsidRPr="00E326CC">
              <w:rPr>
                <w:rFonts w:ascii="Arial Narrow" w:hAnsi="Arial Narrow"/>
                <w:sz w:val="18"/>
                <w:szCs w:val="18"/>
              </w:rPr>
              <w:t xml:space="preserve">GENERAL – General Schedule (Code GE) </w:t>
            </w:r>
          </w:p>
        </w:tc>
      </w:tr>
      <w:tr w:rsidR="00B150DC" w:rsidRPr="00E326CC" w:rsidTr="00B150DC">
        <w:trPr>
          <w:trHeight w:val="240"/>
        </w:trPr>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b/>
                <w:sz w:val="18"/>
                <w:szCs w:val="18"/>
              </w:rPr>
            </w:pPr>
            <w:r w:rsidRPr="00E326CC">
              <w:rPr>
                <w:rFonts w:ascii="Arial Narrow" w:hAnsi="Arial Narrow"/>
                <w:b/>
                <w:sz w:val="18"/>
                <w:szCs w:val="18"/>
              </w:rPr>
              <w:t xml:space="preserve">Prescriber type:   </w:t>
            </w: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Dental    </w:t>
            </w:r>
            <w:r w:rsidRPr="00E326CC">
              <w:rPr>
                <w:rFonts w:ascii="Arial Narrow" w:hAnsi="Arial Narrow"/>
                <w:sz w:val="18"/>
                <w:szCs w:val="18"/>
              </w:rPr>
              <w:fldChar w:fldCharType="begin">
                <w:ffData>
                  <w:name w:val=""/>
                  <w:enabled/>
                  <w:calcOnExit w:val="0"/>
                  <w:checkBox>
                    <w:sizeAuto/>
                    <w:default w:val="1"/>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Medical Practitioners    </w:t>
            </w:r>
            <w:r w:rsidRPr="00E326CC">
              <w:rPr>
                <w:rFonts w:ascii="Arial Narrow" w:hAnsi="Arial Narrow"/>
                <w:sz w:val="18"/>
                <w:szCs w:val="18"/>
              </w:rPr>
              <w:fldChar w:fldCharType="begin">
                <w:ffData>
                  <w:name w:val="Check3"/>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Nurse practitioners     </w:t>
            </w:r>
            <w:r w:rsidRPr="00E326CC">
              <w:rPr>
                <w:rFonts w:ascii="Arial Narrow" w:hAnsi="Arial Narrow"/>
                <w:sz w:val="18"/>
                <w:szCs w:val="18"/>
              </w:rPr>
              <w:fldChar w:fldCharType="begin">
                <w:ffData>
                  <w:name w:val=""/>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Optometrists    </w:t>
            </w:r>
            <w:r w:rsidRPr="00E326CC">
              <w:rPr>
                <w:rFonts w:ascii="Arial Narrow" w:hAnsi="Arial Narrow"/>
                <w:sz w:val="18"/>
                <w:szCs w:val="18"/>
              </w:rPr>
              <w:fldChar w:fldCharType="begin">
                <w:ffData>
                  <w:name w:val="Check5"/>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Midwives</w:t>
            </w:r>
          </w:p>
        </w:tc>
      </w:tr>
      <w:tr w:rsidR="00B150DC" w:rsidRPr="00E326CC" w:rsidTr="00B150DC">
        <w:trPr>
          <w:trHeight w:val="1365"/>
        </w:trPr>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b/>
                <w:sz w:val="18"/>
                <w:szCs w:val="18"/>
              </w:rPr>
            </w:pPr>
            <w:r w:rsidRPr="00E326CC">
              <w:rPr>
                <w:rFonts w:ascii="Arial Narrow" w:hAnsi="Arial Narrow"/>
                <w:b/>
                <w:sz w:val="18"/>
                <w:szCs w:val="18"/>
              </w:rPr>
              <w:t>Restriction Level / Method:</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Unrestricted benefit</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Restricted benefit</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
                  <w:enabled/>
                  <w:calcOnExit w:val="0"/>
                  <w:checkBox>
                    <w:sizeAuto/>
                    <w:default w:val="1"/>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Authority Required – In Writing</w:t>
            </w:r>
          </w:p>
          <w:p w:rsidR="00B150DC" w:rsidRPr="00E326CC" w:rsidRDefault="00B150DC" w:rsidP="00D61085">
            <w:pPr>
              <w:keepNext/>
              <w:keepLines/>
              <w:rPr>
                <w:rFonts w:ascii="Arial Narrow" w:hAnsi="Arial Narrow"/>
                <w:strike/>
                <w:sz w:val="18"/>
                <w:szCs w:val="18"/>
              </w:rPr>
            </w:pPr>
            <w:r w:rsidRPr="00E326CC">
              <w:rPr>
                <w:rFonts w:ascii="Arial Narrow" w:hAnsi="Arial Narrow"/>
                <w:strike/>
                <w:sz w:val="18"/>
                <w:szCs w:val="18"/>
              </w:rPr>
              <w:fldChar w:fldCharType="begin">
                <w:ffData>
                  <w:name w:val="Check3"/>
                  <w:enabled/>
                  <w:calcOnExit w:val="0"/>
                  <w:checkBox>
                    <w:sizeAuto/>
                    <w:default w:val="1"/>
                  </w:checkBox>
                </w:ffData>
              </w:fldChar>
            </w:r>
            <w:r w:rsidRPr="00E326CC">
              <w:rPr>
                <w:rFonts w:ascii="Arial Narrow" w:hAnsi="Arial Narrow"/>
                <w:strike/>
                <w:sz w:val="18"/>
                <w:szCs w:val="18"/>
              </w:rPr>
              <w:instrText xml:space="preserve"> FORMCHECKBOX </w:instrText>
            </w:r>
            <w:r w:rsidR="0071631D">
              <w:rPr>
                <w:rFonts w:ascii="Arial Narrow" w:hAnsi="Arial Narrow"/>
                <w:strike/>
                <w:sz w:val="18"/>
                <w:szCs w:val="18"/>
              </w:rPr>
            </w:r>
            <w:r w:rsidR="0071631D">
              <w:rPr>
                <w:rFonts w:ascii="Arial Narrow" w:hAnsi="Arial Narrow"/>
                <w:strike/>
                <w:sz w:val="18"/>
                <w:szCs w:val="18"/>
              </w:rPr>
              <w:fldChar w:fldCharType="separate"/>
            </w:r>
            <w:r w:rsidRPr="00E326CC">
              <w:rPr>
                <w:rFonts w:ascii="Arial Narrow" w:hAnsi="Arial Narrow"/>
                <w:strike/>
                <w:sz w:val="18"/>
                <w:szCs w:val="18"/>
              </w:rPr>
              <w:fldChar w:fldCharType="end"/>
            </w:r>
            <w:r w:rsidRPr="00E326CC">
              <w:rPr>
                <w:rFonts w:ascii="Arial Narrow" w:hAnsi="Arial Narrow"/>
                <w:strike/>
                <w:sz w:val="18"/>
                <w:szCs w:val="18"/>
              </w:rPr>
              <w:t>Authority Required – Telephone/Electronic/Emergency</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Authority Required – Streamlined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Indication:</w:t>
            </w:r>
            <w:r w:rsidRPr="00E326CC">
              <w:rPr>
                <w:rFonts w:ascii="Arial Narrow" w:hAnsi="Arial Narrow"/>
                <w:sz w:val="18"/>
                <w:szCs w:val="18"/>
              </w:rPr>
              <w:t xml:space="preserve"> Subfoveal choroidal neovascularisation (CNV)</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Treatment Phase:</w:t>
            </w:r>
            <w:r w:rsidRPr="00E326CC">
              <w:rPr>
                <w:rFonts w:ascii="Arial Narrow" w:hAnsi="Arial Narrow"/>
                <w:sz w:val="18"/>
                <w:szCs w:val="18"/>
              </w:rPr>
              <w:t xml:space="preserve"> Initial treatment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sz w:val="18"/>
                <w:szCs w:val="18"/>
              </w:rPr>
              <w:t>The condition must be due to age-related macular degeneration (AMD)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i/>
                <w:sz w:val="18"/>
                <w:szCs w:val="18"/>
              </w:rPr>
              <w:t>The condition must be diagnosed by optical coherence tomography; or</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i/>
                <w:sz w:val="18"/>
                <w:szCs w:val="18"/>
              </w:rPr>
              <w:t>The condition must be diagnosed by fluorescein angiography</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trike/>
                <w:sz w:val="18"/>
                <w:szCs w:val="18"/>
              </w:rPr>
            </w:pPr>
            <w:r w:rsidRPr="00E326CC">
              <w:rPr>
                <w:rFonts w:ascii="Arial Narrow" w:hAnsi="Arial Narrow"/>
                <w:i/>
                <w:strike/>
                <w:sz w:val="18"/>
                <w:szCs w:val="18"/>
              </w:rPr>
              <w:t>Patient must have persistent macular exudation, as determined clinically and/or on OCT or FA, despite 6 months of treatment with VEGF inhibitors administered at intervals ≤ 8 weeks</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Patient must have persistent macular exudation, as determined clinically and/or by optical coherence tomography or fluorescein angiography, despite at least 6 months of treatment with either: 1. Aflibercept or 2. Ranibizumab.  </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sz w:val="18"/>
                <w:szCs w:val="18"/>
              </w:rPr>
              <w:t>The treatment must be the sole PBS-subsidised therapy for this condition</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b/>
                <w:bCs/>
                <w:i/>
                <w:sz w:val="18"/>
                <w:szCs w:val="18"/>
              </w:rPr>
            </w:pPr>
            <w:r w:rsidRPr="00E326CC">
              <w:rPr>
                <w:rFonts w:ascii="Arial Narrow" w:hAnsi="Arial Narrow"/>
                <w:i/>
                <w:sz w:val="18"/>
                <w:szCs w:val="18"/>
              </w:rPr>
              <w:t xml:space="preserve">Patient has not received PBS-subsidised treatment with this drug for this condition for the same eye </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Treatment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sz w:val="18"/>
                <w:szCs w:val="18"/>
              </w:rPr>
              <w:t xml:space="preserve">Must be treated by an ophthalmologist or </w:t>
            </w:r>
            <w:r w:rsidRPr="00E326CC">
              <w:rPr>
                <w:rFonts w:ascii="Arial Narrow" w:hAnsi="Arial Narrow"/>
                <w:i/>
                <w:sz w:val="18"/>
                <w:szCs w:val="18"/>
              </w:rPr>
              <w:t>by an accredited ophthalmology registrar</w:t>
            </w:r>
            <w:r w:rsidRPr="00E326CC">
              <w:rPr>
                <w:rFonts w:ascii="Arial Narrow" w:hAnsi="Arial Narrow"/>
                <w:sz w:val="18"/>
                <w:szCs w:val="18"/>
              </w:rPr>
              <w:t xml:space="preserve"> in consultation with an ophthalmologist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Prescribing Instructions:</w:t>
            </w:r>
            <w:r w:rsidRPr="00E326CC">
              <w:rPr>
                <w:rFonts w:ascii="Arial Narrow" w:hAnsi="Arial Narrow"/>
                <w:sz w:val="18"/>
                <w:szCs w:val="18"/>
              </w:rPr>
              <w:t xml:space="preserve"> Authority approval for initial treatment of each eye must be sought.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Prescribing Instructions:</w:t>
            </w:r>
          </w:p>
          <w:p w:rsidR="00B150DC" w:rsidRPr="00E326CC" w:rsidRDefault="00B150DC" w:rsidP="00D61085">
            <w:pPr>
              <w:rPr>
                <w:rFonts w:ascii="Arial Narrow" w:hAnsi="Arial Narrow"/>
                <w:sz w:val="18"/>
                <w:szCs w:val="18"/>
              </w:rPr>
            </w:pPr>
            <w:r w:rsidRPr="00E326CC">
              <w:rPr>
                <w:rFonts w:ascii="Arial Narrow" w:hAnsi="Arial Narrow"/>
                <w:sz w:val="18"/>
                <w:szCs w:val="18"/>
              </w:rPr>
              <w:t>Authority approval for initial treatment of each eye must be sought.</w:t>
            </w:r>
          </w:p>
          <w:p w:rsidR="00B150DC" w:rsidRPr="00E326CC" w:rsidRDefault="00B150DC" w:rsidP="00D61085">
            <w:pPr>
              <w:rPr>
                <w:rFonts w:ascii="Arial Narrow" w:hAnsi="Arial Narrow"/>
                <w:sz w:val="18"/>
                <w:szCs w:val="18"/>
              </w:rPr>
            </w:pPr>
            <w:r w:rsidRPr="00E326CC">
              <w:rPr>
                <w:rFonts w:ascii="Arial Narrow" w:hAnsi="Arial Narrow"/>
                <w:sz w:val="18"/>
                <w:szCs w:val="18"/>
              </w:rPr>
              <w:t>The first authority application for each eye must be made in writing</w:t>
            </w:r>
            <w:r w:rsidRPr="00E326CC">
              <w:rPr>
                <w:rFonts w:ascii="Arial Narrow" w:hAnsi="Arial Narrow"/>
                <w:strike/>
                <w:sz w:val="18"/>
                <w:szCs w:val="18"/>
              </w:rPr>
              <w:t xml:space="preserve"> or by telephone</w:t>
            </w:r>
            <w:r w:rsidRPr="00E326CC">
              <w:rPr>
                <w:rFonts w:ascii="Arial Narrow" w:hAnsi="Arial Narrow"/>
                <w:sz w:val="18"/>
                <w:szCs w:val="18"/>
              </w:rPr>
              <w:t>.</w:t>
            </w:r>
          </w:p>
          <w:p w:rsidR="00B150DC" w:rsidRPr="00E326CC" w:rsidRDefault="00B150DC" w:rsidP="00D61085">
            <w:pPr>
              <w:rPr>
                <w:rFonts w:ascii="Arial Narrow" w:hAnsi="Arial Narrow"/>
                <w:sz w:val="18"/>
                <w:szCs w:val="18"/>
              </w:rPr>
            </w:pPr>
            <w:r w:rsidRPr="00E326CC">
              <w:rPr>
                <w:rFonts w:ascii="Arial Narrow" w:hAnsi="Arial Narrow"/>
                <w:sz w:val="18"/>
                <w:szCs w:val="18"/>
              </w:rPr>
              <w:t>A written application must include:</w:t>
            </w:r>
          </w:p>
          <w:p w:rsidR="00B150DC" w:rsidRPr="00E326CC" w:rsidRDefault="00B150DC" w:rsidP="00D61085">
            <w:pPr>
              <w:rPr>
                <w:rFonts w:ascii="Arial Narrow" w:hAnsi="Arial Narrow"/>
                <w:sz w:val="18"/>
                <w:szCs w:val="18"/>
              </w:rPr>
            </w:pPr>
            <w:r w:rsidRPr="00E326CC">
              <w:rPr>
                <w:rFonts w:ascii="Arial Narrow" w:hAnsi="Arial Narrow"/>
                <w:sz w:val="18"/>
                <w:szCs w:val="18"/>
              </w:rPr>
              <w:t>a) a completed authority prescription form;</w:t>
            </w:r>
          </w:p>
          <w:p w:rsidR="00B150DC" w:rsidRPr="00E326CC" w:rsidRDefault="00B150DC" w:rsidP="00D61085">
            <w:pPr>
              <w:rPr>
                <w:rFonts w:ascii="Arial Narrow" w:hAnsi="Arial Narrow"/>
                <w:sz w:val="18"/>
                <w:szCs w:val="18"/>
              </w:rPr>
            </w:pPr>
            <w:r w:rsidRPr="00E326CC">
              <w:rPr>
                <w:rFonts w:ascii="Arial Narrow" w:hAnsi="Arial Narrow"/>
                <w:sz w:val="18"/>
                <w:szCs w:val="18"/>
              </w:rPr>
              <w:t>b) a completed Subfoveal Choroidal Neovascularisation (CNV) - PBS Supporting Information Form; and</w:t>
            </w:r>
          </w:p>
          <w:p w:rsidR="00B150DC" w:rsidRPr="00E326CC" w:rsidRDefault="00B150DC" w:rsidP="00D61085">
            <w:pPr>
              <w:rPr>
                <w:rFonts w:ascii="Arial Narrow" w:hAnsi="Arial Narrow"/>
                <w:sz w:val="18"/>
                <w:szCs w:val="18"/>
              </w:rPr>
            </w:pPr>
            <w:r w:rsidRPr="00E326CC">
              <w:rPr>
                <w:rFonts w:ascii="Arial Narrow" w:hAnsi="Arial Narrow"/>
                <w:sz w:val="18"/>
                <w:szCs w:val="18"/>
              </w:rPr>
              <w:t>c) a copy of the optical coherence tomography or fluorescein angiogram report.</w:t>
            </w:r>
          </w:p>
          <w:p w:rsidR="00B150DC" w:rsidRPr="00E326CC" w:rsidRDefault="00B150DC" w:rsidP="00D61085">
            <w:pPr>
              <w:rPr>
                <w:rFonts w:ascii="Arial Narrow" w:hAnsi="Arial Narrow"/>
                <w:sz w:val="18"/>
                <w:szCs w:val="18"/>
              </w:rPr>
            </w:pPr>
            <w:r w:rsidRPr="00E326CC">
              <w:rPr>
                <w:rFonts w:ascii="Arial Narrow" w:hAnsi="Arial Narrow"/>
                <w:sz w:val="18"/>
                <w:szCs w:val="18"/>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Administrative Advice:</w:t>
            </w:r>
          </w:p>
          <w:p w:rsidR="00B150DC" w:rsidRPr="00E326CC" w:rsidRDefault="00B150DC" w:rsidP="00D61085">
            <w:pPr>
              <w:rPr>
                <w:rFonts w:ascii="Arial Narrow" w:hAnsi="Arial Narrow"/>
                <w:i/>
                <w:sz w:val="18"/>
                <w:szCs w:val="18"/>
              </w:rPr>
            </w:pPr>
            <w:r w:rsidRPr="00E326CC">
              <w:rPr>
                <w:rFonts w:ascii="Arial Narrow" w:hAnsi="Arial Narrow"/>
                <w:i/>
                <w:sz w:val="18"/>
                <w:szCs w:val="18"/>
              </w:rPr>
              <w:t>Any queries concerning the arrangements to prescribe may be directed to the Services Australia on 1800 700 270 (hours of operation 8 a.m. to 5 p.m. EST Monday to Friday).</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Prescribing information (including Authority Application forms and other relevant documentation as applicable) is available on the Services Australia website at </w:t>
            </w:r>
            <w:r w:rsidRPr="00FF1746">
              <w:rPr>
                <w:rFonts w:ascii="Arial Narrow" w:hAnsi="Arial Narrow"/>
                <w:i/>
                <w:sz w:val="18"/>
                <w:szCs w:val="18"/>
              </w:rPr>
              <w:t>servicesaustralia.gov.au</w:t>
            </w:r>
          </w:p>
          <w:p w:rsidR="00B150DC" w:rsidRPr="00E326CC" w:rsidRDefault="00B150DC" w:rsidP="00D61085">
            <w:pPr>
              <w:rPr>
                <w:rFonts w:ascii="Arial Narrow" w:hAnsi="Arial Narrow"/>
                <w:i/>
                <w:sz w:val="18"/>
                <w:szCs w:val="18"/>
              </w:rPr>
            </w:pPr>
          </w:p>
          <w:p w:rsidR="00B150DC" w:rsidRPr="00E326CC" w:rsidRDefault="00B150DC" w:rsidP="00D61085">
            <w:pPr>
              <w:rPr>
                <w:rFonts w:ascii="Arial Narrow" w:hAnsi="Arial Narrow"/>
                <w:i/>
                <w:sz w:val="18"/>
                <w:szCs w:val="18"/>
              </w:rPr>
            </w:pPr>
            <w:r w:rsidRPr="00E326CC">
              <w:rPr>
                <w:rFonts w:ascii="Arial Narrow" w:hAnsi="Arial Narrow"/>
                <w:i/>
                <w:sz w:val="18"/>
                <w:szCs w:val="18"/>
              </w:rPr>
              <w:t>Applications for authority to prescribe should be submitted online using the form upload facility in Health Professional Online Services (HPOS)</w:t>
            </w:r>
            <w:r w:rsidRPr="00E326CC">
              <w:rPr>
                <w:rFonts w:ascii="Arial Narrow" w:hAnsi="Arial Narrow"/>
                <w:bCs/>
                <w:i/>
                <w:sz w:val="18"/>
                <w:szCs w:val="18"/>
              </w:rPr>
              <w:t xml:space="preserve"> at www.servicesaustralia.gov.au/hpos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Or mailed to:</w:t>
            </w:r>
          </w:p>
          <w:p w:rsidR="00B150DC" w:rsidRPr="00E326CC" w:rsidRDefault="00B150DC" w:rsidP="00D61085">
            <w:pPr>
              <w:rPr>
                <w:rFonts w:ascii="Arial Narrow" w:hAnsi="Arial Narrow"/>
                <w:i/>
                <w:sz w:val="18"/>
                <w:szCs w:val="18"/>
              </w:rPr>
            </w:pPr>
            <w:r w:rsidRPr="00E326CC">
              <w:rPr>
                <w:rFonts w:ascii="Arial Narrow" w:hAnsi="Arial Narrow"/>
                <w:i/>
                <w:sz w:val="18"/>
                <w:szCs w:val="18"/>
              </w:rPr>
              <w:t>Services Australia</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Complex Drugs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Reply Paid 9826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HOBART TAS 7001</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b/>
                <w:bCs/>
                <w:sz w:val="18"/>
                <w:szCs w:val="18"/>
              </w:rPr>
            </w:pPr>
            <w:r w:rsidRPr="00E326CC">
              <w:rPr>
                <w:rFonts w:ascii="Arial Narrow" w:hAnsi="Arial Narrow"/>
                <w:b/>
                <w:bCs/>
                <w:sz w:val="18"/>
                <w:szCs w:val="18"/>
              </w:rPr>
              <w:t>Administrative Advice:</w:t>
            </w:r>
          </w:p>
          <w:p w:rsidR="00B150DC" w:rsidRPr="00E326CC" w:rsidRDefault="00B150DC" w:rsidP="00D61085">
            <w:pPr>
              <w:rPr>
                <w:rFonts w:ascii="Arial Narrow" w:hAnsi="Arial Narrow"/>
                <w:bCs/>
                <w:sz w:val="18"/>
                <w:szCs w:val="18"/>
              </w:rPr>
            </w:pPr>
            <w:r w:rsidRPr="00E326CC">
              <w:rPr>
                <w:rFonts w:ascii="Arial Narrow" w:hAnsi="Arial Narrow"/>
                <w:bCs/>
                <w:sz w:val="18"/>
                <w:szCs w:val="18"/>
              </w:rPr>
              <w:t>No increase in the maximum number of repeats may be authorised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i/>
                <w:sz w:val="18"/>
                <w:szCs w:val="18"/>
                <w:lang w:val="en-GB"/>
              </w:rPr>
            </w:pPr>
            <w:r w:rsidRPr="00E326CC">
              <w:rPr>
                <w:rFonts w:ascii="Arial Narrow" w:hAnsi="Arial Narrow"/>
                <w:i/>
                <w:sz w:val="18"/>
                <w:szCs w:val="18"/>
                <w:lang w:val="en-GB"/>
              </w:rPr>
              <w:t>Administrative Advice:</w:t>
            </w:r>
          </w:p>
          <w:p w:rsidR="00B150DC" w:rsidRPr="00E326CC" w:rsidRDefault="00B150DC" w:rsidP="00D61085">
            <w:pPr>
              <w:rPr>
                <w:rFonts w:ascii="Arial Narrow" w:hAnsi="Arial Narrow"/>
                <w:b/>
                <w:bCs/>
                <w:sz w:val="18"/>
                <w:szCs w:val="18"/>
              </w:rPr>
            </w:pPr>
            <w:r w:rsidRPr="00E326CC">
              <w:rPr>
                <w:rFonts w:ascii="Arial Narrow" w:hAnsi="Arial Narrow"/>
                <w:i/>
                <w:sz w:val="18"/>
                <w:szCs w:val="18"/>
                <w:lang w:val="en-GB"/>
              </w:rPr>
              <w:t>Where both eyes are affected by the condition, a quantity of 2 units can be requested on the same authority prescription form.</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b/>
                <w:bCs/>
                <w:sz w:val="18"/>
                <w:szCs w:val="18"/>
              </w:rPr>
            </w:pPr>
            <w:r w:rsidRPr="00E326CC">
              <w:rPr>
                <w:rFonts w:ascii="Arial Narrow" w:hAnsi="Arial Narrow"/>
                <w:b/>
                <w:bCs/>
                <w:sz w:val="18"/>
                <w:szCs w:val="18"/>
              </w:rPr>
              <w:t>Administrative Advice:</w:t>
            </w:r>
          </w:p>
          <w:p w:rsidR="00B150DC" w:rsidRPr="00E326CC" w:rsidRDefault="00B150DC" w:rsidP="00D61085">
            <w:pPr>
              <w:rPr>
                <w:rFonts w:ascii="Arial Narrow" w:hAnsi="Arial Narrow"/>
                <w:bCs/>
                <w:sz w:val="18"/>
                <w:szCs w:val="18"/>
              </w:rPr>
            </w:pPr>
            <w:r w:rsidRPr="00E326CC">
              <w:rPr>
                <w:rFonts w:ascii="Arial Narrow" w:hAnsi="Arial Narrow"/>
                <w:bCs/>
                <w:sz w:val="18"/>
                <w:szCs w:val="18"/>
              </w:rPr>
              <w:t xml:space="preserve">No increase in the maximum quantity or number of units may be authorised </w:t>
            </w:r>
            <w:r w:rsidRPr="00E326CC">
              <w:rPr>
                <w:rFonts w:ascii="Arial Narrow" w:hAnsi="Arial Narrow"/>
                <w:bCs/>
                <w:i/>
                <w:sz w:val="18"/>
                <w:szCs w:val="18"/>
              </w:rPr>
              <w:t>for applications treating one eye</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Administrative Advice:</w:t>
            </w:r>
            <w:r w:rsidRPr="00E326CC">
              <w:rPr>
                <w:rFonts w:ascii="Arial Narrow" w:hAnsi="Arial Narrow"/>
                <w:sz w:val="18"/>
                <w:szCs w:val="18"/>
              </w:rPr>
              <w:t xml:space="preserve"> Special Pricing Arrangements apply</w:t>
            </w:r>
          </w:p>
        </w:tc>
      </w:tr>
    </w:tbl>
    <w:p w:rsidR="00E326CC" w:rsidRPr="00E326CC" w:rsidRDefault="00E326CC" w:rsidP="00E326CC">
      <w:pPr>
        <w:pStyle w:val="Bodytextitalics"/>
        <w:rPr>
          <w:rFonts w:ascii="Arial Narrow" w:hAnsi="Arial Narrow"/>
          <w:b/>
          <w:i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50DC" w:rsidRPr="00B46B15" w:rsidTr="00B150DC">
        <w:tc>
          <w:tcPr>
            <w:tcW w:w="5000" w:type="pct"/>
            <w:tcBorders>
              <w:top w:val="single" w:sz="4" w:space="0" w:color="auto"/>
              <w:left w:val="single" w:sz="4" w:space="0" w:color="auto"/>
              <w:bottom w:val="single" w:sz="4" w:space="0" w:color="auto"/>
              <w:right w:val="single" w:sz="4" w:space="0" w:color="auto"/>
            </w:tcBorders>
          </w:tcPr>
          <w:p w:rsidR="00B150DC" w:rsidRPr="00B46B15" w:rsidRDefault="00B150DC" w:rsidP="00D61085">
            <w:pPr>
              <w:rPr>
                <w:rFonts w:ascii="Arial Narrow" w:hAnsi="Arial Narrow"/>
                <w:sz w:val="18"/>
                <w:szCs w:val="18"/>
              </w:rPr>
            </w:pPr>
            <w:r w:rsidRPr="00B46B15">
              <w:rPr>
                <w:rFonts w:ascii="Arial Narrow" w:hAnsi="Arial Narrow"/>
                <w:b/>
                <w:sz w:val="18"/>
                <w:szCs w:val="18"/>
              </w:rPr>
              <w:t xml:space="preserve">Category / Program:   </w:t>
            </w:r>
            <w:r w:rsidRPr="00B46B15">
              <w:rPr>
                <w:rFonts w:ascii="Arial Narrow" w:hAnsi="Arial Narrow"/>
                <w:sz w:val="18"/>
                <w:szCs w:val="18"/>
              </w:rPr>
              <w:t xml:space="preserve">GENERAL – General Schedule (Code GE) </w:t>
            </w:r>
          </w:p>
        </w:tc>
      </w:tr>
      <w:tr w:rsidR="00B150DC" w:rsidRPr="00B46B15" w:rsidTr="00B150DC">
        <w:trPr>
          <w:trHeight w:val="240"/>
        </w:trPr>
        <w:tc>
          <w:tcPr>
            <w:tcW w:w="5000" w:type="pct"/>
            <w:tcBorders>
              <w:top w:val="single" w:sz="4" w:space="0" w:color="auto"/>
              <w:left w:val="single" w:sz="4" w:space="0" w:color="auto"/>
              <w:bottom w:val="single" w:sz="4" w:space="0" w:color="auto"/>
              <w:right w:val="single" w:sz="4" w:space="0" w:color="auto"/>
            </w:tcBorders>
          </w:tcPr>
          <w:p w:rsidR="00B150DC" w:rsidRPr="00B46B15" w:rsidRDefault="00B150DC" w:rsidP="00D61085">
            <w:pPr>
              <w:rPr>
                <w:rFonts w:ascii="Arial Narrow" w:hAnsi="Arial Narrow"/>
                <w:b/>
                <w:sz w:val="18"/>
                <w:szCs w:val="18"/>
              </w:rPr>
            </w:pPr>
            <w:r w:rsidRPr="00B46B15">
              <w:rPr>
                <w:rFonts w:ascii="Arial Narrow" w:hAnsi="Arial Narrow"/>
                <w:b/>
                <w:sz w:val="18"/>
                <w:szCs w:val="18"/>
              </w:rPr>
              <w:t xml:space="preserve">Prescriber type:   </w:t>
            </w:r>
            <w:r w:rsidRPr="00B46B15">
              <w:rPr>
                <w:rFonts w:ascii="Arial Narrow" w:hAnsi="Arial Narrow"/>
                <w:sz w:val="18"/>
                <w:szCs w:val="18"/>
              </w:rPr>
              <w:fldChar w:fldCharType="begin">
                <w:ffData>
                  <w:name w:val="Check1"/>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 xml:space="preserve">Dental    </w:t>
            </w:r>
            <w:r w:rsidRPr="00B46B15">
              <w:rPr>
                <w:rFonts w:ascii="Arial Narrow" w:hAnsi="Arial Narrow"/>
                <w:sz w:val="18"/>
                <w:szCs w:val="18"/>
              </w:rPr>
              <w:fldChar w:fldCharType="begin">
                <w:ffData>
                  <w:name w:val=""/>
                  <w:enabled/>
                  <w:calcOnExit w:val="0"/>
                  <w:checkBox>
                    <w:sizeAuto/>
                    <w:default w:val="1"/>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 xml:space="preserve">Medical Practitioners    </w:t>
            </w:r>
            <w:r w:rsidRPr="00B46B15">
              <w:rPr>
                <w:rFonts w:ascii="Arial Narrow" w:hAnsi="Arial Narrow"/>
                <w:sz w:val="18"/>
                <w:szCs w:val="18"/>
              </w:rPr>
              <w:fldChar w:fldCharType="begin">
                <w:ffData>
                  <w:name w:val="Check3"/>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 xml:space="preserve">Nurse practitioners     </w:t>
            </w:r>
            <w:r w:rsidRPr="00B46B15">
              <w:rPr>
                <w:rFonts w:ascii="Arial Narrow" w:hAnsi="Arial Narrow"/>
                <w:sz w:val="18"/>
                <w:szCs w:val="18"/>
              </w:rPr>
              <w:fldChar w:fldCharType="begin">
                <w:ffData>
                  <w:name w:val=""/>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 xml:space="preserve">Optometrists    </w:t>
            </w:r>
            <w:r w:rsidRPr="00B46B15">
              <w:rPr>
                <w:rFonts w:ascii="Arial Narrow" w:hAnsi="Arial Narrow"/>
                <w:sz w:val="18"/>
                <w:szCs w:val="18"/>
              </w:rPr>
              <w:fldChar w:fldCharType="begin">
                <w:ffData>
                  <w:name w:val="Check5"/>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Midwives</w:t>
            </w:r>
          </w:p>
        </w:tc>
      </w:tr>
      <w:tr w:rsidR="00B150DC" w:rsidRPr="00B46B15" w:rsidTr="00B150DC">
        <w:tc>
          <w:tcPr>
            <w:tcW w:w="5000" w:type="pct"/>
            <w:tcBorders>
              <w:top w:val="single" w:sz="4" w:space="0" w:color="auto"/>
              <w:left w:val="single" w:sz="4" w:space="0" w:color="auto"/>
              <w:bottom w:val="single" w:sz="4" w:space="0" w:color="auto"/>
              <w:right w:val="single" w:sz="4" w:space="0" w:color="auto"/>
            </w:tcBorders>
          </w:tcPr>
          <w:p w:rsidR="00B150DC" w:rsidRPr="00B46B15" w:rsidRDefault="00B150DC" w:rsidP="00D61085">
            <w:pPr>
              <w:rPr>
                <w:rFonts w:ascii="Arial Narrow" w:hAnsi="Arial Narrow"/>
                <w:b/>
                <w:sz w:val="18"/>
                <w:szCs w:val="18"/>
              </w:rPr>
            </w:pPr>
            <w:r w:rsidRPr="00B46B15">
              <w:rPr>
                <w:rFonts w:ascii="Arial Narrow" w:hAnsi="Arial Narrow"/>
                <w:b/>
                <w:sz w:val="18"/>
                <w:szCs w:val="18"/>
              </w:rPr>
              <w:t>Restriction Level / Method:</w:t>
            </w:r>
          </w:p>
          <w:p w:rsidR="00B150DC" w:rsidRPr="00B46B15" w:rsidRDefault="00B150DC" w:rsidP="00D61085">
            <w:pPr>
              <w:rPr>
                <w:rFonts w:ascii="Arial Narrow" w:hAnsi="Arial Narrow"/>
                <w:sz w:val="18"/>
                <w:szCs w:val="18"/>
              </w:rPr>
            </w:pPr>
            <w:r w:rsidRPr="00B46B15">
              <w:rPr>
                <w:rFonts w:ascii="Arial Narrow" w:hAnsi="Arial Narrow"/>
                <w:sz w:val="18"/>
                <w:szCs w:val="18"/>
              </w:rPr>
              <w:fldChar w:fldCharType="begin">
                <w:ffData>
                  <w:name w:val="Check1"/>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Unrestricted benefit</w:t>
            </w:r>
          </w:p>
          <w:p w:rsidR="00B150DC" w:rsidRPr="00B46B15" w:rsidRDefault="00B150DC" w:rsidP="00D61085">
            <w:pPr>
              <w:rPr>
                <w:rFonts w:ascii="Arial Narrow" w:hAnsi="Arial Narrow"/>
                <w:sz w:val="18"/>
                <w:szCs w:val="18"/>
              </w:rPr>
            </w:pPr>
            <w:r w:rsidRPr="00B46B15">
              <w:rPr>
                <w:rFonts w:ascii="Arial Narrow" w:hAnsi="Arial Narrow"/>
                <w:sz w:val="18"/>
                <w:szCs w:val="18"/>
              </w:rPr>
              <w:fldChar w:fldCharType="begin">
                <w:ffData>
                  <w:name w:val="Check1"/>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Restricted benefit</w:t>
            </w:r>
          </w:p>
          <w:p w:rsidR="00B150DC" w:rsidRPr="00B46B15" w:rsidRDefault="00B150DC" w:rsidP="00D61085">
            <w:pPr>
              <w:rPr>
                <w:rFonts w:ascii="Arial Narrow" w:hAnsi="Arial Narrow"/>
                <w:sz w:val="18"/>
                <w:szCs w:val="18"/>
              </w:rPr>
            </w:pPr>
            <w:r w:rsidRPr="00B46B15">
              <w:rPr>
                <w:rFonts w:ascii="Arial Narrow" w:hAnsi="Arial Narrow"/>
                <w:sz w:val="18"/>
                <w:szCs w:val="18"/>
              </w:rPr>
              <w:fldChar w:fldCharType="begin">
                <w:ffData>
                  <w:name w:val=""/>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Authority Required – In Writing</w:t>
            </w:r>
          </w:p>
          <w:p w:rsidR="00B150DC" w:rsidRPr="00B46B15" w:rsidRDefault="00B150DC" w:rsidP="00D61085">
            <w:pPr>
              <w:rPr>
                <w:rFonts w:ascii="Arial Narrow" w:hAnsi="Arial Narrow"/>
                <w:sz w:val="18"/>
                <w:szCs w:val="18"/>
              </w:rPr>
            </w:pPr>
            <w:r w:rsidRPr="00B46B15">
              <w:rPr>
                <w:rFonts w:ascii="Arial Narrow" w:hAnsi="Arial Narrow"/>
                <w:sz w:val="18"/>
                <w:szCs w:val="18"/>
              </w:rPr>
              <w:fldChar w:fldCharType="begin">
                <w:ffData>
                  <w:name w:val="Check3"/>
                  <w:enabled/>
                  <w:calcOnExit w:val="0"/>
                  <w:checkBox>
                    <w:sizeAuto/>
                    <w:default w:val="1"/>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Authority Required – Telephone/Electronic/Emergency</w:t>
            </w:r>
          </w:p>
          <w:p w:rsidR="00B150DC" w:rsidRPr="00B46B15" w:rsidRDefault="00B150DC" w:rsidP="00D61085">
            <w:pPr>
              <w:rPr>
                <w:rFonts w:ascii="Arial Narrow" w:hAnsi="Arial Narrow"/>
                <w:sz w:val="18"/>
                <w:szCs w:val="18"/>
              </w:rPr>
            </w:pPr>
            <w:r w:rsidRPr="00B46B15">
              <w:rPr>
                <w:rFonts w:ascii="Arial Narrow" w:hAnsi="Arial Narrow"/>
                <w:sz w:val="18"/>
                <w:szCs w:val="18"/>
              </w:rPr>
              <w:fldChar w:fldCharType="begin">
                <w:ffData>
                  <w:name w:val=""/>
                  <w:enabled/>
                  <w:calcOnExit w:val="0"/>
                  <w:checkBox>
                    <w:sizeAuto/>
                    <w:default w:val="0"/>
                  </w:checkBox>
                </w:ffData>
              </w:fldChar>
            </w:r>
            <w:r w:rsidRPr="00B46B15">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B46B15">
              <w:rPr>
                <w:rFonts w:ascii="Arial Narrow" w:hAnsi="Arial Narrow"/>
                <w:sz w:val="18"/>
                <w:szCs w:val="18"/>
              </w:rPr>
              <w:fldChar w:fldCharType="end"/>
            </w:r>
            <w:r w:rsidRPr="00B46B15">
              <w:rPr>
                <w:rFonts w:ascii="Arial Narrow" w:hAnsi="Arial Narrow"/>
                <w:sz w:val="18"/>
                <w:szCs w:val="18"/>
              </w:rPr>
              <w:t>Authority Required – Streamlined</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Indication:</w:t>
            </w:r>
            <w:r w:rsidRPr="00B46B15">
              <w:rPr>
                <w:rFonts w:ascii="Arial Narrow" w:hAnsi="Arial Narrow"/>
                <w:sz w:val="18"/>
                <w:szCs w:val="18"/>
              </w:rPr>
              <w:t xml:space="preserve"> Subfoveal choroidal neovascularisation (CNV)</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Treatment Phase:</w:t>
            </w:r>
            <w:r w:rsidRPr="00B46B15">
              <w:rPr>
                <w:rFonts w:ascii="Arial Narrow" w:hAnsi="Arial Narrow"/>
                <w:sz w:val="18"/>
                <w:szCs w:val="18"/>
              </w:rPr>
              <w:t xml:space="preserve"> Continuing treatment</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Clinical criteria:</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sz w:val="18"/>
                <w:szCs w:val="18"/>
              </w:rPr>
              <w:t>The condition must be due to age-related macular degeneration (AMD)</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AND</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Clinical criteria:</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sz w:val="18"/>
                <w:szCs w:val="18"/>
              </w:rPr>
              <w:t>The treatment must be the sole PBS-subsidised therapy for this condition</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AND</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Clinical criteria:</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sz w:val="18"/>
                <w:szCs w:val="18"/>
              </w:rPr>
              <w:t>Patient must have previously been granted an authority prescription for the same eye</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AND</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Treatment criteria:</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sz w:val="18"/>
                <w:szCs w:val="18"/>
              </w:rPr>
              <w:t xml:space="preserve"> Must be treated by an ophthalmologist or </w:t>
            </w:r>
            <w:r w:rsidRPr="00B46B15">
              <w:rPr>
                <w:rFonts w:ascii="Arial Narrow" w:hAnsi="Arial Narrow"/>
                <w:i/>
                <w:sz w:val="18"/>
                <w:szCs w:val="18"/>
              </w:rPr>
              <w:t>by an accredited ophthalmology registrar</w:t>
            </w:r>
            <w:r w:rsidRPr="00B46B15">
              <w:rPr>
                <w:rFonts w:ascii="Arial Narrow" w:hAnsi="Arial Narrow"/>
                <w:sz w:val="18"/>
                <w:szCs w:val="18"/>
              </w:rPr>
              <w:t xml:space="preserve"> in consultation with an ophthalmologist</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Administrative Advice:</w:t>
            </w:r>
          </w:p>
          <w:p w:rsidR="00B150DC" w:rsidRPr="00B46B15" w:rsidRDefault="00B150DC" w:rsidP="00D61085">
            <w:pPr>
              <w:contextualSpacing/>
              <w:rPr>
                <w:rFonts w:ascii="Arial Narrow" w:hAnsi="Arial Narrow"/>
                <w:i/>
                <w:strike/>
                <w:sz w:val="18"/>
                <w:szCs w:val="18"/>
              </w:rPr>
            </w:pPr>
            <w:r w:rsidRPr="00B46B15">
              <w:rPr>
                <w:rFonts w:ascii="Arial Narrow" w:hAnsi="Arial Narrow"/>
                <w:strike/>
                <w:sz w:val="18"/>
                <w:szCs w:val="18"/>
              </w:rPr>
              <w:t>Authority applications for continuing treatment in the same eye may be made by telephone on 1800 700 270</w:t>
            </w:r>
            <w:r w:rsidRPr="00B46B15">
              <w:rPr>
                <w:rFonts w:ascii="Arial Narrow" w:hAnsi="Arial Narrow"/>
                <w:sz w:val="18"/>
                <w:szCs w:val="18"/>
              </w:rPr>
              <w:t xml:space="preserve"> </w:t>
            </w:r>
            <w:r w:rsidRPr="00B46B15">
              <w:rPr>
                <w:rFonts w:ascii="Arial Narrow" w:hAnsi="Arial Narrow"/>
                <w:strike/>
                <w:sz w:val="18"/>
                <w:szCs w:val="18"/>
              </w:rPr>
              <w:t>(hours of operation 8 a.m. to 5 p.m. EST Monday to Friday)</w:t>
            </w:r>
          </w:p>
          <w:p w:rsidR="00B150DC" w:rsidRPr="00B46B15" w:rsidRDefault="00B150DC" w:rsidP="00D61085">
            <w:pPr>
              <w:contextualSpacing/>
              <w:rPr>
                <w:rFonts w:ascii="Arial Narrow" w:hAnsi="Arial Narrow"/>
                <w:i/>
                <w:sz w:val="18"/>
                <w:szCs w:val="18"/>
              </w:rPr>
            </w:pPr>
            <w:r w:rsidRPr="00B46B15">
              <w:rPr>
                <w:rFonts w:ascii="Arial Narrow" w:hAnsi="Arial Narrow"/>
                <w:i/>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Administrative Advice:</w:t>
            </w:r>
            <w:r w:rsidRPr="00B46B15">
              <w:rPr>
                <w:rFonts w:ascii="Arial Narrow" w:hAnsi="Arial Narrow"/>
                <w:sz w:val="18"/>
                <w:szCs w:val="18"/>
              </w:rPr>
              <w:t xml:space="preserve"> No increase in the maximum number of repeats may be authorised</w:t>
            </w:r>
          </w:p>
        </w:tc>
      </w:tr>
      <w:tr w:rsidR="00B150DC" w:rsidRPr="00B46B15" w:rsidTr="00B150DC">
        <w:tc>
          <w:tcPr>
            <w:tcW w:w="5000" w:type="pct"/>
            <w:vAlign w:val="center"/>
          </w:tcPr>
          <w:p w:rsidR="00B150DC" w:rsidRPr="00B46B15" w:rsidRDefault="00B150DC" w:rsidP="00D61085">
            <w:pPr>
              <w:rPr>
                <w:rFonts w:ascii="Arial Narrow" w:hAnsi="Arial Narrow"/>
                <w:b/>
                <w:i/>
                <w:sz w:val="18"/>
                <w:szCs w:val="18"/>
                <w:lang w:val="en-GB"/>
              </w:rPr>
            </w:pPr>
            <w:r w:rsidRPr="00B46B15">
              <w:rPr>
                <w:rFonts w:ascii="Arial Narrow" w:hAnsi="Arial Narrow"/>
                <w:b/>
                <w:i/>
                <w:sz w:val="18"/>
                <w:szCs w:val="18"/>
                <w:lang w:val="en-GB"/>
              </w:rPr>
              <w:t>Administrative Advice:</w:t>
            </w:r>
          </w:p>
          <w:p w:rsidR="00B150DC" w:rsidRPr="00B46B15" w:rsidRDefault="00B150DC" w:rsidP="00D61085">
            <w:pPr>
              <w:contextualSpacing/>
              <w:rPr>
                <w:rFonts w:ascii="Arial Narrow" w:hAnsi="Arial Narrow"/>
                <w:b/>
                <w:bCs/>
                <w:sz w:val="18"/>
                <w:szCs w:val="18"/>
              </w:rPr>
            </w:pPr>
            <w:r w:rsidRPr="00B46B15">
              <w:rPr>
                <w:rFonts w:ascii="Arial Narrow" w:hAnsi="Arial Narrow"/>
                <w:i/>
                <w:sz w:val="18"/>
                <w:szCs w:val="18"/>
                <w:lang w:val="en-GB"/>
              </w:rPr>
              <w:t>Where both eyes are affected by the condition, a quantity of 2 units can be requested on the same authority prescription form.</w:t>
            </w:r>
          </w:p>
        </w:tc>
      </w:tr>
      <w:tr w:rsidR="00B150DC" w:rsidRPr="00B46B15" w:rsidTr="00B150DC">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B46B15" w:rsidRDefault="00B150DC" w:rsidP="00D61085">
            <w:pPr>
              <w:rPr>
                <w:rFonts w:ascii="Arial Narrow" w:hAnsi="Arial Narrow"/>
                <w:b/>
                <w:bCs/>
                <w:sz w:val="18"/>
                <w:szCs w:val="18"/>
              </w:rPr>
            </w:pPr>
            <w:r w:rsidRPr="00B46B15">
              <w:rPr>
                <w:rFonts w:ascii="Arial Narrow" w:hAnsi="Arial Narrow"/>
                <w:b/>
                <w:bCs/>
                <w:sz w:val="18"/>
                <w:szCs w:val="18"/>
              </w:rPr>
              <w:t>Administrative Advice:</w:t>
            </w:r>
          </w:p>
          <w:p w:rsidR="00B150DC" w:rsidRPr="00B46B15" w:rsidRDefault="00B150DC" w:rsidP="00D61085">
            <w:pPr>
              <w:rPr>
                <w:rFonts w:ascii="Arial Narrow" w:hAnsi="Arial Narrow"/>
                <w:b/>
                <w:bCs/>
                <w:i/>
                <w:sz w:val="18"/>
                <w:szCs w:val="18"/>
              </w:rPr>
            </w:pPr>
            <w:r w:rsidRPr="00B46B15">
              <w:rPr>
                <w:rFonts w:ascii="Arial Narrow" w:hAnsi="Arial Narrow"/>
                <w:bCs/>
                <w:sz w:val="18"/>
                <w:szCs w:val="18"/>
              </w:rPr>
              <w:t>No increase in the maximum quantity or number of units may be authorised</w:t>
            </w:r>
            <w:r w:rsidRPr="00B46B15">
              <w:rPr>
                <w:rFonts w:ascii="Arial Narrow" w:hAnsi="Arial Narrow"/>
                <w:bCs/>
                <w:i/>
                <w:sz w:val="18"/>
                <w:szCs w:val="18"/>
              </w:rPr>
              <w:t xml:space="preserve"> for applications treating one eye</w:t>
            </w:r>
          </w:p>
        </w:tc>
      </w:tr>
      <w:tr w:rsidR="00B150DC" w:rsidRPr="00B46B15" w:rsidTr="00B150DC">
        <w:tc>
          <w:tcPr>
            <w:tcW w:w="5000" w:type="pct"/>
            <w:vAlign w:val="center"/>
            <w:hideMark/>
          </w:tcPr>
          <w:p w:rsidR="00B150DC" w:rsidRPr="00B46B15" w:rsidRDefault="00B150DC" w:rsidP="00D61085">
            <w:pPr>
              <w:contextualSpacing/>
              <w:rPr>
                <w:rFonts w:ascii="Arial Narrow" w:hAnsi="Arial Narrow"/>
                <w:sz w:val="18"/>
                <w:szCs w:val="18"/>
              </w:rPr>
            </w:pPr>
            <w:r w:rsidRPr="00B46B15">
              <w:rPr>
                <w:rFonts w:ascii="Arial Narrow" w:hAnsi="Arial Narrow"/>
                <w:b/>
                <w:bCs/>
                <w:sz w:val="18"/>
                <w:szCs w:val="18"/>
              </w:rPr>
              <w:t>Administrative Advice:</w:t>
            </w:r>
            <w:r w:rsidRPr="00B46B15">
              <w:rPr>
                <w:rFonts w:ascii="Arial Narrow" w:hAnsi="Arial Narrow"/>
                <w:sz w:val="18"/>
                <w:szCs w:val="18"/>
              </w:rPr>
              <w:t xml:space="preserve"> Special Pricing Arrangements apply</w:t>
            </w:r>
          </w:p>
        </w:tc>
      </w:tr>
    </w:tbl>
    <w:p w:rsidR="00E326CC" w:rsidRPr="00E326CC" w:rsidRDefault="00E326CC" w:rsidP="00E326CC">
      <w:pPr>
        <w:pStyle w:val="PBACcaption"/>
        <w:keepNext/>
        <w:keepLines/>
        <w:spacing w:after="120"/>
        <w:rPr>
          <w:rFonts w:ascii="Arial Narrow" w:hAnsi="Arial Narrow" w:cstheme="minorHAnsi"/>
          <w:b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50DC" w:rsidRPr="00E326CC" w:rsidTr="00B150DC">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sz w:val="18"/>
                <w:szCs w:val="18"/>
              </w:rPr>
            </w:pPr>
            <w:r w:rsidRPr="00E326CC">
              <w:rPr>
                <w:rFonts w:ascii="Arial Narrow" w:hAnsi="Arial Narrow"/>
                <w:b/>
                <w:sz w:val="18"/>
                <w:szCs w:val="18"/>
              </w:rPr>
              <w:t xml:space="preserve">Category / Program:   </w:t>
            </w:r>
            <w:r w:rsidRPr="00E326CC">
              <w:rPr>
                <w:rFonts w:ascii="Arial Narrow" w:hAnsi="Arial Narrow"/>
                <w:sz w:val="18"/>
                <w:szCs w:val="18"/>
              </w:rPr>
              <w:t xml:space="preserve">GENERAL – General Schedule (Code GE) </w:t>
            </w:r>
          </w:p>
        </w:tc>
      </w:tr>
      <w:tr w:rsidR="00B150DC" w:rsidRPr="00E326CC" w:rsidTr="00B150DC">
        <w:trPr>
          <w:trHeight w:val="240"/>
        </w:trPr>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b/>
                <w:sz w:val="18"/>
                <w:szCs w:val="18"/>
              </w:rPr>
            </w:pPr>
            <w:r w:rsidRPr="00E326CC">
              <w:rPr>
                <w:rFonts w:ascii="Arial Narrow" w:hAnsi="Arial Narrow"/>
                <w:b/>
                <w:sz w:val="18"/>
                <w:szCs w:val="18"/>
              </w:rPr>
              <w:t xml:space="preserve">Prescriber type:   </w:t>
            </w: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Dental    </w:t>
            </w:r>
            <w:r w:rsidRPr="00E326CC">
              <w:rPr>
                <w:rFonts w:ascii="Arial Narrow" w:hAnsi="Arial Narrow"/>
                <w:sz w:val="18"/>
                <w:szCs w:val="18"/>
              </w:rPr>
              <w:fldChar w:fldCharType="begin">
                <w:ffData>
                  <w:name w:val=""/>
                  <w:enabled/>
                  <w:calcOnExit w:val="0"/>
                  <w:checkBox>
                    <w:sizeAuto/>
                    <w:default w:val="1"/>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Medical Practitioners    </w:t>
            </w:r>
            <w:r w:rsidRPr="00E326CC">
              <w:rPr>
                <w:rFonts w:ascii="Arial Narrow" w:hAnsi="Arial Narrow"/>
                <w:sz w:val="18"/>
                <w:szCs w:val="18"/>
              </w:rPr>
              <w:fldChar w:fldCharType="begin">
                <w:ffData>
                  <w:name w:val="Check3"/>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Nurse practitioners     </w:t>
            </w:r>
            <w:r w:rsidRPr="00E326CC">
              <w:rPr>
                <w:rFonts w:ascii="Arial Narrow" w:hAnsi="Arial Narrow"/>
                <w:sz w:val="18"/>
                <w:szCs w:val="18"/>
              </w:rPr>
              <w:fldChar w:fldCharType="begin">
                <w:ffData>
                  <w:name w:val=""/>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 xml:space="preserve">Optometrists    </w:t>
            </w:r>
            <w:r w:rsidRPr="00E326CC">
              <w:rPr>
                <w:rFonts w:ascii="Arial Narrow" w:hAnsi="Arial Narrow"/>
                <w:sz w:val="18"/>
                <w:szCs w:val="18"/>
              </w:rPr>
              <w:fldChar w:fldCharType="begin">
                <w:ffData>
                  <w:name w:val="Check5"/>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Midwives</w:t>
            </w:r>
          </w:p>
        </w:tc>
      </w:tr>
      <w:tr w:rsidR="00B150DC" w:rsidRPr="00E326CC" w:rsidTr="00B150DC">
        <w:trPr>
          <w:trHeight w:val="1365"/>
        </w:trPr>
        <w:tc>
          <w:tcPr>
            <w:tcW w:w="5000" w:type="pct"/>
            <w:tcBorders>
              <w:top w:val="single" w:sz="4" w:space="0" w:color="auto"/>
              <w:left w:val="single" w:sz="4" w:space="0" w:color="auto"/>
              <w:bottom w:val="single" w:sz="4" w:space="0" w:color="auto"/>
              <w:right w:val="single" w:sz="4" w:space="0" w:color="auto"/>
            </w:tcBorders>
          </w:tcPr>
          <w:p w:rsidR="00B150DC" w:rsidRPr="00E326CC" w:rsidRDefault="00B150DC" w:rsidP="00D61085">
            <w:pPr>
              <w:keepNext/>
              <w:keepLines/>
              <w:rPr>
                <w:rFonts w:ascii="Arial Narrow" w:hAnsi="Arial Narrow"/>
                <w:b/>
                <w:sz w:val="18"/>
                <w:szCs w:val="18"/>
              </w:rPr>
            </w:pPr>
            <w:r w:rsidRPr="00E326CC">
              <w:rPr>
                <w:rFonts w:ascii="Arial Narrow" w:hAnsi="Arial Narrow"/>
                <w:b/>
                <w:sz w:val="18"/>
                <w:szCs w:val="18"/>
              </w:rPr>
              <w:t>Restriction Level / Method:</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Unrestricted benefit</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Check1"/>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Restricted benefit</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
                  <w:enabled/>
                  <w:calcOnExit w:val="0"/>
                  <w:checkBox>
                    <w:sizeAuto/>
                    <w:default w:val="1"/>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Authority Required – In Writing</w:t>
            </w:r>
          </w:p>
          <w:p w:rsidR="00B150DC" w:rsidRPr="00E326CC" w:rsidRDefault="00B150DC" w:rsidP="00D61085">
            <w:pPr>
              <w:keepNext/>
              <w:keepLines/>
              <w:rPr>
                <w:rFonts w:ascii="Arial Narrow" w:hAnsi="Arial Narrow"/>
                <w:strike/>
                <w:sz w:val="18"/>
                <w:szCs w:val="18"/>
              </w:rPr>
            </w:pPr>
            <w:r w:rsidRPr="00E326CC">
              <w:rPr>
                <w:rFonts w:ascii="Arial Narrow" w:hAnsi="Arial Narrow"/>
                <w:strike/>
                <w:sz w:val="18"/>
                <w:szCs w:val="18"/>
              </w:rPr>
              <w:fldChar w:fldCharType="begin">
                <w:ffData>
                  <w:name w:val="Check3"/>
                  <w:enabled/>
                  <w:calcOnExit w:val="0"/>
                  <w:checkBox>
                    <w:sizeAuto/>
                    <w:default w:val="1"/>
                  </w:checkBox>
                </w:ffData>
              </w:fldChar>
            </w:r>
            <w:r w:rsidRPr="00E326CC">
              <w:rPr>
                <w:rFonts w:ascii="Arial Narrow" w:hAnsi="Arial Narrow"/>
                <w:strike/>
                <w:sz w:val="18"/>
                <w:szCs w:val="18"/>
              </w:rPr>
              <w:instrText xml:space="preserve"> FORMCHECKBOX </w:instrText>
            </w:r>
            <w:r w:rsidR="0071631D">
              <w:rPr>
                <w:rFonts w:ascii="Arial Narrow" w:hAnsi="Arial Narrow"/>
                <w:strike/>
                <w:sz w:val="18"/>
                <w:szCs w:val="18"/>
              </w:rPr>
            </w:r>
            <w:r w:rsidR="0071631D">
              <w:rPr>
                <w:rFonts w:ascii="Arial Narrow" w:hAnsi="Arial Narrow"/>
                <w:strike/>
                <w:sz w:val="18"/>
                <w:szCs w:val="18"/>
              </w:rPr>
              <w:fldChar w:fldCharType="separate"/>
            </w:r>
            <w:r w:rsidRPr="00E326CC">
              <w:rPr>
                <w:rFonts w:ascii="Arial Narrow" w:hAnsi="Arial Narrow"/>
                <w:strike/>
                <w:sz w:val="18"/>
                <w:szCs w:val="18"/>
              </w:rPr>
              <w:fldChar w:fldCharType="end"/>
            </w:r>
            <w:r w:rsidRPr="00E326CC">
              <w:rPr>
                <w:rFonts w:ascii="Arial Narrow" w:hAnsi="Arial Narrow"/>
                <w:strike/>
                <w:sz w:val="18"/>
                <w:szCs w:val="18"/>
              </w:rPr>
              <w:t>Authority Required – Telephone/Electronic/Emergency</w:t>
            </w:r>
          </w:p>
          <w:p w:rsidR="00B150DC" w:rsidRPr="00E326CC" w:rsidRDefault="00B150DC" w:rsidP="00D61085">
            <w:pPr>
              <w:keepNext/>
              <w:keepLines/>
              <w:rPr>
                <w:rFonts w:ascii="Arial Narrow" w:hAnsi="Arial Narrow"/>
                <w:sz w:val="18"/>
                <w:szCs w:val="18"/>
              </w:rPr>
            </w:pPr>
            <w:r w:rsidRPr="00E326CC">
              <w:rPr>
                <w:rFonts w:ascii="Arial Narrow" w:hAnsi="Arial Narrow"/>
                <w:sz w:val="18"/>
                <w:szCs w:val="18"/>
              </w:rPr>
              <w:fldChar w:fldCharType="begin">
                <w:ffData>
                  <w:name w:val=""/>
                  <w:enabled/>
                  <w:calcOnExit w:val="0"/>
                  <w:checkBox>
                    <w:sizeAuto/>
                    <w:default w:val="0"/>
                  </w:checkBox>
                </w:ffData>
              </w:fldChar>
            </w:r>
            <w:r w:rsidRPr="00E326CC">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E326CC">
              <w:rPr>
                <w:rFonts w:ascii="Arial Narrow" w:hAnsi="Arial Narrow"/>
                <w:sz w:val="18"/>
                <w:szCs w:val="18"/>
              </w:rPr>
              <w:fldChar w:fldCharType="end"/>
            </w:r>
            <w:r w:rsidRPr="00E326CC">
              <w:rPr>
                <w:rFonts w:ascii="Arial Narrow" w:hAnsi="Arial Narrow"/>
                <w:sz w:val="18"/>
                <w:szCs w:val="18"/>
              </w:rPr>
              <w:t>Authority Required – Streamlined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Indication:</w:t>
            </w:r>
            <w:r w:rsidRPr="00E326CC">
              <w:rPr>
                <w:rFonts w:ascii="Arial Narrow" w:hAnsi="Arial Narrow"/>
                <w:sz w:val="18"/>
                <w:szCs w:val="18"/>
              </w:rPr>
              <w:t xml:space="preserve"> Subfoveal choroidal neovascularisation (CNV)</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Treatment Phase:</w:t>
            </w:r>
            <w:r w:rsidRPr="00E326CC">
              <w:rPr>
                <w:rFonts w:ascii="Arial Narrow" w:hAnsi="Arial Narrow"/>
                <w:sz w:val="18"/>
                <w:szCs w:val="18"/>
              </w:rPr>
              <w:t xml:space="preserve"> Grandfather </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sz w:val="18"/>
                <w:szCs w:val="18"/>
              </w:rPr>
              <w:t>The condition must be due to age-related macular degeneration (AMD)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i/>
                <w:sz w:val="18"/>
                <w:szCs w:val="18"/>
              </w:rPr>
              <w:t>The condition must be diagnosed by optical coherence tomography; or</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z w:val="18"/>
                <w:szCs w:val="18"/>
              </w:rPr>
            </w:pPr>
            <w:r w:rsidRPr="00E326CC">
              <w:rPr>
                <w:rFonts w:ascii="Arial Narrow" w:hAnsi="Arial Narrow"/>
                <w:i/>
                <w:sz w:val="18"/>
                <w:szCs w:val="18"/>
              </w:rPr>
              <w:t>The condition must be diagnosed by fluorescein angiography</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i/>
                <w:sz w:val="18"/>
                <w:szCs w:val="18"/>
              </w:rPr>
            </w:pPr>
            <w:r w:rsidRPr="00E326CC">
              <w:rPr>
                <w:rFonts w:ascii="Arial Narrow" w:hAnsi="Arial Narrow"/>
                <w:i/>
                <w:sz w:val="18"/>
                <w:szCs w:val="18"/>
              </w:rPr>
              <w:t>Patient must have persistent macular exudation, as determined clinically and/or by optical coherence tomography or fluorescein angiography, despite at least 6 months of treatment with either: 1. Aflibercept or 2. Ranibizumab.</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b/>
                <w:bCs/>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sz w:val="18"/>
                <w:szCs w:val="18"/>
              </w:rPr>
              <w:t>Patient must have received non-PBS subsidised treatment with this drug for this condition prior to [listing date]</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Clinical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i/>
                <w:sz w:val="18"/>
                <w:szCs w:val="18"/>
              </w:rPr>
              <w:t>The treatment must be the sole PBS-subsidised therapy for this condition</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sz w:val="18"/>
                <w:szCs w:val="18"/>
              </w:rPr>
            </w:pPr>
            <w:r w:rsidRPr="00E326CC">
              <w:rPr>
                <w:rFonts w:ascii="Arial Narrow" w:hAnsi="Arial Narrow"/>
                <w:b/>
                <w:bCs/>
                <w:sz w:val="18"/>
                <w:szCs w:val="18"/>
              </w:rPr>
              <w:t>AND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b/>
                <w:bCs/>
                <w:sz w:val="18"/>
                <w:szCs w:val="18"/>
              </w:rPr>
              <w:t>Treatment criteria:</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sz w:val="18"/>
                <w:szCs w:val="18"/>
              </w:rPr>
            </w:pPr>
            <w:r w:rsidRPr="00E326CC">
              <w:rPr>
                <w:rFonts w:ascii="Arial Narrow" w:hAnsi="Arial Narrow"/>
                <w:sz w:val="18"/>
                <w:szCs w:val="18"/>
              </w:rPr>
              <w:t xml:space="preserve">Must be treated by an ophthalmologist or </w:t>
            </w:r>
            <w:r w:rsidRPr="00E326CC">
              <w:rPr>
                <w:rFonts w:ascii="Arial Narrow" w:hAnsi="Arial Narrow"/>
                <w:i/>
                <w:sz w:val="18"/>
                <w:szCs w:val="18"/>
              </w:rPr>
              <w:t>by an accredited ophthalmology registrar</w:t>
            </w:r>
            <w:r w:rsidRPr="00E326CC">
              <w:rPr>
                <w:rFonts w:ascii="Arial Narrow" w:hAnsi="Arial Narrow"/>
                <w:sz w:val="18"/>
                <w:szCs w:val="18"/>
              </w:rPr>
              <w:t xml:space="preserve"> in consultation with an ophthalmologist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b/>
                <w:i/>
                <w:sz w:val="18"/>
                <w:szCs w:val="18"/>
              </w:rPr>
            </w:pPr>
            <w:r w:rsidRPr="00E326CC">
              <w:rPr>
                <w:rFonts w:ascii="Arial Narrow" w:hAnsi="Arial Narrow"/>
                <w:b/>
                <w:i/>
                <w:sz w:val="18"/>
                <w:szCs w:val="18"/>
              </w:rPr>
              <w:t>Prescribing Instructions:</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A patient may qualify for PBS-subsidised treatment under this restriction once only per eye. </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Prescribing Instructions:</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The first authority application for each eye must be made in writing </w:t>
            </w:r>
            <w:r w:rsidRPr="00E326CC">
              <w:rPr>
                <w:rFonts w:ascii="Arial Narrow" w:hAnsi="Arial Narrow"/>
                <w:i/>
                <w:strike/>
                <w:sz w:val="18"/>
                <w:szCs w:val="18"/>
              </w:rPr>
              <w:t>or by telephone</w:t>
            </w:r>
            <w:r w:rsidRPr="00E326CC">
              <w:rPr>
                <w:rFonts w:ascii="Arial Narrow" w:hAnsi="Arial Narrow"/>
                <w:i/>
                <w:sz w:val="18"/>
                <w:szCs w:val="18"/>
              </w:rPr>
              <w:t>.</w:t>
            </w:r>
          </w:p>
          <w:p w:rsidR="00B150DC" w:rsidRPr="00E326CC" w:rsidRDefault="00B150DC" w:rsidP="00D61085">
            <w:pPr>
              <w:rPr>
                <w:rFonts w:ascii="Arial Narrow" w:hAnsi="Arial Narrow"/>
                <w:i/>
                <w:sz w:val="18"/>
                <w:szCs w:val="18"/>
              </w:rPr>
            </w:pPr>
            <w:r w:rsidRPr="00E326CC">
              <w:rPr>
                <w:rFonts w:ascii="Arial Narrow" w:hAnsi="Arial Narrow"/>
                <w:i/>
                <w:sz w:val="18"/>
                <w:szCs w:val="18"/>
              </w:rPr>
              <w:t>A written application must include:</w:t>
            </w:r>
          </w:p>
          <w:p w:rsidR="00B150DC" w:rsidRPr="00E326CC" w:rsidRDefault="00B150DC" w:rsidP="00D61085">
            <w:pPr>
              <w:rPr>
                <w:rFonts w:ascii="Arial Narrow" w:hAnsi="Arial Narrow"/>
                <w:i/>
                <w:sz w:val="18"/>
                <w:szCs w:val="18"/>
              </w:rPr>
            </w:pPr>
            <w:r w:rsidRPr="00E326CC">
              <w:rPr>
                <w:rFonts w:ascii="Arial Narrow" w:hAnsi="Arial Narrow"/>
                <w:i/>
                <w:sz w:val="18"/>
                <w:szCs w:val="18"/>
              </w:rPr>
              <w:t>a) a completed authority prescription form;</w:t>
            </w:r>
          </w:p>
          <w:p w:rsidR="00B150DC" w:rsidRPr="00E326CC" w:rsidRDefault="00B150DC" w:rsidP="00D61085">
            <w:pPr>
              <w:rPr>
                <w:rFonts w:ascii="Arial Narrow" w:hAnsi="Arial Narrow"/>
                <w:i/>
                <w:sz w:val="18"/>
                <w:szCs w:val="18"/>
              </w:rPr>
            </w:pPr>
            <w:r w:rsidRPr="00E326CC">
              <w:rPr>
                <w:rFonts w:ascii="Arial Narrow" w:hAnsi="Arial Narrow"/>
                <w:i/>
                <w:sz w:val="18"/>
                <w:szCs w:val="18"/>
              </w:rPr>
              <w:t>b) a completed Subfoveal Choroidal Neovascularisation (CNV) - PBS Supporting Information Form; and</w:t>
            </w:r>
          </w:p>
          <w:p w:rsidR="00B150DC" w:rsidRPr="00E326CC" w:rsidRDefault="00B150DC" w:rsidP="00D61085">
            <w:pPr>
              <w:rPr>
                <w:rFonts w:ascii="Arial Narrow" w:hAnsi="Arial Narrow"/>
                <w:i/>
                <w:sz w:val="18"/>
                <w:szCs w:val="18"/>
              </w:rPr>
            </w:pPr>
            <w:r w:rsidRPr="00E326CC">
              <w:rPr>
                <w:rFonts w:ascii="Arial Narrow" w:hAnsi="Arial Narrow"/>
                <w:i/>
                <w:sz w:val="18"/>
                <w:szCs w:val="18"/>
              </w:rPr>
              <w:t>c) a copy of the optical coherence tomography or fluorescein angiogram report.</w:t>
            </w:r>
          </w:p>
          <w:p w:rsidR="00B150DC" w:rsidRPr="00E326CC" w:rsidRDefault="00B150DC" w:rsidP="00D61085">
            <w:pPr>
              <w:rPr>
                <w:rFonts w:ascii="Arial Narrow" w:hAnsi="Arial Narrow"/>
                <w:i/>
                <w:sz w:val="18"/>
                <w:szCs w:val="18"/>
              </w:rPr>
            </w:pPr>
            <w:r w:rsidRPr="00E326CC">
              <w:rPr>
                <w:rFonts w:ascii="Arial Narrow" w:hAnsi="Arial Narrow"/>
                <w:i/>
                <w:sz w:val="18"/>
                <w:szCs w:val="18"/>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B150DC" w:rsidRPr="00E326CC" w:rsidRDefault="00B150DC" w:rsidP="00D61085">
            <w:pPr>
              <w:rPr>
                <w:rFonts w:ascii="Arial Narrow" w:hAnsi="Arial Narrow"/>
                <w:b/>
                <w:strike/>
                <w:sz w:val="18"/>
                <w:szCs w:val="18"/>
              </w:rPr>
            </w:pPr>
            <w:r w:rsidRPr="00E326CC">
              <w:rPr>
                <w:rFonts w:ascii="Arial Narrow" w:hAnsi="Arial Narrow"/>
                <w:b/>
                <w:strike/>
                <w:sz w:val="18"/>
                <w:szCs w:val="18"/>
              </w:rPr>
              <w:t>Prescribing Instructions:</w:t>
            </w:r>
          </w:p>
          <w:p w:rsidR="00B150DC" w:rsidRPr="00E326CC" w:rsidRDefault="00B150DC" w:rsidP="00D61085">
            <w:pPr>
              <w:rPr>
                <w:rFonts w:ascii="Arial Narrow" w:hAnsi="Arial Narrow"/>
                <w:b/>
                <w:bCs/>
                <w:i/>
                <w:sz w:val="18"/>
                <w:szCs w:val="18"/>
              </w:rPr>
            </w:pPr>
            <w:r w:rsidRPr="00E326CC">
              <w:rPr>
                <w:rFonts w:ascii="Arial Narrow" w:hAnsi="Arial Narrow"/>
                <w:strike/>
                <w:sz w:val="18"/>
                <w:szCs w:val="18"/>
              </w:rPr>
              <w:t>Authority applications for continuing treatment in the same eye may be made by telephone on 1800 700 270 (hours of operation 8 a.m. to 5 p.m. EST Monday to Friday)</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E326CC" w:rsidRDefault="00B150DC" w:rsidP="00D61085">
            <w:pPr>
              <w:rPr>
                <w:rFonts w:ascii="Arial Narrow" w:hAnsi="Arial Narrow"/>
                <w:i/>
                <w:sz w:val="18"/>
                <w:szCs w:val="18"/>
              </w:rPr>
            </w:pPr>
            <w:r w:rsidRPr="00E326CC">
              <w:rPr>
                <w:rFonts w:ascii="Arial Narrow" w:hAnsi="Arial Narrow"/>
                <w:b/>
                <w:bCs/>
                <w:i/>
                <w:sz w:val="18"/>
                <w:szCs w:val="18"/>
              </w:rPr>
              <w:t>Administrative Advice:</w:t>
            </w:r>
          </w:p>
          <w:p w:rsidR="00B150DC" w:rsidRPr="00E326CC" w:rsidRDefault="00B150DC" w:rsidP="00D61085">
            <w:pPr>
              <w:rPr>
                <w:rFonts w:ascii="Arial Narrow" w:hAnsi="Arial Narrow"/>
                <w:i/>
                <w:sz w:val="18"/>
                <w:szCs w:val="18"/>
              </w:rPr>
            </w:pPr>
            <w:r w:rsidRPr="00E326CC">
              <w:rPr>
                <w:rFonts w:ascii="Arial Narrow" w:hAnsi="Arial Narrow"/>
                <w:i/>
                <w:sz w:val="18"/>
                <w:szCs w:val="18"/>
              </w:rPr>
              <w:t>Any queries concerning the arrangements to prescribe may be directed to the Services Australia on 1800 700 270 (hours of operation 8 a.m. to 5 p.m. EST Monday to Friday).</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Prescribing information (including Authority Application forms and other relevant documentation as applicable) is available on the Services Australia website at </w:t>
            </w:r>
            <w:r w:rsidRPr="00FF1746">
              <w:rPr>
                <w:rFonts w:ascii="Arial Narrow" w:hAnsi="Arial Narrow"/>
                <w:i/>
                <w:sz w:val="18"/>
                <w:szCs w:val="18"/>
              </w:rPr>
              <w:t>servicesaustralia.gov.au</w:t>
            </w:r>
          </w:p>
          <w:p w:rsidR="00B150DC" w:rsidRPr="00E326CC" w:rsidRDefault="00B150DC" w:rsidP="00D61085">
            <w:pPr>
              <w:rPr>
                <w:rFonts w:ascii="Arial Narrow" w:hAnsi="Arial Narrow"/>
                <w:i/>
                <w:sz w:val="18"/>
                <w:szCs w:val="18"/>
              </w:rPr>
            </w:pPr>
          </w:p>
          <w:p w:rsidR="00B150DC" w:rsidRPr="00E326CC" w:rsidRDefault="00B150DC" w:rsidP="00D61085">
            <w:pPr>
              <w:rPr>
                <w:rFonts w:ascii="Arial Narrow" w:hAnsi="Arial Narrow"/>
                <w:i/>
                <w:sz w:val="18"/>
                <w:szCs w:val="18"/>
              </w:rPr>
            </w:pPr>
            <w:r w:rsidRPr="00E326CC">
              <w:rPr>
                <w:rFonts w:ascii="Arial Narrow" w:hAnsi="Arial Narrow"/>
                <w:i/>
                <w:sz w:val="18"/>
                <w:szCs w:val="18"/>
              </w:rPr>
              <w:t>Applications for authority to prescribe should be submitted online using the form upload facility in Health Professional Online Services (HPOS)</w:t>
            </w:r>
            <w:r w:rsidRPr="00E326CC">
              <w:rPr>
                <w:rFonts w:ascii="Arial Narrow" w:hAnsi="Arial Narrow"/>
                <w:bCs/>
                <w:i/>
                <w:sz w:val="18"/>
                <w:szCs w:val="18"/>
              </w:rPr>
              <w:t xml:space="preserve"> at www.servicesaustralia.gov.au/hpos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Or mailed to:</w:t>
            </w:r>
          </w:p>
          <w:p w:rsidR="00B150DC" w:rsidRPr="00E326CC" w:rsidRDefault="00B150DC" w:rsidP="00D61085">
            <w:pPr>
              <w:rPr>
                <w:rFonts w:ascii="Arial Narrow" w:hAnsi="Arial Narrow"/>
                <w:i/>
                <w:sz w:val="18"/>
                <w:szCs w:val="18"/>
              </w:rPr>
            </w:pPr>
            <w:r w:rsidRPr="00E326CC">
              <w:rPr>
                <w:rFonts w:ascii="Arial Narrow" w:hAnsi="Arial Narrow"/>
                <w:i/>
                <w:sz w:val="18"/>
                <w:szCs w:val="18"/>
              </w:rPr>
              <w:t>Services Australia</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Complex Drugs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 xml:space="preserve">Reply Paid 9826 </w:t>
            </w:r>
          </w:p>
          <w:p w:rsidR="00B150DC" w:rsidRPr="00E326CC" w:rsidRDefault="00B150DC" w:rsidP="00D61085">
            <w:pPr>
              <w:rPr>
                <w:rFonts w:ascii="Arial Narrow" w:hAnsi="Arial Narrow"/>
                <w:i/>
                <w:sz w:val="18"/>
                <w:szCs w:val="18"/>
              </w:rPr>
            </w:pPr>
            <w:r w:rsidRPr="00E326CC">
              <w:rPr>
                <w:rFonts w:ascii="Arial Narrow" w:hAnsi="Arial Narrow"/>
                <w:i/>
                <w:sz w:val="18"/>
                <w:szCs w:val="18"/>
              </w:rPr>
              <w:t>HOBART TAS 7001</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b/>
                <w:bCs/>
                <w:sz w:val="18"/>
                <w:szCs w:val="18"/>
              </w:rPr>
            </w:pPr>
            <w:r w:rsidRPr="00E326CC">
              <w:rPr>
                <w:rFonts w:ascii="Arial Narrow" w:hAnsi="Arial Narrow"/>
                <w:b/>
                <w:bCs/>
                <w:sz w:val="18"/>
                <w:szCs w:val="18"/>
              </w:rPr>
              <w:t>Administrative Advice:</w:t>
            </w:r>
          </w:p>
          <w:p w:rsidR="00B150DC" w:rsidRPr="00E326CC" w:rsidRDefault="00B150DC" w:rsidP="00D61085">
            <w:pPr>
              <w:rPr>
                <w:rFonts w:ascii="Arial Narrow" w:hAnsi="Arial Narrow"/>
                <w:bCs/>
                <w:sz w:val="18"/>
                <w:szCs w:val="18"/>
              </w:rPr>
            </w:pPr>
            <w:r w:rsidRPr="00E326CC">
              <w:rPr>
                <w:rFonts w:ascii="Arial Narrow" w:hAnsi="Arial Narrow"/>
                <w:bCs/>
                <w:sz w:val="18"/>
                <w:szCs w:val="18"/>
              </w:rPr>
              <w:t>No increase in the maximum number of repeats may be authorised</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i/>
                <w:sz w:val="18"/>
                <w:szCs w:val="18"/>
                <w:lang w:val="en-GB"/>
              </w:rPr>
            </w:pPr>
            <w:r w:rsidRPr="00E326CC">
              <w:rPr>
                <w:rFonts w:ascii="Arial Narrow" w:hAnsi="Arial Narrow"/>
                <w:i/>
                <w:sz w:val="18"/>
                <w:szCs w:val="18"/>
                <w:lang w:val="en-GB"/>
              </w:rPr>
              <w:t>Administrative Advice:</w:t>
            </w:r>
          </w:p>
          <w:p w:rsidR="00B150DC" w:rsidRPr="00E326CC" w:rsidRDefault="00B150DC" w:rsidP="00D61085">
            <w:pPr>
              <w:rPr>
                <w:rFonts w:ascii="Arial Narrow" w:hAnsi="Arial Narrow"/>
                <w:b/>
                <w:bCs/>
                <w:sz w:val="18"/>
                <w:szCs w:val="18"/>
              </w:rPr>
            </w:pPr>
            <w:r w:rsidRPr="00E326CC">
              <w:rPr>
                <w:rFonts w:ascii="Arial Narrow" w:hAnsi="Arial Narrow"/>
                <w:i/>
                <w:sz w:val="18"/>
                <w:szCs w:val="18"/>
                <w:lang w:val="en-GB"/>
              </w:rPr>
              <w:t>Where both eyes are affected by the condition, a quantity of 2 units can be requested on the same authority prescription form.</w:t>
            </w:r>
          </w:p>
        </w:tc>
      </w:tr>
      <w:tr w:rsidR="00B150DC" w:rsidRPr="00E326CC"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50DC" w:rsidRPr="00E326CC" w:rsidRDefault="00B150DC" w:rsidP="00D61085">
            <w:pPr>
              <w:rPr>
                <w:rFonts w:ascii="Arial Narrow" w:hAnsi="Arial Narrow"/>
                <w:b/>
                <w:bCs/>
                <w:sz w:val="18"/>
                <w:szCs w:val="18"/>
              </w:rPr>
            </w:pPr>
            <w:r w:rsidRPr="00E326CC">
              <w:rPr>
                <w:rFonts w:ascii="Arial Narrow" w:hAnsi="Arial Narrow"/>
                <w:b/>
                <w:bCs/>
                <w:sz w:val="18"/>
                <w:szCs w:val="18"/>
              </w:rPr>
              <w:t>Administrative Advice:</w:t>
            </w:r>
          </w:p>
          <w:p w:rsidR="00B150DC" w:rsidRPr="00E326CC" w:rsidRDefault="00B150DC" w:rsidP="00D61085">
            <w:pPr>
              <w:rPr>
                <w:rFonts w:ascii="Arial Narrow" w:hAnsi="Arial Narrow"/>
                <w:bCs/>
                <w:sz w:val="18"/>
                <w:szCs w:val="18"/>
              </w:rPr>
            </w:pPr>
            <w:r w:rsidRPr="00E326CC">
              <w:rPr>
                <w:rFonts w:ascii="Arial Narrow" w:hAnsi="Arial Narrow"/>
                <w:bCs/>
                <w:sz w:val="18"/>
                <w:szCs w:val="18"/>
              </w:rPr>
              <w:t xml:space="preserve">No increase in the maximum quantity or number of units may be authorised </w:t>
            </w:r>
            <w:r w:rsidRPr="00E326CC">
              <w:rPr>
                <w:rFonts w:ascii="Arial Narrow" w:hAnsi="Arial Narrow"/>
                <w:bCs/>
                <w:i/>
                <w:sz w:val="18"/>
                <w:szCs w:val="18"/>
              </w:rPr>
              <w:t>for applications treating one eye</w:t>
            </w:r>
          </w:p>
        </w:tc>
      </w:tr>
      <w:tr w:rsidR="00B150DC" w:rsidRPr="00670AD4" w:rsidTr="00B15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150DC" w:rsidRPr="00670AD4" w:rsidRDefault="00B150DC" w:rsidP="00D61085">
            <w:pPr>
              <w:rPr>
                <w:rFonts w:ascii="Arial Narrow" w:hAnsi="Arial Narrow"/>
                <w:sz w:val="18"/>
                <w:szCs w:val="18"/>
              </w:rPr>
            </w:pPr>
            <w:r w:rsidRPr="00E326CC">
              <w:rPr>
                <w:rFonts w:ascii="Arial Narrow" w:hAnsi="Arial Narrow"/>
                <w:b/>
                <w:bCs/>
                <w:sz w:val="18"/>
                <w:szCs w:val="18"/>
              </w:rPr>
              <w:t>Administrative Advice:</w:t>
            </w:r>
            <w:r w:rsidRPr="00E326CC">
              <w:rPr>
                <w:rFonts w:ascii="Arial Narrow" w:hAnsi="Arial Narrow"/>
                <w:sz w:val="18"/>
                <w:szCs w:val="18"/>
              </w:rPr>
              <w:t xml:space="preserve"> Special Pricing Arrangements apply</w:t>
            </w:r>
          </w:p>
        </w:tc>
      </w:tr>
    </w:tbl>
    <w:p w:rsidR="00E326CC" w:rsidRDefault="00E326CC" w:rsidP="00DE2E5B"/>
    <w:p w:rsidR="00DE2E5B" w:rsidRDefault="00DE2E5B" w:rsidP="00BD7A90">
      <w:pPr>
        <w:pStyle w:val="ListParagraph"/>
        <w:widowControl/>
        <w:numPr>
          <w:ilvl w:val="1"/>
          <w:numId w:val="1"/>
        </w:numPr>
      </w:pPr>
      <w:r w:rsidRPr="00263ADD">
        <w:t>The Sponsor requested a special pricing arrangement (SPA) for brolucizumab</w:t>
      </w:r>
      <w:r w:rsidR="00CA0134">
        <w:t xml:space="preserve"> with</w:t>
      </w:r>
      <w:r>
        <w:t xml:space="preserve"> an effective</w:t>
      </w:r>
      <w:r w:rsidR="00B05F60">
        <w:t xml:space="preserve"> dispensed</w:t>
      </w:r>
      <w:r>
        <w:t xml:space="preserve"> price of $</w:t>
      </w:r>
      <w:r w:rsidR="00FF1746">
        <w:rPr>
          <w:noProof/>
          <w:color w:val="000000"/>
          <w:highlight w:val="black"/>
        </w:rPr>
        <w:t>''''''''''''</w:t>
      </w:r>
      <w:r>
        <w:t>.</w:t>
      </w:r>
    </w:p>
    <w:p w:rsidR="00DE2E5B" w:rsidRPr="0059786E" w:rsidRDefault="00DE2E5B" w:rsidP="00BD7A90">
      <w:pPr>
        <w:pStyle w:val="ListParagraph"/>
        <w:widowControl/>
        <w:numPr>
          <w:ilvl w:val="1"/>
          <w:numId w:val="1"/>
        </w:numPr>
      </w:pPr>
      <w:r>
        <w:t xml:space="preserve">The requested listing is a subset of the registered TGA indication because (1) it restricts eligibility to patients with subfoveal CNV, whereas the TGA indication is for the treatment of neovascular AMD, irrespective of the location of the CNV, and (2) it only allows use in patients with </w:t>
      </w:r>
      <w:r w:rsidRPr="0059786E">
        <w:t>persistent macular exudation despite 6 months of treatment with VEGF inhibitors</w:t>
      </w:r>
      <w:r w:rsidR="00020DDD">
        <w:t>.</w:t>
      </w:r>
    </w:p>
    <w:p w:rsidR="00DE2E5B" w:rsidRPr="006808BF" w:rsidRDefault="00DE2E5B" w:rsidP="00BD7A90">
      <w:pPr>
        <w:pStyle w:val="ListParagraph"/>
        <w:widowControl/>
        <w:numPr>
          <w:ilvl w:val="1"/>
          <w:numId w:val="1"/>
        </w:numPr>
      </w:pPr>
      <w:r w:rsidRPr="00901A3F">
        <w:t xml:space="preserve">While the Sponsor stated that the premise of their current resubmission is to seek PBS </w:t>
      </w:r>
      <w:r w:rsidRPr="006808BF">
        <w:t>listing as a second-line therapy for a patient population who are non-responsive to first-</w:t>
      </w:r>
      <w:r w:rsidRPr="0059786E">
        <w:t>line treatment for wet AMD, use of brolucizumab following both aflibercept and ranibizumab</w:t>
      </w:r>
      <w:r w:rsidR="002233A0" w:rsidRPr="0059786E">
        <w:t xml:space="preserve"> (i.e. third-line use)</w:t>
      </w:r>
      <w:r w:rsidRPr="0059786E">
        <w:t xml:space="preserve"> has</w:t>
      </w:r>
      <w:r w:rsidRPr="006808BF">
        <w:t xml:space="preserve"> not been excluded in the requested listing.</w:t>
      </w:r>
      <w:r w:rsidR="00B46B15">
        <w:t xml:space="preserve"> The PBAC considered it </w:t>
      </w:r>
      <w:r w:rsidR="00A23E9E">
        <w:t xml:space="preserve">would be reasonable for brolucizumab to be used second-line or third-line. </w:t>
      </w:r>
    </w:p>
    <w:p w:rsidR="00A23E9E" w:rsidRDefault="007B70CA" w:rsidP="00BD7A90">
      <w:pPr>
        <w:pStyle w:val="ListParagraph"/>
        <w:widowControl/>
        <w:numPr>
          <w:ilvl w:val="1"/>
          <w:numId w:val="1"/>
        </w:numPr>
      </w:pPr>
      <w:r>
        <w:t xml:space="preserve">The </w:t>
      </w:r>
      <w:r w:rsidRPr="0059786E">
        <w:t>resubmission requested a grandfather restriction</w:t>
      </w:r>
      <w:r w:rsidR="00E52B1A">
        <w:t>;</w:t>
      </w:r>
      <w:r w:rsidRPr="0059786E">
        <w:t xml:space="preserve"> however</w:t>
      </w:r>
      <w:r w:rsidR="003152AB">
        <w:t>,</w:t>
      </w:r>
      <w:r w:rsidRPr="0059786E">
        <w:t xml:space="preserve"> this restriction d</w:t>
      </w:r>
      <w:r w:rsidR="002F3F66" w:rsidRPr="0059786E">
        <w:t>id</w:t>
      </w:r>
      <w:r w:rsidRPr="0059786E">
        <w:t xml:space="preserve"> not require that patients must have previously received aflibercept and/or ranibizumab.</w:t>
      </w:r>
      <w:r w:rsidR="00CA0134" w:rsidRPr="0059786E">
        <w:t xml:space="preserve"> The ESC</w:t>
      </w:r>
      <w:r w:rsidR="002C3756">
        <w:t xml:space="preserve"> and the PBAC</w:t>
      </w:r>
      <w:r w:rsidR="00CA0134" w:rsidRPr="0059786E">
        <w:t xml:space="preserve"> considered it would only be appropriate for patients receiving brolucizumab as a</w:t>
      </w:r>
      <w:r w:rsidR="003152AB">
        <w:t xml:space="preserve"> second- or subsequent-</w:t>
      </w:r>
      <w:r w:rsidR="00CA0134" w:rsidRPr="0059786E">
        <w:t>line treatment in the access program to be transitioned to PBS-subsidised treatment and the grandfather restriction should reflect this.</w:t>
      </w:r>
    </w:p>
    <w:p w:rsidR="00DE2E5B" w:rsidRDefault="00A23E9E" w:rsidP="00BD7A90">
      <w:pPr>
        <w:pStyle w:val="ListParagraph"/>
        <w:widowControl/>
        <w:numPr>
          <w:ilvl w:val="1"/>
          <w:numId w:val="1"/>
        </w:numPr>
      </w:pPr>
      <w:r>
        <w:t xml:space="preserve">The PBAC indicated there </w:t>
      </w:r>
      <w:r w:rsidR="00115A49">
        <w:t>may</w:t>
      </w:r>
      <w:r>
        <w:t xml:space="preserve"> be flow-on changes</w:t>
      </w:r>
      <w:r w:rsidR="00115A49">
        <w:t xml:space="preserve"> required</w:t>
      </w:r>
      <w:r>
        <w:t xml:space="preserve"> to the restrictions for ranibizumab and aflibercept in CNV due to AMD, to</w:t>
      </w:r>
      <w:r w:rsidR="00F906E5">
        <w:t xml:space="preserve"> recognise switching between VEGF inhibitors.</w:t>
      </w:r>
    </w:p>
    <w:p w:rsidR="00150F8F" w:rsidRPr="0059786E" w:rsidRDefault="00150F8F" w:rsidP="009E66D7">
      <w:pPr>
        <w:pStyle w:val="ListParagraph"/>
        <w:widowControl/>
      </w:pPr>
      <w:r w:rsidRPr="009E66D7">
        <w:rPr>
          <w:rFonts w:asciiTheme="minorHAnsi" w:hAnsiTheme="minorHAnsi"/>
          <w:i/>
        </w:rPr>
        <w:t>For more detail on PBAC’s view, see section 7 PBAC outcome.</w:t>
      </w:r>
    </w:p>
    <w:p w:rsidR="002F3F66" w:rsidRPr="002A7D1F" w:rsidRDefault="002F3F66" w:rsidP="0086420A">
      <w:pPr>
        <w:pStyle w:val="PBACHeading1"/>
        <w:spacing w:after="120"/>
        <w:outlineLvl w:val="0"/>
      </w:pPr>
      <w:bookmarkStart w:id="6" w:name="_Toc61267748"/>
      <w:bookmarkStart w:id="7" w:name="_Toc62041382"/>
      <w:bookmarkStart w:id="8" w:name="_Toc61002904"/>
      <w:r w:rsidRPr="002A7D1F">
        <w:t>Background</w:t>
      </w:r>
      <w:bookmarkEnd w:id="6"/>
      <w:bookmarkEnd w:id="7"/>
    </w:p>
    <w:bookmarkEnd w:id="8"/>
    <w:p w:rsidR="00DE2E5B" w:rsidRPr="004151CF" w:rsidRDefault="00DE2E5B" w:rsidP="00BE4F0A">
      <w:pPr>
        <w:spacing w:after="120"/>
        <w:rPr>
          <w:b/>
          <w:i/>
          <w:sz w:val="28"/>
          <w:szCs w:val="28"/>
        </w:rPr>
      </w:pPr>
      <w:r w:rsidRPr="004151CF">
        <w:rPr>
          <w:b/>
          <w:i/>
          <w:sz w:val="28"/>
          <w:szCs w:val="28"/>
        </w:rPr>
        <w:t>Registration status</w:t>
      </w:r>
    </w:p>
    <w:p w:rsidR="00DE2E5B" w:rsidRPr="0059786E" w:rsidRDefault="00DE2E5B" w:rsidP="00BD7A90">
      <w:pPr>
        <w:pStyle w:val="ListParagraph"/>
        <w:widowControl/>
        <w:numPr>
          <w:ilvl w:val="1"/>
          <w:numId w:val="1"/>
        </w:numPr>
      </w:pPr>
      <w:r>
        <w:t>Brolucizumab was TGA registered for the treatment of neovascular (wet) AMD on 16</w:t>
      </w:r>
      <w:r w:rsidR="00E004FA">
        <w:t> </w:t>
      </w:r>
      <w:r>
        <w:t xml:space="preserve">January 2020. On 25 June 2020 the TGA approved updated safety related information in the </w:t>
      </w:r>
      <w:r w:rsidRPr="0059786E">
        <w:t xml:space="preserve">brolucizumab Product Information regarding reported cases of retinal vasculitis </w:t>
      </w:r>
      <w:r w:rsidR="006977C0" w:rsidRPr="0059786E">
        <w:t xml:space="preserve">(RV) </w:t>
      </w:r>
      <w:r w:rsidRPr="0059786E">
        <w:t xml:space="preserve">and retinal </w:t>
      </w:r>
      <w:r w:rsidR="00432AF5" w:rsidRPr="0059786E">
        <w:t>vascular</w:t>
      </w:r>
      <w:r w:rsidR="006977C0" w:rsidRPr="0059786E">
        <w:t xml:space="preserve"> </w:t>
      </w:r>
      <w:r w:rsidRPr="0059786E">
        <w:t>occlusion</w:t>
      </w:r>
      <w:r w:rsidR="006977C0" w:rsidRPr="0059786E">
        <w:t xml:space="preserve"> (RVO)</w:t>
      </w:r>
      <w:r w:rsidRPr="0059786E">
        <w:t>.</w:t>
      </w:r>
    </w:p>
    <w:p w:rsidR="00DE2E5B" w:rsidRPr="004151CF" w:rsidRDefault="00DE2E5B" w:rsidP="00CD7BF3">
      <w:pPr>
        <w:keepNext/>
        <w:keepLines/>
        <w:widowControl/>
        <w:spacing w:after="120"/>
        <w:rPr>
          <w:b/>
          <w:i/>
          <w:sz w:val="28"/>
          <w:szCs w:val="28"/>
        </w:rPr>
      </w:pPr>
      <w:r w:rsidRPr="004151CF">
        <w:rPr>
          <w:b/>
          <w:i/>
          <w:sz w:val="28"/>
          <w:szCs w:val="28"/>
        </w:rPr>
        <w:t>Previous PBAC consideration</w:t>
      </w:r>
    </w:p>
    <w:p w:rsidR="00DE2E5B" w:rsidRDefault="00DE2E5B" w:rsidP="00BD7A90">
      <w:pPr>
        <w:pStyle w:val="ListParagraph"/>
        <w:keepNext/>
        <w:keepLines/>
        <w:widowControl/>
        <w:numPr>
          <w:ilvl w:val="1"/>
          <w:numId w:val="1"/>
        </w:numPr>
      </w:pPr>
      <w:r>
        <w:t>In November 2019, the PBAC did not recommend brolucizumab noting:</w:t>
      </w:r>
    </w:p>
    <w:p w:rsidR="00DE2E5B" w:rsidRDefault="00DE2E5B" w:rsidP="00BD7A90">
      <w:pPr>
        <w:pStyle w:val="ListParagraph"/>
        <w:keepNext/>
        <w:keepLines/>
        <w:widowControl/>
        <w:numPr>
          <w:ilvl w:val="0"/>
          <w:numId w:val="3"/>
        </w:numPr>
      </w:pPr>
      <w:r>
        <w:t>The pivotal clinical studies (HAWK and HARRIER) demonstrated non-inferior efficacy for brolucizumab compared to the main comparator aflibercept. However, a higher incidence of ocular serious adverse events for brolucizumab compared to aflibercept resulted in the claim of non-inferior safety being uncertain. Consequently, the cost-minimisation analysis (CMA) of brolucizumab compared to aflibercept may not have been appropriate (</w:t>
      </w:r>
      <w:r w:rsidR="00DC2081">
        <w:t>B</w:t>
      </w:r>
      <w:r>
        <w:t>rolucizum</w:t>
      </w:r>
      <w:r w:rsidR="002F6087">
        <w:t>ab Public Summary Document (PSD)</w:t>
      </w:r>
      <w:r>
        <w:t xml:space="preserve"> November 2019</w:t>
      </w:r>
      <w:r w:rsidR="00DC2081">
        <w:t>, paragraph 6.27</w:t>
      </w:r>
      <w:r>
        <w:t>)</w:t>
      </w:r>
      <w:r w:rsidR="00DC2081">
        <w:t>.</w:t>
      </w:r>
    </w:p>
    <w:p w:rsidR="00DE2E5B" w:rsidRDefault="00DE2E5B" w:rsidP="00BD7A90">
      <w:pPr>
        <w:pStyle w:val="ListParagraph"/>
        <w:widowControl/>
        <w:numPr>
          <w:ilvl w:val="0"/>
          <w:numId w:val="3"/>
        </w:numPr>
      </w:pPr>
      <w:r>
        <w:t>Brolucizumab would not provide the benefit of less frequent dosing compared with currently available VEGFs inhibitors, as claimed by the Sponsor (</w:t>
      </w:r>
      <w:r w:rsidR="00DC2081">
        <w:t>B</w:t>
      </w:r>
      <w:r>
        <w:t>rolucizumab PSD November 2019</w:t>
      </w:r>
      <w:r w:rsidR="00DC2081">
        <w:t>, paragraph 7.4</w:t>
      </w:r>
      <w:r>
        <w:t>)</w:t>
      </w:r>
      <w:r w:rsidR="00DC2081">
        <w:t>.</w:t>
      </w:r>
    </w:p>
    <w:p w:rsidR="00DE2E5B" w:rsidRDefault="00DE2E5B" w:rsidP="00BD7A90">
      <w:pPr>
        <w:pStyle w:val="ListParagraph"/>
        <w:widowControl/>
        <w:numPr>
          <w:ilvl w:val="1"/>
          <w:numId w:val="1"/>
        </w:numPr>
      </w:pPr>
      <w:r>
        <w:t>In March 2020 the PBAC did not recommend brolucizumab and observ</w:t>
      </w:r>
      <w:r w:rsidR="00B111EC">
        <w:t>ed</w:t>
      </w:r>
      <w:r w:rsidR="001B44C3">
        <w:t xml:space="preserve"> that</w:t>
      </w:r>
      <w:r>
        <w:t>:</w:t>
      </w:r>
    </w:p>
    <w:p w:rsidR="00DE2E5B" w:rsidRDefault="00DE2E5B" w:rsidP="00BD7A90">
      <w:pPr>
        <w:pStyle w:val="ListParagraph"/>
        <w:widowControl/>
        <w:numPr>
          <w:ilvl w:val="0"/>
          <w:numId w:val="3"/>
        </w:numPr>
      </w:pPr>
      <w:r>
        <w:t>In addition to the original concerns of the non-inferior safety claim for brolucizumab, there were anecdotal reports from the American Society of Retinal Specialists (ASRS) of retinal artery occlusion and intraocular inflammation occurring in patients following use of brolucizumab in the United States (</w:t>
      </w:r>
      <w:r w:rsidR="00DC2081">
        <w:t>B</w:t>
      </w:r>
      <w:r>
        <w:t>rolucizumab PSD March 2020</w:t>
      </w:r>
      <w:r w:rsidR="00DC2081">
        <w:t>, paragraph 6.2</w:t>
      </w:r>
      <w:r>
        <w:t>)</w:t>
      </w:r>
      <w:r w:rsidR="00DC2081">
        <w:t>.</w:t>
      </w:r>
    </w:p>
    <w:p w:rsidR="00BA60E1" w:rsidRDefault="00DE2E5B" w:rsidP="00BD7A90">
      <w:pPr>
        <w:pStyle w:val="ListParagraph"/>
        <w:widowControl/>
        <w:numPr>
          <w:ilvl w:val="0"/>
          <w:numId w:val="3"/>
        </w:numPr>
      </w:pPr>
      <w:r>
        <w:t>As there were two safe and efficacious treatment options available</w:t>
      </w:r>
      <w:r w:rsidR="001B44C3">
        <w:t>,</w:t>
      </w:r>
      <w:r>
        <w:t xml:space="preserve"> the need for additional treatment options was considered low, particularly one with uncertain comparative safety (</w:t>
      </w:r>
      <w:r w:rsidR="00DC2081">
        <w:t>B</w:t>
      </w:r>
      <w:r>
        <w:t>rolucizumab PSD</w:t>
      </w:r>
      <w:r w:rsidR="00DC2081">
        <w:t xml:space="preserve"> </w:t>
      </w:r>
      <w:r>
        <w:t>March 2020</w:t>
      </w:r>
      <w:r w:rsidR="00DC2081">
        <w:t>, paragraph 6.4</w:t>
      </w:r>
      <w:r>
        <w:t>)</w:t>
      </w:r>
      <w:r w:rsidR="00DC2081">
        <w:t>.</w:t>
      </w:r>
    </w:p>
    <w:p w:rsidR="00DE2E5B" w:rsidRDefault="00DE2E5B" w:rsidP="00BD7A90">
      <w:pPr>
        <w:pStyle w:val="ListParagraph"/>
        <w:widowControl/>
        <w:numPr>
          <w:ilvl w:val="1"/>
          <w:numId w:val="1"/>
        </w:numPr>
      </w:pPr>
      <w:r>
        <w:t>In July 2020 the PBAC again did not recommend brolucizumab and noted:</w:t>
      </w:r>
    </w:p>
    <w:p w:rsidR="00DE2E5B" w:rsidRDefault="00DE2E5B" w:rsidP="00BD7A90">
      <w:pPr>
        <w:pStyle w:val="ListParagraph"/>
        <w:widowControl/>
        <w:numPr>
          <w:ilvl w:val="0"/>
          <w:numId w:val="3"/>
        </w:numPr>
      </w:pPr>
      <w:r>
        <w:t>Consumer comments stated that an alternative to the two currently available VEGF inhibitors in the case of non-responsiveness would be useful. "However, the PBAC considered that would mean brolucizumab would be second-line therapy, used after failure of the first</w:t>
      </w:r>
      <w:r w:rsidR="00DC2081">
        <w:t>-</w:t>
      </w:r>
      <w:r>
        <w:t>line agents (ranibizumab and aflibercept)" (</w:t>
      </w:r>
      <w:r w:rsidR="00DC2081">
        <w:t>B</w:t>
      </w:r>
      <w:r>
        <w:t>rolucizumab PSD July 2020</w:t>
      </w:r>
      <w:r w:rsidR="00DC2081">
        <w:t xml:space="preserve">, </w:t>
      </w:r>
      <w:r w:rsidR="00F703D1">
        <w:t>p</w:t>
      </w:r>
      <w:r w:rsidR="00DC2081">
        <w:t>aragraph 6.2</w:t>
      </w:r>
      <w:r>
        <w:t>)</w:t>
      </w:r>
      <w:r w:rsidR="00DC2081">
        <w:t>.</w:t>
      </w:r>
    </w:p>
    <w:p w:rsidR="00DE2E5B" w:rsidRDefault="00DE2E5B" w:rsidP="00BD7A90">
      <w:pPr>
        <w:pStyle w:val="ListParagraph"/>
        <w:widowControl/>
        <w:numPr>
          <w:ilvl w:val="0"/>
          <w:numId w:val="3"/>
        </w:numPr>
      </w:pPr>
      <w:r>
        <w:t xml:space="preserve">The Global Novartis Ophthalmology report identified an emerging new safety signal of </w:t>
      </w:r>
      <w:r w:rsidR="00DA631D" w:rsidRPr="001B44C3">
        <w:t>RV/</w:t>
      </w:r>
      <w:r w:rsidR="009E38D7" w:rsidRPr="001B44C3">
        <w:t>RVO</w:t>
      </w:r>
      <w:r>
        <w:t xml:space="preserve"> with or without presence of intraocular inflammation that may result in severe vision loss associated with brolucizumab</w:t>
      </w:r>
      <w:r w:rsidR="00DC2081">
        <w:t xml:space="preserve"> </w:t>
      </w:r>
      <w:r>
        <w:t>(</w:t>
      </w:r>
      <w:r w:rsidR="00DC2081">
        <w:t>B</w:t>
      </w:r>
      <w:r>
        <w:t>rolucizumab PSD July 2020</w:t>
      </w:r>
      <w:r w:rsidR="00DC2081">
        <w:t>, paragraph 6.3</w:t>
      </w:r>
      <w:r>
        <w:t>)</w:t>
      </w:r>
      <w:r w:rsidR="00DC2081">
        <w:t>.</w:t>
      </w:r>
    </w:p>
    <w:p w:rsidR="00DE2E5B" w:rsidRDefault="00DE2E5B" w:rsidP="00BD7A90">
      <w:pPr>
        <w:pStyle w:val="ListParagraph"/>
        <w:widowControl/>
        <w:numPr>
          <w:ilvl w:val="0"/>
          <w:numId w:val="3"/>
        </w:numPr>
      </w:pPr>
      <w:r>
        <w:t>The claim of non-inferior safety was not adequately demonstrated and brolucizumab is likely inferior to aflibercept in terms of comparative safety (</w:t>
      </w:r>
      <w:r w:rsidR="00DC2081">
        <w:t>B</w:t>
      </w:r>
      <w:r>
        <w:t>rolucizumab PSD July 2020</w:t>
      </w:r>
      <w:r w:rsidR="00DC2081">
        <w:t>, paragraph 6.4</w:t>
      </w:r>
      <w:r>
        <w:t>)</w:t>
      </w:r>
      <w:r w:rsidR="00DC2081">
        <w:t>.</w:t>
      </w:r>
    </w:p>
    <w:p w:rsidR="00DE2E5B" w:rsidRPr="00C13451" w:rsidRDefault="00BA2BD8" w:rsidP="00DE2E5B">
      <w:pPr>
        <w:keepNext/>
        <w:rPr>
          <w:rStyle w:val="CommentReference"/>
        </w:rPr>
      </w:pPr>
      <w:r w:rsidRPr="00BA2BD8">
        <w:rPr>
          <w:rStyle w:val="CommentReference"/>
        </w:rPr>
        <w:t xml:space="preserve">Table </w:t>
      </w:r>
      <w:r w:rsidR="00CD7BF3">
        <w:rPr>
          <w:rStyle w:val="CommentReference"/>
          <w:noProof/>
        </w:rPr>
        <w:t>2</w:t>
      </w:r>
      <w:r w:rsidR="00DE2E5B" w:rsidRPr="00C13451">
        <w:rPr>
          <w:rStyle w:val="CommentReference"/>
        </w:rPr>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3969"/>
        <w:gridCol w:w="3777"/>
      </w:tblGrid>
      <w:tr w:rsidR="00DE2E5B" w:rsidRPr="00C13451" w:rsidTr="00DC2081">
        <w:trPr>
          <w:tblHeader/>
        </w:trPr>
        <w:tc>
          <w:tcPr>
            <w:tcW w:w="1271" w:type="dxa"/>
            <w:vAlign w:val="center"/>
          </w:tcPr>
          <w:p w:rsidR="00DE2E5B" w:rsidRPr="00C13451" w:rsidRDefault="00DE2E5B" w:rsidP="00DE2E5B">
            <w:pPr>
              <w:pStyle w:val="Tabletext"/>
              <w:keepNext/>
              <w:rPr>
                <w:b/>
              </w:rPr>
            </w:pPr>
            <w:r w:rsidRPr="00C13451">
              <w:rPr>
                <w:b/>
              </w:rPr>
              <w:t>Component</w:t>
            </w:r>
          </w:p>
        </w:tc>
        <w:tc>
          <w:tcPr>
            <w:tcW w:w="3969" w:type="dxa"/>
            <w:vAlign w:val="center"/>
          </w:tcPr>
          <w:p w:rsidR="00DE2E5B" w:rsidRPr="00C13451" w:rsidRDefault="00DE2E5B" w:rsidP="00DE2E5B">
            <w:pPr>
              <w:pStyle w:val="Tabletext"/>
              <w:keepNext/>
              <w:jc w:val="center"/>
              <w:rPr>
                <w:b/>
              </w:rPr>
            </w:pPr>
            <w:r w:rsidRPr="00C13451">
              <w:rPr>
                <w:b/>
              </w:rPr>
              <w:t>Matter of concern</w:t>
            </w:r>
          </w:p>
        </w:tc>
        <w:tc>
          <w:tcPr>
            <w:tcW w:w="3777" w:type="dxa"/>
            <w:vAlign w:val="center"/>
          </w:tcPr>
          <w:p w:rsidR="00DE2E5B" w:rsidRPr="00C13451" w:rsidRDefault="00DE2E5B" w:rsidP="00DE2E5B">
            <w:pPr>
              <w:pStyle w:val="Tabletext"/>
              <w:keepNext/>
              <w:jc w:val="center"/>
              <w:rPr>
                <w:b/>
              </w:rPr>
            </w:pPr>
            <w:r w:rsidRPr="00C13451">
              <w:rPr>
                <w:b/>
              </w:rPr>
              <w:t>How the resubmission addresses it</w:t>
            </w:r>
          </w:p>
        </w:tc>
      </w:tr>
      <w:tr w:rsidR="00DE2E5B" w:rsidRPr="00203181" w:rsidTr="00DC2081">
        <w:trPr>
          <w:tblHeader/>
        </w:trPr>
        <w:tc>
          <w:tcPr>
            <w:tcW w:w="1271" w:type="dxa"/>
            <w:vAlign w:val="center"/>
          </w:tcPr>
          <w:p w:rsidR="00DE2E5B" w:rsidRDefault="00DE2E5B" w:rsidP="00DE2E5B">
            <w:pPr>
              <w:pStyle w:val="Tabletext"/>
              <w:keepNext/>
            </w:pPr>
            <w:r>
              <w:t>PBS indication</w:t>
            </w:r>
          </w:p>
        </w:tc>
        <w:tc>
          <w:tcPr>
            <w:tcW w:w="3969" w:type="dxa"/>
          </w:tcPr>
          <w:p w:rsidR="00DE2E5B" w:rsidRDefault="00DE2E5B" w:rsidP="00DE2E5B">
            <w:pPr>
              <w:pStyle w:val="Tabletext"/>
            </w:pPr>
            <w:r>
              <w:t>The PBAC considered that if brolucizumab were to be used in cases of non-responsiveness as suggested in consumer comments, brolucizumab would be second line therapy. (</w:t>
            </w:r>
            <w:r w:rsidR="00DC2081">
              <w:t>B</w:t>
            </w:r>
            <w:r>
              <w:t>rolucizumab PSD July 2020</w:t>
            </w:r>
            <w:r w:rsidR="00DC2081">
              <w:t>, paragraph 6.2</w:t>
            </w:r>
            <w:r>
              <w:t>)</w:t>
            </w:r>
          </w:p>
        </w:tc>
        <w:tc>
          <w:tcPr>
            <w:tcW w:w="3777" w:type="dxa"/>
          </w:tcPr>
          <w:p w:rsidR="00DE2E5B" w:rsidRPr="005F674E" w:rsidRDefault="00DC2081" w:rsidP="00DE2E5B">
            <w:pPr>
              <w:pStyle w:val="Tabletext"/>
              <w:keepNext/>
            </w:pPr>
            <w:r>
              <w:t>The</w:t>
            </w:r>
            <w:r w:rsidR="00DE2E5B">
              <w:t xml:space="preserve"> requested indication is for </w:t>
            </w:r>
            <w:r w:rsidR="00DE2E5B" w:rsidRPr="0020238A">
              <w:t>subfoveal CNV due to AMD in patients who are non-responsive to prior anti-VEGF t</w:t>
            </w:r>
            <w:r w:rsidR="00DE2E5B">
              <w:t>reatment.</w:t>
            </w:r>
          </w:p>
        </w:tc>
      </w:tr>
      <w:tr w:rsidR="00DE2E5B" w:rsidRPr="00203181" w:rsidTr="00DC2081">
        <w:trPr>
          <w:tblHeader/>
        </w:trPr>
        <w:tc>
          <w:tcPr>
            <w:tcW w:w="1271" w:type="dxa"/>
            <w:vAlign w:val="center"/>
          </w:tcPr>
          <w:p w:rsidR="00DE2E5B" w:rsidRDefault="00DE2E5B" w:rsidP="00DE2E5B">
            <w:pPr>
              <w:pStyle w:val="Tabletext"/>
              <w:keepNext/>
            </w:pPr>
            <w:r>
              <w:t>Safety</w:t>
            </w:r>
          </w:p>
        </w:tc>
        <w:tc>
          <w:tcPr>
            <w:tcW w:w="3969" w:type="dxa"/>
            <w:shd w:val="clear" w:color="auto" w:fill="auto"/>
            <w:vAlign w:val="center"/>
          </w:tcPr>
          <w:p w:rsidR="00DE2E5B" w:rsidRPr="005E537D" w:rsidRDefault="00DE2E5B" w:rsidP="00DC2081">
            <w:pPr>
              <w:pStyle w:val="Tabletext"/>
              <w:rPr>
                <w:highlight w:val="green"/>
              </w:rPr>
            </w:pPr>
            <w:r w:rsidRPr="0022730F">
              <w:t xml:space="preserve">Safety concerns regarding newly identified adverse events </w:t>
            </w:r>
            <w:r>
              <w:t>RV and</w:t>
            </w:r>
            <w:r w:rsidRPr="0022730F">
              <w:t xml:space="preserve"> </w:t>
            </w:r>
            <w:r>
              <w:t>RVO</w:t>
            </w:r>
            <w:r w:rsidRPr="0022730F">
              <w:t xml:space="preserve"> with or without presence of intraocular inflammation. </w:t>
            </w:r>
            <w:r>
              <w:t>(</w:t>
            </w:r>
            <w:r w:rsidR="00DC2081">
              <w:t>B</w:t>
            </w:r>
            <w:r>
              <w:t>rolucizumab PSD July 2020</w:t>
            </w:r>
            <w:r w:rsidR="00DC2081">
              <w:t>, paragraph 6.3</w:t>
            </w:r>
            <w:r>
              <w:t>)</w:t>
            </w:r>
          </w:p>
        </w:tc>
        <w:tc>
          <w:tcPr>
            <w:tcW w:w="3777" w:type="dxa"/>
          </w:tcPr>
          <w:p w:rsidR="00DE2E5B" w:rsidRPr="005E537D" w:rsidRDefault="00DE2E5B" w:rsidP="00DE2E5B">
            <w:pPr>
              <w:pStyle w:val="Tabletext"/>
              <w:keepNext/>
              <w:rPr>
                <w:highlight w:val="red"/>
              </w:rPr>
            </w:pPr>
            <w:r>
              <w:t>The</w:t>
            </w:r>
            <w:r w:rsidRPr="0022730F">
              <w:t xml:space="preserve"> </w:t>
            </w:r>
            <w:r>
              <w:t>resubmission: (1) provided additional reports of RV and RVO from</w:t>
            </w:r>
            <w:r w:rsidRPr="0022730F">
              <w:t xml:space="preserve"> </w:t>
            </w:r>
            <w:r>
              <w:t xml:space="preserve">a post hoc review of the HAWK and HARRIER clinical trials, (2) provided details of the TGA approved safety update and the TGA mandated training program for </w:t>
            </w:r>
            <w:r w:rsidR="00A07F34">
              <w:t>ophthalmologists</w:t>
            </w:r>
            <w:r>
              <w:t xml:space="preserve"> regarding RV and RVO, and (3) proposed a </w:t>
            </w:r>
            <w:r w:rsidRPr="00BB2EBF">
              <w:t>5</w:t>
            </w:r>
            <w:r>
              <w:t>% price reduction relative to the lowest</w:t>
            </w:r>
            <w:r w:rsidR="00153442">
              <w:t xml:space="preserve"> cost</w:t>
            </w:r>
            <w:r>
              <w:t xml:space="preserve"> comparator, stating “The savings associated with this </w:t>
            </w:r>
            <w:r w:rsidRPr="00BB2EBF">
              <w:t>5</w:t>
            </w:r>
            <w:r>
              <w:t xml:space="preserve">% price reduction will outweigh the cost implications of the small increase (~2 %) in the rate of… RV/RVO which occurs in less than 4 % of patients.” (Executive summary of the </w:t>
            </w:r>
            <w:r w:rsidR="00DC2081">
              <w:t>re</w:t>
            </w:r>
            <w:r>
              <w:t>submission)</w:t>
            </w:r>
          </w:p>
        </w:tc>
      </w:tr>
      <w:tr w:rsidR="00DE2E5B" w:rsidRPr="00203181" w:rsidTr="00DC2081">
        <w:trPr>
          <w:tblHeader/>
        </w:trPr>
        <w:tc>
          <w:tcPr>
            <w:tcW w:w="1271" w:type="dxa"/>
            <w:vAlign w:val="center"/>
          </w:tcPr>
          <w:p w:rsidR="00DE2E5B" w:rsidRPr="00C13451" w:rsidRDefault="00DE2E5B" w:rsidP="00DE2E5B">
            <w:pPr>
              <w:pStyle w:val="Tabletext"/>
              <w:keepNext/>
            </w:pPr>
            <w:r>
              <w:t>Safety</w:t>
            </w:r>
          </w:p>
        </w:tc>
        <w:tc>
          <w:tcPr>
            <w:tcW w:w="3969" w:type="dxa"/>
          </w:tcPr>
          <w:p w:rsidR="00DE2E5B" w:rsidRPr="005F674E" w:rsidRDefault="00DE2E5B" w:rsidP="00DE2E5B">
            <w:pPr>
              <w:pStyle w:val="Tabletext"/>
            </w:pPr>
            <w:r>
              <w:t>The claim of non-inferior safety was not adequately demonstrated and that brolucizumab is likely inferior to aflibercept in terms of comparative safety. (</w:t>
            </w:r>
            <w:r w:rsidR="00DC2081">
              <w:t>B</w:t>
            </w:r>
            <w:r>
              <w:t>rolucizumab PSD July 2020</w:t>
            </w:r>
            <w:r w:rsidR="00DC2081">
              <w:t>, paragraphs 6.1 and 6.4</w:t>
            </w:r>
            <w:r>
              <w:t>)</w:t>
            </w:r>
          </w:p>
        </w:tc>
        <w:tc>
          <w:tcPr>
            <w:tcW w:w="3777" w:type="dxa"/>
          </w:tcPr>
          <w:p w:rsidR="00DE2E5B" w:rsidRPr="005F674E" w:rsidRDefault="001B44C3" w:rsidP="00DE2E5B">
            <w:pPr>
              <w:pStyle w:val="Tabletext"/>
              <w:keepNext/>
            </w:pPr>
            <w:r>
              <w:t>The r</w:t>
            </w:r>
            <w:r w:rsidR="00DC2081">
              <w:t>esubmission claims</w:t>
            </w:r>
            <w:r w:rsidR="00DE2E5B">
              <w:t xml:space="preserve"> that brolucizumab is “marginally inferior” in terms of safety compared to aflibercept and ranibizumab.</w:t>
            </w:r>
          </w:p>
        </w:tc>
      </w:tr>
    </w:tbl>
    <w:p w:rsidR="00DE2E5B" w:rsidRDefault="00DE2E5B" w:rsidP="00DE2E5B">
      <w:pPr>
        <w:pStyle w:val="TableFooter"/>
      </w:pPr>
      <w:r>
        <w:t xml:space="preserve">RV = </w:t>
      </w:r>
      <w:r w:rsidRPr="0022730F">
        <w:t>retinal vasculitis</w:t>
      </w:r>
      <w:r>
        <w:t xml:space="preserve">; RVO = </w:t>
      </w:r>
      <w:r w:rsidRPr="0022730F">
        <w:t>retinal vascular occlusion</w:t>
      </w:r>
    </w:p>
    <w:p w:rsidR="00DE2E5B" w:rsidRDefault="00DE2E5B" w:rsidP="00DE2E5B">
      <w:pPr>
        <w:pStyle w:val="TableFooter"/>
      </w:pPr>
      <w:r w:rsidRPr="0020238A">
        <w:t>Source: Brolucizumab Public Summary Document July 2020; Section 1.1.3 of the submission</w:t>
      </w:r>
    </w:p>
    <w:p w:rsidR="002F3F66" w:rsidRPr="002A7D1F" w:rsidRDefault="002F3F66" w:rsidP="0086420A">
      <w:pPr>
        <w:pStyle w:val="PBACHeading1"/>
        <w:spacing w:after="120"/>
        <w:outlineLvl w:val="0"/>
      </w:pPr>
      <w:bookmarkStart w:id="9" w:name="_Toc61267749"/>
      <w:bookmarkStart w:id="10" w:name="_Toc62041383"/>
      <w:bookmarkStart w:id="11" w:name="_Toc61002905"/>
      <w:r w:rsidRPr="002A7D1F">
        <w:t>Population and disease</w:t>
      </w:r>
      <w:bookmarkEnd w:id="9"/>
      <w:bookmarkEnd w:id="10"/>
    </w:p>
    <w:bookmarkEnd w:id="11"/>
    <w:p w:rsidR="00DE2E5B" w:rsidRDefault="00DE2E5B" w:rsidP="00BD7A90">
      <w:pPr>
        <w:pStyle w:val="ListParagraph"/>
        <w:widowControl/>
        <w:numPr>
          <w:ilvl w:val="1"/>
          <w:numId w:val="1"/>
        </w:numPr>
      </w:pPr>
      <w:r>
        <w:t xml:space="preserve">AMD is a chronic eye disease characterised by progressive degenerative abnormalities in the central retina (macula) and is a leading cause of severe vision loss and legal blindness in people </w:t>
      </w:r>
      <w:r w:rsidR="00BA2BD8">
        <w:t>aged over</w:t>
      </w:r>
      <w:r>
        <w:t xml:space="preserve"> of 65</w:t>
      </w:r>
      <w:r w:rsidR="00BA2BD8">
        <w:t xml:space="preserve"> years</w:t>
      </w:r>
      <w:r>
        <w:t>. When AMD progresses to the late stage it can be either non-neovascular (atrophic) ‘dry’ form or neovascular (exudative) ‘wet’ form. Neovascular (wet) AMD is characterised by CNV whereby new blood vessels grow beneath or within the retina and macula. These blood vessels leak, causing separation of Bruch’s membrane, the retinal pigment epithelium (RPE) and the retina from each other, with accumulation of sub-RPE, sub-retinal or intra-retinal fluid. VEGF is widely considered the main growth factor responsible for this neovascularisation.</w:t>
      </w:r>
    </w:p>
    <w:p w:rsidR="00DE2E5B" w:rsidRDefault="00DE2E5B" w:rsidP="00BD7A90">
      <w:pPr>
        <w:pStyle w:val="ListParagraph"/>
        <w:widowControl/>
        <w:numPr>
          <w:ilvl w:val="1"/>
          <w:numId w:val="1"/>
        </w:numPr>
      </w:pPr>
      <w:r>
        <w:t>The standard treatment in Australian clinical practice is intravitreal injection with an anti-VEGF agent, generally ranibizumab or aflibercept. Although many eyes with wet AMD respond well following use of one anti-VEGF agent, some patients remain “non-responders” and continue to have recurrent or persistent exudation. Currently patients may switch from aflibercept to ranibizumab or vice versa if they continue to have symptoms of wet AMD following treatment with one anti-VEGF agent.</w:t>
      </w:r>
    </w:p>
    <w:p w:rsidR="00DE2E5B" w:rsidRDefault="00DE2E5B" w:rsidP="00BD7A90">
      <w:pPr>
        <w:pStyle w:val="ListParagraph"/>
        <w:widowControl/>
        <w:numPr>
          <w:ilvl w:val="1"/>
          <w:numId w:val="1"/>
        </w:numPr>
      </w:pPr>
      <w:r>
        <w:t xml:space="preserve">This </w:t>
      </w:r>
      <w:r w:rsidR="0072039C">
        <w:t>re</w:t>
      </w:r>
      <w:r>
        <w:t>submission requested listing of brolucizumab for the treatment of subfoveal CNV due to AMD in patients who have persistent macular exudation despite 6 months of treatment with anti-VEGF therapy. This requested listing differs from the previous brolucizumab submission/resubmissions</w:t>
      </w:r>
      <w:r w:rsidR="001B44C3">
        <w:t>,</w:t>
      </w:r>
      <w:r>
        <w:t xml:space="preserve"> which did not specify that prior anti-VEGF therapy was required.</w:t>
      </w:r>
      <w:r w:rsidR="00B0255C">
        <w:t xml:space="preserve"> </w:t>
      </w:r>
    </w:p>
    <w:p w:rsidR="002F3F66" w:rsidRPr="002A7D1F" w:rsidRDefault="002F3F66" w:rsidP="0086420A">
      <w:pPr>
        <w:pStyle w:val="PBACHeading1"/>
        <w:spacing w:after="120"/>
        <w:outlineLvl w:val="0"/>
      </w:pPr>
      <w:bookmarkStart w:id="12" w:name="_Toc61267750"/>
      <w:bookmarkStart w:id="13" w:name="_Toc62041384"/>
      <w:r w:rsidRPr="0073328C">
        <w:t>Comparator</w:t>
      </w:r>
      <w:bookmarkEnd w:id="12"/>
      <w:bookmarkEnd w:id="13"/>
    </w:p>
    <w:p w:rsidR="00DE2E5B" w:rsidRDefault="00DE2E5B" w:rsidP="00BD7A90">
      <w:pPr>
        <w:pStyle w:val="ListParagraph"/>
        <w:widowControl/>
        <w:numPr>
          <w:ilvl w:val="1"/>
          <w:numId w:val="1"/>
        </w:numPr>
        <w:snapToGrid w:val="0"/>
      </w:pPr>
      <w:r w:rsidRPr="006808BF">
        <w:t>The submission nominated aflibercept as the main comparator and ranibizumab as a secondary comparator. These were the same comparators nominated in the previous submission/resubmissions</w:t>
      </w:r>
      <w:r w:rsidR="009239F4" w:rsidRPr="006808BF">
        <w:t xml:space="preserve"> for first-line treatment</w:t>
      </w:r>
      <w:r w:rsidRPr="006808BF">
        <w:t xml:space="preserve">. </w:t>
      </w:r>
      <w:r w:rsidR="00CE794C" w:rsidRPr="006808BF">
        <w:t>A</w:t>
      </w:r>
      <w:r w:rsidR="00BA2BD8" w:rsidRPr="006808BF">
        <w:t>flibercept and ranibizumab</w:t>
      </w:r>
      <w:r w:rsidR="00CE794C" w:rsidRPr="006808BF">
        <w:t xml:space="preserve"> may not be</w:t>
      </w:r>
      <w:r w:rsidR="00BA2BD8" w:rsidRPr="006808BF">
        <w:t xml:space="preserve"> the appropriate comparators for second-line treatment of wet AMD. Although the current PBS listings do not preclude </w:t>
      </w:r>
      <w:r w:rsidR="00A4513F" w:rsidRPr="006808BF">
        <w:t xml:space="preserve">sequential use of aflibercept followed by ranibizumab or vice </w:t>
      </w:r>
      <w:r w:rsidR="00A4513F" w:rsidRPr="0059786E">
        <w:t>versa,</w:t>
      </w:r>
      <w:r w:rsidR="00BA2BD8" w:rsidRPr="0059786E">
        <w:t xml:space="preserve"> the safety, effectiveness and cost-effectiveness of aflibercept </w:t>
      </w:r>
      <w:r w:rsidR="0084475C" w:rsidRPr="0059786E">
        <w:t xml:space="preserve">and </w:t>
      </w:r>
      <w:r w:rsidR="00BA2BD8" w:rsidRPr="0059786E">
        <w:t xml:space="preserve">ranibizumab in </w:t>
      </w:r>
      <w:r w:rsidR="0084475C" w:rsidRPr="0059786E">
        <w:t>the</w:t>
      </w:r>
      <w:r w:rsidR="00A4513F" w:rsidRPr="0059786E">
        <w:t xml:space="preserve"> </w:t>
      </w:r>
      <w:r w:rsidR="00BA2BD8" w:rsidRPr="0059786E">
        <w:t xml:space="preserve">second-line setting </w:t>
      </w:r>
      <w:r w:rsidR="0084475C" w:rsidRPr="0059786E">
        <w:t>is uncertain</w:t>
      </w:r>
      <w:r w:rsidR="00BA2BD8" w:rsidRPr="0059786E">
        <w:t>. Thus, placebo for no treatment may be an appropriate comparator</w:t>
      </w:r>
      <w:r w:rsidR="00BE3E30" w:rsidRPr="0059786E">
        <w:t xml:space="preserve"> in a pre-treated population</w:t>
      </w:r>
      <w:r w:rsidR="00DB1DB0" w:rsidRPr="0059786E">
        <w:t xml:space="preserve"> who remain inadequately- or non-responsive following</w:t>
      </w:r>
      <w:r w:rsidR="00BA2BD8" w:rsidRPr="0059786E">
        <w:t xml:space="preserve"> treatment with</w:t>
      </w:r>
      <w:r w:rsidR="00DB1DB0" w:rsidRPr="0059786E">
        <w:t xml:space="preserve"> either or</w:t>
      </w:r>
      <w:r w:rsidR="00BA2BD8" w:rsidRPr="0059786E">
        <w:t xml:space="preserve"> both aflibercept and ranibizumab.</w:t>
      </w:r>
      <w:r w:rsidR="00DB1DB0" w:rsidRPr="0059786E">
        <w:t xml:space="preserve"> However, </w:t>
      </w:r>
      <w:r w:rsidR="005A0289" w:rsidRPr="0059786E">
        <w:t xml:space="preserve">the </w:t>
      </w:r>
      <w:r w:rsidR="00DB1DB0" w:rsidRPr="0059786E">
        <w:t>ESC</w:t>
      </w:r>
      <w:r w:rsidR="00D92D2F">
        <w:t xml:space="preserve"> and the PBAC</w:t>
      </w:r>
      <w:r w:rsidR="00DB1DB0" w:rsidRPr="0059786E">
        <w:t xml:space="preserve"> noted the prior DUSC review and other studies, which indicate</w:t>
      </w:r>
      <w:r w:rsidR="005A0289" w:rsidRPr="0059786E">
        <w:t>d</w:t>
      </w:r>
      <w:r w:rsidR="00DB1DB0" w:rsidRPr="0059786E">
        <w:t xml:space="preserve"> that switching between </w:t>
      </w:r>
      <w:r w:rsidR="009D4093" w:rsidRPr="0059786E">
        <w:t>anti-VEGF treatments</w:t>
      </w:r>
      <w:r w:rsidR="00DB1DB0" w:rsidRPr="0059786E">
        <w:t xml:space="preserve"> for inadequate- or non-respon</w:t>
      </w:r>
      <w:r w:rsidR="00C34432">
        <w:t>se</w:t>
      </w:r>
      <w:r w:rsidR="00DB1DB0" w:rsidRPr="0059786E">
        <w:t xml:space="preserve"> is common and well established, despite </w:t>
      </w:r>
      <w:r w:rsidR="009D4093" w:rsidRPr="0059786E">
        <w:t>anti-VEGF treatments</w:t>
      </w:r>
      <w:r w:rsidR="00DB1DB0" w:rsidRPr="0059786E">
        <w:t xml:space="preserve"> not being formally evaluated for cost-effectiveness in second</w:t>
      </w:r>
      <w:r w:rsidR="00962C7A" w:rsidRPr="0059786E">
        <w:t>-</w:t>
      </w:r>
      <w:r w:rsidR="00DB1DB0" w:rsidRPr="0059786E">
        <w:t xml:space="preserve"> or </w:t>
      </w:r>
      <w:r w:rsidR="005A0289" w:rsidRPr="0059786E">
        <w:t>subsequent</w:t>
      </w:r>
      <w:r w:rsidR="00DB1DB0" w:rsidRPr="0059786E">
        <w:t>-line therapy.</w:t>
      </w:r>
    </w:p>
    <w:p w:rsidR="00150F8F" w:rsidRPr="0059786E" w:rsidRDefault="00150F8F" w:rsidP="00150F8F">
      <w:pPr>
        <w:pStyle w:val="ListParagraph"/>
        <w:widowControl/>
        <w:snapToGrid w:val="0"/>
      </w:pPr>
      <w:r w:rsidRPr="00AF45B6">
        <w:rPr>
          <w:rFonts w:asciiTheme="minorHAnsi" w:hAnsiTheme="minorHAnsi"/>
          <w:i/>
        </w:rPr>
        <w:t>For more detail on PBAC’s view, see section 7 PBAC outcome.</w:t>
      </w:r>
    </w:p>
    <w:p w:rsidR="004A5F3D" w:rsidRDefault="002F3F66" w:rsidP="0086420A">
      <w:pPr>
        <w:pStyle w:val="PBACHeading1"/>
        <w:spacing w:after="120"/>
        <w:outlineLvl w:val="0"/>
      </w:pPr>
      <w:bookmarkStart w:id="14" w:name="_Toc61267751"/>
      <w:bookmarkStart w:id="15" w:name="_Toc62041385"/>
      <w:bookmarkStart w:id="16" w:name="_Toc61002907"/>
      <w:r w:rsidRPr="002A7D1F">
        <w:t>Consideration of the evidence</w:t>
      </w:r>
      <w:bookmarkStart w:id="17" w:name="_Toc61002908"/>
      <w:bookmarkEnd w:id="14"/>
      <w:bookmarkEnd w:id="15"/>
      <w:bookmarkEnd w:id="16"/>
    </w:p>
    <w:p w:rsidR="000A606E" w:rsidRPr="00836F75" w:rsidRDefault="000A606E" w:rsidP="000A606E">
      <w:pPr>
        <w:pStyle w:val="Heading2"/>
        <w:spacing w:after="120"/>
      </w:pPr>
      <w:r w:rsidRPr="00836F75">
        <w:t>Sponsor hearing</w:t>
      </w:r>
    </w:p>
    <w:p w:rsidR="00F605AB" w:rsidRPr="00DD1C22" w:rsidRDefault="00C50176" w:rsidP="00BD7A90">
      <w:pPr>
        <w:numPr>
          <w:ilvl w:val="1"/>
          <w:numId w:val="1"/>
        </w:numPr>
        <w:spacing w:after="120"/>
        <w:rPr>
          <w:rFonts w:asciiTheme="minorHAnsi" w:hAnsiTheme="minorHAnsi"/>
          <w:bCs/>
        </w:rPr>
      </w:pPr>
      <w:r w:rsidRPr="00836F75">
        <w:rPr>
          <w:rFonts w:asciiTheme="minorHAnsi" w:hAnsiTheme="minorHAnsi"/>
          <w:bCs/>
        </w:rPr>
        <w:t xml:space="preserve">The </w:t>
      </w:r>
      <w:r w:rsidR="00EB32BF">
        <w:rPr>
          <w:rFonts w:asciiTheme="minorHAnsi" w:hAnsiTheme="minorHAnsi"/>
          <w:bCs/>
        </w:rPr>
        <w:t>S</w:t>
      </w:r>
      <w:r w:rsidRPr="00836F75">
        <w:rPr>
          <w:rFonts w:asciiTheme="minorHAnsi" w:hAnsiTheme="minorHAnsi"/>
          <w:bCs/>
        </w:rPr>
        <w:t>ponsor requested a hearing for this item. The clinician</w:t>
      </w:r>
      <w:r w:rsidR="00020090">
        <w:rPr>
          <w:rFonts w:asciiTheme="minorHAnsi" w:hAnsiTheme="minorHAnsi"/>
          <w:bCs/>
        </w:rPr>
        <w:t xml:space="preserve"> stated</w:t>
      </w:r>
      <w:r w:rsidR="008448D7">
        <w:rPr>
          <w:rFonts w:asciiTheme="minorHAnsi" w:hAnsiTheme="minorHAnsi"/>
          <w:bCs/>
        </w:rPr>
        <w:t xml:space="preserve"> that, in general,</w:t>
      </w:r>
      <w:r w:rsidR="00020090">
        <w:rPr>
          <w:rFonts w:asciiTheme="minorHAnsi" w:hAnsiTheme="minorHAnsi"/>
          <w:bCs/>
        </w:rPr>
        <w:t xml:space="preserve"> 20</w:t>
      </w:r>
      <w:r w:rsidR="003152AB">
        <w:rPr>
          <w:rFonts w:asciiTheme="minorHAnsi" w:hAnsiTheme="minorHAnsi"/>
          <w:bCs/>
        </w:rPr>
        <w:noBreakHyphen/>
      </w:r>
      <w:r w:rsidR="00020090">
        <w:rPr>
          <w:rFonts w:asciiTheme="minorHAnsi" w:hAnsiTheme="minorHAnsi"/>
          <w:bCs/>
        </w:rPr>
        <w:t xml:space="preserve">25% </w:t>
      </w:r>
      <w:r w:rsidR="008448D7">
        <w:rPr>
          <w:rFonts w:asciiTheme="minorHAnsi" w:hAnsiTheme="minorHAnsi"/>
          <w:bCs/>
        </w:rPr>
        <w:t xml:space="preserve">of </w:t>
      </w:r>
      <w:r w:rsidR="00020090">
        <w:rPr>
          <w:rFonts w:asciiTheme="minorHAnsi" w:hAnsiTheme="minorHAnsi"/>
          <w:bCs/>
        </w:rPr>
        <w:t>patients have persistent fluid and are relatively injection intensive, requiring treatment at 4-5 week intervals</w:t>
      </w:r>
      <w:r w:rsidR="008448D7">
        <w:rPr>
          <w:rFonts w:asciiTheme="minorHAnsi" w:hAnsiTheme="minorHAnsi"/>
          <w:bCs/>
        </w:rPr>
        <w:t xml:space="preserve"> to obtain </w:t>
      </w:r>
      <w:r w:rsidR="00020090">
        <w:rPr>
          <w:rFonts w:asciiTheme="minorHAnsi" w:hAnsiTheme="minorHAnsi"/>
          <w:bCs/>
        </w:rPr>
        <w:t xml:space="preserve">good clinical outcomes in terms of retaining vision. </w:t>
      </w:r>
      <w:r w:rsidR="00C20F8C">
        <w:rPr>
          <w:rFonts w:asciiTheme="minorHAnsi" w:hAnsiTheme="minorHAnsi"/>
          <w:bCs/>
        </w:rPr>
        <w:t>The clinician emphasised that i</w:t>
      </w:r>
      <w:r w:rsidR="00020090">
        <w:rPr>
          <w:rFonts w:asciiTheme="minorHAnsi" w:hAnsiTheme="minorHAnsi"/>
          <w:bCs/>
        </w:rPr>
        <w:t>f patients miss their appointments</w:t>
      </w:r>
      <w:r w:rsidR="008448D7">
        <w:rPr>
          <w:rFonts w:asciiTheme="minorHAnsi" w:hAnsiTheme="minorHAnsi"/>
          <w:bCs/>
        </w:rPr>
        <w:t xml:space="preserve"> due to high treatment burden</w:t>
      </w:r>
      <w:r w:rsidR="00020090">
        <w:rPr>
          <w:rFonts w:asciiTheme="minorHAnsi" w:hAnsiTheme="minorHAnsi"/>
          <w:bCs/>
        </w:rPr>
        <w:t xml:space="preserve">, </w:t>
      </w:r>
      <w:r w:rsidR="00C20F8C">
        <w:rPr>
          <w:rFonts w:asciiTheme="minorHAnsi" w:hAnsiTheme="minorHAnsi"/>
          <w:bCs/>
        </w:rPr>
        <w:t>increased fluid activity occurs</w:t>
      </w:r>
      <w:r w:rsidR="00020090">
        <w:rPr>
          <w:rFonts w:asciiTheme="minorHAnsi" w:hAnsiTheme="minorHAnsi"/>
          <w:bCs/>
        </w:rPr>
        <w:t xml:space="preserve"> l</w:t>
      </w:r>
      <w:r w:rsidR="00C20F8C">
        <w:rPr>
          <w:rFonts w:asciiTheme="minorHAnsi" w:hAnsiTheme="minorHAnsi"/>
          <w:bCs/>
        </w:rPr>
        <w:t>eading to permanent vision loss, and that a</w:t>
      </w:r>
      <w:r w:rsidR="00020090">
        <w:rPr>
          <w:rFonts w:asciiTheme="minorHAnsi" w:hAnsiTheme="minorHAnsi"/>
          <w:bCs/>
        </w:rPr>
        <w:t xml:space="preserve"> second</w:t>
      </w:r>
      <w:r w:rsidR="008448D7">
        <w:rPr>
          <w:rFonts w:asciiTheme="minorHAnsi" w:hAnsiTheme="minorHAnsi"/>
          <w:bCs/>
        </w:rPr>
        <w:t>-</w:t>
      </w:r>
      <w:r w:rsidR="00020090">
        <w:rPr>
          <w:rFonts w:asciiTheme="minorHAnsi" w:hAnsiTheme="minorHAnsi"/>
          <w:bCs/>
        </w:rPr>
        <w:t xml:space="preserve"> or third</w:t>
      </w:r>
      <w:r w:rsidR="008448D7">
        <w:rPr>
          <w:rFonts w:asciiTheme="minorHAnsi" w:hAnsiTheme="minorHAnsi"/>
          <w:bCs/>
        </w:rPr>
        <w:t>-</w:t>
      </w:r>
      <w:r w:rsidR="00020090">
        <w:rPr>
          <w:rFonts w:asciiTheme="minorHAnsi" w:hAnsiTheme="minorHAnsi"/>
          <w:bCs/>
        </w:rPr>
        <w:t xml:space="preserve">line agent would be useful for injection intensive patients. </w:t>
      </w:r>
      <w:r w:rsidR="00C20F8C">
        <w:rPr>
          <w:rFonts w:asciiTheme="minorHAnsi" w:hAnsiTheme="minorHAnsi"/>
          <w:bCs/>
        </w:rPr>
        <w:t>The clinician noted</w:t>
      </w:r>
      <w:r w:rsidR="008448D7">
        <w:rPr>
          <w:rFonts w:asciiTheme="minorHAnsi" w:hAnsiTheme="minorHAnsi"/>
          <w:bCs/>
        </w:rPr>
        <w:t xml:space="preserve"> specifically in relation to brolucizumab</w:t>
      </w:r>
      <w:r w:rsidR="00C20F8C">
        <w:rPr>
          <w:rFonts w:asciiTheme="minorHAnsi" w:hAnsiTheme="minorHAnsi"/>
          <w:bCs/>
        </w:rPr>
        <w:t xml:space="preserve"> that while a slightly more detailed examination is required to detect intraocular inflammation, </w:t>
      </w:r>
      <w:r w:rsidR="00020090">
        <w:rPr>
          <w:rFonts w:asciiTheme="minorHAnsi" w:hAnsiTheme="minorHAnsi"/>
          <w:bCs/>
        </w:rPr>
        <w:t>the risk for inflammation</w:t>
      </w:r>
      <w:r w:rsidR="001D18BC">
        <w:rPr>
          <w:rFonts w:asciiTheme="minorHAnsi" w:hAnsiTheme="minorHAnsi"/>
          <w:bCs/>
        </w:rPr>
        <w:t xml:space="preserve"> with brolucizumab</w:t>
      </w:r>
      <w:r w:rsidR="00020090">
        <w:rPr>
          <w:rFonts w:asciiTheme="minorHAnsi" w:hAnsiTheme="minorHAnsi"/>
          <w:bCs/>
        </w:rPr>
        <w:t xml:space="preserve"> was low and treatmen</w:t>
      </w:r>
      <w:r w:rsidR="008448D7">
        <w:rPr>
          <w:rFonts w:asciiTheme="minorHAnsi" w:hAnsiTheme="minorHAnsi"/>
          <w:bCs/>
        </w:rPr>
        <w:t>t is straightforward</w:t>
      </w:r>
      <w:r w:rsidR="00020090">
        <w:rPr>
          <w:rFonts w:asciiTheme="minorHAnsi" w:hAnsiTheme="minorHAnsi"/>
          <w:bCs/>
        </w:rPr>
        <w:t>.</w:t>
      </w:r>
      <w:r w:rsidRPr="00836F75">
        <w:rPr>
          <w:rFonts w:asciiTheme="minorHAnsi" w:hAnsiTheme="minorHAnsi"/>
          <w:bCs/>
        </w:rPr>
        <w:t xml:space="preserve"> </w:t>
      </w:r>
      <w:r w:rsidRPr="00DD1C22">
        <w:rPr>
          <w:rFonts w:asciiTheme="minorHAnsi" w:hAnsiTheme="minorHAnsi"/>
          <w:bCs/>
        </w:rPr>
        <w:t xml:space="preserve">The PBAC considered that the hearing was not </w:t>
      </w:r>
      <w:r w:rsidR="00C732CD">
        <w:rPr>
          <w:rFonts w:asciiTheme="minorHAnsi" w:hAnsiTheme="minorHAnsi"/>
          <w:bCs/>
        </w:rPr>
        <w:t xml:space="preserve">particularly </w:t>
      </w:r>
      <w:r w:rsidRPr="00DD1C22">
        <w:rPr>
          <w:rFonts w:asciiTheme="minorHAnsi" w:hAnsiTheme="minorHAnsi"/>
          <w:bCs/>
        </w:rPr>
        <w:t>informative</w:t>
      </w:r>
      <w:r w:rsidR="009B05AE">
        <w:rPr>
          <w:rFonts w:asciiTheme="minorHAnsi" w:hAnsiTheme="minorHAnsi"/>
          <w:bCs/>
        </w:rPr>
        <w:t>,</w:t>
      </w:r>
      <w:r w:rsidRPr="00DD1C22">
        <w:rPr>
          <w:rFonts w:asciiTheme="minorHAnsi" w:hAnsiTheme="minorHAnsi"/>
          <w:bCs/>
        </w:rPr>
        <w:t xml:space="preserve"> as it did not add substantively to the evidence presented in the submission</w:t>
      </w:r>
      <w:r w:rsidR="00DD1C22" w:rsidRPr="00DD1C22">
        <w:rPr>
          <w:rFonts w:asciiTheme="minorHAnsi" w:hAnsiTheme="minorHAnsi"/>
          <w:bCs/>
        </w:rPr>
        <w:t>.</w:t>
      </w:r>
    </w:p>
    <w:p w:rsidR="000A606E" w:rsidRPr="00836F75" w:rsidRDefault="000A606E" w:rsidP="00FD22E8">
      <w:pPr>
        <w:pStyle w:val="Heading2"/>
        <w:keepNext/>
        <w:keepLines/>
        <w:spacing w:after="120"/>
      </w:pPr>
      <w:r w:rsidRPr="00836F75">
        <w:t>Consumer comments</w:t>
      </w:r>
    </w:p>
    <w:p w:rsidR="000A606E" w:rsidRPr="002B2E07" w:rsidRDefault="00C50176" w:rsidP="00BD7A90">
      <w:pPr>
        <w:keepNext/>
        <w:keepLines/>
        <w:numPr>
          <w:ilvl w:val="1"/>
          <w:numId w:val="1"/>
        </w:numPr>
        <w:spacing w:after="120"/>
        <w:rPr>
          <w:rFonts w:asciiTheme="minorHAnsi" w:hAnsiTheme="minorHAnsi"/>
          <w:bCs/>
        </w:rPr>
      </w:pPr>
      <w:r w:rsidRPr="00836F75">
        <w:rPr>
          <w:rFonts w:asciiTheme="minorHAnsi" w:hAnsiTheme="minorHAnsi"/>
          <w:bCs/>
        </w:rPr>
        <w:t xml:space="preserve">The PBAC noted and welcomed the input from </w:t>
      </w:r>
      <w:r w:rsidR="002B2E07">
        <w:rPr>
          <w:rFonts w:asciiTheme="minorHAnsi" w:hAnsiTheme="minorHAnsi"/>
          <w:bCs/>
        </w:rPr>
        <w:t>a health care professional (HCP)</w:t>
      </w:r>
      <w:r w:rsidRPr="00836F75">
        <w:rPr>
          <w:rFonts w:asciiTheme="minorHAnsi" w:hAnsiTheme="minorHAnsi"/>
          <w:bCs/>
        </w:rPr>
        <w:t xml:space="preserve"> via the Consumer Comments facility on the PBS website. </w:t>
      </w:r>
      <w:r w:rsidR="002B2E07">
        <w:rPr>
          <w:rFonts w:asciiTheme="minorHAnsi" w:hAnsiTheme="minorHAnsi"/>
          <w:bCs/>
        </w:rPr>
        <w:t xml:space="preserve">The HCP commented that brolucizumab is successful as a </w:t>
      </w:r>
      <w:r w:rsidR="002B2E07" w:rsidRPr="002B2E07">
        <w:rPr>
          <w:rFonts w:asciiTheme="minorHAnsi" w:hAnsiTheme="minorHAnsi"/>
          <w:bCs/>
        </w:rPr>
        <w:t>rescue treatment</w:t>
      </w:r>
      <w:r w:rsidR="002B2E07">
        <w:rPr>
          <w:rFonts w:asciiTheme="minorHAnsi" w:hAnsiTheme="minorHAnsi"/>
          <w:bCs/>
        </w:rPr>
        <w:t xml:space="preserve"> for </w:t>
      </w:r>
      <w:r w:rsidR="002B2E07" w:rsidRPr="002B2E07">
        <w:rPr>
          <w:rFonts w:asciiTheme="minorHAnsi" w:hAnsiTheme="minorHAnsi"/>
          <w:bCs/>
        </w:rPr>
        <w:t xml:space="preserve">patients who fail on </w:t>
      </w:r>
      <w:r w:rsidR="002B2E07">
        <w:rPr>
          <w:rFonts w:asciiTheme="minorHAnsi" w:hAnsiTheme="minorHAnsi"/>
          <w:bCs/>
        </w:rPr>
        <w:t xml:space="preserve">aflibercept </w:t>
      </w:r>
      <w:r w:rsidR="00CA17F7">
        <w:rPr>
          <w:rFonts w:asciiTheme="minorHAnsi" w:hAnsiTheme="minorHAnsi"/>
          <w:bCs/>
        </w:rPr>
        <w:t>or</w:t>
      </w:r>
      <w:r w:rsidR="002B2E07">
        <w:rPr>
          <w:rFonts w:asciiTheme="minorHAnsi" w:hAnsiTheme="minorHAnsi"/>
          <w:bCs/>
        </w:rPr>
        <w:t xml:space="preserve"> ranibizumab, and that it allows for fewer injections compared to those agents. The HCP acknowledged </w:t>
      </w:r>
      <w:r w:rsidR="004A2EA9">
        <w:rPr>
          <w:rFonts w:asciiTheme="minorHAnsi" w:hAnsiTheme="minorHAnsi"/>
          <w:bCs/>
        </w:rPr>
        <w:t>a</w:t>
      </w:r>
      <w:r w:rsidR="002B2E07">
        <w:rPr>
          <w:rFonts w:asciiTheme="minorHAnsi" w:hAnsiTheme="minorHAnsi"/>
          <w:bCs/>
        </w:rPr>
        <w:t xml:space="preserve"> small number of side effects</w:t>
      </w:r>
      <w:r w:rsidR="004A2EA9">
        <w:rPr>
          <w:rFonts w:asciiTheme="minorHAnsi" w:hAnsiTheme="minorHAnsi"/>
          <w:bCs/>
        </w:rPr>
        <w:t xml:space="preserve"> with brolucizumab</w:t>
      </w:r>
      <w:r w:rsidR="002B2E07">
        <w:rPr>
          <w:rFonts w:asciiTheme="minorHAnsi" w:hAnsiTheme="minorHAnsi"/>
          <w:bCs/>
        </w:rPr>
        <w:t xml:space="preserve">, </w:t>
      </w:r>
      <w:r w:rsidR="002B2E07" w:rsidRPr="002B2E07">
        <w:rPr>
          <w:rFonts w:asciiTheme="minorHAnsi" w:hAnsiTheme="minorHAnsi"/>
          <w:bCs/>
        </w:rPr>
        <w:t>in particular occl</w:t>
      </w:r>
      <w:r w:rsidR="002B2E07">
        <w:rPr>
          <w:rFonts w:asciiTheme="minorHAnsi" w:hAnsiTheme="minorHAnsi"/>
          <w:bCs/>
        </w:rPr>
        <w:t>usive vasculitis</w:t>
      </w:r>
      <w:r w:rsidR="004A2EA9">
        <w:rPr>
          <w:rFonts w:asciiTheme="minorHAnsi" w:hAnsiTheme="minorHAnsi"/>
          <w:bCs/>
        </w:rPr>
        <w:t xml:space="preserve">, and proposed that </w:t>
      </w:r>
      <w:r w:rsidR="002B2E07" w:rsidRPr="002B2E07">
        <w:rPr>
          <w:rFonts w:asciiTheme="minorHAnsi" w:hAnsiTheme="minorHAnsi"/>
          <w:bCs/>
        </w:rPr>
        <w:t xml:space="preserve">it could be restricted to ophthalmologists with retinal fellowship training so that inflammatory eye complications could be </w:t>
      </w:r>
      <w:r w:rsidR="004A2EA9">
        <w:rPr>
          <w:rFonts w:asciiTheme="minorHAnsi" w:hAnsiTheme="minorHAnsi"/>
          <w:bCs/>
        </w:rPr>
        <w:t>identified</w:t>
      </w:r>
      <w:r w:rsidR="002B2E07" w:rsidRPr="002B2E07">
        <w:rPr>
          <w:rFonts w:asciiTheme="minorHAnsi" w:hAnsiTheme="minorHAnsi"/>
          <w:bCs/>
        </w:rPr>
        <w:t xml:space="preserve"> early.</w:t>
      </w:r>
    </w:p>
    <w:p w:rsidR="00DE2E5B" w:rsidRDefault="00DE2E5B" w:rsidP="00BE4F0A">
      <w:pPr>
        <w:pStyle w:val="Heading2"/>
        <w:spacing w:after="120"/>
        <w:rPr>
          <w:b w:val="0"/>
          <w:i w:val="0"/>
        </w:rPr>
      </w:pPr>
      <w:bookmarkStart w:id="18" w:name="_Toc62041386"/>
      <w:r w:rsidRPr="00C9624D">
        <w:t>Clinical trials</w:t>
      </w:r>
      <w:bookmarkEnd w:id="17"/>
      <w:bookmarkEnd w:id="18"/>
    </w:p>
    <w:p w:rsidR="00DE2E5B" w:rsidRPr="00595816" w:rsidRDefault="00DE2E5B" w:rsidP="00BD7A90">
      <w:pPr>
        <w:pStyle w:val="ListParagraph"/>
        <w:widowControl/>
        <w:numPr>
          <w:ilvl w:val="1"/>
          <w:numId w:val="1"/>
        </w:numPr>
      </w:pPr>
      <w:r>
        <w:t>The resubmission was based on two head-to-head randomised trials comparing brolucizumab 6 mg to aflibercept 2 mg in treatment naïve patients with wet AMD [HAWK (n=720) and HARRIER (n=739)]. These were the pivotal trials presented in the previous brolucizumab submission and resubmissions</w:t>
      </w:r>
      <w:r w:rsidR="00BE3E30">
        <w:t xml:space="preserve"> in the first-line setting</w:t>
      </w:r>
      <w:r>
        <w:t>.</w:t>
      </w:r>
    </w:p>
    <w:p w:rsidR="00DE2E5B" w:rsidRDefault="00DE2E5B" w:rsidP="00BD7A90">
      <w:pPr>
        <w:pStyle w:val="ListParagraph"/>
        <w:widowControl/>
        <w:numPr>
          <w:ilvl w:val="1"/>
          <w:numId w:val="1"/>
        </w:numPr>
      </w:pPr>
      <w:r>
        <w:t>No head-to-head randomised trials comparing brolucizumab to aflibercept or ranibizumab in p</w:t>
      </w:r>
      <w:r w:rsidRPr="00AE5EC3">
        <w:t>atient</w:t>
      </w:r>
      <w:r>
        <w:t>s with wet AMD</w:t>
      </w:r>
      <w:r w:rsidRPr="00AE5EC3">
        <w:t xml:space="preserve"> who are non-responsive to prior anti-VEGF therapy</w:t>
      </w:r>
      <w:r>
        <w:t xml:space="preserve"> were identified. Consequently, three non-randomised single-arm studies reported by Avaylon et al. 2020, Sharma et al. 2020 and London et al. 2020 were included in the resubmission</w:t>
      </w:r>
      <w:r w:rsidR="00BE3E30">
        <w:t xml:space="preserve"> to inform using brolucizumab in the second-line setting</w:t>
      </w:r>
      <w:r>
        <w:t xml:space="preserve">. </w:t>
      </w:r>
    </w:p>
    <w:p w:rsidR="00DE2E5B" w:rsidRPr="00AB7064" w:rsidRDefault="00DE2E5B" w:rsidP="00BD7A90">
      <w:pPr>
        <w:pStyle w:val="ListParagraph"/>
        <w:widowControl/>
        <w:numPr>
          <w:ilvl w:val="1"/>
          <w:numId w:val="1"/>
        </w:numPr>
      </w:pPr>
      <w:r>
        <w:rPr>
          <w:rFonts w:cs="Calibri"/>
          <w:snapToGrid/>
          <w:szCs w:val="24"/>
          <w:lang w:val="en-US" w:eastAsia="en-AU"/>
        </w:rPr>
        <w:t>Details of the trials</w:t>
      </w:r>
      <w:r w:rsidR="007F39DB">
        <w:rPr>
          <w:rFonts w:cs="Calibri"/>
          <w:snapToGrid/>
          <w:szCs w:val="24"/>
          <w:lang w:val="en-US" w:eastAsia="en-AU"/>
        </w:rPr>
        <w:t xml:space="preserve"> identified during the evaluation as being </w:t>
      </w:r>
      <w:r w:rsidR="007F39DB" w:rsidRPr="008618DB">
        <w:t>of interest in demonstrating the efficacy</w:t>
      </w:r>
      <w:r w:rsidR="007F39DB">
        <w:t xml:space="preserve"> and safety</w:t>
      </w:r>
      <w:r w:rsidR="007F39DB" w:rsidRPr="008618DB">
        <w:t xml:space="preserve"> of brolucizumab</w:t>
      </w:r>
      <w:r w:rsidR="00BD6A57">
        <w:rPr>
          <w:rFonts w:cs="Calibri"/>
          <w:snapToGrid/>
          <w:szCs w:val="24"/>
          <w:lang w:val="en-US" w:eastAsia="en-AU"/>
        </w:rPr>
        <w:t xml:space="preserve"> are provided in T</w:t>
      </w:r>
      <w:r>
        <w:rPr>
          <w:rFonts w:cs="Calibri"/>
          <w:snapToGrid/>
          <w:szCs w:val="24"/>
          <w:lang w:val="en-US" w:eastAsia="en-AU"/>
        </w:rPr>
        <w:t>able</w:t>
      </w:r>
      <w:r w:rsidR="00BD6A57">
        <w:rPr>
          <w:rFonts w:cs="Calibri"/>
          <w:snapToGrid/>
          <w:szCs w:val="24"/>
          <w:lang w:val="en-US" w:eastAsia="en-AU"/>
        </w:rPr>
        <w:t xml:space="preserve"> 3</w:t>
      </w:r>
      <w:r>
        <w:rPr>
          <w:rFonts w:cs="Calibri"/>
          <w:snapToGrid/>
          <w:szCs w:val="24"/>
          <w:lang w:val="en-US" w:eastAsia="en-AU"/>
        </w:rPr>
        <w:t>.</w:t>
      </w:r>
    </w:p>
    <w:p w:rsidR="00DE2E5B" w:rsidRPr="00AA157B" w:rsidRDefault="00BA2BD8" w:rsidP="002F3F66">
      <w:pPr>
        <w:pStyle w:val="NoSpacing"/>
        <w:keepNext/>
        <w:rPr>
          <w:rStyle w:val="CommentReference"/>
        </w:rPr>
      </w:pPr>
      <w:r w:rsidRPr="00BA2BD8">
        <w:rPr>
          <w:rStyle w:val="CommentReference"/>
        </w:rPr>
        <w:t xml:space="preserve">Table </w:t>
      </w:r>
      <w:r w:rsidR="00CD7BF3">
        <w:rPr>
          <w:rStyle w:val="CommentReference"/>
          <w:noProof/>
        </w:rPr>
        <w:t>3</w:t>
      </w:r>
      <w:r w:rsidR="00DE2E5B" w:rsidRPr="00AA157B">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4819"/>
        <w:gridCol w:w="2644"/>
      </w:tblGrid>
      <w:tr w:rsidR="00DE2E5B" w:rsidRPr="00B41614" w:rsidTr="00DE2E5B">
        <w:trPr>
          <w:tblHeader/>
        </w:trPr>
        <w:tc>
          <w:tcPr>
            <w:tcW w:w="862" w:type="pct"/>
            <w:tcBorders>
              <w:bottom w:val="single" w:sz="4" w:space="0" w:color="auto"/>
            </w:tcBorders>
            <w:vAlign w:val="center"/>
          </w:tcPr>
          <w:p w:rsidR="00DE2E5B" w:rsidRPr="00B41614" w:rsidRDefault="00DE2E5B" w:rsidP="002F3F66">
            <w:pPr>
              <w:pStyle w:val="Tabletext"/>
              <w:keepNext/>
              <w:rPr>
                <w:b/>
              </w:rPr>
            </w:pPr>
            <w:r w:rsidRPr="00B41614">
              <w:rPr>
                <w:b/>
              </w:rPr>
              <w:t>Trial ID</w:t>
            </w:r>
          </w:p>
        </w:tc>
        <w:tc>
          <w:tcPr>
            <w:tcW w:w="2672" w:type="pct"/>
            <w:tcBorders>
              <w:bottom w:val="single" w:sz="4" w:space="0" w:color="auto"/>
            </w:tcBorders>
            <w:vAlign w:val="center"/>
          </w:tcPr>
          <w:p w:rsidR="00DE2E5B" w:rsidRPr="00B41614" w:rsidRDefault="00DE2E5B" w:rsidP="002F3F66">
            <w:pPr>
              <w:pStyle w:val="Tabletext"/>
              <w:keepNext/>
              <w:jc w:val="center"/>
              <w:rPr>
                <w:b/>
              </w:rPr>
            </w:pPr>
            <w:r>
              <w:rPr>
                <w:b/>
              </w:rPr>
              <w:t>Protocol/</w:t>
            </w:r>
            <w:r w:rsidRPr="00B41614">
              <w:rPr>
                <w:b/>
              </w:rPr>
              <w:t>Publication title</w:t>
            </w:r>
          </w:p>
        </w:tc>
        <w:tc>
          <w:tcPr>
            <w:tcW w:w="1466" w:type="pct"/>
            <w:tcBorders>
              <w:bottom w:val="single" w:sz="4" w:space="0" w:color="auto"/>
            </w:tcBorders>
            <w:vAlign w:val="center"/>
          </w:tcPr>
          <w:p w:rsidR="00DE2E5B" w:rsidRPr="00B41614" w:rsidRDefault="00DE2E5B" w:rsidP="002F3F66">
            <w:pPr>
              <w:pStyle w:val="Tabletext"/>
              <w:keepNext/>
              <w:jc w:val="center"/>
              <w:rPr>
                <w:b/>
              </w:rPr>
            </w:pPr>
            <w:r w:rsidRPr="00B41614">
              <w:rPr>
                <w:b/>
              </w:rPr>
              <w:t>Publication citation</w:t>
            </w:r>
          </w:p>
        </w:tc>
      </w:tr>
      <w:tr w:rsidR="00DE2E5B" w:rsidRPr="00CB38A8" w:rsidTr="00DE2E5B">
        <w:tc>
          <w:tcPr>
            <w:tcW w:w="5000" w:type="pct"/>
            <w:gridSpan w:val="3"/>
            <w:tcBorders>
              <w:top w:val="single" w:sz="4" w:space="0" w:color="auto"/>
              <w:bottom w:val="single" w:sz="4" w:space="0" w:color="auto"/>
            </w:tcBorders>
            <w:vAlign w:val="center"/>
          </w:tcPr>
          <w:p w:rsidR="00DE2E5B" w:rsidRDefault="00DE2E5B" w:rsidP="002F3F66">
            <w:pPr>
              <w:pStyle w:val="Tabletext"/>
              <w:keepNext/>
            </w:pPr>
            <w:r>
              <w:rPr>
                <w:b/>
              </w:rPr>
              <w:t>Brolucizumab first-line studies</w:t>
            </w:r>
          </w:p>
        </w:tc>
      </w:tr>
      <w:tr w:rsidR="00DE2E5B" w:rsidRPr="00CB38A8" w:rsidTr="00DE2E5B">
        <w:tc>
          <w:tcPr>
            <w:tcW w:w="862" w:type="pct"/>
            <w:tcBorders>
              <w:top w:val="nil"/>
              <w:bottom w:val="nil"/>
            </w:tcBorders>
            <w:vAlign w:val="center"/>
          </w:tcPr>
          <w:p w:rsidR="00DE2E5B" w:rsidRPr="00CB38A8" w:rsidRDefault="00DE2E5B" w:rsidP="002F3F66">
            <w:pPr>
              <w:pStyle w:val="Tabletext"/>
              <w:keepNext/>
              <w:rPr>
                <w:rFonts w:ascii="Times" w:hAnsi="Times"/>
              </w:rPr>
            </w:pPr>
            <w:r>
              <w:t>HAWK</w:t>
            </w:r>
          </w:p>
        </w:tc>
        <w:tc>
          <w:tcPr>
            <w:tcW w:w="2672" w:type="pct"/>
            <w:tcBorders>
              <w:top w:val="single" w:sz="4" w:space="0" w:color="auto"/>
              <w:bottom w:val="single" w:sz="4" w:space="0" w:color="auto"/>
            </w:tcBorders>
            <w:vAlign w:val="center"/>
          </w:tcPr>
          <w:p w:rsidR="00DE2E5B" w:rsidRPr="00AB6248" w:rsidRDefault="00DE2E5B" w:rsidP="002F3F66">
            <w:pPr>
              <w:pStyle w:val="Tabletext"/>
              <w:keepNext/>
              <w:spacing w:after="60"/>
              <w:rPr>
                <w:szCs w:val="18"/>
              </w:rPr>
            </w:pPr>
            <w:r>
              <w:t xml:space="preserve">Clinical Study Report: </w:t>
            </w:r>
            <w:r w:rsidRPr="00302055">
              <w:t>Two year randomised double masked multicentre three arm study comparing the efficacy and safety of RTH258 versus aflibercept in subjects with neovascular age related macular degeneration</w:t>
            </w:r>
            <w:r>
              <w:t>.</w:t>
            </w:r>
          </w:p>
        </w:tc>
        <w:tc>
          <w:tcPr>
            <w:tcW w:w="1466" w:type="pct"/>
            <w:tcBorders>
              <w:top w:val="single" w:sz="4" w:space="0" w:color="auto"/>
              <w:bottom w:val="single" w:sz="4" w:space="0" w:color="auto"/>
            </w:tcBorders>
            <w:vAlign w:val="center"/>
          </w:tcPr>
          <w:p w:rsidR="00DE2E5B" w:rsidRPr="00CB38A8" w:rsidRDefault="00DE2E5B" w:rsidP="002F3F66">
            <w:pPr>
              <w:pStyle w:val="Tabletext"/>
              <w:keepNext/>
              <w:rPr>
                <w:rFonts w:ascii="Times" w:hAnsi="Times"/>
              </w:rPr>
            </w:pPr>
            <w:r>
              <w:t>December 2018</w:t>
            </w:r>
          </w:p>
        </w:tc>
      </w:tr>
      <w:tr w:rsidR="00DE2E5B" w:rsidRPr="00CB38A8" w:rsidTr="00DE2E5B">
        <w:tc>
          <w:tcPr>
            <w:tcW w:w="862" w:type="pct"/>
            <w:tcBorders>
              <w:top w:val="nil"/>
              <w:bottom w:val="single" w:sz="4" w:space="0" w:color="auto"/>
            </w:tcBorders>
            <w:vAlign w:val="center"/>
          </w:tcPr>
          <w:p w:rsidR="00DE2E5B" w:rsidRPr="00CB38A8" w:rsidRDefault="00DE2E5B" w:rsidP="002F3F66">
            <w:pPr>
              <w:pStyle w:val="Tabletext"/>
              <w:keepNext/>
              <w:rPr>
                <w:rFonts w:ascii="Times" w:hAnsi="Times"/>
              </w:rPr>
            </w:pPr>
          </w:p>
        </w:tc>
        <w:tc>
          <w:tcPr>
            <w:tcW w:w="2672" w:type="pct"/>
            <w:tcBorders>
              <w:top w:val="single" w:sz="4" w:space="0" w:color="auto"/>
              <w:bottom w:val="single" w:sz="4" w:space="0" w:color="auto"/>
            </w:tcBorders>
            <w:vAlign w:val="center"/>
          </w:tcPr>
          <w:p w:rsidR="00DE2E5B" w:rsidRDefault="00DE2E5B" w:rsidP="002F3F66">
            <w:pPr>
              <w:pStyle w:val="Tabletext"/>
              <w:keepNext/>
            </w:pPr>
            <w:r>
              <w:t xml:space="preserve">Clinical Study Report: </w:t>
            </w:r>
            <w:r w:rsidRPr="004A33B2">
              <w:t xml:space="preserve">A 24-week, double-masked, multicenter, two-arm extension study to collect safety and </w:t>
            </w:r>
            <w:r>
              <w:t>efficacy data on brolucizumab 6 </w:t>
            </w:r>
            <w:r w:rsidRPr="004A33B2">
              <w:t>mg drug product intended for commercialization in subjects with neovascular age-related macular degeneration who have completed the CRTH258A2301 study</w:t>
            </w:r>
            <w:r>
              <w:t>.</w:t>
            </w:r>
          </w:p>
        </w:tc>
        <w:tc>
          <w:tcPr>
            <w:tcW w:w="1466" w:type="pct"/>
            <w:tcBorders>
              <w:top w:val="single" w:sz="4" w:space="0" w:color="auto"/>
              <w:bottom w:val="single" w:sz="4" w:space="0" w:color="auto"/>
            </w:tcBorders>
            <w:vAlign w:val="center"/>
          </w:tcPr>
          <w:p w:rsidR="00DE2E5B" w:rsidRDefault="00DE2E5B" w:rsidP="002F3F66">
            <w:pPr>
              <w:pStyle w:val="Tabletext"/>
              <w:keepNext/>
            </w:pPr>
            <w:r>
              <w:t>December 2018</w:t>
            </w:r>
          </w:p>
        </w:tc>
      </w:tr>
      <w:tr w:rsidR="00DE2E5B" w:rsidRPr="00CB38A8" w:rsidTr="00DE2E5B">
        <w:tc>
          <w:tcPr>
            <w:tcW w:w="862" w:type="pct"/>
            <w:tcBorders>
              <w:top w:val="single" w:sz="4" w:space="0" w:color="auto"/>
              <w:bottom w:val="single" w:sz="4" w:space="0" w:color="auto"/>
            </w:tcBorders>
            <w:vAlign w:val="center"/>
          </w:tcPr>
          <w:p w:rsidR="00DE2E5B" w:rsidRPr="00CB38A8" w:rsidRDefault="00DE2E5B" w:rsidP="002F3F66">
            <w:pPr>
              <w:pStyle w:val="Tabletext"/>
              <w:keepNext/>
            </w:pPr>
            <w:r>
              <w:t>HARRIER</w:t>
            </w:r>
          </w:p>
        </w:tc>
        <w:tc>
          <w:tcPr>
            <w:tcW w:w="2672" w:type="pct"/>
            <w:tcBorders>
              <w:top w:val="single" w:sz="4" w:space="0" w:color="auto"/>
              <w:bottom w:val="single" w:sz="4" w:space="0" w:color="auto"/>
            </w:tcBorders>
            <w:vAlign w:val="center"/>
          </w:tcPr>
          <w:p w:rsidR="00DE2E5B" w:rsidRPr="00AB6248" w:rsidRDefault="00DE2E5B" w:rsidP="002F3F66">
            <w:pPr>
              <w:pStyle w:val="Tabletext"/>
              <w:keepNext/>
              <w:rPr>
                <w:szCs w:val="18"/>
                <w:lang w:val="en-US" w:eastAsia="en-AU"/>
              </w:rPr>
            </w:pPr>
            <w:r>
              <w:rPr>
                <w:szCs w:val="18"/>
                <w:lang w:val="en-US" w:eastAsia="en-AU"/>
              </w:rPr>
              <w:t xml:space="preserve">Clinical Study Report: </w:t>
            </w:r>
            <w:r>
              <w:t xml:space="preserve">A two year randomised double masked multicentre two arm study comparing the efficacy and safety of RTH258 6 mg versus aflibercept in subjects with neovascular age related macular </w:t>
            </w:r>
            <w:r w:rsidRPr="00302055">
              <w:t>degeneration</w:t>
            </w:r>
            <w:r>
              <w:t xml:space="preserve">. </w:t>
            </w:r>
          </w:p>
        </w:tc>
        <w:tc>
          <w:tcPr>
            <w:tcW w:w="1466" w:type="pct"/>
            <w:tcBorders>
              <w:top w:val="single" w:sz="4" w:space="0" w:color="auto"/>
              <w:bottom w:val="single" w:sz="4" w:space="0" w:color="auto"/>
            </w:tcBorders>
            <w:vAlign w:val="center"/>
          </w:tcPr>
          <w:p w:rsidR="00DE2E5B" w:rsidRPr="00670EB7" w:rsidRDefault="00DE2E5B" w:rsidP="002F3F66">
            <w:pPr>
              <w:pStyle w:val="Tabletext"/>
              <w:keepNext/>
              <w:rPr>
                <w:szCs w:val="18"/>
                <w:lang w:val="en-US" w:eastAsia="en-AU"/>
              </w:rPr>
            </w:pPr>
            <w:r>
              <w:rPr>
                <w:szCs w:val="18"/>
                <w:lang w:val="en-US" w:eastAsia="en-AU"/>
              </w:rPr>
              <w:t>December 2018</w:t>
            </w:r>
          </w:p>
        </w:tc>
      </w:tr>
      <w:tr w:rsidR="00DE2E5B" w:rsidRPr="00CB38A8" w:rsidTr="00DE2E5B">
        <w:tc>
          <w:tcPr>
            <w:tcW w:w="862" w:type="pct"/>
            <w:tcBorders>
              <w:top w:val="single" w:sz="4" w:space="0" w:color="auto"/>
              <w:bottom w:val="single" w:sz="4" w:space="0" w:color="auto"/>
            </w:tcBorders>
            <w:vAlign w:val="center"/>
          </w:tcPr>
          <w:p w:rsidR="00DE2E5B" w:rsidRDefault="00DE2E5B" w:rsidP="002F3F66">
            <w:pPr>
              <w:pStyle w:val="Tabletext"/>
              <w:keepNext/>
            </w:pPr>
            <w:r>
              <w:t xml:space="preserve">HAWK and HARRIER </w:t>
            </w:r>
          </w:p>
        </w:tc>
        <w:tc>
          <w:tcPr>
            <w:tcW w:w="2672" w:type="pct"/>
            <w:tcBorders>
              <w:top w:val="single" w:sz="4" w:space="0" w:color="auto"/>
              <w:bottom w:val="single" w:sz="4" w:space="0" w:color="auto"/>
            </w:tcBorders>
            <w:vAlign w:val="center"/>
          </w:tcPr>
          <w:p w:rsidR="00DE2E5B" w:rsidRPr="005075EC" w:rsidRDefault="00DE2E5B" w:rsidP="002F3F66">
            <w:pPr>
              <w:pStyle w:val="Tabletext"/>
              <w:keepNext/>
              <w:rPr>
                <w:szCs w:val="18"/>
                <w:lang w:val="en-US" w:eastAsia="en-AU"/>
              </w:rPr>
            </w:pPr>
            <w:r w:rsidRPr="005075EC">
              <w:t>Hamilton et al. 2020 Disease activity assessments with brolucizumab vs aflibercept in patients with neovascular age related macular deg</w:t>
            </w:r>
            <w:r>
              <w:t>eneration in HAWK and HARRIER.</w:t>
            </w:r>
          </w:p>
        </w:tc>
        <w:tc>
          <w:tcPr>
            <w:tcW w:w="1466" w:type="pct"/>
            <w:tcBorders>
              <w:top w:val="single" w:sz="4" w:space="0" w:color="auto"/>
              <w:bottom w:val="single" w:sz="4" w:space="0" w:color="auto"/>
            </w:tcBorders>
            <w:vAlign w:val="center"/>
          </w:tcPr>
          <w:p w:rsidR="00DE2E5B" w:rsidRPr="00AB6248" w:rsidRDefault="00DE2E5B" w:rsidP="002F3F66">
            <w:pPr>
              <w:pStyle w:val="Tabletext"/>
              <w:keepNext/>
              <w:rPr>
                <w:i/>
                <w:szCs w:val="18"/>
                <w:lang w:val="en-US" w:eastAsia="en-AU"/>
              </w:rPr>
            </w:pPr>
            <w:r w:rsidRPr="005075EC">
              <w:t xml:space="preserve">Abstract </w:t>
            </w:r>
            <w:r>
              <w:t>p</w:t>
            </w:r>
            <w:r w:rsidRPr="005075EC">
              <w:t>resented at Euretina</w:t>
            </w:r>
            <w:r w:rsidRPr="005075EC">
              <w:rPr>
                <w:spacing w:val="1"/>
              </w:rPr>
              <w:t xml:space="preserve"> </w:t>
            </w:r>
            <w:r w:rsidRPr="005075EC">
              <w:t>2020</w:t>
            </w:r>
          </w:p>
        </w:tc>
      </w:tr>
      <w:tr w:rsidR="00DE2E5B" w:rsidRPr="00CB38A8" w:rsidTr="00DE2E5B">
        <w:tc>
          <w:tcPr>
            <w:tcW w:w="5000" w:type="pct"/>
            <w:gridSpan w:val="3"/>
            <w:tcBorders>
              <w:top w:val="single" w:sz="4" w:space="0" w:color="auto"/>
              <w:bottom w:val="single" w:sz="4" w:space="0" w:color="auto"/>
            </w:tcBorders>
            <w:vAlign w:val="center"/>
          </w:tcPr>
          <w:p w:rsidR="00DE2E5B" w:rsidRPr="005075EC" w:rsidRDefault="00DE2E5B" w:rsidP="002F3F66">
            <w:pPr>
              <w:pStyle w:val="Tabletext"/>
              <w:keepNext/>
              <w:rPr>
                <w:b/>
              </w:rPr>
            </w:pPr>
            <w:r>
              <w:rPr>
                <w:b/>
              </w:rPr>
              <w:t>Brolucizumab switch</w:t>
            </w:r>
            <w:r w:rsidRPr="005075EC">
              <w:rPr>
                <w:b/>
              </w:rPr>
              <w:t xml:space="preserve"> studies</w:t>
            </w:r>
          </w:p>
        </w:tc>
      </w:tr>
      <w:tr w:rsidR="00DE2E5B" w:rsidRPr="00CB38A8" w:rsidTr="00DE2E5B">
        <w:tc>
          <w:tcPr>
            <w:tcW w:w="862" w:type="pct"/>
            <w:tcBorders>
              <w:top w:val="nil"/>
              <w:bottom w:val="single" w:sz="4" w:space="0" w:color="auto"/>
            </w:tcBorders>
          </w:tcPr>
          <w:p w:rsidR="00DE2E5B" w:rsidRDefault="00DE2E5B" w:rsidP="002F3F66">
            <w:pPr>
              <w:pStyle w:val="TableParagraph"/>
              <w:keepNext/>
              <w:ind w:left="0" w:right="176"/>
              <w:rPr>
                <w:sz w:val="20"/>
              </w:rPr>
            </w:pPr>
            <w:r>
              <w:rPr>
                <w:sz w:val="20"/>
              </w:rPr>
              <w:t>Avaylon et al. 2020</w:t>
            </w:r>
          </w:p>
        </w:tc>
        <w:tc>
          <w:tcPr>
            <w:tcW w:w="2672" w:type="pct"/>
            <w:tcBorders>
              <w:top w:val="nil"/>
              <w:bottom w:val="single" w:sz="4" w:space="0" w:color="auto"/>
            </w:tcBorders>
          </w:tcPr>
          <w:p w:rsidR="00DE2E5B" w:rsidRDefault="00DE2E5B" w:rsidP="002F3F66">
            <w:pPr>
              <w:pStyle w:val="TableParagraph"/>
              <w:keepNext/>
              <w:tabs>
                <w:tab w:val="left" w:pos="468"/>
                <w:tab w:val="left" w:pos="469"/>
              </w:tabs>
              <w:spacing w:before="38" w:line="237" w:lineRule="auto"/>
              <w:ind w:left="0" w:right="502"/>
              <w:rPr>
                <w:sz w:val="20"/>
              </w:rPr>
            </w:pPr>
            <w:r>
              <w:rPr>
                <w:sz w:val="20"/>
              </w:rPr>
              <w:t xml:space="preserve">Avaylon J, Lee S, Gallemore RP. Case Series on Initial Responses to Intravitreal Brolucizumab in Patients with Recalcitrant Chronic Wet Age-Related Macular Degeneration. </w:t>
            </w:r>
          </w:p>
        </w:tc>
        <w:tc>
          <w:tcPr>
            <w:tcW w:w="1466" w:type="pct"/>
            <w:tcBorders>
              <w:top w:val="nil"/>
              <w:bottom w:val="single" w:sz="4" w:space="0" w:color="auto"/>
            </w:tcBorders>
            <w:vAlign w:val="center"/>
          </w:tcPr>
          <w:p w:rsidR="00DE2E5B" w:rsidRDefault="00DE2E5B" w:rsidP="002F3F66">
            <w:pPr>
              <w:pStyle w:val="Tabletext"/>
              <w:keepNext/>
              <w:rPr>
                <w:i/>
              </w:rPr>
            </w:pPr>
            <w:r w:rsidRPr="00CE78BA">
              <w:rPr>
                <w:i/>
              </w:rPr>
              <w:t>Int Med Case Rep J</w:t>
            </w:r>
            <w:r>
              <w:t>. 2020 May</w:t>
            </w:r>
            <w:r>
              <w:rPr>
                <w:spacing w:val="-4"/>
              </w:rPr>
              <w:t xml:space="preserve"> </w:t>
            </w:r>
            <w:r>
              <w:t>11;13:145-152.</w:t>
            </w:r>
          </w:p>
        </w:tc>
      </w:tr>
      <w:tr w:rsidR="00DE2E5B" w:rsidRPr="00CB38A8" w:rsidTr="00DE2E5B">
        <w:tc>
          <w:tcPr>
            <w:tcW w:w="862" w:type="pct"/>
            <w:tcBorders>
              <w:top w:val="nil"/>
              <w:bottom w:val="single" w:sz="4" w:space="0" w:color="auto"/>
            </w:tcBorders>
          </w:tcPr>
          <w:p w:rsidR="00DE2E5B" w:rsidRDefault="00DE2E5B" w:rsidP="002F3F66">
            <w:pPr>
              <w:pStyle w:val="TableParagraph"/>
              <w:keepNext/>
              <w:ind w:left="0" w:right="185"/>
              <w:rPr>
                <w:sz w:val="20"/>
              </w:rPr>
            </w:pPr>
            <w:r>
              <w:rPr>
                <w:sz w:val="20"/>
              </w:rPr>
              <w:t>Sharma et al. 2020</w:t>
            </w:r>
          </w:p>
        </w:tc>
        <w:tc>
          <w:tcPr>
            <w:tcW w:w="2672" w:type="pct"/>
            <w:tcBorders>
              <w:top w:val="nil"/>
              <w:bottom w:val="single" w:sz="4" w:space="0" w:color="auto"/>
            </w:tcBorders>
          </w:tcPr>
          <w:p w:rsidR="00DE2E5B" w:rsidRDefault="00DE2E5B" w:rsidP="002F3F66">
            <w:pPr>
              <w:pStyle w:val="TableParagraph"/>
              <w:keepNext/>
              <w:tabs>
                <w:tab w:val="left" w:pos="468"/>
                <w:tab w:val="left" w:pos="469"/>
              </w:tabs>
              <w:spacing w:before="36"/>
              <w:ind w:left="0" w:right="251"/>
              <w:rPr>
                <w:sz w:val="20"/>
              </w:rPr>
            </w:pPr>
            <w:r>
              <w:rPr>
                <w:sz w:val="20"/>
              </w:rPr>
              <w:t xml:space="preserve">Sharma A, Kumar N, Parachuri N, et al. Brolucizumab-early real-world experience: BREW study. </w:t>
            </w:r>
          </w:p>
        </w:tc>
        <w:tc>
          <w:tcPr>
            <w:tcW w:w="1466" w:type="pct"/>
            <w:tcBorders>
              <w:top w:val="nil"/>
              <w:bottom w:val="single" w:sz="4" w:space="0" w:color="auto"/>
            </w:tcBorders>
            <w:vAlign w:val="center"/>
          </w:tcPr>
          <w:p w:rsidR="00DE2E5B" w:rsidRDefault="00DE2E5B" w:rsidP="002F3F66">
            <w:pPr>
              <w:pStyle w:val="Tabletext"/>
              <w:keepNext/>
              <w:rPr>
                <w:i/>
              </w:rPr>
            </w:pPr>
            <w:r w:rsidRPr="00CE78BA">
              <w:rPr>
                <w:i/>
              </w:rPr>
              <w:t>Eye</w:t>
            </w:r>
            <w:r>
              <w:t xml:space="preserve"> (Lond). 2020 Jul 24. doi: 10.1038/s41433-020-1111-x. Online ahead of print.</w:t>
            </w:r>
          </w:p>
        </w:tc>
      </w:tr>
      <w:tr w:rsidR="00DE2E5B" w:rsidRPr="00CB38A8" w:rsidTr="00DE2E5B">
        <w:tc>
          <w:tcPr>
            <w:tcW w:w="862" w:type="pct"/>
            <w:tcBorders>
              <w:top w:val="nil"/>
              <w:bottom w:val="single" w:sz="4" w:space="0" w:color="auto"/>
            </w:tcBorders>
          </w:tcPr>
          <w:p w:rsidR="00DE2E5B" w:rsidRDefault="00DE2E5B" w:rsidP="002F3F66">
            <w:pPr>
              <w:pStyle w:val="TableParagraph"/>
              <w:keepNext/>
              <w:spacing w:before="38"/>
              <w:ind w:left="0" w:right="212"/>
              <w:rPr>
                <w:sz w:val="20"/>
              </w:rPr>
            </w:pPr>
            <w:r>
              <w:rPr>
                <w:sz w:val="20"/>
              </w:rPr>
              <w:t>London et al. 2020</w:t>
            </w:r>
          </w:p>
        </w:tc>
        <w:tc>
          <w:tcPr>
            <w:tcW w:w="2672" w:type="pct"/>
            <w:tcBorders>
              <w:top w:val="nil"/>
              <w:bottom w:val="single" w:sz="4" w:space="0" w:color="auto"/>
            </w:tcBorders>
          </w:tcPr>
          <w:p w:rsidR="00DE2E5B" w:rsidRDefault="00DE2E5B" w:rsidP="002F3F66">
            <w:pPr>
              <w:pStyle w:val="TableParagraph"/>
              <w:keepNext/>
              <w:tabs>
                <w:tab w:val="left" w:pos="468"/>
                <w:tab w:val="left" w:pos="469"/>
              </w:tabs>
              <w:spacing w:before="40" w:line="237" w:lineRule="auto"/>
              <w:ind w:left="0" w:right="184"/>
              <w:rPr>
                <w:sz w:val="20"/>
              </w:rPr>
            </w:pPr>
            <w:r>
              <w:rPr>
                <w:sz w:val="20"/>
              </w:rPr>
              <w:t>London N, Khanani A, Thompson M, et al. Treating Neovascular AMD patients with Brolucizumab: A Real-World Study.</w:t>
            </w:r>
          </w:p>
        </w:tc>
        <w:tc>
          <w:tcPr>
            <w:tcW w:w="1466" w:type="pct"/>
            <w:tcBorders>
              <w:top w:val="nil"/>
              <w:bottom w:val="single" w:sz="4" w:space="0" w:color="auto"/>
            </w:tcBorders>
            <w:vAlign w:val="center"/>
          </w:tcPr>
          <w:p w:rsidR="00DE2E5B" w:rsidRDefault="00DE2E5B" w:rsidP="002F3F66">
            <w:pPr>
              <w:pStyle w:val="Tabletext"/>
              <w:keepNext/>
              <w:rPr>
                <w:i/>
              </w:rPr>
            </w:pPr>
            <w:r>
              <w:t>Presented at the ASRS conference in July</w:t>
            </w:r>
            <w:r>
              <w:rPr>
                <w:spacing w:val="-8"/>
              </w:rPr>
              <w:t xml:space="preserve"> </w:t>
            </w:r>
            <w:r>
              <w:t>2020.</w:t>
            </w:r>
          </w:p>
        </w:tc>
      </w:tr>
    </w:tbl>
    <w:p w:rsidR="00DE2E5B" w:rsidRPr="00B1011F" w:rsidRDefault="00DE2E5B" w:rsidP="002F3F66">
      <w:pPr>
        <w:pStyle w:val="TableFooter"/>
        <w:keepNext/>
        <w:rPr>
          <w:sz w:val="20"/>
        </w:rPr>
      </w:pPr>
      <w:r>
        <w:t>Source: Tables 2-5, p 59 of the resubmission.</w:t>
      </w:r>
    </w:p>
    <w:p w:rsidR="00DE2E5B" w:rsidRPr="008F120A" w:rsidRDefault="00DE2E5B" w:rsidP="002F3F66">
      <w:pPr>
        <w:keepNext/>
        <w:widowControl/>
      </w:pPr>
    </w:p>
    <w:p w:rsidR="00DE2E5B" w:rsidRDefault="00DE2E5B" w:rsidP="00BD7A90">
      <w:pPr>
        <w:pStyle w:val="ListParagraph"/>
        <w:widowControl/>
        <w:numPr>
          <w:ilvl w:val="1"/>
          <w:numId w:val="1"/>
        </w:numPr>
      </w:pPr>
      <w:r>
        <w:t xml:space="preserve">The key features of these randomised </w:t>
      </w:r>
      <w:r w:rsidRPr="00B50DB8">
        <w:t xml:space="preserve">trials </w:t>
      </w:r>
      <w:r>
        <w:t xml:space="preserve">and single arm studies </w:t>
      </w:r>
      <w:r w:rsidRPr="00B50DB8">
        <w:t xml:space="preserve">are </w:t>
      </w:r>
      <w:r>
        <w:t xml:space="preserve">summarised in </w:t>
      </w:r>
      <w:r w:rsidR="0038162C">
        <w:t>T</w:t>
      </w:r>
      <w:r>
        <w:t xml:space="preserve">able </w:t>
      </w:r>
      <w:r w:rsidR="0038162C">
        <w:t>4</w:t>
      </w:r>
      <w:r>
        <w:t>.</w:t>
      </w:r>
    </w:p>
    <w:p w:rsidR="00DE2E5B" w:rsidRPr="006C53B1" w:rsidRDefault="00BA2BD8" w:rsidP="00BA2BD8">
      <w:pPr>
        <w:pStyle w:val="NoSpacing"/>
        <w:keepNext/>
        <w:rPr>
          <w:rStyle w:val="CommentReference"/>
        </w:rPr>
      </w:pPr>
      <w:r w:rsidRPr="00BA2BD8">
        <w:rPr>
          <w:rStyle w:val="CommentReference"/>
        </w:rPr>
        <w:t xml:space="preserve">Table </w:t>
      </w:r>
      <w:r w:rsidR="00CD7BF3">
        <w:rPr>
          <w:rStyle w:val="CommentReference"/>
          <w:noProof/>
        </w:rPr>
        <w:t>4</w:t>
      </w:r>
      <w:r w:rsidR="00DE2E5B" w:rsidRPr="006C53B1">
        <w:rPr>
          <w:rStyle w:val="CommentReference"/>
        </w:rPr>
        <w:t xml:space="preserve">: </w:t>
      </w:r>
      <w:r w:rsidR="00DE2E5B" w:rsidRPr="00E2771E">
        <w:rPr>
          <w:rStyle w:val="CommentReference"/>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989"/>
        <w:gridCol w:w="13"/>
        <w:gridCol w:w="2359"/>
      </w:tblGrid>
      <w:tr w:rsidR="00DE2E5B" w:rsidRPr="00B41614" w:rsidTr="00DB7F19">
        <w:tc>
          <w:tcPr>
            <w:tcW w:w="713" w:type="pct"/>
            <w:shd w:val="clear" w:color="auto" w:fill="auto"/>
            <w:vAlign w:val="center"/>
          </w:tcPr>
          <w:p w:rsidR="00DE2E5B" w:rsidRPr="00B41614" w:rsidRDefault="00DE2E5B" w:rsidP="00DB7F19">
            <w:pPr>
              <w:pStyle w:val="Tabletext"/>
              <w:keepNext/>
              <w:rPr>
                <w:b/>
                <w:lang w:val="en-US"/>
              </w:rPr>
            </w:pPr>
            <w:r w:rsidRPr="00B41614">
              <w:rPr>
                <w:b/>
                <w:lang w:val="en-US"/>
              </w:rPr>
              <w:t>Trial</w:t>
            </w:r>
          </w:p>
        </w:tc>
        <w:tc>
          <w:tcPr>
            <w:tcW w:w="466" w:type="pct"/>
            <w:shd w:val="clear" w:color="auto" w:fill="auto"/>
            <w:vAlign w:val="center"/>
          </w:tcPr>
          <w:p w:rsidR="00DE2E5B" w:rsidRPr="00B41614" w:rsidRDefault="00DE2E5B" w:rsidP="00BA2BD8">
            <w:pPr>
              <w:pStyle w:val="Tabletext"/>
              <w:keepNext/>
              <w:jc w:val="center"/>
              <w:rPr>
                <w:b/>
                <w:lang w:val="en-US"/>
              </w:rPr>
            </w:pPr>
            <w:r w:rsidRPr="00B41614">
              <w:rPr>
                <w:b/>
                <w:lang w:val="en-US"/>
              </w:rPr>
              <w:t>N</w:t>
            </w:r>
            <w:r>
              <w:rPr>
                <w:b/>
                <w:vertAlign w:val="superscript"/>
                <w:lang w:val="en-US"/>
              </w:rPr>
              <w:t>a</w:t>
            </w:r>
          </w:p>
        </w:tc>
        <w:tc>
          <w:tcPr>
            <w:tcW w:w="782" w:type="pct"/>
            <w:shd w:val="clear" w:color="auto" w:fill="auto"/>
            <w:vAlign w:val="center"/>
          </w:tcPr>
          <w:p w:rsidR="00DE2E5B" w:rsidRPr="00B41614" w:rsidRDefault="00DE2E5B" w:rsidP="00BA2BD8">
            <w:pPr>
              <w:pStyle w:val="Tabletext"/>
              <w:keepNext/>
              <w:jc w:val="center"/>
              <w:rPr>
                <w:b/>
                <w:lang w:val="en-US"/>
              </w:rPr>
            </w:pPr>
            <w:r>
              <w:rPr>
                <w:b/>
                <w:lang w:val="en-US"/>
              </w:rPr>
              <w:t>Design/</w:t>
            </w:r>
            <w:r w:rsidRPr="00B41614">
              <w:rPr>
                <w:b/>
                <w:lang w:val="en-US"/>
              </w:rPr>
              <w:t>duration</w:t>
            </w:r>
          </w:p>
        </w:tc>
        <w:tc>
          <w:tcPr>
            <w:tcW w:w="621" w:type="pct"/>
            <w:shd w:val="clear" w:color="auto" w:fill="auto"/>
            <w:vAlign w:val="center"/>
          </w:tcPr>
          <w:p w:rsidR="00DE2E5B" w:rsidRPr="00B41614" w:rsidRDefault="00DE2E5B" w:rsidP="00BA2BD8">
            <w:pPr>
              <w:pStyle w:val="Tabletext"/>
              <w:keepNext/>
              <w:jc w:val="center"/>
              <w:rPr>
                <w:b/>
                <w:lang w:val="en-US"/>
              </w:rPr>
            </w:pPr>
            <w:r w:rsidRPr="00B41614">
              <w:rPr>
                <w:b/>
                <w:lang w:val="en-US"/>
              </w:rPr>
              <w:t>Risk of bias</w:t>
            </w:r>
          </w:p>
        </w:tc>
        <w:tc>
          <w:tcPr>
            <w:tcW w:w="1103" w:type="pct"/>
            <w:shd w:val="clear" w:color="auto" w:fill="auto"/>
            <w:vAlign w:val="center"/>
          </w:tcPr>
          <w:p w:rsidR="00DE2E5B" w:rsidRPr="00B41614" w:rsidRDefault="00DE2E5B" w:rsidP="00BA2BD8">
            <w:pPr>
              <w:pStyle w:val="Tabletext"/>
              <w:keepNext/>
              <w:jc w:val="center"/>
              <w:rPr>
                <w:b/>
                <w:lang w:val="en-US"/>
              </w:rPr>
            </w:pPr>
            <w:r w:rsidRPr="00B41614">
              <w:rPr>
                <w:b/>
                <w:lang w:val="en-US"/>
              </w:rPr>
              <w:t>Patient population</w:t>
            </w:r>
          </w:p>
        </w:tc>
        <w:tc>
          <w:tcPr>
            <w:tcW w:w="1315" w:type="pct"/>
            <w:gridSpan w:val="2"/>
            <w:shd w:val="clear" w:color="auto" w:fill="auto"/>
            <w:vAlign w:val="center"/>
          </w:tcPr>
          <w:p w:rsidR="00DE2E5B" w:rsidRPr="00B41614" w:rsidRDefault="00DE2E5B" w:rsidP="00BA2BD8">
            <w:pPr>
              <w:pStyle w:val="Tabletext"/>
              <w:keepNext/>
              <w:jc w:val="center"/>
              <w:rPr>
                <w:b/>
                <w:lang w:val="en-US"/>
              </w:rPr>
            </w:pPr>
            <w:r w:rsidRPr="00B41614">
              <w:rPr>
                <w:b/>
                <w:lang w:val="en-US"/>
              </w:rPr>
              <w:t>Outcome</w:t>
            </w:r>
            <w:r>
              <w:rPr>
                <w:b/>
                <w:lang w:val="en-US"/>
              </w:rPr>
              <w:t>s</w:t>
            </w:r>
          </w:p>
        </w:tc>
      </w:tr>
      <w:tr w:rsidR="00DE2E5B" w:rsidRPr="00E2771E" w:rsidTr="00DB7F19">
        <w:tc>
          <w:tcPr>
            <w:tcW w:w="5000" w:type="pct"/>
            <w:gridSpan w:val="7"/>
            <w:shd w:val="clear" w:color="auto" w:fill="auto"/>
            <w:vAlign w:val="center"/>
          </w:tcPr>
          <w:p w:rsidR="00DE2E5B" w:rsidRPr="00B41614" w:rsidRDefault="00F9660E" w:rsidP="00DB7F19">
            <w:pPr>
              <w:pStyle w:val="Tabletext"/>
              <w:keepNext/>
              <w:rPr>
                <w:b/>
                <w:lang w:val="en-US"/>
              </w:rPr>
            </w:pPr>
            <w:r>
              <w:rPr>
                <w:b/>
                <w:lang w:val="en-US"/>
              </w:rPr>
              <w:t>B</w:t>
            </w:r>
            <w:r w:rsidR="00DE2E5B">
              <w:rPr>
                <w:b/>
                <w:lang w:val="en-US"/>
              </w:rPr>
              <w:t>rolucizumab</w:t>
            </w:r>
            <w:r w:rsidR="00DE2E5B" w:rsidRPr="00B41614">
              <w:rPr>
                <w:b/>
                <w:lang w:val="en-US"/>
              </w:rPr>
              <w:t xml:space="preserve"> vs. </w:t>
            </w:r>
            <w:r w:rsidR="00DE2E5B">
              <w:rPr>
                <w:b/>
                <w:lang w:val="en-US"/>
              </w:rPr>
              <w:t>aflibercept (treatment naïve patients with wet AMD)</w:t>
            </w:r>
            <w:r>
              <w:rPr>
                <w:b/>
                <w:lang w:val="en-US"/>
              </w:rPr>
              <w:t xml:space="preserve"> – randomised first-line studies</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rPr>
                <w:lang w:val="en-US"/>
              </w:rPr>
              <w:t>HAWK</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720</w:t>
            </w:r>
            <w:r>
              <w:rPr>
                <w:vertAlign w:val="superscript"/>
                <w:lang w:val="en-US"/>
              </w:rPr>
              <w:t>b</w:t>
            </w:r>
          </w:p>
        </w:tc>
        <w:tc>
          <w:tcPr>
            <w:tcW w:w="782" w:type="pct"/>
            <w:shd w:val="clear" w:color="auto" w:fill="auto"/>
            <w:vAlign w:val="center"/>
          </w:tcPr>
          <w:p w:rsidR="00DE2E5B" w:rsidRPr="00E2771E" w:rsidRDefault="00DE2E5B" w:rsidP="00BA2BD8">
            <w:pPr>
              <w:pStyle w:val="Tabletext"/>
              <w:keepNext/>
              <w:jc w:val="center"/>
              <w:rPr>
                <w:lang w:val="en-US"/>
              </w:rPr>
            </w:pPr>
            <w:r w:rsidRPr="00E2771E">
              <w:rPr>
                <w:lang w:val="en-US"/>
              </w:rPr>
              <w:t>R, DB</w:t>
            </w:r>
          </w:p>
          <w:p w:rsidR="00DE2E5B" w:rsidRPr="00E2771E" w:rsidRDefault="00DE2E5B" w:rsidP="00BA2BD8">
            <w:pPr>
              <w:pStyle w:val="Tabletext"/>
              <w:keepNext/>
              <w:jc w:val="center"/>
              <w:rPr>
                <w:lang w:val="en-US"/>
              </w:rPr>
            </w:pPr>
            <w:r>
              <w:rPr>
                <w:lang w:val="en-US"/>
              </w:rPr>
              <w:t>96 weeks</w:t>
            </w:r>
          </w:p>
        </w:tc>
        <w:tc>
          <w:tcPr>
            <w:tcW w:w="621" w:type="pct"/>
            <w:shd w:val="clear" w:color="auto" w:fill="auto"/>
            <w:vAlign w:val="center"/>
          </w:tcPr>
          <w:p w:rsidR="00DE2E5B" w:rsidRPr="00E2771E" w:rsidRDefault="00DE2E5B" w:rsidP="00BA2BD8">
            <w:pPr>
              <w:pStyle w:val="Tabletext"/>
              <w:keepNext/>
              <w:jc w:val="center"/>
              <w:rPr>
                <w:lang w:val="en-US"/>
              </w:rPr>
            </w:pPr>
            <w:r>
              <w:rPr>
                <w:lang w:val="en-US"/>
              </w:rPr>
              <w:t>Unclear</w:t>
            </w:r>
          </w:p>
        </w:tc>
        <w:tc>
          <w:tcPr>
            <w:tcW w:w="1103" w:type="pct"/>
            <w:shd w:val="clear" w:color="auto" w:fill="auto"/>
            <w:vAlign w:val="center"/>
          </w:tcPr>
          <w:p w:rsidR="00DE2E5B" w:rsidRPr="00E2771E" w:rsidRDefault="00DE2E5B" w:rsidP="00BA2BD8">
            <w:pPr>
              <w:pStyle w:val="Tabletext"/>
              <w:keepNext/>
              <w:jc w:val="center"/>
              <w:rPr>
                <w:lang w:val="en-US"/>
              </w:rPr>
            </w:pPr>
            <w:r>
              <w:rPr>
                <w:lang w:val="en-US"/>
              </w:rPr>
              <w:t xml:space="preserve">Patients with CNV due to AMD, treatment naive </w:t>
            </w:r>
          </w:p>
        </w:tc>
        <w:tc>
          <w:tcPr>
            <w:tcW w:w="1315" w:type="pct"/>
            <w:gridSpan w:val="2"/>
            <w:shd w:val="clear" w:color="auto" w:fill="auto"/>
            <w:vAlign w:val="center"/>
          </w:tcPr>
          <w:p w:rsidR="00DE2E5B" w:rsidRPr="00E2771E" w:rsidRDefault="00DE2E5B" w:rsidP="00BA2BD8">
            <w:pPr>
              <w:pStyle w:val="Tabletext"/>
              <w:keepNext/>
              <w:jc w:val="center"/>
              <w:rPr>
                <w:lang w:val="en-US"/>
              </w:rPr>
            </w:pPr>
            <w:r>
              <w:rPr>
                <w:lang w:val="en-US"/>
              </w:rPr>
              <w:t>Change in BCVA, change in CSFT, DA</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rPr>
                <w:lang w:val="en-US"/>
              </w:rPr>
              <w:t>HARRIER</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739</w:t>
            </w:r>
          </w:p>
        </w:tc>
        <w:tc>
          <w:tcPr>
            <w:tcW w:w="782" w:type="pct"/>
            <w:shd w:val="clear" w:color="auto" w:fill="auto"/>
            <w:vAlign w:val="center"/>
          </w:tcPr>
          <w:p w:rsidR="00DE2E5B" w:rsidRPr="00E2771E" w:rsidRDefault="00DE2E5B" w:rsidP="00BA2BD8">
            <w:pPr>
              <w:pStyle w:val="Tabletext"/>
              <w:keepNext/>
              <w:jc w:val="center"/>
              <w:rPr>
                <w:lang w:val="en-US"/>
              </w:rPr>
            </w:pPr>
            <w:r w:rsidRPr="00E2771E">
              <w:rPr>
                <w:lang w:val="en-US"/>
              </w:rPr>
              <w:t xml:space="preserve">R, </w:t>
            </w:r>
            <w:r>
              <w:rPr>
                <w:lang w:val="en-US"/>
              </w:rPr>
              <w:t>DB</w:t>
            </w:r>
          </w:p>
          <w:p w:rsidR="00DE2E5B" w:rsidRPr="00E2771E" w:rsidRDefault="00DE2E5B" w:rsidP="00BA2BD8">
            <w:pPr>
              <w:pStyle w:val="Tabletext"/>
              <w:keepNext/>
              <w:jc w:val="center"/>
              <w:rPr>
                <w:lang w:val="en-US"/>
              </w:rPr>
            </w:pPr>
            <w:r>
              <w:rPr>
                <w:lang w:val="en-US"/>
              </w:rPr>
              <w:t>96 weeks</w:t>
            </w:r>
          </w:p>
        </w:tc>
        <w:tc>
          <w:tcPr>
            <w:tcW w:w="621" w:type="pct"/>
            <w:shd w:val="clear" w:color="auto" w:fill="auto"/>
            <w:vAlign w:val="center"/>
          </w:tcPr>
          <w:p w:rsidR="00DE2E5B" w:rsidRPr="00E2771E" w:rsidRDefault="00DE2E5B" w:rsidP="00BA2BD8">
            <w:pPr>
              <w:pStyle w:val="Tabletext"/>
              <w:keepNext/>
              <w:jc w:val="center"/>
              <w:rPr>
                <w:lang w:val="en-US"/>
              </w:rPr>
            </w:pPr>
            <w:r>
              <w:rPr>
                <w:lang w:val="en-US"/>
              </w:rPr>
              <w:t>Low</w:t>
            </w:r>
          </w:p>
        </w:tc>
        <w:tc>
          <w:tcPr>
            <w:tcW w:w="1103" w:type="pct"/>
            <w:shd w:val="clear" w:color="auto" w:fill="auto"/>
            <w:vAlign w:val="center"/>
          </w:tcPr>
          <w:p w:rsidR="00DE2E5B" w:rsidRPr="00E2771E" w:rsidRDefault="00DE2E5B" w:rsidP="00BA2BD8">
            <w:pPr>
              <w:pStyle w:val="Tabletext"/>
              <w:keepNext/>
              <w:jc w:val="center"/>
              <w:rPr>
                <w:lang w:val="en-US"/>
              </w:rPr>
            </w:pPr>
            <w:r>
              <w:rPr>
                <w:lang w:val="en-US"/>
              </w:rPr>
              <w:t>Patients with CNV due to AMD, treatment naive</w:t>
            </w:r>
          </w:p>
        </w:tc>
        <w:tc>
          <w:tcPr>
            <w:tcW w:w="1315" w:type="pct"/>
            <w:gridSpan w:val="2"/>
            <w:shd w:val="clear" w:color="auto" w:fill="auto"/>
            <w:vAlign w:val="center"/>
          </w:tcPr>
          <w:p w:rsidR="00DE2E5B" w:rsidRPr="00E2771E" w:rsidRDefault="00DE2E5B" w:rsidP="00BA2BD8">
            <w:pPr>
              <w:pStyle w:val="Tabletext"/>
              <w:keepNext/>
              <w:jc w:val="center"/>
              <w:rPr>
                <w:lang w:val="en-US"/>
              </w:rPr>
            </w:pPr>
            <w:r>
              <w:rPr>
                <w:lang w:val="en-US"/>
              </w:rPr>
              <w:t>Change in BCVA, change in CSFT, DA</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rsidRPr="00E2771E">
              <w:rPr>
                <w:lang w:val="en-US"/>
              </w:rPr>
              <w:t>Meta-analysis</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1459</w:t>
            </w:r>
          </w:p>
        </w:tc>
        <w:tc>
          <w:tcPr>
            <w:tcW w:w="2506" w:type="pct"/>
            <w:gridSpan w:val="3"/>
            <w:shd w:val="clear" w:color="auto" w:fill="auto"/>
            <w:vAlign w:val="center"/>
          </w:tcPr>
          <w:p w:rsidR="00DE2E5B" w:rsidRPr="00E2771E" w:rsidRDefault="00DE2E5B" w:rsidP="00BA2BD8">
            <w:pPr>
              <w:pStyle w:val="Tabletext"/>
              <w:keepNext/>
              <w:rPr>
                <w:lang w:val="en-US"/>
              </w:rPr>
            </w:pPr>
            <w:r w:rsidRPr="00E2771E">
              <w:rPr>
                <w:lang w:val="en-US"/>
              </w:rPr>
              <w:t xml:space="preserve">Included </w:t>
            </w:r>
            <w:r>
              <w:rPr>
                <w:lang w:val="en-US"/>
              </w:rPr>
              <w:t>HAWK and HARRIER</w:t>
            </w:r>
          </w:p>
        </w:tc>
        <w:tc>
          <w:tcPr>
            <w:tcW w:w="1315" w:type="pct"/>
            <w:gridSpan w:val="2"/>
            <w:shd w:val="clear" w:color="auto" w:fill="auto"/>
            <w:vAlign w:val="center"/>
          </w:tcPr>
          <w:p w:rsidR="00DE2E5B" w:rsidRPr="00E2771E" w:rsidRDefault="00DE2E5B" w:rsidP="00BA2BD8">
            <w:pPr>
              <w:pStyle w:val="Tabletext"/>
              <w:keepNext/>
              <w:jc w:val="center"/>
              <w:rPr>
                <w:lang w:val="en-US"/>
              </w:rPr>
            </w:pPr>
            <w:r>
              <w:rPr>
                <w:lang w:val="en-US"/>
              </w:rPr>
              <w:t>Change in BCVA, change in CSFT, DA</w:t>
            </w:r>
          </w:p>
        </w:tc>
      </w:tr>
      <w:tr w:rsidR="00DE2E5B" w:rsidRPr="00E2771E" w:rsidTr="00DB7F19">
        <w:tc>
          <w:tcPr>
            <w:tcW w:w="5000" w:type="pct"/>
            <w:gridSpan w:val="7"/>
            <w:shd w:val="clear" w:color="auto" w:fill="auto"/>
            <w:vAlign w:val="center"/>
          </w:tcPr>
          <w:p w:rsidR="00DE2E5B" w:rsidRPr="00B41614" w:rsidRDefault="00DE2E5B" w:rsidP="00DB7F19">
            <w:pPr>
              <w:pStyle w:val="Tabletext"/>
              <w:keepNext/>
              <w:rPr>
                <w:b/>
                <w:lang w:val="en-US"/>
              </w:rPr>
            </w:pPr>
            <w:r>
              <w:rPr>
                <w:b/>
                <w:lang w:val="en-US"/>
              </w:rPr>
              <w:t>Second-line use of brolucizumab</w:t>
            </w:r>
            <w:r w:rsidR="00F9660E">
              <w:rPr>
                <w:b/>
                <w:lang w:val="en-US"/>
              </w:rPr>
              <w:t xml:space="preserve"> – non-randomised switch studies</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t>Avaylon et al. 2020</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6</w:t>
            </w:r>
          </w:p>
        </w:tc>
        <w:tc>
          <w:tcPr>
            <w:tcW w:w="782" w:type="pct"/>
            <w:shd w:val="clear" w:color="auto" w:fill="auto"/>
            <w:vAlign w:val="center"/>
          </w:tcPr>
          <w:p w:rsidR="00DE2E5B" w:rsidRPr="00E2771E" w:rsidRDefault="00DE2E5B" w:rsidP="00BA2BD8">
            <w:pPr>
              <w:pStyle w:val="Tabletext"/>
              <w:keepNext/>
              <w:jc w:val="center"/>
              <w:rPr>
                <w:lang w:val="en-US"/>
              </w:rPr>
            </w:pPr>
            <w:r>
              <w:rPr>
                <w:lang w:val="en-US"/>
              </w:rPr>
              <w:t>N</w:t>
            </w:r>
            <w:r w:rsidRPr="00E2771E">
              <w:rPr>
                <w:lang w:val="en-US"/>
              </w:rPr>
              <w:t>R</w:t>
            </w:r>
            <w:r>
              <w:rPr>
                <w:lang w:val="en-US"/>
              </w:rPr>
              <w:t>D, OL</w:t>
            </w:r>
          </w:p>
          <w:p w:rsidR="00DE2E5B" w:rsidRPr="00E2771E" w:rsidRDefault="00DE2E5B" w:rsidP="00BA2BD8">
            <w:pPr>
              <w:pStyle w:val="Tabletext"/>
              <w:keepNext/>
              <w:jc w:val="center"/>
              <w:rPr>
                <w:lang w:val="en-US"/>
              </w:rPr>
            </w:pPr>
            <w:r>
              <w:rPr>
                <w:lang w:val="en-US"/>
              </w:rPr>
              <w:t>4 weeks</w:t>
            </w:r>
          </w:p>
        </w:tc>
        <w:tc>
          <w:tcPr>
            <w:tcW w:w="621" w:type="pct"/>
            <w:shd w:val="clear" w:color="auto" w:fill="auto"/>
            <w:vAlign w:val="center"/>
          </w:tcPr>
          <w:p w:rsidR="00DE2E5B" w:rsidRPr="00E2771E" w:rsidRDefault="00DE2E5B" w:rsidP="00BA2BD8">
            <w:pPr>
              <w:pStyle w:val="Tabletext"/>
              <w:keepNext/>
              <w:jc w:val="center"/>
              <w:rPr>
                <w:lang w:val="en-US"/>
              </w:rPr>
            </w:pPr>
            <w:r w:rsidRPr="00E2771E">
              <w:rPr>
                <w:lang w:val="en-US"/>
              </w:rPr>
              <w:t>High</w:t>
            </w:r>
          </w:p>
        </w:tc>
        <w:tc>
          <w:tcPr>
            <w:tcW w:w="1110" w:type="pct"/>
            <w:gridSpan w:val="2"/>
            <w:shd w:val="clear" w:color="auto" w:fill="auto"/>
            <w:vAlign w:val="center"/>
          </w:tcPr>
          <w:p w:rsidR="00DE2E5B" w:rsidRPr="00E2771E" w:rsidRDefault="00DE2E5B" w:rsidP="00BA2BD8">
            <w:pPr>
              <w:pStyle w:val="Tabletext"/>
              <w:keepNext/>
              <w:jc w:val="center"/>
              <w:rPr>
                <w:lang w:val="en-US"/>
              </w:rPr>
            </w:pPr>
            <w:r>
              <w:rPr>
                <w:lang w:val="en-US"/>
              </w:rPr>
              <w:t>Patients with CNV due to AMD, first-line treatment failure</w:t>
            </w:r>
          </w:p>
        </w:tc>
        <w:tc>
          <w:tcPr>
            <w:tcW w:w="1308" w:type="pct"/>
            <w:shd w:val="clear" w:color="auto" w:fill="auto"/>
            <w:vAlign w:val="center"/>
          </w:tcPr>
          <w:p w:rsidR="00DE2E5B" w:rsidRPr="00E2771E" w:rsidRDefault="00DE2E5B" w:rsidP="00BA2BD8">
            <w:pPr>
              <w:pStyle w:val="Tabletext"/>
              <w:keepNext/>
              <w:jc w:val="center"/>
              <w:rPr>
                <w:lang w:val="en-US"/>
              </w:rPr>
            </w:pPr>
            <w:r>
              <w:rPr>
                <w:lang w:val="en-US"/>
              </w:rPr>
              <w:t>BCVA, CMT, APT</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t>Sharma et al. 2020</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42</w:t>
            </w:r>
          </w:p>
        </w:tc>
        <w:tc>
          <w:tcPr>
            <w:tcW w:w="782" w:type="pct"/>
            <w:shd w:val="clear" w:color="auto" w:fill="auto"/>
            <w:vAlign w:val="center"/>
          </w:tcPr>
          <w:p w:rsidR="00DE2E5B" w:rsidRPr="00E2771E" w:rsidRDefault="00DE2E5B" w:rsidP="00BA2BD8">
            <w:pPr>
              <w:pStyle w:val="Tabletext"/>
              <w:keepNext/>
              <w:jc w:val="center"/>
              <w:rPr>
                <w:lang w:val="en-US"/>
              </w:rPr>
            </w:pPr>
            <w:r>
              <w:rPr>
                <w:lang w:val="en-US"/>
              </w:rPr>
              <w:t>N</w:t>
            </w:r>
            <w:r w:rsidRPr="00E2771E">
              <w:rPr>
                <w:lang w:val="en-US"/>
              </w:rPr>
              <w:t>R</w:t>
            </w:r>
            <w:r>
              <w:rPr>
                <w:lang w:val="en-US"/>
              </w:rPr>
              <w:t>D, OL</w:t>
            </w:r>
          </w:p>
          <w:p w:rsidR="00DE2E5B" w:rsidRPr="00E2771E" w:rsidRDefault="00DE2E5B" w:rsidP="00BA2BD8">
            <w:pPr>
              <w:pStyle w:val="Tabletext"/>
              <w:keepNext/>
              <w:jc w:val="center"/>
              <w:rPr>
                <w:lang w:val="en-US"/>
              </w:rPr>
            </w:pPr>
            <w:r>
              <w:rPr>
                <w:lang w:val="en-US"/>
              </w:rPr>
              <w:t>Mean 7.2 weeks</w:t>
            </w:r>
          </w:p>
        </w:tc>
        <w:tc>
          <w:tcPr>
            <w:tcW w:w="621" w:type="pct"/>
            <w:shd w:val="clear" w:color="auto" w:fill="auto"/>
            <w:vAlign w:val="center"/>
          </w:tcPr>
          <w:p w:rsidR="00DE2E5B" w:rsidRPr="00E2771E" w:rsidRDefault="00DE2E5B" w:rsidP="00BA2BD8">
            <w:pPr>
              <w:pStyle w:val="Tabletext"/>
              <w:keepNext/>
              <w:jc w:val="center"/>
              <w:rPr>
                <w:lang w:val="en-US"/>
              </w:rPr>
            </w:pPr>
            <w:r w:rsidRPr="00E2771E">
              <w:rPr>
                <w:lang w:val="en-US"/>
              </w:rPr>
              <w:t>High</w:t>
            </w:r>
          </w:p>
        </w:tc>
        <w:tc>
          <w:tcPr>
            <w:tcW w:w="1110" w:type="pct"/>
            <w:gridSpan w:val="2"/>
            <w:shd w:val="clear" w:color="auto" w:fill="auto"/>
            <w:vAlign w:val="center"/>
          </w:tcPr>
          <w:p w:rsidR="00DE2E5B" w:rsidRPr="00E2771E" w:rsidRDefault="00DE2E5B" w:rsidP="00BA2BD8">
            <w:pPr>
              <w:pStyle w:val="Tabletext"/>
              <w:keepNext/>
              <w:jc w:val="center"/>
              <w:rPr>
                <w:lang w:val="en-US"/>
              </w:rPr>
            </w:pPr>
            <w:r>
              <w:rPr>
                <w:lang w:val="en-US"/>
              </w:rPr>
              <w:t>Patients with CNV due to AMD, previously treated with anti-VEGF treatment</w:t>
            </w:r>
          </w:p>
        </w:tc>
        <w:tc>
          <w:tcPr>
            <w:tcW w:w="1308" w:type="pct"/>
            <w:shd w:val="clear" w:color="auto" w:fill="auto"/>
            <w:vAlign w:val="center"/>
          </w:tcPr>
          <w:p w:rsidR="00DE2E5B" w:rsidRPr="00E2771E" w:rsidRDefault="00DE2E5B" w:rsidP="00BA2BD8">
            <w:pPr>
              <w:pStyle w:val="Tabletext"/>
              <w:keepNext/>
              <w:jc w:val="center"/>
              <w:rPr>
                <w:lang w:val="en-US"/>
              </w:rPr>
            </w:pPr>
            <w:r>
              <w:rPr>
                <w:lang w:val="en-US"/>
              </w:rPr>
              <w:t>BCVA, CSFT, SRF, IRF</w:t>
            </w:r>
          </w:p>
        </w:tc>
      </w:tr>
      <w:tr w:rsidR="00DE2E5B" w:rsidRPr="00E2771E" w:rsidTr="00DB7F19">
        <w:tc>
          <w:tcPr>
            <w:tcW w:w="713" w:type="pct"/>
            <w:shd w:val="clear" w:color="auto" w:fill="auto"/>
            <w:vAlign w:val="center"/>
          </w:tcPr>
          <w:p w:rsidR="00DE2E5B" w:rsidRPr="00E2771E" w:rsidRDefault="00DE2E5B" w:rsidP="00DB7F19">
            <w:pPr>
              <w:pStyle w:val="Tabletext"/>
              <w:keepNext/>
              <w:rPr>
                <w:lang w:val="en-US"/>
              </w:rPr>
            </w:pPr>
            <w:r>
              <w:t>London et al. 2020</w:t>
            </w:r>
          </w:p>
        </w:tc>
        <w:tc>
          <w:tcPr>
            <w:tcW w:w="466" w:type="pct"/>
            <w:shd w:val="clear" w:color="auto" w:fill="auto"/>
            <w:vAlign w:val="center"/>
          </w:tcPr>
          <w:p w:rsidR="00DE2E5B" w:rsidRPr="00E2771E" w:rsidRDefault="00DE2E5B" w:rsidP="00BA2BD8">
            <w:pPr>
              <w:pStyle w:val="Tabletext"/>
              <w:keepNext/>
              <w:jc w:val="center"/>
              <w:rPr>
                <w:lang w:val="en-US"/>
              </w:rPr>
            </w:pPr>
            <w:r>
              <w:rPr>
                <w:lang w:val="en-US"/>
              </w:rPr>
              <w:t>282</w:t>
            </w:r>
          </w:p>
        </w:tc>
        <w:tc>
          <w:tcPr>
            <w:tcW w:w="782" w:type="pct"/>
            <w:shd w:val="clear" w:color="auto" w:fill="auto"/>
            <w:vAlign w:val="center"/>
          </w:tcPr>
          <w:p w:rsidR="00DE2E5B" w:rsidRPr="00E2771E" w:rsidRDefault="00DE2E5B" w:rsidP="00BA2BD8">
            <w:pPr>
              <w:pStyle w:val="Tabletext"/>
              <w:keepNext/>
              <w:jc w:val="center"/>
              <w:rPr>
                <w:lang w:val="en-US"/>
              </w:rPr>
            </w:pPr>
            <w:r>
              <w:rPr>
                <w:lang w:val="en-US"/>
              </w:rPr>
              <w:t>N</w:t>
            </w:r>
            <w:r w:rsidRPr="00E2771E">
              <w:rPr>
                <w:lang w:val="en-US"/>
              </w:rPr>
              <w:t>R</w:t>
            </w:r>
            <w:r>
              <w:rPr>
                <w:lang w:val="en-US"/>
              </w:rPr>
              <w:t>D, OL</w:t>
            </w:r>
          </w:p>
          <w:p w:rsidR="00DE2E5B" w:rsidRPr="00E2771E" w:rsidRDefault="00DE2E5B" w:rsidP="00BA2BD8">
            <w:pPr>
              <w:pStyle w:val="Tabletext"/>
              <w:keepNext/>
              <w:jc w:val="center"/>
              <w:rPr>
                <w:lang w:val="en-US"/>
              </w:rPr>
            </w:pPr>
            <w:r>
              <w:rPr>
                <w:lang w:val="en-US"/>
              </w:rPr>
              <w:t>NR</w:t>
            </w:r>
          </w:p>
        </w:tc>
        <w:tc>
          <w:tcPr>
            <w:tcW w:w="621" w:type="pct"/>
            <w:shd w:val="clear" w:color="auto" w:fill="auto"/>
            <w:vAlign w:val="center"/>
          </w:tcPr>
          <w:p w:rsidR="00DE2E5B" w:rsidRPr="00E2771E" w:rsidRDefault="00DE2E5B" w:rsidP="00BA2BD8">
            <w:pPr>
              <w:pStyle w:val="Tabletext"/>
              <w:keepNext/>
              <w:jc w:val="center"/>
              <w:rPr>
                <w:lang w:val="en-US"/>
              </w:rPr>
            </w:pPr>
            <w:r w:rsidRPr="00E2771E">
              <w:rPr>
                <w:lang w:val="en-US"/>
              </w:rPr>
              <w:t>High</w:t>
            </w:r>
          </w:p>
        </w:tc>
        <w:tc>
          <w:tcPr>
            <w:tcW w:w="1110" w:type="pct"/>
            <w:gridSpan w:val="2"/>
            <w:shd w:val="clear" w:color="auto" w:fill="auto"/>
            <w:vAlign w:val="center"/>
          </w:tcPr>
          <w:p w:rsidR="00DE2E5B" w:rsidRPr="00E2771E" w:rsidRDefault="00DE2E5B" w:rsidP="00BA2BD8">
            <w:pPr>
              <w:pStyle w:val="Tabletext"/>
              <w:keepNext/>
              <w:jc w:val="center"/>
              <w:rPr>
                <w:lang w:val="en-US"/>
              </w:rPr>
            </w:pPr>
            <w:r>
              <w:rPr>
                <w:lang w:val="en-US"/>
              </w:rPr>
              <w:t>Patients with CNV due to AMD, previously treated with anti-VEGF treatment (93%)</w:t>
            </w:r>
          </w:p>
        </w:tc>
        <w:tc>
          <w:tcPr>
            <w:tcW w:w="1308" w:type="pct"/>
            <w:shd w:val="clear" w:color="auto" w:fill="auto"/>
            <w:vAlign w:val="center"/>
          </w:tcPr>
          <w:p w:rsidR="00DE2E5B" w:rsidRPr="00E2771E" w:rsidRDefault="00DE2E5B" w:rsidP="00BA2BD8">
            <w:pPr>
              <w:pStyle w:val="Tabletext"/>
              <w:keepNext/>
              <w:jc w:val="center"/>
              <w:rPr>
                <w:lang w:val="en-US"/>
              </w:rPr>
            </w:pPr>
            <w:r>
              <w:rPr>
                <w:lang w:val="en-US"/>
              </w:rPr>
              <w:t>IRF, SRF, PED, ETDRS letter score, CSFT</w:t>
            </w:r>
          </w:p>
        </w:tc>
      </w:tr>
    </w:tbl>
    <w:p w:rsidR="00DE2E5B" w:rsidRPr="0072416F" w:rsidRDefault="00DE2E5B" w:rsidP="00BA2BD8">
      <w:pPr>
        <w:pStyle w:val="TableFooter"/>
        <w:keepNext/>
      </w:pPr>
      <w:r>
        <w:t>AMD = age-related macular degeneration; APT = average pericentral thickness; BCVA = best corrected visual acuity;</w:t>
      </w:r>
      <w:r w:rsidRPr="0072416F">
        <w:t xml:space="preserve"> </w:t>
      </w:r>
      <w:r>
        <w:t xml:space="preserve">CMT = central macular thickness; CNV = choroidal neovascularisation; CSFT = central subfield thickness; DA = disease activity; </w:t>
      </w:r>
      <w:r w:rsidRPr="0072416F">
        <w:t>DB</w:t>
      </w:r>
      <w:r>
        <w:t xml:space="preserve"> </w:t>
      </w:r>
      <w:r w:rsidRPr="0072416F">
        <w:t>=</w:t>
      </w:r>
      <w:r>
        <w:t xml:space="preserve"> double blind; ETDRS = </w:t>
      </w:r>
      <w:r w:rsidRPr="00BD6E64">
        <w:t>Early Treatment Diabetic Retinopathy Study</w:t>
      </w:r>
      <w:r>
        <w:t>; IRF = intra-retinal fluid; NR = not reported; NRD = not randomised;</w:t>
      </w:r>
      <w:r w:rsidRPr="00797B4E">
        <w:t xml:space="preserve"> </w:t>
      </w:r>
      <w:r>
        <w:t>OL = open</w:t>
      </w:r>
      <w:r w:rsidRPr="00797B4E">
        <w:t xml:space="preserve"> </w:t>
      </w:r>
      <w:r>
        <w:t>label;</w:t>
      </w:r>
      <w:r w:rsidRPr="00797B4E">
        <w:t xml:space="preserve"> </w:t>
      </w:r>
      <w:r>
        <w:t>PED = pigment epithelial detachment thickness; R = randomised; SRF = sub-retinal fluid</w:t>
      </w:r>
    </w:p>
    <w:p w:rsidR="00DE2E5B" w:rsidRDefault="00DE2E5B" w:rsidP="00BA2BD8">
      <w:pPr>
        <w:pStyle w:val="TableFooter"/>
        <w:keepNext/>
      </w:pPr>
      <w:r>
        <w:rPr>
          <w:vertAlign w:val="superscript"/>
        </w:rPr>
        <w:t>a</w:t>
      </w:r>
      <w:r>
        <w:t xml:space="preserve"> Number of patients in the full analysis set (FAS)</w:t>
      </w:r>
    </w:p>
    <w:p w:rsidR="00DE2E5B" w:rsidRPr="00DE4053" w:rsidRDefault="00DE2E5B" w:rsidP="00BA2BD8">
      <w:pPr>
        <w:pStyle w:val="TableFooter"/>
        <w:keepNext/>
      </w:pPr>
      <w:r>
        <w:rPr>
          <w:vertAlign w:val="superscript"/>
        </w:rPr>
        <w:t xml:space="preserve">b </w:t>
      </w:r>
      <w:r>
        <w:t>This is the number of patients in the 6 mg brolucizumab and 2 mg aflibercept arms. HAWK was a three-armed trial comparing two doses of brolucizumab (3 mg and 6 mg) with aflibercept 2 mg. The total number of patients in all three arms was 1078 (FAS)</w:t>
      </w:r>
    </w:p>
    <w:p w:rsidR="00DE2E5B" w:rsidRPr="00DE4053" w:rsidRDefault="00DE2E5B" w:rsidP="00BA2BD8">
      <w:pPr>
        <w:pStyle w:val="TableFooter"/>
        <w:keepNext/>
        <w:rPr>
          <w:sz w:val="20"/>
        </w:rPr>
      </w:pPr>
      <w:r w:rsidRPr="00DE4053">
        <w:t xml:space="preserve">Source: </w:t>
      </w:r>
      <w:r>
        <w:t>Table 3, brolucizumab PSD, November 2019; Avaylon et al. 2020, Sharma et al. 2020, London et al. 2020</w:t>
      </w:r>
    </w:p>
    <w:p w:rsidR="00DE2E5B" w:rsidRDefault="00DE2E5B" w:rsidP="00DE2E5B"/>
    <w:p w:rsidR="00DE2E5B" w:rsidRPr="0059786E" w:rsidRDefault="00DE2E5B" w:rsidP="00BD7A90">
      <w:pPr>
        <w:pStyle w:val="ListParagraph"/>
        <w:widowControl/>
        <w:numPr>
          <w:ilvl w:val="1"/>
          <w:numId w:val="1"/>
        </w:numPr>
      </w:pPr>
      <w:r w:rsidRPr="0059786E">
        <w:t>The resubmission state</w:t>
      </w:r>
      <w:r w:rsidR="00BA2BD8" w:rsidRPr="0059786E">
        <w:t>d</w:t>
      </w:r>
      <w:r w:rsidRPr="0059786E">
        <w:t xml:space="preserve"> that the key evidence for brolucizumab versus aflibercept was based on the meta-analysis of the HAWK and HARRIER trials</w:t>
      </w:r>
      <w:r w:rsidR="00E92E8D" w:rsidRPr="0059786E">
        <w:t>, using secondary efficacy endpoints of anatomic criteria</w:t>
      </w:r>
      <w:r w:rsidRPr="0059786E">
        <w:t xml:space="preserve">. </w:t>
      </w:r>
      <w:r w:rsidR="00E92E8D" w:rsidRPr="0059786E">
        <w:rPr>
          <w:iCs/>
        </w:rPr>
        <w:t>However,</w:t>
      </w:r>
      <w:r w:rsidRPr="0059786E">
        <w:rPr>
          <w:iCs/>
        </w:rPr>
        <w:t xml:space="preserve"> these trials </w:t>
      </w:r>
      <w:r w:rsidR="00E92E8D" w:rsidRPr="0059786E">
        <w:rPr>
          <w:iCs/>
        </w:rPr>
        <w:t xml:space="preserve">were </w:t>
      </w:r>
      <w:r w:rsidRPr="0059786E">
        <w:rPr>
          <w:iCs/>
        </w:rPr>
        <w:t>conducted exclusively in a treatment naïve population while the requested listing is for patients who have previously received at least 6 months of treatment with VEGF inhibitors.</w:t>
      </w:r>
      <w:r w:rsidR="00AF188B" w:rsidRPr="0059786E">
        <w:rPr>
          <w:iCs/>
        </w:rPr>
        <w:t xml:space="preserve"> </w:t>
      </w:r>
    </w:p>
    <w:p w:rsidR="00DE2E5B" w:rsidRPr="0059786E" w:rsidRDefault="00DE2E5B" w:rsidP="00BD7A90">
      <w:pPr>
        <w:pStyle w:val="ListParagraph"/>
        <w:widowControl/>
        <w:numPr>
          <w:ilvl w:val="1"/>
          <w:numId w:val="1"/>
        </w:numPr>
      </w:pPr>
      <w:r w:rsidRPr="0059786E">
        <w:t xml:space="preserve">While the brolucizumab switch studies provide data to demonstrate use of brolucizumab in patients who switch from another anti-VEGF treatment, these studies were non-comparative and reported limited detail. Consequently, </w:t>
      </w:r>
      <w:r w:rsidR="00C663D8" w:rsidRPr="0059786E">
        <w:t xml:space="preserve">the evaluation considered </w:t>
      </w:r>
      <w:r w:rsidRPr="0059786E">
        <w:t xml:space="preserve">there </w:t>
      </w:r>
      <w:r w:rsidR="00BA2BD8" w:rsidRPr="0059786E">
        <w:t>are</w:t>
      </w:r>
      <w:r w:rsidR="00E14457" w:rsidRPr="0059786E">
        <w:t xml:space="preserve"> </w:t>
      </w:r>
      <w:r w:rsidRPr="0059786E">
        <w:t>no comparative data to demonstrate use of brolucizumab versus aflibercept or ranibizumab in the patient population for which listing is requested.</w:t>
      </w:r>
      <w:r w:rsidR="005C31B6" w:rsidRPr="0059786E">
        <w:t xml:space="preserve"> </w:t>
      </w:r>
      <w:r w:rsidR="005C31B6" w:rsidRPr="0059786E">
        <w:rPr>
          <w:iCs/>
        </w:rPr>
        <w:t xml:space="preserve">The Sponsor </w:t>
      </w:r>
      <w:r w:rsidR="000133CE" w:rsidRPr="0059786E">
        <w:rPr>
          <w:iCs/>
        </w:rPr>
        <w:t>stated</w:t>
      </w:r>
      <w:r w:rsidR="005C31B6" w:rsidRPr="0059786E">
        <w:rPr>
          <w:iCs/>
        </w:rPr>
        <w:t xml:space="preserve"> in the</w:t>
      </w:r>
      <w:r w:rsidR="00AB62D3" w:rsidRPr="0059786E">
        <w:rPr>
          <w:iCs/>
        </w:rPr>
        <w:t xml:space="preserve"> Pre-Sub-Committee Response</w:t>
      </w:r>
      <w:r w:rsidR="005C31B6" w:rsidRPr="0059786E">
        <w:rPr>
          <w:iCs/>
        </w:rPr>
        <w:t xml:space="preserve"> </w:t>
      </w:r>
      <w:r w:rsidR="00AB62D3" w:rsidRPr="0059786E">
        <w:rPr>
          <w:iCs/>
        </w:rPr>
        <w:t>(PSCR</w:t>
      </w:r>
      <w:r w:rsidR="005C31B6" w:rsidRPr="0059786E">
        <w:rPr>
          <w:iCs/>
        </w:rPr>
        <w:t>) that, while the data were limited, the brolucizumab switch studies</w:t>
      </w:r>
      <w:r w:rsidR="005C31B6" w:rsidRPr="0059786E">
        <w:t xml:space="preserve"> show</w:t>
      </w:r>
      <w:r w:rsidR="00E86605" w:rsidRPr="0059786E">
        <w:t>ed</w:t>
      </w:r>
      <w:r w:rsidR="005C31B6" w:rsidRPr="0059786E">
        <w:t xml:space="preserve"> improvements in anatomical measures [from baseline] in over 300 patients. T</w:t>
      </w:r>
      <w:r w:rsidR="005B2DC4" w:rsidRPr="0059786E">
        <w:t>he</w:t>
      </w:r>
      <w:r w:rsidR="005C31B6" w:rsidRPr="0059786E">
        <w:t xml:space="preserve"> </w:t>
      </w:r>
      <w:r w:rsidR="005B2DC4" w:rsidRPr="0059786E">
        <w:t>switch</w:t>
      </w:r>
      <w:r w:rsidR="005C31B6" w:rsidRPr="0059786E">
        <w:t xml:space="preserve"> studies were considered by </w:t>
      </w:r>
      <w:r w:rsidR="00D61085">
        <w:t xml:space="preserve">the </w:t>
      </w:r>
      <w:r w:rsidR="005C31B6" w:rsidRPr="0059786E">
        <w:t>ESC</w:t>
      </w:r>
      <w:r w:rsidR="00D61085">
        <w:t xml:space="preserve"> and the PBAC</w:t>
      </w:r>
      <w:r w:rsidR="005C31B6" w:rsidRPr="0059786E">
        <w:t xml:space="preserve"> to be at high risk of bias and low quality evidence</w:t>
      </w:r>
      <w:r w:rsidR="005B2DC4" w:rsidRPr="0059786E">
        <w:t>, but</w:t>
      </w:r>
      <w:r w:rsidR="00C663D8" w:rsidRPr="0059786E">
        <w:t xml:space="preserve"> in conjunction with biological plausibility arguments and the first-line anatomic data, </w:t>
      </w:r>
      <w:r w:rsidR="001D564C" w:rsidRPr="0059786E">
        <w:t>provided limited support</w:t>
      </w:r>
      <w:r w:rsidR="005B2DC4" w:rsidRPr="0059786E">
        <w:t xml:space="preserve"> of brolucizumab in the requested setting</w:t>
      </w:r>
      <w:r w:rsidR="005C31B6" w:rsidRPr="0059786E">
        <w:t>.</w:t>
      </w:r>
    </w:p>
    <w:p w:rsidR="00DE2E5B" w:rsidRPr="00C9624D" w:rsidRDefault="00DE2E5B" w:rsidP="00BC6D61">
      <w:pPr>
        <w:pStyle w:val="Heading2"/>
        <w:keepNext/>
        <w:keepLines/>
        <w:spacing w:after="120"/>
      </w:pPr>
      <w:bookmarkStart w:id="19" w:name="_Toc61002909"/>
      <w:bookmarkStart w:id="20" w:name="_Toc62041387"/>
      <w:r w:rsidRPr="00C9624D">
        <w:t>Comparative effectiveness</w:t>
      </w:r>
      <w:bookmarkEnd w:id="19"/>
      <w:bookmarkEnd w:id="20"/>
    </w:p>
    <w:p w:rsidR="00BA2BD8" w:rsidRPr="006808BF" w:rsidRDefault="00DE2E5B" w:rsidP="00BD7A90">
      <w:pPr>
        <w:pStyle w:val="ListParagraph"/>
        <w:keepNext/>
        <w:keepLines/>
        <w:widowControl/>
        <w:numPr>
          <w:ilvl w:val="1"/>
          <w:numId w:val="1"/>
        </w:numPr>
      </w:pPr>
      <w:r w:rsidRPr="006808BF">
        <w:t xml:space="preserve">The results for the HAWK and HARRIER trials presented in the resubmission have been presented previously and remain unchanged. </w:t>
      </w:r>
      <w:r w:rsidR="00BA2BD8" w:rsidRPr="006808BF">
        <w:t>At their meeting in November 2019, the PBAC was satisfied that brolucizumab was non-inferior in terms of comparative efficacy to aflibercept</w:t>
      </w:r>
      <w:r w:rsidR="001B4D5F" w:rsidRPr="006808BF">
        <w:t xml:space="preserve"> in the first-line setting</w:t>
      </w:r>
      <w:r w:rsidR="00BA2BD8" w:rsidRPr="006808BF">
        <w:t>, based on the primary outcome of mean change in BCVA from baseline to Week 48 from the HAWK and HARRIER trials (Brolucizumab PSD November 2019, paragraph 7.3).</w:t>
      </w:r>
    </w:p>
    <w:p w:rsidR="00DE2E5B" w:rsidRPr="0059786E" w:rsidRDefault="00DE2E5B" w:rsidP="00BD7A90">
      <w:pPr>
        <w:pStyle w:val="ListParagraph"/>
        <w:widowControl/>
        <w:numPr>
          <w:ilvl w:val="1"/>
          <w:numId w:val="1"/>
        </w:numPr>
      </w:pPr>
      <w:r>
        <w:t xml:space="preserve">In this resubmission, however, the secondary outcomes change in central subfield thickness (CSFT) and disease activity (DA) were presented rather than the primary outcome of </w:t>
      </w:r>
      <w:r w:rsidRPr="0059786E">
        <w:t xml:space="preserve">the trials, best corrected visual acuity (BCVA). </w:t>
      </w:r>
    </w:p>
    <w:p w:rsidR="00DE2E5B" w:rsidRPr="00A10F7D" w:rsidRDefault="00DE2E5B" w:rsidP="00BD7A90">
      <w:pPr>
        <w:pStyle w:val="ListParagraph"/>
        <w:widowControl/>
        <w:numPr>
          <w:ilvl w:val="1"/>
          <w:numId w:val="1"/>
        </w:numPr>
      </w:pPr>
      <w:r>
        <w:rPr>
          <w:rFonts w:cs="Calibri"/>
          <w:snapToGrid/>
          <w:szCs w:val="24"/>
          <w:lang w:val="en-US" w:eastAsia="en-AU"/>
        </w:rPr>
        <w:t xml:space="preserve">Details of the mean change in CSFT from baseline from HAWK and HARRIER are provided in </w:t>
      </w:r>
      <w:r w:rsidR="0038162C">
        <w:rPr>
          <w:rFonts w:cs="Calibri"/>
          <w:snapToGrid/>
          <w:szCs w:val="24"/>
          <w:lang w:val="en-US" w:eastAsia="en-AU"/>
        </w:rPr>
        <w:t>T</w:t>
      </w:r>
      <w:r>
        <w:rPr>
          <w:rFonts w:cs="Calibri"/>
          <w:snapToGrid/>
          <w:szCs w:val="24"/>
          <w:lang w:val="en-US" w:eastAsia="en-AU"/>
        </w:rPr>
        <w:t xml:space="preserve">able </w:t>
      </w:r>
      <w:r w:rsidR="0038162C">
        <w:rPr>
          <w:rFonts w:cs="Calibri"/>
          <w:snapToGrid/>
          <w:szCs w:val="24"/>
          <w:lang w:val="en-US" w:eastAsia="en-AU"/>
        </w:rPr>
        <w:t>5</w:t>
      </w:r>
      <w:r>
        <w:rPr>
          <w:rFonts w:cs="Calibri"/>
          <w:snapToGrid/>
          <w:szCs w:val="24"/>
          <w:lang w:val="en-US" w:eastAsia="en-AU"/>
        </w:rPr>
        <w:t xml:space="preserve">. </w:t>
      </w:r>
    </w:p>
    <w:p w:rsidR="00DE2E5B" w:rsidRPr="00D3421A" w:rsidRDefault="00BA2BD8" w:rsidP="00BA2BD8">
      <w:pPr>
        <w:pStyle w:val="NoSpacing"/>
        <w:rPr>
          <w:rStyle w:val="CommentReference"/>
        </w:rPr>
      </w:pPr>
      <w:r w:rsidRPr="00BA2BD8">
        <w:rPr>
          <w:rStyle w:val="CommentReference"/>
        </w:rPr>
        <w:t xml:space="preserve">Table </w:t>
      </w:r>
      <w:r w:rsidR="00CD7BF3">
        <w:rPr>
          <w:rStyle w:val="CommentReference"/>
          <w:noProof/>
        </w:rPr>
        <w:t>5</w:t>
      </w:r>
      <w:r w:rsidR="00DE2E5B" w:rsidRPr="00D3421A">
        <w:rPr>
          <w:rStyle w:val="CommentReference"/>
        </w:rPr>
        <w:t>: LS mean change in CSFT from baseline, HAWK and HARRIER (FAS-LOCF)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3"/>
        <w:gridCol w:w="599"/>
        <w:gridCol w:w="1522"/>
        <w:gridCol w:w="552"/>
        <w:gridCol w:w="1659"/>
        <w:gridCol w:w="1935"/>
        <w:gridCol w:w="1307"/>
      </w:tblGrid>
      <w:tr w:rsidR="00BA2BD8" w:rsidRPr="00870DAA" w:rsidTr="00A07F34">
        <w:trPr>
          <w:tblHeader/>
        </w:trPr>
        <w:tc>
          <w:tcPr>
            <w:tcW w:w="800" w:type="pct"/>
            <w:vMerge w:val="restart"/>
            <w:vAlign w:val="center"/>
          </w:tcPr>
          <w:p w:rsidR="00BA2BD8" w:rsidRPr="00870DAA" w:rsidRDefault="00BA2BD8" w:rsidP="00A07F34">
            <w:pPr>
              <w:pStyle w:val="Tabletext"/>
              <w:rPr>
                <w:b/>
              </w:rPr>
            </w:pPr>
            <w:r>
              <w:rPr>
                <w:b/>
              </w:rPr>
              <w:t>Trial</w:t>
            </w:r>
          </w:p>
        </w:tc>
        <w:tc>
          <w:tcPr>
            <w:tcW w:w="1176" w:type="pct"/>
            <w:gridSpan w:val="2"/>
            <w:vAlign w:val="center"/>
          </w:tcPr>
          <w:p w:rsidR="00BA2BD8" w:rsidRPr="00870DAA" w:rsidRDefault="00BA2BD8" w:rsidP="00A07F34">
            <w:pPr>
              <w:pStyle w:val="Tabletext"/>
              <w:jc w:val="center"/>
              <w:rPr>
                <w:b/>
              </w:rPr>
            </w:pPr>
            <w:r w:rsidRPr="00870DAA">
              <w:rPr>
                <w:b/>
              </w:rPr>
              <w:t>Brolucizumab 6</w:t>
            </w:r>
            <w:r>
              <w:rPr>
                <w:b/>
              </w:rPr>
              <w:t> </w:t>
            </w:r>
            <w:r w:rsidRPr="00870DAA">
              <w:rPr>
                <w:b/>
              </w:rPr>
              <w:t>mg</w:t>
            </w:r>
          </w:p>
        </w:tc>
        <w:tc>
          <w:tcPr>
            <w:tcW w:w="1226" w:type="pct"/>
            <w:gridSpan w:val="2"/>
            <w:vAlign w:val="center"/>
          </w:tcPr>
          <w:p w:rsidR="00BA2BD8" w:rsidRPr="00870DAA" w:rsidRDefault="00BA2BD8" w:rsidP="00A07F34">
            <w:pPr>
              <w:pStyle w:val="Tabletext"/>
              <w:jc w:val="center"/>
              <w:rPr>
                <w:b/>
              </w:rPr>
            </w:pPr>
            <w:r w:rsidRPr="00870DAA">
              <w:rPr>
                <w:b/>
              </w:rPr>
              <w:t>Aflibercept 2</w:t>
            </w:r>
            <w:r>
              <w:rPr>
                <w:b/>
              </w:rPr>
              <w:t> </w:t>
            </w:r>
            <w:r w:rsidRPr="00870DAA">
              <w:rPr>
                <w:b/>
              </w:rPr>
              <w:t>mg</w:t>
            </w:r>
          </w:p>
        </w:tc>
        <w:tc>
          <w:tcPr>
            <w:tcW w:w="1798" w:type="pct"/>
            <w:gridSpan w:val="2"/>
            <w:vAlign w:val="center"/>
          </w:tcPr>
          <w:p w:rsidR="00BA2BD8" w:rsidRPr="00870DAA" w:rsidRDefault="00BA2BD8" w:rsidP="00A07F34">
            <w:pPr>
              <w:pStyle w:val="Tabletext"/>
              <w:jc w:val="center"/>
              <w:rPr>
                <w:b/>
              </w:rPr>
            </w:pPr>
            <w:r>
              <w:rPr>
                <w:b/>
              </w:rPr>
              <w:t>Brolucizumab vs Aflibercept</w:t>
            </w:r>
          </w:p>
        </w:tc>
      </w:tr>
      <w:tr w:rsidR="00BA2BD8" w:rsidRPr="00870DAA" w:rsidTr="00A07F34">
        <w:trPr>
          <w:tblHeader/>
        </w:trPr>
        <w:tc>
          <w:tcPr>
            <w:tcW w:w="800" w:type="pct"/>
            <w:vMerge/>
            <w:vAlign w:val="center"/>
          </w:tcPr>
          <w:p w:rsidR="00BA2BD8" w:rsidRPr="00870DAA" w:rsidRDefault="00BA2BD8" w:rsidP="00A07F34">
            <w:pPr>
              <w:pStyle w:val="Tabletext"/>
              <w:rPr>
                <w:b/>
              </w:rPr>
            </w:pPr>
          </w:p>
        </w:tc>
        <w:tc>
          <w:tcPr>
            <w:tcW w:w="332" w:type="pct"/>
            <w:vAlign w:val="center"/>
          </w:tcPr>
          <w:p w:rsidR="00BA2BD8" w:rsidRPr="00870DAA" w:rsidRDefault="00BA2BD8" w:rsidP="00A07F34">
            <w:pPr>
              <w:pStyle w:val="Tabletext"/>
              <w:jc w:val="center"/>
              <w:rPr>
                <w:b/>
              </w:rPr>
            </w:pPr>
            <w:r w:rsidRPr="00870DAA">
              <w:rPr>
                <w:b/>
              </w:rPr>
              <w:t>N</w:t>
            </w:r>
          </w:p>
        </w:tc>
        <w:tc>
          <w:tcPr>
            <w:tcW w:w="844" w:type="pct"/>
            <w:vAlign w:val="center"/>
          </w:tcPr>
          <w:p w:rsidR="00BA2BD8" w:rsidRPr="00870DAA" w:rsidRDefault="00BA2BD8" w:rsidP="00A07F34">
            <w:pPr>
              <w:pStyle w:val="Tabletext"/>
              <w:jc w:val="center"/>
              <w:rPr>
                <w:b/>
              </w:rPr>
            </w:pPr>
            <w:r w:rsidRPr="00870DAA">
              <w:rPr>
                <w:b/>
              </w:rPr>
              <w:t>LS Change (mean±SE)</w:t>
            </w:r>
          </w:p>
        </w:tc>
        <w:tc>
          <w:tcPr>
            <w:tcW w:w="306" w:type="pct"/>
            <w:vAlign w:val="center"/>
          </w:tcPr>
          <w:p w:rsidR="00BA2BD8" w:rsidRPr="00870DAA" w:rsidRDefault="00BA2BD8" w:rsidP="00A07F34">
            <w:pPr>
              <w:pStyle w:val="Tabletext"/>
              <w:jc w:val="center"/>
              <w:rPr>
                <w:b/>
              </w:rPr>
            </w:pPr>
            <w:r w:rsidRPr="00870DAA">
              <w:rPr>
                <w:b/>
              </w:rPr>
              <w:t>N</w:t>
            </w:r>
          </w:p>
        </w:tc>
        <w:tc>
          <w:tcPr>
            <w:tcW w:w="920" w:type="pct"/>
            <w:vAlign w:val="center"/>
          </w:tcPr>
          <w:p w:rsidR="00BA2BD8" w:rsidRPr="00870DAA" w:rsidRDefault="00BA2BD8" w:rsidP="00A07F34">
            <w:pPr>
              <w:pStyle w:val="Tabletext"/>
              <w:jc w:val="center"/>
              <w:rPr>
                <w:b/>
              </w:rPr>
            </w:pPr>
            <w:r w:rsidRPr="00870DAA">
              <w:rPr>
                <w:b/>
              </w:rPr>
              <w:t>LS Change (mean±SE)</w:t>
            </w:r>
          </w:p>
        </w:tc>
        <w:tc>
          <w:tcPr>
            <w:tcW w:w="1073" w:type="pct"/>
            <w:vAlign w:val="center"/>
          </w:tcPr>
          <w:p w:rsidR="00BA2BD8" w:rsidRPr="00870DAA" w:rsidRDefault="00BA2BD8" w:rsidP="00A07F34">
            <w:pPr>
              <w:pStyle w:val="Tabletext"/>
              <w:jc w:val="center"/>
              <w:rPr>
                <w:b/>
              </w:rPr>
            </w:pPr>
            <w:r w:rsidRPr="00870DAA">
              <w:rPr>
                <w:b/>
              </w:rPr>
              <w:t xml:space="preserve">LS Mean difference </w:t>
            </w:r>
            <w:r w:rsidRPr="00870DAA">
              <w:rPr>
                <w:b/>
              </w:rPr>
              <w:br/>
              <w:t>(95% CI)</w:t>
            </w:r>
          </w:p>
        </w:tc>
        <w:tc>
          <w:tcPr>
            <w:tcW w:w="725" w:type="pct"/>
            <w:vAlign w:val="center"/>
          </w:tcPr>
          <w:p w:rsidR="00BA2BD8" w:rsidRPr="00870DAA" w:rsidRDefault="00BA2BD8" w:rsidP="00A07F34">
            <w:pPr>
              <w:pStyle w:val="Tabletext"/>
              <w:jc w:val="center"/>
              <w:rPr>
                <w:b/>
                <w:vertAlign w:val="superscript"/>
              </w:rPr>
            </w:pPr>
            <w:r>
              <w:rPr>
                <w:b/>
              </w:rPr>
              <w:t>p-value</w:t>
            </w:r>
            <w:r>
              <w:rPr>
                <w:b/>
                <w:vertAlign w:val="superscript"/>
              </w:rPr>
              <w:t>a</w:t>
            </w:r>
          </w:p>
        </w:tc>
      </w:tr>
      <w:tr w:rsidR="00BA2BD8" w:rsidRPr="005A0331" w:rsidTr="00A07F34">
        <w:tc>
          <w:tcPr>
            <w:tcW w:w="5000" w:type="pct"/>
            <w:gridSpan w:val="7"/>
            <w:vAlign w:val="center"/>
          </w:tcPr>
          <w:p w:rsidR="00BA2BD8" w:rsidRPr="00870DAA" w:rsidRDefault="00BA2BD8" w:rsidP="00A07F34">
            <w:pPr>
              <w:pStyle w:val="Tabletext"/>
              <w:rPr>
                <w:rFonts w:ascii="Arial" w:hAnsi="Arial"/>
                <w:b/>
                <w:sz w:val="17"/>
                <w:szCs w:val="17"/>
              </w:rPr>
            </w:pPr>
            <w:r w:rsidRPr="00870DAA">
              <w:rPr>
                <w:b/>
              </w:rPr>
              <w:t>Time</w:t>
            </w:r>
            <w:r>
              <w:rPr>
                <w:b/>
              </w:rPr>
              <w:t xml:space="preserve"> </w:t>
            </w:r>
            <w:r w:rsidRPr="00870DAA">
              <w:rPr>
                <w:b/>
              </w:rPr>
              <w:t>point: Week 48</w:t>
            </w:r>
          </w:p>
        </w:tc>
      </w:tr>
      <w:tr w:rsidR="00BA2BD8" w:rsidRPr="005A0331" w:rsidTr="00A07F34">
        <w:tc>
          <w:tcPr>
            <w:tcW w:w="800" w:type="pct"/>
            <w:vAlign w:val="center"/>
          </w:tcPr>
          <w:p w:rsidR="00BA2BD8" w:rsidRPr="00D91AFA" w:rsidRDefault="00BA2BD8" w:rsidP="00A07F34">
            <w:pPr>
              <w:pStyle w:val="Tabletext"/>
            </w:pPr>
            <w:r w:rsidRPr="00D91AFA">
              <w:t xml:space="preserve">HAWK </w:t>
            </w:r>
          </w:p>
        </w:tc>
        <w:tc>
          <w:tcPr>
            <w:tcW w:w="332" w:type="pct"/>
            <w:vAlign w:val="center"/>
          </w:tcPr>
          <w:p w:rsidR="00BA2BD8" w:rsidRPr="00D91AFA" w:rsidRDefault="00BA2BD8" w:rsidP="00A07F34">
            <w:pPr>
              <w:pStyle w:val="Tabletext"/>
              <w:jc w:val="center"/>
            </w:pPr>
            <w:r w:rsidRPr="00D91AFA">
              <w:t>360</w:t>
            </w:r>
          </w:p>
        </w:tc>
        <w:tc>
          <w:tcPr>
            <w:tcW w:w="844" w:type="pct"/>
            <w:vAlign w:val="center"/>
          </w:tcPr>
          <w:p w:rsidR="00BA2BD8" w:rsidRPr="005F0F8F" w:rsidRDefault="00BA2BD8" w:rsidP="00A07F34">
            <w:pPr>
              <w:pStyle w:val="Tabletext"/>
              <w:jc w:val="center"/>
            </w:pPr>
            <w:r w:rsidRPr="005F0F8F">
              <w:rPr>
                <w:szCs w:val="17"/>
              </w:rPr>
              <w:t>-172.8 (6.70)</w:t>
            </w:r>
          </w:p>
        </w:tc>
        <w:tc>
          <w:tcPr>
            <w:tcW w:w="306" w:type="pct"/>
            <w:vAlign w:val="center"/>
          </w:tcPr>
          <w:p w:rsidR="00BA2BD8" w:rsidRPr="005F0F8F" w:rsidRDefault="00BA2BD8" w:rsidP="00A07F34">
            <w:pPr>
              <w:pStyle w:val="Tabletext"/>
              <w:jc w:val="center"/>
            </w:pPr>
            <w:r w:rsidRPr="005F0F8F">
              <w:t>360</w:t>
            </w:r>
          </w:p>
        </w:tc>
        <w:tc>
          <w:tcPr>
            <w:tcW w:w="920" w:type="pct"/>
            <w:vAlign w:val="center"/>
          </w:tcPr>
          <w:p w:rsidR="00BA2BD8" w:rsidRPr="005F0F8F" w:rsidRDefault="00BA2BD8" w:rsidP="00A07F34">
            <w:pPr>
              <w:pStyle w:val="Tabletext"/>
              <w:jc w:val="center"/>
            </w:pPr>
            <w:r w:rsidRPr="005F0F8F">
              <w:rPr>
                <w:szCs w:val="17"/>
              </w:rPr>
              <w:t>-143.7 (6.70)</w:t>
            </w:r>
          </w:p>
        </w:tc>
        <w:tc>
          <w:tcPr>
            <w:tcW w:w="1073" w:type="pct"/>
            <w:vAlign w:val="center"/>
          </w:tcPr>
          <w:p w:rsidR="00BA2BD8" w:rsidRPr="006B19DA" w:rsidRDefault="00BA2BD8" w:rsidP="00A07F34">
            <w:pPr>
              <w:pStyle w:val="Tabletext"/>
              <w:jc w:val="center"/>
              <w:rPr>
                <w:b/>
                <w:bCs/>
              </w:rPr>
            </w:pPr>
            <w:r w:rsidRPr="006B19DA">
              <w:rPr>
                <w:b/>
                <w:bCs/>
                <w:szCs w:val="17"/>
              </w:rPr>
              <w:t>-29.0 (-47.6, -10.4)</w:t>
            </w:r>
          </w:p>
        </w:tc>
        <w:tc>
          <w:tcPr>
            <w:tcW w:w="725" w:type="pct"/>
            <w:vAlign w:val="center"/>
          </w:tcPr>
          <w:p w:rsidR="00BA2BD8" w:rsidRPr="005F0F8F" w:rsidRDefault="00BA2BD8" w:rsidP="00A07F34">
            <w:pPr>
              <w:pStyle w:val="Tabletext"/>
              <w:jc w:val="center"/>
            </w:pPr>
            <w:r>
              <w:rPr>
                <w:szCs w:val="17"/>
              </w:rPr>
              <w:t>0.0023</w:t>
            </w:r>
            <w:r>
              <w:rPr>
                <w:szCs w:val="17"/>
                <w:vertAlign w:val="superscript"/>
              </w:rPr>
              <w:t>b</w:t>
            </w:r>
          </w:p>
        </w:tc>
      </w:tr>
      <w:tr w:rsidR="00BA2BD8" w:rsidRPr="005A0331" w:rsidTr="00A07F34">
        <w:tc>
          <w:tcPr>
            <w:tcW w:w="800" w:type="pct"/>
            <w:vAlign w:val="center"/>
          </w:tcPr>
          <w:p w:rsidR="00BA2BD8" w:rsidRPr="00D91AFA" w:rsidRDefault="00BA2BD8" w:rsidP="00A07F34">
            <w:pPr>
              <w:pStyle w:val="Tabletext"/>
            </w:pPr>
            <w:r w:rsidRPr="00D91AFA">
              <w:t>HARRIER</w:t>
            </w:r>
          </w:p>
        </w:tc>
        <w:tc>
          <w:tcPr>
            <w:tcW w:w="332" w:type="pct"/>
            <w:vAlign w:val="center"/>
          </w:tcPr>
          <w:p w:rsidR="00BA2BD8" w:rsidRPr="00D91AFA" w:rsidRDefault="00BA2BD8" w:rsidP="00A07F34">
            <w:pPr>
              <w:pStyle w:val="Tabletext"/>
              <w:jc w:val="center"/>
            </w:pPr>
            <w:r w:rsidRPr="00D91AFA">
              <w:t>370</w:t>
            </w:r>
          </w:p>
        </w:tc>
        <w:tc>
          <w:tcPr>
            <w:tcW w:w="844" w:type="pct"/>
            <w:vAlign w:val="center"/>
          </w:tcPr>
          <w:p w:rsidR="00BA2BD8" w:rsidRPr="005F0F8F" w:rsidRDefault="00BA2BD8" w:rsidP="00A07F34">
            <w:pPr>
              <w:pStyle w:val="Tabletext"/>
              <w:jc w:val="center"/>
            </w:pPr>
            <w:r w:rsidRPr="005F0F8F">
              <w:rPr>
                <w:szCs w:val="18"/>
              </w:rPr>
              <w:t>-193.8 (6.84)</w:t>
            </w:r>
          </w:p>
        </w:tc>
        <w:tc>
          <w:tcPr>
            <w:tcW w:w="306" w:type="pct"/>
            <w:vAlign w:val="center"/>
          </w:tcPr>
          <w:p w:rsidR="00BA2BD8" w:rsidRPr="005F0F8F" w:rsidRDefault="00BA2BD8" w:rsidP="00A07F34">
            <w:pPr>
              <w:pStyle w:val="Tabletext"/>
              <w:jc w:val="center"/>
            </w:pPr>
            <w:r w:rsidRPr="005F0F8F">
              <w:t>369</w:t>
            </w:r>
          </w:p>
        </w:tc>
        <w:tc>
          <w:tcPr>
            <w:tcW w:w="920" w:type="pct"/>
            <w:vAlign w:val="center"/>
          </w:tcPr>
          <w:p w:rsidR="00BA2BD8" w:rsidRPr="005F0F8F" w:rsidRDefault="00BA2BD8" w:rsidP="00A07F34">
            <w:pPr>
              <w:pStyle w:val="Tabletext"/>
              <w:jc w:val="center"/>
            </w:pPr>
            <w:r w:rsidRPr="005F0F8F">
              <w:rPr>
                <w:szCs w:val="18"/>
              </w:rPr>
              <w:t>-143.9 (6.84)</w:t>
            </w:r>
          </w:p>
        </w:tc>
        <w:tc>
          <w:tcPr>
            <w:tcW w:w="1073" w:type="pct"/>
            <w:vAlign w:val="center"/>
          </w:tcPr>
          <w:p w:rsidR="00BA2BD8" w:rsidRPr="006B19DA" w:rsidRDefault="00BA2BD8" w:rsidP="00A07F34">
            <w:pPr>
              <w:pStyle w:val="Tabletext"/>
              <w:jc w:val="center"/>
              <w:rPr>
                <w:b/>
                <w:bCs/>
              </w:rPr>
            </w:pPr>
            <w:r w:rsidRPr="006B19DA">
              <w:rPr>
                <w:b/>
                <w:bCs/>
                <w:szCs w:val="18"/>
              </w:rPr>
              <w:t>-49.9 (-68.9, -30.9)</w:t>
            </w:r>
          </w:p>
        </w:tc>
        <w:tc>
          <w:tcPr>
            <w:tcW w:w="725" w:type="pct"/>
            <w:vAlign w:val="center"/>
          </w:tcPr>
          <w:p w:rsidR="00BA2BD8" w:rsidRPr="005F0F8F" w:rsidRDefault="00BA2BD8" w:rsidP="00A07F34">
            <w:pPr>
              <w:pStyle w:val="Tabletext"/>
              <w:jc w:val="center"/>
            </w:pPr>
            <w:r w:rsidRPr="005F0F8F">
              <w:rPr>
                <w:szCs w:val="18"/>
              </w:rPr>
              <w:t>&lt;0.0001</w:t>
            </w:r>
          </w:p>
        </w:tc>
      </w:tr>
      <w:tr w:rsidR="00BA2BD8" w:rsidRPr="005A0331" w:rsidTr="00A07F34">
        <w:tc>
          <w:tcPr>
            <w:tcW w:w="3202" w:type="pct"/>
            <w:gridSpan w:val="5"/>
            <w:vAlign w:val="center"/>
          </w:tcPr>
          <w:p w:rsidR="00BA2BD8" w:rsidRPr="005F0F8F" w:rsidRDefault="00BA2BD8" w:rsidP="00A07F34">
            <w:pPr>
              <w:pStyle w:val="Tabletext"/>
              <w:rPr>
                <w:szCs w:val="18"/>
              </w:rPr>
            </w:pPr>
            <w:r>
              <w:t>Meta-analysis</w:t>
            </w:r>
          </w:p>
        </w:tc>
        <w:tc>
          <w:tcPr>
            <w:tcW w:w="1073" w:type="pct"/>
            <w:vAlign w:val="center"/>
          </w:tcPr>
          <w:p w:rsidR="00BA2BD8" w:rsidRPr="006B19DA" w:rsidRDefault="00BA2BD8" w:rsidP="00A07F34">
            <w:pPr>
              <w:pStyle w:val="Tabletext"/>
              <w:jc w:val="center"/>
              <w:rPr>
                <w:b/>
                <w:bCs/>
                <w:szCs w:val="18"/>
              </w:rPr>
            </w:pPr>
            <w:r w:rsidRPr="006B19DA">
              <w:rPr>
                <w:b/>
                <w:bCs/>
                <w:szCs w:val="18"/>
              </w:rPr>
              <w:t>-39.4 (-59.8, -19.0)</w:t>
            </w:r>
          </w:p>
        </w:tc>
        <w:tc>
          <w:tcPr>
            <w:tcW w:w="725" w:type="pct"/>
            <w:vAlign w:val="center"/>
          </w:tcPr>
          <w:p w:rsidR="00BA2BD8" w:rsidRPr="005F0F8F" w:rsidRDefault="00BA2BD8" w:rsidP="00A07F34">
            <w:pPr>
              <w:pStyle w:val="Tabletext"/>
              <w:jc w:val="center"/>
              <w:rPr>
                <w:szCs w:val="18"/>
              </w:rPr>
            </w:pPr>
          </w:p>
        </w:tc>
      </w:tr>
      <w:tr w:rsidR="00BA2BD8" w:rsidRPr="005A0331" w:rsidTr="00A07F34">
        <w:tc>
          <w:tcPr>
            <w:tcW w:w="3202" w:type="pct"/>
            <w:gridSpan w:val="5"/>
            <w:vAlign w:val="center"/>
          </w:tcPr>
          <w:p w:rsidR="00BA2BD8" w:rsidRPr="005F0F8F" w:rsidRDefault="00BA2BD8" w:rsidP="00A07F34">
            <w:pPr>
              <w:pStyle w:val="Tabletext"/>
              <w:ind w:left="171"/>
              <w:rPr>
                <w:szCs w:val="18"/>
              </w:rPr>
            </w:pPr>
            <w:r>
              <w:rPr>
                <w:szCs w:val="20"/>
              </w:rPr>
              <w:t>Heterogeneity: I</w:t>
            </w:r>
            <w:r>
              <w:rPr>
                <w:szCs w:val="20"/>
                <w:vertAlign w:val="superscript"/>
              </w:rPr>
              <w:t>2</w:t>
            </w:r>
            <w:r>
              <w:rPr>
                <w:szCs w:val="20"/>
              </w:rPr>
              <w:t>, p-value</w:t>
            </w:r>
          </w:p>
        </w:tc>
        <w:tc>
          <w:tcPr>
            <w:tcW w:w="1073" w:type="pct"/>
            <w:vAlign w:val="center"/>
          </w:tcPr>
          <w:p w:rsidR="00BA2BD8" w:rsidRPr="005F0F8F" w:rsidRDefault="00BA2BD8" w:rsidP="00A07F34">
            <w:pPr>
              <w:pStyle w:val="Tabletext"/>
              <w:jc w:val="center"/>
              <w:rPr>
                <w:szCs w:val="18"/>
              </w:rPr>
            </w:pPr>
            <w:r>
              <w:rPr>
                <w:szCs w:val="18"/>
              </w:rPr>
              <w:t>58% (p=0.12)</w:t>
            </w:r>
          </w:p>
        </w:tc>
        <w:tc>
          <w:tcPr>
            <w:tcW w:w="725" w:type="pct"/>
            <w:vAlign w:val="center"/>
          </w:tcPr>
          <w:p w:rsidR="00BA2BD8" w:rsidRPr="005F0F8F" w:rsidRDefault="00BA2BD8" w:rsidP="00A07F34">
            <w:pPr>
              <w:pStyle w:val="Tabletext"/>
              <w:jc w:val="center"/>
              <w:rPr>
                <w:szCs w:val="18"/>
              </w:rPr>
            </w:pPr>
          </w:p>
        </w:tc>
      </w:tr>
      <w:tr w:rsidR="00BA2BD8" w:rsidRPr="005A0331" w:rsidTr="00A07F34">
        <w:tc>
          <w:tcPr>
            <w:tcW w:w="5000" w:type="pct"/>
            <w:gridSpan w:val="7"/>
            <w:vAlign w:val="center"/>
          </w:tcPr>
          <w:p w:rsidR="00BA2BD8" w:rsidRPr="00870DAA" w:rsidRDefault="00BA2BD8" w:rsidP="00A07F34">
            <w:pPr>
              <w:pStyle w:val="Tabletext"/>
              <w:rPr>
                <w:b/>
              </w:rPr>
            </w:pPr>
            <w:r w:rsidRPr="00870DAA">
              <w:rPr>
                <w:b/>
              </w:rPr>
              <w:t>Time</w:t>
            </w:r>
            <w:r>
              <w:rPr>
                <w:b/>
              </w:rPr>
              <w:t xml:space="preserve"> </w:t>
            </w:r>
            <w:r w:rsidRPr="00870DAA">
              <w:rPr>
                <w:b/>
              </w:rPr>
              <w:t>point: Week 96</w:t>
            </w:r>
          </w:p>
        </w:tc>
      </w:tr>
      <w:tr w:rsidR="00BA2BD8" w:rsidRPr="005A0331" w:rsidTr="00A07F34">
        <w:tc>
          <w:tcPr>
            <w:tcW w:w="800" w:type="pct"/>
            <w:vAlign w:val="center"/>
          </w:tcPr>
          <w:p w:rsidR="00BA2BD8" w:rsidRPr="00D91AFA" w:rsidRDefault="00BA2BD8" w:rsidP="00A07F34">
            <w:pPr>
              <w:pStyle w:val="Tabletext"/>
            </w:pPr>
            <w:r w:rsidRPr="00D91AFA">
              <w:t xml:space="preserve">HAWK </w:t>
            </w:r>
          </w:p>
        </w:tc>
        <w:tc>
          <w:tcPr>
            <w:tcW w:w="332" w:type="pct"/>
            <w:vAlign w:val="center"/>
          </w:tcPr>
          <w:p w:rsidR="00BA2BD8" w:rsidRPr="00D91AFA" w:rsidRDefault="00BA2BD8" w:rsidP="00A07F34">
            <w:pPr>
              <w:pStyle w:val="Tabletext"/>
              <w:jc w:val="center"/>
            </w:pPr>
            <w:r w:rsidRPr="00D91AFA">
              <w:t>360</w:t>
            </w:r>
          </w:p>
        </w:tc>
        <w:tc>
          <w:tcPr>
            <w:tcW w:w="844" w:type="pct"/>
            <w:vAlign w:val="center"/>
          </w:tcPr>
          <w:p w:rsidR="00BA2BD8" w:rsidRPr="005F0F8F" w:rsidRDefault="00BA2BD8" w:rsidP="00A07F34">
            <w:pPr>
              <w:pStyle w:val="Tabletext"/>
              <w:jc w:val="center"/>
            </w:pPr>
            <w:r w:rsidRPr="005F0F8F">
              <w:rPr>
                <w:szCs w:val="17"/>
              </w:rPr>
              <w:t>-174.8 (7.27)</w:t>
            </w:r>
          </w:p>
        </w:tc>
        <w:tc>
          <w:tcPr>
            <w:tcW w:w="306" w:type="pct"/>
            <w:vAlign w:val="center"/>
          </w:tcPr>
          <w:p w:rsidR="00BA2BD8" w:rsidRPr="005F0F8F" w:rsidRDefault="00BA2BD8" w:rsidP="00A07F34">
            <w:pPr>
              <w:pStyle w:val="Tabletext"/>
              <w:jc w:val="center"/>
            </w:pPr>
            <w:r w:rsidRPr="005F0F8F">
              <w:t>360</w:t>
            </w:r>
          </w:p>
        </w:tc>
        <w:tc>
          <w:tcPr>
            <w:tcW w:w="920" w:type="pct"/>
            <w:vAlign w:val="center"/>
          </w:tcPr>
          <w:p w:rsidR="00BA2BD8" w:rsidRPr="005F0F8F" w:rsidRDefault="00BA2BD8" w:rsidP="00A07F34">
            <w:pPr>
              <w:pStyle w:val="Tabletext"/>
              <w:jc w:val="center"/>
            </w:pPr>
            <w:r w:rsidRPr="005F0F8F">
              <w:rPr>
                <w:szCs w:val="17"/>
              </w:rPr>
              <w:t>-148.7 (7.27)</w:t>
            </w:r>
          </w:p>
        </w:tc>
        <w:tc>
          <w:tcPr>
            <w:tcW w:w="1073" w:type="pct"/>
            <w:vAlign w:val="center"/>
          </w:tcPr>
          <w:p w:rsidR="00BA2BD8" w:rsidRPr="006B19DA" w:rsidRDefault="00BA2BD8" w:rsidP="00A07F34">
            <w:pPr>
              <w:pStyle w:val="Tabletext"/>
              <w:jc w:val="center"/>
              <w:rPr>
                <w:b/>
                <w:bCs/>
              </w:rPr>
            </w:pPr>
            <w:r w:rsidRPr="006B19DA">
              <w:rPr>
                <w:b/>
                <w:bCs/>
                <w:szCs w:val="17"/>
              </w:rPr>
              <w:t>-26.0 (-46.2, -5.9)</w:t>
            </w:r>
          </w:p>
        </w:tc>
        <w:tc>
          <w:tcPr>
            <w:tcW w:w="725" w:type="pct"/>
            <w:vAlign w:val="center"/>
          </w:tcPr>
          <w:p w:rsidR="00BA2BD8" w:rsidRPr="005F0F8F" w:rsidRDefault="00BA2BD8" w:rsidP="00A07F34">
            <w:pPr>
              <w:pStyle w:val="Tabletext"/>
              <w:jc w:val="center"/>
            </w:pPr>
            <w:r w:rsidRPr="005F0F8F">
              <w:rPr>
                <w:szCs w:val="17"/>
              </w:rPr>
              <w:t>0.0115</w:t>
            </w:r>
          </w:p>
        </w:tc>
      </w:tr>
      <w:tr w:rsidR="00BA2BD8" w:rsidRPr="005A0331" w:rsidTr="00A07F34">
        <w:tc>
          <w:tcPr>
            <w:tcW w:w="800" w:type="pct"/>
            <w:vAlign w:val="center"/>
          </w:tcPr>
          <w:p w:rsidR="00BA2BD8" w:rsidRPr="00D91AFA" w:rsidRDefault="00BA2BD8" w:rsidP="00A07F34">
            <w:pPr>
              <w:pStyle w:val="Tabletext"/>
            </w:pPr>
            <w:r w:rsidRPr="00D91AFA">
              <w:t xml:space="preserve">HARRIER </w:t>
            </w:r>
          </w:p>
        </w:tc>
        <w:tc>
          <w:tcPr>
            <w:tcW w:w="332" w:type="pct"/>
            <w:vAlign w:val="center"/>
          </w:tcPr>
          <w:p w:rsidR="00BA2BD8" w:rsidRPr="00D91AFA" w:rsidRDefault="00BA2BD8" w:rsidP="00A07F34">
            <w:pPr>
              <w:pStyle w:val="Tabletext"/>
              <w:jc w:val="center"/>
            </w:pPr>
            <w:r w:rsidRPr="00D91AFA">
              <w:t>370</w:t>
            </w:r>
          </w:p>
        </w:tc>
        <w:tc>
          <w:tcPr>
            <w:tcW w:w="844" w:type="pct"/>
            <w:vAlign w:val="center"/>
          </w:tcPr>
          <w:p w:rsidR="00BA2BD8" w:rsidRPr="005F0F8F" w:rsidRDefault="00BA2BD8" w:rsidP="00A07F34">
            <w:pPr>
              <w:pStyle w:val="Tabletext"/>
              <w:jc w:val="center"/>
            </w:pPr>
            <w:r w:rsidRPr="005F0F8F">
              <w:rPr>
                <w:szCs w:val="18"/>
              </w:rPr>
              <w:t>-197.7 (6.97)</w:t>
            </w:r>
          </w:p>
        </w:tc>
        <w:tc>
          <w:tcPr>
            <w:tcW w:w="306" w:type="pct"/>
            <w:vAlign w:val="center"/>
          </w:tcPr>
          <w:p w:rsidR="00BA2BD8" w:rsidRPr="005F0F8F" w:rsidRDefault="00BA2BD8" w:rsidP="00A07F34">
            <w:pPr>
              <w:pStyle w:val="Tabletext"/>
              <w:jc w:val="center"/>
            </w:pPr>
            <w:r w:rsidRPr="005F0F8F">
              <w:t>369</w:t>
            </w:r>
          </w:p>
        </w:tc>
        <w:tc>
          <w:tcPr>
            <w:tcW w:w="920" w:type="pct"/>
            <w:vAlign w:val="center"/>
          </w:tcPr>
          <w:p w:rsidR="00BA2BD8" w:rsidRPr="005F0F8F" w:rsidRDefault="00BA2BD8" w:rsidP="00A07F34">
            <w:pPr>
              <w:pStyle w:val="Tabletext"/>
              <w:jc w:val="center"/>
            </w:pPr>
            <w:r w:rsidRPr="005F0F8F">
              <w:rPr>
                <w:szCs w:val="18"/>
              </w:rPr>
              <w:t>-155.1 (6.98)</w:t>
            </w:r>
          </w:p>
        </w:tc>
        <w:tc>
          <w:tcPr>
            <w:tcW w:w="1073" w:type="pct"/>
            <w:vAlign w:val="center"/>
          </w:tcPr>
          <w:p w:rsidR="00BA2BD8" w:rsidRPr="006B19DA" w:rsidRDefault="00BA2BD8" w:rsidP="00A07F34">
            <w:pPr>
              <w:pStyle w:val="Tabletext"/>
              <w:jc w:val="center"/>
              <w:rPr>
                <w:b/>
                <w:bCs/>
              </w:rPr>
            </w:pPr>
            <w:r w:rsidRPr="006B19DA">
              <w:rPr>
                <w:b/>
                <w:bCs/>
                <w:szCs w:val="18"/>
              </w:rPr>
              <w:t>-42.6 (-62.0, -23.3)</w:t>
            </w:r>
          </w:p>
        </w:tc>
        <w:tc>
          <w:tcPr>
            <w:tcW w:w="725" w:type="pct"/>
            <w:vAlign w:val="center"/>
          </w:tcPr>
          <w:p w:rsidR="00BA2BD8" w:rsidRPr="005F0F8F" w:rsidRDefault="00BA2BD8" w:rsidP="00A07F34">
            <w:pPr>
              <w:pStyle w:val="Tabletext"/>
              <w:jc w:val="center"/>
            </w:pPr>
            <w:r w:rsidRPr="005F0F8F">
              <w:rPr>
                <w:szCs w:val="18"/>
              </w:rPr>
              <w:t>&lt;0.0001</w:t>
            </w:r>
          </w:p>
        </w:tc>
      </w:tr>
      <w:tr w:rsidR="00BA2BD8" w:rsidRPr="005A0331" w:rsidTr="00A07F34">
        <w:tc>
          <w:tcPr>
            <w:tcW w:w="3202" w:type="pct"/>
            <w:gridSpan w:val="5"/>
            <w:vAlign w:val="center"/>
          </w:tcPr>
          <w:p w:rsidR="00BA2BD8" w:rsidRPr="005F0F8F" w:rsidRDefault="00BA2BD8" w:rsidP="00A07F34">
            <w:pPr>
              <w:pStyle w:val="Tabletext"/>
              <w:rPr>
                <w:szCs w:val="18"/>
              </w:rPr>
            </w:pPr>
            <w:r>
              <w:t>Meta-analysis</w:t>
            </w:r>
          </w:p>
        </w:tc>
        <w:tc>
          <w:tcPr>
            <w:tcW w:w="1073" w:type="pct"/>
            <w:vAlign w:val="center"/>
          </w:tcPr>
          <w:p w:rsidR="00BA2BD8" w:rsidRPr="006B19DA" w:rsidRDefault="00BA2BD8" w:rsidP="00A07F34">
            <w:pPr>
              <w:pStyle w:val="Tabletext"/>
              <w:jc w:val="center"/>
              <w:rPr>
                <w:b/>
                <w:bCs/>
                <w:szCs w:val="18"/>
              </w:rPr>
            </w:pPr>
            <w:r w:rsidRPr="006B19DA">
              <w:rPr>
                <w:b/>
                <w:bCs/>
                <w:szCs w:val="18"/>
              </w:rPr>
              <w:t>-34.6 (-50.8, -18.4)</w:t>
            </w:r>
          </w:p>
        </w:tc>
        <w:tc>
          <w:tcPr>
            <w:tcW w:w="725" w:type="pct"/>
            <w:vAlign w:val="center"/>
          </w:tcPr>
          <w:p w:rsidR="00BA2BD8" w:rsidRPr="005F0F8F" w:rsidRDefault="00BA2BD8" w:rsidP="00A07F34">
            <w:pPr>
              <w:pStyle w:val="Tabletext"/>
              <w:jc w:val="center"/>
              <w:rPr>
                <w:szCs w:val="18"/>
              </w:rPr>
            </w:pPr>
          </w:p>
        </w:tc>
      </w:tr>
      <w:tr w:rsidR="00BA2BD8" w:rsidRPr="005A0331" w:rsidTr="00A07F34">
        <w:tc>
          <w:tcPr>
            <w:tcW w:w="3202" w:type="pct"/>
            <w:gridSpan w:val="5"/>
            <w:vAlign w:val="center"/>
          </w:tcPr>
          <w:p w:rsidR="00BA2BD8" w:rsidRPr="005F0F8F" w:rsidRDefault="00BA2BD8" w:rsidP="00A07F34">
            <w:pPr>
              <w:pStyle w:val="Tabletext"/>
              <w:ind w:left="171"/>
              <w:rPr>
                <w:szCs w:val="18"/>
              </w:rPr>
            </w:pPr>
            <w:r>
              <w:rPr>
                <w:szCs w:val="20"/>
              </w:rPr>
              <w:t>Heterogeneity: I</w:t>
            </w:r>
            <w:r>
              <w:rPr>
                <w:szCs w:val="20"/>
                <w:vertAlign w:val="superscript"/>
              </w:rPr>
              <w:t>2</w:t>
            </w:r>
            <w:r>
              <w:rPr>
                <w:szCs w:val="20"/>
              </w:rPr>
              <w:t>, p-value</w:t>
            </w:r>
          </w:p>
        </w:tc>
        <w:tc>
          <w:tcPr>
            <w:tcW w:w="1073" w:type="pct"/>
            <w:vAlign w:val="center"/>
          </w:tcPr>
          <w:p w:rsidR="00BA2BD8" w:rsidRPr="005F0F8F" w:rsidRDefault="00BA2BD8" w:rsidP="00A07F34">
            <w:pPr>
              <w:pStyle w:val="Tabletext"/>
              <w:jc w:val="center"/>
              <w:rPr>
                <w:szCs w:val="18"/>
              </w:rPr>
            </w:pPr>
            <w:r>
              <w:rPr>
                <w:szCs w:val="18"/>
              </w:rPr>
              <w:t>25% (p=0.25)</w:t>
            </w:r>
          </w:p>
        </w:tc>
        <w:tc>
          <w:tcPr>
            <w:tcW w:w="725" w:type="pct"/>
            <w:vAlign w:val="center"/>
          </w:tcPr>
          <w:p w:rsidR="00BA2BD8" w:rsidRPr="005F0F8F" w:rsidRDefault="00BA2BD8" w:rsidP="00A07F34">
            <w:pPr>
              <w:pStyle w:val="Tabletext"/>
              <w:jc w:val="center"/>
              <w:rPr>
                <w:szCs w:val="18"/>
              </w:rPr>
            </w:pPr>
          </w:p>
        </w:tc>
      </w:tr>
    </w:tbl>
    <w:p w:rsidR="00BA2BD8" w:rsidRDefault="00BA2BD8" w:rsidP="00BA2BD8">
      <w:pPr>
        <w:pStyle w:val="TableFooter"/>
      </w:pPr>
      <w:r>
        <w:t>CI = confidence interval; CSFT = central subfield thickness; FAS = full analysis set; LOCF = last observation carried forward; LS = least squares; SE = standard error</w:t>
      </w:r>
    </w:p>
    <w:p w:rsidR="00BA2BD8" w:rsidRDefault="00BA2BD8" w:rsidP="00BA2BD8">
      <w:pPr>
        <w:pStyle w:val="TableFooter"/>
        <w:tabs>
          <w:tab w:val="left" w:pos="142"/>
        </w:tabs>
        <w:ind w:left="142" w:hanging="142"/>
      </w:pPr>
      <w:r>
        <w:rPr>
          <w:vertAlign w:val="superscript"/>
        </w:rPr>
        <w:t>a</w:t>
      </w:r>
      <w:r>
        <w:tab/>
        <w:t xml:space="preserve">2-sided p-values. </w:t>
      </w:r>
    </w:p>
    <w:p w:rsidR="00BA2BD8" w:rsidRDefault="00BA2BD8" w:rsidP="00BA2BD8">
      <w:pPr>
        <w:pStyle w:val="TableFooter"/>
        <w:tabs>
          <w:tab w:val="left" w:pos="142"/>
        </w:tabs>
        <w:ind w:left="142" w:hanging="142"/>
      </w:pPr>
      <w:r>
        <w:rPr>
          <w:vertAlign w:val="superscript"/>
        </w:rPr>
        <w:t>b</w:t>
      </w:r>
      <w:r>
        <w:tab/>
        <w:t>1-sided p-value 0.0012. For this endpoint, the pre-specified 1-sided alpha for confirmatory testing of superiority was set at 0.005 within the hierarchical testing approach.</w:t>
      </w:r>
    </w:p>
    <w:p w:rsidR="00BA2BD8" w:rsidRPr="006321CB" w:rsidRDefault="00BA2BD8" w:rsidP="00BA2BD8">
      <w:pPr>
        <w:pStyle w:val="TableFooter"/>
        <w:tabs>
          <w:tab w:val="left" w:pos="142"/>
        </w:tabs>
        <w:ind w:left="142" w:hanging="142"/>
      </w:pPr>
      <w:r>
        <w:t>Statistically significant differences are bolded.</w:t>
      </w:r>
    </w:p>
    <w:p w:rsidR="00BA2BD8" w:rsidRDefault="00BA2BD8" w:rsidP="00BA2BD8">
      <w:pPr>
        <w:pStyle w:val="TableFooter"/>
      </w:pPr>
      <w:r w:rsidRPr="0071228E">
        <w:t xml:space="preserve">Source: Table 2-20 and Table 2-21, </w:t>
      </w:r>
      <w:r>
        <w:t>pp93</w:t>
      </w:r>
      <w:r w:rsidRPr="0071228E">
        <w:t xml:space="preserve"> of the resubmission </w:t>
      </w:r>
    </w:p>
    <w:p w:rsidR="00DE2E5B" w:rsidRPr="00B50DB8" w:rsidRDefault="00DE2E5B" w:rsidP="00DE2E5B">
      <w:pPr>
        <w:widowControl/>
      </w:pPr>
    </w:p>
    <w:p w:rsidR="00DE2E5B" w:rsidRDefault="00DE2E5B" w:rsidP="00BD7A90">
      <w:pPr>
        <w:pStyle w:val="ListParagraph"/>
        <w:keepNext/>
        <w:keepLines/>
        <w:widowControl/>
        <w:numPr>
          <w:ilvl w:val="1"/>
          <w:numId w:val="1"/>
        </w:numPr>
      </w:pPr>
      <w:r w:rsidRPr="00A10F7D">
        <w:t>DA assessments</w:t>
      </w:r>
      <w:r w:rsidR="00FF6BB7">
        <w:rPr>
          <w:rStyle w:val="FootnoteReference"/>
        </w:rPr>
        <w:footnoteReference w:id="1"/>
      </w:r>
      <w:r w:rsidRPr="00A10F7D">
        <w:t xml:space="preserve"> in HAWK and HARRIER at Week 16 allowed for a head-to-head comparison between treatment arms related to </w:t>
      </w:r>
      <w:r>
        <w:t>8-weekly</w:t>
      </w:r>
      <w:r w:rsidRPr="00A10F7D">
        <w:t xml:space="preserve"> or </w:t>
      </w:r>
      <w:r>
        <w:t>12-weekly</w:t>
      </w:r>
      <w:r w:rsidRPr="00A10F7D">
        <w:t xml:space="preserve"> treatment need after 3 monthly loading doses. </w:t>
      </w:r>
      <w:r>
        <w:t>T</w:t>
      </w:r>
      <w:r w:rsidRPr="00A10F7D">
        <w:t xml:space="preserve">he results of the meta-analysis found significantly fewer subjects in the brolucizumab arms of HAWK and HARRIER as having a </w:t>
      </w:r>
      <w:r>
        <w:t>8-weekly</w:t>
      </w:r>
      <w:r w:rsidRPr="00A10F7D">
        <w:t xml:space="preserve"> treatment need at Week 16 compared with aflibercept (23.4% vs. 33.3%; RR: 0.70, 95%CI: 0.59, 0.83, p&lt;0.05).</w:t>
      </w:r>
    </w:p>
    <w:p w:rsidR="00DE2E5B" w:rsidRPr="0059786E" w:rsidRDefault="00DE2E5B" w:rsidP="00BD7A90">
      <w:pPr>
        <w:pStyle w:val="ListParagraph"/>
        <w:widowControl/>
        <w:numPr>
          <w:ilvl w:val="1"/>
          <w:numId w:val="1"/>
        </w:numPr>
      </w:pPr>
      <w:r>
        <w:t>The non-</w:t>
      </w:r>
      <w:r w:rsidRPr="0059786E">
        <w:t>comparative brolucizumab switch studies all reported limited efficacy data making it difficult to present quantitatively. London et al. (2020) reported a mean anatomical</w:t>
      </w:r>
      <w:r w:rsidR="001F744A" w:rsidRPr="0059786E">
        <w:t xml:space="preserve"> central retinal thickness</w:t>
      </w:r>
      <w:r w:rsidRPr="0059786E">
        <w:t xml:space="preserve"> </w:t>
      </w:r>
      <w:r w:rsidR="001F744A" w:rsidRPr="0059786E">
        <w:t>(</w:t>
      </w:r>
      <w:r w:rsidRPr="0059786E">
        <w:t>CRT</w:t>
      </w:r>
      <w:r w:rsidR="001F744A" w:rsidRPr="0059786E">
        <w:t>)</w:t>
      </w:r>
      <w:r w:rsidRPr="0059786E">
        <w:t xml:space="preserve"> reduction of 42.6 µm in the 282 patients who switched to brolucizumab</w:t>
      </w:r>
      <w:r w:rsidR="001F744A" w:rsidRPr="0059786E">
        <w:t>,</w:t>
      </w:r>
      <w:r w:rsidRPr="0059786E">
        <w:t xml:space="preserve"> and that the percentage of patients with </w:t>
      </w:r>
      <w:r w:rsidR="001F744A" w:rsidRPr="0059786E">
        <w:t>intra-retinal fluid (</w:t>
      </w:r>
      <w:r w:rsidRPr="0059786E">
        <w:t>IRF</w:t>
      </w:r>
      <w:r w:rsidR="001F744A" w:rsidRPr="0059786E">
        <w:t>)</w:t>
      </w:r>
      <w:r w:rsidRPr="0059786E">
        <w:t xml:space="preserve">, </w:t>
      </w:r>
      <w:r w:rsidR="001F744A" w:rsidRPr="0059786E">
        <w:t>sub-retinal fluid (</w:t>
      </w:r>
      <w:r w:rsidRPr="0059786E">
        <w:t>SRF</w:t>
      </w:r>
      <w:r w:rsidR="001F744A" w:rsidRPr="0059786E">
        <w:t>)</w:t>
      </w:r>
      <w:r w:rsidRPr="0059786E">
        <w:t xml:space="preserve"> and </w:t>
      </w:r>
      <w:r w:rsidR="001F744A" w:rsidRPr="0059786E">
        <w:t>pigment epithelial detachment thickness (</w:t>
      </w:r>
      <w:r w:rsidRPr="0059786E">
        <w:t>PED</w:t>
      </w:r>
      <w:r w:rsidR="001F744A" w:rsidRPr="0059786E">
        <w:t>)</w:t>
      </w:r>
      <w:r w:rsidRPr="0059786E">
        <w:t xml:space="preserve"> was reduced by 7.3%, 18.2% and 5.2%, respectively.</w:t>
      </w:r>
      <w:r w:rsidR="001578F9" w:rsidRPr="0059786E">
        <w:t xml:space="preserve"> The ESC </w:t>
      </w:r>
      <w:r w:rsidR="005033D2" w:rsidRPr="0059786E">
        <w:t>acknowledged</w:t>
      </w:r>
      <w:r w:rsidR="001578F9" w:rsidRPr="0059786E">
        <w:t xml:space="preserve"> that while the data provided were limited (</w:t>
      </w:r>
      <w:r w:rsidR="001578F9" w:rsidRPr="00B5362E">
        <w:t>paragraph 6.</w:t>
      </w:r>
      <w:r w:rsidR="0034633E" w:rsidRPr="00B5362E">
        <w:t>8</w:t>
      </w:r>
      <w:r w:rsidR="001578F9" w:rsidRPr="0059786E">
        <w:t xml:space="preserve">), </w:t>
      </w:r>
      <w:r w:rsidR="005033D2" w:rsidRPr="0059786E">
        <w:t>a proportion of patients may see an improvement after switching to brolucizumab</w:t>
      </w:r>
      <w:r w:rsidR="00AB543E" w:rsidRPr="0059786E">
        <w:t xml:space="preserve">, although </w:t>
      </w:r>
      <w:r w:rsidR="00B6662B">
        <w:t xml:space="preserve">considered </w:t>
      </w:r>
      <w:r w:rsidR="00AB543E" w:rsidRPr="0059786E">
        <w:t>that the proportion receiving benefit, and the degree of benefit, was highly uncertain</w:t>
      </w:r>
      <w:r w:rsidR="005033D2" w:rsidRPr="0059786E">
        <w:t>.</w:t>
      </w:r>
    </w:p>
    <w:p w:rsidR="008B5C8F" w:rsidRPr="006808BF" w:rsidRDefault="008B5C8F" w:rsidP="00BD7A90">
      <w:pPr>
        <w:pStyle w:val="ListParagraph"/>
        <w:widowControl/>
        <w:numPr>
          <w:ilvl w:val="1"/>
          <w:numId w:val="1"/>
        </w:numPr>
      </w:pPr>
      <w:r w:rsidRPr="006808BF">
        <w:t xml:space="preserve">While </w:t>
      </w:r>
      <w:r w:rsidRPr="0059786E">
        <w:t xml:space="preserve">statistically significant results were observed for both change in CSFT and </w:t>
      </w:r>
      <w:r w:rsidR="00D5352D" w:rsidRPr="0059786E">
        <w:t>DA</w:t>
      </w:r>
      <w:r w:rsidR="00E92E8D" w:rsidRPr="0059786E">
        <w:t xml:space="preserve"> in the HAWK and HARRIER trials</w:t>
      </w:r>
      <w:r w:rsidRPr="0059786E">
        <w:t>, no detail</w:t>
      </w:r>
      <w:r w:rsidRPr="006808BF">
        <w:t xml:space="preserve"> of the translation of the comparative treatment effects of these surrogate measures to target clinical outcomes were included in the resubmission.</w:t>
      </w:r>
      <w:r w:rsidR="00173229">
        <w:t xml:space="preserve"> The </w:t>
      </w:r>
      <w:r w:rsidR="00705BBA">
        <w:t>Sponsor</w:t>
      </w:r>
      <w:r w:rsidR="00173229">
        <w:t xml:space="preserve"> discussed</w:t>
      </w:r>
      <w:r w:rsidR="00173229" w:rsidRPr="0059786E">
        <w:t xml:space="preserve"> the biologic plausibility of the impact of retinal anatomy changes on vision outcomes</w:t>
      </w:r>
      <w:r w:rsidR="00705BBA">
        <w:t xml:space="preserve"> in the PSCR</w:t>
      </w:r>
      <w:r w:rsidR="00173229">
        <w:t xml:space="preserve"> (</w:t>
      </w:r>
      <w:r w:rsidR="00173229" w:rsidRPr="00B5362E">
        <w:t>paragraph 6.</w:t>
      </w:r>
      <w:r w:rsidR="009B05AE" w:rsidRPr="00B5362E">
        <w:t>20</w:t>
      </w:r>
      <w:r w:rsidR="00173229">
        <w:t>).</w:t>
      </w:r>
    </w:p>
    <w:p w:rsidR="00DE2E5B" w:rsidRPr="00C9624D" w:rsidRDefault="00DE2E5B" w:rsidP="00BC6D61">
      <w:pPr>
        <w:pStyle w:val="Heading2"/>
        <w:keepNext/>
        <w:keepLines/>
        <w:spacing w:after="120"/>
      </w:pPr>
      <w:bookmarkStart w:id="21" w:name="_Toc61002910"/>
      <w:bookmarkStart w:id="22" w:name="_Toc62041388"/>
      <w:r w:rsidRPr="00C9624D">
        <w:t>Comparative harms</w:t>
      </w:r>
      <w:bookmarkEnd w:id="21"/>
      <w:bookmarkEnd w:id="22"/>
    </w:p>
    <w:p w:rsidR="00DE2E5B" w:rsidRDefault="00354FA4" w:rsidP="00BD7A90">
      <w:pPr>
        <w:pStyle w:val="ListParagraph"/>
        <w:widowControl/>
        <w:numPr>
          <w:ilvl w:val="1"/>
          <w:numId w:val="1"/>
        </w:numPr>
      </w:pPr>
      <w:r>
        <w:t xml:space="preserve">The </w:t>
      </w:r>
      <w:r w:rsidR="008B5C8F">
        <w:t>re</w:t>
      </w:r>
      <w:r>
        <w:t>submission provided a</w:t>
      </w:r>
      <w:r w:rsidR="00DE2E5B">
        <w:t xml:space="preserve"> post hoc review of HAWK and HARRIER, a review of published literature, and</w:t>
      </w:r>
      <w:r>
        <w:t xml:space="preserve"> documentation of</w:t>
      </w:r>
      <w:r w:rsidR="00DE2E5B">
        <w:t xml:space="preserve"> over 40 cases of the safety events of interest and real world outcomes </w:t>
      </w:r>
      <w:r w:rsidR="00DE2E5B" w:rsidRPr="0059786E">
        <w:t>from the IRIS database in non-responsive wet AMD patients who switched from existing anti</w:t>
      </w:r>
      <w:r w:rsidR="009D4093" w:rsidRPr="0059786E">
        <w:t>-</w:t>
      </w:r>
      <w:r w:rsidR="00DE2E5B" w:rsidRPr="0059786E">
        <w:t>VEGF</w:t>
      </w:r>
      <w:r w:rsidR="009D4093" w:rsidRPr="0059786E">
        <w:t xml:space="preserve"> treatment</w:t>
      </w:r>
      <w:r w:rsidR="00DE2E5B" w:rsidRPr="0059786E">
        <w:t xml:space="preserve"> to brolucizumab</w:t>
      </w:r>
      <w:r>
        <w:t>. The Sponsor</w:t>
      </w:r>
      <w:r w:rsidR="00DE2E5B">
        <w:t xml:space="preserve"> reported</w:t>
      </w:r>
      <w:r>
        <w:t xml:space="preserve"> that</w:t>
      </w:r>
      <w:r w:rsidR="00DE2E5B">
        <w:t>:</w:t>
      </w:r>
    </w:p>
    <w:p w:rsidR="003136EE" w:rsidRDefault="003136EE" w:rsidP="00BD7A90">
      <w:pPr>
        <w:pStyle w:val="ListParagraph"/>
        <w:widowControl/>
        <w:numPr>
          <w:ilvl w:val="2"/>
          <w:numId w:val="1"/>
        </w:numPr>
        <w:ind w:left="993" w:hanging="284"/>
      </w:pPr>
      <w:r>
        <w:t>Brolucizumab is associated with a new event, RV/RVO,</w:t>
      </w:r>
      <w:r w:rsidRPr="005458FE">
        <w:t xml:space="preserve"> </w:t>
      </w:r>
      <w:r w:rsidR="00705BBA">
        <w:t xml:space="preserve">which </w:t>
      </w:r>
      <w:r>
        <w:t>typically presents within two months of starting intravitreal brolucizumab.</w:t>
      </w:r>
    </w:p>
    <w:p w:rsidR="003136EE" w:rsidRDefault="003136EE" w:rsidP="00BD7A90">
      <w:pPr>
        <w:pStyle w:val="ListParagraph"/>
        <w:widowControl/>
        <w:numPr>
          <w:ilvl w:val="2"/>
          <w:numId w:val="1"/>
        </w:numPr>
        <w:ind w:left="993" w:hanging="284"/>
      </w:pPr>
      <w:r>
        <w:t xml:space="preserve">A post hoc unmasked review of the intraocular events in HAWK and HARRIER showed the rate of RV was 3.3% and the rate of RV with RVO was 2.1% (which aligns with the increased risk of ocular serious adverse events (SAEs) reported to the PBAC previously). </w:t>
      </w:r>
    </w:p>
    <w:p w:rsidR="003136EE" w:rsidRDefault="003136EE" w:rsidP="00BD7A90">
      <w:pPr>
        <w:pStyle w:val="ListParagraph"/>
        <w:widowControl/>
        <w:numPr>
          <w:ilvl w:val="2"/>
          <w:numId w:val="1"/>
        </w:numPr>
        <w:ind w:left="993" w:hanging="284"/>
      </w:pPr>
      <w:r>
        <w:t xml:space="preserve">The treatment and management proposed by the independent expert panel was clinical examination and imaging to confirm RV/RVO followed by treatment, which was predominantly steroid treatment. </w:t>
      </w:r>
    </w:p>
    <w:p w:rsidR="003136EE" w:rsidRDefault="003136EE" w:rsidP="00BD7A90">
      <w:pPr>
        <w:pStyle w:val="ListParagraph"/>
        <w:widowControl/>
        <w:numPr>
          <w:ilvl w:val="2"/>
          <w:numId w:val="1"/>
        </w:numPr>
        <w:ind w:left="993" w:hanging="284"/>
      </w:pPr>
      <w:r>
        <w:t>Most patients that experienced RV/RVO switched to an alternative anti-VEGF agent after resolution of the event without further sequelae.</w:t>
      </w:r>
    </w:p>
    <w:p w:rsidR="003136EE" w:rsidRDefault="003136EE" w:rsidP="00BD7A90">
      <w:pPr>
        <w:pStyle w:val="ListParagraph"/>
        <w:widowControl/>
        <w:numPr>
          <w:ilvl w:val="2"/>
          <w:numId w:val="1"/>
        </w:numPr>
        <w:ind w:left="993" w:hanging="284"/>
      </w:pPr>
      <w:r>
        <w:t>The clinical experts found no association between the occurrence of RV/RVO and the previous anti-VEGF or combination of anti-VEGF treatments used (i.e. the events that occurred in patients who switched from either ranibizumab, aflibercept or bevacizumab to brolucizumab).</w:t>
      </w:r>
    </w:p>
    <w:p w:rsidR="004A5F3D" w:rsidRDefault="003136EE" w:rsidP="00BD7A90">
      <w:pPr>
        <w:pStyle w:val="ListParagraph"/>
        <w:widowControl/>
        <w:numPr>
          <w:ilvl w:val="1"/>
          <w:numId w:val="1"/>
        </w:numPr>
      </w:pPr>
      <w:r w:rsidRPr="008871A8">
        <w:t xml:space="preserve">The TGA have reviewed the safety assessment report </w:t>
      </w:r>
      <w:r>
        <w:t xml:space="preserve">regarding the emergence of cases of RV/RVO following treatment with brolucizumab </w:t>
      </w:r>
      <w:r w:rsidRPr="008871A8">
        <w:t>and approved the related changes to the brolucizumab P</w:t>
      </w:r>
      <w:r>
        <w:t xml:space="preserve">roduct </w:t>
      </w:r>
      <w:r w:rsidRPr="008871A8">
        <w:t>I</w:t>
      </w:r>
      <w:r>
        <w:t>nformation</w:t>
      </w:r>
      <w:r w:rsidRPr="008871A8">
        <w:t>, as well as the risk management activities proposed by the Sponsor. An ophthalmologist targeted educational campaign began early July 2020 with the supply of brolucizumab through a product familiarisation program in Australia on the 6th July 2020.</w:t>
      </w:r>
    </w:p>
    <w:p w:rsidR="00DE2E5B" w:rsidRDefault="00DE2E5B" w:rsidP="00BC6D61">
      <w:pPr>
        <w:pStyle w:val="Heading2"/>
        <w:keepNext/>
        <w:keepLines/>
        <w:spacing w:after="120"/>
      </w:pPr>
      <w:bookmarkStart w:id="23" w:name="_Toc61002911"/>
      <w:bookmarkStart w:id="24" w:name="_Toc62041389"/>
      <w:r w:rsidRPr="00C9624D">
        <w:t>Benefits/harms</w:t>
      </w:r>
      <w:bookmarkEnd w:id="23"/>
      <w:bookmarkEnd w:id="24"/>
    </w:p>
    <w:p w:rsidR="00DE2E5B" w:rsidRDefault="00DE2E5B" w:rsidP="00BD7A90">
      <w:pPr>
        <w:pStyle w:val="ListParagraph"/>
        <w:widowControl/>
        <w:numPr>
          <w:ilvl w:val="1"/>
          <w:numId w:val="1"/>
        </w:numPr>
      </w:pPr>
      <w:r w:rsidRPr="00B50DB8">
        <w:t>A summary of the comparative benefits and harms for</w:t>
      </w:r>
      <w:r>
        <w:t xml:space="preserve"> brolucizumab</w:t>
      </w:r>
      <w:r w:rsidRPr="00B50DB8">
        <w:t xml:space="preserve"> versus</w:t>
      </w:r>
      <w:r>
        <w:t xml:space="preserve"> aflibercept</w:t>
      </w:r>
      <w:r w:rsidRPr="00B50DB8">
        <w:t xml:space="preserve"> is presented in </w:t>
      </w:r>
      <w:r w:rsidR="00CD7BF3" w:rsidRPr="00CD7BF3">
        <w:t>Table 6</w:t>
      </w:r>
      <w:r w:rsidRPr="00B50DB8">
        <w:t xml:space="preserve">. </w:t>
      </w:r>
      <w:r>
        <w:t>These results are from the HAWK and HARRIER trials</w:t>
      </w:r>
      <w:r w:rsidR="00571AA0">
        <w:t>,</w:t>
      </w:r>
      <w:r>
        <w:t xml:space="preserve"> which were conducted in treatment naïve patients with wet AMD.</w:t>
      </w:r>
    </w:p>
    <w:p w:rsidR="00DE2E5B" w:rsidRPr="00A578DC" w:rsidRDefault="0050247D" w:rsidP="0050247D">
      <w:pPr>
        <w:keepNext/>
        <w:rPr>
          <w:rStyle w:val="CommentReference"/>
        </w:rPr>
      </w:pPr>
      <w:bookmarkStart w:id="25" w:name="_Ref61310945"/>
      <w:r w:rsidRPr="0050247D">
        <w:rPr>
          <w:rStyle w:val="CommentReference"/>
        </w:rPr>
        <w:t xml:space="preserve">Table </w:t>
      </w:r>
      <w:r w:rsidR="00CD7BF3">
        <w:rPr>
          <w:rStyle w:val="CommentReference"/>
          <w:noProof/>
        </w:rPr>
        <w:t>6</w:t>
      </w:r>
      <w:bookmarkEnd w:id="25"/>
      <w:r w:rsidR="00DE2E5B" w:rsidRPr="00A578DC">
        <w:rPr>
          <w:rStyle w:val="CommentReference"/>
        </w:rPr>
        <w:t xml:space="preserve">: Summary of comparative benefits and harms for </w:t>
      </w:r>
      <w:r w:rsidR="00DE2E5B">
        <w:rPr>
          <w:rStyle w:val="CommentReference"/>
        </w:rPr>
        <w:t>brolucizumab</w:t>
      </w:r>
      <w:r w:rsidR="00DE2E5B" w:rsidRPr="00A578DC">
        <w:rPr>
          <w:rStyle w:val="CommentReference"/>
        </w:rPr>
        <w:t xml:space="preserve"> and </w:t>
      </w:r>
      <w:r w:rsidR="00DE2E5B">
        <w:rPr>
          <w:rStyle w:val="CommentReference"/>
        </w:rPr>
        <w:t>aflibercept</w:t>
      </w:r>
    </w:p>
    <w:tbl>
      <w:tblPr>
        <w:tblW w:w="5017" w:type="pct"/>
        <w:tblLayout w:type="fixed"/>
        <w:tblCellMar>
          <w:left w:w="28" w:type="dxa"/>
          <w:right w:w="28" w:type="dxa"/>
        </w:tblCellMar>
        <w:tblLook w:val="04A0" w:firstRow="1" w:lastRow="0" w:firstColumn="1" w:lastColumn="0" w:noHBand="0" w:noVBand="1"/>
      </w:tblPr>
      <w:tblGrid>
        <w:gridCol w:w="1060"/>
        <w:gridCol w:w="767"/>
        <w:gridCol w:w="436"/>
        <w:gridCol w:w="13"/>
        <w:gridCol w:w="389"/>
        <w:gridCol w:w="138"/>
        <w:gridCol w:w="760"/>
        <w:gridCol w:w="290"/>
        <w:gridCol w:w="279"/>
        <w:gridCol w:w="532"/>
        <w:gridCol w:w="449"/>
        <w:gridCol w:w="548"/>
        <w:gridCol w:w="63"/>
        <w:gridCol w:w="521"/>
        <w:gridCol w:w="398"/>
        <w:gridCol w:w="680"/>
        <w:gridCol w:w="290"/>
        <w:gridCol w:w="1435"/>
      </w:tblGrid>
      <w:tr w:rsidR="00DE2E5B" w:rsidRPr="00E2771E" w:rsidTr="00DE2E5B">
        <w:tc>
          <w:tcPr>
            <w:tcW w:w="5000" w:type="pct"/>
            <w:gridSpan w:val="18"/>
            <w:tcBorders>
              <w:top w:val="single" w:sz="4" w:space="0" w:color="auto"/>
              <w:left w:val="single" w:sz="4" w:space="0" w:color="auto"/>
              <w:bottom w:val="doub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Benefits</w:t>
            </w:r>
          </w:p>
        </w:tc>
      </w:tr>
      <w:tr w:rsidR="00DE2E5B" w:rsidRPr="00E2771E" w:rsidTr="00DE2E5B">
        <w:tc>
          <w:tcPr>
            <w:tcW w:w="5000" w:type="pct"/>
            <w:gridSpan w:val="18"/>
            <w:tcBorders>
              <w:top w:val="doub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 xml:space="preserve">Continuous </w:t>
            </w:r>
            <w:r>
              <w:rPr>
                <w:rFonts w:ascii="Arial Narrow" w:hAnsi="Arial Narrow"/>
                <w:b/>
                <w:color w:val="000000"/>
                <w:sz w:val="20"/>
                <w:szCs w:val="18"/>
              </w:rPr>
              <w:t>o</w:t>
            </w:r>
            <w:r w:rsidRPr="00E2771E">
              <w:rPr>
                <w:rFonts w:ascii="Arial Narrow" w:hAnsi="Arial Narrow"/>
                <w:b/>
                <w:color w:val="000000"/>
                <w:sz w:val="20"/>
                <w:szCs w:val="18"/>
              </w:rPr>
              <w:t xml:space="preserve">utcome: </w:t>
            </w:r>
            <w:r w:rsidRPr="009637AA">
              <w:rPr>
                <w:rFonts w:ascii="Arial Narrow" w:hAnsi="Arial Narrow"/>
                <w:b/>
                <w:color w:val="000000"/>
                <w:sz w:val="20"/>
                <w:szCs w:val="18"/>
              </w:rPr>
              <w:t xml:space="preserve">LS mean change in </w:t>
            </w:r>
            <w:r>
              <w:rPr>
                <w:rFonts w:ascii="Arial Narrow" w:hAnsi="Arial Narrow"/>
                <w:b/>
                <w:color w:val="000000"/>
                <w:sz w:val="20"/>
                <w:szCs w:val="18"/>
              </w:rPr>
              <w:t>BCVA (letter read) from baseline, week 48 (primary endpoint)</w:t>
            </w:r>
          </w:p>
        </w:tc>
      </w:tr>
      <w:tr w:rsidR="00DE2E5B" w:rsidRPr="00E2771E" w:rsidTr="00DE2E5B">
        <w:trPr>
          <w:trHeight w:val="225"/>
        </w:trPr>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2E5B" w:rsidRPr="003A7400" w:rsidRDefault="00DE2E5B" w:rsidP="0050247D">
            <w:pPr>
              <w:keepNext/>
              <w:rPr>
                <w:rFonts w:ascii="Arial Narrow" w:hAnsi="Arial Narrow"/>
                <w:b/>
                <w:bCs/>
                <w:color w:val="000000"/>
                <w:sz w:val="20"/>
                <w:szCs w:val="18"/>
              </w:rPr>
            </w:pPr>
            <w:r w:rsidRPr="003A7400">
              <w:rPr>
                <w:rFonts w:ascii="Arial Narrow" w:hAnsi="Arial Narrow"/>
                <w:b/>
                <w:bCs/>
                <w:color w:val="000000"/>
                <w:sz w:val="20"/>
                <w:szCs w:val="18"/>
              </w:rPr>
              <w:t>Trial</w:t>
            </w:r>
          </w:p>
        </w:tc>
        <w:tc>
          <w:tcPr>
            <w:tcW w:w="1543" w:type="pct"/>
            <w:gridSpan w:val="7"/>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910BF">
              <w:rPr>
                <w:rStyle w:val="CommentReference"/>
                <w:bCs/>
              </w:rPr>
              <w:t>brolucizumab</w:t>
            </w:r>
          </w:p>
        </w:tc>
        <w:tc>
          <w:tcPr>
            <w:tcW w:w="1541" w:type="pct"/>
            <w:gridSpan w:val="7"/>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910BF">
              <w:rPr>
                <w:rStyle w:val="CommentReference"/>
                <w:bCs/>
              </w:rPr>
              <w:t>aflibercept</w:t>
            </w:r>
          </w:p>
        </w:tc>
        <w:tc>
          <w:tcPr>
            <w:tcW w:w="1329" w:type="pct"/>
            <w:gridSpan w:val="3"/>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w:t>
            </w:r>
            <w:r w:rsidRPr="00E2771E">
              <w:rPr>
                <w:rFonts w:ascii="Arial Narrow" w:hAnsi="Arial Narrow"/>
                <w:b/>
                <w:sz w:val="20"/>
                <w:szCs w:val="18"/>
              </w:rPr>
              <w:t xml:space="preserve">ean difference: </w:t>
            </w:r>
          </w:p>
          <w:p w:rsidR="00DE2E5B" w:rsidRPr="00E2771E" w:rsidRDefault="00DE2E5B" w:rsidP="0050247D">
            <w:pPr>
              <w:keepNext/>
              <w:jc w:val="center"/>
              <w:rPr>
                <w:rFonts w:ascii="Arial Narrow" w:hAnsi="Arial Narrow"/>
                <w:b/>
                <w:sz w:val="20"/>
                <w:szCs w:val="18"/>
              </w:rPr>
            </w:pPr>
            <w:r>
              <w:rPr>
                <w:rFonts w:ascii="Arial Narrow" w:hAnsi="Arial Narrow"/>
                <w:b/>
                <w:sz w:val="20"/>
                <w:szCs w:val="18"/>
              </w:rPr>
              <w:t>brolucizumab</w:t>
            </w:r>
            <w:r w:rsidRPr="00E2771E">
              <w:rPr>
                <w:rFonts w:ascii="Arial Narrow" w:hAnsi="Arial Narrow"/>
                <w:b/>
                <w:sz w:val="20"/>
                <w:szCs w:val="18"/>
              </w:rPr>
              <w:t xml:space="preserve"> vs </w:t>
            </w:r>
            <w:r>
              <w:rPr>
                <w:rFonts w:ascii="Arial Narrow" w:hAnsi="Arial Narrow"/>
                <w:b/>
                <w:sz w:val="20"/>
                <w:szCs w:val="18"/>
              </w:rPr>
              <w:t>aflibercept</w:t>
            </w:r>
          </w:p>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(95% CI)</w:t>
            </w:r>
          </w:p>
        </w:tc>
      </w:tr>
      <w:tr w:rsidR="00DE2E5B" w:rsidRPr="00E2771E" w:rsidTr="00DE2E5B">
        <w:trPr>
          <w:trHeight w:val="225"/>
        </w:trPr>
        <w:tc>
          <w:tcPr>
            <w:tcW w:w="5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color w:val="000000"/>
                <w:sz w:val="20"/>
                <w:szCs w:val="18"/>
              </w:rPr>
            </w:pPr>
          </w:p>
        </w:tc>
        <w:tc>
          <w:tcPr>
            <w:tcW w:w="424" w:type="pc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Pr>
                <w:rFonts w:ascii="Arial Narrow" w:hAnsi="Arial Narrow"/>
                <w:b/>
                <w:color w:val="000000"/>
                <w:sz w:val="20"/>
                <w:szCs w:val="18"/>
              </w:rPr>
              <w:t>N</w:t>
            </w:r>
          </w:p>
        </w:tc>
        <w:tc>
          <w:tcPr>
            <w:tcW w:w="539" w:type="pct"/>
            <w:gridSpan w:val="4"/>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mean change</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S</w:t>
            </w:r>
            <w:r>
              <w:rPr>
                <w:rFonts w:ascii="Arial Narrow" w:hAnsi="Arial Narrow"/>
                <w:b/>
                <w:sz w:val="20"/>
                <w:szCs w:val="18"/>
              </w:rPr>
              <w:t>E</w:t>
            </w:r>
          </w:p>
        </w:tc>
        <w:tc>
          <w:tcPr>
            <w:tcW w:w="448"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Pr>
                <w:rFonts w:ascii="Arial Narrow" w:hAnsi="Arial Narrow"/>
                <w:b/>
                <w:color w:val="000000"/>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mean change</w:t>
            </w:r>
          </w:p>
        </w:tc>
        <w:tc>
          <w:tcPr>
            <w:tcW w:w="543"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S</w:t>
            </w:r>
            <w:r>
              <w:rPr>
                <w:rFonts w:ascii="Arial Narrow" w:hAnsi="Arial Narrow"/>
                <w:b/>
                <w:sz w:val="20"/>
                <w:szCs w:val="18"/>
              </w:rPr>
              <w:t>E</w:t>
            </w:r>
          </w:p>
        </w:tc>
        <w:tc>
          <w:tcPr>
            <w:tcW w:w="1329" w:type="pct"/>
            <w:gridSpan w:val="3"/>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pStyle w:val="TableText0"/>
              <w:rPr>
                <w:color w:val="000000"/>
                <w:szCs w:val="18"/>
              </w:rPr>
            </w:pPr>
            <w:r>
              <w:t>HAWK</w:t>
            </w:r>
          </w:p>
        </w:tc>
        <w:tc>
          <w:tcPr>
            <w:tcW w:w="424" w:type="pc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360</w:t>
            </w:r>
          </w:p>
        </w:tc>
        <w:tc>
          <w:tcPr>
            <w:tcW w:w="539" w:type="pct"/>
            <w:gridSpan w:val="4"/>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6.6</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0.71</w:t>
            </w:r>
          </w:p>
        </w:tc>
        <w:tc>
          <w:tcPr>
            <w:tcW w:w="448"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360</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6.8</w:t>
            </w:r>
            <w:r w:rsidRPr="009637AA">
              <w:rPr>
                <w:rFonts w:ascii="Arial Narrow" w:hAnsi="Arial Narrow"/>
                <w:color w:val="000000"/>
                <w:sz w:val="20"/>
                <w:szCs w:val="18"/>
              </w:rPr>
              <w:t xml:space="preserve"> </w:t>
            </w:r>
          </w:p>
        </w:tc>
        <w:tc>
          <w:tcPr>
            <w:tcW w:w="543"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0.71</w:t>
            </w:r>
          </w:p>
        </w:tc>
        <w:tc>
          <w:tcPr>
            <w:tcW w:w="1329"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sz w:val="20"/>
                <w:szCs w:val="18"/>
              </w:rPr>
            </w:pPr>
            <w:r w:rsidRPr="00E2771E">
              <w:rPr>
                <w:rFonts w:ascii="Arial Narrow" w:hAnsi="Arial Narrow"/>
                <w:sz w:val="20"/>
                <w:szCs w:val="18"/>
              </w:rPr>
              <w:t>-</w:t>
            </w:r>
            <w:r>
              <w:rPr>
                <w:rFonts w:ascii="Arial Narrow" w:hAnsi="Arial Narrow"/>
                <w:sz w:val="20"/>
                <w:szCs w:val="18"/>
              </w:rPr>
              <w:t>0.2 (-2.1, 1.8)</w:t>
            </w: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pStyle w:val="TableText0"/>
              <w:rPr>
                <w:color w:val="000000"/>
                <w:szCs w:val="18"/>
              </w:rPr>
            </w:pPr>
            <w:r>
              <w:t>HARRIER</w:t>
            </w:r>
          </w:p>
        </w:tc>
        <w:tc>
          <w:tcPr>
            <w:tcW w:w="424" w:type="pc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370</w:t>
            </w:r>
          </w:p>
        </w:tc>
        <w:tc>
          <w:tcPr>
            <w:tcW w:w="539" w:type="pct"/>
            <w:gridSpan w:val="4"/>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6.9</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0.61</w:t>
            </w:r>
          </w:p>
        </w:tc>
        <w:tc>
          <w:tcPr>
            <w:tcW w:w="448"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369</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7.6</w:t>
            </w:r>
          </w:p>
        </w:tc>
        <w:tc>
          <w:tcPr>
            <w:tcW w:w="543"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0.61</w:t>
            </w:r>
          </w:p>
        </w:tc>
        <w:tc>
          <w:tcPr>
            <w:tcW w:w="1329"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sz w:val="20"/>
                <w:szCs w:val="18"/>
              </w:rPr>
            </w:pPr>
            <w:r>
              <w:rPr>
                <w:rFonts w:ascii="Arial Narrow" w:hAnsi="Arial Narrow"/>
                <w:sz w:val="20"/>
                <w:szCs w:val="18"/>
              </w:rPr>
              <w:t>-0.7 (-2.4, 1.0)</w:t>
            </w:r>
          </w:p>
        </w:tc>
      </w:tr>
      <w:tr w:rsidR="00DE2E5B" w:rsidRPr="00E2771E" w:rsidTr="00DE2E5B">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 xml:space="preserve">Continuous </w:t>
            </w:r>
            <w:r>
              <w:rPr>
                <w:rFonts w:ascii="Arial Narrow" w:hAnsi="Arial Narrow"/>
                <w:b/>
                <w:color w:val="000000"/>
                <w:sz w:val="20"/>
                <w:szCs w:val="18"/>
              </w:rPr>
              <w:t>o</w:t>
            </w:r>
            <w:r w:rsidRPr="00E2771E">
              <w:rPr>
                <w:rFonts w:ascii="Arial Narrow" w:hAnsi="Arial Narrow"/>
                <w:b/>
                <w:color w:val="000000"/>
                <w:sz w:val="20"/>
                <w:szCs w:val="18"/>
              </w:rPr>
              <w:t xml:space="preserve">utcome: </w:t>
            </w:r>
            <w:r w:rsidRPr="009637AA">
              <w:rPr>
                <w:rFonts w:ascii="Arial Narrow" w:hAnsi="Arial Narrow"/>
                <w:b/>
                <w:color w:val="000000"/>
                <w:sz w:val="20"/>
                <w:szCs w:val="18"/>
              </w:rPr>
              <w:t>LS mean change in CSFT (micrometre) from baseline (FAS-LOCF)</w:t>
            </w:r>
            <w:r>
              <w:rPr>
                <w:rFonts w:ascii="Arial Narrow" w:hAnsi="Arial Narrow"/>
                <w:b/>
                <w:color w:val="000000"/>
                <w:sz w:val="20"/>
                <w:szCs w:val="18"/>
              </w:rPr>
              <w:t>, week 48 (secondary outcome)</w:t>
            </w:r>
          </w:p>
        </w:tc>
      </w:tr>
      <w:tr w:rsidR="00DE2E5B" w:rsidRPr="00E2771E" w:rsidTr="00DE2E5B">
        <w:trPr>
          <w:trHeight w:val="225"/>
        </w:trPr>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color w:val="000000"/>
                <w:sz w:val="20"/>
                <w:szCs w:val="18"/>
              </w:rPr>
            </w:pPr>
            <w:r w:rsidRPr="003A7400">
              <w:rPr>
                <w:rFonts w:ascii="Arial Narrow" w:hAnsi="Arial Narrow"/>
                <w:b/>
                <w:bCs/>
                <w:color w:val="000000"/>
                <w:sz w:val="20"/>
                <w:szCs w:val="18"/>
              </w:rPr>
              <w:t>Trial</w:t>
            </w:r>
          </w:p>
        </w:tc>
        <w:tc>
          <w:tcPr>
            <w:tcW w:w="1543" w:type="pct"/>
            <w:gridSpan w:val="7"/>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910BF">
              <w:rPr>
                <w:rStyle w:val="CommentReference"/>
                <w:bCs/>
              </w:rPr>
              <w:t>brolucizumab</w:t>
            </w:r>
          </w:p>
        </w:tc>
        <w:tc>
          <w:tcPr>
            <w:tcW w:w="1541" w:type="pct"/>
            <w:gridSpan w:val="7"/>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910BF">
              <w:rPr>
                <w:rStyle w:val="CommentReference"/>
                <w:bCs/>
              </w:rPr>
              <w:t>aflibercept</w:t>
            </w:r>
          </w:p>
        </w:tc>
        <w:tc>
          <w:tcPr>
            <w:tcW w:w="1329" w:type="pct"/>
            <w:gridSpan w:val="3"/>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w:t>
            </w:r>
            <w:r w:rsidRPr="00E2771E">
              <w:rPr>
                <w:rFonts w:ascii="Arial Narrow" w:hAnsi="Arial Narrow"/>
                <w:b/>
                <w:sz w:val="20"/>
                <w:szCs w:val="18"/>
              </w:rPr>
              <w:t>ean difference:</w:t>
            </w:r>
          </w:p>
          <w:p w:rsidR="00DE2E5B" w:rsidRPr="00E2771E" w:rsidRDefault="00DE2E5B" w:rsidP="0050247D">
            <w:pPr>
              <w:keepNext/>
              <w:jc w:val="center"/>
              <w:rPr>
                <w:rFonts w:ascii="Arial Narrow" w:hAnsi="Arial Narrow"/>
                <w:b/>
                <w:sz w:val="20"/>
                <w:szCs w:val="18"/>
              </w:rPr>
            </w:pPr>
            <w:r>
              <w:rPr>
                <w:rFonts w:ascii="Arial Narrow" w:hAnsi="Arial Narrow"/>
                <w:b/>
                <w:sz w:val="20"/>
                <w:szCs w:val="18"/>
              </w:rPr>
              <w:t>brolucizumab</w:t>
            </w:r>
            <w:r w:rsidRPr="00E2771E">
              <w:rPr>
                <w:rFonts w:ascii="Arial Narrow" w:hAnsi="Arial Narrow"/>
                <w:b/>
                <w:sz w:val="20"/>
                <w:szCs w:val="18"/>
              </w:rPr>
              <w:t xml:space="preserve"> vs </w:t>
            </w:r>
            <w:r>
              <w:rPr>
                <w:rFonts w:ascii="Arial Narrow" w:hAnsi="Arial Narrow"/>
                <w:b/>
                <w:sz w:val="20"/>
                <w:szCs w:val="18"/>
              </w:rPr>
              <w:t>aflibercept</w:t>
            </w:r>
          </w:p>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(95% CI)</w:t>
            </w:r>
          </w:p>
        </w:tc>
      </w:tr>
      <w:tr w:rsidR="00DE2E5B" w:rsidRPr="00E2771E" w:rsidTr="00DE2E5B">
        <w:trPr>
          <w:trHeight w:val="225"/>
        </w:trPr>
        <w:tc>
          <w:tcPr>
            <w:tcW w:w="5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color w:val="000000"/>
                <w:sz w:val="20"/>
                <w:szCs w:val="18"/>
              </w:rPr>
            </w:pPr>
          </w:p>
        </w:tc>
        <w:tc>
          <w:tcPr>
            <w:tcW w:w="424" w:type="pc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Pr>
                <w:rFonts w:ascii="Arial Narrow" w:hAnsi="Arial Narrow"/>
                <w:b/>
                <w:color w:val="000000"/>
                <w:sz w:val="20"/>
                <w:szCs w:val="18"/>
              </w:rPr>
              <w:t>N</w:t>
            </w:r>
          </w:p>
        </w:tc>
        <w:tc>
          <w:tcPr>
            <w:tcW w:w="539" w:type="pct"/>
            <w:gridSpan w:val="4"/>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mean change</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S</w:t>
            </w:r>
            <w:r>
              <w:rPr>
                <w:rFonts w:ascii="Arial Narrow" w:hAnsi="Arial Narrow"/>
                <w:b/>
                <w:sz w:val="20"/>
                <w:szCs w:val="18"/>
              </w:rPr>
              <w:t>E</w:t>
            </w:r>
          </w:p>
        </w:tc>
        <w:tc>
          <w:tcPr>
            <w:tcW w:w="448"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Pr>
                <w:rFonts w:ascii="Arial Narrow" w:hAnsi="Arial Narrow"/>
                <w:b/>
                <w:color w:val="000000"/>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Pr>
                <w:rFonts w:ascii="Arial Narrow" w:hAnsi="Arial Narrow"/>
                <w:b/>
                <w:sz w:val="20"/>
                <w:szCs w:val="18"/>
              </w:rPr>
              <w:t>LS mean change</w:t>
            </w:r>
          </w:p>
        </w:tc>
        <w:tc>
          <w:tcPr>
            <w:tcW w:w="543"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r w:rsidRPr="00E2771E">
              <w:rPr>
                <w:rFonts w:ascii="Arial Narrow" w:hAnsi="Arial Narrow"/>
                <w:b/>
                <w:sz w:val="20"/>
                <w:szCs w:val="18"/>
              </w:rPr>
              <w:t>S</w:t>
            </w:r>
            <w:r>
              <w:rPr>
                <w:rFonts w:ascii="Arial Narrow" w:hAnsi="Arial Narrow"/>
                <w:b/>
                <w:sz w:val="20"/>
                <w:szCs w:val="18"/>
              </w:rPr>
              <w:t>E</w:t>
            </w:r>
          </w:p>
        </w:tc>
        <w:tc>
          <w:tcPr>
            <w:tcW w:w="1329" w:type="pct"/>
            <w:gridSpan w:val="3"/>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sz w:val="20"/>
                <w:szCs w:val="18"/>
              </w:rPr>
            </w:pP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pStyle w:val="TableText0"/>
              <w:rPr>
                <w:color w:val="000000"/>
                <w:szCs w:val="18"/>
              </w:rPr>
            </w:pPr>
            <w:r>
              <w:t>HAWK</w:t>
            </w:r>
          </w:p>
        </w:tc>
        <w:tc>
          <w:tcPr>
            <w:tcW w:w="424" w:type="pc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360</w:t>
            </w:r>
          </w:p>
        </w:tc>
        <w:tc>
          <w:tcPr>
            <w:tcW w:w="539" w:type="pct"/>
            <w:gridSpan w:val="4"/>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172.8</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6.70</w:t>
            </w:r>
          </w:p>
        </w:tc>
        <w:tc>
          <w:tcPr>
            <w:tcW w:w="448"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360</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9637AA">
              <w:rPr>
                <w:rFonts w:ascii="Arial Narrow" w:hAnsi="Arial Narrow"/>
                <w:color w:val="000000"/>
                <w:sz w:val="20"/>
                <w:szCs w:val="18"/>
              </w:rPr>
              <w:t xml:space="preserve">-143.7 </w:t>
            </w:r>
          </w:p>
        </w:tc>
        <w:tc>
          <w:tcPr>
            <w:tcW w:w="543"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9637AA">
              <w:rPr>
                <w:rFonts w:ascii="Arial Narrow" w:hAnsi="Arial Narrow"/>
                <w:color w:val="000000"/>
                <w:sz w:val="20"/>
                <w:szCs w:val="18"/>
              </w:rPr>
              <w:t>6.70</w:t>
            </w:r>
          </w:p>
        </w:tc>
        <w:tc>
          <w:tcPr>
            <w:tcW w:w="1329"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sz w:val="20"/>
                <w:szCs w:val="18"/>
              </w:rPr>
            </w:pPr>
            <w:r w:rsidRPr="00E2771E">
              <w:rPr>
                <w:rFonts w:ascii="Arial Narrow" w:hAnsi="Arial Narrow"/>
                <w:sz w:val="20"/>
                <w:szCs w:val="18"/>
              </w:rPr>
              <w:t>-</w:t>
            </w:r>
            <w:r>
              <w:rPr>
                <w:rFonts w:ascii="Arial Narrow" w:hAnsi="Arial Narrow"/>
                <w:sz w:val="20"/>
                <w:szCs w:val="18"/>
              </w:rPr>
              <w:t>29.0</w:t>
            </w:r>
            <w:r w:rsidRPr="00E2771E">
              <w:rPr>
                <w:rFonts w:ascii="Arial Narrow" w:hAnsi="Arial Narrow"/>
                <w:sz w:val="20"/>
                <w:szCs w:val="18"/>
              </w:rPr>
              <w:t xml:space="preserve"> (-</w:t>
            </w:r>
            <w:r>
              <w:rPr>
                <w:rFonts w:ascii="Arial Narrow" w:hAnsi="Arial Narrow"/>
                <w:sz w:val="20"/>
                <w:szCs w:val="18"/>
              </w:rPr>
              <w:t>47.6, -10.4</w:t>
            </w:r>
            <w:r w:rsidRPr="00E2771E">
              <w:rPr>
                <w:rFonts w:ascii="Arial Narrow" w:hAnsi="Arial Narrow"/>
                <w:sz w:val="20"/>
                <w:szCs w:val="18"/>
              </w:rPr>
              <w:t>)</w:t>
            </w:r>
          </w:p>
        </w:tc>
      </w:tr>
      <w:tr w:rsidR="00DE2E5B" w:rsidRPr="00E2771E" w:rsidTr="00DE2E5B">
        <w:tc>
          <w:tcPr>
            <w:tcW w:w="586" w:type="pct"/>
            <w:tcBorders>
              <w:top w:val="single" w:sz="4" w:space="0" w:color="auto"/>
              <w:left w:val="single" w:sz="4" w:space="0" w:color="auto"/>
              <w:bottom w:val="double" w:sz="4" w:space="0" w:color="auto"/>
              <w:right w:val="single" w:sz="4" w:space="0" w:color="auto"/>
            </w:tcBorders>
            <w:shd w:val="clear" w:color="auto" w:fill="auto"/>
            <w:vAlign w:val="center"/>
          </w:tcPr>
          <w:p w:rsidR="00DE2E5B" w:rsidRPr="00E2771E" w:rsidRDefault="00DE2E5B" w:rsidP="0050247D">
            <w:pPr>
              <w:pStyle w:val="TableText0"/>
              <w:rPr>
                <w:color w:val="000000"/>
                <w:szCs w:val="18"/>
              </w:rPr>
            </w:pPr>
            <w:r>
              <w:t>HARRIER</w:t>
            </w:r>
          </w:p>
        </w:tc>
        <w:tc>
          <w:tcPr>
            <w:tcW w:w="424" w:type="pct"/>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370</w:t>
            </w:r>
          </w:p>
        </w:tc>
        <w:tc>
          <w:tcPr>
            <w:tcW w:w="539" w:type="pct"/>
            <w:gridSpan w:val="4"/>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193.8</w:t>
            </w:r>
          </w:p>
        </w:tc>
        <w:tc>
          <w:tcPr>
            <w:tcW w:w="580" w:type="pct"/>
            <w:gridSpan w:val="2"/>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6.84</w:t>
            </w:r>
          </w:p>
        </w:tc>
        <w:tc>
          <w:tcPr>
            <w:tcW w:w="448" w:type="pct"/>
            <w:gridSpan w:val="2"/>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369</w:t>
            </w:r>
          </w:p>
        </w:tc>
        <w:tc>
          <w:tcPr>
            <w:tcW w:w="551" w:type="pct"/>
            <w:gridSpan w:val="2"/>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9637AA">
              <w:rPr>
                <w:rFonts w:ascii="Arial Narrow" w:hAnsi="Arial Narrow"/>
                <w:color w:val="000000"/>
                <w:sz w:val="20"/>
                <w:szCs w:val="18"/>
              </w:rPr>
              <w:t xml:space="preserve">-143.9 </w:t>
            </w:r>
          </w:p>
        </w:tc>
        <w:tc>
          <w:tcPr>
            <w:tcW w:w="543" w:type="pct"/>
            <w:gridSpan w:val="3"/>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sidRPr="009637AA">
              <w:rPr>
                <w:rFonts w:ascii="Arial Narrow" w:hAnsi="Arial Narrow"/>
                <w:color w:val="000000"/>
                <w:sz w:val="20"/>
                <w:szCs w:val="18"/>
              </w:rPr>
              <w:t>6.84</w:t>
            </w:r>
          </w:p>
        </w:tc>
        <w:tc>
          <w:tcPr>
            <w:tcW w:w="1329" w:type="pct"/>
            <w:gridSpan w:val="3"/>
            <w:tcBorders>
              <w:top w:val="single" w:sz="4" w:space="0" w:color="auto"/>
              <w:left w:val="single" w:sz="4" w:space="0" w:color="auto"/>
              <w:bottom w:val="double" w:sz="4" w:space="0" w:color="auto"/>
              <w:right w:val="single" w:sz="4" w:space="0" w:color="auto"/>
            </w:tcBorders>
            <w:vAlign w:val="center"/>
          </w:tcPr>
          <w:p w:rsidR="00DE2E5B" w:rsidRPr="00E2771E" w:rsidRDefault="00DE2E5B" w:rsidP="0050247D">
            <w:pPr>
              <w:keepNext/>
              <w:jc w:val="center"/>
              <w:rPr>
                <w:rFonts w:ascii="Arial Narrow" w:hAnsi="Arial Narrow"/>
                <w:sz w:val="20"/>
                <w:szCs w:val="18"/>
              </w:rPr>
            </w:pPr>
            <w:r>
              <w:rPr>
                <w:rFonts w:ascii="Arial Narrow" w:hAnsi="Arial Narrow"/>
                <w:sz w:val="20"/>
                <w:szCs w:val="18"/>
              </w:rPr>
              <w:t>-49.9 (-68.9, -30.9)</w:t>
            </w:r>
          </w:p>
        </w:tc>
      </w:tr>
      <w:tr w:rsidR="00DE2E5B" w:rsidRPr="00E2771E" w:rsidTr="00DE2E5B">
        <w:tc>
          <w:tcPr>
            <w:tcW w:w="5000" w:type="pct"/>
            <w:gridSpan w:val="18"/>
            <w:tcBorders>
              <w:top w:val="doub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 xml:space="preserve">Dichotomous </w:t>
            </w:r>
            <w:r>
              <w:rPr>
                <w:rFonts w:ascii="Arial Narrow" w:hAnsi="Arial Narrow"/>
                <w:b/>
                <w:color w:val="000000"/>
                <w:sz w:val="20"/>
                <w:szCs w:val="18"/>
              </w:rPr>
              <w:t>o</w:t>
            </w:r>
            <w:r w:rsidRPr="00E2771E">
              <w:rPr>
                <w:rFonts w:ascii="Arial Narrow" w:hAnsi="Arial Narrow"/>
                <w:b/>
                <w:color w:val="000000"/>
                <w:sz w:val="20"/>
                <w:szCs w:val="18"/>
              </w:rPr>
              <w:t>utcome</w:t>
            </w:r>
            <w:r>
              <w:rPr>
                <w:rFonts w:ascii="Arial Narrow" w:hAnsi="Arial Narrow"/>
                <w:b/>
                <w:color w:val="000000"/>
                <w:sz w:val="20"/>
                <w:szCs w:val="18"/>
              </w:rPr>
              <w:t>: Disease activity, week 16 (secondary outcome)</w:t>
            </w:r>
          </w:p>
        </w:tc>
      </w:tr>
      <w:tr w:rsidR="00DE2E5B" w:rsidRPr="00E2771E" w:rsidTr="00DE2E5B">
        <w:trPr>
          <w:trHeight w:val="70"/>
        </w:trPr>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3A7400">
              <w:rPr>
                <w:rFonts w:ascii="Arial Narrow" w:hAnsi="Arial Narrow"/>
                <w:b/>
                <w:bCs/>
                <w:color w:val="000000"/>
                <w:sz w:val="20"/>
                <w:szCs w:val="18"/>
              </w:rPr>
              <w:t>Trial</w:t>
            </w:r>
          </w:p>
        </w:tc>
        <w:tc>
          <w:tcPr>
            <w:tcW w:w="887" w:type="pct"/>
            <w:gridSpan w:val="4"/>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 xml:space="preserve">brolucizumab </w:t>
            </w:r>
            <w:r>
              <w:rPr>
                <w:rFonts w:ascii="Arial Narrow" w:hAnsi="Arial Narrow"/>
                <w:b/>
                <w:color w:val="000000"/>
                <w:sz w:val="20"/>
                <w:szCs w:val="18"/>
              </w:rPr>
              <w:t>n/N</w:t>
            </w:r>
          </w:p>
        </w:tc>
        <w:tc>
          <w:tcPr>
            <w:tcW w:w="810" w:type="pct"/>
            <w:gridSpan w:val="4"/>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aflibercept</w:t>
            </w:r>
            <w:r w:rsidRPr="00E910BF">
              <w:rPr>
                <w:b/>
                <w:bCs/>
              </w:rPr>
              <w:t xml:space="preserve"> </w:t>
            </w:r>
            <w:r>
              <w:rPr>
                <w:rFonts w:ascii="Arial Narrow" w:hAnsi="Arial Narrow"/>
                <w:b/>
                <w:color w:val="000000"/>
                <w:sz w:val="20"/>
                <w:szCs w:val="18"/>
              </w:rPr>
              <w:t>n/N</w:t>
            </w:r>
          </w:p>
        </w:tc>
        <w:tc>
          <w:tcPr>
            <w:tcW w:w="880" w:type="pct"/>
            <w:gridSpan w:val="4"/>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R</w:t>
            </w:r>
            <w:r>
              <w:rPr>
                <w:rFonts w:ascii="Arial Narrow" w:hAnsi="Arial Narrow"/>
                <w:b/>
                <w:color w:val="000000"/>
                <w:sz w:val="20"/>
                <w:szCs w:val="18"/>
              </w:rPr>
              <w:t>elative risk</w:t>
            </w:r>
          </w:p>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837" w:type="pct"/>
            <w:gridSpan w:val="5"/>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r>
      <w:tr w:rsidR="00DE2E5B" w:rsidRPr="00E2771E" w:rsidTr="00DE2E5B">
        <w:trPr>
          <w:trHeight w:val="390"/>
        </w:trPr>
        <w:tc>
          <w:tcPr>
            <w:tcW w:w="5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p>
        </w:tc>
        <w:tc>
          <w:tcPr>
            <w:tcW w:w="887" w:type="pct"/>
            <w:gridSpan w:val="4"/>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810" w:type="pct"/>
            <w:gridSpan w:val="4"/>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880" w:type="pct"/>
            <w:gridSpan w:val="4"/>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884"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brolucizumab</w:t>
            </w:r>
          </w:p>
        </w:tc>
        <w:tc>
          <w:tcPr>
            <w:tcW w:w="953" w:type="pct"/>
            <w:gridSpan w:val="2"/>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aflibercept</w:t>
            </w: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BC41B7">
            <w:pPr>
              <w:pStyle w:val="Tabletext"/>
              <w:keepNext/>
            </w:pPr>
            <w:r>
              <w:t>HAWK</w:t>
            </w:r>
          </w:p>
        </w:tc>
        <w:tc>
          <w:tcPr>
            <w:tcW w:w="887" w:type="pct"/>
            <w:gridSpan w:val="4"/>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t>83 / 346 (23.99%)</w:t>
            </w:r>
          </w:p>
        </w:tc>
        <w:tc>
          <w:tcPr>
            <w:tcW w:w="810" w:type="pct"/>
            <w:gridSpan w:val="4"/>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t>119 / 344 (34.59%)</w:t>
            </w:r>
          </w:p>
        </w:tc>
        <w:tc>
          <w:tcPr>
            <w:tcW w:w="880" w:type="pct"/>
            <w:gridSpan w:val="4"/>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t>0.69 (0.55, 0.88)</w:t>
            </w:r>
          </w:p>
        </w:tc>
        <w:tc>
          <w:tcPr>
            <w:tcW w:w="884"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rPr>
                <w:color w:val="000000"/>
                <w:szCs w:val="18"/>
              </w:rPr>
              <w:t>24.0</w:t>
            </w:r>
          </w:p>
        </w:tc>
        <w:tc>
          <w:tcPr>
            <w:tcW w:w="953" w:type="pct"/>
            <w:gridSpan w:val="2"/>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rPr>
                <w:color w:val="000000"/>
                <w:szCs w:val="18"/>
              </w:rPr>
              <w:t>34.6</w:t>
            </w:r>
          </w:p>
        </w:tc>
      </w:tr>
      <w:tr w:rsidR="00DE2E5B" w:rsidRPr="00E2771E" w:rsidTr="00DE2E5B">
        <w:tc>
          <w:tcPr>
            <w:tcW w:w="586" w:type="pct"/>
            <w:tcBorders>
              <w:top w:val="single" w:sz="4" w:space="0" w:color="auto"/>
              <w:left w:val="single" w:sz="4" w:space="0" w:color="auto"/>
              <w:bottom w:val="double" w:sz="4" w:space="0" w:color="auto"/>
              <w:right w:val="single" w:sz="4" w:space="0" w:color="auto"/>
            </w:tcBorders>
            <w:shd w:val="clear" w:color="auto" w:fill="auto"/>
            <w:vAlign w:val="center"/>
          </w:tcPr>
          <w:p w:rsidR="00DE2E5B" w:rsidRPr="00E2771E" w:rsidRDefault="00DE2E5B" w:rsidP="00BC41B7">
            <w:pPr>
              <w:pStyle w:val="Tabletext"/>
              <w:keepNext/>
            </w:pPr>
            <w:r>
              <w:t>HARRIER</w:t>
            </w:r>
          </w:p>
        </w:tc>
        <w:tc>
          <w:tcPr>
            <w:tcW w:w="887" w:type="pct"/>
            <w:gridSpan w:val="4"/>
            <w:tcBorders>
              <w:top w:val="single" w:sz="4" w:space="0" w:color="auto"/>
              <w:left w:val="single" w:sz="4" w:space="0" w:color="auto"/>
              <w:bottom w:val="double" w:sz="4" w:space="0" w:color="auto"/>
              <w:right w:val="single" w:sz="4" w:space="0" w:color="auto"/>
            </w:tcBorders>
          </w:tcPr>
          <w:p w:rsidR="00DE2E5B" w:rsidRPr="00E2771E" w:rsidRDefault="00DE2E5B" w:rsidP="0050247D">
            <w:pPr>
              <w:pStyle w:val="Tabletext"/>
              <w:keepNext/>
              <w:jc w:val="center"/>
              <w:rPr>
                <w:color w:val="000000"/>
                <w:szCs w:val="18"/>
              </w:rPr>
            </w:pPr>
            <w:r>
              <w:t>83 / 364 (22.80%)</w:t>
            </w:r>
          </w:p>
        </w:tc>
        <w:tc>
          <w:tcPr>
            <w:tcW w:w="810" w:type="pct"/>
            <w:gridSpan w:val="4"/>
            <w:tcBorders>
              <w:top w:val="single" w:sz="4" w:space="0" w:color="auto"/>
              <w:left w:val="single" w:sz="4" w:space="0" w:color="auto"/>
              <w:bottom w:val="double" w:sz="4" w:space="0" w:color="auto"/>
              <w:right w:val="single" w:sz="4" w:space="0" w:color="auto"/>
            </w:tcBorders>
          </w:tcPr>
          <w:p w:rsidR="00DE2E5B" w:rsidRPr="00E2771E" w:rsidRDefault="00DE2E5B" w:rsidP="0050247D">
            <w:pPr>
              <w:pStyle w:val="Tabletext"/>
              <w:keepNext/>
              <w:jc w:val="center"/>
              <w:rPr>
                <w:color w:val="000000"/>
                <w:szCs w:val="18"/>
              </w:rPr>
            </w:pPr>
            <w:r>
              <w:t>115 / 358 (32.12%)</w:t>
            </w:r>
          </w:p>
        </w:tc>
        <w:tc>
          <w:tcPr>
            <w:tcW w:w="880" w:type="pct"/>
            <w:gridSpan w:val="4"/>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t>0.71 (0.56, 0.90)</w:t>
            </w:r>
          </w:p>
        </w:tc>
        <w:tc>
          <w:tcPr>
            <w:tcW w:w="884"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rPr>
                <w:color w:val="000000"/>
                <w:szCs w:val="18"/>
              </w:rPr>
              <w:t>22.8</w:t>
            </w:r>
          </w:p>
        </w:tc>
        <w:tc>
          <w:tcPr>
            <w:tcW w:w="953" w:type="pct"/>
            <w:gridSpan w:val="2"/>
            <w:tcBorders>
              <w:top w:val="single" w:sz="4" w:space="0" w:color="auto"/>
              <w:left w:val="single" w:sz="4" w:space="0" w:color="auto"/>
              <w:bottom w:val="single" w:sz="4" w:space="0" w:color="auto"/>
              <w:right w:val="single" w:sz="4" w:space="0" w:color="auto"/>
            </w:tcBorders>
          </w:tcPr>
          <w:p w:rsidR="00DE2E5B" w:rsidRPr="00E2771E" w:rsidRDefault="00DE2E5B" w:rsidP="0050247D">
            <w:pPr>
              <w:pStyle w:val="Tabletext"/>
              <w:keepNext/>
              <w:jc w:val="center"/>
              <w:rPr>
                <w:color w:val="000000"/>
                <w:szCs w:val="18"/>
              </w:rPr>
            </w:pPr>
            <w:r>
              <w:rPr>
                <w:color w:val="000000"/>
                <w:szCs w:val="18"/>
              </w:rPr>
              <w:t>32.1</w:t>
            </w:r>
          </w:p>
        </w:tc>
      </w:tr>
      <w:tr w:rsidR="00DE2E5B" w:rsidRPr="00E2771E" w:rsidTr="00DE2E5B">
        <w:tc>
          <w:tcPr>
            <w:tcW w:w="5000" w:type="pct"/>
            <w:gridSpan w:val="18"/>
            <w:tcBorders>
              <w:top w:val="doub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DE2E5B" w:rsidRPr="00E2771E" w:rsidTr="00DE2E5B">
        <w:trPr>
          <w:trHeight w:val="70"/>
        </w:trPr>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3A7400">
              <w:rPr>
                <w:rFonts w:ascii="Arial Narrow" w:hAnsi="Arial Narrow"/>
                <w:b/>
                <w:bCs/>
                <w:color w:val="000000"/>
                <w:sz w:val="20"/>
                <w:szCs w:val="18"/>
              </w:rPr>
              <w:t>Trial</w:t>
            </w:r>
          </w:p>
        </w:tc>
        <w:tc>
          <w:tcPr>
            <w:tcW w:w="665" w:type="pct"/>
            <w:gridSpan w:val="2"/>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 xml:space="preserve">brolucizumab </w:t>
            </w:r>
            <w:r>
              <w:rPr>
                <w:rFonts w:ascii="Arial Narrow" w:hAnsi="Arial Narrow"/>
                <w:b/>
                <w:color w:val="000000"/>
                <w:sz w:val="20"/>
                <w:szCs w:val="18"/>
              </w:rPr>
              <w:t>n/N</w:t>
            </w:r>
          </w:p>
        </w:tc>
        <w:tc>
          <w:tcPr>
            <w:tcW w:w="717" w:type="pct"/>
            <w:gridSpan w:val="4"/>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aflibercept</w:t>
            </w:r>
            <w:r w:rsidRPr="00E910BF">
              <w:rPr>
                <w:b/>
                <w:bCs/>
              </w:rPr>
              <w:t xml:space="preserve"> </w:t>
            </w:r>
            <w:r>
              <w:rPr>
                <w:rFonts w:ascii="Arial Narrow" w:hAnsi="Arial Narrow"/>
                <w:b/>
                <w:color w:val="000000"/>
                <w:sz w:val="20"/>
                <w:szCs w:val="18"/>
              </w:rPr>
              <w:t>n/N</w:t>
            </w:r>
          </w:p>
        </w:tc>
        <w:tc>
          <w:tcPr>
            <w:tcW w:w="856" w:type="pct"/>
            <w:gridSpan w:val="4"/>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R</w:t>
            </w:r>
            <w:r w:rsidR="00A87FFC">
              <w:rPr>
                <w:rFonts w:ascii="Arial Narrow" w:hAnsi="Arial Narrow"/>
                <w:b/>
                <w:color w:val="000000"/>
                <w:sz w:val="20"/>
                <w:szCs w:val="18"/>
              </w:rPr>
              <w:t>R</w:t>
            </w:r>
          </w:p>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82" w:type="pct"/>
            <w:gridSpan w:val="6"/>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794" w:type="pct"/>
            <w:vMerge w:val="restart"/>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RD</w:t>
            </w:r>
          </w:p>
          <w:p w:rsidR="00DE2E5B" w:rsidRPr="00E2771E" w:rsidRDefault="00DE2E5B" w:rsidP="0050247D">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DE2E5B" w:rsidRPr="00E2771E" w:rsidTr="00DE2E5B">
        <w:trPr>
          <w:trHeight w:val="390"/>
        </w:trPr>
        <w:tc>
          <w:tcPr>
            <w:tcW w:w="5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p>
        </w:tc>
        <w:tc>
          <w:tcPr>
            <w:tcW w:w="665" w:type="pct"/>
            <w:gridSpan w:val="2"/>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717" w:type="pct"/>
            <w:gridSpan w:val="4"/>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856" w:type="pct"/>
            <w:gridSpan w:val="4"/>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c>
          <w:tcPr>
            <w:tcW w:w="62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brolucizumab</w:t>
            </w:r>
          </w:p>
        </w:tc>
        <w:tc>
          <w:tcPr>
            <w:tcW w:w="75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r w:rsidRPr="00E910BF">
              <w:rPr>
                <w:rStyle w:val="CommentReference"/>
                <w:bCs/>
              </w:rPr>
              <w:t>aflibercept</w:t>
            </w:r>
          </w:p>
        </w:tc>
        <w:tc>
          <w:tcPr>
            <w:tcW w:w="794" w:type="pct"/>
            <w:vMerge/>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b/>
                <w:color w:val="000000"/>
                <w:sz w:val="20"/>
                <w:szCs w:val="18"/>
              </w:rPr>
            </w:pPr>
          </w:p>
        </w:tc>
      </w:tr>
      <w:tr w:rsidR="00DE2E5B" w:rsidRPr="00E2771E" w:rsidTr="00DE2E5B">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b/>
                <w:color w:val="000000"/>
                <w:sz w:val="20"/>
                <w:szCs w:val="18"/>
              </w:rPr>
            </w:pPr>
            <w:r w:rsidRPr="00E2771E">
              <w:rPr>
                <w:rFonts w:ascii="Arial Narrow" w:hAnsi="Arial Narrow"/>
                <w:b/>
                <w:color w:val="000000"/>
                <w:sz w:val="20"/>
                <w:szCs w:val="18"/>
              </w:rPr>
              <w:t>Adverse event</w:t>
            </w:r>
            <w:r>
              <w:rPr>
                <w:rFonts w:ascii="Arial Narrow" w:hAnsi="Arial Narrow"/>
                <w:b/>
                <w:color w:val="000000"/>
                <w:sz w:val="20"/>
                <w:szCs w:val="18"/>
              </w:rPr>
              <w:t xml:space="preserve">: </w:t>
            </w:r>
            <w:r w:rsidRPr="002A467B">
              <w:rPr>
                <w:rFonts w:ascii="Arial Narrow" w:hAnsi="Arial Narrow"/>
                <w:b/>
                <w:color w:val="000000"/>
                <w:sz w:val="20"/>
                <w:szCs w:val="18"/>
              </w:rPr>
              <w:t>Non-fatal ocular SAEs</w:t>
            </w:r>
            <w:r>
              <w:rPr>
                <w:rFonts w:ascii="Arial Narrow" w:hAnsi="Arial Narrow"/>
                <w:b/>
                <w:color w:val="000000"/>
                <w:sz w:val="20"/>
                <w:szCs w:val="18"/>
              </w:rPr>
              <w:t>, week 96</w:t>
            </w: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Pr="00E2771E" w:rsidRDefault="00DE2E5B" w:rsidP="0050247D">
            <w:pPr>
              <w:keepNext/>
              <w:rPr>
                <w:rFonts w:ascii="Arial Narrow" w:hAnsi="Arial Narrow"/>
                <w:color w:val="000000"/>
                <w:sz w:val="20"/>
                <w:szCs w:val="18"/>
              </w:rPr>
            </w:pPr>
            <w:r>
              <w:rPr>
                <w:rFonts w:ascii="Arial Narrow" w:hAnsi="Arial Narrow"/>
                <w:color w:val="000000"/>
                <w:sz w:val="20"/>
                <w:szCs w:val="18"/>
              </w:rPr>
              <w:t>HAWK</w:t>
            </w:r>
          </w:p>
        </w:tc>
        <w:tc>
          <w:tcPr>
            <w:tcW w:w="672"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keepNext/>
              <w:jc w:val="center"/>
              <w:rPr>
                <w:rFonts w:ascii="Arial Narrow" w:hAnsi="Arial Narrow"/>
                <w:color w:val="000000"/>
                <w:sz w:val="20"/>
                <w:szCs w:val="18"/>
              </w:rPr>
            </w:pPr>
            <w:r w:rsidRPr="002A467B">
              <w:rPr>
                <w:rFonts w:ascii="Arial Narrow" w:hAnsi="Arial Narrow"/>
                <w:color w:val="000000"/>
                <w:sz w:val="20"/>
                <w:szCs w:val="18"/>
              </w:rPr>
              <w:t>12/360 (3.3%)</w:t>
            </w:r>
          </w:p>
        </w:tc>
        <w:tc>
          <w:tcPr>
            <w:tcW w:w="711"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keepNext/>
              <w:jc w:val="center"/>
              <w:rPr>
                <w:rFonts w:ascii="Arial Narrow" w:hAnsi="Arial Narrow"/>
                <w:color w:val="000000"/>
                <w:sz w:val="20"/>
                <w:szCs w:val="18"/>
              </w:rPr>
            </w:pPr>
            <w:r w:rsidRPr="002A467B">
              <w:rPr>
                <w:rFonts w:ascii="Arial Narrow" w:hAnsi="Arial Narrow"/>
                <w:color w:val="000000"/>
                <w:sz w:val="20"/>
                <w:szCs w:val="18"/>
              </w:rPr>
              <w:t>5/360 (1.4%)</w:t>
            </w:r>
          </w:p>
        </w:tc>
        <w:tc>
          <w:tcPr>
            <w:tcW w:w="856" w:type="pct"/>
            <w:gridSpan w:val="4"/>
            <w:tcBorders>
              <w:top w:val="single" w:sz="4" w:space="0" w:color="auto"/>
              <w:left w:val="single" w:sz="4" w:space="0" w:color="auto"/>
              <w:bottom w:val="single" w:sz="4" w:space="0" w:color="auto"/>
              <w:right w:val="single" w:sz="4" w:space="0" w:color="auto"/>
            </w:tcBorders>
            <w:vAlign w:val="center"/>
          </w:tcPr>
          <w:p w:rsidR="00DE2E5B" w:rsidRPr="0048678C" w:rsidRDefault="00DE2E5B" w:rsidP="0050247D">
            <w:pPr>
              <w:keepNext/>
              <w:jc w:val="center"/>
              <w:rPr>
                <w:rFonts w:ascii="Arial Narrow" w:hAnsi="Arial Narrow"/>
                <w:color w:val="000000"/>
                <w:sz w:val="20"/>
                <w:szCs w:val="18"/>
              </w:rPr>
            </w:pPr>
            <w:r w:rsidRPr="0048678C">
              <w:rPr>
                <w:rFonts w:ascii="Arial Narrow" w:hAnsi="Arial Narrow"/>
                <w:color w:val="000000"/>
                <w:sz w:val="20"/>
                <w:szCs w:val="18"/>
              </w:rPr>
              <w:t xml:space="preserve">2.40 (0.85,6.74) </w:t>
            </w:r>
          </w:p>
        </w:tc>
        <w:tc>
          <w:tcPr>
            <w:tcW w:w="62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3.3</w:t>
            </w:r>
          </w:p>
        </w:tc>
        <w:tc>
          <w:tcPr>
            <w:tcW w:w="75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1.4</w:t>
            </w:r>
          </w:p>
        </w:tc>
        <w:tc>
          <w:tcPr>
            <w:tcW w:w="794" w:type="pct"/>
            <w:tcBorders>
              <w:top w:val="single" w:sz="4" w:space="0" w:color="auto"/>
              <w:left w:val="single" w:sz="4" w:space="0" w:color="auto"/>
              <w:bottom w:val="single" w:sz="4" w:space="0" w:color="auto"/>
              <w:right w:val="single" w:sz="4" w:space="0" w:color="auto"/>
            </w:tcBorders>
            <w:vAlign w:val="center"/>
          </w:tcPr>
          <w:p w:rsidR="00DE2E5B" w:rsidRPr="0048678C" w:rsidRDefault="00DE2E5B" w:rsidP="0050247D">
            <w:pPr>
              <w:keepNext/>
              <w:jc w:val="center"/>
              <w:rPr>
                <w:rFonts w:ascii="Arial Narrow" w:hAnsi="Arial Narrow"/>
                <w:color w:val="000000"/>
                <w:sz w:val="20"/>
                <w:szCs w:val="18"/>
              </w:rPr>
            </w:pPr>
            <w:r w:rsidRPr="0048678C">
              <w:rPr>
                <w:rFonts w:ascii="Arial Narrow" w:hAnsi="Arial Narrow"/>
                <w:color w:val="000000"/>
                <w:sz w:val="20"/>
                <w:szCs w:val="18"/>
              </w:rPr>
              <w:t>0.02 (0.00,0.04)</w:t>
            </w:r>
          </w:p>
        </w:tc>
      </w:tr>
      <w:tr w:rsidR="00DE2E5B" w:rsidRPr="00E2771E" w:rsidTr="00DE2E5B">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rsidR="00DE2E5B" w:rsidRDefault="00DE2E5B" w:rsidP="0050247D">
            <w:pPr>
              <w:keepNext/>
              <w:rPr>
                <w:rFonts w:ascii="Arial Narrow" w:hAnsi="Arial Narrow"/>
                <w:color w:val="000000"/>
                <w:sz w:val="20"/>
                <w:szCs w:val="18"/>
              </w:rPr>
            </w:pPr>
            <w:r>
              <w:rPr>
                <w:rFonts w:ascii="Arial Narrow" w:hAnsi="Arial Narrow"/>
                <w:color w:val="000000"/>
                <w:sz w:val="20"/>
                <w:szCs w:val="18"/>
              </w:rPr>
              <w:t>HARRIER</w:t>
            </w:r>
          </w:p>
        </w:tc>
        <w:tc>
          <w:tcPr>
            <w:tcW w:w="672"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keepNext/>
              <w:jc w:val="center"/>
              <w:rPr>
                <w:rFonts w:ascii="Arial Narrow" w:hAnsi="Arial Narrow"/>
                <w:color w:val="000000"/>
                <w:sz w:val="20"/>
                <w:szCs w:val="18"/>
              </w:rPr>
            </w:pPr>
            <w:r w:rsidRPr="002A467B">
              <w:rPr>
                <w:rFonts w:ascii="Arial Narrow" w:hAnsi="Arial Narrow"/>
                <w:color w:val="000000"/>
                <w:sz w:val="20"/>
                <w:szCs w:val="18"/>
              </w:rPr>
              <w:t>13/370 (3.5%)</w:t>
            </w:r>
          </w:p>
        </w:tc>
        <w:tc>
          <w:tcPr>
            <w:tcW w:w="711" w:type="pct"/>
            <w:gridSpan w:val="3"/>
            <w:tcBorders>
              <w:top w:val="single" w:sz="4" w:space="0" w:color="auto"/>
              <w:left w:val="single" w:sz="4" w:space="0" w:color="auto"/>
              <w:bottom w:val="single" w:sz="4" w:space="0" w:color="auto"/>
              <w:right w:val="single" w:sz="4" w:space="0" w:color="auto"/>
            </w:tcBorders>
          </w:tcPr>
          <w:p w:rsidR="00DE2E5B" w:rsidRPr="00E2771E" w:rsidRDefault="00DE2E5B" w:rsidP="0050247D">
            <w:pPr>
              <w:keepNext/>
              <w:jc w:val="center"/>
              <w:rPr>
                <w:rFonts w:ascii="Arial Narrow" w:hAnsi="Arial Narrow"/>
                <w:color w:val="000000"/>
                <w:sz w:val="20"/>
                <w:szCs w:val="18"/>
              </w:rPr>
            </w:pPr>
            <w:r w:rsidRPr="002A467B">
              <w:rPr>
                <w:rFonts w:ascii="Arial Narrow" w:hAnsi="Arial Narrow"/>
                <w:color w:val="000000"/>
                <w:sz w:val="20"/>
                <w:szCs w:val="18"/>
              </w:rPr>
              <w:t>6/369 (1.6%)</w:t>
            </w:r>
          </w:p>
        </w:tc>
        <w:tc>
          <w:tcPr>
            <w:tcW w:w="856" w:type="pct"/>
            <w:gridSpan w:val="4"/>
            <w:tcBorders>
              <w:top w:val="single" w:sz="4" w:space="0" w:color="auto"/>
              <w:left w:val="single" w:sz="4" w:space="0" w:color="auto"/>
              <w:bottom w:val="single" w:sz="4" w:space="0" w:color="auto"/>
              <w:right w:val="single" w:sz="4" w:space="0" w:color="auto"/>
            </w:tcBorders>
            <w:vAlign w:val="center"/>
          </w:tcPr>
          <w:p w:rsidR="00DE2E5B" w:rsidRPr="0048678C" w:rsidRDefault="00DE2E5B" w:rsidP="0050247D">
            <w:pPr>
              <w:keepNext/>
              <w:jc w:val="center"/>
              <w:rPr>
                <w:rFonts w:ascii="Arial Narrow" w:hAnsi="Arial Narrow"/>
                <w:color w:val="000000"/>
                <w:sz w:val="20"/>
                <w:szCs w:val="18"/>
              </w:rPr>
            </w:pPr>
            <w:r w:rsidRPr="0048678C">
              <w:rPr>
                <w:rFonts w:ascii="Arial Narrow" w:hAnsi="Arial Narrow"/>
                <w:color w:val="000000"/>
                <w:sz w:val="20"/>
                <w:szCs w:val="18"/>
              </w:rPr>
              <w:t xml:space="preserve">2.16 (0.83, 5.62) </w:t>
            </w:r>
          </w:p>
        </w:tc>
        <w:tc>
          <w:tcPr>
            <w:tcW w:w="62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3.5</w:t>
            </w:r>
          </w:p>
        </w:tc>
        <w:tc>
          <w:tcPr>
            <w:tcW w:w="756" w:type="pct"/>
            <w:gridSpan w:val="3"/>
            <w:tcBorders>
              <w:top w:val="single" w:sz="4" w:space="0" w:color="auto"/>
              <w:left w:val="single" w:sz="4" w:space="0" w:color="auto"/>
              <w:bottom w:val="single" w:sz="4" w:space="0" w:color="auto"/>
              <w:right w:val="single" w:sz="4" w:space="0" w:color="auto"/>
            </w:tcBorders>
            <w:vAlign w:val="center"/>
          </w:tcPr>
          <w:p w:rsidR="00DE2E5B" w:rsidRPr="00E2771E" w:rsidRDefault="00DE2E5B" w:rsidP="0050247D">
            <w:pPr>
              <w:keepNext/>
              <w:jc w:val="center"/>
              <w:rPr>
                <w:rFonts w:ascii="Arial Narrow" w:hAnsi="Arial Narrow"/>
                <w:color w:val="000000"/>
                <w:sz w:val="20"/>
                <w:szCs w:val="18"/>
              </w:rPr>
            </w:pPr>
            <w:r>
              <w:rPr>
                <w:rFonts w:ascii="Arial Narrow" w:hAnsi="Arial Narrow"/>
                <w:color w:val="000000"/>
                <w:sz w:val="20"/>
                <w:szCs w:val="18"/>
              </w:rPr>
              <w:t>1.6</w:t>
            </w:r>
          </w:p>
        </w:tc>
        <w:tc>
          <w:tcPr>
            <w:tcW w:w="794" w:type="pct"/>
            <w:tcBorders>
              <w:top w:val="single" w:sz="4" w:space="0" w:color="auto"/>
              <w:left w:val="single" w:sz="4" w:space="0" w:color="auto"/>
              <w:bottom w:val="single" w:sz="4" w:space="0" w:color="auto"/>
              <w:right w:val="single" w:sz="4" w:space="0" w:color="auto"/>
            </w:tcBorders>
            <w:vAlign w:val="center"/>
          </w:tcPr>
          <w:p w:rsidR="00DE2E5B" w:rsidRPr="0048678C" w:rsidRDefault="00DE2E5B" w:rsidP="0050247D">
            <w:pPr>
              <w:keepNext/>
              <w:jc w:val="center"/>
              <w:rPr>
                <w:rFonts w:ascii="Arial Narrow" w:hAnsi="Arial Narrow"/>
                <w:color w:val="000000"/>
                <w:sz w:val="20"/>
                <w:szCs w:val="18"/>
              </w:rPr>
            </w:pPr>
            <w:r w:rsidRPr="0048678C">
              <w:rPr>
                <w:rFonts w:ascii="Arial Narrow" w:hAnsi="Arial Narrow"/>
                <w:color w:val="000000"/>
                <w:sz w:val="20"/>
                <w:szCs w:val="18"/>
              </w:rPr>
              <w:t>0.02 (0.00, 0.04)</w:t>
            </w:r>
          </w:p>
        </w:tc>
      </w:tr>
    </w:tbl>
    <w:p w:rsidR="00DE2E5B" w:rsidRPr="0072416F" w:rsidRDefault="00DE2E5B" w:rsidP="0050247D">
      <w:pPr>
        <w:pStyle w:val="TableFooter"/>
        <w:keepNext/>
      </w:pPr>
      <w:r>
        <w:t xml:space="preserve">BCVA = </w:t>
      </w:r>
      <w:r w:rsidRPr="00101123">
        <w:t>best corrected visual acuity</w:t>
      </w:r>
      <w:r>
        <w:t>;</w:t>
      </w:r>
      <w:r w:rsidRPr="00101123">
        <w:t xml:space="preserve"> </w:t>
      </w:r>
      <w:r w:rsidR="00A87FFC">
        <w:t xml:space="preserve">CI = confidence interval; </w:t>
      </w:r>
      <w:r>
        <w:t>CSFT =</w:t>
      </w:r>
      <w:r w:rsidRPr="009637AA">
        <w:t xml:space="preserve"> central subfield thickness</w:t>
      </w:r>
      <w:r>
        <w:t>;</w:t>
      </w:r>
      <w:r w:rsidRPr="009637AA">
        <w:t xml:space="preserve"> </w:t>
      </w:r>
      <w:r w:rsidR="00A87FFC">
        <w:t>FAS = full analysis set; LOCF = last observation carried forward;</w:t>
      </w:r>
      <w:r>
        <w:t xml:space="preserve"> </w:t>
      </w:r>
      <w:r w:rsidR="00A87FFC">
        <w:t>LS = least squares;</w:t>
      </w:r>
      <w:r w:rsidRPr="0072416F">
        <w:t xml:space="preserve"> RD = risk difference; RR = </w:t>
      </w:r>
      <w:r>
        <w:t xml:space="preserve">relative </w:t>
      </w:r>
      <w:r w:rsidRPr="0072416F">
        <w:t>risk</w:t>
      </w:r>
      <w:r w:rsidR="00A87FFC">
        <w:t>; SAEs = serious adverse events; SE = standard error.</w:t>
      </w:r>
    </w:p>
    <w:p w:rsidR="00DE2E5B" w:rsidRPr="00B1011F" w:rsidRDefault="00DE2E5B" w:rsidP="0050247D">
      <w:pPr>
        <w:pStyle w:val="TableFooter"/>
        <w:keepNext/>
        <w:rPr>
          <w:sz w:val="20"/>
        </w:rPr>
      </w:pPr>
      <w:r>
        <w:t xml:space="preserve">Source: Tables 2-20 and 2-22 </w:t>
      </w:r>
      <w:r w:rsidRPr="00D13A3E">
        <w:t xml:space="preserve">of the </w:t>
      </w:r>
      <w:r>
        <w:t>resubmission, Tables 2-17 and 2-37 from the original brolucizumab submission (November 2019)</w:t>
      </w:r>
    </w:p>
    <w:p w:rsidR="00DE2E5B" w:rsidRPr="002A467B" w:rsidRDefault="00DE2E5B" w:rsidP="00DE2E5B">
      <w:pPr>
        <w:widowControl/>
        <w:jc w:val="left"/>
        <w:rPr>
          <w:rStyle w:val="CommentReference"/>
          <w:b w:val="0"/>
          <w:bCs/>
        </w:rPr>
      </w:pPr>
    </w:p>
    <w:p w:rsidR="00DE2E5B" w:rsidRPr="00BC6D61" w:rsidRDefault="00DE2E5B" w:rsidP="00BD7A90">
      <w:pPr>
        <w:pStyle w:val="ListParagraph"/>
        <w:widowControl/>
        <w:numPr>
          <w:ilvl w:val="1"/>
          <w:numId w:val="1"/>
        </w:numPr>
      </w:pPr>
      <w:r w:rsidRPr="002A467B">
        <w:rPr>
          <w:rFonts w:cs="Calibri"/>
          <w:snapToGrid/>
          <w:szCs w:val="24"/>
          <w:lang w:val="en-US" w:eastAsia="en-AU"/>
        </w:rPr>
        <w:t xml:space="preserve">The non-comparative brolucizumab </w:t>
      </w:r>
      <w:r>
        <w:rPr>
          <w:rFonts w:cs="Calibri"/>
          <w:snapToGrid/>
          <w:szCs w:val="24"/>
          <w:lang w:val="en-US" w:eastAsia="en-AU"/>
        </w:rPr>
        <w:t xml:space="preserve">switch </w:t>
      </w:r>
      <w:r w:rsidRPr="002A467B">
        <w:rPr>
          <w:rFonts w:cs="Calibri"/>
          <w:snapToGrid/>
          <w:szCs w:val="24"/>
          <w:lang w:val="en-US" w:eastAsia="en-AU"/>
        </w:rPr>
        <w:t xml:space="preserve">studies provided limited </w:t>
      </w:r>
      <w:r>
        <w:rPr>
          <w:rFonts w:cs="Calibri"/>
          <w:snapToGrid/>
          <w:szCs w:val="24"/>
          <w:lang w:val="en-US" w:eastAsia="en-AU"/>
        </w:rPr>
        <w:t xml:space="preserve">efficacy and safety </w:t>
      </w:r>
      <w:r w:rsidRPr="002A467B">
        <w:rPr>
          <w:rFonts w:cs="Calibri"/>
          <w:snapToGrid/>
          <w:szCs w:val="24"/>
          <w:lang w:val="en-US" w:eastAsia="en-AU"/>
        </w:rPr>
        <w:t>data</w:t>
      </w:r>
      <w:r>
        <w:rPr>
          <w:rFonts w:cs="Calibri"/>
          <w:snapToGrid/>
          <w:szCs w:val="24"/>
          <w:lang w:val="en-US" w:eastAsia="en-AU"/>
        </w:rPr>
        <w:t>.</w:t>
      </w:r>
    </w:p>
    <w:p w:rsidR="00DE2E5B" w:rsidRPr="0059786E" w:rsidRDefault="00BC6D61" w:rsidP="00BD7A90">
      <w:pPr>
        <w:pStyle w:val="ListParagraph"/>
        <w:widowControl/>
        <w:numPr>
          <w:ilvl w:val="1"/>
          <w:numId w:val="1"/>
        </w:numPr>
      </w:pPr>
      <w:r w:rsidRPr="0059786E">
        <w:t>On the basis of the limited data presented for brolucizumab in the second- and third-line population, the ESC</w:t>
      </w:r>
      <w:r w:rsidR="00CA17F7">
        <w:t xml:space="preserve"> considered</w:t>
      </w:r>
      <w:r w:rsidRPr="0059786E">
        <w:t xml:space="preserve"> that no conclusions could be made from these data as to comparative efficacy or safety.</w:t>
      </w:r>
    </w:p>
    <w:p w:rsidR="00DE2E5B" w:rsidRPr="00882085" w:rsidRDefault="00DE2E5B" w:rsidP="00BC6D61">
      <w:pPr>
        <w:pStyle w:val="Heading2"/>
        <w:spacing w:after="120"/>
      </w:pPr>
      <w:bookmarkStart w:id="26" w:name="_Toc62041390"/>
      <w:r w:rsidRPr="00C9624D">
        <w:t>Clinical claim</w:t>
      </w:r>
      <w:bookmarkEnd w:id="26"/>
    </w:p>
    <w:p w:rsidR="00160A07" w:rsidRPr="00160A07" w:rsidRDefault="00DE2E5B" w:rsidP="00BD7A90">
      <w:pPr>
        <w:pStyle w:val="ListParagraph"/>
        <w:widowControl/>
        <w:numPr>
          <w:ilvl w:val="1"/>
          <w:numId w:val="1"/>
        </w:numPr>
        <w:rPr>
          <w:iCs/>
        </w:rPr>
      </w:pPr>
      <w:r w:rsidRPr="00E97E80">
        <w:t>A claim of “superiority in terms of efficacy is made based on anatomical benefits of brolucizumab compared with aflibercept or ranibizumab within a subgroup of patients with subfoveal choroidal neovascularisation due to age-related macular degeneration that are non-responsive to existing anti-VEG</w:t>
      </w:r>
      <w:r w:rsidR="00F16077">
        <w:t>F</w:t>
      </w:r>
      <w:r w:rsidRPr="00E97E80">
        <w:t xml:space="preserve"> agents” was </w:t>
      </w:r>
      <w:r>
        <w:t>not supported</w:t>
      </w:r>
      <w:r w:rsidRPr="00E97E80">
        <w:t xml:space="preserve"> </w:t>
      </w:r>
      <w:r w:rsidR="00E004FA">
        <w:t>by</w:t>
      </w:r>
      <w:r w:rsidR="00E004FA" w:rsidRPr="00E97E80">
        <w:t xml:space="preserve"> </w:t>
      </w:r>
      <w:r w:rsidRPr="00E97E80">
        <w:t xml:space="preserve">the </w:t>
      </w:r>
      <w:r>
        <w:t>re</w:t>
      </w:r>
      <w:r w:rsidRPr="00E97E80">
        <w:t xml:space="preserve">submission. </w:t>
      </w:r>
    </w:p>
    <w:p w:rsidR="008B5C8F" w:rsidRPr="006808BF" w:rsidRDefault="008B5C8F" w:rsidP="00BD7A90">
      <w:pPr>
        <w:pStyle w:val="ListParagraph"/>
        <w:widowControl/>
        <w:numPr>
          <w:ilvl w:val="2"/>
          <w:numId w:val="1"/>
        </w:numPr>
        <w:ind w:left="993" w:hanging="284"/>
      </w:pPr>
      <w:r w:rsidRPr="006808BF">
        <w:t xml:space="preserve">The HAWK and HARRIER trials were conducted in patients with wet AMD who were treatment naïve and were therefore not conducted in the patient population for which listing of brolucizumab has been sought. No comparative evidence was provided </w:t>
      </w:r>
      <w:r w:rsidR="00E23D7D" w:rsidRPr="006808BF">
        <w:t>for patients in the second</w:t>
      </w:r>
      <w:r w:rsidR="00571AA0">
        <w:t>-</w:t>
      </w:r>
      <w:r w:rsidR="00E23D7D" w:rsidRPr="006808BF">
        <w:t xml:space="preserve">line setting. </w:t>
      </w:r>
    </w:p>
    <w:p w:rsidR="00DE2E5B" w:rsidRPr="0034151C" w:rsidRDefault="00DE2E5B" w:rsidP="00BD7A90">
      <w:pPr>
        <w:pStyle w:val="ListParagraph"/>
        <w:widowControl/>
        <w:numPr>
          <w:ilvl w:val="2"/>
          <w:numId w:val="1"/>
        </w:numPr>
        <w:ind w:left="993" w:hanging="284"/>
        <w:rPr>
          <w:iCs/>
        </w:rPr>
      </w:pPr>
      <w:r w:rsidRPr="006808BF">
        <w:rPr>
          <w:iCs/>
        </w:rPr>
        <w:t>Th</w:t>
      </w:r>
      <w:r w:rsidR="0034151C">
        <w:rPr>
          <w:iCs/>
        </w:rPr>
        <w:t>e clinical</w:t>
      </w:r>
      <w:r w:rsidRPr="006808BF">
        <w:rPr>
          <w:iCs/>
        </w:rPr>
        <w:t xml:space="preserve"> claim was based on the clinical endpoints change in CSFT (week 48) and </w:t>
      </w:r>
      <w:r w:rsidR="00D5352D" w:rsidRPr="006808BF">
        <w:rPr>
          <w:iCs/>
        </w:rPr>
        <w:t>DA</w:t>
      </w:r>
      <w:r w:rsidRPr="006808BF">
        <w:rPr>
          <w:iCs/>
        </w:rPr>
        <w:t xml:space="preserve"> (week 16).</w:t>
      </w:r>
      <w:r w:rsidRPr="006808BF">
        <w:t xml:space="preserve"> </w:t>
      </w:r>
      <w:r w:rsidRPr="006808BF">
        <w:rPr>
          <w:iCs/>
        </w:rPr>
        <w:t>These were secondary outcomes from the HAWK and HARRIER trials.</w:t>
      </w:r>
      <w:r w:rsidR="0034151C">
        <w:rPr>
          <w:iCs/>
        </w:rPr>
        <w:t xml:space="preserve"> </w:t>
      </w:r>
      <w:r w:rsidR="00B17597" w:rsidRPr="0059786E">
        <w:t>While statistically significant results were observed for both change in CSFT and DA, no detail of the translation of the comparative treatment effects of these surrogate measures to target clinical outcomes were included in the resubmission. The PSCR stated that the biologic plausibility of the impact of retinal anatomy changes on vision outcomes is well known, as fluid leaking from the neovascular complex distorts the retinal cells and leads to the typical vision changes seen in patients with wet AMD. The Sponsor further argued that there is international agreement that achieving the goal of wet AMD treatment requires drying the retina; that is, reducing fluid and DA, as measured using functional and anatomic parameters such as CSFT, IRF, SRF and sub-RPE. The Sponsor stated that the translation of the comparative treatment effects of the surrogate anatomical measures to target clinical outcomes has been demonstrated in before and after trials, as summarised in the meta-analyses discussed in the resubmission.</w:t>
      </w:r>
    </w:p>
    <w:p w:rsidR="00DE2E5B" w:rsidRPr="006808BF" w:rsidRDefault="00DE2E5B" w:rsidP="00BD7A90">
      <w:pPr>
        <w:pStyle w:val="ListParagraph"/>
        <w:widowControl/>
        <w:numPr>
          <w:ilvl w:val="2"/>
          <w:numId w:val="1"/>
        </w:numPr>
        <w:ind w:left="993" w:hanging="284"/>
      </w:pPr>
      <w:r w:rsidRPr="006808BF">
        <w:t>In both the HAWK and HARRIER trials</w:t>
      </w:r>
      <w:r w:rsidR="0050247D" w:rsidRPr="006808BF">
        <w:t>,</w:t>
      </w:r>
      <w:r w:rsidRPr="006808BF">
        <w:t xml:space="preserve"> brolucizumab met the primary endpoint of non-inferiority in change in BCVA from baseline to Week 48 compared with aflibercept.</w:t>
      </w:r>
    </w:p>
    <w:p w:rsidR="00994D03" w:rsidRPr="006808BF" w:rsidRDefault="00DE2E5B" w:rsidP="00BD7A90">
      <w:pPr>
        <w:pStyle w:val="ListParagraph"/>
        <w:widowControl/>
        <w:numPr>
          <w:ilvl w:val="2"/>
          <w:numId w:val="1"/>
        </w:numPr>
        <w:ind w:left="993" w:hanging="284"/>
      </w:pPr>
      <w:r w:rsidRPr="006808BF">
        <w:t>The clinical claim in the resubmission differed from that provided in the previous submissions for brolucizumab</w:t>
      </w:r>
      <w:r w:rsidR="00994D03" w:rsidRPr="006808BF">
        <w:t>,</w:t>
      </w:r>
      <w:r w:rsidRPr="006808BF">
        <w:t xml:space="preserve"> which described brolucizumab 6 mg as non-inferior in terms of effectiveness and equivalent in terms of safety compared with aflibercept 2 mg.</w:t>
      </w:r>
    </w:p>
    <w:p w:rsidR="00DE2E5B" w:rsidRPr="0059786E" w:rsidRDefault="00DE2E5B" w:rsidP="00BD7A90">
      <w:pPr>
        <w:pStyle w:val="ListParagraph"/>
        <w:widowControl/>
        <w:numPr>
          <w:ilvl w:val="2"/>
          <w:numId w:val="1"/>
        </w:numPr>
        <w:ind w:left="993" w:hanging="284"/>
      </w:pPr>
      <w:r w:rsidRPr="0059786E">
        <w:t>This claim is in contrast to the view of the PBAC when they evaluated brolucizumab in November 2019, where “the PBAC was satisfied that brolucizumab was non-inferior in terms of comparative efficacy to aflibercept, based on the two key trials (HAWK and HARRIER)” (</w:t>
      </w:r>
      <w:r w:rsidR="0050247D" w:rsidRPr="0059786E">
        <w:t>B</w:t>
      </w:r>
      <w:r w:rsidRPr="0059786E">
        <w:t>rolucizumab PSD November 2019</w:t>
      </w:r>
      <w:r w:rsidR="0050247D" w:rsidRPr="0059786E">
        <w:t>, paragraph 7.3</w:t>
      </w:r>
      <w:r w:rsidRPr="0059786E">
        <w:t>)</w:t>
      </w:r>
      <w:r w:rsidR="0050247D" w:rsidRPr="0059786E">
        <w:t>.</w:t>
      </w:r>
      <w:r w:rsidRPr="0059786E">
        <w:t xml:space="preserve"> </w:t>
      </w:r>
      <w:r w:rsidR="00AB62D3" w:rsidRPr="0059786E">
        <w:t xml:space="preserve">The PSCR </w:t>
      </w:r>
      <w:r w:rsidR="000133CE" w:rsidRPr="0059786E">
        <w:t>stated</w:t>
      </w:r>
      <w:r w:rsidR="00AB62D3" w:rsidRPr="0059786E">
        <w:t xml:space="preserve"> that </w:t>
      </w:r>
      <w:r w:rsidR="000133CE" w:rsidRPr="0059786E">
        <w:t>the clinical claim related to a different position for brolucizumab in the treatment algorithm i.e. patients who fail to achieve the optimal response to first line anti-VEGF therapy. However, the ESC</w:t>
      </w:r>
      <w:r w:rsidR="00BB1C04">
        <w:t xml:space="preserve"> and the PBAC</w:t>
      </w:r>
      <w:r w:rsidR="000133CE" w:rsidRPr="0059786E">
        <w:t xml:space="preserve"> noted that the clinical trial evidence presented in the resubmission was again from the HAWK and HARRIER trials</w:t>
      </w:r>
      <w:r w:rsidR="007F5C7D" w:rsidRPr="0059786E">
        <w:t xml:space="preserve"> in treatment naïve patients</w:t>
      </w:r>
      <w:r w:rsidR="000133CE" w:rsidRPr="0059786E">
        <w:t>, and non-inferiority</w:t>
      </w:r>
      <w:r w:rsidR="007F5C7D" w:rsidRPr="0059786E">
        <w:t xml:space="preserve"> with respect to effectiveness</w:t>
      </w:r>
      <w:r w:rsidR="000133CE" w:rsidRPr="0059786E">
        <w:t xml:space="preserve"> was </w:t>
      </w:r>
      <w:r w:rsidR="007F5C7D" w:rsidRPr="0059786E">
        <w:t xml:space="preserve">previously </w:t>
      </w:r>
      <w:r w:rsidR="000133CE" w:rsidRPr="0059786E">
        <w:t>accepted</w:t>
      </w:r>
      <w:r w:rsidR="007F5C7D" w:rsidRPr="0059786E">
        <w:t xml:space="preserve"> based on these trials</w:t>
      </w:r>
      <w:r w:rsidR="000133CE" w:rsidRPr="0059786E">
        <w:t>.</w:t>
      </w:r>
    </w:p>
    <w:p w:rsidR="0034151C" w:rsidRDefault="0034151C" w:rsidP="00BD7A90">
      <w:pPr>
        <w:pStyle w:val="ListParagraph"/>
        <w:widowControl/>
        <w:numPr>
          <w:ilvl w:val="1"/>
          <w:numId w:val="1"/>
        </w:numPr>
      </w:pPr>
      <w:r w:rsidRPr="00902827">
        <w:t>Non-comparative data investigating patients who received brolucizumab after switching from another anti-VEGF treatment were considered</w:t>
      </w:r>
      <w:r>
        <w:t xml:space="preserve"> by the PBAC</w:t>
      </w:r>
      <w:r w:rsidRPr="00902827">
        <w:t xml:space="preserve"> to provide only limited</w:t>
      </w:r>
      <w:r>
        <w:t xml:space="preserve"> supportive</w:t>
      </w:r>
      <w:r w:rsidRPr="00902827">
        <w:t xml:space="preserve"> information.</w:t>
      </w:r>
    </w:p>
    <w:p w:rsidR="007F5C7D" w:rsidRPr="0059786E" w:rsidRDefault="00DE2E5B" w:rsidP="00BD7A90">
      <w:pPr>
        <w:pStyle w:val="ListParagraph"/>
        <w:widowControl/>
        <w:numPr>
          <w:ilvl w:val="1"/>
          <w:numId w:val="1"/>
        </w:numPr>
      </w:pPr>
      <w:r w:rsidRPr="006808BF">
        <w:t>A claim of “marginally inferior in terms of safety compared to VEGF inhibitors aflibercept and ranibizumab when used to treat patients with wet AMD who are non-responsive to prior anti-VEGF” was made in the resubmission.</w:t>
      </w:r>
      <w:r w:rsidR="00B31C35">
        <w:t xml:space="preserve"> </w:t>
      </w:r>
      <w:r w:rsidR="007F5C7D" w:rsidRPr="0059786E">
        <w:t xml:space="preserve">The PBAC has previously noted concerns regarding the safety of brolucizumab in each of the previous submissions/resubmissions, stating that “brolucizumab is likely inferior to aflibercept in terms of comparative safety” (Brolucizumab PSD July 2020, paragraph 6.4). </w:t>
      </w:r>
      <w:r w:rsidR="00306B35" w:rsidRPr="0059786E">
        <w:t>The ESC noted that t</w:t>
      </w:r>
      <w:r w:rsidR="007F5C7D" w:rsidRPr="00B31C35">
        <w:rPr>
          <w:iCs/>
        </w:rPr>
        <w:t>hese</w:t>
      </w:r>
      <w:r w:rsidR="007F5C7D" w:rsidRPr="0059786E">
        <w:t xml:space="preserve"> issues of comparative safety remain pertinent as the resubmission presented aflibercept as the main comparator.</w:t>
      </w:r>
    </w:p>
    <w:p w:rsidR="00F12538" w:rsidRPr="00F12538" w:rsidRDefault="0034473B" w:rsidP="00BD7A90">
      <w:pPr>
        <w:pStyle w:val="ListParagraph"/>
        <w:widowControl/>
        <w:numPr>
          <w:ilvl w:val="1"/>
          <w:numId w:val="1"/>
        </w:numPr>
      </w:pPr>
      <w:r w:rsidRPr="0059786E">
        <w:rPr>
          <w:iCs/>
        </w:rPr>
        <w:t xml:space="preserve">The </w:t>
      </w:r>
      <w:r w:rsidR="00C515B8">
        <w:rPr>
          <w:iCs/>
        </w:rPr>
        <w:t xml:space="preserve">PBAC agreed with the </w:t>
      </w:r>
      <w:r w:rsidRPr="0059786E">
        <w:rPr>
          <w:iCs/>
        </w:rPr>
        <w:t>ESC that the claim of superiority based on anatomic secondary endpoints was not adequately supported; however, it considered that non-inferiority in the second-line setting may be reasonable.</w:t>
      </w:r>
    </w:p>
    <w:p w:rsidR="005D1A61" w:rsidRPr="005D1A61" w:rsidRDefault="00F12538" w:rsidP="00BD7A90">
      <w:pPr>
        <w:pStyle w:val="ListParagraph"/>
        <w:widowControl/>
        <w:numPr>
          <w:ilvl w:val="1"/>
          <w:numId w:val="1"/>
        </w:numPr>
      </w:pPr>
      <w:r w:rsidRPr="00C515B8">
        <w:rPr>
          <w:iCs/>
        </w:rPr>
        <w:t xml:space="preserve">The </w:t>
      </w:r>
      <w:r>
        <w:rPr>
          <w:iCs/>
        </w:rPr>
        <w:t xml:space="preserve">PBAC agreed with the </w:t>
      </w:r>
      <w:r w:rsidRPr="00C515B8">
        <w:rPr>
          <w:iCs/>
        </w:rPr>
        <w:t xml:space="preserve">ESC </w:t>
      </w:r>
      <w:r>
        <w:rPr>
          <w:iCs/>
        </w:rPr>
        <w:t xml:space="preserve">that </w:t>
      </w:r>
      <w:r w:rsidRPr="00C515B8">
        <w:rPr>
          <w:iCs/>
        </w:rPr>
        <w:t>the claim of marginally inferior safety was reasonable.</w:t>
      </w:r>
    </w:p>
    <w:p w:rsidR="00DE2E5B" w:rsidRPr="00C9624D" w:rsidRDefault="00DE2E5B" w:rsidP="00C515B8">
      <w:pPr>
        <w:pStyle w:val="Heading2"/>
        <w:spacing w:after="120"/>
      </w:pPr>
      <w:bookmarkStart w:id="27" w:name="_Toc61002913"/>
      <w:bookmarkStart w:id="28" w:name="_Toc62041391"/>
      <w:r w:rsidRPr="00C9624D">
        <w:t>Economic analysis</w:t>
      </w:r>
      <w:bookmarkEnd w:id="27"/>
      <w:bookmarkEnd w:id="28"/>
    </w:p>
    <w:p w:rsidR="00DE2E5B" w:rsidRPr="00A86A22" w:rsidRDefault="00DE2E5B" w:rsidP="00BD7A90">
      <w:pPr>
        <w:pStyle w:val="ListParagraph"/>
        <w:widowControl/>
        <w:numPr>
          <w:ilvl w:val="1"/>
          <w:numId w:val="1"/>
        </w:numPr>
      </w:pPr>
      <w:r>
        <w:t xml:space="preserve">The </w:t>
      </w:r>
      <w:r w:rsidR="0050247D">
        <w:t>res</w:t>
      </w:r>
      <w:r>
        <w:t xml:space="preserve">ubmission presented a cost-minimisation analysis of brolucizumab compared </w:t>
      </w:r>
      <w:r w:rsidR="00E004FA">
        <w:t xml:space="preserve">with </w:t>
      </w:r>
      <w:r>
        <w:t>aflibercept primarily based on the direct randomised trials of HAWK and HARRIER that were conducted in treatment naïve patients</w:t>
      </w:r>
      <w:r w:rsidR="00CF0CDF">
        <w:t>, using an assumed effective price for aflibercept</w:t>
      </w:r>
      <w:r w:rsidR="00D46425">
        <w:t xml:space="preserve"> ($</w:t>
      </w:r>
      <w:r w:rsidR="00FF1746">
        <w:rPr>
          <w:noProof/>
          <w:color w:val="000000"/>
          <w:highlight w:val="black"/>
        </w:rPr>
        <w:t>''''''''''''''</w:t>
      </w:r>
      <w:r w:rsidR="00D46425">
        <w:t>)</w:t>
      </w:r>
      <w:r>
        <w:t>.</w:t>
      </w:r>
      <w:r w:rsidR="00C87637">
        <w:t xml:space="preserve"> </w:t>
      </w:r>
      <w:r w:rsidR="0050247D" w:rsidRPr="00635336">
        <w:rPr>
          <w:iCs/>
        </w:rPr>
        <w:t xml:space="preserve">The cost-minimisation analysis incorporated an additional </w:t>
      </w:r>
      <w:r w:rsidR="0050247D" w:rsidRPr="00BB2EBF">
        <w:rPr>
          <w:iCs/>
        </w:rPr>
        <w:t>5</w:t>
      </w:r>
      <w:r w:rsidR="0050247D" w:rsidRPr="00635336">
        <w:rPr>
          <w:iCs/>
        </w:rPr>
        <w:t>% price reduction</w:t>
      </w:r>
      <w:r w:rsidR="00C87637" w:rsidRPr="00635336">
        <w:rPr>
          <w:iCs/>
        </w:rPr>
        <w:t xml:space="preserve"> (to $</w:t>
      </w:r>
      <w:r w:rsidR="00FF1746">
        <w:rPr>
          <w:iCs/>
          <w:noProof/>
          <w:color w:val="000000"/>
          <w:highlight w:val="black"/>
        </w:rPr>
        <w:t>''''''''''''</w:t>
      </w:r>
      <w:r w:rsidR="00C87637" w:rsidRPr="00635336">
        <w:rPr>
          <w:iCs/>
        </w:rPr>
        <w:t>)</w:t>
      </w:r>
      <w:r w:rsidR="0050247D" w:rsidRPr="00635336">
        <w:rPr>
          <w:iCs/>
        </w:rPr>
        <w:t xml:space="preserve"> in acknowledgement that there may be uncertain costs in managing </w:t>
      </w:r>
      <w:r w:rsidR="0050247D" w:rsidRPr="00B34E21">
        <w:rPr>
          <w:iCs/>
        </w:rPr>
        <w:t>brolucizumab-specific safety events in clinical practice relative to the costs calculated from the trial evidence.</w:t>
      </w:r>
      <w:r w:rsidR="00B34E21" w:rsidRPr="00B34E21">
        <w:rPr>
          <w:iCs/>
        </w:rPr>
        <w:t xml:space="preserve"> </w:t>
      </w:r>
    </w:p>
    <w:p w:rsidR="00DE2E5B" w:rsidRPr="0059786E" w:rsidRDefault="00DE2E5B" w:rsidP="00BD7A90">
      <w:pPr>
        <w:pStyle w:val="ListParagraph"/>
        <w:widowControl/>
        <w:numPr>
          <w:ilvl w:val="1"/>
          <w:numId w:val="1"/>
        </w:numPr>
      </w:pPr>
      <w:r w:rsidRPr="006808BF">
        <w:t xml:space="preserve">The equi-effective doses </w:t>
      </w:r>
      <w:r w:rsidRPr="0059786E">
        <w:t>are estimated as 1:1 for brolucizumab 6</w:t>
      </w:r>
      <w:r w:rsidR="0050247D" w:rsidRPr="0059786E">
        <w:t xml:space="preserve"> </w:t>
      </w:r>
      <w:r w:rsidRPr="0059786E">
        <w:t>mg and aflibercept 2</w:t>
      </w:r>
      <w:r w:rsidR="0050247D" w:rsidRPr="0059786E">
        <w:t xml:space="preserve"> </w:t>
      </w:r>
      <w:r w:rsidRPr="0059786E">
        <w:t>mg (or ranibizumab 1.65</w:t>
      </w:r>
      <w:r w:rsidR="0050247D" w:rsidRPr="0059786E">
        <w:t xml:space="preserve"> </w:t>
      </w:r>
      <w:r w:rsidRPr="0059786E">
        <w:t xml:space="preserve">mg). </w:t>
      </w:r>
      <w:r w:rsidRPr="0059786E">
        <w:rPr>
          <w:iCs/>
        </w:rPr>
        <w:t>This was in line with previous advice from the ESC and the PBAC (</w:t>
      </w:r>
      <w:r w:rsidR="0050247D" w:rsidRPr="0059786E">
        <w:rPr>
          <w:iCs/>
        </w:rPr>
        <w:t>B</w:t>
      </w:r>
      <w:r w:rsidRPr="0059786E">
        <w:rPr>
          <w:iCs/>
        </w:rPr>
        <w:t>rolucizumab PSD November 2019</w:t>
      </w:r>
      <w:r w:rsidR="0050247D" w:rsidRPr="0059786E">
        <w:rPr>
          <w:iCs/>
        </w:rPr>
        <w:t>, paragraph 7.7</w:t>
      </w:r>
      <w:r w:rsidRPr="0059786E">
        <w:rPr>
          <w:iCs/>
        </w:rPr>
        <w:t>)</w:t>
      </w:r>
      <w:r w:rsidR="0050247D" w:rsidRPr="0059786E">
        <w:rPr>
          <w:iCs/>
        </w:rPr>
        <w:t>.</w:t>
      </w:r>
      <w:r w:rsidR="003437EC" w:rsidRPr="0059786E">
        <w:rPr>
          <w:iCs/>
        </w:rPr>
        <w:t xml:space="preserve"> The ESC considered that a 1:1 ratio for the equi-effective doses was appropriate in the absence of evidence to demonstrate that dosing would be different in second-line compared to first-line use</w:t>
      </w:r>
      <w:r w:rsidR="00C515B8">
        <w:rPr>
          <w:iCs/>
        </w:rPr>
        <w:t>.</w:t>
      </w:r>
    </w:p>
    <w:p w:rsidR="0005606D" w:rsidRPr="0059786E" w:rsidRDefault="002528C9" w:rsidP="00BD7A90">
      <w:pPr>
        <w:pStyle w:val="ListParagraph"/>
        <w:widowControl/>
        <w:numPr>
          <w:ilvl w:val="1"/>
          <w:numId w:val="1"/>
        </w:numPr>
      </w:pPr>
      <w:r>
        <w:rPr>
          <w:iCs/>
        </w:rPr>
        <w:t>The resubmission stated a</w:t>
      </w:r>
      <w:r w:rsidR="00BA7287" w:rsidRPr="006808BF">
        <w:rPr>
          <w:iCs/>
        </w:rPr>
        <w:t xml:space="preserve">dditional costs for the treatment of RV/RVO and for three additional ophthalmologist visits were expected to be incurred to manage brolucizumab-specific safety events in clinical </w:t>
      </w:r>
      <w:r w:rsidR="00BA7287" w:rsidRPr="0059786E">
        <w:rPr>
          <w:iCs/>
        </w:rPr>
        <w:t>practice.</w:t>
      </w:r>
      <w:r w:rsidR="0036504B" w:rsidRPr="0059786E">
        <w:rPr>
          <w:iCs/>
        </w:rPr>
        <w:t xml:space="preserve"> The ESC considered that</w:t>
      </w:r>
      <w:r w:rsidR="005C0473" w:rsidRPr="0059786E">
        <w:rPr>
          <w:iCs/>
        </w:rPr>
        <w:t xml:space="preserve"> the resubmission may have</w:t>
      </w:r>
      <w:r w:rsidR="0036504B" w:rsidRPr="0059786E">
        <w:rPr>
          <w:iCs/>
        </w:rPr>
        <w:t xml:space="preserve"> significantly underestimated the cost of treating </w:t>
      </w:r>
      <w:r w:rsidR="00D4610F" w:rsidRPr="0059786E">
        <w:rPr>
          <w:iCs/>
        </w:rPr>
        <w:t>RV/RVO</w:t>
      </w:r>
      <w:r w:rsidR="005C0473" w:rsidRPr="0059786E">
        <w:rPr>
          <w:iCs/>
        </w:rPr>
        <w:t xml:space="preserve"> as</w:t>
      </w:r>
      <w:r w:rsidR="00D46425" w:rsidRPr="0059786E">
        <w:rPr>
          <w:iCs/>
        </w:rPr>
        <w:t xml:space="preserve"> </w:t>
      </w:r>
      <w:r w:rsidR="005C0473" w:rsidRPr="0059786E">
        <w:rPr>
          <w:iCs/>
        </w:rPr>
        <w:t xml:space="preserve">it </w:t>
      </w:r>
      <w:r w:rsidR="00D46425" w:rsidRPr="0059786E">
        <w:rPr>
          <w:iCs/>
        </w:rPr>
        <w:t xml:space="preserve">did not account for steroid </w:t>
      </w:r>
      <w:r w:rsidR="009A4E40">
        <w:rPr>
          <w:iCs/>
        </w:rPr>
        <w:t>therapy</w:t>
      </w:r>
      <w:r w:rsidR="00D46425" w:rsidRPr="0059786E">
        <w:rPr>
          <w:iCs/>
        </w:rPr>
        <w:t>, any long term follow up required or possible vitrectomy or panretinal photocoagulation</w:t>
      </w:r>
      <w:r w:rsidR="00E004FA">
        <w:rPr>
          <w:iCs/>
        </w:rPr>
        <w:t>.</w:t>
      </w:r>
    </w:p>
    <w:p w:rsidR="00DE2E5B" w:rsidRPr="002C2775" w:rsidRDefault="00DE2E5B" w:rsidP="00BC6D61">
      <w:pPr>
        <w:pStyle w:val="Heading2"/>
        <w:spacing w:after="120"/>
      </w:pPr>
      <w:bookmarkStart w:id="29" w:name="_Toc61002914"/>
      <w:bookmarkStart w:id="30" w:name="_Toc62041392"/>
      <w:r w:rsidRPr="002C2775">
        <w:t>Drug cost/patient/year</w:t>
      </w:r>
      <w:bookmarkEnd w:id="29"/>
      <w:r w:rsidR="0050247D">
        <w:t xml:space="preserve"> (effective)</w:t>
      </w:r>
      <w:bookmarkEnd w:id="30"/>
    </w:p>
    <w:p w:rsidR="00DE2E5B" w:rsidRPr="006808BF" w:rsidRDefault="00DE2E5B" w:rsidP="00BD7A90">
      <w:pPr>
        <w:pStyle w:val="ListParagraph"/>
        <w:widowControl/>
        <w:numPr>
          <w:ilvl w:val="1"/>
          <w:numId w:val="1"/>
        </w:numPr>
      </w:pPr>
      <w:r w:rsidRPr="006808BF">
        <w:rPr>
          <w:iCs/>
        </w:rPr>
        <w:t xml:space="preserve">The total </w:t>
      </w:r>
      <w:r w:rsidR="0050247D" w:rsidRPr="006808BF">
        <w:rPr>
          <w:iCs/>
        </w:rPr>
        <w:t xml:space="preserve">drug </w:t>
      </w:r>
      <w:r w:rsidRPr="006808BF">
        <w:rPr>
          <w:iCs/>
        </w:rPr>
        <w:t xml:space="preserve">cost </w:t>
      </w:r>
      <w:r w:rsidR="0050247D" w:rsidRPr="006808BF">
        <w:rPr>
          <w:iCs/>
        </w:rPr>
        <w:t xml:space="preserve">for </w:t>
      </w:r>
      <w:r w:rsidRPr="006808BF">
        <w:rPr>
          <w:iCs/>
        </w:rPr>
        <w:t>brolucizumab per patient per year is $</w:t>
      </w:r>
      <w:r w:rsidR="00FF1746">
        <w:rPr>
          <w:iCs/>
          <w:noProof/>
          <w:color w:val="000000"/>
          <w:highlight w:val="black"/>
        </w:rPr>
        <w:t>''''''''''</w:t>
      </w:r>
      <w:r w:rsidRPr="006808BF">
        <w:rPr>
          <w:iCs/>
        </w:rPr>
        <w:t xml:space="preserve"> for the first year of treatment, based on 11.2 doses per year (DUSC review 2018, average figure for switch population </w:t>
      </w:r>
      <w:r w:rsidR="0050247D" w:rsidRPr="006808BF">
        <w:rPr>
          <w:iCs/>
        </w:rPr>
        <w:t>Y</w:t>
      </w:r>
      <w:r w:rsidRPr="006808BF">
        <w:rPr>
          <w:iCs/>
        </w:rPr>
        <w:t xml:space="preserve">ear 1 and includes the loading doses). </w:t>
      </w:r>
      <w:r w:rsidR="0050247D" w:rsidRPr="006808BF">
        <w:rPr>
          <w:iCs/>
        </w:rPr>
        <w:t>This compares to a drug cost for ranibizumab of $</w:t>
      </w:r>
      <w:r w:rsidR="00FF1746">
        <w:rPr>
          <w:iCs/>
          <w:noProof/>
          <w:color w:val="000000"/>
          <w:highlight w:val="black"/>
        </w:rPr>
        <w:t>'''''''''''</w:t>
      </w:r>
      <w:r w:rsidR="0050247D" w:rsidRPr="006808BF">
        <w:rPr>
          <w:iCs/>
        </w:rPr>
        <w:t>, based on 11.2 doses per year</w:t>
      </w:r>
      <w:r w:rsidR="00B16E11" w:rsidRPr="006808BF">
        <w:rPr>
          <w:iCs/>
        </w:rPr>
        <w:t xml:space="preserve"> (using the effective price</w:t>
      </w:r>
      <w:r w:rsidR="00C743B3" w:rsidRPr="006808BF">
        <w:rPr>
          <w:iCs/>
        </w:rPr>
        <w:t xml:space="preserve"> for ranibizumab</w:t>
      </w:r>
      <w:r w:rsidR="00B16E11" w:rsidRPr="006808BF">
        <w:rPr>
          <w:iCs/>
        </w:rPr>
        <w:t>)</w:t>
      </w:r>
      <w:r w:rsidR="0050247D" w:rsidRPr="006808BF">
        <w:rPr>
          <w:iCs/>
        </w:rPr>
        <w:t xml:space="preserve">. </w:t>
      </w:r>
    </w:p>
    <w:p w:rsidR="00DE2E5B" w:rsidRPr="006808BF" w:rsidRDefault="00DE2E5B" w:rsidP="00BD7A90">
      <w:pPr>
        <w:pStyle w:val="ListParagraph"/>
        <w:widowControl/>
        <w:numPr>
          <w:ilvl w:val="1"/>
          <w:numId w:val="1"/>
        </w:numPr>
      </w:pPr>
      <w:r w:rsidRPr="006808BF">
        <w:rPr>
          <w:iCs/>
        </w:rPr>
        <w:t>The total cost of brolucizumab per patient per year is $</w:t>
      </w:r>
      <w:r w:rsidR="00FF1746">
        <w:rPr>
          <w:iCs/>
          <w:noProof/>
          <w:color w:val="000000"/>
          <w:highlight w:val="black"/>
        </w:rPr>
        <w:t>'''''''''''</w:t>
      </w:r>
      <w:r w:rsidRPr="006808BF">
        <w:rPr>
          <w:iCs/>
        </w:rPr>
        <w:t xml:space="preserve"> for subsequent years of treatment, based on the 8.9 doses per year (DUSC review 2018, average figure for switch population years 2+). </w:t>
      </w:r>
      <w:r w:rsidR="0050247D" w:rsidRPr="006808BF">
        <w:rPr>
          <w:iCs/>
        </w:rPr>
        <w:t>This compares to a drug cost for ranibizumab of $</w:t>
      </w:r>
      <w:r w:rsidR="00FF1746">
        <w:rPr>
          <w:iCs/>
          <w:noProof/>
          <w:color w:val="000000"/>
          <w:highlight w:val="black"/>
        </w:rPr>
        <w:t>'''''''''''</w:t>
      </w:r>
      <w:r w:rsidR="0050247D" w:rsidRPr="006808BF">
        <w:rPr>
          <w:iCs/>
        </w:rPr>
        <w:t>, based on 8.9 doses per year</w:t>
      </w:r>
      <w:r w:rsidR="00C743B3" w:rsidRPr="006808BF">
        <w:rPr>
          <w:iCs/>
        </w:rPr>
        <w:t xml:space="preserve"> (using the effective price for ranibizumab)</w:t>
      </w:r>
      <w:r w:rsidR="0050247D" w:rsidRPr="006808BF">
        <w:rPr>
          <w:iCs/>
        </w:rPr>
        <w:t>.</w:t>
      </w:r>
    </w:p>
    <w:p w:rsidR="00DE2E5B" w:rsidRPr="00C9624D" w:rsidRDefault="00DE2E5B" w:rsidP="00C604F1">
      <w:pPr>
        <w:pStyle w:val="Heading2"/>
        <w:spacing w:after="120"/>
      </w:pPr>
      <w:bookmarkStart w:id="31" w:name="_Toc61002915"/>
      <w:bookmarkStart w:id="32" w:name="_Toc62041393"/>
      <w:r w:rsidRPr="00C9624D">
        <w:t>Estimated PBS usage &amp; financial implications</w:t>
      </w:r>
      <w:bookmarkEnd w:id="31"/>
      <w:bookmarkEnd w:id="32"/>
    </w:p>
    <w:p w:rsidR="00502AD8" w:rsidRDefault="00502AD8" w:rsidP="00BD7A90">
      <w:pPr>
        <w:pStyle w:val="ListParagraph"/>
        <w:widowControl/>
        <w:numPr>
          <w:ilvl w:val="1"/>
          <w:numId w:val="1"/>
        </w:numPr>
      </w:pPr>
      <w:r>
        <w:t xml:space="preserve">This resubmission was not considered by DUSC. </w:t>
      </w:r>
      <w:r w:rsidR="00DE2E5B" w:rsidRPr="00C5538D">
        <w:t>The resubmission used an epidemiological approach to estimate the likely predicted use and financial impact of listing brolucizumab on the PBS</w:t>
      </w:r>
      <w:r w:rsidR="00FC7C5F">
        <w:t xml:space="preserve"> for patients with subfoveal CNV due to AMD</w:t>
      </w:r>
      <w:r w:rsidR="00DE2E5B" w:rsidRPr="00C5538D">
        <w:t>.</w:t>
      </w:r>
      <w:r w:rsidR="00FC7C5F">
        <w:t xml:space="preserve"> </w:t>
      </w:r>
    </w:p>
    <w:p w:rsidR="00FC7C5F" w:rsidRDefault="00FC7C5F" w:rsidP="00BD7A90">
      <w:pPr>
        <w:pStyle w:val="ListParagraph"/>
        <w:widowControl/>
        <w:numPr>
          <w:ilvl w:val="1"/>
          <w:numId w:val="1"/>
        </w:numPr>
      </w:pPr>
      <w:r>
        <w:t>The Sponsor based their estimates on 2 subpopulations: the annual switch population from the 10% PBS sample (those patients who switch from ranibizumab to aflibercept or vice versa); and the treated prevalent population (all treated patients, less switchers and discontinuers, who have active disease after 3 years).</w:t>
      </w:r>
      <w:r w:rsidR="00502AD8">
        <w:t xml:space="preserve"> </w:t>
      </w:r>
      <w:r>
        <w:t>The Sponsor used an uptake rate of 30% (Y</w:t>
      </w:r>
      <w:r w:rsidR="00C972E2">
        <w:t>ea</w:t>
      </w:r>
      <w:r>
        <w:t>r 1), 40% (Y</w:t>
      </w:r>
      <w:r w:rsidR="00C972E2">
        <w:t>ea</w:t>
      </w:r>
      <w:r>
        <w:t>r 2)</w:t>
      </w:r>
      <w:r w:rsidR="00C972E2">
        <w:t>, 50% (Year 3), and 60% for Years 4, 5 and 6.</w:t>
      </w:r>
      <w:r w:rsidR="00391AD6">
        <w:t xml:space="preserve"> </w:t>
      </w:r>
      <w:r w:rsidR="00391AD6" w:rsidRPr="00391AD6">
        <w:t>The PBAC considered there were issues with the internal and external validity of the resubmission’s estimates of prevalent patients and the</w:t>
      </w:r>
      <w:r w:rsidR="00391AD6">
        <w:t xml:space="preserve"> uptake rates applied were uncertain.</w:t>
      </w:r>
      <w:r w:rsidR="00391AD6" w:rsidRPr="00391AD6">
        <w:t xml:space="preserve"> </w:t>
      </w:r>
    </w:p>
    <w:p w:rsidR="00DE2E5B" w:rsidRPr="00B50DB8" w:rsidRDefault="00DE2E5B" w:rsidP="00BD7A90">
      <w:pPr>
        <w:pStyle w:val="ListParagraph"/>
        <w:widowControl/>
        <w:numPr>
          <w:ilvl w:val="1"/>
          <w:numId w:val="1"/>
        </w:numPr>
      </w:pPr>
      <w:r w:rsidRPr="00B63C66">
        <w:rPr>
          <w:color w:val="000000" w:themeColor="text1"/>
        </w:rPr>
        <w:t xml:space="preserve">The </w:t>
      </w:r>
      <w:r>
        <w:rPr>
          <w:color w:val="000000" w:themeColor="text1"/>
        </w:rPr>
        <w:t>estimated use and financial implications of listing brolucizumab on the PBS are summarised</w:t>
      </w:r>
      <w:r w:rsidR="0038162C">
        <w:rPr>
          <w:color w:val="000000" w:themeColor="text1"/>
        </w:rPr>
        <w:t xml:space="preserve"> in Table 7</w:t>
      </w:r>
      <w:r>
        <w:rPr>
          <w:color w:val="000000" w:themeColor="text1"/>
        </w:rPr>
        <w:t>.</w:t>
      </w:r>
    </w:p>
    <w:p w:rsidR="00DE2E5B" w:rsidRPr="00C25D9C" w:rsidRDefault="0050247D" w:rsidP="00CD7BF3">
      <w:pPr>
        <w:keepNext/>
        <w:keepLines/>
      </w:pPr>
      <w:r w:rsidRPr="0050247D">
        <w:rPr>
          <w:rStyle w:val="CommentReference"/>
        </w:rPr>
        <w:t xml:space="preserve">Table </w:t>
      </w:r>
      <w:r w:rsidR="00CD7BF3">
        <w:rPr>
          <w:rStyle w:val="CommentReference"/>
          <w:noProof/>
        </w:rPr>
        <w:t>7</w:t>
      </w:r>
      <w:r w:rsidR="00DE2E5B" w:rsidRPr="001222FC">
        <w:rPr>
          <w:rStyle w:val="CommentReference"/>
        </w:rPr>
        <w:t>: Estimated use and financial implications</w:t>
      </w: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76"/>
        <w:gridCol w:w="1147"/>
        <w:gridCol w:w="1192"/>
        <w:gridCol w:w="1134"/>
        <w:gridCol w:w="1096"/>
        <w:gridCol w:w="1179"/>
        <w:gridCol w:w="1177"/>
      </w:tblGrid>
      <w:tr w:rsidR="0018667F" w:rsidRPr="00D1078F" w:rsidTr="00FF1746">
        <w:trPr>
          <w:trHeight w:val="237"/>
          <w:tblHeader/>
        </w:trPr>
        <w:tc>
          <w:tcPr>
            <w:tcW w:w="1317" w:type="pct"/>
            <w:shd w:val="clear" w:color="auto" w:fill="auto"/>
            <w:vAlign w:val="center"/>
          </w:tcPr>
          <w:p w:rsidR="00DE2E5B" w:rsidRPr="003639A6" w:rsidRDefault="00DE2E5B" w:rsidP="00CD7BF3">
            <w:pPr>
              <w:pStyle w:val="Tabletext"/>
              <w:keepNext/>
              <w:keepLines/>
            </w:pPr>
          </w:p>
        </w:tc>
        <w:tc>
          <w:tcPr>
            <w:tcW w:w="610" w:type="pct"/>
            <w:shd w:val="clear" w:color="auto" w:fill="auto"/>
            <w:vAlign w:val="center"/>
          </w:tcPr>
          <w:p w:rsidR="00DE2E5B" w:rsidRPr="00D1078F" w:rsidRDefault="00DE2E5B" w:rsidP="00CD7BF3">
            <w:pPr>
              <w:pStyle w:val="Tabletext"/>
              <w:keepNext/>
              <w:keepLines/>
              <w:jc w:val="center"/>
              <w:rPr>
                <w:b/>
              </w:rPr>
            </w:pPr>
            <w:r w:rsidRPr="00D1078F">
              <w:rPr>
                <w:b/>
              </w:rPr>
              <w:t>Year 1</w:t>
            </w:r>
          </w:p>
        </w:tc>
        <w:tc>
          <w:tcPr>
            <w:tcW w:w="634" w:type="pct"/>
            <w:shd w:val="clear" w:color="auto" w:fill="auto"/>
            <w:vAlign w:val="center"/>
          </w:tcPr>
          <w:p w:rsidR="00DE2E5B" w:rsidRPr="00D1078F" w:rsidRDefault="00DE2E5B" w:rsidP="00CD7BF3">
            <w:pPr>
              <w:pStyle w:val="Tabletext"/>
              <w:keepNext/>
              <w:keepLines/>
              <w:jc w:val="center"/>
              <w:rPr>
                <w:b/>
              </w:rPr>
            </w:pPr>
            <w:r w:rsidRPr="00D1078F">
              <w:rPr>
                <w:b/>
              </w:rPr>
              <w:t>Year 2</w:t>
            </w:r>
          </w:p>
        </w:tc>
        <w:tc>
          <w:tcPr>
            <w:tcW w:w="603" w:type="pct"/>
            <w:shd w:val="clear" w:color="auto" w:fill="auto"/>
            <w:vAlign w:val="center"/>
          </w:tcPr>
          <w:p w:rsidR="00DE2E5B" w:rsidRPr="00D1078F" w:rsidRDefault="00DE2E5B" w:rsidP="00CD7BF3">
            <w:pPr>
              <w:pStyle w:val="Tabletext"/>
              <w:keepNext/>
              <w:keepLines/>
              <w:jc w:val="center"/>
              <w:rPr>
                <w:b/>
              </w:rPr>
            </w:pPr>
            <w:r w:rsidRPr="00D1078F">
              <w:rPr>
                <w:b/>
              </w:rPr>
              <w:t>Year 3</w:t>
            </w:r>
          </w:p>
        </w:tc>
        <w:tc>
          <w:tcPr>
            <w:tcW w:w="583" w:type="pct"/>
            <w:shd w:val="clear" w:color="auto" w:fill="auto"/>
            <w:vAlign w:val="center"/>
          </w:tcPr>
          <w:p w:rsidR="00DE2E5B" w:rsidRPr="00D1078F" w:rsidRDefault="00DE2E5B" w:rsidP="00CD7BF3">
            <w:pPr>
              <w:pStyle w:val="Tabletext"/>
              <w:keepNext/>
              <w:keepLines/>
              <w:jc w:val="center"/>
              <w:rPr>
                <w:b/>
              </w:rPr>
            </w:pPr>
            <w:r w:rsidRPr="00D1078F">
              <w:rPr>
                <w:b/>
              </w:rPr>
              <w:t>Year 4</w:t>
            </w:r>
          </w:p>
        </w:tc>
        <w:tc>
          <w:tcPr>
            <w:tcW w:w="627" w:type="pct"/>
            <w:shd w:val="clear" w:color="auto" w:fill="auto"/>
            <w:vAlign w:val="center"/>
          </w:tcPr>
          <w:p w:rsidR="00DE2E5B" w:rsidRPr="00D1078F" w:rsidRDefault="00DE2E5B" w:rsidP="00CD7BF3">
            <w:pPr>
              <w:pStyle w:val="Tabletext"/>
              <w:keepNext/>
              <w:keepLines/>
              <w:jc w:val="center"/>
              <w:rPr>
                <w:b/>
              </w:rPr>
            </w:pPr>
            <w:r w:rsidRPr="00D1078F">
              <w:rPr>
                <w:b/>
              </w:rPr>
              <w:t>Year 5</w:t>
            </w:r>
          </w:p>
        </w:tc>
        <w:tc>
          <w:tcPr>
            <w:tcW w:w="626" w:type="pct"/>
          </w:tcPr>
          <w:p w:rsidR="00DE2E5B" w:rsidRPr="00D1078F" w:rsidRDefault="00DE2E5B" w:rsidP="00CD7BF3">
            <w:pPr>
              <w:pStyle w:val="Tabletext"/>
              <w:keepNext/>
              <w:keepLines/>
              <w:jc w:val="center"/>
              <w:rPr>
                <w:b/>
              </w:rPr>
            </w:pPr>
            <w:r w:rsidRPr="00D1078F">
              <w:rPr>
                <w:b/>
              </w:rPr>
              <w:t>Year 6</w:t>
            </w:r>
          </w:p>
        </w:tc>
      </w:tr>
      <w:tr w:rsidR="00DE2E5B" w:rsidRPr="00D1078F" w:rsidTr="0018667F">
        <w:trPr>
          <w:trHeight w:val="230"/>
        </w:trPr>
        <w:tc>
          <w:tcPr>
            <w:tcW w:w="5000" w:type="pct"/>
            <w:gridSpan w:val="7"/>
            <w:shd w:val="clear" w:color="auto" w:fill="auto"/>
            <w:vAlign w:val="center"/>
          </w:tcPr>
          <w:p w:rsidR="00DE2E5B" w:rsidRPr="00D1078F" w:rsidRDefault="00DE2E5B" w:rsidP="00CD7BF3">
            <w:pPr>
              <w:pStyle w:val="Tabletext"/>
              <w:keepNext/>
              <w:keepLines/>
              <w:rPr>
                <w:b/>
                <w:bCs/>
                <w:color w:val="000000"/>
              </w:rPr>
            </w:pPr>
            <w:r w:rsidRPr="00D1078F">
              <w:rPr>
                <w:b/>
                <w:bCs/>
                <w:color w:val="000000"/>
              </w:rPr>
              <w:t>Estimated extent of use</w:t>
            </w:r>
          </w:p>
        </w:tc>
      </w:tr>
      <w:tr w:rsidR="0018667F" w:rsidRPr="003639A6" w:rsidTr="00FF1746">
        <w:trPr>
          <w:trHeight w:val="467"/>
        </w:trPr>
        <w:tc>
          <w:tcPr>
            <w:tcW w:w="1317" w:type="pct"/>
            <w:shd w:val="clear" w:color="auto" w:fill="auto"/>
            <w:vAlign w:val="center"/>
          </w:tcPr>
          <w:p w:rsidR="00DE2E5B" w:rsidRPr="003639A6" w:rsidRDefault="00DE2E5B" w:rsidP="00CD7BF3">
            <w:pPr>
              <w:pStyle w:val="Tabletext"/>
              <w:keepNext/>
              <w:keepLines/>
            </w:pPr>
            <w:r>
              <w:t>Total no. of patients treated (initiating + continuing)</w:t>
            </w:r>
          </w:p>
        </w:tc>
        <w:tc>
          <w:tcPr>
            <w:tcW w:w="610" w:type="pct"/>
            <w:shd w:val="clear" w:color="auto" w:fill="auto"/>
            <w:vAlign w:val="center"/>
          </w:tcPr>
          <w:p w:rsidR="00DE2E5B" w:rsidRPr="00266E19" w:rsidRDefault="00FF1746" w:rsidP="00CD7BF3">
            <w:pPr>
              <w:pStyle w:val="Tabletext"/>
              <w:keepNext/>
              <w:keepLines/>
              <w:jc w:val="center"/>
              <w:rPr>
                <w:vertAlign w:val="superscript"/>
              </w:rPr>
            </w:pPr>
            <w:r>
              <w:rPr>
                <w:noProof/>
                <w:color w:val="000000"/>
                <w:highlight w:val="black"/>
              </w:rPr>
              <w:t>'''''''''''''''</w:t>
            </w:r>
            <w:r w:rsidR="00266E19">
              <w:rPr>
                <w:vertAlign w:val="superscript"/>
              </w:rPr>
              <w:t>1</w:t>
            </w:r>
          </w:p>
        </w:tc>
        <w:tc>
          <w:tcPr>
            <w:tcW w:w="634" w:type="pct"/>
            <w:shd w:val="clear" w:color="auto" w:fill="auto"/>
            <w:vAlign w:val="center"/>
          </w:tcPr>
          <w:p w:rsidR="00DE2E5B" w:rsidRPr="00266E19" w:rsidRDefault="00FF1746" w:rsidP="00CD7BF3">
            <w:pPr>
              <w:pStyle w:val="Tabletext"/>
              <w:keepNext/>
              <w:keepLines/>
              <w:jc w:val="center"/>
              <w:rPr>
                <w:vertAlign w:val="superscript"/>
              </w:rPr>
            </w:pPr>
            <w:r>
              <w:rPr>
                <w:noProof/>
                <w:color w:val="000000"/>
                <w:highlight w:val="black"/>
              </w:rPr>
              <w:t>''''''''''''''</w:t>
            </w:r>
            <w:r w:rsidR="00266E19">
              <w:rPr>
                <w:vertAlign w:val="superscript"/>
              </w:rPr>
              <w:t>1</w:t>
            </w:r>
          </w:p>
        </w:tc>
        <w:tc>
          <w:tcPr>
            <w:tcW w:w="603" w:type="pct"/>
            <w:shd w:val="clear" w:color="auto" w:fill="auto"/>
            <w:vAlign w:val="center"/>
          </w:tcPr>
          <w:p w:rsidR="00DE2E5B" w:rsidRPr="00266E19" w:rsidRDefault="00FF1746" w:rsidP="00CD7BF3">
            <w:pPr>
              <w:pStyle w:val="Tabletext"/>
              <w:keepNext/>
              <w:keepLines/>
              <w:jc w:val="center"/>
              <w:rPr>
                <w:vertAlign w:val="superscript"/>
              </w:rPr>
            </w:pPr>
            <w:r>
              <w:rPr>
                <w:noProof/>
                <w:color w:val="000000"/>
                <w:highlight w:val="black"/>
              </w:rPr>
              <w:t>'''''''''''''''</w:t>
            </w:r>
            <w:r w:rsidR="00266E19">
              <w:rPr>
                <w:vertAlign w:val="superscript"/>
              </w:rPr>
              <w:t>2</w:t>
            </w:r>
          </w:p>
        </w:tc>
        <w:tc>
          <w:tcPr>
            <w:tcW w:w="583" w:type="pct"/>
            <w:shd w:val="clear" w:color="auto" w:fill="auto"/>
            <w:vAlign w:val="center"/>
          </w:tcPr>
          <w:p w:rsidR="00DE2E5B" w:rsidRPr="00133CEF" w:rsidRDefault="00FF1746" w:rsidP="00CD7BF3">
            <w:pPr>
              <w:pStyle w:val="Tabletext"/>
              <w:keepNext/>
              <w:keepLines/>
              <w:jc w:val="center"/>
            </w:pPr>
            <w:r>
              <w:rPr>
                <w:noProof/>
                <w:color w:val="000000"/>
                <w:highlight w:val="black"/>
              </w:rPr>
              <w:t>'''''''''''''''</w:t>
            </w:r>
            <w:r w:rsidR="00266E19">
              <w:rPr>
                <w:vertAlign w:val="superscript"/>
              </w:rPr>
              <w:t>2</w:t>
            </w:r>
          </w:p>
        </w:tc>
        <w:tc>
          <w:tcPr>
            <w:tcW w:w="627" w:type="pct"/>
            <w:shd w:val="clear" w:color="auto" w:fill="auto"/>
            <w:vAlign w:val="center"/>
          </w:tcPr>
          <w:p w:rsidR="00DE2E5B" w:rsidRPr="00133CEF" w:rsidRDefault="00FF1746" w:rsidP="00CD7BF3">
            <w:pPr>
              <w:pStyle w:val="Tabletext"/>
              <w:keepNext/>
              <w:keepLines/>
              <w:jc w:val="center"/>
            </w:pPr>
            <w:r>
              <w:rPr>
                <w:noProof/>
                <w:color w:val="000000"/>
                <w:highlight w:val="black"/>
              </w:rPr>
              <w:t>'''''''''''''''</w:t>
            </w:r>
            <w:r w:rsidR="00266E19">
              <w:rPr>
                <w:vertAlign w:val="superscript"/>
              </w:rPr>
              <w:t>2</w:t>
            </w:r>
          </w:p>
        </w:tc>
        <w:tc>
          <w:tcPr>
            <w:tcW w:w="626" w:type="pct"/>
            <w:vAlign w:val="center"/>
          </w:tcPr>
          <w:p w:rsidR="00DE2E5B" w:rsidRPr="00133CEF" w:rsidRDefault="00FF1746" w:rsidP="00CD7BF3">
            <w:pPr>
              <w:pStyle w:val="Tabletext"/>
              <w:keepNext/>
              <w:keepLines/>
              <w:jc w:val="center"/>
            </w:pPr>
            <w:r>
              <w:rPr>
                <w:noProof/>
                <w:color w:val="000000"/>
                <w:highlight w:val="black"/>
              </w:rPr>
              <w:t>''''''''''''''''''</w:t>
            </w:r>
            <w:r w:rsidR="00266E19">
              <w:rPr>
                <w:vertAlign w:val="superscript"/>
              </w:rPr>
              <w:t>2</w:t>
            </w:r>
          </w:p>
        </w:tc>
      </w:tr>
      <w:tr w:rsidR="0018667F" w:rsidRPr="003639A6" w:rsidTr="00FF1746">
        <w:trPr>
          <w:trHeight w:val="237"/>
        </w:trPr>
        <w:tc>
          <w:tcPr>
            <w:tcW w:w="1317" w:type="pct"/>
            <w:shd w:val="clear" w:color="auto" w:fill="auto"/>
            <w:vAlign w:val="center"/>
          </w:tcPr>
          <w:p w:rsidR="00DE2E5B" w:rsidRPr="003639A6" w:rsidRDefault="00DE2E5B" w:rsidP="00CD7BF3">
            <w:pPr>
              <w:pStyle w:val="Tabletext"/>
              <w:keepNext/>
              <w:keepLines/>
              <w:rPr>
                <w:rFonts w:ascii="Times" w:hAnsi="Times"/>
              </w:rPr>
            </w:pPr>
            <w:r w:rsidRPr="003639A6">
              <w:t xml:space="preserve">Number of </w:t>
            </w:r>
            <w:r>
              <w:t>scripts</w:t>
            </w:r>
            <w:r w:rsidRPr="003639A6">
              <w:t xml:space="preserve"> dispensed</w:t>
            </w:r>
            <w:r w:rsidRPr="003639A6">
              <w:rPr>
                <w:vertAlign w:val="superscript"/>
              </w:rPr>
              <w:t>a</w:t>
            </w:r>
          </w:p>
        </w:tc>
        <w:tc>
          <w:tcPr>
            <w:tcW w:w="610" w:type="pct"/>
            <w:shd w:val="clear" w:color="auto" w:fill="auto"/>
            <w:vAlign w:val="center"/>
          </w:tcPr>
          <w:p w:rsidR="00DE2E5B" w:rsidRPr="00266E19" w:rsidRDefault="00FF1746" w:rsidP="00CD7BF3">
            <w:pPr>
              <w:pStyle w:val="Tabletext"/>
              <w:keepNext/>
              <w:keepLines/>
              <w:jc w:val="center"/>
              <w:rPr>
                <w:bCs/>
                <w:color w:val="000000"/>
                <w:vertAlign w:val="superscript"/>
              </w:rPr>
            </w:pPr>
            <w:r>
              <w:rPr>
                <w:noProof/>
                <w:color w:val="000000"/>
                <w:highlight w:val="black"/>
              </w:rPr>
              <w:t>'''''''''''''''</w:t>
            </w:r>
            <w:r w:rsidR="00266E19">
              <w:rPr>
                <w:vertAlign w:val="superscript"/>
              </w:rPr>
              <w:t>3</w:t>
            </w:r>
          </w:p>
        </w:tc>
        <w:tc>
          <w:tcPr>
            <w:tcW w:w="634" w:type="pct"/>
            <w:shd w:val="clear" w:color="auto" w:fill="auto"/>
            <w:vAlign w:val="center"/>
          </w:tcPr>
          <w:p w:rsidR="00DE2E5B" w:rsidRPr="003639A6" w:rsidRDefault="00FF1746" w:rsidP="00CD7BF3">
            <w:pPr>
              <w:pStyle w:val="Tabletext"/>
              <w:keepNext/>
              <w:keepLines/>
              <w:jc w:val="center"/>
              <w:rPr>
                <w:bCs/>
                <w:color w:val="000000"/>
              </w:rPr>
            </w:pPr>
            <w:r>
              <w:rPr>
                <w:noProof/>
                <w:color w:val="000000"/>
                <w:highlight w:val="black"/>
              </w:rPr>
              <w:t>'''''''''''''''''</w:t>
            </w:r>
            <w:r w:rsidR="00266E19">
              <w:rPr>
                <w:vertAlign w:val="superscript"/>
              </w:rPr>
              <w:t>4</w:t>
            </w:r>
          </w:p>
        </w:tc>
        <w:tc>
          <w:tcPr>
            <w:tcW w:w="603" w:type="pct"/>
            <w:shd w:val="clear" w:color="auto" w:fill="auto"/>
            <w:vAlign w:val="center"/>
          </w:tcPr>
          <w:p w:rsidR="00DE2E5B" w:rsidRPr="003639A6" w:rsidRDefault="00FF1746" w:rsidP="00CD7BF3">
            <w:pPr>
              <w:pStyle w:val="Tabletext"/>
              <w:keepNext/>
              <w:keepLines/>
              <w:jc w:val="center"/>
              <w:rPr>
                <w:bCs/>
                <w:color w:val="000000"/>
              </w:rPr>
            </w:pPr>
            <w:r>
              <w:rPr>
                <w:noProof/>
                <w:color w:val="000000"/>
                <w:highlight w:val="black"/>
              </w:rPr>
              <w:t>'''''''''''''''''</w:t>
            </w:r>
            <w:r w:rsidR="00E74BA0">
              <w:rPr>
                <w:vertAlign w:val="superscript"/>
              </w:rPr>
              <w:t>5</w:t>
            </w:r>
          </w:p>
        </w:tc>
        <w:tc>
          <w:tcPr>
            <w:tcW w:w="583" w:type="pct"/>
            <w:shd w:val="clear" w:color="auto" w:fill="auto"/>
            <w:vAlign w:val="center"/>
          </w:tcPr>
          <w:p w:rsidR="00DE2E5B" w:rsidRPr="003639A6" w:rsidRDefault="00FF1746" w:rsidP="00CD7BF3">
            <w:pPr>
              <w:pStyle w:val="Tabletext"/>
              <w:keepNext/>
              <w:keepLines/>
              <w:jc w:val="center"/>
              <w:rPr>
                <w:bCs/>
                <w:color w:val="000000"/>
              </w:rPr>
            </w:pPr>
            <w:r>
              <w:rPr>
                <w:noProof/>
                <w:color w:val="000000"/>
                <w:highlight w:val="black"/>
              </w:rPr>
              <w:t>'''''''''''''''''''''</w:t>
            </w:r>
            <w:r w:rsidR="00E74BA0">
              <w:rPr>
                <w:vertAlign w:val="superscript"/>
              </w:rPr>
              <w:t>5</w:t>
            </w:r>
          </w:p>
        </w:tc>
        <w:tc>
          <w:tcPr>
            <w:tcW w:w="627" w:type="pct"/>
            <w:shd w:val="clear" w:color="auto" w:fill="auto"/>
            <w:vAlign w:val="center"/>
          </w:tcPr>
          <w:p w:rsidR="00DE2E5B" w:rsidRPr="003639A6" w:rsidRDefault="00FF1746" w:rsidP="00CD7BF3">
            <w:pPr>
              <w:pStyle w:val="Tabletext"/>
              <w:keepNext/>
              <w:keepLines/>
              <w:jc w:val="center"/>
              <w:rPr>
                <w:bCs/>
                <w:color w:val="000000"/>
              </w:rPr>
            </w:pPr>
            <w:r>
              <w:rPr>
                <w:noProof/>
                <w:color w:val="000000"/>
                <w:highlight w:val="black"/>
              </w:rPr>
              <w:t>''''''''''''''''''</w:t>
            </w:r>
            <w:r w:rsidR="00E74BA0">
              <w:rPr>
                <w:vertAlign w:val="superscript"/>
              </w:rPr>
              <w:t>5</w:t>
            </w:r>
          </w:p>
        </w:tc>
        <w:tc>
          <w:tcPr>
            <w:tcW w:w="626" w:type="pct"/>
            <w:vAlign w:val="center"/>
          </w:tcPr>
          <w:p w:rsidR="00DE2E5B" w:rsidRPr="003639A6" w:rsidRDefault="00FF1746" w:rsidP="00CD7BF3">
            <w:pPr>
              <w:pStyle w:val="Tabletext"/>
              <w:keepNext/>
              <w:keepLines/>
              <w:jc w:val="center"/>
              <w:rPr>
                <w:bCs/>
                <w:color w:val="000000"/>
              </w:rPr>
            </w:pPr>
            <w:r>
              <w:rPr>
                <w:noProof/>
                <w:color w:val="000000"/>
                <w:highlight w:val="black"/>
              </w:rPr>
              <w:t>''''''''''''''''''''</w:t>
            </w:r>
            <w:r w:rsidR="00E74BA0">
              <w:rPr>
                <w:vertAlign w:val="superscript"/>
              </w:rPr>
              <w:t>5</w:t>
            </w:r>
          </w:p>
        </w:tc>
      </w:tr>
      <w:tr w:rsidR="00DE2E5B" w:rsidRPr="00D1078F" w:rsidTr="0018667F">
        <w:trPr>
          <w:trHeight w:val="230"/>
        </w:trPr>
        <w:tc>
          <w:tcPr>
            <w:tcW w:w="5000" w:type="pct"/>
            <w:gridSpan w:val="7"/>
            <w:shd w:val="clear" w:color="auto" w:fill="auto"/>
            <w:vAlign w:val="center"/>
          </w:tcPr>
          <w:p w:rsidR="00DE2E5B" w:rsidRPr="00D1078F" w:rsidRDefault="00DE2E5B" w:rsidP="00CD7BF3">
            <w:pPr>
              <w:pStyle w:val="Tabletext"/>
              <w:keepNext/>
              <w:keepLines/>
              <w:rPr>
                <w:b/>
                <w:bCs/>
                <w:color w:val="000000"/>
              </w:rPr>
            </w:pPr>
            <w:r w:rsidRPr="00D1078F">
              <w:rPr>
                <w:b/>
                <w:bCs/>
                <w:color w:val="000000"/>
              </w:rPr>
              <w:t xml:space="preserve">Estimated </w:t>
            </w:r>
            <w:r>
              <w:rPr>
                <w:b/>
                <w:bCs/>
                <w:color w:val="000000"/>
              </w:rPr>
              <w:t>financial implications of brolucizumab</w:t>
            </w:r>
          </w:p>
        </w:tc>
      </w:tr>
      <w:tr w:rsidR="0018667F" w:rsidRPr="003639A6" w:rsidTr="00FF1746">
        <w:trPr>
          <w:trHeight w:val="237"/>
        </w:trPr>
        <w:tc>
          <w:tcPr>
            <w:tcW w:w="1317" w:type="pct"/>
            <w:shd w:val="clear" w:color="auto" w:fill="auto"/>
            <w:vAlign w:val="center"/>
          </w:tcPr>
          <w:p w:rsidR="00DE2E5B" w:rsidRDefault="00DE2E5B" w:rsidP="00CD7BF3">
            <w:pPr>
              <w:pStyle w:val="Tabletext"/>
              <w:keepNext/>
              <w:keepLines/>
              <w:rPr>
                <w:sz w:val="19"/>
                <w:szCs w:val="19"/>
              </w:rPr>
            </w:pPr>
            <w:r w:rsidRPr="00D8428B">
              <w:t>PBS/RPBS cost (effective)</w:t>
            </w:r>
            <w:r w:rsidRPr="00D8428B">
              <w:rPr>
                <w:color w:val="000000" w:themeColor="text1"/>
                <w:vertAlign w:val="superscript"/>
              </w:rPr>
              <w:t xml:space="preserve"> </w:t>
            </w:r>
            <w:r>
              <w:rPr>
                <w:color w:val="000000" w:themeColor="text1"/>
                <w:vertAlign w:val="superscript"/>
              </w:rPr>
              <w:t>b,c</w:t>
            </w:r>
          </w:p>
        </w:tc>
        <w:tc>
          <w:tcPr>
            <w:tcW w:w="610" w:type="pct"/>
            <w:shd w:val="clear" w:color="auto" w:fill="auto"/>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9C3BCC">
              <w:rPr>
                <w:vertAlign w:val="superscript"/>
              </w:rPr>
              <w:t>11</w:t>
            </w:r>
          </w:p>
        </w:tc>
        <w:tc>
          <w:tcPr>
            <w:tcW w:w="634" w:type="pct"/>
            <w:shd w:val="clear" w:color="auto" w:fill="auto"/>
          </w:tcPr>
          <w:p w:rsidR="00DE2E5B" w:rsidRPr="003639A6" w:rsidRDefault="00DE2E5B" w:rsidP="00CD7BF3">
            <w:pPr>
              <w:pStyle w:val="Tabletext"/>
              <w:keepNext/>
              <w:keepLines/>
              <w:jc w:val="center"/>
              <w:rPr>
                <w:bCs/>
                <w:color w:val="000000"/>
              </w:rPr>
            </w:pPr>
            <w:r w:rsidRPr="008E2E85">
              <w:t>$</w:t>
            </w:r>
            <w:r w:rsidR="00FF1746">
              <w:rPr>
                <w:noProof/>
                <w:color w:val="000000"/>
                <w:highlight w:val="black"/>
              </w:rPr>
              <w:t>'''''''''''''''''''''''''''</w:t>
            </w:r>
            <w:r w:rsidR="004D09E9">
              <w:rPr>
                <w:vertAlign w:val="superscript"/>
              </w:rPr>
              <w:t>12</w:t>
            </w:r>
          </w:p>
        </w:tc>
        <w:tc>
          <w:tcPr>
            <w:tcW w:w="603" w:type="pct"/>
            <w:shd w:val="clear" w:color="auto" w:fill="auto"/>
          </w:tcPr>
          <w:p w:rsidR="00DE2E5B" w:rsidRPr="00691841" w:rsidRDefault="00DE2E5B" w:rsidP="00CD7BF3">
            <w:pPr>
              <w:pStyle w:val="Tabletext"/>
              <w:keepNext/>
              <w:keepLines/>
              <w:jc w:val="center"/>
              <w:rPr>
                <w:bCs/>
                <w:color w:val="000000"/>
                <w:vertAlign w:val="superscript"/>
              </w:rPr>
            </w:pPr>
            <w:r>
              <w:t>$</w:t>
            </w:r>
            <w:r w:rsidR="00FF1746">
              <w:rPr>
                <w:noProof/>
                <w:color w:val="000000"/>
                <w:highlight w:val="black"/>
              </w:rPr>
              <w:t>''''''''''''''''''''''''</w:t>
            </w:r>
            <w:r w:rsidR="00691841" w:rsidRPr="00691841">
              <w:rPr>
                <w:vertAlign w:val="superscript"/>
              </w:rPr>
              <w:t>13</w:t>
            </w:r>
          </w:p>
        </w:tc>
        <w:tc>
          <w:tcPr>
            <w:tcW w:w="583" w:type="pct"/>
            <w:shd w:val="clear" w:color="auto" w:fill="auto"/>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18667F">
              <w:rPr>
                <w:rFonts w:cs="Arial"/>
                <w:sz w:val="19"/>
                <w:szCs w:val="19"/>
                <w:vertAlign w:val="superscript"/>
              </w:rPr>
              <w:t>14</w:t>
            </w:r>
          </w:p>
        </w:tc>
        <w:tc>
          <w:tcPr>
            <w:tcW w:w="627" w:type="pct"/>
            <w:shd w:val="clear" w:color="auto" w:fill="auto"/>
          </w:tcPr>
          <w:p w:rsidR="00DE2E5B" w:rsidRPr="0018667F" w:rsidRDefault="00DE2E5B" w:rsidP="00CD7BF3">
            <w:pPr>
              <w:pStyle w:val="Tabletext"/>
              <w:keepNext/>
              <w:keepLines/>
              <w:jc w:val="center"/>
              <w:rPr>
                <w:bCs/>
                <w:color w:val="000000"/>
                <w:vertAlign w:val="superscript"/>
              </w:rPr>
            </w:pPr>
            <w:r>
              <w:t>$</w:t>
            </w:r>
            <w:r w:rsidR="00FF1746">
              <w:rPr>
                <w:noProof/>
                <w:color w:val="000000"/>
                <w:highlight w:val="black"/>
              </w:rPr>
              <w:t>'''''''''''''''''''''''''''''</w:t>
            </w:r>
            <w:r w:rsidR="0018667F">
              <w:rPr>
                <w:vertAlign w:val="superscript"/>
              </w:rPr>
              <w:t>15</w:t>
            </w:r>
          </w:p>
        </w:tc>
        <w:tc>
          <w:tcPr>
            <w:tcW w:w="626" w:type="pct"/>
          </w:tcPr>
          <w:p w:rsidR="00DE2E5B" w:rsidRPr="0018667F" w:rsidRDefault="00DE2E5B" w:rsidP="00CD7BF3">
            <w:pPr>
              <w:pStyle w:val="Tabletext"/>
              <w:keepNext/>
              <w:keepLines/>
              <w:jc w:val="center"/>
              <w:rPr>
                <w:bCs/>
                <w:color w:val="000000"/>
                <w:vertAlign w:val="superscript"/>
              </w:rPr>
            </w:pPr>
            <w:r>
              <w:t>$</w:t>
            </w:r>
            <w:r w:rsidR="00FF1746">
              <w:rPr>
                <w:noProof/>
                <w:color w:val="000000"/>
                <w:highlight w:val="black"/>
              </w:rPr>
              <w:t>''''''''''''''''''''''''''''</w:t>
            </w:r>
            <w:r w:rsidR="0018667F" w:rsidRPr="0018667F">
              <w:rPr>
                <w:vertAlign w:val="superscript"/>
              </w:rPr>
              <w:t>16</w:t>
            </w:r>
          </w:p>
        </w:tc>
      </w:tr>
      <w:tr w:rsidR="00DE2E5B" w:rsidRPr="003639A6" w:rsidTr="0018667F">
        <w:trPr>
          <w:trHeight w:val="230"/>
        </w:trPr>
        <w:tc>
          <w:tcPr>
            <w:tcW w:w="5000" w:type="pct"/>
            <w:gridSpan w:val="7"/>
            <w:shd w:val="clear" w:color="auto" w:fill="auto"/>
            <w:vAlign w:val="center"/>
          </w:tcPr>
          <w:p w:rsidR="00DE2E5B" w:rsidRPr="003639A6" w:rsidRDefault="00DE2E5B" w:rsidP="00CD7BF3">
            <w:pPr>
              <w:pStyle w:val="Tabletext"/>
              <w:keepNext/>
              <w:keepLines/>
              <w:rPr>
                <w:bCs/>
                <w:color w:val="000000"/>
              </w:rPr>
            </w:pPr>
            <w:r w:rsidRPr="00D1078F">
              <w:rPr>
                <w:b/>
                <w:bCs/>
                <w:color w:val="000000"/>
              </w:rPr>
              <w:t xml:space="preserve">Estimated </w:t>
            </w:r>
            <w:r>
              <w:rPr>
                <w:b/>
                <w:bCs/>
                <w:color w:val="000000"/>
              </w:rPr>
              <w:t>financial implications for other medicines</w:t>
            </w:r>
          </w:p>
        </w:tc>
      </w:tr>
      <w:tr w:rsidR="0018667F" w:rsidRPr="00D8428B" w:rsidTr="00FF1746">
        <w:trPr>
          <w:trHeight w:val="60"/>
        </w:trPr>
        <w:tc>
          <w:tcPr>
            <w:tcW w:w="1317" w:type="pct"/>
            <w:tcBorders>
              <w:bottom w:val="single" w:sz="4" w:space="0" w:color="auto"/>
            </w:tcBorders>
            <w:shd w:val="clear" w:color="auto" w:fill="auto"/>
            <w:vAlign w:val="center"/>
          </w:tcPr>
          <w:p w:rsidR="00DE2E5B" w:rsidRPr="00D8428B" w:rsidRDefault="00DE2E5B" w:rsidP="00CD7BF3">
            <w:pPr>
              <w:pStyle w:val="TableText0"/>
              <w:keepLines/>
            </w:pPr>
            <w:r w:rsidRPr="00D8428B">
              <w:t>Changes in script numbers</w:t>
            </w:r>
            <w:r w:rsidR="006C45F9" w:rsidRPr="003639A6">
              <w:rPr>
                <w:vertAlign w:val="superscript"/>
              </w:rPr>
              <w:t>a</w:t>
            </w:r>
            <w:r>
              <w:t>:</w:t>
            </w:r>
          </w:p>
        </w:tc>
        <w:tc>
          <w:tcPr>
            <w:tcW w:w="610" w:type="pct"/>
            <w:tcBorders>
              <w:bottom w:val="single" w:sz="4" w:space="0" w:color="auto"/>
            </w:tcBorders>
            <w:shd w:val="clear" w:color="auto" w:fill="auto"/>
            <w:vAlign w:val="center"/>
          </w:tcPr>
          <w:p w:rsidR="00DE2E5B" w:rsidRPr="00C9324E" w:rsidRDefault="00DE2E5B" w:rsidP="00CD7BF3">
            <w:pPr>
              <w:pStyle w:val="TableText0"/>
              <w:keepLines/>
            </w:pPr>
          </w:p>
        </w:tc>
        <w:tc>
          <w:tcPr>
            <w:tcW w:w="634" w:type="pct"/>
            <w:tcBorders>
              <w:bottom w:val="single" w:sz="4" w:space="0" w:color="auto"/>
            </w:tcBorders>
            <w:shd w:val="clear" w:color="auto" w:fill="auto"/>
            <w:vAlign w:val="center"/>
          </w:tcPr>
          <w:p w:rsidR="00DE2E5B" w:rsidRPr="00C9324E" w:rsidRDefault="00DE2E5B" w:rsidP="00CD7BF3">
            <w:pPr>
              <w:pStyle w:val="TableText0"/>
              <w:keepLines/>
            </w:pPr>
          </w:p>
        </w:tc>
        <w:tc>
          <w:tcPr>
            <w:tcW w:w="603" w:type="pct"/>
            <w:tcBorders>
              <w:bottom w:val="single" w:sz="4" w:space="0" w:color="auto"/>
            </w:tcBorders>
            <w:shd w:val="clear" w:color="auto" w:fill="auto"/>
            <w:vAlign w:val="center"/>
          </w:tcPr>
          <w:p w:rsidR="00DE2E5B" w:rsidRPr="00C9324E" w:rsidRDefault="00DE2E5B" w:rsidP="00CD7BF3">
            <w:pPr>
              <w:pStyle w:val="TableText0"/>
              <w:keepLines/>
            </w:pPr>
          </w:p>
        </w:tc>
        <w:tc>
          <w:tcPr>
            <w:tcW w:w="583" w:type="pct"/>
            <w:tcBorders>
              <w:bottom w:val="single" w:sz="4" w:space="0" w:color="auto"/>
            </w:tcBorders>
            <w:shd w:val="clear" w:color="auto" w:fill="auto"/>
            <w:vAlign w:val="center"/>
          </w:tcPr>
          <w:p w:rsidR="00DE2E5B" w:rsidRPr="00C9324E" w:rsidRDefault="00DE2E5B" w:rsidP="00CD7BF3">
            <w:pPr>
              <w:pStyle w:val="TableText0"/>
              <w:keepLines/>
            </w:pPr>
          </w:p>
        </w:tc>
        <w:tc>
          <w:tcPr>
            <w:tcW w:w="627" w:type="pct"/>
            <w:tcBorders>
              <w:bottom w:val="single" w:sz="4" w:space="0" w:color="auto"/>
            </w:tcBorders>
            <w:shd w:val="clear" w:color="auto" w:fill="auto"/>
            <w:vAlign w:val="center"/>
          </w:tcPr>
          <w:p w:rsidR="00DE2E5B" w:rsidRPr="00C9324E" w:rsidRDefault="00DE2E5B" w:rsidP="00CD7BF3">
            <w:pPr>
              <w:pStyle w:val="TableText0"/>
              <w:keepLines/>
            </w:pPr>
          </w:p>
        </w:tc>
        <w:tc>
          <w:tcPr>
            <w:tcW w:w="626" w:type="pct"/>
            <w:tcBorders>
              <w:bottom w:val="single" w:sz="4" w:space="0" w:color="auto"/>
            </w:tcBorders>
            <w:shd w:val="clear" w:color="auto" w:fill="auto"/>
            <w:vAlign w:val="center"/>
          </w:tcPr>
          <w:p w:rsidR="00DE2E5B" w:rsidRPr="00C9324E" w:rsidRDefault="00DE2E5B" w:rsidP="00CD7BF3">
            <w:pPr>
              <w:pStyle w:val="TableText0"/>
              <w:keepLines/>
            </w:pPr>
          </w:p>
        </w:tc>
      </w:tr>
      <w:tr w:rsidR="0018667F" w:rsidRPr="00D8428B" w:rsidTr="00FF1746">
        <w:trPr>
          <w:trHeight w:val="316"/>
        </w:trPr>
        <w:tc>
          <w:tcPr>
            <w:tcW w:w="1317" w:type="pct"/>
            <w:tcBorders>
              <w:top w:val="single" w:sz="4" w:space="0" w:color="auto"/>
              <w:bottom w:val="single" w:sz="4" w:space="0" w:color="auto"/>
            </w:tcBorders>
            <w:shd w:val="clear" w:color="auto" w:fill="auto"/>
            <w:vAlign w:val="center"/>
          </w:tcPr>
          <w:p w:rsidR="00DE2E5B" w:rsidRPr="007E2909" w:rsidRDefault="00DE2E5B" w:rsidP="00CD7BF3">
            <w:pPr>
              <w:pStyle w:val="Tabletext"/>
              <w:keepNext/>
              <w:keepLines/>
            </w:pPr>
            <w:r>
              <w:t xml:space="preserve">   </w:t>
            </w:r>
            <w:r w:rsidRPr="007E2909">
              <w:t>Ranibizumab 1382R/10138N</w:t>
            </w:r>
          </w:p>
        </w:tc>
        <w:tc>
          <w:tcPr>
            <w:tcW w:w="610"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266E19">
              <w:rPr>
                <w:vertAlign w:val="superscript"/>
              </w:rPr>
              <w:t>2</w:t>
            </w:r>
          </w:p>
        </w:tc>
        <w:tc>
          <w:tcPr>
            <w:tcW w:w="634"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E74BA0">
              <w:rPr>
                <w:vertAlign w:val="superscript"/>
              </w:rPr>
              <w:t>7</w:t>
            </w:r>
          </w:p>
        </w:tc>
        <w:tc>
          <w:tcPr>
            <w:tcW w:w="603" w:type="pct"/>
            <w:tcBorders>
              <w:top w:val="single" w:sz="4" w:space="0" w:color="auto"/>
              <w:bottom w:val="single" w:sz="4" w:space="0" w:color="auto"/>
            </w:tcBorders>
            <w:shd w:val="clear" w:color="auto" w:fill="auto"/>
          </w:tcPr>
          <w:p w:rsidR="00DE2E5B" w:rsidRPr="00E74BA0" w:rsidRDefault="00DE2E5B" w:rsidP="00CD7BF3">
            <w:pPr>
              <w:pStyle w:val="TableText0"/>
              <w:keepLines/>
              <w:jc w:val="center"/>
              <w:rPr>
                <w:vertAlign w:val="superscript"/>
              </w:rPr>
            </w:pPr>
            <w:r>
              <w:t>-</w:t>
            </w:r>
            <w:r w:rsidR="00FF1746">
              <w:rPr>
                <w:noProof/>
                <w:color w:val="000000"/>
                <w:highlight w:val="black"/>
              </w:rPr>
              <w:t>'''''''''''''''''</w:t>
            </w:r>
            <w:r w:rsidR="00E74BA0">
              <w:rPr>
                <w:vertAlign w:val="superscript"/>
              </w:rPr>
              <w:t>8</w:t>
            </w:r>
          </w:p>
        </w:tc>
        <w:tc>
          <w:tcPr>
            <w:tcW w:w="583"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266E19">
              <w:rPr>
                <w:vertAlign w:val="superscript"/>
              </w:rPr>
              <w:t>3</w:t>
            </w:r>
          </w:p>
        </w:tc>
        <w:tc>
          <w:tcPr>
            <w:tcW w:w="627"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266E19">
              <w:rPr>
                <w:vertAlign w:val="superscript"/>
              </w:rPr>
              <w:t>3</w:t>
            </w:r>
          </w:p>
        </w:tc>
        <w:tc>
          <w:tcPr>
            <w:tcW w:w="626"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Pr>
                <w:w w:val="95"/>
              </w:rPr>
              <w:t>-</w:t>
            </w:r>
            <w:r w:rsidR="00FF1746">
              <w:rPr>
                <w:noProof/>
                <w:color w:val="000000"/>
                <w:w w:val="95"/>
                <w:highlight w:val="black"/>
              </w:rPr>
              <w:t>''''''''''''''''</w:t>
            </w:r>
            <w:r w:rsidR="00266E19">
              <w:rPr>
                <w:vertAlign w:val="superscript"/>
              </w:rPr>
              <w:t>3</w:t>
            </w:r>
          </w:p>
        </w:tc>
      </w:tr>
      <w:tr w:rsidR="0018667F" w:rsidRPr="00D8428B" w:rsidTr="00FF1746">
        <w:trPr>
          <w:trHeight w:val="300"/>
        </w:trPr>
        <w:tc>
          <w:tcPr>
            <w:tcW w:w="1317" w:type="pct"/>
            <w:tcBorders>
              <w:top w:val="single" w:sz="4" w:space="0" w:color="auto"/>
              <w:bottom w:val="single" w:sz="4" w:space="0" w:color="auto"/>
            </w:tcBorders>
            <w:shd w:val="clear" w:color="auto" w:fill="auto"/>
            <w:vAlign w:val="center"/>
          </w:tcPr>
          <w:p w:rsidR="00DE2E5B" w:rsidRPr="007E2909" w:rsidRDefault="00DE2E5B" w:rsidP="00CD7BF3">
            <w:pPr>
              <w:pStyle w:val="Tabletext"/>
              <w:keepNext/>
              <w:keepLines/>
            </w:pPr>
            <w:r>
              <w:t xml:space="preserve">   </w:t>
            </w:r>
            <w:r w:rsidRPr="007E2909">
              <w:t>Aflibercept 2168D/12152N</w:t>
            </w:r>
          </w:p>
        </w:tc>
        <w:tc>
          <w:tcPr>
            <w:tcW w:w="610"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E74BA0">
              <w:rPr>
                <w:vertAlign w:val="superscript"/>
              </w:rPr>
              <w:t>6</w:t>
            </w:r>
          </w:p>
        </w:tc>
        <w:tc>
          <w:tcPr>
            <w:tcW w:w="634"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266E19">
              <w:rPr>
                <w:vertAlign w:val="superscript"/>
              </w:rPr>
              <w:t>3</w:t>
            </w:r>
          </w:p>
        </w:tc>
        <w:tc>
          <w:tcPr>
            <w:tcW w:w="603" w:type="pct"/>
            <w:tcBorders>
              <w:top w:val="single" w:sz="4" w:space="0" w:color="auto"/>
              <w:bottom w:val="single" w:sz="4" w:space="0" w:color="auto"/>
            </w:tcBorders>
            <w:shd w:val="clear" w:color="auto" w:fill="auto"/>
          </w:tcPr>
          <w:p w:rsidR="00DE2E5B" w:rsidRPr="00E74BA0" w:rsidRDefault="00DE2E5B" w:rsidP="00CD7BF3">
            <w:pPr>
              <w:pStyle w:val="TableText0"/>
              <w:keepLines/>
              <w:jc w:val="center"/>
              <w:rPr>
                <w:vertAlign w:val="superscript"/>
              </w:rPr>
            </w:pPr>
            <w:r w:rsidRPr="00F42F12">
              <w:t>-</w:t>
            </w:r>
            <w:r w:rsidR="00FF1746">
              <w:rPr>
                <w:noProof/>
                <w:color w:val="000000"/>
                <w:highlight w:val="black"/>
              </w:rPr>
              <w:t>'''''''''''''''''</w:t>
            </w:r>
            <w:r w:rsidR="00E74BA0" w:rsidRPr="00E74BA0">
              <w:rPr>
                <w:vertAlign w:val="superscript"/>
              </w:rPr>
              <w:t>9</w:t>
            </w:r>
          </w:p>
        </w:tc>
        <w:tc>
          <w:tcPr>
            <w:tcW w:w="583" w:type="pct"/>
            <w:tcBorders>
              <w:top w:val="single" w:sz="4" w:space="0" w:color="auto"/>
              <w:bottom w:val="single" w:sz="4" w:space="0" w:color="auto"/>
            </w:tcBorders>
            <w:shd w:val="clear" w:color="auto" w:fill="auto"/>
          </w:tcPr>
          <w:p w:rsidR="00DE2E5B" w:rsidRPr="00E74BA0" w:rsidRDefault="00DE2E5B" w:rsidP="00CD7BF3">
            <w:pPr>
              <w:pStyle w:val="TableText0"/>
              <w:keepLines/>
              <w:jc w:val="center"/>
              <w:rPr>
                <w:vertAlign w:val="superscript"/>
              </w:rPr>
            </w:pPr>
            <w:r w:rsidRPr="00F42F12">
              <w:t>-</w:t>
            </w:r>
            <w:r w:rsidR="00FF1746">
              <w:rPr>
                <w:noProof/>
                <w:color w:val="000000"/>
                <w:highlight w:val="black"/>
              </w:rPr>
              <w:t>''''''''''''''''</w:t>
            </w:r>
            <w:r w:rsidR="00E74BA0">
              <w:rPr>
                <w:vertAlign w:val="superscript"/>
              </w:rPr>
              <w:t>10</w:t>
            </w:r>
          </w:p>
        </w:tc>
        <w:tc>
          <w:tcPr>
            <w:tcW w:w="627"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F42F12">
              <w:t>-</w:t>
            </w:r>
            <w:r w:rsidR="00FF1746">
              <w:rPr>
                <w:noProof/>
                <w:color w:val="000000"/>
                <w:highlight w:val="black"/>
              </w:rPr>
              <w:t>''''''''''''''''</w:t>
            </w:r>
            <w:r w:rsidR="00E74BA0">
              <w:rPr>
                <w:vertAlign w:val="superscript"/>
              </w:rPr>
              <w:t>10</w:t>
            </w:r>
          </w:p>
        </w:tc>
        <w:tc>
          <w:tcPr>
            <w:tcW w:w="626"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F42F12">
              <w:t>-</w:t>
            </w:r>
            <w:r w:rsidR="00FF1746">
              <w:rPr>
                <w:noProof/>
                <w:color w:val="000000"/>
                <w:highlight w:val="black"/>
              </w:rPr>
              <w:t>''''''''''''''''</w:t>
            </w:r>
            <w:r w:rsidR="00266E19">
              <w:rPr>
                <w:vertAlign w:val="superscript"/>
              </w:rPr>
              <w:t>4</w:t>
            </w:r>
          </w:p>
        </w:tc>
      </w:tr>
      <w:tr w:rsidR="0018667F" w:rsidRPr="00D8428B" w:rsidTr="00FF1746">
        <w:trPr>
          <w:trHeight w:val="316"/>
        </w:trPr>
        <w:tc>
          <w:tcPr>
            <w:tcW w:w="1317" w:type="pct"/>
            <w:tcBorders>
              <w:top w:val="single" w:sz="4" w:space="0" w:color="auto"/>
              <w:bottom w:val="single" w:sz="4" w:space="0" w:color="auto"/>
            </w:tcBorders>
            <w:shd w:val="clear" w:color="auto" w:fill="auto"/>
            <w:vAlign w:val="center"/>
          </w:tcPr>
          <w:p w:rsidR="00DE2E5B" w:rsidRPr="00D8428B" w:rsidRDefault="00DE2E5B" w:rsidP="00CD7BF3">
            <w:pPr>
              <w:pStyle w:val="TableText0"/>
              <w:keepLines/>
            </w:pPr>
            <w:r>
              <w:t xml:space="preserve">   </w:t>
            </w:r>
            <w:r w:rsidRPr="00D8428B">
              <w:t>Total</w:t>
            </w:r>
          </w:p>
        </w:tc>
        <w:tc>
          <w:tcPr>
            <w:tcW w:w="610" w:type="pct"/>
            <w:tcBorders>
              <w:top w:val="single" w:sz="4" w:space="0" w:color="auto"/>
              <w:bottom w:val="single" w:sz="4" w:space="0" w:color="auto"/>
            </w:tcBorders>
            <w:shd w:val="clear" w:color="auto" w:fill="auto"/>
          </w:tcPr>
          <w:p w:rsidR="00DE2E5B" w:rsidRPr="00E74BA0" w:rsidRDefault="00DE2E5B" w:rsidP="00CD7BF3">
            <w:pPr>
              <w:pStyle w:val="TableText0"/>
              <w:keepLines/>
              <w:jc w:val="center"/>
              <w:rPr>
                <w:vertAlign w:val="superscript"/>
              </w:rPr>
            </w:pPr>
            <w:r>
              <w:t>-</w:t>
            </w:r>
            <w:r w:rsidR="00FF1746">
              <w:rPr>
                <w:noProof/>
                <w:color w:val="000000"/>
                <w:highlight w:val="black"/>
              </w:rPr>
              <w:t>''''''''''''''''</w:t>
            </w:r>
            <w:r w:rsidR="00E74BA0" w:rsidRPr="00E74BA0">
              <w:rPr>
                <w:vertAlign w:val="superscript"/>
              </w:rPr>
              <w:t>8</w:t>
            </w:r>
          </w:p>
        </w:tc>
        <w:tc>
          <w:tcPr>
            <w:tcW w:w="634"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t>-</w:t>
            </w:r>
            <w:r w:rsidR="00FF1746">
              <w:rPr>
                <w:noProof/>
                <w:color w:val="000000"/>
                <w:highlight w:val="black"/>
              </w:rPr>
              <w:t>'''''''''''''''</w:t>
            </w:r>
            <w:r w:rsidR="00E74BA0">
              <w:rPr>
                <w:vertAlign w:val="superscript"/>
              </w:rPr>
              <w:t>10</w:t>
            </w:r>
          </w:p>
        </w:tc>
        <w:tc>
          <w:tcPr>
            <w:tcW w:w="603"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D90C41">
              <w:t>-</w:t>
            </w:r>
            <w:r w:rsidR="00FF1746">
              <w:rPr>
                <w:noProof/>
                <w:color w:val="000000"/>
                <w:highlight w:val="black"/>
              </w:rPr>
              <w:t>'''''''''''''''''</w:t>
            </w:r>
            <w:r w:rsidR="00E74BA0">
              <w:rPr>
                <w:vertAlign w:val="superscript"/>
              </w:rPr>
              <w:t>5</w:t>
            </w:r>
          </w:p>
        </w:tc>
        <w:tc>
          <w:tcPr>
            <w:tcW w:w="583"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D90C41">
              <w:t>-</w:t>
            </w:r>
            <w:r w:rsidR="00FF1746">
              <w:rPr>
                <w:noProof/>
                <w:color w:val="000000"/>
                <w:highlight w:val="black"/>
              </w:rPr>
              <w:t>''''''''''''''''''</w:t>
            </w:r>
            <w:r w:rsidR="00E74BA0">
              <w:rPr>
                <w:vertAlign w:val="superscript"/>
              </w:rPr>
              <w:t>5</w:t>
            </w:r>
          </w:p>
        </w:tc>
        <w:tc>
          <w:tcPr>
            <w:tcW w:w="627"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D90C41">
              <w:t>-</w:t>
            </w:r>
            <w:r w:rsidR="00FF1746">
              <w:rPr>
                <w:noProof/>
                <w:color w:val="000000"/>
                <w:highlight w:val="black"/>
              </w:rPr>
              <w:t>'''''''''''''''''''''</w:t>
            </w:r>
            <w:r w:rsidR="00E74BA0">
              <w:rPr>
                <w:vertAlign w:val="superscript"/>
              </w:rPr>
              <w:t>5</w:t>
            </w:r>
          </w:p>
        </w:tc>
        <w:tc>
          <w:tcPr>
            <w:tcW w:w="626" w:type="pct"/>
            <w:tcBorders>
              <w:top w:val="single" w:sz="4" w:space="0" w:color="auto"/>
              <w:bottom w:val="single" w:sz="4" w:space="0" w:color="auto"/>
            </w:tcBorders>
            <w:shd w:val="clear" w:color="auto" w:fill="auto"/>
          </w:tcPr>
          <w:p w:rsidR="00DE2E5B" w:rsidRPr="00C9324E" w:rsidRDefault="00DE2E5B" w:rsidP="00CD7BF3">
            <w:pPr>
              <w:pStyle w:val="TableText0"/>
              <w:keepLines/>
              <w:jc w:val="center"/>
            </w:pPr>
            <w:r w:rsidRPr="00D90C41">
              <w:t>-</w:t>
            </w:r>
            <w:r w:rsidR="00FF1746">
              <w:rPr>
                <w:noProof/>
                <w:color w:val="000000"/>
                <w:highlight w:val="black"/>
              </w:rPr>
              <w:t>'''''''''''''''''''</w:t>
            </w:r>
            <w:r w:rsidR="00E74BA0">
              <w:rPr>
                <w:vertAlign w:val="superscript"/>
              </w:rPr>
              <w:t>5</w:t>
            </w:r>
          </w:p>
        </w:tc>
      </w:tr>
      <w:tr w:rsidR="0018667F" w:rsidRPr="00D8428B" w:rsidTr="00FF1746">
        <w:trPr>
          <w:trHeight w:val="300"/>
        </w:trPr>
        <w:tc>
          <w:tcPr>
            <w:tcW w:w="1317" w:type="pct"/>
            <w:tcBorders>
              <w:bottom w:val="nil"/>
            </w:tcBorders>
            <w:shd w:val="clear" w:color="auto" w:fill="auto"/>
            <w:vAlign w:val="center"/>
          </w:tcPr>
          <w:p w:rsidR="00DE2E5B" w:rsidRPr="00D8428B" w:rsidRDefault="00DE2E5B" w:rsidP="00CD7BF3">
            <w:pPr>
              <w:pStyle w:val="TableText0"/>
              <w:keepLines/>
              <w:rPr>
                <w:color w:val="000000" w:themeColor="text1"/>
              </w:rPr>
            </w:pPr>
            <w:r w:rsidRPr="00D8428B">
              <w:rPr>
                <w:color w:val="000000" w:themeColor="text1"/>
              </w:rPr>
              <w:t>PBS/RPBS cost (</w:t>
            </w:r>
            <w:r>
              <w:rPr>
                <w:color w:val="000000" w:themeColor="text1"/>
              </w:rPr>
              <w:t>effective</w:t>
            </w:r>
            <w:r w:rsidRPr="00D8428B">
              <w:rPr>
                <w:color w:val="000000" w:themeColor="text1"/>
              </w:rPr>
              <w:t xml:space="preserve">) </w:t>
            </w:r>
            <w:r>
              <w:rPr>
                <w:color w:val="000000" w:themeColor="text1"/>
                <w:vertAlign w:val="superscript"/>
              </w:rPr>
              <w:t>b,c</w:t>
            </w:r>
          </w:p>
        </w:tc>
        <w:tc>
          <w:tcPr>
            <w:tcW w:w="610" w:type="pct"/>
            <w:tcBorders>
              <w:bottom w:val="nil"/>
            </w:tcBorders>
            <w:shd w:val="clear" w:color="auto" w:fill="auto"/>
            <w:vAlign w:val="center"/>
          </w:tcPr>
          <w:p w:rsidR="00DE2E5B" w:rsidRPr="0050247D" w:rsidRDefault="00DE2E5B" w:rsidP="00CD7BF3">
            <w:pPr>
              <w:pStyle w:val="TableText0"/>
              <w:keepLines/>
              <w:jc w:val="center"/>
              <w:rPr>
                <w:sz w:val="19"/>
                <w:szCs w:val="19"/>
              </w:rPr>
            </w:pPr>
            <w:r w:rsidRPr="0050247D">
              <w:rPr>
                <w:rFonts w:cs="Arial"/>
                <w:sz w:val="19"/>
                <w:szCs w:val="19"/>
              </w:rPr>
              <w:t>-$</w:t>
            </w:r>
            <w:r w:rsidR="00FF1746">
              <w:rPr>
                <w:rFonts w:cs="Arial"/>
                <w:noProof/>
                <w:color w:val="000000"/>
                <w:sz w:val="19"/>
                <w:szCs w:val="19"/>
                <w:highlight w:val="black"/>
              </w:rPr>
              <w:t>'''''''''''''''''''''''''''</w:t>
            </w:r>
            <w:r w:rsidR="009C3BCC">
              <w:rPr>
                <w:vertAlign w:val="superscript"/>
              </w:rPr>
              <w:t>11</w:t>
            </w:r>
          </w:p>
        </w:tc>
        <w:tc>
          <w:tcPr>
            <w:tcW w:w="634" w:type="pct"/>
            <w:tcBorders>
              <w:bottom w:val="nil"/>
            </w:tcBorders>
            <w:shd w:val="clear" w:color="auto" w:fill="auto"/>
            <w:vAlign w:val="center"/>
          </w:tcPr>
          <w:p w:rsidR="00DE2E5B" w:rsidRPr="0050247D" w:rsidRDefault="00DE2E5B" w:rsidP="00CD7BF3">
            <w:pPr>
              <w:pStyle w:val="TableText0"/>
              <w:keepLines/>
              <w:jc w:val="center"/>
              <w:rPr>
                <w:sz w:val="19"/>
                <w:szCs w:val="19"/>
              </w:rPr>
            </w:pPr>
            <w:r w:rsidRPr="0050247D">
              <w:rPr>
                <w:rFonts w:cs="Arial"/>
                <w:sz w:val="19"/>
                <w:szCs w:val="19"/>
              </w:rPr>
              <w:t>-$</w:t>
            </w:r>
            <w:r w:rsidR="00FF1746">
              <w:rPr>
                <w:rFonts w:cs="Arial"/>
                <w:noProof/>
                <w:color w:val="000000"/>
                <w:sz w:val="19"/>
                <w:szCs w:val="19"/>
                <w:highlight w:val="black"/>
              </w:rPr>
              <w:t>'''''''''''''''''''''''''''''</w:t>
            </w:r>
            <w:r w:rsidR="004D09E9">
              <w:rPr>
                <w:vertAlign w:val="superscript"/>
              </w:rPr>
              <w:t>12</w:t>
            </w:r>
          </w:p>
        </w:tc>
        <w:tc>
          <w:tcPr>
            <w:tcW w:w="603" w:type="pct"/>
            <w:tcBorders>
              <w:bottom w:val="nil"/>
            </w:tcBorders>
            <w:shd w:val="clear" w:color="auto" w:fill="auto"/>
            <w:vAlign w:val="center"/>
          </w:tcPr>
          <w:p w:rsidR="00DE2E5B" w:rsidRPr="00691841" w:rsidRDefault="00DE2E5B" w:rsidP="00CD7BF3">
            <w:pPr>
              <w:pStyle w:val="TableText0"/>
              <w:keepLines/>
              <w:jc w:val="center"/>
              <w:rPr>
                <w:sz w:val="19"/>
                <w:szCs w:val="19"/>
                <w:vertAlign w:val="superscript"/>
              </w:rPr>
            </w:pPr>
            <w:r w:rsidRPr="0050247D">
              <w:rPr>
                <w:rFonts w:cs="Arial"/>
                <w:sz w:val="19"/>
                <w:szCs w:val="19"/>
              </w:rPr>
              <w:t>-$</w:t>
            </w:r>
            <w:r w:rsidR="00FF1746">
              <w:rPr>
                <w:rFonts w:cs="Arial"/>
                <w:noProof/>
                <w:color w:val="000000"/>
                <w:sz w:val="19"/>
                <w:szCs w:val="19"/>
                <w:highlight w:val="black"/>
              </w:rPr>
              <w:t>''''''''''''''''''''''''''</w:t>
            </w:r>
            <w:r w:rsidR="00691841" w:rsidRPr="00691841">
              <w:rPr>
                <w:rFonts w:cs="Arial"/>
                <w:sz w:val="19"/>
                <w:szCs w:val="19"/>
                <w:vertAlign w:val="superscript"/>
              </w:rPr>
              <w:t>13</w:t>
            </w:r>
          </w:p>
        </w:tc>
        <w:tc>
          <w:tcPr>
            <w:tcW w:w="583" w:type="pct"/>
            <w:tcBorders>
              <w:bottom w:val="nil"/>
            </w:tcBorders>
            <w:shd w:val="clear" w:color="auto" w:fill="auto"/>
            <w:vAlign w:val="center"/>
          </w:tcPr>
          <w:p w:rsidR="00DE2E5B" w:rsidRPr="0018667F" w:rsidRDefault="00DE2E5B" w:rsidP="00CD7BF3">
            <w:pPr>
              <w:pStyle w:val="TableText0"/>
              <w:keepLines/>
              <w:jc w:val="center"/>
              <w:rPr>
                <w:sz w:val="19"/>
                <w:szCs w:val="19"/>
                <w:vertAlign w:val="superscript"/>
              </w:rPr>
            </w:pPr>
            <w:r w:rsidRPr="0050247D">
              <w:rPr>
                <w:rFonts w:cs="Arial"/>
                <w:sz w:val="19"/>
                <w:szCs w:val="19"/>
              </w:rPr>
              <w:t>-$</w:t>
            </w:r>
            <w:r w:rsidR="00FF1746">
              <w:rPr>
                <w:rFonts w:cs="Arial"/>
                <w:noProof/>
                <w:color w:val="000000"/>
                <w:sz w:val="19"/>
                <w:szCs w:val="19"/>
                <w:highlight w:val="black"/>
              </w:rPr>
              <w:t>'''''''''''''''''''''''''</w:t>
            </w:r>
            <w:r w:rsidR="0018667F">
              <w:rPr>
                <w:rFonts w:cs="Arial"/>
                <w:sz w:val="19"/>
                <w:szCs w:val="19"/>
                <w:vertAlign w:val="superscript"/>
              </w:rPr>
              <w:t>14</w:t>
            </w:r>
          </w:p>
        </w:tc>
        <w:tc>
          <w:tcPr>
            <w:tcW w:w="627" w:type="pct"/>
            <w:tcBorders>
              <w:bottom w:val="nil"/>
            </w:tcBorders>
            <w:shd w:val="clear" w:color="auto" w:fill="auto"/>
            <w:vAlign w:val="center"/>
          </w:tcPr>
          <w:p w:rsidR="00DE2E5B" w:rsidRPr="0050247D" w:rsidRDefault="00DE2E5B" w:rsidP="00CD7BF3">
            <w:pPr>
              <w:pStyle w:val="TableText0"/>
              <w:keepLines/>
              <w:jc w:val="center"/>
              <w:rPr>
                <w:sz w:val="19"/>
                <w:szCs w:val="19"/>
              </w:rPr>
            </w:pPr>
            <w:r w:rsidRPr="0050247D">
              <w:rPr>
                <w:rFonts w:cs="Arial"/>
                <w:sz w:val="19"/>
                <w:szCs w:val="19"/>
              </w:rPr>
              <w:t>-$</w:t>
            </w:r>
            <w:r w:rsidR="00FF1746">
              <w:rPr>
                <w:rFonts w:cs="Arial"/>
                <w:noProof/>
                <w:color w:val="000000"/>
                <w:sz w:val="19"/>
                <w:szCs w:val="19"/>
                <w:highlight w:val="black"/>
              </w:rPr>
              <w:t>''''''''''''''''''''''''''</w:t>
            </w:r>
            <w:r w:rsidR="0018667F">
              <w:rPr>
                <w:vertAlign w:val="superscript"/>
              </w:rPr>
              <w:t>15</w:t>
            </w:r>
          </w:p>
        </w:tc>
        <w:tc>
          <w:tcPr>
            <w:tcW w:w="626" w:type="pct"/>
            <w:tcBorders>
              <w:bottom w:val="nil"/>
            </w:tcBorders>
            <w:shd w:val="clear" w:color="auto" w:fill="auto"/>
            <w:vAlign w:val="center"/>
          </w:tcPr>
          <w:p w:rsidR="00DE2E5B" w:rsidRPr="0018667F" w:rsidRDefault="00DE2E5B" w:rsidP="00CD7BF3">
            <w:pPr>
              <w:pStyle w:val="TableText0"/>
              <w:keepLines/>
              <w:jc w:val="center"/>
              <w:rPr>
                <w:sz w:val="19"/>
                <w:szCs w:val="19"/>
                <w:vertAlign w:val="superscript"/>
              </w:rPr>
            </w:pPr>
            <w:r w:rsidRPr="0050247D">
              <w:rPr>
                <w:rFonts w:cs="Arial"/>
                <w:sz w:val="19"/>
                <w:szCs w:val="19"/>
              </w:rPr>
              <w:t>-$</w:t>
            </w:r>
            <w:r w:rsidR="00FF1746">
              <w:rPr>
                <w:rFonts w:cs="Arial"/>
                <w:noProof/>
                <w:color w:val="000000"/>
                <w:sz w:val="19"/>
                <w:szCs w:val="19"/>
                <w:highlight w:val="black"/>
              </w:rPr>
              <w:t>'''''''''''''''''''''''''''''</w:t>
            </w:r>
            <w:r w:rsidR="0018667F" w:rsidRPr="0018667F">
              <w:rPr>
                <w:rFonts w:cs="Arial"/>
                <w:sz w:val="19"/>
                <w:szCs w:val="19"/>
                <w:vertAlign w:val="superscript"/>
              </w:rPr>
              <w:t>16</w:t>
            </w:r>
          </w:p>
        </w:tc>
      </w:tr>
      <w:tr w:rsidR="00DE2E5B" w:rsidRPr="00FC22AB" w:rsidTr="0018667F">
        <w:trPr>
          <w:trHeight w:val="237"/>
        </w:trPr>
        <w:tc>
          <w:tcPr>
            <w:tcW w:w="5000" w:type="pct"/>
            <w:gridSpan w:val="7"/>
            <w:shd w:val="clear" w:color="auto" w:fill="auto"/>
            <w:vAlign w:val="center"/>
          </w:tcPr>
          <w:p w:rsidR="00DE2E5B" w:rsidRPr="00FC22AB" w:rsidRDefault="00DE2E5B" w:rsidP="00CD7BF3">
            <w:pPr>
              <w:pStyle w:val="Tabletext"/>
              <w:keepNext/>
              <w:keepLines/>
              <w:rPr>
                <w:b/>
                <w:bCs/>
                <w:color w:val="000000"/>
              </w:rPr>
            </w:pPr>
            <w:r w:rsidRPr="00FC22AB">
              <w:rPr>
                <w:b/>
                <w:bCs/>
                <w:color w:val="000000"/>
              </w:rPr>
              <w:t>Net financial implications</w:t>
            </w:r>
          </w:p>
        </w:tc>
      </w:tr>
      <w:tr w:rsidR="0018667F" w:rsidRPr="003639A6" w:rsidTr="00FF1746">
        <w:trPr>
          <w:trHeight w:val="460"/>
        </w:trPr>
        <w:tc>
          <w:tcPr>
            <w:tcW w:w="1317" w:type="pct"/>
            <w:shd w:val="clear" w:color="auto" w:fill="auto"/>
            <w:vAlign w:val="center"/>
          </w:tcPr>
          <w:p w:rsidR="00DE2E5B" w:rsidRDefault="00DE2E5B" w:rsidP="00CD7BF3">
            <w:pPr>
              <w:pStyle w:val="Tabletext"/>
              <w:keepNext/>
              <w:keepLines/>
              <w:rPr>
                <w:sz w:val="19"/>
                <w:szCs w:val="19"/>
              </w:rPr>
            </w:pPr>
            <w:r w:rsidRPr="00D8428B">
              <w:t>Net cost to PBS/RPBS (effective)</w:t>
            </w:r>
            <w:r w:rsidRPr="00D8428B">
              <w:rPr>
                <w:vertAlign w:val="superscript"/>
              </w:rPr>
              <w:t>b</w:t>
            </w:r>
            <w:r>
              <w:rPr>
                <w:vertAlign w:val="superscript"/>
              </w:rPr>
              <w:t>,c</w:t>
            </w:r>
          </w:p>
        </w:tc>
        <w:tc>
          <w:tcPr>
            <w:tcW w:w="610" w:type="pct"/>
            <w:shd w:val="clear" w:color="auto" w:fill="auto"/>
            <w:vAlign w:val="center"/>
          </w:tcPr>
          <w:p w:rsidR="00DE2E5B" w:rsidRPr="006C3157" w:rsidRDefault="00DE2E5B" w:rsidP="00CD7BF3">
            <w:pPr>
              <w:pStyle w:val="Tabletext"/>
              <w:keepNext/>
              <w:keepLines/>
              <w:jc w:val="center"/>
              <w:rPr>
                <w:bCs/>
                <w:color w:val="000000"/>
                <w:vertAlign w:val="superscript"/>
              </w:rPr>
            </w:pPr>
            <w:r w:rsidRPr="001A4053">
              <w:t>$</w:t>
            </w:r>
            <w:r w:rsidR="00FF1746">
              <w:rPr>
                <w:noProof/>
                <w:color w:val="000000"/>
                <w:highlight w:val="black"/>
              </w:rPr>
              <w:t>''''''''''''''''''''''</w:t>
            </w:r>
            <w:r w:rsidR="006C3157">
              <w:rPr>
                <w:vertAlign w:val="superscript"/>
              </w:rPr>
              <w:t>17</w:t>
            </w:r>
          </w:p>
        </w:tc>
        <w:tc>
          <w:tcPr>
            <w:tcW w:w="634" w:type="pct"/>
            <w:shd w:val="clear" w:color="auto" w:fill="auto"/>
            <w:vAlign w:val="center"/>
          </w:tcPr>
          <w:p w:rsidR="00DE2E5B" w:rsidRPr="003639A6" w:rsidRDefault="00DE2E5B" w:rsidP="00CD7BF3">
            <w:pPr>
              <w:pStyle w:val="Tabletext"/>
              <w:keepNext/>
              <w:keepLines/>
              <w:jc w:val="center"/>
              <w:rPr>
                <w:bCs/>
                <w:color w:val="000000"/>
              </w:rPr>
            </w:pPr>
            <w:r w:rsidRPr="001A4053">
              <w:t>$</w:t>
            </w:r>
            <w:r w:rsidR="00FF1746">
              <w:rPr>
                <w:noProof/>
                <w:color w:val="000000"/>
                <w:highlight w:val="black"/>
              </w:rPr>
              <w:t>''''''''''''''''''''''</w:t>
            </w:r>
            <w:r w:rsidR="006C3157">
              <w:rPr>
                <w:vertAlign w:val="superscript"/>
              </w:rPr>
              <w:t>17</w:t>
            </w:r>
          </w:p>
        </w:tc>
        <w:tc>
          <w:tcPr>
            <w:tcW w:w="603" w:type="pct"/>
            <w:shd w:val="clear" w:color="auto" w:fill="auto"/>
            <w:vAlign w:val="center"/>
          </w:tcPr>
          <w:p w:rsidR="00DE2E5B" w:rsidRPr="003639A6" w:rsidRDefault="00DE2E5B" w:rsidP="00CD7BF3">
            <w:pPr>
              <w:pStyle w:val="Tabletext"/>
              <w:keepNext/>
              <w:keepLines/>
              <w:jc w:val="center"/>
              <w:rPr>
                <w:bCs/>
                <w:color w:val="000000"/>
              </w:rPr>
            </w:pPr>
            <w:r w:rsidRPr="001A4053">
              <w:t>$</w:t>
            </w:r>
            <w:r w:rsidR="00FF1746">
              <w:rPr>
                <w:noProof/>
                <w:color w:val="000000"/>
                <w:highlight w:val="black"/>
              </w:rPr>
              <w:t>''''''''''''''''''''''''</w:t>
            </w:r>
            <w:r w:rsidR="006C3157">
              <w:rPr>
                <w:vertAlign w:val="superscript"/>
              </w:rPr>
              <w:t>17</w:t>
            </w:r>
          </w:p>
        </w:tc>
        <w:tc>
          <w:tcPr>
            <w:tcW w:w="583" w:type="pct"/>
            <w:shd w:val="clear" w:color="auto" w:fill="auto"/>
            <w:vAlign w:val="center"/>
          </w:tcPr>
          <w:p w:rsidR="00DE2E5B" w:rsidRPr="003639A6" w:rsidRDefault="00DE2E5B" w:rsidP="00CD7BF3">
            <w:pPr>
              <w:pStyle w:val="Tabletext"/>
              <w:keepNext/>
              <w:keepLines/>
              <w:jc w:val="center"/>
              <w:rPr>
                <w:bCs/>
                <w:color w:val="000000"/>
              </w:rPr>
            </w:pPr>
            <w:r w:rsidRPr="001A4053">
              <w:t>$</w:t>
            </w:r>
            <w:r w:rsidR="00FF1746">
              <w:rPr>
                <w:noProof/>
                <w:color w:val="000000"/>
                <w:highlight w:val="black"/>
              </w:rPr>
              <w:t>''''''''''''''''''''</w:t>
            </w:r>
            <w:r w:rsidR="006C3157">
              <w:rPr>
                <w:vertAlign w:val="superscript"/>
              </w:rPr>
              <w:t>17</w:t>
            </w:r>
          </w:p>
        </w:tc>
        <w:tc>
          <w:tcPr>
            <w:tcW w:w="627" w:type="pct"/>
            <w:shd w:val="clear" w:color="auto" w:fill="auto"/>
            <w:vAlign w:val="center"/>
          </w:tcPr>
          <w:p w:rsidR="00DE2E5B" w:rsidRPr="003639A6" w:rsidRDefault="00DE2E5B" w:rsidP="00CD7BF3">
            <w:pPr>
              <w:pStyle w:val="Tabletext"/>
              <w:keepNext/>
              <w:keepLines/>
              <w:jc w:val="center"/>
              <w:rPr>
                <w:bCs/>
                <w:color w:val="000000"/>
              </w:rPr>
            </w:pPr>
            <w:r w:rsidRPr="001A4053">
              <w:t>-$</w:t>
            </w:r>
            <w:r w:rsidR="00FF1746">
              <w:rPr>
                <w:noProof/>
                <w:color w:val="000000"/>
                <w:highlight w:val="black"/>
              </w:rPr>
              <w:t>''''''''''''''''''''''</w:t>
            </w:r>
            <w:r w:rsidR="006C3157">
              <w:rPr>
                <w:vertAlign w:val="superscript"/>
              </w:rPr>
              <w:t>18</w:t>
            </w:r>
          </w:p>
        </w:tc>
        <w:tc>
          <w:tcPr>
            <w:tcW w:w="626" w:type="pct"/>
            <w:vAlign w:val="center"/>
          </w:tcPr>
          <w:p w:rsidR="00DE2E5B" w:rsidRPr="003639A6" w:rsidRDefault="00DE2E5B" w:rsidP="006C3157">
            <w:pPr>
              <w:pStyle w:val="Tabletext"/>
              <w:keepNext/>
              <w:keepLines/>
              <w:jc w:val="center"/>
              <w:rPr>
                <w:bCs/>
                <w:color w:val="000000"/>
              </w:rPr>
            </w:pPr>
            <w:r w:rsidRPr="001A4053">
              <w:t>-$</w:t>
            </w:r>
            <w:r w:rsidR="00FF1746">
              <w:rPr>
                <w:noProof/>
                <w:color w:val="000000"/>
                <w:highlight w:val="black"/>
              </w:rPr>
              <w:t>'''''''''''''''''''''''</w:t>
            </w:r>
            <w:r w:rsidR="006C3157">
              <w:rPr>
                <w:vertAlign w:val="superscript"/>
              </w:rPr>
              <w:t>18</w:t>
            </w:r>
          </w:p>
        </w:tc>
      </w:tr>
      <w:tr w:rsidR="0018667F" w:rsidRPr="003639A6" w:rsidTr="00FF1746">
        <w:trPr>
          <w:trHeight w:val="237"/>
        </w:trPr>
        <w:tc>
          <w:tcPr>
            <w:tcW w:w="1317" w:type="pct"/>
            <w:shd w:val="clear" w:color="auto" w:fill="auto"/>
            <w:vAlign w:val="center"/>
          </w:tcPr>
          <w:p w:rsidR="00DE2E5B" w:rsidRPr="003639A6" w:rsidRDefault="00DE2E5B" w:rsidP="00CD7BF3">
            <w:pPr>
              <w:pStyle w:val="Tabletext"/>
              <w:keepNext/>
              <w:keepLines/>
              <w:rPr>
                <w:rFonts w:ascii="Times" w:hAnsi="Times"/>
              </w:rPr>
            </w:pPr>
            <w:r>
              <w:rPr>
                <w:sz w:val="19"/>
                <w:szCs w:val="19"/>
              </w:rPr>
              <w:t>Net cost to</w:t>
            </w:r>
            <w:r w:rsidRPr="003639A6">
              <w:rPr>
                <w:sz w:val="19"/>
                <w:szCs w:val="19"/>
              </w:rPr>
              <w:t xml:space="preserve"> MBS</w:t>
            </w:r>
          </w:p>
        </w:tc>
        <w:tc>
          <w:tcPr>
            <w:tcW w:w="610" w:type="pct"/>
            <w:shd w:val="clear" w:color="auto" w:fill="auto"/>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c>
          <w:tcPr>
            <w:tcW w:w="634" w:type="pct"/>
            <w:shd w:val="clear" w:color="auto" w:fill="auto"/>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c>
          <w:tcPr>
            <w:tcW w:w="603" w:type="pct"/>
            <w:shd w:val="clear" w:color="auto" w:fill="auto"/>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c>
          <w:tcPr>
            <w:tcW w:w="583" w:type="pct"/>
            <w:shd w:val="clear" w:color="auto" w:fill="auto"/>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c>
          <w:tcPr>
            <w:tcW w:w="627" w:type="pct"/>
            <w:shd w:val="clear" w:color="auto" w:fill="auto"/>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c>
          <w:tcPr>
            <w:tcW w:w="626" w:type="pct"/>
            <w:vAlign w:val="center"/>
          </w:tcPr>
          <w:p w:rsidR="00DE2E5B" w:rsidRPr="003639A6" w:rsidRDefault="00DE2E5B" w:rsidP="00CD7BF3">
            <w:pPr>
              <w:pStyle w:val="Tabletext"/>
              <w:keepNext/>
              <w:keepLines/>
              <w:jc w:val="center"/>
              <w:rPr>
                <w:bCs/>
                <w:color w:val="000000"/>
              </w:rPr>
            </w:pPr>
            <w:r>
              <w:t>$</w:t>
            </w:r>
            <w:r w:rsidR="00FF1746">
              <w:rPr>
                <w:noProof/>
                <w:color w:val="000000"/>
                <w:highlight w:val="black"/>
              </w:rPr>
              <w:t>''''''''''''</w:t>
            </w:r>
            <w:r w:rsidR="006C3157">
              <w:rPr>
                <w:vertAlign w:val="superscript"/>
              </w:rPr>
              <w:t>17</w:t>
            </w:r>
          </w:p>
        </w:tc>
      </w:tr>
    </w:tbl>
    <w:p w:rsidR="00DE2E5B" w:rsidRDefault="00DE2E5B" w:rsidP="00CD7BF3">
      <w:pPr>
        <w:pStyle w:val="TableFooter"/>
        <w:keepNext/>
        <w:keepLines/>
        <w:tabs>
          <w:tab w:val="left" w:pos="142"/>
        </w:tabs>
      </w:pPr>
      <w:r w:rsidRPr="003639A6">
        <w:rPr>
          <w:vertAlign w:val="superscript"/>
        </w:rPr>
        <w:t>a</w:t>
      </w:r>
      <w:r>
        <w:t xml:space="preserve"> </w:t>
      </w:r>
      <w:r w:rsidRPr="003639A6">
        <w:t xml:space="preserve">Assuming </w:t>
      </w:r>
      <w:r>
        <w:t>11.2 scripts</w:t>
      </w:r>
      <w:r w:rsidRPr="003639A6">
        <w:t xml:space="preserve"> per year </w:t>
      </w:r>
      <w:r>
        <w:t>(year 1) and 8.9 scripts per year (subsequent years)</w:t>
      </w:r>
      <w:r w:rsidR="006C45F9">
        <w:t xml:space="preserve"> for brolucizumab; 9.2 scripts per patient per year for ranibizumab, aflibercept</w:t>
      </w:r>
      <w:r w:rsidRPr="003639A6">
        <w:t>s estimated by the submission.</w:t>
      </w:r>
    </w:p>
    <w:p w:rsidR="00DE2E5B" w:rsidRPr="00D8428B" w:rsidRDefault="00DE2E5B" w:rsidP="00CD7BF3">
      <w:pPr>
        <w:pStyle w:val="TableFigureFooter"/>
        <w:keepNext/>
        <w:keepLines/>
        <w:tabs>
          <w:tab w:val="left" w:pos="284"/>
        </w:tabs>
        <w:spacing w:after="0"/>
      </w:pPr>
      <w:r w:rsidRPr="00E9584C">
        <w:rPr>
          <w:vertAlign w:val="superscript"/>
        </w:rPr>
        <w:t>b</w:t>
      </w:r>
      <w:r>
        <w:rPr>
          <w:vertAlign w:val="superscript"/>
        </w:rPr>
        <w:t xml:space="preserve"> </w:t>
      </w:r>
      <w:r>
        <w:t>L</w:t>
      </w:r>
      <w:r w:rsidRPr="00D8428B">
        <w:t>ess co-payment</w:t>
      </w:r>
    </w:p>
    <w:p w:rsidR="00DE2E5B" w:rsidRPr="00D8428B" w:rsidRDefault="00DE2E5B" w:rsidP="00CD7BF3">
      <w:pPr>
        <w:pStyle w:val="TableFigureFooter"/>
        <w:keepNext/>
        <w:keepLines/>
        <w:tabs>
          <w:tab w:val="left" w:pos="284"/>
        </w:tabs>
        <w:spacing w:after="0"/>
      </w:pPr>
      <w:r>
        <w:rPr>
          <w:vertAlign w:val="superscript"/>
        </w:rPr>
        <w:t xml:space="preserve">c </w:t>
      </w:r>
      <w:r>
        <w:t>Ef</w:t>
      </w:r>
      <w:r w:rsidRPr="00D8428B">
        <w:t xml:space="preserve">fective price for </w:t>
      </w:r>
      <w:r>
        <w:t>brolucizumab</w:t>
      </w:r>
    </w:p>
    <w:p w:rsidR="00DE2E5B" w:rsidRDefault="00DE2E5B" w:rsidP="00CD7BF3">
      <w:pPr>
        <w:pStyle w:val="TableFooter"/>
        <w:keepNext/>
        <w:keepLines/>
      </w:pPr>
      <w:r>
        <w:t>Source: Tables 4.5, 4.7, 4.9, 4.11, 4.12, 4.13, 4.14, 4.15, pp145-151</w:t>
      </w:r>
      <w:r w:rsidR="00687114">
        <w:t xml:space="preserve"> </w:t>
      </w:r>
      <w:r w:rsidRPr="00D13A3E">
        <w:t xml:space="preserve">of the </w:t>
      </w:r>
      <w:r>
        <w:t>resubmission</w:t>
      </w:r>
    </w:p>
    <w:p w:rsidR="00266E19" w:rsidRPr="006C3157" w:rsidRDefault="00266E19" w:rsidP="00CD7BF3">
      <w:pPr>
        <w:pStyle w:val="TableFooter"/>
        <w:keepNext/>
        <w:keepLines/>
        <w:rPr>
          <w:i/>
        </w:rPr>
      </w:pPr>
      <w:r w:rsidRPr="006C3157">
        <w:rPr>
          <w:i/>
        </w:rPr>
        <w:t xml:space="preserve">The redacted values correspond to the following ranges: </w:t>
      </w:r>
    </w:p>
    <w:p w:rsidR="00266E19" w:rsidRPr="006C3157" w:rsidRDefault="00266E19" w:rsidP="00CD7BF3">
      <w:pPr>
        <w:pStyle w:val="TableFooter"/>
        <w:keepNext/>
        <w:keepLines/>
        <w:rPr>
          <w:i/>
        </w:rPr>
      </w:pPr>
      <w:r w:rsidRPr="006C3157">
        <w:rPr>
          <w:i/>
          <w:vertAlign w:val="superscript"/>
        </w:rPr>
        <w:t>1</w:t>
      </w:r>
      <w:r w:rsidRPr="006C3157">
        <w:rPr>
          <w:i/>
        </w:rPr>
        <w:t>5,000 to &lt;10,000</w:t>
      </w:r>
    </w:p>
    <w:p w:rsidR="00266E19" w:rsidRPr="006C3157" w:rsidRDefault="00266E19" w:rsidP="00CD7BF3">
      <w:pPr>
        <w:pStyle w:val="TableFooter"/>
        <w:keepNext/>
        <w:keepLines/>
        <w:rPr>
          <w:i/>
        </w:rPr>
      </w:pPr>
      <w:r w:rsidRPr="006C3157">
        <w:rPr>
          <w:i/>
          <w:vertAlign w:val="superscript"/>
        </w:rPr>
        <w:t>2</w:t>
      </w:r>
      <w:r w:rsidRPr="006C3157">
        <w:rPr>
          <w:i/>
        </w:rPr>
        <w:t>10,000 to &lt;20,000</w:t>
      </w:r>
    </w:p>
    <w:p w:rsidR="00266E19" w:rsidRPr="006C3157" w:rsidRDefault="00266E19" w:rsidP="00CD7BF3">
      <w:pPr>
        <w:pStyle w:val="TableFooter"/>
        <w:keepNext/>
        <w:keepLines/>
        <w:rPr>
          <w:i/>
        </w:rPr>
      </w:pPr>
      <w:r w:rsidRPr="006C3157">
        <w:rPr>
          <w:i/>
          <w:vertAlign w:val="superscript"/>
        </w:rPr>
        <w:t>3</w:t>
      </w:r>
      <w:r w:rsidRPr="006C3157">
        <w:rPr>
          <w:i/>
        </w:rPr>
        <w:t>50,000 to &lt;60,000</w:t>
      </w:r>
    </w:p>
    <w:p w:rsidR="00266E19" w:rsidRPr="006C3157" w:rsidRDefault="00266E19" w:rsidP="00CD7BF3">
      <w:pPr>
        <w:pStyle w:val="TableFooter"/>
        <w:keepNext/>
        <w:keepLines/>
        <w:rPr>
          <w:i/>
        </w:rPr>
      </w:pPr>
      <w:r w:rsidRPr="006C3157">
        <w:rPr>
          <w:i/>
          <w:vertAlign w:val="superscript"/>
        </w:rPr>
        <w:t>4</w:t>
      </w:r>
      <w:r w:rsidRPr="006C3157">
        <w:rPr>
          <w:i/>
        </w:rPr>
        <w:t>90,000 to &lt;100,000</w:t>
      </w:r>
    </w:p>
    <w:p w:rsidR="00E74BA0" w:rsidRPr="006C3157" w:rsidRDefault="00E74BA0" w:rsidP="00CD7BF3">
      <w:pPr>
        <w:pStyle w:val="TableFooter"/>
        <w:keepNext/>
        <w:keepLines/>
        <w:rPr>
          <w:i/>
        </w:rPr>
      </w:pPr>
      <w:r w:rsidRPr="006C3157">
        <w:rPr>
          <w:i/>
          <w:vertAlign w:val="superscript"/>
        </w:rPr>
        <w:t>5</w:t>
      </w:r>
      <w:r w:rsidRPr="006C3157">
        <w:rPr>
          <w:i/>
        </w:rPr>
        <w:t>100,000 to &lt;200,000</w:t>
      </w:r>
    </w:p>
    <w:p w:rsidR="00E74BA0" w:rsidRPr="006C3157" w:rsidRDefault="00E74BA0" w:rsidP="00CD7BF3">
      <w:pPr>
        <w:pStyle w:val="TableFooter"/>
        <w:keepNext/>
        <w:keepLines/>
        <w:rPr>
          <w:i/>
        </w:rPr>
      </w:pPr>
      <w:r w:rsidRPr="006C3157">
        <w:rPr>
          <w:i/>
          <w:vertAlign w:val="superscript"/>
        </w:rPr>
        <w:t>6</w:t>
      </w:r>
      <w:r w:rsidRPr="006C3157">
        <w:rPr>
          <w:i/>
        </w:rPr>
        <w:t>20,000 to &lt;30,000</w:t>
      </w:r>
    </w:p>
    <w:p w:rsidR="00E74BA0" w:rsidRPr="006C3157" w:rsidRDefault="00E74BA0" w:rsidP="00CD7BF3">
      <w:pPr>
        <w:pStyle w:val="TableFooter"/>
        <w:keepNext/>
        <w:keepLines/>
        <w:rPr>
          <w:i/>
        </w:rPr>
      </w:pPr>
      <w:r w:rsidRPr="006C3157">
        <w:rPr>
          <w:i/>
          <w:vertAlign w:val="superscript"/>
        </w:rPr>
        <w:t>7</w:t>
      </w:r>
      <w:r w:rsidRPr="006C3157">
        <w:rPr>
          <w:i/>
        </w:rPr>
        <w:t>30,000 to &lt;40,000</w:t>
      </w:r>
    </w:p>
    <w:p w:rsidR="00E74BA0" w:rsidRPr="006C3157" w:rsidRDefault="00E74BA0" w:rsidP="00CD7BF3">
      <w:pPr>
        <w:pStyle w:val="TableFooter"/>
        <w:keepNext/>
        <w:keepLines/>
        <w:rPr>
          <w:i/>
        </w:rPr>
      </w:pPr>
      <w:r w:rsidRPr="006C3157">
        <w:rPr>
          <w:i/>
          <w:vertAlign w:val="superscript"/>
        </w:rPr>
        <w:t>8</w:t>
      </w:r>
      <w:r w:rsidRPr="006C3157">
        <w:rPr>
          <w:i/>
        </w:rPr>
        <w:t>40,000 to &lt;50,000</w:t>
      </w:r>
    </w:p>
    <w:p w:rsidR="00E74BA0" w:rsidRPr="006C3157" w:rsidRDefault="00E74BA0" w:rsidP="00CD7BF3">
      <w:pPr>
        <w:pStyle w:val="TableFooter"/>
        <w:keepNext/>
        <w:keepLines/>
        <w:rPr>
          <w:i/>
        </w:rPr>
      </w:pPr>
      <w:r w:rsidRPr="006C3157">
        <w:rPr>
          <w:i/>
          <w:vertAlign w:val="superscript"/>
        </w:rPr>
        <w:t>9</w:t>
      </w:r>
      <w:r w:rsidRPr="006C3157">
        <w:rPr>
          <w:i/>
        </w:rPr>
        <w:t>60,000 to &lt;70,000</w:t>
      </w:r>
    </w:p>
    <w:p w:rsidR="00E74BA0" w:rsidRPr="006C3157" w:rsidRDefault="00E74BA0" w:rsidP="00CD7BF3">
      <w:pPr>
        <w:pStyle w:val="TableFooter"/>
        <w:keepNext/>
        <w:keepLines/>
        <w:rPr>
          <w:i/>
        </w:rPr>
      </w:pPr>
      <w:r w:rsidRPr="006C3157">
        <w:rPr>
          <w:i/>
          <w:vertAlign w:val="superscript"/>
        </w:rPr>
        <w:t>10</w:t>
      </w:r>
      <w:r w:rsidRPr="006C3157">
        <w:rPr>
          <w:i/>
        </w:rPr>
        <w:t>80,000 to &lt;90,000</w:t>
      </w:r>
    </w:p>
    <w:p w:rsidR="009C3BCC" w:rsidRPr="006C3157" w:rsidRDefault="009C3BCC" w:rsidP="00CD7BF3">
      <w:pPr>
        <w:pStyle w:val="TableFooter"/>
        <w:keepNext/>
        <w:keepLines/>
        <w:rPr>
          <w:i/>
        </w:rPr>
      </w:pPr>
      <w:r w:rsidRPr="006C3157">
        <w:rPr>
          <w:i/>
          <w:vertAlign w:val="superscript"/>
        </w:rPr>
        <w:t>11</w:t>
      </w:r>
      <w:r w:rsidRPr="006C3157">
        <w:rPr>
          <w:i/>
        </w:rPr>
        <w:t>$30 million to &lt;$40 million</w:t>
      </w:r>
    </w:p>
    <w:p w:rsidR="004D09E9" w:rsidRPr="006C3157" w:rsidRDefault="004D09E9" w:rsidP="00CD7BF3">
      <w:pPr>
        <w:pStyle w:val="TableFooter"/>
        <w:keepNext/>
        <w:keepLines/>
        <w:rPr>
          <w:i/>
        </w:rPr>
      </w:pPr>
      <w:r w:rsidRPr="006C3157">
        <w:rPr>
          <w:i/>
          <w:vertAlign w:val="superscript"/>
        </w:rPr>
        <w:t>12</w:t>
      </w:r>
      <w:r w:rsidRPr="006C3157">
        <w:rPr>
          <w:i/>
        </w:rPr>
        <w:t>$50 million to &lt;$60 million</w:t>
      </w:r>
    </w:p>
    <w:p w:rsidR="00691841" w:rsidRPr="006C3157" w:rsidRDefault="00691841" w:rsidP="00CD7BF3">
      <w:pPr>
        <w:pStyle w:val="TableFooter"/>
        <w:keepNext/>
        <w:keepLines/>
        <w:rPr>
          <w:i/>
        </w:rPr>
      </w:pPr>
      <w:r w:rsidRPr="006C3157">
        <w:rPr>
          <w:i/>
          <w:vertAlign w:val="superscript"/>
        </w:rPr>
        <w:t>13</w:t>
      </w:r>
      <w:r w:rsidRPr="006C3157">
        <w:rPr>
          <w:i/>
        </w:rPr>
        <w:t>$70 million to &lt;$80 million</w:t>
      </w:r>
    </w:p>
    <w:p w:rsidR="0018667F" w:rsidRPr="006C3157" w:rsidRDefault="0018667F" w:rsidP="00CD7BF3">
      <w:pPr>
        <w:pStyle w:val="TableFooter"/>
        <w:keepNext/>
        <w:keepLines/>
        <w:rPr>
          <w:i/>
        </w:rPr>
      </w:pPr>
      <w:r w:rsidRPr="006C3157">
        <w:rPr>
          <w:i/>
          <w:vertAlign w:val="superscript"/>
        </w:rPr>
        <w:t>14</w:t>
      </w:r>
      <w:r w:rsidRPr="006C3157">
        <w:rPr>
          <w:i/>
        </w:rPr>
        <w:t>$80 million to &lt;$90 million</w:t>
      </w:r>
    </w:p>
    <w:p w:rsidR="0018667F" w:rsidRPr="006C3157" w:rsidRDefault="0018667F" w:rsidP="00CD7BF3">
      <w:pPr>
        <w:pStyle w:val="TableFooter"/>
        <w:keepNext/>
        <w:keepLines/>
        <w:rPr>
          <w:i/>
        </w:rPr>
      </w:pPr>
      <w:r w:rsidRPr="006C3157">
        <w:rPr>
          <w:i/>
          <w:vertAlign w:val="superscript"/>
        </w:rPr>
        <w:t>15</w:t>
      </w:r>
      <w:r w:rsidRPr="006C3157">
        <w:rPr>
          <w:i/>
        </w:rPr>
        <w:t>$90 million to &lt;$100 million</w:t>
      </w:r>
    </w:p>
    <w:p w:rsidR="0018667F" w:rsidRPr="006C3157" w:rsidRDefault="0018667F" w:rsidP="00CD7BF3">
      <w:pPr>
        <w:pStyle w:val="TableFooter"/>
        <w:keepNext/>
        <w:keepLines/>
        <w:rPr>
          <w:i/>
        </w:rPr>
      </w:pPr>
      <w:r w:rsidRPr="006C3157">
        <w:rPr>
          <w:i/>
          <w:vertAlign w:val="superscript"/>
        </w:rPr>
        <w:t>16</w:t>
      </w:r>
      <w:r w:rsidRPr="006C3157">
        <w:rPr>
          <w:i/>
        </w:rPr>
        <w:t>$100 million to &lt;$200 million</w:t>
      </w:r>
    </w:p>
    <w:p w:rsidR="006C3157" w:rsidRPr="006C3157" w:rsidRDefault="006C3157" w:rsidP="00CD7BF3">
      <w:pPr>
        <w:pStyle w:val="TableFooter"/>
        <w:keepNext/>
        <w:keepLines/>
        <w:rPr>
          <w:i/>
        </w:rPr>
      </w:pPr>
      <w:r w:rsidRPr="006C3157">
        <w:rPr>
          <w:i/>
          <w:vertAlign w:val="superscript"/>
        </w:rPr>
        <w:t>17</w:t>
      </w:r>
      <w:r w:rsidRPr="006C3157">
        <w:rPr>
          <w:i/>
        </w:rPr>
        <w:t>$0 to &lt;$10 million</w:t>
      </w:r>
    </w:p>
    <w:p w:rsidR="006C3157" w:rsidRPr="006C3157" w:rsidRDefault="006C3157" w:rsidP="00CD7BF3">
      <w:pPr>
        <w:pStyle w:val="TableFooter"/>
        <w:keepNext/>
        <w:keepLines/>
        <w:rPr>
          <w:rStyle w:val="CommentReference"/>
          <w:i/>
        </w:rPr>
      </w:pPr>
      <w:r w:rsidRPr="006C3157">
        <w:rPr>
          <w:i/>
          <w:vertAlign w:val="superscript"/>
        </w:rPr>
        <w:t>18</w:t>
      </w:r>
      <w:r w:rsidRPr="006C3157">
        <w:rPr>
          <w:i/>
        </w:rPr>
        <w:t>net cost saving</w:t>
      </w:r>
    </w:p>
    <w:p w:rsidR="006E62B5" w:rsidRPr="00C25D9C" w:rsidRDefault="006E62B5" w:rsidP="006E62B5">
      <w:pPr>
        <w:widowControl/>
      </w:pPr>
    </w:p>
    <w:p w:rsidR="006E62B5" w:rsidRPr="003816CC" w:rsidRDefault="006E62B5" w:rsidP="00F83BA8">
      <w:pPr>
        <w:widowControl/>
        <w:jc w:val="left"/>
        <w:rPr>
          <w:sz w:val="18"/>
          <w:szCs w:val="18"/>
        </w:rPr>
      </w:pPr>
    </w:p>
    <w:p w:rsidR="0024726D" w:rsidRPr="0059786E" w:rsidRDefault="0024726D" w:rsidP="00BD7A90">
      <w:pPr>
        <w:pStyle w:val="ListParagraph"/>
        <w:widowControl/>
        <w:numPr>
          <w:ilvl w:val="1"/>
          <w:numId w:val="1"/>
        </w:numPr>
      </w:pPr>
      <w:r w:rsidRPr="0059786E">
        <w:t xml:space="preserve">The resubmission indicated that approximately </w:t>
      </w:r>
      <w:r w:rsidR="00FC38BA">
        <w:t>500 to &lt;5,000</w:t>
      </w:r>
      <w:r w:rsidRPr="0059786E">
        <w:t xml:space="preserve"> patients would be treated with brolucizumab under a patient familiarisation programme</w:t>
      </w:r>
      <w:r w:rsidR="00F22BE3" w:rsidRPr="0059786E">
        <w:t xml:space="preserve"> (PFP)</w:t>
      </w:r>
      <w:r w:rsidRPr="0059786E">
        <w:t xml:space="preserve"> prior to listing.</w:t>
      </w:r>
      <w:r w:rsidR="00F22BE3" w:rsidRPr="0059786E">
        <w:t xml:space="preserve"> The ESC noted that the PFP does not require that patients </w:t>
      </w:r>
      <w:r w:rsidR="00F22BE3" w:rsidRPr="0059786E">
        <w:rPr>
          <w:iCs/>
        </w:rPr>
        <w:t>had prior therapy with aflibercept and/or ranibizumab</w:t>
      </w:r>
      <w:r w:rsidR="00F22BE3" w:rsidRPr="0059786E">
        <w:t>.</w:t>
      </w:r>
      <w:r w:rsidRPr="0059786E">
        <w:t xml:space="preserve"> The resubmission stated that “[t]hese patients will be included in the current switch, discontinuation and active disease populations. These patients are not included separately in this analysis</w:t>
      </w:r>
      <w:r w:rsidR="00D85639" w:rsidRPr="0059786E">
        <w:t>.</w:t>
      </w:r>
      <w:r w:rsidRPr="0059786E">
        <w:t xml:space="preserve">” </w:t>
      </w:r>
      <w:r w:rsidR="00F22BE3" w:rsidRPr="0059786E">
        <w:rPr>
          <w:iCs/>
        </w:rPr>
        <w:t>The ESC</w:t>
      </w:r>
      <w:r w:rsidR="002C0CC1">
        <w:rPr>
          <w:iCs/>
        </w:rPr>
        <w:t xml:space="preserve"> and the PBAC</w:t>
      </w:r>
      <w:r w:rsidR="00F22BE3" w:rsidRPr="0059786E">
        <w:rPr>
          <w:iCs/>
        </w:rPr>
        <w:t xml:space="preserve"> considered that </w:t>
      </w:r>
      <w:r w:rsidR="001270B2" w:rsidRPr="0059786E">
        <w:rPr>
          <w:iCs/>
        </w:rPr>
        <w:t xml:space="preserve">the </w:t>
      </w:r>
      <w:r w:rsidR="00F22BE3" w:rsidRPr="0059786E">
        <w:rPr>
          <w:iCs/>
        </w:rPr>
        <w:t xml:space="preserve">grandfather </w:t>
      </w:r>
      <w:r w:rsidR="001270B2" w:rsidRPr="0059786E">
        <w:rPr>
          <w:iCs/>
        </w:rPr>
        <w:t xml:space="preserve">restriction </w:t>
      </w:r>
      <w:r w:rsidR="00F22BE3" w:rsidRPr="0059786E">
        <w:rPr>
          <w:iCs/>
        </w:rPr>
        <w:t>should</w:t>
      </w:r>
      <w:r w:rsidR="00D85639" w:rsidRPr="0059786E">
        <w:rPr>
          <w:iCs/>
        </w:rPr>
        <w:t xml:space="preserve"> be</w:t>
      </w:r>
      <w:r w:rsidR="00F22BE3" w:rsidRPr="0059786E">
        <w:rPr>
          <w:iCs/>
        </w:rPr>
        <w:t xml:space="preserve"> for </w:t>
      </w:r>
      <w:r w:rsidR="000E5445" w:rsidRPr="0059786E">
        <w:rPr>
          <w:iCs/>
        </w:rPr>
        <w:t>subsequent</w:t>
      </w:r>
      <w:r w:rsidR="00F22BE3" w:rsidRPr="0059786E">
        <w:rPr>
          <w:iCs/>
        </w:rPr>
        <w:t>-line usage only.</w:t>
      </w:r>
    </w:p>
    <w:p w:rsidR="00A83D81" w:rsidRPr="00C9624D" w:rsidRDefault="00A83D81" w:rsidP="00E06C27">
      <w:pPr>
        <w:pStyle w:val="Heading2"/>
        <w:keepNext/>
        <w:keepLines/>
        <w:spacing w:after="120"/>
      </w:pPr>
      <w:bookmarkStart w:id="33" w:name="_Toc61002917"/>
      <w:bookmarkStart w:id="34" w:name="_Toc62041395"/>
      <w:r w:rsidRPr="00C9624D">
        <w:t>Financial Management – Risk Sharing Arrangements</w:t>
      </w:r>
      <w:bookmarkEnd w:id="33"/>
      <w:bookmarkEnd w:id="34"/>
    </w:p>
    <w:p w:rsidR="00DE2E5B" w:rsidRPr="0059786E" w:rsidRDefault="00DE2E5B" w:rsidP="00BD7A90">
      <w:pPr>
        <w:pStyle w:val="ListParagraph"/>
        <w:keepNext/>
        <w:keepLines/>
        <w:widowControl/>
        <w:numPr>
          <w:ilvl w:val="1"/>
          <w:numId w:val="1"/>
        </w:numPr>
      </w:pPr>
      <w:r w:rsidRPr="0059786E">
        <w:t>No risk sharing arrangement</w:t>
      </w:r>
      <w:r w:rsidR="00964C03" w:rsidRPr="0059786E">
        <w:t xml:space="preserve"> (RSA)</w:t>
      </w:r>
      <w:r w:rsidRPr="0059786E">
        <w:t xml:space="preserve"> was detailed in the resubmission.</w:t>
      </w:r>
      <w:r w:rsidR="00917DAC" w:rsidRPr="0059786E">
        <w:t xml:space="preserve"> </w:t>
      </w:r>
      <w:r w:rsidR="00964C03" w:rsidRPr="0059786E">
        <w:t>The Sponsor did not acknowledge the RSA in place for ranibizumab and aflibercept in CNV due to AMD, or propose inclusion of brolucizumab in this RSA.</w:t>
      </w:r>
    </w:p>
    <w:p w:rsidR="00DE2E5B" w:rsidRDefault="00DE2E5B" w:rsidP="00BD7A90">
      <w:pPr>
        <w:pStyle w:val="ListParagraph"/>
        <w:widowControl/>
        <w:numPr>
          <w:ilvl w:val="1"/>
          <w:numId w:val="1"/>
        </w:numPr>
      </w:pPr>
      <w:r w:rsidRPr="0059786E">
        <w:t xml:space="preserve">The resubmission stated that if the PBAC feels that the degree of uncertainty in the estimates warrants a </w:t>
      </w:r>
      <w:r w:rsidR="00964C03" w:rsidRPr="0059786E">
        <w:t>RSA</w:t>
      </w:r>
      <w:r w:rsidRPr="0059786E">
        <w:t>, the Sponsor will discuss this with the Department of Health once other aspects of the submission (with focus on the wording of the restriction and the size of the eligible population) have been agreed on.</w:t>
      </w:r>
      <w:bookmarkEnd w:id="2"/>
      <w:r w:rsidR="002C0CC1">
        <w:t xml:space="preserve"> </w:t>
      </w:r>
    </w:p>
    <w:p w:rsidR="00150F8F" w:rsidRDefault="00150F8F" w:rsidP="00150F8F">
      <w:pPr>
        <w:pStyle w:val="ListParagraph"/>
        <w:widowControl/>
        <w:rPr>
          <w:rFonts w:asciiTheme="minorHAnsi" w:hAnsiTheme="minorHAnsi"/>
          <w:i/>
        </w:rPr>
      </w:pPr>
      <w:r w:rsidRPr="00150F8F">
        <w:rPr>
          <w:rFonts w:asciiTheme="minorHAnsi" w:hAnsiTheme="minorHAnsi"/>
          <w:i/>
        </w:rPr>
        <w:t>For more detail on PBAC’s view, see section 7 PBAC outcome.</w:t>
      </w:r>
    </w:p>
    <w:p w:rsidR="00C5020A" w:rsidRDefault="00C5020A" w:rsidP="00C5020A">
      <w:pPr>
        <w:pStyle w:val="PBACHeading1"/>
        <w:spacing w:after="120"/>
        <w:outlineLvl w:val="0"/>
      </w:pPr>
      <w:r>
        <w:t>PBAC Outcome</w:t>
      </w:r>
    </w:p>
    <w:p w:rsidR="00C5020A" w:rsidRDefault="00EB6DEC" w:rsidP="00BD7A90">
      <w:pPr>
        <w:numPr>
          <w:ilvl w:val="1"/>
          <w:numId w:val="1"/>
        </w:numPr>
        <w:spacing w:after="120"/>
        <w:rPr>
          <w:rFonts w:asciiTheme="minorHAnsi" w:hAnsiTheme="minorHAnsi"/>
          <w:bCs/>
          <w:lang w:val="en-GB"/>
        </w:rPr>
      </w:pPr>
      <w:r w:rsidRPr="00525B39">
        <w:rPr>
          <w:rFonts w:asciiTheme="minorHAnsi" w:hAnsiTheme="minorHAnsi"/>
          <w:bCs/>
          <w:lang w:val="en-GB"/>
        </w:rPr>
        <w:t>The PBAC recommended the</w:t>
      </w:r>
      <w:r>
        <w:rPr>
          <w:rFonts w:asciiTheme="minorHAnsi" w:hAnsiTheme="minorHAnsi"/>
          <w:bCs/>
          <w:lang w:val="en-GB"/>
        </w:rPr>
        <w:t xml:space="preserve"> Authority Required</w:t>
      </w:r>
      <w:r w:rsidRPr="00525B39">
        <w:rPr>
          <w:rFonts w:asciiTheme="minorHAnsi" w:hAnsiTheme="minorHAnsi"/>
          <w:bCs/>
          <w:lang w:val="en-GB"/>
        </w:rPr>
        <w:t xml:space="preserve"> listing of </w:t>
      </w:r>
      <w:r>
        <w:rPr>
          <w:rFonts w:asciiTheme="minorHAnsi" w:hAnsiTheme="minorHAnsi"/>
          <w:bCs/>
          <w:lang w:val="en-GB"/>
        </w:rPr>
        <w:t xml:space="preserve">brolucizumab for the treatment of </w:t>
      </w:r>
      <w:r w:rsidRPr="006808BF">
        <w:t xml:space="preserve">subfoveal choroidal neovascularisation (CNV) due to age-related macular degeneration (AMD) in </w:t>
      </w:r>
      <w:r>
        <w:t xml:space="preserve">patients who </w:t>
      </w:r>
      <w:r w:rsidR="009A5D32">
        <w:t xml:space="preserve">have persistent disease despite prior </w:t>
      </w:r>
      <w:r w:rsidRPr="006808BF">
        <w:t>anti-</w:t>
      </w:r>
      <w:r>
        <w:t>VEGF</w:t>
      </w:r>
      <w:r w:rsidRPr="006808BF">
        <w:t xml:space="preserve"> treatment</w:t>
      </w:r>
      <w:r w:rsidRPr="00525B39">
        <w:rPr>
          <w:rFonts w:asciiTheme="minorHAnsi" w:hAnsiTheme="minorHAnsi"/>
          <w:bCs/>
          <w:lang w:val="en-GB"/>
        </w:rPr>
        <w:t>.</w:t>
      </w:r>
      <w:r>
        <w:rPr>
          <w:rFonts w:asciiTheme="minorHAnsi" w:hAnsiTheme="minorHAnsi"/>
          <w:bCs/>
          <w:lang w:val="en-GB"/>
        </w:rPr>
        <w:t xml:space="preserve"> The PBAC’s recommendation was based on, among other matters, its assessment that the cost-effectiveness of brolucizumab would be acceptable </w:t>
      </w:r>
      <w:r w:rsidR="004939FF">
        <w:rPr>
          <w:rFonts w:asciiTheme="minorHAnsi" w:hAnsiTheme="minorHAnsi"/>
          <w:bCs/>
          <w:lang w:val="en-GB"/>
        </w:rPr>
        <w:t>at a price lower than</w:t>
      </w:r>
      <w:r w:rsidR="00451023">
        <w:rPr>
          <w:rFonts w:asciiTheme="minorHAnsi" w:hAnsiTheme="minorHAnsi"/>
          <w:bCs/>
          <w:lang w:val="en-GB"/>
        </w:rPr>
        <w:t xml:space="preserve"> </w:t>
      </w:r>
      <w:r w:rsidR="004939FF">
        <w:rPr>
          <w:rFonts w:asciiTheme="minorHAnsi" w:hAnsiTheme="minorHAnsi"/>
          <w:bCs/>
          <w:lang w:val="en-GB"/>
        </w:rPr>
        <w:t xml:space="preserve">the currently PBS-listed anti-VEGF treatments. </w:t>
      </w:r>
    </w:p>
    <w:p w:rsidR="00F5589F" w:rsidRPr="00525B39" w:rsidRDefault="00F5589F" w:rsidP="00BD7A90">
      <w:pPr>
        <w:numPr>
          <w:ilvl w:val="1"/>
          <w:numId w:val="1"/>
        </w:numPr>
        <w:spacing w:after="120"/>
        <w:rPr>
          <w:rFonts w:asciiTheme="minorHAnsi" w:hAnsiTheme="minorHAnsi"/>
          <w:bCs/>
          <w:lang w:val="en-GB"/>
        </w:rPr>
      </w:pPr>
      <w:r>
        <w:rPr>
          <w:rFonts w:asciiTheme="minorHAnsi" w:hAnsiTheme="minorHAnsi"/>
          <w:bCs/>
          <w:lang w:val="en-GB"/>
        </w:rPr>
        <w:t xml:space="preserve">The PBAC acknowledged that a second- or subsequent-line treatment option of brolucizumab in CNV due to AMD would be useful for </w:t>
      </w:r>
      <w:r w:rsidR="003B226A">
        <w:rPr>
          <w:rFonts w:asciiTheme="minorHAnsi" w:hAnsiTheme="minorHAnsi"/>
          <w:bCs/>
          <w:lang w:val="en-GB"/>
        </w:rPr>
        <w:t xml:space="preserve">some </w:t>
      </w:r>
      <w:r>
        <w:rPr>
          <w:rFonts w:asciiTheme="minorHAnsi" w:hAnsiTheme="minorHAnsi"/>
          <w:bCs/>
          <w:lang w:val="en-GB"/>
        </w:rPr>
        <w:t xml:space="preserve">patients who have ongoing exudation/fluid despite </w:t>
      </w:r>
      <w:r w:rsidR="003B226A">
        <w:rPr>
          <w:rFonts w:asciiTheme="minorHAnsi" w:hAnsiTheme="minorHAnsi"/>
          <w:bCs/>
          <w:lang w:val="en-GB"/>
        </w:rPr>
        <w:t>prior</w:t>
      </w:r>
      <w:r>
        <w:rPr>
          <w:rFonts w:asciiTheme="minorHAnsi" w:hAnsiTheme="minorHAnsi"/>
          <w:bCs/>
          <w:lang w:val="en-GB"/>
        </w:rPr>
        <w:t xml:space="preserve"> anti-VEGF treatment.</w:t>
      </w:r>
    </w:p>
    <w:p w:rsidR="0075046B" w:rsidRPr="00EB6A78" w:rsidRDefault="00D60073" w:rsidP="00BD7A90">
      <w:pPr>
        <w:numPr>
          <w:ilvl w:val="1"/>
          <w:numId w:val="1"/>
        </w:numPr>
        <w:spacing w:after="120"/>
        <w:rPr>
          <w:rFonts w:asciiTheme="minorHAnsi" w:hAnsiTheme="minorHAnsi"/>
          <w:bCs/>
          <w:lang w:val="en-GB"/>
        </w:rPr>
      </w:pPr>
      <w:r>
        <w:t xml:space="preserve">The PBAC accepted the proposed </w:t>
      </w:r>
      <w:r w:rsidRPr="006808BF">
        <w:t>dose</w:t>
      </w:r>
      <w:r w:rsidR="00D447F9">
        <w:t xml:space="preserve"> equivalence</w:t>
      </w:r>
      <w:r w:rsidRPr="006808BF">
        <w:t xml:space="preserve"> </w:t>
      </w:r>
      <w:r>
        <w:t>of</w:t>
      </w:r>
      <w:r w:rsidRPr="0059786E">
        <w:t xml:space="preserve"> brolucizumab 6 mg</w:t>
      </w:r>
      <w:r w:rsidR="004E6F1E">
        <w:t>,</w:t>
      </w:r>
      <w:r w:rsidRPr="0059786E">
        <w:t xml:space="preserve"> aflibercept 2 mg </w:t>
      </w:r>
      <w:r w:rsidR="004E6F1E">
        <w:t>and</w:t>
      </w:r>
      <w:r w:rsidRPr="0059786E">
        <w:t xml:space="preserve"> ranibizumab </w:t>
      </w:r>
      <w:r w:rsidR="001667A4">
        <w:t>0.5</w:t>
      </w:r>
      <w:r w:rsidRPr="0059786E">
        <w:t xml:space="preserve"> </w:t>
      </w:r>
      <w:r>
        <w:t>mg,</w:t>
      </w:r>
      <w:r w:rsidRPr="0059786E">
        <w:rPr>
          <w:iCs/>
        </w:rPr>
        <w:t xml:space="preserve"> in line with previous advice from the ESC and the PBAC (Brolucizumab PSD November 2019, paragraph 7.7).</w:t>
      </w:r>
      <w:r w:rsidR="008B2922" w:rsidRPr="008B2922">
        <w:t xml:space="preserve"> </w:t>
      </w:r>
      <w:r w:rsidR="008B2922">
        <w:t xml:space="preserve">The PBAC noted the </w:t>
      </w:r>
      <w:r w:rsidR="008B2922">
        <w:rPr>
          <w:iCs/>
        </w:rPr>
        <w:t>S</w:t>
      </w:r>
      <w:r w:rsidR="008B2922" w:rsidRPr="008B2922">
        <w:rPr>
          <w:iCs/>
        </w:rPr>
        <w:t xml:space="preserve">ponsor offered a </w:t>
      </w:r>
      <w:r w:rsidR="008B2922" w:rsidRPr="00BB2EBF">
        <w:rPr>
          <w:iCs/>
        </w:rPr>
        <w:t>5</w:t>
      </w:r>
      <w:r w:rsidR="008B2922">
        <w:rPr>
          <w:iCs/>
        </w:rPr>
        <w:t>% price reduction</w:t>
      </w:r>
      <w:r w:rsidR="00D447F9">
        <w:rPr>
          <w:iCs/>
        </w:rPr>
        <w:t xml:space="preserve"> for brolucizumab, when compared to the currently listed anti-VEGF treatments to account for differences in its safety, which could be calculated based on this dosing.</w:t>
      </w:r>
    </w:p>
    <w:p w:rsidR="0075046B" w:rsidRPr="00D80C8F" w:rsidRDefault="00FB05DB" w:rsidP="00BD7A90">
      <w:pPr>
        <w:numPr>
          <w:ilvl w:val="1"/>
          <w:numId w:val="1"/>
        </w:numPr>
        <w:spacing w:after="120"/>
        <w:rPr>
          <w:rFonts w:asciiTheme="minorHAnsi" w:hAnsiTheme="minorHAnsi"/>
          <w:bCs/>
          <w:lang w:val="en-GB"/>
        </w:rPr>
      </w:pPr>
      <w:r w:rsidRPr="00D80C8F">
        <w:rPr>
          <w:rFonts w:asciiTheme="minorHAnsi" w:hAnsiTheme="minorHAnsi" w:cstheme="minorHAnsi"/>
        </w:rPr>
        <w:t xml:space="preserve">The restriction for brolucizumab recommended by the PBAC aligns with the current PBS listings for ranibizumab and aflibercept for initial and continuing treatment phases, with the exception </w:t>
      </w:r>
      <w:r w:rsidRPr="00B41015">
        <w:rPr>
          <w:rFonts w:asciiTheme="minorHAnsi" w:hAnsiTheme="minorHAnsi" w:cstheme="minorHAnsi"/>
        </w:rPr>
        <w:t>of the requirement for initial treatment for patients to have persistent macular exudation, as determined clinically and/or on OCT or FA, despite at least 6 months of treatment with VEGF inhibitors.</w:t>
      </w:r>
      <w:r w:rsidR="00D80C8F" w:rsidRPr="00B41015">
        <w:rPr>
          <w:rFonts w:asciiTheme="minorHAnsi" w:hAnsiTheme="minorHAnsi"/>
          <w:bCs/>
          <w:lang w:val="en-GB"/>
        </w:rPr>
        <w:t xml:space="preserve"> </w:t>
      </w:r>
      <w:r w:rsidR="0075046B" w:rsidRPr="00B41015">
        <w:t>The PBAC noted that use of brolucizumab following both aflibercept and ranibizumab (i.e. third-line use) has not been excluded in the requested listing, and considered that second- or third</w:t>
      </w:r>
      <w:r w:rsidR="0075046B">
        <w:t>-line use of brolucizumab would be reasonable.</w:t>
      </w:r>
    </w:p>
    <w:p w:rsidR="00C5020A" w:rsidRPr="00E52B1A" w:rsidRDefault="0075046B" w:rsidP="00BD7A90">
      <w:pPr>
        <w:numPr>
          <w:ilvl w:val="1"/>
          <w:numId w:val="1"/>
        </w:numPr>
        <w:spacing w:after="120"/>
        <w:rPr>
          <w:rFonts w:asciiTheme="minorHAnsi" w:hAnsiTheme="minorHAnsi"/>
          <w:bCs/>
          <w:lang w:val="en-GB"/>
        </w:rPr>
      </w:pPr>
      <w:r>
        <w:t xml:space="preserve">The PBAC noted that switching between VEGF inhibitors is already occurring, and indicated that </w:t>
      </w:r>
      <w:r w:rsidRPr="00097520">
        <w:t xml:space="preserve">there </w:t>
      </w:r>
      <w:r w:rsidR="00D435C4" w:rsidRPr="00097520">
        <w:t>may</w:t>
      </w:r>
      <w:r w:rsidRPr="00097520">
        <w:t xml:space="preserve"> be flow-on changes</w:t>
      </w:r>
      <w:r w:rsidR="00D435C4" w:rsidRPr="00097520">
        <w:t xml:space="preserve"> required</w:t>
      </w:r>
      <w:r w:rsidRPr="00097520">
        <w:t xml:space="preserve"> to the restrictions</w:t>
      </w:r>
      <w:r>
        <w:t xml:space="preserve"> for ranibizumab and aflibercept to reflect this. </w:t>
      </w:r>
    </w:p>
    <w:p w:rsidR="00C5020A" w:rsidRPr="00F5589F" w:rsidRDefault="00E52B1A" w:rsidP="00BD7A90">
      <w:pPr>
        <w:numPr>
          <w:ilvl w:val="1"/>
          <w:numId w:val="1"/>
        </w:numPr>
        <w:spacing w:after="120"/>
        <w:rPr>
          <w:rFonts w:asciiTheme="minorHAnsi" w:hAnsiTheme="minorHAnsi"/>
          <w:bCs/>
          <w:lang w:val="en-GB"/>
        </w:rPr>
      </w:pPr>
      <w:r>
        <w:t>The requested</w:t>
      </w:r>
      <w:r w:rsidRPr="0059786E">
        <w:t xml:space="preserve"> restriction did not require that</w:t>
      </w:r>
      <w:r>
        <w:t xml:space="preserve"> grandfathered</w:t>
      </w:r>
      <w:r w:rsidRPr="0059786E">
        <w:t xml:space="preserve"> patients must have previously received aflibercept and/or ranibizumab. The </w:t>
      </w:r>
      <w:r>
        <w:t>PBAC</w:t>
      </w:r>
      <w:r w:rsidRPr="0059786E">
        <w:t xml:space="preserve"> considered it would be appropriate for</w:t>
      </w:r>
      <w:r>
        <w:t xml:space="preserve"> grandfathered</w:t>
      </w:r>
      <w:r w:rsidRPr="0059786E">
        <w:t xml:space="preserve"> patients</w:t>
      </w:r>
      <w:r>
        <w:t xml:space="preserve"> </w:t>
      </w:r>
      <w:r w:rsidRPr="0059786E">
        <w:t>to be</w:t>
      </w:r>
      <w:r>
        <w:t xml:space="preserve"> eligible to transition</w:t>
      </w:r>
      <w:r w:rsidRPr="0059786E">
        <w:t xml:space="preserve"> to PBS-subsidised treatment </w:t>
      </w:r>
      <w:r w:rsidR="00EB7E33">
        <w:t xml:space="preserve">only </w:t>
      </w:r>
      <w:r>
        <w:t xml:space="preserve">if they are </w:t>
      </w:r>
      <w:r w:rsidRPr="0059786E">
        <w:t>receiving brolucizumab as a second- or subsequent line treatment</w:t>
      </w:r>
      <w:r>
        <w:t>,</w:t>
      </w:r>
      <w:r w:rsidRPr="0059786E">
        <w:t xml:space="preserve"> and </w:t>
      </w:r>
      <w:r>
        <w:t>this should be reflected</w:t>
      </w:r>
      <w:r w:rsidR="00237DE0">
        <w:t xml:space="preserve"> in</w:t>
      </w:r>
      <w:r>
        <w:t xml:space="preserve"> the</w:t>
      </w:r>
      <w:r w:rsidRPr="0059786E">
        <w:t xml:space="preserve"> grandfather restriction.</w:t>
      </w:r>
    </w:p>
    <w:p w:rsidR="00C5020A" w:rsidRPr="00525B39" w:rsidRDefault="00AF45B6" w:rsidP="00BD7A90">
      <w:pPr>
        <w:numPr>
          <w:ilvl w:val="1"/>
          <w:numId w:val="1"/>
        </w:numPr>
        <w:spacing w:after="120"/>
        <w:rPr>
          <w:rFonts w:asciiTheme="minorHAnsi" w:hAnsiTheme="minorHAnsi"/>
          <w:bCs/>
          <w:lang w:val="en-GB"/>
        </w:rPr>
      </w:pPr>
      <w:r>
        <w:t xml:space="preserve">The PBAC accepted </w:t>
      </w:r>
      <w:r w:rsidRPr="006808BF">
        <w:t>aflibercept as the main comparator and ranibizumab as a secondary comparator</w:t>
      </w:r>
      <w:r w:rsidR="00C34432">
        <w:t xml:space="preserve"> in the second-line setting</w:t>
      </w:r>
      <w:r w:rsidR="008208E2">
        <w:t>.</w:t>
      </w:r>
      <w:r>
        <w:t xml:space="preserve"> The PBAC noted that </w:t>
      </w:r>
      <w:r w:rsidRPr="0059786E">
        <w:t>switching between anti-VEGF treatments for inadequate- or non-</w:t>
      </w:r>
      <w:r w:rsidR="00C34432">
        <w:t>response</w:t>
      </w:r>
      <w:r w:rsidRPr="0059786E">
        <w:t xml:space="preserve"> is common and well established</w:t>
      </w:r>
      <w:r w:rsidR="00275826">
        <w:t xml:space="preserve">. </w:t>
      </w:r>
      <w:r w:rsidR="008208E2">
        <w:t xml:space="preserve"> </w:t>
      </w:r>
    </w:p>
    <w:p w:rsidR="00C5020A" w:rsidRPr="0007170C" w:rsidRDefault="006872F2" w:rsidP="00BD7A90">
      <w:pPr>
        <w:numPr>
          <w:ilvl w:val="1"/>
          <w:numId w:val="1"/>
        </w:numPr>
        <w:spacing w:after="120"/>
        <w:rPr>
          <w:rFonts w:asciiTheme="minorHAnsi" w:hAnsiTheme="minorHAnsi"/>
          <w:bCs/>
          <w:lang w:val="en-GB"/>
        </w:rPr>
      </w:pPr>
      <w:r>
        <w:rPr>
          <w:rFonts w:asciiTheme="minorHAnsi" w:hAnsiTheme="minorHAnsi"/>
          <w:bCs/>
          <w:lang w:val="en-GB"/>
        </w:rPr>
        <w:t xml:space="preserve">The clinical evidence presented in the resubmission comprised the direct comparison between brolucizumab and aflibercept (HAWK and HARRIER trials) that have previously been considered by the PBAC, three single arm studies of patients switching to brolucizumab for second-line treatment, and multiple other data sources including case series and observational data. The PBAC considered the HAWK and HARRIER trials to be the key comparative evidence, despite </w:t>
      </w:r>
      <w:r w:rsidR="0007170C" w:rsidRPr="0059786E">
        <w:rPr>
          <w:iCs/>
        </w:rPr>
        <w:t xml:space="preserve">these trials </w:t>
      </w:r>
      <w:r w:rsidR="0007170C">
        <w:rPr>
          <w:iCs/>
        </w:rPr>
        <w:t>being</w:t>
      </w:r>
      <w:r w:rsidR="0007170C" w:rsidRPr="0059786E">
        <w:rPr>
          <w:iCs/>
        </w:rPr>
        <w:t xml:space="preserve"> conducted exclusively in a treatment naïve population</w:t>
      </w:r>
      <w:r w:rsidR="007A4D1E">
        <w:rPr>
          <w:iCs/>
        </w:rPr>
        <w:t>,</w:t>
      </w:r>
      <w:r w:rsidR="0007170C" w:rsidRPr="0059786E">
        <w:rPr>
          <w:iCs/>
        </w:rPr>
        <w:t xml:space="preserve"> while the requested listing is for patients who have previously received at least 6 months of treatment with </w:t>
      </w:r>
      <w:r w:rsidR="00EB7E33">
        <w:rPr>
          <w:iCs/>
        </w:rPr>
        <w:t>anti-</w:t>
      </w:r>
      <w:r w:rsidR="0007170C" w:rsidRPr="0059786E">
        <w:rPr>
          <w:iCs/>
        </w:rPr>
        <w:t>VEGF</w:t>
      </w:r>
      <w:r w:rsidR="00EB7E33">
        <w:rPr>
          <w:iCs/>
        </w:rPr>
        <w:t xml:space="preserve"> treatments</w:t>
      </w:r>
      <w:r w:rsidR="0007170C" w:rsidRPr="0059786E">
        <w:rPr>
          <w:iCs/>
        </w:rPr>
        <w:t>.</w:t>
      </w:r>
    </w:p>
    <w:p w:rsidR="0007170C" w:rsidRPr="00525B39" w:rsidRDefault="0007170C" w:rsidP="00BD7A90">
      <w:pPr>
        <w:numPr>
          <w:ilvl w:val="1"/>
          <w:numId w:val="1"/>
        </w:numPr>
        <w:spacing w:after="120"/>
        <w:rPr>
          <w:rFonts w:asciiTheme="minorHAnsi" w:hAnsiTheme="minorHAnsi"/>
          <w:bCs/>
          <w:lang w:val="en-GB"/>
        </w:rPr>
      </w:pPr>
      <w:r>
        <w:rPr>
          <w:rFonts w:asciiTheme="minorHAnsi" w:hAnsiTheme="minorHAnsi"/>
          <w:bCs/>
          <w:lang w:val="en-GB"/>
        </w:rPr>
        <w:t xml:space="preserve">The resubmission presented </w:t>
      </w:r>
      <w:r w:rsidR="00AB7847">
        <w:rPr>
          <w:rFonts w:asciiTheme="minorHAnsi" w:hAnsiTheme="minorHAnsi"/>
          <w:bCs/>
          <w:lang w:val="en-GB"/>
        </w:rPr>
        <w:t>secondary efficacy endpoints of anatomic criteria for</w:t>
      </w:r>
      <w:r>
        <w:rPr>
          <w:rFonts w:asciiTheme="minorHAnsi" w:hAnsiTheme="minorHAnsi"/>
          <w:bCs/>
          <w:lang w:val="en-GB"/>
        </w:rPr>
        <w:t xml:space="preserve"> broluciz</w:t>
      </w:r>
      <w:r w:rsidR="00D803D1">
        <w:rPr>
          <w:rFonts w:asciiTheme="minorHAnsi" w:hAnsiTheme="minorHAnsi"/>
          <w:bCs/>
          <w:lang w:val="en-GB"/>
        </w:rPr>
        <w:t xml:space="preserve">umab versus aflibercept and claimed superiority in terms of efficacy. The PBAC considered this claim was not supported </w:t>
      </w:r>
      <w:r w:rsidR="00DC2BF6">
        <w:rPr>
          <w:rFonts w:asciiTheme="minorHAnsi" w:hAnsiTheme="minorHAnsi"/>
          <w:bCs/>
          <w:lang w:val="en-GB"/>
        </w:rPr>
        <w:t xml:space="preserve">due to the </w:t>
      </w:r>
      <w:r w:rsidR="007221ED">
        <w:rPr>
          <w:rFonts w:asciiTheme="minorHAnsi" w:hAnsiTheme="minorHAnsi"/>
          <w:bCs/>
          <w:lang w:val="en-GB"/>
        </w:rPr>
        <w:t xml:space="preserve">uncertainty in translating </w:t>
      </w:r>
      <w:r w:rsidR="00DC2BF6">
        <w:rPr>
          <w:rFonts w:asciiTheme="minorHAnsi" w:hAnsiTheme="minorHAnsi"/>
          <w:bCs/>
          <w:lang w:val="en-GB"/>
        </w:rPr>
        <w:t>these surrogate measures to</w:t>
      </w:r>
      <w:r w:rsidR="00173229">
        <w:rPr>
          <w:rFonts w:asciiTheme="minorHAnsi" w:hAnsiTheme="minorHAnsi"/>
          <w:bCs/>
          <w:lang w:val="en-GB"/>
        </w:rPr>
        <w:t xml:space="preserve"> patient-relevant</w:t>
      </w:r>
      <w:r w:rsidR="00DC2BF6">
        <w:rPr>
          <w:rFonts w:asciiTheme="minorHAnsi" w:hAnsiTheme="minorHAnsi"/>
          <w:bCs/>
          <w:lang w:val="en-GB"/>
        </w:rPr>
        <w:t xml:space="preserve"> clinical outcomes</w:t>
      </w:r>
      <w:r w:rsidR="00D803D1">
        <w:rPr>
          <w:rFonts w:asciiTheme="minorHAnsi" w:hAnsiTheme="minorHAnsi"/>
          <w:bCs/>
          <w:lang w:val="en-GB"/>
        </w:rPr>
        <w:t xml:space="preserve">; however, it acknowledged that the Sponsor’s arguments were biologically plausible and considered the anatomic data to be supportive of a non-inferiority claim for second-line use. </w:t>
      </w:r>
      <w:r>
        <w:rPr>
          <w:rFonts w:asciiTheme="minorHAnsi" w:hAnsiTheme="minorHAnsi"/>
          <w:bCs/>
          <w:lang w:val="en-GB"/>
        </w:rPr>
        <w:t xml:space="preserve">  </w:t>
      </w:r>
    </w:p>
    <w:p w:rsidR="00C5020A" w:rsidRPr="00525B39" w:rsidRDefault="00D803D1" w:rsidP="00BD7A90">
      <w:pPr>
        <w:numPr>
          <w:ilvl w:val="1"/>
          <w:numId w:val="1"/>
        </w:numPr>
        <w:spacing w:after="120"/>
        <w:rPr>
          <w:rFonts w:asciiTheme="minorHAnsi" w:hAnsiTheme="minorHAnsi"/>
          <w:bCs/>
          <w:lang w:val="en-GB"/>
        </w:rPr>
      </w:pPr>
      <w:r>
        <w:rPr>
          <w:rFonts w:asciiTheme="minorHAnsi" w:hAnsiTheme="minorHAnsi"/>
          <w:bCs/>
          <w:lang w:val="en-GB"/>
        </w:rPr>
        <w:t>The PBAC reiterated its previous finding that it “</w:t>
      </w:r>
      <w:r w:rsidRPr="0059786E">
        <w:t>was satisfied that brolucizumab was non-inferior in terms of comparative efficacy to aflibercept, based on the two key trials (HAWK and HARRIER)” (Brolucizumab PSD November 2019, paragraph 7.3).</w:t>
      </w:r>
      <w:r w:rsidR="00B3740D">
        <w:t xml:space="preserve"> The PBAC recalled that i</w:t>
      </w:r>
      <w:r w:rsidR="00B3740D" w:rsidRPr="006808BF">
        <w:t>n both the HAWK and HARRIER trials, brolucizumab met the primary endpoint of non-inferiority in change in BCVA from baseline to Week 48 compared with aflibercept.</w:t>
      </w:r>
      <w:r>
        <w:t xml:space="preserve"> </w:t>
      </w:r>
      <w:r w:rsidR="00D24D2C">
        <w:t>The PBAC considered that non-inferiority of broluc</w:t>
      </w:r>
      <w:r w:rsidR="005D1A61">
        <w:t>iz</w:t>
      </w:r>
      <w:r w:rsidR="00D24D2C">
        <w:t>umab was reasonable based on extrapolation of first-line clinical data to the second- or subsequent-line setting.</w:t>
      </w:r>
      <w:r w:rsidR="0007170C">
        <w:rPr>
          <w:rFonts w:asciiTheme="minorHAnsi" w:hAnsiTheme="minorHAnsi"/>
          <w:bCs/>
          <w:lang w:val="en-GB"/>
        </w:rPr>
        <w:t xml:space="preserve"> The PBAC considered that while the single arm switch studies were of low quality, they were not unsupportive of u</w:t>
      </w:r>
      <w:r w:rsidR="00D24D2C">
        <w:rPr>
          <w:rFonts w:asciiTheme="minorHAnsi" w:hAnsiTheme="minorHAnsi"/>
          <w:bCs/>
          <w:lang w:val="en-GB"/>
        </w:rPr>
        <w:t>sing brolucizumab</w:t>
      </w:r>
      <w:r w:rsidR="0007170C">
        <w:rPr>
          <w:rFonts w:asciiTheme="minorHAnsi" w:hAnsiTheme="minorHAnsi"/>
          <w:bCs/>
          <w:lang w:val="en-GB"/>
        </w:rPr>
        <w:t xml:space="preserve"> second-line.</w:t>
      </w:r>
    </w:p>
    <w:p w:rsidR="00C5020A" w:rsidRPr="00525B39" w:rsidRDefault="00A419EC" w:rsidP="00BD7A90">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issues of comparative safety identified in each of the previous brolucizumab submissions remain pertinent as the resubmission presented aflibercept as the main comparator. </w:t>
      </w:r>
      <w:r w:rsidR="001D34F9">
        <w:rPr>
          <w:rFonts w:asciiTheme="minorHAnsi" w:hAnsiTheme="minorHAnsi"/>
          <w:bCs/>
          <w:lang w:val="en-GB"/>
        </w:rPr>
        <w:t xml:space="preserve">The PBAC reiterated its </w:t>
      </w:r>
      <w:r>
        <w:rPr>
          <w:rFonts w:asciiTheme="minorHAnsi" w:hAnsiTheme="minorHAnsi"/>
          <w:bCs/>
          <w:lang w:val="en-GB"/>
        </w:rPr>
        <w:t xml:space="preserve">previous view that significantly higher rates of ocular serious adverse events were associated with brolucizumab compared to aflibercept </w:t>
      </w:r>
      <w:r w:rsidRPr="0059786E">
        <w:t>(Brolucizumab PSD November 2019</w:t>
      </w:r>
      <w:r>
        <w:t>, paragraph 7.1</w:t>
      </w:r>
      <w:r w:rsidRPr="0059786E">
        <w:t>)</w:t>
      </w:r>
      <w:r>
        <w:rPr>
          <w:rFonts w:asciiTheme="minorHAnsi" w:hAnsiTheme="minorHAnsi"/>
          <w:bCs/>
          <w:lang w:val="en-GB"/>
        </w:rPr>
        <w:t xml:space="preserve">. </w:t>
      </w:r>
      <w:r w:rsidR="00AE5581">
        <w:rPr>
          <w:rFonts w:asciiTheme="minorHAnsi" w:hAnsiTheme="minorHAnsi"/>
          <w:bCs/>
          <w:lang w:val="en-GB"/>
        </w:rPr>
        <w:t xml:space="preserve">However, it acknowledged that the risk of RV/RVO is small and manageable if brolucizumab is </w:t>
      </w:r>
      <w:r w:rsidR="00E13A3B">
        <w:rPr>
          <w:rFonts w:asciiTheme="minorHAnsi" w:hAnsiTheme="minorHAnsi"/>
          <w:bCs/>
          <w:lang w:val="en-GB"/>
        </w:rPr>
        <w:t xml:space="preserve">restricted to a </w:t>
      </w:r>
      <w:r w:rsidR="00AE5581">
        <w:rPr>
          <w:rFonts w:asciiTheme="minorHAnsi" w:hAnsiTheme="minorHAnsi"/>
          <w:bCs/>
          <w:lang w:val="en-GB"/>
        </w:rPr>
        <w:t>second-line</w:t>
      </w:r>
      <w:r w:rsidR="00E13A3B">
        <w:rPr>
          <w:rFonts w:asciiTheme="minorHAnsi" w:hAnsiTheme="minorHAnsi"/>
          <w:bCs/>
          <w:lang w:val="en-GB"/>
        </w:rPr>
        <w:t xml:space="preserve"> setting.</w:t>
      </w:r>
    </w:p>
    <w:p w:rsidR="00E13A3B" w:rsidRDefault="00A93E89" w:rsidP="00BD7A90">
      <w:pPr>
        <w:numPr>
          <w:ilvl w:val="1"/>
          <w:numId w:val="1"/>
        </w:numPr>
        <w:spacing w:after="120"/>
        <w:rPr>
          <w:rFonts w:asciiTheme="minorHAnsi" w:hAnsiTheme="minorHAnsi"/>
          <w:bCs/>
          <w:lang w:val="en-GB"/>
        </w:rPr>
      </w:pPr>
      <w:r>
        <w:rPr>
          <w:rFonts w:asciiTheme="minorHAnsi" w:hAnsiTheme="minorHAnsi"/>
          <w:bCs/>
          <w:lang w:val="en-GB"/>
        </w:rPr>
        <w:t xml:space="preserve">The PBAC considered </w:t>
      </w:r>
      <w:r w:rsidR="005F601E">
        <w:rPr>
          <w:rFonts w:asciiTheme="minorHAnsi" w:hAnsiTheme="minorHAnsi"/>
          <w:bCs/>
          <w:lang w:val="en-GB"/>
        </w:rPr>
        <w:t xml:space="preserve">brolucizumab would be cost effective at the price proposed in the resubmission and if restricted to the second line treatment setting. </w:t>
      </w:r>
    </w:p>
    <w:p w:rsidR="00C5020A" w:rsidRPr="00391B3C" w:rsidRDefault="00056415" w:rsidP="00BD7A90">
      <w:pPr>
        <w:numPr>
          <w:ilvl w:val="1"/>
          <w:numId w:val="1"/>
        </w:numPr>
        <w:spacing w:after="120"/>
      </w:pPr>
      <w:r>
        <w:rPr>
          <w:rFonts w:asciiTheme="minorHAnsi" w:hAnsiTheme="minorHAnsi"/>
          <w:bCs/>
          <w:lang w:val="en-GB"/>
        </w:rPr>
        <w:t>The PBAC noted the</w:t>
      </w:r>
      <w:r w:rsidR="005F601E">
        <w:rPr>
          <w:rFonts w:asciiTheme="minorHAnsi" w:hAnsiTheme="minorHAnsi"/>
          <w:bCs/>
          <w:lang w:val="en-GB"/>
        </w:rPr>
        <w:t xml:space="preserve"> resubmission assumed there </w:t>
      </w:r>
      <w:r>
        <w:rPr>
          <w:rFonts w:asciiTheme="minorHAnsi" w:hAnsiTheme="minorHAnsi"/>
          <w:bCs/>
          <w:lang w:val="en-GB"/>
        </w:rPr>
        <w:t xml:space="preserve">would be a cost associated with loading </w:t>
      </w:r>
      <w:r w:rsidRPr="009649AC">
        <w:rPr>
          <w:rFonts w:asciiTheme="minorHAnsi" w:hAnsiTheme="minorHAnsi"/>
          <w:bCs/>
          <w:lang w:val="en-GB"/>
        </w:rPr>
        <w:t>doses of brolucizumab that patients maintained on aflibercept or ranibizumab would not incur</w:t>
      </w:r>
      <w:r w:rsidR="005F601E" w:rsidRPr="009649AC">
        <w:rPr>
          <w:rFonts w:asciiTheme="minorHAnsi" w:hAnsiTheme="minorHAnsi"/>
          <w:bCs/>
          <w:lang w:val="en-GB"/>
        </w:rPr>
        <w:t xml:space="preserve"> and this resulted in an incremental cost to the PBS in the first few years of listing. </w:t>
      </w:r>
      <w:r w:rsidR="009649AC">
        <w:rPr>
          <w:rFonts w:asciiTheme="minorHAnsi" w:hAnsiTheme="minorHAnsi"/>
          <w:bCs/>
          <w:lang w:val="en-GB"/>
        </w:rPr>
        <w:t>The PBAC considered patients maintained on aflibercept or ranibizumab who are experiencing persistent disease are likely to be on 4 weekly injections and therefore loading doses of brolucizumab</w:t>
      </w:r>
      <w:r w:rsidR="002528C9">
        <w:rPr>
          <w:rFonts w:asciiTheme="minorHAnsi" w:hAnsiTheme="minorHAnsi"/>
          <w:bCs/>
          <w:lang w:val="en-GB"/>
        </w:rPr>
        <w:t xml:space="preserve"> were unlikely to be</w:t>
      </w:r>
      <w:r w:rsidR="009649AC">
        <w:rPr>
          <w:rFonts w:asciiTheme="minorHAnsi" w:hAnsiTheme="minorHAnsi"/>
          <w:bCs/>
          <w:lang w:val="en-GB"/>
        </w:rPr>
        <w:t xml:space="preserve"> an incremental cost to the PBS.  </w:t>
      </w:r>
    </w:p>
    <w:p w:rsidR="005F601E" w:rsidRPr="002528C9" w:rsidRDefault="00391B3C" w:rsidP="00BD7A90">
      <w:pPr>
        <w:numPr>
          <w:ilvl w:val="1"/>
          <w:numId w:val="1"/>
        </w:numPr>
        <w:spacing w:after="120"/>
      </w:pPr>
      <w:r>
        <w:rPr>
          <w:rFonts w:asciiTheme="minorHAnsi" w:hAnsiTheme="minorHAnsi"/>
          <w:bCs/>
          <w:lang w:val="en-GB"/>
        </w:rPr>
        <w:t xml:space="preserve">The PBAC considered that, overall, listing brolucizumab in the second- and subsequent-line treatment setting </w:t>
      </w:r>
      <w:r w:rsidR="002528C9">
        <w:rPr>
          <w:rFonts w:asciiTheme="minorHAnsi" w:hAnsiTheme="minorHAnsi"/>
          <w:bCs/>
          <w:lang w:val="en-GB"/>
        </w:rPr>
        <w:t xml:space="preserve">was likely to </w:t>
      </w:r>
      <w:r>
        <w:rPr>
          <w:rFonts w:asciiTheme="minorHAnsi" w:hAnsiTheme="minorHAnsi"/>
          <w:bCs/>
          <w:lang w:val="en-GB"/>
        </w:rPr>
        <w:t>be cost neutral</w:t>
      </w:r>
      <w:r w:rsidR="00DD4BD4">
        <w:rPr>
          <w:rFonts w:asciiTheme="minorHAnsi" w:hAnsiTheme="minorHAnsi"/>
          <w:bCs/>
          <w:lang w:val="en-GB"/>
        </w:rPr>
        <w:t xml:space="preserve"> to Government</w:t>
      </w:r>
      <w:r w:rsidR="003168A6">
        <w:rPr>
          <w:rFonts w:asciiTheme="minorHAnsi" w:hAnsiTheme="minorHAnsi"/>
          <w:bCs/>
          <w:lang w:val="en-GB"/>
        </w:rPr>
        <w:t xml:space="preserve"> as it was mainly expected to substitute for aflibercept and ranibizumab</w:t>
      </w:r>
      <w:r w:rsidR="002528C9">
        <w:rPr>
          <w:rFonts w:asciiTheme="minorHAnsi" w:hAnsiTheme="minorHAnsi"/>
          <w:bCs/>
          <w:lang w:val="en-GB"/>
        </w:rPr>
        <w:t xml:space="preserve">. </w:t>
      </w:r>
      <w:r w:rsidR="005F601E" w:rsidRPr="002528C9">
        <w:rPr>
          <w:rFonts w:asciiTheme="minorHAnsi" w:hAnsiTheme="minorHAnsi"/>
          <w:bCs/>
          <w:lang w:val="en-GB"/>
        </w:rPr>
        <w:t xml:space="preserve">The PBAC </w:t>
      </w:r>
      <w:r w:rsidR="00DD4BD4">
        <w:rPr>
          <w:rFonts w:asciiTheme="minorHAnsi" w:hAnsiTheme="minorHAnsi"/>
          <w:bCs/>
          <w:lang w:val="en-GB"/>
        </w:rPr>
        <w:t xml:space="preserve">therefore </w:t>
      </w:r>
      <w:r w:rsidR="005F601E" w:rsidRPr="002528C9">
        <w:rPr>
          <w:rFonts w:asciiTheme="minorHAnsi" w:hAnsiTheme="minorHAnsi"/>
          <w:bCs/>
          <w:lang w:val="en-GB"/>
        </w:rPr>
        <w:t xml:space="preserve">advised that </w:t>
      </w:r>
      <w:r w:rsidR="00DD4BD4">
        <w:rPr>
          <w:rFonts w:asciiTheme="minorHAnsi" w:hAnsiTheme="minorHAnsi"/>
          <w:bCs/>
          <w:lang w:val="en-GB"/>
        </w:rPr>
        <w:t xml:space="preserve">it would be appropriate for </w:t>
      </w:r>
      <w:r w:rsidR="005F601E" w:rsidRPr="002528C9">
        <w:rPr>
          <w:rFonts w:asciiTheme="minorHAnsi" w:hAnsiTheme="minorHAnsi"/>
          <w:bCs/>
          <w:lang w:val="en-GB"/>
        </w:rPr>
        <w:t xml:space="preserve">brolucizumab to join the </w:t>
      </w:r>
      <w:r w:rsidR="00D447F9">
        <w:rPr>
          <w:rFonts w:asciiTheme="minorHAnsi" w:hAnsiTheme="minorHAnsi"/>
          <w:bCs/>
          <w:lang w:val="en-GB"/>
        </w:rPr>
        <w:t>Deed arrangements</w:t>
      </w:r>
      <w:r w:rsidR="005F601E" w:rsidRPr="002528C9">
        <w:rPr>
          <w:rFonts w:asciiTheme="minorHAnsi" w:hAnsiTheme="minorHAnsi"/>
          <w:bCs/>
          <w:lang w:val="en-GB"/>
        </w:rPr>
        <w:t xml:space="preserve"> in place for ranibizumab and aflibercept in CNV due to AMD with no increase in expenditure caps</w:t>
      </w:r>
      <w:r w:rsidR="00DD4BD4">
        <w:rPr>
          <w:rFonts w:asciiTheme="minorHAnsi" w:hAnsiTheme="minorHAnsi"/>
          <w:bCs/>
          <w:lang w:val="en-GB"/>
        </w:rPr>
        <w:t xml:space="preserve"> to ensure the listing resulted in no additional cost</w:t>
      </w:r>
      <w:r w:rsidR="005F601E" w:rsidRPr="002528C9">
        <w:rPr>
          <w:rFonts w:asciiTheme="minorHAnsi" w:hAnsiTheme="minorHAnsi"/>
          <w:bCs/>
          <w:lang w:val="en-GB"/>
        </w:rPr>
        <w:t>.</w:t>
      </w:r>
    </w:p>
    <w:p w:rsidR="00C5020A" w:rsidRPr="00525B39" w:rsidRDefault="00456860" w:rsidP="00BD7A90">
      <w:pPr>
        <w:numPr>
          <w:ilvl w:val="1"/>
          <w:numId w:val="1"/>
        </w:numPr>
        <w:spacing w:after="120"/>
        <w:rPr>
          <w:rFonts w:asciiTheme="minorHAnsi" w:hAnsiTheme="minorHAnsi"/>
          <w:bCs/>
          <w:lang w:val="en-GB"/>
        </w:rPr>
      </w:pPr>
      <w:r w:rsidRPr="00525B39">
        <w:rPr>
          <w:rFonts w:asciiTheme="minorHAnsi" w:hAnsiTheme="minorHAnsi"/>
          <w:bCs/>
          <w:lang w:val="en-GB"/>
        </w:rPr>
        <w:t xml:space="preserve">The PBAC advised that </w:t>
      </w:r>
      <w:r>
        <w:rPr>
          <w:rFonts w:asciiTheme="minorHAnsi" w:hAnsiTheme="minorHAnsi"/>
          <w:bCs/>
          <w:lang w:val="en-GB"/>
        </w:rPr>
        <w:t xml:space="preserve">brolucizumab is </w:t>
      </w:r>
      <w:r w:rsidRPr="00525B39">
        <w:rPr>
          <w:rFonts w:asciiTheme="minorHAnsi" w:hAnsiTheme="minorHAnsi"/>
          <w:bCs/>
          <w:lang w:val="en-GB"/>
        </w:rPr>
        <w:t>not suitable for prescribing by nurse practitioners.</w:t>
      </w:r>
      <w:r w:rsidR="00C5020A" w:rsidRPr="00525B39">
        <w:rPr>
          <w:rFonts w:asciiTheme="minorHAnsi" w:hAnsiTheme="minorHAnsi"/>
          <w:bCs/>
          <w:lang w:val="en-GB"/>
        </w:rPr>
        <w:t xml:space="preserve">  </w:t>
      </w:r>
    </w:p>
    <w:p w:rsidR="00C5020A" w:rsidRDefault="00456860" w:rsidP="00BD7A90">
      <w:pPr>
        <w:numPr>
          <w:ilvl w:val="1"/>
          <w:numId w:val="1"/>
        </w:numPr>
        <w:spacing w:after="120"/>
        <w:rPr>
          <w:rFonts w:asciiTheme="minorHAnsi" w:hAnsiTheme="minorHAnsi"/>
          <w:bCs/>
          <w:lang w:val="en-GB"/>
        </w:rPr>
      </w:pPr>
      <w:r w:rsidRPr="00525B39">
        <w:rPr>
          <w:rFonts w:asciiTheme="minorHAnsi" w:hAnsiTheme="minorHAnsi"/>
          <w:bCs/>
          <w:lang w:val="en-GB"/>
        </w:rPr>
        <w:t xml:space="preserve">The PBAC </w:t>
      </w:r>
      <w:r>
        <w:rPr>
          <w:rFonts w:asciiTheme="minorHAnsi" w:hAnsiTheme="minorHAnsi"/>
          <w:bCs/>
          <w:lang w:val="en-GB"/>
        </w:rPr>
        <w:t>considered</w:t>
      </w:r>
      <w:r w:rsidRPr="00525B39">
        <w:rPr>
          <w:rFonts w:asciiTheme="minorHAnsi" w:hAnsiTheme="minorHAnsi"/>
          <w:bCs/>
          <w:lang w:val="en-GB"/>
        </w:rPr>
        <w:t xml:space="preserve"> th</w:t>
      </w:r>
      <w:r>
        <w:rPr>
          <w:rFonts w:asciiTheme="minorHAnsi" w:hAnsiTheme="minorHAnsi"/>
          <w:bCs/>
          <w:lang w:val="en-GB"/>
        </w:rPr>
        <w:t xml:space="preserve">at the Early Supply Rule </w:t>
      </w:r>
      <w:r w:rsidRPr="00525B39">
        <w:rPr>
          <w:rFonts w:asciiTheme="minorHAnsi" w:hAnsiTheme="minorHAnsi"/>
          <w:bCs/>
          <w:lang w:val="en-GB"/>
        </w:rPr>
        <w:t>should not apply</w:t>
      </w:r>
      <w:r>
        <w:rPr>
          <w:rFonts w:asciiTheme="minorHAnsi" w:hAnsiTheme="minorHAnsi"/>
          <w:bCs/>
          <w:lang w:val="en-GB"/>
        </w:rPr>
        <w:t xml:space="preserve"> to brolucizumab</w:t>
      </w:r>
      <w:r w:rsidRPr="00525B39">
        <w:rPr>
          <w:rFonts w:asciiTheme="minorHAnsi" w:hAnsiTheme="minorHAnsi"/>
          <w:bCs/>
          <w:lang w:val="en-GB"/>
        </w:rPr>
        <w:t>.</w:t>
      </w:r>
    </w:p>
    <w:p w:rsidR="00AF249F" w:rsidRPr="00903A92" w:rsidRDefault="00903A92" w:rsidP="00BD7A90">
      <w:pPr>
        <w:numPr>
          <w:ilvl w:val="1"/>
          <w:numId w:val="1"/>
        </w:numPr>
        <w:spacing w:after="120"/>
        <w:rPr>
          <w:rFonts w:asciiTheme="minorHAnsi" w:hAnsiTheme="minorHAnsi"/>
          <w:bCs/>
          <w:lang w:val="en-GB"/>
        </w:rPr>
      </w:pPr>
      <w:r w:rsidRPr="001B446F">
        <w:rPr>
          <w:rFonts w:asciiTheme="minorHAnsi" w:hAnsiTheme="minorHAnsi"/>
          <w:bCs/>
        </w:rPr>
        <w:t xml:space="preserve">The PBAC recommended that </w:t>
      </w:r>
      <w:r>
        <w:rPr>
          <w:rFonts w:asciiTheme="minorHAnsi" w:hAnsiTheme="minorHAnsi"/>
          <w:bCs/>
        </w:rPr>
        <w:t>brolucizumab</w:t>
      </w:r>
      <w:r w:rsidRPr="001B446F">
        <w:rPr>
          <w:rFonts w:asciiTheme="minorHAnsi" w:hAnsiTheme="minorHAnsi"/>
          <w:bCs/>
        </w:rPr>
        <w:t xml:space="preserve"> should not be treated as interchangeable with any other drugs.</w:t>
      </w:r>
    </w:p>
    <w:p w:rsidR="001510F9" w:rsidRPr="001510F9" w:rsidRDefault="001510F9" w:rsidP="00BD7A90">
      <w:pPr>
        <w:numPr>
          <w:ilvl w:val="1"/>
          <w:numId w:val="1"/>
        </w:numPr>
        <w:spacing w:after="120"/>
        <w:rPr>
          <w:rFonts w:asciiTheme="minorHAnsi" w:hAnsiTheme="minorHAnsi"/>
          <w:bCs/>
          <w:lang w:val="en-GB"/>
        </w:rPr>
      </w:pPr>
      <w:r w:rsidRPr="001510F9">
        <w:rPr>
          <w:rFonts w:asciiTheme="minorHAnsi" w:hAnsiTheme="minorHAnsi"/>
          <w:bCs/>
          <w:lang w:val="en-GB"/>
        </w:rPr>
        <w:t xml:space="preserve">The PBAC noted that its recommendation was on a cost-minimisation basis and advised that, because </w:t>
      </w:r>
      <w:r>
        <w:rPr>
          <w:rFonts w:asciiTheme="minorHAnsi" w:hAnsiTheme="minorHAnsi"/>
          <w:bCs/>
          <w:lang w:val="en-GB"/>
        </w:rPr>
        <w:t>brolucizumab</w:t>
      </w:r>
      <w:r w:rsidRPr="001510F9">
        <w:rPr>
          <w:rFonts w:asciiTheme="minorHAnsi" w:hAnsiTheme="minorHAnsi"/>
          <w:bCs/>
          <w:lang w:val="en-GB"/>
        </w:rPr>
        <w:t xml:space="preserve"> is not expected to provide a substantial and clinically relevant improvement in efficacy, or reduction of toxicity, over </w:t>
      </w:r>
      <w:r w:rsidR="00687114">
        <w:rPr>
          <w:rFonts w:asciiTheme="minorHAnsi" w:hAnsiTheme="minorHAnsi"/>
          <w:bCs/>
          <w:lang w:val="en-GB"/>
        </w:rPr>
        <w:t>aflibercept</w:t>
      </w:r>
      <w:r w:rsidRPr="001510F9">
        <w:rPr>
          <w:rFonts w:asciiTheme="minorHAnsi" w:hAnsiTheme="minorHAnsi"/>
          <w:bCs/>
          <w:lang w:val="en-GB"/>
        </w:rPr>
        <w:t xml:space="preserve">, or not expected to address a high and urgent unmet clinical need given the presence of an alternative therapy, the criteria prescribed by the </w:t>
      </w:r>
      <w:r w:rsidRPr="00F62EED">
        <w:rPr>
          <w:rFonts w:asciiTheme="minorHAnsi" w:hAnsiTheme="minorHAnsi"/>
          <w:bCs/>
          <w:i/>
          <w:lang w:val="en-GB"/>
        </w:rPr>
        <w:t xml:space="preserve">National Health (Pharmaceuticals and Vaccines – Cost Recovery) Regulations 2009 </w:t>
      </w:r>
      <w:r w:rsidRPr="001510F9">
        <w:rPr>
          <w:rFonts w:asciiTheme="minorHAnsi" w:hAnsiTheme="minorHAnsi"/>
          <w:bCs/>
          <w:lang w:val="en-GB"/>
        </w:rPr>
        <w:t>for Pricing Pathway A were not met.</w:t>
      </w:r>
    </w:p>
    <w:p w:rsidR="002F6694" w:rsidRPr="002F6694" w:rsidRDefault="002F6694" w:rsidP="00BD7A90">
      <w:pPr>
        <w:numPr>
          <w:ilvl w:val="1"/>
          <w:numId w:val="1"/>
        </w:numPr>
        <w:spacing w:after="120"/>
        <w:rPr>
          <w:rFonts w:asciiTheme="minorHAnsi" w:hAnsiTheme="minorHAnsi"/>
          <w:bCs/>
          <w:lang w:val="en-GB"/>
        </w:rPr>
      </w:pPr>
      <w:r w:rsidRPr="002F6694">
        <w:t>The PBAC noted that this submission is not eligible for an Independent Review as it received a positive recommendation</w:t>
      </w:r>
      <w:r w:rsidRPr="002F6694">
        <w:rPr>
          <w:rFonts w:asciiTheme="minorHAnsi" w:hAnsiTheme="minorHAnsi"/>
          <w:bCs/>
        </w:rPr>
        <w:t>.</w:t>
      </w:r>
    </w:p>
    <w:p w:rsidR="00C5020A" w:rsidRPr="00525B39" w:rsidRDefault="00C5020A" w:rsidP="00C5020A">
      <w:pPr>
        <w:spacing w:before="240"/>
        <w:rPr>
          <w:rFonts w:asciiTheme="minorHAnsi" w:hAnsiTheme="minorHAnsi"/>
          <w:b/>
          <w:bCs/>
          <w:lang w:val="en-GB"/>
        </w:rPr>
      </w:pPr>
      <w:r w:rsidRPr="00525B39">
        <w:rPr>
          <w:rFonts w:asciiTheme="minorHAnsi" w:hAnsiTheme="minorHAnsi"/>
          <w:b/>
          <w:bCs/>
          <w:lang w:val="en-GB"/>
        </w:rPr>
        <w:t>Outcome:</w:t>
      </w:r>
    </w:p>
    <w:p w:rsidR="002F6087" w:rsidRDefault="009D6382" w:rsidP="00C5020A">
      <w:pPr>
        <w:rPr>
          <w:rFonts w:asciiTheme="minorHAnsi" w:hAnsiTheme="minorHAnsi"/>
          <w:bCs/>
          <w:lang w:val="en-GB"/>
        </w:rPr>
      </w:pPr>
      <w:r>
        <w:rPr>
          <w:rFonts w:asciiTheme="minorHAnsi" w:hAnsiTheme="minorHAnsi"/>
          <w:bCs/>
          <w:lang w:val="en-GB"/>
        </w:rPr>
        <w:t>Recommended</w:t>
      </w:r>
    </w:p>
    <w:p w:rsidR="002F6087" w:rsidRDefault="002F6087">
      <w:pPr>
        <w:widowControl/>
        <w:jc w:val="left"/>
        <w:rPr>
          <w:rFonts w:asciiTheme="minorHAnsi" w:hAnsiTheme="minorHAnsi"/>
          <w:bCs/>
          <w:lang w:val="en-GB"/>
        </w:rPr>
      </w:pPr>
      <w:r>
        <w:rPr>
          <w:rFonts w:asciiTheme="minorHAnsi" w:hAnsiTheme="minorHAnsi"/>
          <w:bCs/>
          <w:lang w:val="en-GB"/>
        </w:rPr>
        <w:br w:type="page"/>
      </w:r>
    </w:p>
    <w:p w:rsidR="00294BF8" w:rsidRPr="00294BF8" w:rsidRDefault="00294BF8" w:rsidP="00294BF8">
      <w:pPr>
        <w:pStyle w:val="PBACHeading1"/>
        <w:spacing w:after="120"/>
        <w:outlineLvl w:val="0"/>
      </w:pPr>
      <w:r>
        <w:t>Recommended listing</w:t>
      </w:r>
    </w:p>
    <w:p w:rsidR="00EF657F" w:rsidRDefault="00C5020A" w:rsidP="00BD7A90">
      <w:pPr>
        <w:numPr>
          <w:ilvl w:val="1"/>
          <w:numId w:val="1"/>
        </w:numPr>
        <w:spacing w:after="120"/>
      </w:pPr>
      <w:r w:rsidRPr="00EF657F">
        <w:rPr>
          <w:rFonts w:asciiTheme="minorHAnsi" w:hAnsiTheme="minorHAnsi"/>
          <w:bCs/>
        </w:rPr>
        <w:t>Add new item:</w:t>
      </w:r>
    </w:p>
    <w:p w:rsidR="00EF657F" w:rsidRPr="00787A6E" w:rsidRDefault="00EF657F" w:rsidP="00EF657F">
      <w:pPr>
        <w:pStyle w:val="BodyText"/>
        <w:spacing w:after="120"/>
        <w:rPr>
          <w:rFonts w:ascii="Arial Narrow" w:hAnsi="Arial Narrow"/>
          <w:b/>
          <w:sz w:val="20"/>
          <w:szCs w:val="20"/>
        </w:rPr>
      </w:pPr>
      <w:r w:rsidRPr="00787A6E">
        <w:rPr>
          <w:rFonts w:ascii="Arial Narrow" w:hAnsi="Arial Narrow"/>
          <w:b/>
          <w:sz w:val="20"/>
          <w:szCs w:val="20"/>
        </w:rPr>
        <w:t xml:space="preserve">Initial treatment of subfoveal CNV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388"/>
        <w:gridCol w:w="1389"/>
        <w:gridCol w:w="1261"/>
        <w:gridCol w:w="1109"/>
        <w:gridCol w:w="1555"/>
      </w:tblGrid>
      <w:tr w:rsidR="00EF657F" w:rsidRPr="00787A6E" w:rsidTr="00717F91">
        <w:tc>
          <w:tcPr>
            <w:tcW w:w="1284" w:type="pct"/>
          </w:tcPr>
          <w:p w:rsidR="00EF657F" w:rsidRPr="00787A6E" w:rsidRDefault="00EF657F" w:rsidP="00717F91">
            <w:pPr>
              <w:keepNext/>
              <w:rPr>
                <w:rFonts w:ascii="Arial Narrow" w:hAnsi="Arial Narrow"/>
                <w:b/>
                <w:bCs/>
                <w:sz w:val="18"/>
                <w:szCs w:val="18"/>
              </w:rPr>
            </w:pPr>
            <w:r w:rsidRPr="00787A6E">
              <w:rPr>
                <w:rFonts w:ascii="Arial Narrow" w:hAnsi="Arial Narrow"/>
                <w:b/>
                <w:bCs/>
                <w:sz w:val="18"/>
                <w:szCs w:val="18"/>
              </w:rPr>
              <w:t>MEDICINAL PRODUCT</w:t>
            </w:r>
          </w:p>
          <w:p w:rsidR="00EF657F" w:rsidRPr="00787A6E" w:rsidRDefault="00EF657F" w:rsidP="00717F91">
            <w:pPr>
              <w:pStyle w:val="PbacTableHeading"/>
              <w:keepNext/>
              <w:keepLines/>
              <w:rPr>
                <w:sz w:val="18"/>
                <w:szCs w:val="18"/>
              </w:rPr>
            </w:pPr>
            <w:r w:rsidRPr="00787A6E">
              <w:rPr>
                <w:bCs/>
                <w:sz w:val="18"/>
                <w:szCs w:val="18"/>
              </w:rPr>
              <w:t>medicinal product pack</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PBS item code</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Max. qty (packs)</w:t>
            </w:r>
          </w:p>
        </w:tc>
        <w:tc>
          <w:tcPr>
            <w:tcW w:w="699" w:type="pct"/>
          </w:tcPr>
          <w:p w:rsidR="00EF657F" w:rsidRPr="00787A6E" w:rsidRDefault="00EF657F" w:rsidP="00717F91">
            <w:pPr>
              <w:pStyle w:val="PbacTableHeading"/>
              <w:keepNext/>
              <w:keepLines/>
              <w:jc w:val="center"/>
              <w:rPr>
                <w:sz w:val="18"/>
                <w:szCs w:val="18"/>
              </w:rPr>
            </w:pPr>
            <w:r w:rsidRPr="00787A6E">
              <w:rPr>
                <w:sz w:val="18"/>
                <w:szCs w:val="18"/>
              </w:rPr>
              <w:t>Max. qty (units)</w:t>
            </w:r>
          </w:p>
        </w:tc>
        <w:tc>
          <w:tcPr>
            <w:tcW w:w="615" w:type="pct"/>
          </w:tcPr>
          <w:p w:rsidR="00EF657F" w:rsidRPr="00787A6E" w:rsidRDefault="00EF657F" w:rsidP="00717F91">
            <w:pPr>
              <w:pStyle w:val="PbacTableHeading"/>
              <w:keepNext/>
              <w:keepLines/>
              <w:jc w:val="center"/>
              <w:rPr>
                <w:sz w:val="18"/>
                <w:szCs w:val="18"/>
              </w:rPr>
            </w:pPr>
            <w:r w:rsidRPr="00787A6E">
              <w:rPr>
                <w:sz w:val="18"/>
                <w:szCs w:val="18"/>
              </w:rPr>
              <w:t>№. of repeats</w:t>
            </w:r>
          </w:p>
        </w:tc>
        <w:tc>
          <w:tcPr>
            <w:tcW w:w="862" w:type="pct"/>
          </w:tcPr>
          <w:p w:rsidR="00EF657F" w:rsidRPr="00787A6E" w:rsidRDefault="00EF657F" w:rsidP="00717F91">
            <w:pPr>
              <w:pStyle w:val="PbacTableHeading"/>
              <w:keepNext/>
              <w:keepLines/>
              <w:rPr>
                <w:sz w:val="18"/>
                <w:szCs w:val="18"/>
              </w:rPr>
            </w:pPr>
            <w:r w:rsidRPr="00787A6E">
              <w:rPr>
                <w:sz w:val="18"/>
                <w:szCs w:val="18"/>
              </w:rPr>
              <w:t>Proprietary name and manufacturer</w:t>
            </w:r>
          </w:p>
        </w:tc>
      </w:tr>
      <w:tr w:rsidR="00EF657F" w:rsidRPr="00787A6E" w:rsidTr="00717F91">
        <w:tc>
          <w:tcPr>
            <w:tcW w:w="1284" w:type="pct"/>
          </w:tcPr>
          <w:p w:rsidR="00EF657F" w:rsidRPr="00787A6E" w:rsidRDefault="00EF657F" w:rsidP="00717F91">
            <w:pPr>
              <w:pStyle w:val="PBACTableText"/>
              <w:keepNext/>
              <w:keepLines/>
              <w:rPr>
                <w:sz w:val="18"/>
                <w:szCs w:val="18"/>
              </w:rPr>
            </w:pPr>
            <w:r w:rsidRPr="00787A6E">
              <w:rPr>
                <w:sz w:val="18"/>
                <w:szCs w:val="18"/>
              </w:rPr>
              <w:t xml:space="preserve">BROLUCIZUMAB </w:t>
            </w:r>
          </w:p>
          <w:p w:rsidR="00EF657F" w:rsidRPr="00787A6E" w:rsidRDefault="00EF657F" w:rsidP="00717F91">
            <w:pPr>
              <w:pStyle w:val="PBACTableText"/>
              <w:keepNext/>
              <w:keepLines/>
              <w:rPr>
                <w:sz w:val="18"/>
                <w:szCs w:val="18"/>
              </w:rPr>
            </w:pPr>
            <w:r w:rsidRPr="00787A6E">
              <w:rPr>
                <w:sz w:val="18"/>
                <w:szCs w:val="18"/>
              </w:rPr>
              <w:t>19.8 mg/0.165 mL injection, 0.165 mL syringe</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NEW</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99"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15" w:type="pct"/>
          </w:tcPr>
          <w:p w:rsidR="00EF657F" w:rsidRPr="00787A6E" w:rsidRDefault="00EF657F" w:rsidP="00717F91">
            <w:pPr>
              <w:pStyle w:val="PBACTableText"/>
              <w:keepNext/>
              <w:keepLines/>
              <w:jc w:val="center"/>
              <w:rPr>
                <w:sz w:val="18"/>
                <w:szCs w:val="18"/>
              </w:rPr>
            </w:pPr>
            <w:r w:rsidRPr="00787A6E">
              <w:rPr>
                <w:sz w:val="18"/>
                <w:szCs w:val="18"/>
              </w:rPr>
              <w:t>2</w:t>
            </w:r>
          </w:p>
        </w:tc>
        <w:tc>
          <w:tcPr>
            <w:tcW w:w="862" w:type="pct"/>
          </w:tcPr>
          <w:p w:rsidR="00EF657F" w:rsidRPr="00787A6E" w:rsidRDefault="00EF657F" w:rsidP="00717F91">
            <w:pPr>
              <w:pStyle w:val="PBACTableText"/>
              <w:keepNext/>
              <w:keepLines/>
              <w:rPr>
                <w:sz w:val="18"/>
                <w:szCs w:val="18"/>
              </w:rPr>
            </w:pPr>
            <w:r w:rsidRPr="00787A6E">
              <w:rPr>
                <w:sz w:val="18"/>
                <w:szCs w:val="18"/>
              </w:rPr>
              <w:t>Beovu</w:t>
            </w:r>
            <w:r w:rsidRPr="00787A6E">
              <w:rPr>
                <w:sz w:val="18"/>
                <w:szCs w:val="18"/>
              </w:rPr>
              <w:br/>
              <w:t>Novartis Australia Pty Ltd</w:t>
            </w:r>
          </w:p>
        </w:tc>
      </w:tr>
    </w:tbl>
    <w:p w:rsidR="00EF657F" w:rsidRPr="00787A6E" w:rsidRDefault="00EF657F" w:rsidP="00EF657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EF657F" w:rsidRPr="00787A6E" w:rsidTr="00717F91">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b/>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sz w:val="18"/>
                <w:szCs w:val="18"/>
              </w:rPr>
            </w:pPr>
            <w:r w:rsidRPr="00787A6E">
              <w:rPr>
                <w:rFonts w:ascii="Arial Narrow" w:hAnsi="Arial Narrow"/>
                <w:b/>
                <w:sz w:val="18"/>
                <w:szCs w:val="18"/>
              </w:rPr>
              <w:t xml:space="preserve">Category / Program:   </w:t>
            </w:r>
            <w:r w:rsidRPr="00787A6E">
              <w:rPr>
                <w:rFonts w:ascii="Arial Narrow" w:hAnsi="Arial Narrow"/>
                <w:sz w:val="18"/>
                <w:szCs w:val="18"/>
              </w:rPr>
              <w:t xml:space="preserve">GENERAL – General Schedule (Code GE) </w:t>
            </w:r>
          </w:p>
        </w:tc>
      </w:tr>
      <w:tr w:rsidR="00EF657F" w:rsidRPr="00787A6E" w:rsidTr="00717F91">
        <w:trPr>
          <w:trHeight w:val="240"/>
        </w:trPr>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b/>
                <w:sz w:val="18"/>
                <w:szCs w:val="18"/>
              </w:rPr>
            </w:pPr>
            <w:r w:rsidRPr="00787A6E">
              <w:rPr>
                <w:rFonts w:ascii="Arial Narrow" w:hAnsi="Arial Narrow"/>
                <w:b/>
                <w:sz w:val="18"/>
                <w:szCs w:val="18"/>
              </w:rPr>
              <w:t xml:space="preserve">Prescriber type:   </w:t>
            </w: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Dental    </w:t>
            </w:r>
            <w:r w:rsidRPr="00787A6E">
              <w:rPr>
                <w:rFonts w:ascii="Arial Narrow" w:hAnsi="Arial Narrow"/>
                <w:sz w:val="18"/>
                <w:szCs w:val="18"/>
              </w:rPr>
              <w:fldChar w:fldCharType="begin">
                <w:ffData>
                  <w:name w:val=""/>
                  <w:enabled/>
                  <w:calcOnExit w:val="0"/>
                  <w:checkBox>
                    <w:sizeAuto/>
                    <w:default w:val="1"/>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Medical Practitioners    </w:t>
            </w:r>
            <w:r w:rsidRPr="00787A6E">
              <w:rPr>
                <w:rFonts w:ascii="Arial Narrow" w:hAnsi="Arial Narrow"/>
                <w:sz w:val="18"/>
                <w:szCs w:val="18"/>
              </w:rPr>
              <w:fldChar w:fldCharType="begin">
                <w:ffData>
                  <w:name w:val="Check3"/>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Nurse practitioners     </w:t>
            </w:r>
            <w:r w:rsidRPr="00787A6E">
              <w:rPr>
                <w:rFonts w:ascii="Arial Narrow" w:hAnsi="Arial Narrow"/>
                <w:sz w:val="18"/>
                <w:szCs w:val="18"/>
              </w:rPr>
              <w:fldChar w:fldCharType="begin">
                <w:ffData>
                  <w:name w:val=""/>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Optometrists    </w:t>
            </w:r>
            <w:r w:rsidRPr="00787A6E">
              <w:rPr>
                <w:rFonts w:ascii="Arial Narrow" w:hAnsi="Arial Narrow"/>
                <w:sz w:val="18"/>
                <w:szCs w:val="18"/>
              </w:rPr>
              <w:fldChar w:fldCharType="begin">
                <w:ffData>
                  <w:name w:val="Check5"/>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Midwives</w:t>
            </w:r>
          </w:p>
        </w:tc>
      </w:tr>
      <w:tr w:rsidR="00EF657F" w:rsidRPr="00787A6E" w:rsidTr="00717F91">
        <w:trPr>
          <w:trHeight w:val="1037"/>
        </w:trPr>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b/>
                <w:sz w:val="18"/>
                <w:szCs w:val="18"/>
              </w:rPr>
            </w:pPr>
            <w:r w:rsidRPr="00787A6E">
              <w:rPr>
                <w:rFonts w:ascii="Arial Narrow" w:hAnsi="Arial Narrow"/>
                <w:b/>
                <w:sz w:val="18"/>
                <w:szCs w:val="18"/>
              </w:rPr>
              <w:t>Restriction Level / Method:</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Unrestricted benefit</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Restricted benefit</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
                  <w:enabled/>
                  <w:calcOnExit w:val="0"/>
                  <w:checkBox>
                    <w:sizeAuto/>
                    <w:default w:val="1"/>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Pr>
                <w:rFonts w:ascii="Arial Narrow" w:hAnsi="Arial Narrow"/>
                <w:sz w:val="18"/>
                <w:szCs w:val="18"/>
              </w:rPr>
              <w:t>Authority Required – In Writing</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Authority Required – Streamlined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Indication:</w:t>
            </w:r>
            <w:r w:rsidRPr="00787A6E">
              <w:rPr>
                <w:rFonts w:ascii="Arial Narrow" w:hAnsi="Arial Narrow"/>
                <w:sz w:val="18"/>
                <w:szCs w:val="18"/>
              </w:rPr>
              <w:t xml:space="preserve"> Subfoveal choroidal neovascularisation (CNV)</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B85DC6" w:rsidRDefault="00EF657F" w:rsidP="00717F91">
            <w:pPr>
              <w:rPr>
                <w:rFonts w:ascii="Arial Narrow" w:hAnsi="Arial Narrow"/>
                <w:color w:val="FF0000"/>
                <w:sz w:val="18"/>
                <w:szCs w:val="18"/>
              </w:rPr>
            </w:pPr>
            <w:r w:rsidRPr="00787A6E">
              <w:rPr>
                <w:rFonts w:ascii="Arial Narrow" w:hAnsi="Arial Narrow"/>
                <w:b/>
                <w:bCs/>
                <w:sz w:val="18"/>
                <w:szCs w:val="18"/>
              </w:rPr>
              <w:t>Treatment Phase:</w:t>
            </w:r>
            <w:r w:rsidRPr="00787A6E">
              <w:rPr>
                <w:rFonts w:ascii="Arial Narrow" w:hAnsi="Arial Narrow"/>
                <w:sz w:val="18"/>
                <w:szCs w:val="18"/>
              </w:rPr>
              <w:t xml:space="preserve"> </w:t>
            </w:r>
            <w:r w:rsidRPr="00D435C4">
              <w:rPr>
                <w:rFonts w:ascii="Arial Narrow" w:hAnsi="Arial Narrow"/>
                <w:sz w:val="18"/>
                <w:szCs w:val="18"/>
              </w:rPr>
              <w:t>Initial treatment</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sz w:val="18"/>
                <w:szCs w:val="18"/>
              </w:rPr>
              <w:t>The condition must be due to age-related macular degeneration (AMD)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2B0647"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AA6931" w:rsidRDefault="00EF657F" w:rsidP="00717F91">
            <w:pPr>
              <w:rPr>
                <w:rFonts w:ascii="Arial Narrow" w:hAnsi="Arial Narrow"/>
                <w:color w:val="FF0000"/>
                <w:sz w:val="18"/>
                <w:szCs w:val="18"/>
              </w:rPr>
            </w:pPr>
            <w:r w:rsidRPr="00531B83">
              <w:rPr>
                <w:rFonts w:ascii="Arial Narrow" w:hAnsi="Arial Narrow"/>
                <w:sz w:val="18"/>
                <w:szCs w:val="18"/>
              </w:rPr>
              <w:t xml:space="preserve">Patient must have persistent macular exudation, as determined clinically and/or by optical coherence tomography or fluorescein angiography, despite at least 6 months of </w:t>
            </w:r>
            <w:r w:rsidRPr="005C49CD">
              <w:rPr>
                <w:rFonts w:ascii="Arial Narrow" w:hAnsi="Arial Narrow"/>
                <w:sz w:val="18"/>
                <w:szCs w:val="18"/>
              </w:rPr>
              <w:t xml:space="preserve">PBS-subsidised </w:t>
            </w:r>
            <w:r w:rsidRPr="00531B83">
              <w:rPr>
                <w:rFonts w:ascii="Arial Narrow" w:hAnsi="Arial Narrow"/>
                <w:sz w:val="18"/>
                <w:szCs w:val="18"/>
              </w:rPr>
              <w:t xml:space="preserve">treatment with: 1. Aflibercept </w:t>
            </w:r>
            <w:r>
              <w:rPr>
                <w:rFonts w:ascii="Arial Narrow" w:hAnsi="Arial Narrow"/>
                <w:sz w:val="18"/>
                <w:szCs w:val="18"/>
              </w:rPr>
              <w:t>and</w:t>
            </w:r>
            <w:r w:rsidR="00D435C4">
              <w:rPr>
                <w:rFonts w:ascii="Arial Narrow" w:hAnsi="Arial Narrow"/>
                <w:sz w:val="18"/>
                <w:szCs w:val="18"/>
              </w:rPr>
              <w:t>/or</w:t>
            </w:r>
            <w:r w:rsidRPr="00531B83">
              <w:rPr>
                <w:rFonts w:ascii="Arial Narrow" w:hAnsi="Arial Narrow"/>
                <w:sz w:val="18"/>
                <w:szCs w:val="18"/>
              </w:rPr>
              <w:t xml:space="preserve"> 2. Ranibizumab</w:t>
            </w:r>
            <w:r>
              <w:rPr>
                <w:rFonts w:ascii="Arial Narrow" w:hAnsi="Arial Narrow"/>
                <w:sz w:val="18"/>
                <w:szCs w:val="18"/>
              </w:rPr>
              <w:t xml:space="preserve"> </w:t>
            </w:r>
            <w:r>
              <w:rPr>
                <w:rFonts w:ascii="Arial Narrow" w:hAnsi="Arial Narrow"/>
                <w:color w:val="FF0000"/>
                <w:sz w:val="18"/>
                <w:szCs w:val="18"/>
              </w:rPr>
              <w:t xml:space="preserve"> </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sz w:val="18"/>
                <w:szCs w:val="18"/>
              </w:rPr>
              <w:t>The treatment must be the sole PBS-subsidised therapy for this condition</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bottom w:val="single" w:sz="4" w:space="0" w:color="auto"/>
              <w:right w:val="single" w:sz="4" w:space="0" w:color="auto"/>
            </w:tcBorders>
            <w:vAlign w:val="center"/>
          </w:tcPr>
          <w:p w:rsidR="00EF657F" w:rsidRPr="00115A49" w:rsidRDefault="00EF657F" w:rsidP="00717F91">
            <w:pPr>
              <w:rPr>
                <w:rFonts w:ascii="Arial Narrow" w:hAnsi="Arial Narrow"/>
                <w:b/>
                <w:bCs/>
                <w:sz w:val="18"/>
                <w:szCs w:val="18"/>
              </w:rPr>
            </w:pPr>
            <w:r w:rsidRPr="00115A49">
              <w:rPr>
                <w:rFonts w:ascii="Arial Narrow" w:hAnsi="Arial Narrow"/>
                <w:sz w:val="18"/>
                <w:szCs w:val="18"/>
              </w:rPr>
              <w:t xml:space="preserve">Patient must not have received prior PBS-subsidised treatment with this drug for this condition </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i/>
                <w:sz w:val="18"/>
                <w:szCs w:val="18"/>
              </w:rPr>
            </w:pPr>
            <w:r w:rsidRPr="00787A6E">
              <w:rPr>
                <w:rFonts w:ascii="Arial Narrow" w:hAnsi="Arial Narrow"/>
                <w:b/>
                <w:bCs/>
                <w:i/>
                <w:sz w:val="18"/>
                <w:szCs w:val="18"/>
              </w:rPr>
              <w:t>AND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Treatment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C147D7" w:rsidRDefault="00EF657F" w:rsidP="00717F91">
            <w:pPr>
              <w:rPr>
                <w:rFonts w:ascii="Arial Narrow" w:hAnsi="Arial Narrow"/>
                <w:sz w:val="18"/>
                <w:szCs w:val="18"/>
              </w:rPr>
            </w:pPr>
            <w:r w:rsidRPr="00C147D7">
              <w:rPr>
                <w:rFonts w:ascii="Arial Narrow" w:hAnsi="Arial Narrow"/>
                <w:sz w:val="18"/>
                <w:szCs w:val="18"/>
              </w:rPr>
              <w:t>Must be treated by an ophthalmologist or by an accredited ophthalmology registrar in consultation with an ophthalmologist</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Prescribing Instructions:</w:t>
            </w:r>
            <w:r w:rsidRPr="00787A6E">
              <w:rPr>
                <w:rFonts w:ascii="Arial Narrow" w:hAnsi="Arial Narrow"/>
                <w:sz w:val="18"/>
                <w:szCs w:val="18"/>
              </w:rPr>
              <w:t xml:space="preserve"> Authority approval for initial treatment of each eye must be sought.</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548" w:type="pct"/>
            <w:tcBorders>
              <w:top w:val="single" w:sz="4" w:space="0" w:color="auto"/>
              <w:left w:val="single" w:sz="4" w:space="0" w:color="auto"/>
              <w:bottom w:val="single" w:sz="4" w:space="0" w:color="auto"/>
              <w:right w:val="single" w:sz="4" w:space="0" w:color="auto"/>
            </w:tcBorders>
            <w:vAlign w:val="center"/>
          </w:tcPr>
          <w:p w:rsidR="00EF657F" w:rsidRPr="00E85EE4" w:rsidRDefault="00EF657F" w:rsidP="00717F91">
            <w:pPr>
              <w:jc w:val="center"/>
              <w:outlineLvl w:val="4"/>
              <w:rPr>
                <w:rFonts w:ascii="Arial Narrow" w:hAnsi="Arial Narrow"/>
                <w:vanish/>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Prescribing Instructions:</w:t>
            </w:r>
          </w:p>
          <w:p w:rsidR="00EF657F" w:rsidRPr="00787A6E" w:rsidRDefault="00EF657F" w:rsidP="00717F91">
            <w:pPr>
              <w:rPr>
                <w:rFonts w:ascii="Arial Narrow" w:hAnsi="Arial Narrow"/>
                <w:sz w:val="18"/>
                <w:szCs w:val="18"/>
              </w:rPr>
            </w:pPr>
            <w:r w:rsidRPr="00787A6E">
              <w:rPr>
                <w:rFonts w:ascii="Arial Narrow" w:hAnsi="Arial Narrow"/>
                <w:sz w:val="18"/>
                <w:szCs w:val="18"/>
              </w:rPr>
              <w:t>The first authority application for each eye must be made in writing.</w:t>
            </w:r>
          </w:p>
          <w:p w:rsidR="00EF657F" w:rsidRPr="00787A6E" w:rsidRDefault="00EF657F" w:rsidP="00717F91">
            <w:pPr>
              <w:rPr>
                <w:rFonts w:ascii="Arial Narrow" w:hAnsi="Arial Narrow"/>
                <w:sz w:val="18"/>
                <w:szCs w:val="18"/>
              </w:rPr>
            </w:pPr>
            <w:r w:rsidRPr="00787A6E">
              <w:rPr>
                <w:rFonts w:ascii="Arial Narrow" w:hAnsi="Arial Narrow"/>
                <w:sz w:val="18"/>
                <w:szCs w:val="18"/>
              </w:rPr>
              <w:t>A written application must include:</w:t>
            </w:r>
          </w:p>
          <w:p w:rsidR="00EF657F" w:rsidRPr="00787A6E" w:rsidRDefault="00EF657F" w:rsidP="00717F91">
            <w:pPr>
              <w:rPr>
                <w:rFonts w:ascii="Arial Narrow" w:hAnsi="Arial Narrow"/>
                <w:sz w:val="18"/>
                <w:szCs w:val="18"/>
              </w:rPr>
            </w:pPr>
            <w:r w:rsidRPr="00787A6E">
              <w:rPr>
                <w:rFonts w:ascii="Arial Narrow" w:hAnsi="Arial Narrow"/>
                <w:sz w:val="18"/>
                <w:szCs w:val="18"/>
              </w:rPr>
              <w:t>a) a completed authority prescription form; and</w:t>
            </w:r>
          </w:p>
          <w:p w:rsidR="00EF657F" w:rsidRPr="00787A6E" w:rsidRDefault="00EF657F" w:rsidP="00717F91">
            <w:pPr>
              <w:rPr>
                <w:rFonts w:ascii="Arial Narrow" w:hAnsi="Arial Narrow"/>
                <w:sz w:val="18"/>
                <w:szCs w:val="18"/>
              </w:rPr>
            </w:pPr>
            <w:r w:rsidRPr="00787A6E">
              <w:rPr>
                <w:rFonts w:ascii="Arial Narrow" w:hAnsi="Arial Narrow"/>
                <w:sz w:val="18"/>
                <w:szCs w:val="18"/>
              </w:rPr>
              <w:t>b) a completed Subfoveal Choroidal Neovascularisation (CNV) - PBS Supporting Information Form</w:t>
            </w:r>
            <w:r>
              <w:rPr>
                <w:rFonts w:ascii="Arial Narrow" w:hAnsi="Arial Narrow"/>
                <w:sz w:val="18"/>
                <w:szCs w:val="18"/>
              </w:rPr>
              <w:t>.</w:t>
            </w:r>
            <w:r w:rsidRPr="00787A6E">
              <w:rPr>
                <w:rFonts w:ascii="Arial Narrow" w:hAnsi="Arial Narrow"/>
                <w:sz w:val="18"/>
                <w:szCs w:val="18"/>
              </w:rPr>
              <w:t xml:space="preserve"> </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548" w:type="pct"/>
            <w:tcBorders>
              <w:top w:val="single" w:sz="4" w:space="0" w:color="auto"/>
              <w:left w:val="single" w:sz="4" w:space="0" w:color="auto"/>
              <w:bottom w:val="single" w:sz="4" w:space="0" w:color="auto"/>
              <w:right w:val="single" w:sz="4" w:space="0" w:color="auto"/>
            </w:tcBorders>
            <w:vAlign w:val="center"/>
          </w:tcPr>
          <w:p w:rsidR="00EF657F" w:rsidRPr="00DC2F5D" w:rsidRDefault="00EF657F" w:rsidP="00717F91">
            <w:pPr>
              <w:jc w:val="center"/>
              <w:rPr>
                <w:rFonts w:ascii="Arial Narrow" w:hAnsi="Arial Narrow"/>
                <w:vanish/>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C2F5D" w:rsidRDefault="00EF657F" w:rsidP="00717F91">
            <w:pPr>
              <w:rPr>
                <w:rFonts w:ascii="Arial Narrow" w:hAnsi="Arial Narrow"/>
                <w:sz w:val="18"/>
                <w:szCs w:val="18"/>
              </w:rPr>
            </w:pPr>
            <w:r w:rsidRPr="00DC2F5D">
              <w:rPr>
                <w:rFonts w:ascii="Arial Narrow" w:hAnsi="Arial Narrow"/>
                <w:b/>
                <w:bCs/>
                <w:sz w:val="18"/>
                <w:szCs w:val="18"/>
              </w:rPr>
              <w:t>Administrative Advice:</w:t>
            </w:r>
          </w:p>
          <w:p w:rsidR="00EF657F" w:rsidRPr="00DC2F5D" w:rsidRDefault="00EF657F" w:rsidP="00717F91">
            <w:pPr>
              <w:rPr>
                <w:rFonts w:ascii="Arial Narrow" w:hAnsi="Arial Narrow"/>
                <w:sz w:val="18"/>
                <w:szCs w:val="18"/>
              </w:rPr>
            </w:pPr>
            <w:r w:rsidRPr="00DC2F5D">
              <w:rPr>
                <w:rFonts w:ascii="Arial Narrow" w:hAnsi="Arial Narrow"/>
                <w:sz w:val="18"/>
                <w:szCs w:val="18"/>
              </w:rPr>
              <w:t>Any queries concerning the arrangements to prescribe may be directed to the Services Australia on 1800 700 270 (hours of operation 8 a.m. to 5 p.m. EST Monday to Friday).</w:t>
            </w:r>
          </w:p>
          <w:p w:rsidR="00EF657F" w:rsidRPr="00DC2F5D" w:rsidRDefault="00EF657F" w:rsidP="00717F91">
            <w:pPr>
              <w:rPr>
                <w:rFonts w:ascii="Arial Narrow" w:hAnsi="Arial Narrow"/>
                <w:sz w:val="18"/>
                <w:szCs w:val="18"/>
              </w:rPr>
            </w:pPr>
            <w:r w:rsidRPr="00DC2F5D">
              <w:rPr>
                <w:rFonts w:ascii="Arial Narrow" w:hAnsi="Arial Narrow"/>
                <w:sz w:val="18"/>
                <w:szCs w:val="18"/>
              </w:rPr>
              <w:t xml:space="preserve"> </w:t>
            </w:r>
          </w:p>
          <w:p w:rsidR="00EF657F" w:rsidRPr="00DC2F5D" w:rsidRDefault="00EF657F" w:rsidP="00717F91">
            <w:pPr>
              <w:rPr>
                <w:rFonts w:ascii="Arial Narrow" w:hAnsi="Arial Narrow"/>
                <w:sz w:val="18"/>
                <w:szCs w:val="18"/>
              </w:rPr>
            </w:pPr>
            <w:r w:rsidRPr="00DC2F5D">
              <w:rPr>
                <w:rFonts w:ascii="Arial Narrow" w:hAnsi="Arial Narrow"/>
                <w:sz w:val="18"/>
                <w:szCs w:val="18"/>
              </w:rPr>
              <w:t xml:space="preserve">Prescribing information (including Authority Application forms and other relevant documentation as applicable) is available on the Services Australia website at </w:t>
            </w:r>
            <w:r w:rsidRPr="00FF1746">
              <w:rPr>
                <w:rFonts w:ascii="Arial Narrow" w:hAnsi="Arial Narrow"/>
                <w:sz w:val="18"/>
                <w:szCs w:val="18"/>
              </w:rPr>
              <w:t>servicesaustralia.gov.au</w:t>
            </w:r>
          </w:p>
          <w:p w:rsidR="00EF657F" w:rsidRPr="00DC2F5D" w:rsidRDefault="00EF657F" w:rsidP="00717F91">
            <w:pPr>
              <w:rPr>
                <w:rFonts w:ascii="Arial Narrow" w:hAnsi="Arial Narrow"/>
                <w:sz w:val="18"/>
                <w:szCs w:val="18"/>
              </w:rPr>
            </w:pPr>
          </w:p>
          <w:p w:rsidR="00EF657F" w:rsidRPr="00DC2F5D" w:rsidRDefault="00EF657F" w:rsidP="00717F91">
            <w:pPr>
              <w:rPr>
                <w:rFonts w:ascii="Arial Narrow" w:hAnsi="Arial Narrow"/>
                <w:sz w:val="18"/>
                <w:szCs w:val="18"/>
              </w:rPr>
            </w:pPr>
            <w:r w:rsidRPr="00DC2F5D">
              <w:rPr>
                <w:rFonts w:ascii="Arial Narrow" w:hAnsi="Arial Narrow"/>
                <w:sz w:val="18"/>
                <w:szCs w:val="18"/>
              </w:rPr>
              <w:t>Applications for authority to prescribe should be submitted online using the form upload facility in Health Professional Online Services (HPOS)</w:t>
            </w:r>
            <w:r w:rsidRPr="00DC2F5D">
              <w:rPr>
                <w:rFonts w:ascii="Arial Narrow" w:hAnsi="Arial Narrow"/>
                <w:bCs/>
                <w:sz w:val="18"/>
                <w:szCs w:val="18"/>
              </w:rPr>
              <w:t xml:space="preserve"> at www.servicesaustralia.gov.au/hpos </w:t>
            </w:r>
          </w:p>
          <w:p w:rsidR="00EF657F" w:rsidRPr="00DC2F5D" w:rsidRDefault="00EF657F" w:rsidP="00717F91">
            <w:pPr>
              <w:rPr>
                <w:rFonts w:ascii="Arial Narrow" w:hAnsi="Arial Narrow"/>
                <w:sz w:val="18"/>
                <w:szCs w:val="18"/>
              </w:rPr>
            </w:pPr>
            <w:r w:rsidRPr="00DC2F5D">
              <w:rPr>
                <w:rFonts w:ascii="Arial Narrow" w:hAnsi="Arial Narrow"/>
                <w:sz w:val="18"/>
                <w:szCs w:val="18"/>
              </w:rPr>
              <w:t>Or mailed to:</w:t>
            </w:r>
          </w:p>
          <w:p w:rsidR="00EF657F" w:rsidRPr="00DC2F5D" w:rsidRDefault="00EF657F" w:rsidP="00717F91">
            <w:pPr>
              <w:rPr>
                <w:rFonts w:ascii="Arial Narrow" w:hAnsi="Arial Narrow"/>
                <w:sz w:val="18"/>
                <w:szCs w:val="18"/>
              </w:rPr>
            </w:pPr>
            <w:r w:rsidRPr="00DC2F5D">
              <w:rPr>
                <w:rFonts w:ascii="Arial Narrow" w:hAnsi="Arial Narrow"/>
                <w:sz w:val="18"/>
                <w:szCs w:val="18"/>
              </w:rPr>
              <w:t>Services Australia</w:t>
            </w:r>
          </w:p>
          <w:p w:rsidR="00EF657F" w:rsidRPr="00DC2F5D" w:rsidRDefault="00EF657F" w:rsidP="00717F91">
            <w:pPr>
              <w:rPr>
                <w:rFonts w:ascii="Arial Narrow" w:hAnsi="Arial Narrow"/>
                <w:sz w:val="18"/>
                <w:szCs w:val="18"/>
              </w:rPr>
            </w:pPr>
            <w:r w:rsidRPr="00DC2F5D">
              <w:rPr>
                <w:rFonts w:ascii="Arial Narrow" w:hAnsi="Arial Narrow"/>
                <w:sz w:val="18"/>
                <w:szCs w:val="18"/>
              </w:rPr>
              <w:t xml:space="preserve">Complex Drugs </w:t>
            </w:r>
          </w:p>
          <w:p w:rsidR="00EF657F" w:rsidRPr="00DC2F5D" w:rsidRDefault="00EF657F" w:rsidP="00717F91">
            <w:pPr>
              <w:rPr>
                <w:rFonts w:ascii="Arial Narrow" w:hAnsi="Arial Narrow"/>
                <w:sz w:val="18"/>
                <w:szCs w:val="18"/>
              </w:rPr>
            </w:pPr>
            <w:r w:rsidRPr="00DC2F5D">
              <w:rPr>
                <w:rFonts w:ascii="Arial Narrow" w:hAnsi="Arial Narrow"/>
                <w:sz w:val="18"/>
                <w:szCs w:val="18"/>
              </w:rPr>
              <w:t xml:space="preserve">Reply Paid 9826 </w:t>
            </w:r>
          </w:p>
          <w:p w:rsidR="00EF657F" w:rsidRPr="00DC2F5D" w:rsidRDefault="00EF657F" w:rsidP="00717F91">
            <w:pPr>
              <w:rPr>
                <w:rFonts w:ascii="Arial Narrow" w:hAnsi="Arial Narrow"/>
                <w:sz w:val="18"/>
                <w:szCs w:val="18"/>
              </w:rPr>
            </w:pPr>
            <w:r w:rsidRPr="00DC2F5D">
              <w:rPr>
                <w:rFonts w:ascii="Arial Narrow" w:hAnsi="Arial Narrow"/>
                <w:sz w:val="18"/>
                <w:szCs w:val="18"/>
              </w:rPr>
              <w:t>HOBART TAS 7001</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rPr>
                <w:rFonts w:ascii="Arial Narrow" w:hAnsi="Arial Narrow"/>
                <w:b/>
                <w:bCs/>
                <w:sz w:val="18"/>
                <w:szCs w:val="18"/>
              </w:rPr>
            </w:pPr>
            <w:r w:rsidRPr="00787A6E">
              <w:rPr>
                <w:rFonts w:ascii="Arial Narrow" w:hAnsi="Arial Narrow"/>
                <w:b/>
                <w:bCs/>
                <w:sz w:val="18"/>
                <w:szCs w:val="18"/>
              </w:rPr>
              <w:t>Administrative Advice:</w:t>
            </w:r>
          </w:p>
          <w:p w:rsidR="00EF657F" w:rsidRPr="00787A6E" w:rsidRDefault="00EF657F" w:rsidP="00717F91">
            <w:pPr>
              <w:rPr>
                <w:rFonts w:ascii="Arial Narrow" w:hAnsi="Arial Narrow"/>
                <w:bCs/>
                <w:sz w:val="18"/>
                <w:szCs w:val="18"/>
              </w:rPr>
            </w:pPr>
            <w:r w:rsidRPr="00787A6E">
              <w:rPr>
                <w:rFonts w:ascii="Arial Narrow" w:hAnsi="Arial Narrow"/>
                <w:bCs/>
                <w:sz w:val="18"/>
                <w:szCs w:val="18"/>
              </w:rPr>
              <w:t>No increase in the maximum number of repeats may be authorised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C2F5D"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C2F5D" w:rsidRDefault="00EF657F" w:rsidP="00717F91">
            <w:pPr>
              <w:rPr>
                <w:rFonts w:ascii="Arial Narrow" w:hAnsi="Arial Narrow"/>
                <w:sz w:val="18"/>
                <w:szCs w:val="18"/>
                <w:lang w:val="en-GB"/>
              </w:rPr>
            </w:pPr>
            <w:r w:rsidRPr="00DC2F5D">
              <w:rPr>
                <w:rFonts w:ascii="Arial Narrow" w:hAnsi="Arial Narrow"/>
                <w:sz w:val="18"/>
                <w:szCs w:val="18"/>
                <w:lang w:val="en-GB"/>
              </w:rPr>
              <w:t>Administrative Advice:</w:t>
            </w:r>
          </w:p>
          <w:p w:rsidR="00EF657F" w:rsidRPr="00DC2F5D" w:rsidRDefault="00EF657F" w:rsidP="00717F91">
            <w:pPr>
              <w:rPr>
                <w:rFonts w:ascii="Arial Narrow" w:hAnsi="Arial Narrow"/>
                <w:b/>
                <w:bCs/>
                <w:sz w:val="18"/>
                <w:szCs w:val="18"/>
              </w:rPr>
            </w:pPr>
            <w:r w:rsidRPr="00DC2F5D">
              <w:rPr>
                <w:rFonts w:ascii="Arial Narrow" w:hAnsi="Arial Narrow"/>
                <w:sz w:val="18"/>
                <w:szCs w:val="18"/>
                <w:lang w:val="en-GB"/>
              </w:rPr>
              <w:t>Where both eyes are affected by the condition, a quantity of 2 units can be requested on the same authority prescription form.</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rPr>
                <w:rFonts w:ascii="Arial Narrow" w:hAnsi="Arial Narrow"/>
                <w:b/>
                <w:bCs/>
                <w:sz w:val="18"/>
                <w:szCs w:val="18"/>
              </w:rPr>
            </w:pPr>
            <w:r w:rsidRPr="00787A6E">
              <w:rPr>
                <w:rFonts w:ascii="Arial Narrow" w:hAnsi="Arial Narrow"/>
                <w:b/>
                <w:bCs/>
                <w:sz w:val="18"/>
                <w:szCs w:val="18"/>
              </w:rPr>
              <w:t>Administrative Advice:</w:t>
            </w:r>
          </w:p>
          <w:p w:rsidR="00EF657F" w:rsidRPr="00787A6E" w:rsidRDefault="00EF657F" w:rsidP="00717F91">
            <w:pPr>
              <w:rPr>
                <w:rFonts w:ascii="Arial Narrow" w:hAnsi="Arial Narrow"/>
                <w:bCs/>
                <w:sz w:val="18"/>
                <w:szCs w:val="18"/>
              </w:rPr>
            </w:pPr>
            <w:r w:rsidRPr="00787A6E">
              <w:rPr>
                <w:rFonts w:ascii="Arial Narrow" w:hAnsi="Arial Narrow"/>
                <w:bCs/>
                <w:sz w:val="18"/>
                <w:szCs w:val="18"/>
              </w:rPr>
              <w:t xml:space="preserve">No increase in the maximum quantity or number of units may be authorised </w:t>
            </w:r>
            <w:r w:rsidRPr="00787A6E">
              <w:rPr>
                <w:rFonts w:ascii="Arial Narrow" w:hAnsi="Arial Narrow"/>
                <w:bCs/>
                <w:i/>
                <w:sz w:val="18"/>
                <w:szCs w:val="18"/>
              </w:rPr>
              <w:t>for applications treating one eye</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Administrative Advice:</w:t>
            </w:r>
            <w:r w:rsidRPr="00787A6E">
              <w:rPr>
                <w:rFonts w:ascii="Arial Narrow" w:hAnsi="Arial Narrow"/>
                <w:sz w:val="18"/>
                <w:szCs w:val="18"/>
              </w:rPr>
              <w:t xml:space="preserve"> Special Pricing Arrangements apply</w:t>
            </w:r>
          </w:p>
        </w:tc>
      </w:tr>
    </w:tbl>
    <w:p w:rsidR="00EF657F" w:rsidRDefault="00EF657F" w:rsidP="00EF657F">
      <w:pPr>
        <w:pStyle w:val="BodyText"/>
      </w:pPr>
    </w:p>
    <w:p w:rsidR="00EF657F" w:rsidRPr="00DC2F5D" w:rsidRDefault="00EF657F" w:rsidP="00EF657F">
      <w:pPr>
        <w:pStyle w:val="BodyText"/>
        <w:spacing w:after="120"/>
        <w:rPr>
          <w:rFonts w:ascii="Arial Narrow" w:hAnsi="Arial Narrow"/>
          <w:b/>
          <w:sz w:val="20"/>
          <w:szCs w:val="20"/>
        </w:rPr>
      </w:pPr>
      <w:r w:rsidRPr="00DC2F5D">
        <w:rPr>
          <w:rFonts w:ascii="Arial Narrow" w:hAnsi="Arial Narrow"/>
          <w:b/>
          <w:sz w:val="20"/>
          <w:szCs w:val="20"/>
        </w:rPr>
        <w:t>Continuing treatment of subfoveal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388"/>
        <w:gridCol w:w="1389"/>
        <w:gridCol w:w="1261"/>
        <w:gridCol w:w="1109"/>
        <w:gridCol w:w="1555"/>
      </w:tblGrid>
      <w:tr w:rsidR="00EF657F" w:rsidRPr="00787A6E" w:rsidTr="00717F91">
        <w:tc>
          <w:tcPr>
            <w:tcW w:w="1284" w:type="pct"/>
          </w:tcPr>
          <w:p w:rsidR="00EF657F" w:rsidRPr="00787A6E" w:rsidRDefault="00EF657F" w:rsidP="00717F91">
            <w:pPr>
              <w:keepNext/>
              <w:rPr>
                <w:rFonts w:ascii="Arial Narrow" w:hAnsi="Arial Narrow"/>
                <w:b/>
                <w:bCs/>
                <w:sz w:val="18"/>
                <w:szCs w:val="18"/>
              </w:rPr>
            </w:pPr>
            <w:r w:rsidRPr="00787A6E">
              <w:rPr>
                <w:rFonts w:ascii="Arial Narrow" w:hAnsi="Arial Narrow"/>
                <w:b/>
                <w:bCs/>
                <w:sz w:val="18"/>
                <w:szCs w:val="18"/>
              </w:rPr>
              <w:t>MEDICINAL PRODUCT</w:t>
            </w:r>
          </w:p>
          <w:p w:rsidR="00EF657F" w:rsidRPr="00787A6E" w:rsidRDefault="00EF657F" w:rsidP="00717F91">
            <w:pPr>
              <w:pStyle w:val="PbacTableHeading"/>
              <w:keepNext/>
              <w:keepLines/>
              <w:rPr>
                <w:sz w:val="18"/>
                <w:szCs w:val="18"/>
              </w:rPr>
            </w:pPr>
            <w:r w:rsidRPr="00787A6E">
              <w:rPr>
                <w:bCs/>
                <w:sz w:val="18"/>
                <w:szCs w:val="18"/>
              </w:rPr>
              <w:t>medicinal product pack</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PBS item code</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Max. qty (packs)</w:t>
            </w:r>
          </w:p>
        </w:tc>
        <w:tc>
          <w:tcPr>
            <w:tcW w:w="699" w:type="pct"/>
          </w:tcPr>
          <w:p w:rsidR="00EF657F" w:rsidRPr="00787A6E" w:rsidRDefault="00EF657F" w:rsidP="00717F91">
            <w:pPr>
              <w:pStyle w:val="PbacTableHeading"/>
              <w:keepNext/>
              <w:keepLines/>
              <w:jc w:val="center"/>
              <w:rPr>
                <w:sz w:val="18"/>
                <w:szCs w:val="18"/>
              </w:rPr>
            </w:pPr>
            <w:r w:rsidRPr="00787A6E">
              <w:rPr>
                <w:sz w:val="18"/>
                <w:szCs w:val="18"/>
              </w:rPr>
              <w:t>Max. qty (units)</w:t>
            </w:r>
          </w:p>
        </w:tc>
        <w:tc>
          <w:tcPr>
            <w:tcW w:w="615" w:type="pct"/>
          </w:tcPr>
          <w:p w:rsidR="00EF657F" w:rsidRPr="00787A6E" w:rsidRDefault="00EF657F" w:rsidP="00717F91">
            <w:pPr>
              <w:pStyle w:val="PbacTableHeading"/>
              <w:keepNext/>
              <w:keepLines/>
              <w:jc w:val="center"/>
              <w:rPr>
                <w:sz w:val="18"/>
                <w:szCs w:val="18"/>
              </w:rPr>
            </w:pPr>
            <w:r w:rsidRPr="00787A6E">
              <w:rPr>
                <w:sz w:val="18"/>
                <w:szCs w:val="18"/>
              </w:rPr>
              <w:t>№. of repeats</w:t>
            </w:r>
          </w:p>
        </w:tc>
        <w:tc>
          <w:tcPr>
            <w:tcW w:w="863" w:type="pct"/>
          </w:tcPr>
          <w:p w:rsidR="00EF657F" w:rsidRPr="00787A6E" w:rsidRDefault="00EF657F" w:rsidP="00717F91">
            <w:pPr>
              <w:pStyle w:val="PbacTableHeading"/>
              <w:keepNext/>
              <w:keepLines/>
              <w:rPr>
                <w:sz w:val="18"/>
                <w:szCs w:val="18"/>
              </w:rPr>
            </w:pPr>
            <w:r w:rsidRPr="00787A6E">
              <w:rPr>
                <w:sz w:val="18"/>
                <w:szCs w:val="18"/>
              </w:rPr>
              <w:t>Proprietary name and manufacturer</w:t>
            </w:r>
          </w:p>
        </w:tc>
      </w:tr>
      <w:tr w:rsidR="00EF657F" w:rsidRPr="00787A6E" w:rsidTr="00717F91">
        <w:tc>
          <w:tcPr>
            <w:tcW w:w="1284" w:type="pct"/>
          </w:tcPr>
          <w:p w:rsidR="00EF657F" w:rsidRPr="00787A6E" w:rsidRDefault="00EF657F" w:rsidP="00717F91">
            <w:pPr>
              <w:pStyle w:val="PBACTableText"/>
              <w:keepNext/>
              <w:keepLines/>
              <w:rPr>
                <w:sz w:val="18"/>
                <w:szCs w:val="18"/>
              </w:rPr>
            </w:pPr>
            <w:r w:rsidRPr="00787A6E">
              <w:rPr>
                <w:sz w:val="18"/>
                <w:szCs w:val="18"/>
              </w:rPr>
              <w:t xml:space="preserve">BROLUCIZUMAB </w:t>
            </w:r>
          </w:p>
          <w:p w:rsidR="00EF657F" w:rsidRPr="00787A6E" w:rsidRDefault="00EF657F" w:rsidP="00717F91">
            <w:pPr>
              <w:pStyle w:val="PBACTableText"/>
              <w:keepNext/>
              <w:keepLines/>
              <w:rPr>
                <w:sz w:val="18"/>
                <w:szCs w:val="18"/>
              </w:rPr>
            </w:pPr>
            <w:r w:rsidRPr="00787A6E">
              <w:rPr>
                <w:sz w:val="18"/>
                <w:szCs w:val="18"/>
              </w:rPr>
              <w:t>19.8 mg/0.165 mL injection, 0.165 mL syringe</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NEW</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99"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15" w:type="pct"/>
          </w:tcPr>
          <w:p w:rsidR="00EF657F" w:rsidRPr="00787A6E" w:rsidRDefault="00EF657F" w:rsidP="00717F91">
            <w:pPr>
              <w:pStyle w:val="PBACTableText"/>
              <w:keepNext/>
              <w:keepLines/>
              <w:jc w:val="center"/>
              <w:rPr>
                <w:sz w:val="18"/>
                <w:szCs w:val="18"/>
              </w:rPr>
            </w:pPr>
            <w:r w:rsidRPr="00787A6E">
              <w:rPr>
                <w:sz w:val="18"/>
                <w:szCs w:val="18"/>
              </w:rPr>
              <w:t>2</w:t>
            </w:r>
          </w:p>
        </w:tc>
        <w:tc>
          <w:tcPr>
            <w:tcW w:w="863" w:type="pct"/>
          </w:tcPr>
          <w:p w:rsidR="00EF657F" w:rsidRPr="00787A6E" w:rsidRDefault="00EF657F" w:rsidP="00717F91">
            <w:pPr>
              <w:pStyle w:val="PBACTableText"/>
              <w:keepNext/>
              <w:keepLines/>
              <w:rPr>
                <w:sz w:val="18"/>
                <w:szCs w:val="18"/>
              </w:rPr>
            </w:pPr>
            <w:r w:rsidRPr="00787A6E">
              <w:rPr>
                <w:sz w:val="18"/>
                <w:szCs w:val="18"/>
              </w:rPr>
              <w:t>Beovu</w:t>
            </w:r>
            <w:r w:rsidRPr="00787A6E">
              <w:rPr>
                <w:sz w:val="18"/>
                <w:szCs w:val="18"/>
              </w:rPr>
              <w:br/>
              <w:t>Novartis Australia Pty Ltd</w:t>
            </w:r>
          </w:p>
        </w:tc>
      </w:tr>
    </w:tbl>
    <w:p w:rsidR="00EF657F" w:rsidRPr="00787A6E" w:rsidRDefault="00EF657F" w:rsidP="00EF657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0"/>
        <w:gridCol w:w="8047"/>
      </w:tblGrid>
      <w:tr w:rsidR="00EF657F" w:rsidRPr="00D61528" w:rsidTr="00717F91">
        <w:tc>
          <w:tcPr>
            <w:tcW w:w="538"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jc w:val="center"/>
              <w:rPr>
                <w:rFonts w:ascii="Arial Narrow" w:hAnsi="Arial Narrow"/>
                <w:b/>
                <w:sz w:val="18"/>
                <w:szCs w:val="18"/>
              </w:rPr>
            </w:pPr>
          </w:p>
        </w:tc>
        <w:tc>
          <w:tcPr>
            <w:tcW w:w="4462"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rPr>
                <w:rFonts w:ascii="Arial Narrow" w:hAnsi="Arial Narrow"/>
                <w:sz w:val="18"/>
                <w:szCs w:val="18"/>
              </w:rPr>
            </w:pPr>
            <w:r w:rsidRPr="00D61528">
              <w:rPr>
                <w:rFonts w:ascii="Arial Narrow" w:hAnsi="Arial Narrow"/>
                <w:b/>
                <w:sz w:val="18"/>
                <w:szCs w:val="18"/>
              </w:rPr>
              <w:t xml:space="preserve">Category / Program:   </w:t>
            </w:r>
            <w:r w:rsidRPr="00D61528">
              <w:rPr>
                <w:rFonts w:ascii="Arial Narrow" w:hAnsi="Arial Narrow"/>
                <w:sz w:val="18"/>
                <w:szCs w:val="18"/>
              </w:rPr>
              <w:t xml:space="preserve">GENERAL – General Schedule (Code GE) </w:t>
            </w:r>
          </w:p>
        </w:tc>
      </w:tr>
      <w:tr w:rsidR="00EF657F" w:rsidRPr="00D61528" w:rsidTr="00717F91">
        <w:trPr>
          <w:trHeight w:val="240"/>
        </w:trPr>
        <w:tc>
          <w:tcPr>
            <w:tcW w:w="538"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jc w:val="center"/>
              <w:rPr>
                <w:rFonts w:ascii="Arial Narrow" w:hAnsi="Arial Narrow"/>
                <w:sz w:val="18"/>
                <w:szCs w:val="18"/>
              </w:rPr>
            </w:pPr>
          </w:p>
        </w:tc>
        <w:tc>
          <w:tcPr>
            <w:tcW w:w="4462"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rPr>
                <w:rFonts w:ascii="Arial Narrow" w:hAnsi="Arial Narrow"/>
                <w:b/>
                <w:sz w:val="18"/>
                <w:szCs w:val="18"/>
              </w:rPr>
            </w:pPr>
            <w:r w:rsidRPr="00D61528">
              <w:rPr>
                <w:rFonts w:ascii="Arial Narrow" w:hAnsi="Arial Narrow"/>
                <w:b/>
                <w:sz w:val="18"/>
                <w:szCs w:val="18"/>
              </w:rPr>
              <w:t xml:space="preserve">Prescriber type:   </w:t>
            </w:r>
            <w:r w:rsidRPr="00D61528">
              <w:rPr>
                <w:rFonts w:ascii="Arial Narrow" w:hAnsi="Arial Narrow"/>
                <w:sz w:val="18"/>
                <w:szCs w:val="18"/>
              </w:rPr>
              <w:fldChar w:fldCharType="begin">
                <w:ffData>
                  <w:name w:val="Check1"/>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 xml:space="preserve">Dental    </w:t>
            </w:r>
            <w:r w:rsidRPr="00D61528">
              <w:rPr>
                <w:rFonts w:ascii="Arial Narrow" w:hAnsi="Arial Narrow"/>
                <w:sz w:val="18"/>
                <w:szCs w:val="18"/>
              </w:rPr>
              <w:fldChar w:fldCharType="begin">
                <w:ffData>
                  <w:name w:val=""/>
                  <w:enabled/>
                  <w:calcOnExit w:val="0"/>
                  <w:checkBox>
                    <w:sizeAuto/>
                    <w:default w:val="1"/>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 xml:space="preserve">Medical Practitioners    </w:t>
            </w:r>
            <w:r w:rsidRPr="00D61528">
              <w:rPr>
                <w:rFonts w:ascii="Arial Narrow" w:hAnsi="Arial Narrow"/>
                <w:sz w:val="18"/>
                <w:szCs w:val="18"/>
              </w:rPr>
              <w:fldChar w:fldCharType="begin">
                <w:ffData>
                  <w:name w:val="Check3"/>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 xml:space="preserve">Nurse practitioners     </w:t>
            </w:r>
            <w:r w:rsidRPr="00D61528">
              <w:rPr>
                <w:rFonts w:ascii="Arial Narrow" w:hAnsi="Arial Narrow"/>
                <w:sz w:val="18"/>
                <w:szCs w:val="18"/>
              </w:rPr>
              <w:fldChar w:fldCharType="begin">
                <w:ffData>
                  <w:name w:val=""/>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 xml:space="preserve">Optometrists    </w:t>
            </w:r>
            <w:r w:rsidRPr="00D61528">
              <w:rPr>
                <w:rFonts w:ascii="Arial Narrow" w:hAnsi="Arial Narrow"/>
                <w:sz w:val="18"/>
                <w:szCs w:val="18"/>
              </w:rPr>
              <w:fldChar w:fldCharType="begin">
                <w:ffData>
                  <w:name w:val="Check5"/>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Midwives</w:t>
            </w:r>
          </w:p>
        </w:tc>
      </w:tr>
      <w:tr w:rsidR="00EF657F" w:rsidRPr="00D61528" w:rsidTr="00717F91">
        <w:tc>
          <w:tcPr>
            <w:tcW w:w="538"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jc w:val="center"/>
              <w:rPr>
                <w:rFonts w:ascii="Arial Narrow" w:hAnsi="Arial Narrow"/>
                <w:sz w:val="18"/>
                <w:szCs w:val="18"/>
              </w:rPr>
            </w:pPr>
          </w:p>
        </w:tc>
        <w:tc>
          <w:tcPr>
            <w:tcW w:w="4462" w:type="pct"/>
            <w:tcBorders>
              <w:top w:val="single" w:sz="4" w:space="0" w:color="auto"/>
              <w:left w:val="single" w:sz="4" w:space="0" w:color="auto"/>
              <w:bottom w:val="single" w:sz="4" w:space="0" w:color="auto"/>
              <w:right w:val="single" w:sz="4" w:space="0" w:color="auto"/>
            </w:tcBorders>
          </w:tcPr>
          <w:p w:rsidR="00EF657F" w:rsidRPr="00D61528" w:rsidRDefault="00EF657F" w:rsidP="00717F91">
            <w:pPr>
              <w:rPr>
                <w:rFonts w:ascii="Arial Narrow" w:hAnsi="Arial Narrow"/>
                <w:b/>
                <w:sz w:val="18"/>
                <w:szCs w:val="18"/>
              </w:rPr>
            </w:pPr>
            <w:r w:rsidRPr="00D61528">
              <w:rPr>
                <w:rFonts w:ascii="Arial Narrow" w:hAnsi="Arial Narrow"/>
                <w:b/>
                <w:sz w:val="18"/>
                <w:szCs w:val="18"/>
              </w:rPr>
              <w:t>Restriction Level / Method:</w:t>
            </w:r>
          </w:p>
          <w:p w:rsidR="00EF657F" w:rsidRPr="00D61528" w:rsidRDefault="00EF657F" w:rsidP="00717F91">
            <w:pPr>
              <w:rPr>
                <w:rFonts w:ascii="Arial Narrow" w:hAnsi="Arial Narrow"/>
                <w:sz w:val="18"/>
                <w:szCs w:val="18"/>
              </w:rPr>
            </w:pPr>
            <w:r w:rsidRPr="00D61528">
              <w:rPr>
                <w:rFonts w:ascii="Arial Narrow" w:hAnsi="Arial Narrow"/>
                <w:sz w:val="18"/>
                <w:szCs w:val="18"/>
              </w:rPr>
              <w:fldChar w:fldCharType="begin">
                <w:ffData>
                  <w:name w:val="Check1"/>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Unrestricted benefit</w:t>
            </w:r>
          </w:p>
          <w:p w:rsidR="00EF657F" w:rsidRPr="00D61528" w:rsidRDefault="00EF657F" w:rsidP="00717F91">
            <w:pPr>
              <w:rPr>
                <w:rFonts w:ascii="Arial Narrow" w:hAnsi="Arial Narrow"/>
                <w:sz w:val="18"/>
                <w:szCs w:val="18"/>
              </w:rPr>
            </w:pPr>
            <w:r w:rsidRPr="00D61528">
              <w:rPr>
                <w:rFonts w:ascii="Arial Narrow" w:hAnsi="Arial Narrow"/>
                <w:sz w:val="18"/>
                <w:szCs w:val="18"/>
              </w:rPr>
              <w:fldChar w:fldCharType="begin">
                <w:ffData>
                  <w:name w:val="Check1"/>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Restricted benefit</w:t>
            </w:r>
          </w:p>
          <w:p w:rsidR="00EF657F" w:rsidRPr="00D61528" w:rsidRDefault="00EF657F" w:rsidP="00717F91">
            <w:pPr>
              <w:rPr>
                <w:rFonts w:ascii="Arial Narrow" w:hAnsi="Arial Narrow"/>
                <w:sz w:val="18"/>
                <w:szCs w:val="18"/>
              </w:rPr>
            </w:pPr>
            <w:r w:rsidRPr="00D61528">
              <w:rPr>
                <w:rFonts w:ascii="Arial Narrow" w:hAnsi="Arial Narrow"/>
                <w:sz w:val="18"/>
                <w:szCs w:val="18"/>
              </w:rPr>
              <w:fldChar w:fldCharType="begin">
                <w:ffData>
                  <w:name w:val=""/>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Authority Required – In Writing</w:t>
            </w:r>
          </w:p>
          <w:p w:rsidR="00EF657F" w:rsidRPr="00D61528" w:rsidRDefault="00EF657F" w:rsidP="00717F91">
            <w:pPr>
              <w:rPr>
                <w:rFonts w:ascii="Arial Narrow" w:hAnsi="Arial Narrow"/>
                <w:sz w:val="18"/>
                <w:szCs w:val="18"/>
              </w:rPr>
            </w:pPr>
            <w:r w:rsidRPr="00D61528">
              <w:rPr>
                <w:rFonts w:ascii="Arial Narrow" w:hAnsi="Arial Narrow"/>
                <w:sz w:val="18"/>
                <w:szCs w:val="18"/>
              </w:rPr>
              <w:fldChar w:fldCharType="begin">
                <w:ffData>
                  <w:name w:val="Check3"/>
                  <w:enabled/>
                  <w:calcOnExit w:val="0"/>
                  <w:checkBox>
                    <w:sizeAuto/>
                    <w:default w:val="1"/>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Authority Required – Telephone/Electronic/Emergency</w:t>
            </w:r>
          </w:p>
          <w:p w:rsidR="00EF657F" w:rsidRPr="00D61528" w:rsidRDefault="00EF657F" w:rsidP="00717F91">
            <w:pPr>
              <w:rPr>
                <w:rFonts w:ascii="Arial Narrow" w:hAnsi="Arial Narrow"/>
                <w:sz w:val="18"/>
                <w:szCs w:val="18"/>
              </w:rPr>
            </w:pPr>
            <w:r w:rsidRPr="00D61528">
              <w:rPr>
                <w:rFonts w:ascii="Arial Narrow" w:hAnsi="Arial Narrow"/>
                <w:sz w:val="18"/>
                <w:szCs w:val="18"/>
              </w:rPr>
              <w:fldChar w:fldCharType="begin">
                <w:ffData>
                  <w:name w:val=""/>
                  <w:enabled/>
                  <w:calcOnExit w:val="0"/>
                  <w:checkBox>
                    <w:sizeAuto/>
                    <w:default w:val="0"/>
                  </w:checkBox>
                </w:ffData>
              </w:fldChar>
            </w:r>
            <w:r w:rsidRPr="00D61528">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D61528">
              <w:rPr>
                <w:rFonts w:ascii="Arial Narrow" w:hAnsi="Arial Narrow"/>
                <w:sz w:val="18"/>
                <w:szCs w:val="18"/>
              </w:rPr>
              <w:fldChar w:fldCharType="end"/>
            </w:r>
            <w:r w:rsidRPr="00D61528">
              <w:rPr>
                <w:rFonts w:ascii="Arial Narrow" w:hAnsi="Arial Narrow"/>
                <w:sz w:val="18"/>
                <w:szCs w:val="18"/>
              </w:rPr>
              <w:t>Authority Required – Streamlined</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Indication:</w:t>
            </w:r>
            <w:r w:rsidRPr="00D61528">
              <w:rPr>
                <w:rFonts w:ascii="Arial Narrow" w:hAnsi="Arial Narrow"/>
                <w:sz w:val="18"/>
                <w:szCs w:val="18"/>
              </w:rPr>
              <w:t xml:space="preserve"> Subfoveal choroidal neovascularisation (CNV)</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Treatment Phase:</w:t>
            </w:r>
            <w:r w:rsidRPr="00D61528">
              <w:rPr>
                <w:rFonts w:ascii="Arial Narrow" w:hAnsi="Arial Narrow"/>
                <w:sz w:val="18"/>
                <w:szCs w:val="18"/>
              </w:rPr>
              <w:t xml:space="preserve"> Continuing treatment</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Clinical criteria:</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sz w:val="18"/>
                <w:szCs w:val="18"/>
              </w:rPr>
              <w:t>The condition must be due to age-related macular degeneration (AMD)</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AND</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Clinical criteria:</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sz w:val="18"/>
                <w:szCs w:val="18"/>
              </w:rPr>
              <w:t>The treatment must be the sole PBS-subsidised therapy for this condition</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AND</w:t>
            </w:r>
          </w:p>
        </w:tc>
      </w:tr>
      <w:tr w:rsidR="00EF657F" w:rsidRPr="00D61528" w:rsidTr="007C6D34">
        <w:tc>
          <w:tcPr>
            <w:tcW w:w="538" w:type="pct"/>
            <w:vAlign w:val="center"/>
          </w:tcPr>
          <w:p w:rsidR="00EF657F" w:rsidRPr="00381FE2"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Clinical criteria:</w:t>
            </w:r>
          </w:p>
        </w:tc>
      </w:tr>
      <w:tr w:rsidR="00EF657F" w:rsidRPr="00D61528" w:rsidTr="007C6D34">
        <w:tc>
          <w:tcPr>
            <w:tcW w:w="538" w:type="pct"/>
            <w:vAlign w:val="center"/>
          </w:tcPr>
          <w:p w:rsidR="00EF657F" w:rsidRPr="00381FE2" w:rsidRDefault="00EF657F" w:rsidP="00717F91">
            <w:pPr>
              <w:contextualSpacing/>
              <w:jc w:val="center"/>
              <w:rPr>
                <w:rFonts w:ascii="Arial Narrow" w:hAnsi="Arial Narrow"/>
                <w:sz w:val="18"/>
                <w:szCs w:val="18"/>
              </w:rPr>
            </w:pPr>
          </w:p>
        </w:tc>
        <w:tc>
          <w:tcPr>
            <w:tcW w:w="4462" w:type="pct"/>
            <w:vAlign w:val="center"/>
            <w:hideMark/>
          </w:tcPr>
          <w:p w:rsidR="00EF657F" w:rsidRPr="00381FE2" w:rsidRDefault="00EF657F" w:rsidP="00717F91">
            <w:pPr>
              <w:contextualSpacing/>
              <w:rPr>
                <w:rFonts w:ascii="Arial Narrow" w:hAnsi="Arial Narrow"/>
                <w:sz w:val="18"/>
                <w:szCs w:val="18"/>
              </w:rPr>
            </w:pPr>
            <w:r w:rsidRPr="00381FE2">
              <w:rPr>
                <w:rFonts w:ascii="Arial Narrow" w:hAnsi="Arial Narrow"/>
                <w:sz w:val="18"/>
                <w:szCs w:val="18"/>
              </w:rPr>
              <w:t xml:space="preserve">Patient must have previously been granted an authority prescription for the same eye </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AND</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Treatment criteria:</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sz w:val="18"/>
                <w:szCs w:val="18"/>
              </w:rPr>
              <w:t xml:space="preserve"> Must be treated by an ophthalmologist or by an accredited ophthalmology registrar in consultation with an ophthalmologist</w:t>
            </w:r>
          </w:p>
        </w:tc>
      </w:tr>
      <w:tr w:rsidR="00EF657F" w:rsidRPr="00D61528" w:rsidTr="007C6D34">
        <w:trPr>
          <w:hidden/>
        </w:trPr>
        <w:tc>
          <w:tcPr>
            <w:tcW w:w="538" w:type="pct"/>
            <w:vAlign w:val="center"/>
          </w:tcPr>
          <w:p w:rsidR="00EF657F" w:rsidRPr="00D61528" w:rsidRDefault="00EF657F" w:rsidP="00717F91">
            <w:pPr>
              <w:contextualSpacing/>
              <w:jc w:val="center"/>
              <w:outlineLvl w:val="4"/>
              <w:rPr>
                <w:rFonts w:ascii="Arial Narrow" w:hAnsi="Arial Narrow"/>
                <w:vanish/>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Administrative Advice:</w:t>
            </w:r>
          </w:p>
          <w:p w:rsidR="00EF657F" w:rsidRPr="00D61528" w:rsidRDefault="00EF657F" w:rsidP="00717F91">
            <w:pPr>
              <w:contextualSpacing/>
              <w:rPr>
                <w:rFonts w:ascii="Arial Narrow" w:hAnsi="Arial Narrow"/>
                <w:i/>
                <w:sz w:val="18"/>
                <w:szCs w:val="18"/>
              </w:rPr>
            </w:pPr>
            <w:r w:rsidRPr="00D61528">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Administrative Advice:</w:t>
            </w:r>
            <w:r w:rsidRPr="00D61528">
              <w:rPr>
                <w:rFonts w:ascii="Arial Narrow" w:hAnsi="Arial Narrow"/>
                <w:sz w:val="18"/>
                <w:szCs w:val="18"/>
              </w:rPr>
              <w:t xml:space="preserve"> No increase in the maximum number of repeats may be authorised</w:t>
            </w:r>
          </w:p>
        </w:tc>
      </w:tr>
      <w:tr w:rsidR="00EF657F" w:rsidRPr="00D61528" w:rsidTr="00717F91">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tcPr>
          <w:p w:rsidR="00EF657F" w:rsidRPr="00D61528" w:rsidRDefault="00EF657F" w:rsidP="00717F91">
            <w:pPr>
              <w:rPr>
                <w:rFonts w:ascii="Arial Narrow" w:hAnsi="Arial Narrow"/>
                <w:b/>
                <w:sz w:val="18"/>
                <w:szCs w:val="18"/>
                <w:lang w:val="en-GB"/>
              </w:rPr>
            </w:pPr>
            <w:r w:rsidRPr="00D61528">
              <w:rPr>
                <w:rFonts w:ascii="Arial Narrow" w:hAnsi="Arial Narrow"/>
                <w:b/>
                <w:sz w:val="18"/>
                <w:szCs w:val="18"/>
                <w:lang w:val="en-GB"/>
              </w:rPr>
              <w:t>Administrative Advice:</w:t>
            </w:r>
          </w:p>
          <w:p w:rsidR="00EF657F" w:rsidRPr="00D61528" w:rsidRDefault="00EF657F" w:rsidP="00717F91">
            <w:pPr>
              <w:contextualSpacing/>
              <w:rPr>
                <w:rFonts w:ascii="Arial Narrow" w:hAnsi="Arial Narrow"/>
                <w:b/>
                <w:bCs/>
                <w:sz w:val="18"/>
                <w:szCs w:val="18"/>
              </w:rPr>
            </w:pPr>
            <w:r w:rsidRPr="00D61528">
              <w:rPr>
                <w:rFonts w:ascii="Arial Narrow" w:hAnsi="Arial Narrow"/>
                <w:sz w:val="18"/>
                <w:szCs w:val="18"/>
                <w:lang w:val="en-GB"/>
              </w:rPr>
              <w:t>Where both eyes are affected by the condition, a quantity of 2 units can be requested on the same authority prescription form.</w:t>
            </w:r>
          </w:p>
        </w:tc>
      </w:tr>
      <w:tr w:rsidR="00EF657F" w:rsidRPr="00D61528" w:rsidTr="00717F91">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61528" w:rsidRDefault="00EF657F" w:rsidP="00717F91">
            <w:pPr>
              <w:contextualSpacing/>
              <w:jc w:val="center"/>
              <w:rPr>
                <w:rFonts w:ascii="Arial Narrow" w:hAnsi="Arial Narrow"/>
                <w:sz w:val="18"/>
                <w:szCs w:val="18"/>
              </w:rPr>
            </w:pPr>
          </w:p>
        </w:tc>
        <w:tc>
          <w:tcPr>
            <w:tcW w:w="446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61528" w:rsidRDefault="00EF657F" w:rsidP="00717F91">
            <w:pPr>
              <w:rPr>
                <w:rFonts w:ascii="Arial Narrow" w:hAnsi="Arial Narrow"/>
                <w:b/>
                <w:bCs/>
                <w:sz w:val="18"/>
                <w:szCs w:val="18"/>
              </w:rPr>
            </w:pPr>
            <w:r w:rsidRPr="00D61528">
              <w:rPr>
                <w:rFonts w:ascii="Arial Narrow" w:hAnsi="Arial Narrow"/>
                <w:b/>
                <w:bCs/>
                <w:sz w:val="18"/>
                <w:szCs w:val="18"/>
              </w:rPr>
              <w:t>Administrative Advice:</w:t>
            </w:r>
          </w:p>
          <w:p w:rsidR="00EF657F" w:rsidRPr="00D61528" w:rsidRDefault="00EF657F" w:rsidP="00717F91">
            <w:pPr>
              <w:rPr>
                <w:rFonts w:ascii="Arial Narrow" w:hAnsi="Arial Narrow"/>
                <w:b/>
                <w:bCs/>
                <w:i/>
                <w:sz w:val="18"/>
                <w:szCs w:val="18"/>
              </w:rPr>
            </w:pPr>
            <w:r w:rsidRPr="00D61528">
              <w:rPr>
                <w:rFonts w:ascii="Arial Narrow" w:hAnsi="Arial Narrow"/>
                <w:bCs/>
                <w:sz w:val="18"/>
                <w:szCs w:val="18"/>
              </w:rPr>
              <w:t>No increase in the maximum quantity or number of units may be authorised</w:t>
            </w:r>
            <w:r w:rsidRPr="00D61528">
              <w:rPr>
                <w:rFonts w:ascii="Arial Narrow" w:hAnsi="Arial Narrow"/>
                <w:bCs/>
                <w:i/>
                <w:sz w:val="18"/>
                <w:szCs w:val="18"/>
              </w:rPr>
              <w:t xml:space="preserve"> for applications treating one eye</w:t>
            </w:r>
          </w:p>
        </w:tc>
      </w:tr>
      <w:tr w:rsidR="00EF657F" w:rsidRPr="00D61528" w:rsidTr="007C6D34">
        <w:tc>
          <w:tcPr>
            <w:tcW w:w="538" w:type="pct"/>
            <w:vAlign w:val="center"/>
          </w:tcPr>
          <w:p w:rsidR="00EF657F" w:rsidRPr="00D61528" w:rsidRDefault="00EF657F" w:rsidP="00717F91">
            <w:pPr>
              <w:contextualSpacing/>
              <w:jc w:val="center"/>
              <w:rPr>
                <w:rFonts w:ascii="Arial Narrow" w:hAnsi="Arial Narrow"/>
                <w:sz w:val="18"/>
                <w:szCs w:val="18"/>
              </w:rPr>
            </w:pPr>
          </w:p>
        </w:tc>
        <w:tc>
          <w:tcPr>
            <w:tcW w:w="4462" w:type="pct"/>
            <w:vAlign w:val="center"/>
            <w:hideMark/>
          </w:tcPr>
          <w:p w:rsidR="00EF657F" w:rsidRPr="00D61528" w:rsidRDefault="00EF657F" w:rsidP="00717F91">
            <w:pPr>
              <w:contextualSpacing/>
              <w:rPr>
                <w:rFonts w:ascii="Arial Narrow" w:hAnsi="Arial Narrow"/>
                <w:sz w:val="18"/>
                <w:szCs w:val="18"/>
              </w:rPr>
            </w:pPr>
            <w:r w:rsidRPr="00D61528">
              <w:rPr>
                <w:rFonts w:ascii="Arial Narrow" w:hAnsi="Arial Narrow"/>
                <w:b/>
                <w:bCs/>
                <w:sz w:val="18"/>
                <w:szCs w:val="18"/>
              </w:rPr>
              <w:t>Administrative Advice:</w:t>
            </w:r>
            <w:r w:rsidRPr="00D61528">
              <w:rPr>
                <w:rFonts w:ascii="Arial Narrow" w:hAnsi="Arial Narrow"/>
                <w:sz w:val="18"/>
                <w:szCs w:val="18"/>
              </w:rPr>
              <w:t xml:space="preserve"> Special Pricing Arrangements apply</w:t>
            </w:r>
          </w:p>
        </w:tc>
      </w:tr>
    </w:tbl>
    <w:p w:rsidR="00EF657F" w:rsidRPr="00787A6E" w:rsidRDefault="00EF657F" w:rsidP="00EF657F">
      <w:pPr>
        <w:pStyle w:val="BodyText"/>
      </w:pPr>
    </w:p>
    <w:p w:rsidR="002F6087" w:rsidRDefault="002F6087">
      <w:pPr>
        <w:widowControl/>
        <w:jc w:val="left"/>
        <w:rPr>
          <w:rFonts w:ascii="Arial Narrow" w:hAnsi="Arial Narrow"/>
          <w:b/>
          <w:sz w:val="20"/>
          <w:szCs w:val="20"/>
        </w:rPr>
      </w:pPr>
      <w:r>
        <w:rPr>
          <w:rFonts w:ascii="Arial Narrow" w:hAnsi="Arial Narrow"/>
          <w:b/>
          <w:sz w:val="20"/>
          <w:szCs w:val="20"/>
        </w:rPr>
        <w:br w:type="page"/>
      </w:r>
    </w:p>
    <w:p w:rsidR="00EF657F" w:rsidRPr="00D61528" w:rsidRDefault="00EF657F" w:rsidP="00EF657F">
      <w:pPr>
        <w:pStyle w:val="BodyText"/>
        <w:spacing w:after="120"/>
        <w:rPr>
          <w:rFonts w:ascii="Arial Narrow" w:hAnsi="Arial Narrow"/>
          <w:b/>
          <w:sz w:val="20"/>
          <w:szCs w:val="20"/>
        </w:rPr>
      </w:pPr>
      <w:r w:rsidRPr="00D61528">
        <w:rPr>
          <w:rFonts w:ascii="Arial Narrow" w:hAnsi="Arial Narrow"/>
          <w:b/>
          <w:sz w:val="20"/>
          <w:szCs w:val="20"/>
        </w:rPr>
        <w:t>Grandfather clause for treatment of subfoveal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388"/>
        <w:gridCol w:w="1389"/>
        <w:gridCol w:w="1261"/>
        <w:gridCol w:w="1109"/>
        <w:gridCol w:w="1555"/>
      </w:tblGrid>
      <w:tr w:rsidR="00EF657F" w:rsidRPr="00787A6E" w:rsidTr="00717F91">
        <w:tc>
          <w:tcPr>
            <w:tcW w:w="1284" w:type="pct"/>
          </w:tcPr>
          <w:p w:rsidR="00EF657F" w:rsidRPr="00787A6E" w:rsidRDefault="00EF657F" w:rsidP="00717F91">
            <w:pPr>
              <w:keepNext/>
              <w:rPr>
                <w:rFonts w:ascii="Arial Narrow" w:hAnsi="Arial Narrow"/>
                <w:b/>
                <w:bCs/>
                <w:sz w:val="18"/>
                <w:szCs w:val="18"/>
              </w:rPr>
            </w:pPr>
            <w:r w:rsidRPr="00787A6E">
              <w:rPr>
                <w:rFonts w:ascii="Arial Narrow" w:hAnsi="Arial Narrow"/>
                <w:b/>
                <w:bCs/>
                <w:sz w:val="18"/>
                <w:szCs w:val="18"/>
              </w:rPr>
              <w:t>MEDICINAL PRODUCT</w:t>
            </w:r>
          </w:p>
          <w:p w:rsidR="00EF657F" w:rsidRPr="00787A6E" w:rsidRDefault="00EF657F" w:rsidP="00717F91">
            <w:pPr>
              <w:pStyle w:val="PbacTableHeading"/>
              <w:keepNext/>
              <w:keepLines/>
              <w:rPr>
                <w:sz w:val="18"/>
                <w:szCs w:val="18"/>
              </w:rPr>
            </w:pPr>
            <w:r w:rsidRPr="00787A6E">
              <w:rPr>
                <w:bCs/>
                <w:sz w:val="18"/>
                <w:szCs w:val="18"/>
              </w:rPr>
              <w:t>medicinal product pack</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PBS item code</w:t>
            </w:r>
          </w:p>
        </w:tc>
        <w:tc>
          <w:tcPr>
            <w:tcW w:w="770" w:type="pct"/>
          </w:tcPr>
          <w:p w:rsidR="00EF657F" w:rsidRPr="00787A6E" w:rsidRDefault="00EF657F" w:rsidP="00717F91">
            <w:pPr>
              <w:pStyle w:val="PbacTableHeading"/>
              <w:keepNext/>
              <w:keepLines/>
              <w:jc w:val="center"/>
              <w:rPr>
                <w:sz w:val="18"/>
                <w:szCs w:val="18"/>
              </w:rPr>
            </w:pPr>
            <w:r w:rsidRPr="00787A6E">
              <w:rPr>
                <w:sz w:val="18"/>
                <w:szCs w:val="18"/>
              </w:rPr>
              <w:t>Max. qty (packs)</w:t>
            </w:r>
          </w:p>
        </w:tc>
        <w:tc>
          <w:tcPr>
            <w:tcW w:w="699" w:type="pct"/>
          </w:tcPr>
          <w:p w:rsidR="00EF657F" w:rsidRPr="00787A6E" w:rsidRDefault="00EF657F" w:rsidP="00717F91">
            <w:pPr>
              <w:pStyle w:val="PbacTableHeading"/>
              <w:keepNext/>
              <w:keepLines/>
              <w:jc w:val="center"/>
              <w:rPr>
                <w:sz w:val="18"/>
                <w:szCs w:val="18"/>
              </w:rPr>
            </w:pPr>
            <w:r w:rsidRPr="00787A6E">
              <w:rPr>
                <w:sz w:val="18"/>
                <w:szCs w:val="18"/>
              </w:rPr>
              <w:t>Max. qty (units)</w:t>
            </w:r>
          </w:p>
        </w:tc>
        <w:tc>
          <w:tcPr>
            <w:tcW w:w="615" w:type="pct"/>
          </w:tcPr>
          <w:p w:rsidR="00EF657F" w:rsidRPr="00787A6E" w:rsidRDefault="00EF657F" w:rsidP="00717F91">
            <w:pPr>
              <w:pStyle w:val="PbacTableHeading"/>
              <w:keepNext/>
              <w:keepLines/>
              <w:jc w:val="center"/>
              <w:rPr>
                <w:sz w:val="18"/>
                <w:szCs w:val="18"/>
              </w:rPr>
            </w:pPr>
            <w:r w:rsidRPr="00787A6E">
              <w:rPr>
                <w:sz w:val="18"/>
                <w:szCs w:val="18"/>
              </w:rPr>
              <w:t>№. of repeats</w:t>
            </w:r>
          </w:p>
        </w:tc>
        <w:tc>
          <w:tcPr>
            <w:tcW w:w="863" w:type="pct"/>
          </w:tcPr>
          <w:p w:rsidR="00EF657F" w:rsidRPr="00787A6E" w:rsidRDefault="00EF657F" w:rsidP="00717F91">
            <w:pPr>
              <w:pStyle w:val="PbacTableHeading"/>
              <w:keepNext/>
              <w:keepLines/>
              <w:rPr>
                <w:sz w:val="18"/>
                <w:szCs w:val="18"/>
              </w:rPr>
            </w:pPr>
            <w:r w:rsidRPr="00787A6E">
              <w:rPr>
                <w:sz w:val="18"/>
                <w:szCs w:val="18"/>
              </w:rPr>
              <w:t>Proprietary name and manufacturer</w:t>
            </w:r>
          </w:p>
        </w:tc>
      </w:tr>
      <w:tr w:rsidR="00EF657F" w:rsidRPr="00787A6E" w:rsidTr="00717F91">
        <w:tc>
          <w:tcPr>
            <w:tcW w:w="1284" w:type="pct"/>
          </w:tcPr>
          <w:p w:rsidR="00EF657F" w:rsidRPr="00787A6E" w:rsidRDefault="00EF657F" w:rsidP="00717F91">
            <w:pPr>
              <w:pStyle w:val="PBACTableText"/>
              <w:keepNext/>
              <w:keepLines/>
              <w:rPr>
                <w:sz w:val="18"/>
                <w:szCs w:val="18"/>
              </w:rPr>
            </w:pPr>
            <w:r w:rsidRPr="00787A6E">
              <w:rPr>
                <w:sz w:val="18"/>
                <w:szCs w:val="18"/>
              </w:rPr>
              <w:t xml:space="preserve">BROLUCIZUMAB </w:t>
            </w:r>
          </w:p>
          <w:p w:rsidR="00EF657F" w:rsidRPr="00787A6E" w:rsidRDefault="00EF657F" w:rsidP="00717F91">
            <w:pPr>
              <w:pStyle w:val="PBACTableText"/>
              <w:keepNext/>
              <w:keepLines/>
              <w:rPr>
                <w:sz w:val="18"/>
                <w:szCs w:val="18"/>
              </w:rPr>
            </w:pPr>
            <w:r w:rsidRPr="00787A6E">
              <w:rPr>
                <w:sz w:val="18"/>
                <w:szCs w:val="18"/>
              </w:rPr>
              <w:t>19.8 mg/0.165 mL injection, 0.165 mL syringe</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NEW</w:t>
            </w:r>
          </w:p>
        </w:tc>
        <w:tc>
          <w:tcPr>
            <w:tcW w:w="770"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99" w:type="pct"/>
          </w:tcPr>
          <w:p w:rsidR="00EF657F" w:rsidRPr="00787A6E" w:rsidRDefault="00EF657F" w:rsidP="00717F91">
            <w:pPr>
              <w:pStyle w:val="PBACTableText"/>
              <w:keepNext/>
              <w:keepLines/>
              <w:jc w:val="center"/>
              <w:rPr>
                <w:sz w:val="18"/>
                <w:szCs w:val="18"/>
              </w:rPr>
            </w:pPr>
            <w:r w:rsidRPr="00787A6E">
              <w:rPr>
                <w:sz w:val="18"/>
                <w:szCs w:val="18"/>
              </w:rPr>
              <w:t>1</w:t>
            </w:r>
          </w:p>
        </w:tc>
        <w:tc>
          <w:tcPr>
            <w:tcW w:w="615" w:type="pct"/>
          </w:tcPr>
          <w:p w:rsidR="00EF657F" w:rsidRPr="00787A6E" w:rsidRDefault="00EF657F" w:rsidP="00717F91">
            <w:pPr>
              <w:pStyle w:val="PBACTableText"/>
              <w:keepNext/>
              <w:keepLines/>
              <w:jc w:val="center"/>
              <w:rPr>
                <w:sz w:val="18"/>
                <w:szCs w:val="18"/>
              </w:rPr>
            </w:pPr>
            <w:r w:rsidRPr="00787A6E">
              <w:rPr>
                <w:sz w:val="18"/>
                <w:szCs w:val="18"/>
              </w:rPr>
              <w:t>2</w:t>
            </w:r>
          </w:p>
        </w:tc>
        <w:tc>
          <w:tcPr>
            <w:tcW w:w="863" w:type="pct"/>
          </w:tcPr>
          <w:p w:rsidR="00EF657F" w:rsidRPr="00787A6E" w:rsidRDefault="00EF657F" w:rsidP="00717F91">
            <w:pPr>
              <w:pStyle w:val="PBACTableText"/>
              <w:keepNext/>
              <w:keepLines/>
              <w:rPr>
                <w:sz w:val="18"/>
                <w:szCs w:val="18"/>
              </w:rPr>
            </w:pPr>
            <w:r w:rsidRPr="00787A6E">
              <w:rPr>
                <w:sz w:val="18"/>
                <w:szCs w:val="18"/>
              </w:rPr>
              <w:t>Beovu</w:t>
            </w:r>
            <w:r w:rsidRPr="00787A6E">
              <w:rPr>
                <w:sz w:val="18"/>
                <w:szCs w:val="18"/>
              </w:rPr>
              <w:br/>
              <w:t>Novartis Australia Pty Ltd</w:t>
            </w:r>
          </w:p>
        </w:tc>
      </w:tr>
    </w:tbl>
    <w:p w:rsidR="00EF657F" w:rsidRPr="00787A6E" w:rsidRDefault="00EF657F" w:rsidP="00EF657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EF657F" w:rsidRPr="00787A6E" w:rsidTr="00717F91">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b/>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sz w:val="18"/>
                <w:szCs w:val="18"/>
              </w:rPr>
            </w:pPr>
            <w:r w:rsidRPr="00787A6E">
              <w:rPr>
                <w:rFonts w:ascii="Arial Narrow" w:hAnsi="Arial Narrow"/>
                <w:b/>
                <w:sz w:val="18"/>
                <w:szCs w:val="18"/>
              </w:rPr>
              <w:t xml:space="preserve">Category / Program:   </w:t>
            </w:r>
            <w:r w:rsidRPr="00787A6E">
              <w:rPr>
                <w:rFonts w:ascii="Arial Narrow" w:hAnsi="Arial Narrow"/>
                <w:sz w:val="18"/>
                <w:szCs w:val="18"/>
              </w:rPr>
              <w:t xml:space="preserve">GENERAL – General Schedule (Code GE) </w:t>
            </w:r>
          </w:p>
        </w:tc>
      </w:tr>
      <w:tr w:rsidR="00EF657F" w:rsidRPr="00787A6E" w:rsidTr="00717F91">
        <w:trPr>
          <w:trHeight w:val="240"/>
        </w:trPr>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b/>
                <w:sz w:val="18"/>
                <w:szCs w:val="18"/>
              </w:rPr>
            </w:pPr>
            <w:r w:rsidRPr="00787A6E">
              <w:rPr>
                <w:rFonts w:ascii="Arial Narrow" w:hAnsi="Arial Narrow"/>
                <w:b/>
                <w:sz w:val="18"/>
                <w:szCs w:val="18"/>
              </w:rPr>
              <w:t xml:space="preserve">Prescriber type:   </w:t>
            </w: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Dental    </w:t>
            </w:r>
            <w:r w:rsidRPr="00787A6E">
              <w:rPr>
                <w:rFonts w:ascii="Arial Narrow" w:hAnsi="Arial Narrow"/>
                <w:sz w:val="18"/>
                <w:szCs w:val="18"/>
              </w:rPr>
              <w:fldChar w:fldCharType="begin">
                <w:ffData>
                  <w:name w:val=""/>
                  <w:enabled/>
                  <w:calcOnExit w:val="0"/>
                  <w:checkBox>
                    <w:sizeAuto/>
                    <w:default w:val="1"/>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Medical Practitioners    </w:t>
            </w:r>
            <w:r w:rsidRPr="00787A6E">
              <w:rPr>
                <w:rFonts w:ascii="Arial Narrow" w:hAnsi="Arial Narrow"/>
                <w:sz w:val="18"/>
                <w:szCs w:val="18"/>
              </w:rPr>
              <w:fldChar w:fldCharType="begin">
                <w:ffData>
                  <w:name w:val="Check3"/>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Nurse practitioners     </w:t>
            </w:r>
            <w:r w:rsidRPr="00787A6E">
              <w:rPr>
                <w:rFonts w:ascii="Arial Narrow" w:hAnsi="Arial Narrow"/>
                <w:sz w:val="18"/>
                <w:szCs w:val="18"/>
              </w:rPr>
              <w:fldChar w:fldCharType="begin">
                <w:ffData>
                  <w:name w:val=""/>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 xml:space="preserve">Optometrists    </w:t>
            </w:r>
            <w:r w:rsidRPr="00787A6E">
              <w:rPr>
                <w:rFonts w:ascii="Arial Narrow" w:hAnsi="Arial Narrow"/>
                <w:sz w:val="18"/>
                <w:szCs w:val="18"/>
              </w:rPr>
              <w:fldChar w:fldCharType="begin">
                <w:ffData>
                  <w:name w:val="Check5"/>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Midwives</w:t>
            </w:r>
          </w:p>
        </w:tc>
      </w:tr>
      <w:tr w:rsidR="00EF657F" w:rsidRPr="00787A6E" w:rsidTr="00717F91">
        <w:trPr>
          <w:trHeight w:val="1365"/>
        </w:trPr>
        <w:tc>
          <w:tcPr>
            <w:tcW w:w="548"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EF657F" w:rsidRPr="00787A6E" w:rsidRDefault="00EF657F" w:rsidP="00717F91">
            <w:pPr>
              <w:keepNext/>
              <w:keepLines/>
              <w:rPr>
                <w:rFonts w:ascii="Arial Narrow" w:hAnsi="Arial Narrow"/>
                <w:b/>
                <w:sz w:val="18"/>
                <w:szCs w:val="18"/>
              </w:rPr>
            </w:pPr>
            <w:r w:rsidRPr="00787A6E">
              <w:rPr>
                <w:rFonts w:ascii="Arial Narrow" w:hAnsi="Arial Narrow"/>
                <w:b/>
                <w:sz w:val="18"/>
                <w:szCs w:val="18"/>
              </w:rPr>
              <w:t>Restriction Level / Method:</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Unrestricted benefit</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Check1"/>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Restricted benefit</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
                  <w:enabled/>
                  <w:calcOnExit w:val="0"/>
                  <w:checkBox>
                    <w:sizeAuto/>
                    <w:default w:val="1"/>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Authority Required – In Writing</w:t>
            </w:r>
          </w:p>
          <w:p w:rsidR="00EF657F" w:rsidRPr="00787A6E" w:rsidRDefault="00EF657F" w:rsidP="00717F91">
            <w:pPr>
              <w:keepNext/>
              <w:keepLines/>
              <w:rPr>
                <w:rFonts w:ascii="Arial Narrow" w:hAnsi="Arial Narrow"/>
                <w:strike/>
                <w:sz w:val="18"/>
                <w:szCs w:val="18"/>
              </w:rPr>
            </w:pPr>
            <w:r w:rsidRPr="00787A6E">
              <w:rPr>
                <w:rFonts w:ascii="Arial Narrow" w:hAnsi="Arial Narrow"/>
                <w:strike/>
                <w:sz w:val="18"/>
                <w:szCs w:val="18"/>
              </w:rPr>
              <w:fldChar w:fldCharType="begin">
                <w:ffData>
                  <w:name w:val="Check3"/>
                  <w:enabled/>
                  <w:calcOnExit w:val="0"/>
                  <w:checkBox>
                    <w:sizeAuto/>
                    <w:default w:val="1"/>
                  </w:checkBox>
                </w:ffData>
              </w:fldChar>
            </w:r>
            <w:r w:rsidRPr="00787A6E">
              <w:rPr>
                <w:rFonts w:ascii="Arial Narrow" w:hAnsi="Arial Narrow"/>
                <w:strike/>
                <w:sz w:val="18"/>
                <w:szCs w:val="18"/>
              </w:rPr>
              <w:instrText xml:space="preserve"> FORMCHECKBOX </w:instrText>
            </w:r>
            <w:r w:rsidR="0071631D">
              <w:rPr>
                <w:rFonts w:ascii="Arial Narrow" w:hAnsi="Arial Narrow"/>
                <w:strike/>
                <w:sz w:val="18"/>
                <w:szCs w:val="18"/>
              </w:rPr>
            </w:r>
            <w:r w:rsidR="0071631D">
              <w:rPr>
                <w:rFonts w:ascii="Arial Narrow" w:hAnsi="Arial Narrow"/>
                <w:strike/>
                <w:sz w:val="18"/>
                <w:szCs w:val="18"/>
              </w:rPr>
              <w:fldChar w:fldCharType="separate"/>
            </w:r>
            <w:r w:rsidRPr="00787A6E">
              <w:rPr>
                <w:rFonts w:ascii="Arial Narrow" w:hAnsi="Arial Narrow"/>
                <w:strike/>
                <w:sz w:val="18"/>
                <w:szCs w:val="18"/>
              </w:rPr>
              <w:fldChar w:fldCharType="end"/>
            </w:r>
            <w:r w:rsidRPr="00787A6E">
              <w:rPr>
                <w:rFonts w:ascii="Arial Narrow" w:hAnsi="Arial Narrow"/>
                <w:strike/>
                <w:sz w:val="18"/>
                <w:szCs w:val="18"/>
              </w:rPr>
              <w:t>Authority Required – Telephone/Electronic/Emergency</w:t>
            </w:r>
          </w:p>
          <w:p w:rsidR="00EF657F" w:rsidRPr="00787A6E" w:rsidRDefault="00EF657F" w:rsidP="00717F91">
            <w:pPr>
              <w:keepNext/>
              <w:keepLines/>
              <w:rPr>
                <w:rFonts w:ascii="Arial Narrow" w:hAnsi="Arial Narrow"/>
                <w:sz w:val="18"/>
                <w:szCs w:val="18"/>
              </w:rPr>
            </w:pPr>
            <w:r w:rsidRPr="00787A6E">
              <w:rPr>
                <w:rFonts w:ascii="Arial Narrow" w:hAnsi="Arial Narrow"/>
                <w:sz w:val="18"/>
                <w:szCs w:val="18"/>
              </w:rPr>
              <w:fldChar w:fldCharType="begin">
                <w:ffData>
                  <w:name w:val=""/>
                  <w:enabled/>
                  <w:calcOnExit w:val="0"/>
                  <w:checkBox>
                    <w:sizeAuto/>
                    <w:default w:val="0"/>
                  </w:checkBox>
                </w:ffData>
              </w:fldChar>
            </w:r>
            <w:r w:rsidRPr="00787A6E">
              <w:rPr>
                <w:rFonts w:ascii="Arial Narrow" w:hAnsi="Arial Narrow"/>
                <w:sz w:val="18"/>
                <w:szCs w:val="18"/>
              </w:rPr>
              <w:instrText xml:space="preserve"> FORMCHECKBOX </w:instrText>
            </w:r>
            <w:r w:rsidR="0071631D">
              <w:rPr>
                <w:rFonts w:ascii="Arial Narrow" w:hAnsi="Arial Narrow"/>
                <w:sz w:val="18"/>
                <w:szCs w:val="18"/>
              </w:rPr>
            </w:r>
            <w:r w:rsidR="0071631D">
              <w:rPr>
                <w:rFonts w:ascii="Arial Narrow" w:hAnsi="Arial Narrow"/>
                <w:sz w:val="18"/>
                <w:szCs w:val="18"/>
              </w:rPr>
              <w:fldChar w:fldCharType="separate"/>
            </w:r>
            <w:r w:rsidRPr="00787A6E">
              <w:rPr>
                <w:rFonts w:ascii="Arial Narrow" w:hAnsi="Arial Narrow"/>
                <w:sz w:val="18"/>
                <w:szCs w:val="18"/>
              </w:rPr>
              <w:fldChar w:fldCharType="end"/>
            </w:r>
            <w:r w:rsidRPr="00787A6E">
              <w:rPr>
                <w:rFonts w:ascii="Arial Narrow" w:hAnsi="Arial Narrow"/>
                <w:sz w:val="18"/>
                <w:szCs w:val="18"/>
              </w:rPr>
              <w:t>Authority Required – Streamlined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Indication:</w:t>
            </w:r>
            <w:r w:rsidRPr="00787A6E">
              <w:rPr>
                <w:rFonts w:ascii="Arial Narrow" w:hAnsi="Arial Narrow"/>
                <w:sz w:val="18"/>
                <w:szCs w:val="18"/>
              </w:rPr>
              <w:t xml:space="preserve"> Subfoveal choroidal neovascularisation (CNV)</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Treatment Phase:</w:t>
            </w:r>
            <w:r w:rsidRPr="00787A6E">
              <w:rPr>
                <w:rFonts w:ascii="Arial Narrow" w:hAnsi="Arial Narrow"/>
                <w:sz w:val="18"/>
                <w:szCs w:val="18"/>
              </w:rPr>
              <w:t xml:space="preserve"> Grandfather </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sz w:val="18"/>
                <w:szCs w:val="18"/>
              </w:rPr>
              <w:t>The condition must be due to age-related macular degeneration (AMD)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i/>
                <w:sz w:val="18"/>
                <w:szCs w:val="18"/>
              </w:rPr>
            </w:pPr>
            <w:r w:rsidRPr="00787A6E">
              <w:rPr>
                <w:rFonts w:ascii="Arial Narrow" w:hAnsi="Arial Narrow"/>
                <w:i/>
                <w:sz w:val="18"/>
                <w:szCs w:val="18"/>
              </w:rPr>
              <w:t>The condition must be diagnosed by optical coherence tomography; or</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i/>
                <w:sz w:val="18"/>
                <w:szCs w:val="18"/>
              </w:rPr>
            </w:pPr>
            <w:r w:rsidRPr="00787A6E">
              <w:rPr>
                <w:rFonts w:ascii="Arial Narrow" w:hAnsi="Arial Narrow"/>
                <w:i/>
                <w:sz w:val="18"/>
                <w:szCs w:val="18"/>
              </w:rPr>
              <w:t>The condition must be diagnosed by fluorescein angiography</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rPr>
                <w:rFonts w:ascii="Arial Narrow" w:hAnsi="Arial Narrow"/>
                <w:sz w:val="18"/>
                <w:szCs w:val="18"/>
              </w:rPr>
            </w:pPr>
            <w:r w:rsidRPr="00D61528">
              <w:rPr>
                <w:rFonts w:ascii="Arial Narrow" w:hAnsi="Arial Narrow"/>
                <w:b/>
                <w:bCs/>
                <w:sz w:val="18"/>
                <w:szCs w:val="18"/>
              </w:rPr>
              <w:t>AND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rPr>
                <w:rFonts w:ascii="Arial Narrow" w:hAnsi="Arial Narrow"/>
                <w:sz w:val="18"/>
                <w:szCs w:val="18"/>
              </w:rPr>
            </w:pPr>
            <w:r w:rsidRPr="00D61528">
              <w:rPr>
                <w:rFonts w:ascii="Arial Narrow" w:hAnsi="Arial Narrow"/>
                <w:b/>
                <w:bCs/>
                <w:sz w:val="18"/>
                <w:szCs w:val="18"/>
              </w:rPr>
              <w:t>Clinical criteria:</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rPr>
                <w:rFonts w:ascii="Arial Narrow" w:hAnsi="Arial Narrow"/>
                <w:sz w:val="18"/>
                <w:szCs w:val="18"/>
              </w:rPr>
            </w:pPr>
            <w:r w:rsidRPr="00D61528">
              <w:rPr>
                <w:rFonts w:ascii="Arial Narrow" w:hAnsi="Arial Narrow"/>
                <w:sz w:val="18"/>
                <w:szCs w:val="18"/>
              </w:rPr>
              <w:t>Patient must have persistent macular exudation, as determined clinically and/or by optical coherence tomography or fluorescein angiography, despite at least 6 months of</w:t>
            </w:r>
            <w:r w:rsidR="00115A49">
              <w:rPr>
                <w:rFonts w:ascii="Arial Narrow" w:hAnsi="Arial Narrow"/>
                <w:sz w:val="18"/>
                <w:szCs w:val="18"/>
              </w:rPr>
              <w:t xml:space="preserve"> </w:t>
            </w:r>
            <w:r w:rsidR="00115A49" w:rsidRPr="005C49CD">
              <w:rPr>
                <w:rFonts w:ascii="Arial Narrow" w:hAnsi="Arial Narrow"/>
                <w:sz w:val="18"/>
                <w:szCs w:val="18"/>
              </w:rPr>
              <w:t>PBS-subsidised</w:t>
            </w:r>
            <w:r w:rsidRPr="00D61528">
              <w:rPr>
                <w:rFonts w:ascii="Arial Narrow" w:hAnsi="Arial Narrow"/>
                <w:sz w:val="18"/>
                <w:szCs w:val="18"/>
              </w:rPr>
              <w:t xml:space="preserve"> treatment with: 1. Aflibercept </w:t>
            </w:r>
            <w:r>
              <w:rPr>
                <w:rFonts w:ascii="Arial Narrow" w:hAnsi="Arial Narrow"/>
                <w:sz w:val="18"/>
                <w:szCs w:val="18"/>
              </w:rPr>
              <w:t>and/</w:t>
            </w:r>
            <w:r w:rsidRPr="00D61528">
              <w:rPr>
                <w:rFonts w:ascii="Arial Narrow" w:hAnsi="Arial Narrow"/>
                <w:sz w:val="18"/>
                <w:szCs w:val="18"/>
              </w:rPr>
              <w:t>or 2. Ranibizumab.</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b/>
                <w:bCs/>
                <w:sz w:val="18"/>
                <w:szCs w:val="18"/>
              </w:rPr>
              <w:t>Clinical criteria:</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sz w:val="18"/>
                <w:szCs w:val="18"/>
              </w:rPr>
              <w:t>Patient must have received non-PBS subsidised treatment with this drug for this condition prior to [listing date]</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61528" w:rsidRDefault="00EF657F" w:rsidP="00717F91">
            <w:pPr>
              <w:rPr>
                <w:rFonts w:ascii="Arial Narrow" w:hAnsi="Arial Narrow"/>
                <w:sz w:val="18"/>
                <w:szCs w:val="18"/>
              </w:rPr>
            </w:pPr>
            <w:r w:rsidRPr="00D61528">
              <w:rPr>
                <w:rFonts w:ascii="Arial Narrow" w:hAnsi="Arial Narrow"/>
                <w:b/>
                <w:bCs/>
                <w:sz w:val="18"/>
                <w:szCs w:val="18"/>
              </w:rPr>
              <w:t>AND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61528" w:rsidRDefault="00EF657F" w:rsidP="00717F91">
            <w:pPr>
              <w:rPr>
                <w:rFonts w:ascii="Arial Narrow" w:hAnsi="Arial Narrow"/>
                <w:sz w:val="18"/>
                <w:szCs w:val="18"/>
              </w:rPr>
            </w:pPr>
            <w:r w:rsidRPr="00D61528">
              <w:rPr>
                <w:rFonts w:ascii="Arial Narrow" w:hAnsi="Arial Narrow"/>
                <w:b/>
                <w:bCs/>
                <w:sz w:val="18"/>
                <w:szCs w:val="18"/>
              </w:rPr>
              <w:t>Clinical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i/>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61528" w:rsidRDefault="00EF657F" w:rsidP="00717F91">
            <w:pPr>
              <w:rPr>
                <w:rFonts w:ascii="Arial Narrow" w:hAnsi="Arial Narrow"/>
                <w:sz w:val="18"/>
                <w:szCs w:val="18"/>
              </w:rPr>
            </w:pPr>
            <w:r w:rsidRPr="00D61528">
              <w:rPr>
                <w:rFonts w:ascii="Arial Narrow" w:hAnsi="Arial Narrow"/>
                <w:sz w:val="18"/>
                <w:szCs w:val="18"/>
              </w:rPr>
              <w:t>The treatment must be the sole PBS-subsidised therapy for this condition</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bottom w:val="single" w:sz="4" w:space="0" w:color="auto"/>
              <w:right w:val="single" w:sz="4" w:space="0" w:color="auto"/>
            </w:tcBorders>
            <w:vAlign w:val="center"/>
          </w:tcPr>
          <w:p w:rsidR="00EF657F" w:rsidRPr="00787A6E" w:rsidRDefault="00EF657F" w:rsidP="00717F91">
            <w:pPr>
              <w:rPr>
                <w:rFonts w:ascii="Arial Narrow" w:hAnsi="Arial Narrow"/>
                <w:sz w:val="18"/>
                <w:szCs w:val="18"/>
              </w:rPr>
            </w:pPr>
            <w:r w:rsidRPr="00787A6E">
              <w:rPr>
                <w:rFonts w:ascii="Arial Narrow" w:hAnsi="Arial Narrow"/>
                <w:b/>
                <w:bCs/>
                <w:sz w:val="18"/>
                <w:szCs w:val="18"/>
              </w:rPr>
              <w:t>AND</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b/>
                <w:bCs/>
                <w:sz w:val="18"/>
                <w:szCs w:val="18"/>
              </w:rPr>
              <w:t>Treatment criteria:</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787A6E" w:rsidRDefault="00EF657F" w:rsidP="00717F91">
            <w:pPr>
              <w:rPr>
                <w:rFonts w:ascii="Arial Narrow" w:hAnsi="Arial Narrow"/>
                <w:sz w:val="18"/>
                <w:szCs w:val="18"/>
              </w:rPr>
            </w:pPr>
            <w:r w:rsidRPr="00787A6E">
              <w:rPr>
                <w:rFonts w:ascii="Arial Narrow" w:hAnsi="Arial Narrow"/>
                <w:sz w:val="18"/>
                <w:szCs w:val="18"/>
              </w:rPr>
              <w:t xml:space="preserve">Must be </w:t>
            </w:r>
            <w:r w:rsidRPr="00D61528">
              <w:rPr>
                <w:rFonts w:ascii="Arial Narrow" w:hAnsi="Arial Narrow"/>
                <w:sz w:val="18"/>
                <w:szCs w:val="18"/>
              </w:rPr>
              <w:t>treated by an ophthalmologist or by an accredited ophthalmology registrar in consultation</w:t>
            </w:r>
            <w:r w:rsidRPr="00787A6E">
              <w:rPr>
                <w:rFonts w:ascii="Arial Narrow" w:hAnsi="Arial Narrow"/>
                <w:sz w:val="18"/>
                <w:szCs w:val="18"/>
              </w:rPr>
              <w:t xml:space="preserve"> with an ophthalmologist</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rPr>
                <w:rFonts w:ascii="Arial Narrow" w:hAnsi="Arial Narrow"/>
                <w:b/>
                <w:sz w:val="18"/>
                <w:szCs w:val="18"/>
              </w:rPr>
            </w:pPr>
            <w:r w:rsidRPr="00D61528">
              <w:rPr>
                <w:rFonts w:ascii="Arial Narrow" w:hAnsi="Arial Narrow"/>
                <w:b/>
                <w:sz w:val="18"/>
                <w:szCs w:val="18"/>
              </w:rPr>
              <w:t>Prescribing Instructions:</w:t>
            </w:r>
          </w:p>
          <w:p w:rsidR="00EF657F" w:rsidRPr="00D61528" w:rsidRDefault="00EF657F" w:rsidP="00717F91">
            <w:pPr>
              <w:rPr>
                <w:rFonts w:ascii="Arial Narrow" w:hAnsi="Arial Narrow"/>
                <w:sz w:val="18"/>
                <w:szCs w:val="18"/>
              </w:rPr>
            </w:pPr>
            <w:r w:rsidRPr="00D61528">
              <w:rPr>
                <w:rFonts w:ascii="Arial Narrow" w:hAnsi="Arial Narrow"/>
                <w:sz w:val="18"/>
                <w:szCs w:val="18"/>
              </w:rPr>
              <w:t xml:space="preserve">A patient may qualify for PBS-subsidised treatment under this restriction once only per eye. </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548" w:type="pct"/>
            <w:tcBorders>
              <w:top w:val="single" w:sz="4" w:space="0" w:color="auto"/>
              <w:left w:val="single" w:sz="4" w:space="0" w:color="auto"/>
              <w:bottom w:val="single" w:sz="4" w:space="0" w:color="auto"/>
              <w:right w:val="single" w:sz="4" w:space="0" w:color="auto"/>
            </w:tcBorders>
            <w:vAlign w:val="center"/>
          </w:tcPr>
          <w:p w:rsidR="00EF657F" w:rsidRPr="00E85EE4" w:rsidRDefault="00EF657F" w:rsidP="00717F91">
            <w:pPr>
              <w:jc w:val="center"/>
              <w:outlineLvl w:val="4"/>
              <w:rPr>
                <w:rFonts w:ascii="Arial Narrow" w:hAnsi="Arial Narrow"/>
                <w:vanish/>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61528" w:rsidRDefault="00EF657F" w:rsidP="00717F91">
            <w:pPr>
              <w:rPr>
                <w:rFonts w:ascii="Arial Narrow" w:hAnsi="Arial Narrow"/>
                <w:sz w:val="18"/>
                <w:szCs w:val="18"/>
              </w:rPr>
            </w:pPr>
            <w:r w:rsidRPr="00D61528">
              <w:rPr>
                <w:rFonts w:ascii="Arial Narrow" w:hAnsi="Arial Narrow"/>
                <w:b/>
                <w:bCs/>
                <w:sz w:val="18"/>
                <w:szCs w:val="18"/>
              </w:rPr>
              <w:t>Prescribing Instructions:</w:t>
            </w:r>
          </w:p>
          <w:p w:rsidR="00EF657F" w:rsidRPr="00D61528" w:rsidRDefault="00EF657F" w:rsidP="00717F91">
            <w:pPr>
              <w:rPr>
                <w:rFonts w:ascii="Arial Narrow" w:hAnsi="Arial Narrow"/>
                <w:sz w:val="18"/>
                <w:szCs w:val="18"/>
              </w:rPr>
            </w:pPr>
            <w:r w:rsidRPr="00D61528">
              <w:rPr>
                <w:rFonts w:ascii="Arial Narrow" w:hAnsi="Arial Narrow"/>
                <w:sz w:val="18"/>
                <w:szCs w:val="18"/>
              </w:rPr>
              <w:t>The first authority application for e</w:t>
            </w:r>
            <w:r>
              <w:rPr>
                <w:rFonts w:ascii="Arial Narrow" w:hAnsi="Arial Narrow"/>
                <w:sz w:val="18"/>
                <w:szCs w:val="18"/>
              </w:rPr>
              <w:t>ach eye must be made in writing</w:t>
            </w:r>
            <w:r w:rsidRPr="00D61528">
              <w:rPr>
                <w:rFonts w:ascii="Arial Narrow" w:hAnsi="Arial Narrow"/>
                <w:sz w:val="18"/>
                <w:szCs w:val="18"/>
              </w:rPr>
              <w:t>.</w:t>
            </w:r>
          </w:p>
          <w:p w:rsidR="00EF657F" w:rsidRPr="00D61528" w:rsidRDefault="00EF657F" w:rsidP="00717F91">
            <w:pPr>
              <w:rPr>
                <w:rFonts w:ascii="Arial Narrow" w:hAnsi="Arial Narrow"/>
                <w:sz w:val="18"/>
                <w:szCs w:val="18"/>
              </w:rPr>
            </w:pPr>
            <w:r w:rsidRPr="00D61528">
              <w:rPr>
                <w:rFonts w:ascii="Arial Narrow" w:hAnsi="Arial Narrow"/>
                <w:sz w:val="18"/>
                <w:szCs w:val="18"/>
              </w:rPr>
              <w:t>A written application must include:</w:t>
            </w:r>
          </w:p>
          <w:p w:rsidR="00EF657F" w:rsidRPr="00D61528" w:rsidRDefault="00EF657F" w:rsidP="00717F91">
            <w:pPr>
              <w:rPr>
                <w:rFonts w:ascii="Arial Narrow" w:hAnsi="Arial Narrow"/>
                <w:sz w:val="18"/>
                <w:szCs w:val="18"/>
              </w:rPr>
            </w:pPr>
            <w:r w:rsidRPr="00D61528">
              <w:rPr>
                <w:rFonts w:ascii="Arial Narrow" w:hAnsi="Arial Narrow"/>
                <w:sz w:val="18"/>
                <w:szCs w:val="18"/>
              </w:rPr>
              <w:t>a) a completed authority prescription form;</w:t>
            </w:r>
          </w:p>
          <w:p w:rsidR="00EF657F" w:rsidRPr="00D61528" w:rsidRDefault="00EF657F" w:rsidP="00717F91">
            <w:pPr>
              <w:rPr>
                <w:rFonts w:ascii="Arial Narrow" w:hAnsi="Arial Narrow"/>
                <w:sz w:val="18"/>
                <w:szCs w:val="18"/>
              </w:rPr>
            </w:pPr>
            <w:r w:rsidRPr="00D61528">
              <w:rPr>
                <w:rFonts w:ascii="Arial Narrow" w:hAnsi="Arial Narrow"/>
                <w:sz w:val="18"/>
                <w:szCs w:val="18"/>
              </w:rPr>
              <w:t>b) a completed Subfoveal Choroidal Neovascularisation (CNV) - PBS Supporting Information Form; and</w:t>
            </w:r>
          </w:p>
          <w:p w:rsidR="00EF657F" w:rsidRPr="00E85EE4" w:rsidRDefault="00EF657F" w:rsidP="00717F91">
            <w:pPr>
              <w:rPr>
                <w:rFonts w:ascii="Arial Narrow" w:hAnsi="Arial Narrow"/>
                <w:strike/>
                <w:sz w:val="18"/>
                <w:szCs w:val="18"/>
              </w:rPr>
            </w:pPr>
            <w:r w:rsidRPr="00D61528">
              <w:rPr>
                <w:rFonts w:ascii="Arial Narrow" w:hAnsi="Arial Narrow"/>
                <w:sz w:val="18"/>
                <w:szCs w:val="18"/>
              </w:rPr>
              <w:t>c) a copy of the optical coherence tomography or fluorescein angiogram report.</w:t>
            </w:r>
          </w:p>
        </w:tc>
      </w:tr>
      <w:tr w:rsidR="00EF657F" w:rsidRPr="00787A6E"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548" w:type="pct"/>
            <w:tcBorders>
              <w:top w:val="single" w:sz="4" w:space="0" w:color="auto"/>
              <w:left w:val="single" w:sz="4" w:space="0" w:color="auto"/>
              <w:bottom w:val="single" w:sz="4" w:space="0" w:color="auto"/>
              <w:right w:val="single" w:sz="4" w:space="0" w:color="auto"/>
            </w:tcBorders>
            <w:vAlign w:val="center"/>
          </w:tcPr>
          <w:p w:rsidR="00EF657F" w:rsidRPr="00D61528" w:rsidRDefault="00EF657F" w:rsidP="00717F91">
            <w:pPr>
              <w:jc w:val="center"/>
              <w:rPr>
                <w:rFonts w:ascii="Arial Narrow" w:hAnsi="Arial Narrow"/>
                <w:vanish/>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D61528" w:rsidRDefault="00EF657F" w:rsidP="00717F91">
            <w:pPr>
              <w:rPr>
                <w:rFonts w:ascii="Arial Narrow" w:hAnsi="Arial Narrow"/>
                <w:sz w:val="18"/>
                <w:szCs w:val="18"/>
              </w:rPr>
            </w:pPr>
            <w:r w:rsidRPr="00D61528">
              <w:rPr>
                <w:rFonts w:ascii="Arial Narrow" w:hAnsi="Arial Narrow"/>
                <w:b/>
                <w:bCs/>
                <w:sz w:val="18"/>
                <w:szCs w:val="18"/>
              </w:rPr>
              <w:t>Administrative Advice:</w:t>
            </w:r>
          </w:p>
          <w:p w:rsidR="00EF657F" w:rsidRPr="00D61528" w:rsidRDefault="00EF657F" w:rsidP="00717F91">
            <w:pPr>
              <w:rPr>
                <w:rFonts w:ascii="Arial Narrow" w:hAnsi="Arial Narrow"/>
                <w:sz w:val="18"/>
                <w:szCs w:val="18"/>
              </w:rPr>
            </w:pPr>
            <w:r w:rsidRPr="00D61528">
              <w:rPr>
                <w:rFonts w:ascii="Arial Narrow" w:hAnsi="Arial Narrow"/>
                <w:sz w:val="18"/>
                <w:szCs w:val="18"/>
              </w:rPr>
              <w:t>Any queries concerning the arrangements to prescribe may be directed to the Services Australia on 1800 700 270 (hours of operation 8 a.m. to 5 p.m. EST Monday to Friday).</w:t>
            </w:r>
          </w:p>
          <w:p w:rsidR="00EF657F" w:rsidRPr="00D61528" w:rsidRDefault="00EF657F" w:rsidP="00717F91">
            <w:pPr>
              <w:rPr>
                <w:rFonts w:ascii="Arial Narrow" w:hAnsi="Arial Narrow"/>
                <w:sz w:val="18"/>
                <w:szCs w:val="18"/>
              </w:rPr>
            </w:pPr>
            <w:r w:rsidRPr="00D61528">
              <w:rPr>
                <w:rFonts w:ascii="Arial Narrow" w:hAnsi="Arial Narrow"/>
                <w:sz w:val="18"/>
                <w:szCs w:val="18"/>
              </w:rPr>
              <w:t xml:space="preserve"> </w:t>
            </w:r>
          </w:p>
          <w:p w:rsidR="00EF657F" w:rsidRPr="00D61528" w:rsidRDefault="00EF657F" w:rsidP="00717F91">
            <w:pPr>
              <w:rPr>
                <w:rFonts w:ascii="Arial Narrow" w:hAnsi="Arial Narrow"/>
                <w:sz w:val="18"/>
                <w:szCs w:val="18"/>
              </w:rPr>
            </w:pPr>
            <w:r w:rsidRPr="00D61528">
              <w:rPr>
                <w:rFonts w:ascii="Arial Narrow" w:hAnsi="Arial Narrow"/>
                <w:sz w:val="18"/>
                <w:szCs w:val="18"/>
              </w:rPr>
              <w:t xml:space="preserve">Prescribing information (including Authority Application forms and other relevant documentation as applicable) is available on the Services Australia website at </w:t>
            </w:r>
            <w:r w:rsidRPr="00FF1746">
              <w:rPr>
                <w:rFonts w:ascii="Arial Narrow" w:hAnsi="Arial Narrow"/>
                <w:sz w:val="18"/>
                <w:szCs w:val="18"/>
              </w:rPr>
              <w:t>servicesaustralia.gov.au</w:t>
            </w:r>
          </w:p>
          <w:p w:rsidR="00EF657F" w:rsidRPr="00D61528" w:rsidRDefault="00EF657F" w:rsidP="00717F91">
            <w:pPr>
              <w:rPr>
                <w:rFonts w:ascii="Arial Narrow" w:hAnsi="Arial Narrow"/>
                <w:sz w:val="18"/>
                <w:szCs w:val="18"/>
              </w:rPr>
            </w:pPr>
          </w:p>
          <w:p w:rsidR="00EF657F" w:rsidRPr="00D61528" w:rsidRDefault="00EF657F" w:rsidP="00717F91">
            <w:pPr>
              <w:rPr>
                <w:rFonts w:ascii="Arial Narrow" w:hAnsi="Arial Narrow"/>
                <w:sz w:val="18"/>
                <w:szCs w:val="18"/>
              </w:rPr>
            </w:pPr>
            <w:r w:rsidRPr="00D61528">
              <w:rPr>
                <w:rFonts w:ascii="Arial Narrow" w:hAnsi="Arial Narrow"/>
                <w:sz w:val="18"/>
                <w:szCs w:val="18"/>
              </w:rPr>
              <w:t>Applications for authority to prescribe should be submitted online using the form upload facility in Health Professional Online Services (HPOS)</w:t>
            </w:r>
            <w:r w:rsidRPr="00D61528">
              <w:rPr>
                <w:rFonts w:ascii="Arial Narrow" w:hAnsi="Arial Narrow"/>
                <w:bCs/>
                <w:sz w:val="18"/>
                <w:szCs w:val="18"/>
              </w:rPr>
              <w:t xml:space="preserve"> at www.servicesaustralia.gov.au/hpos </w:t>
            </w:r>
          </w:p>
          <w:p w:rsidR="00EF657F" w:rsidRPr="00D61528" w:rsidRDefault="00EF657F" w:rsidP="00717F91">
            <w:pPr>
              <w:rPr>
                <w:rFonts w:ascii="Arial Narrow" w:hAnsi="Arial Narrow"/>
                <w:sz w:val="18"/>
                <w:szCs w:val="18"/>
              </w:rPr>
            </w:pPr>
            <w:r w:rsidRPr="00D61528">
              <w:rPr>
                <w:rFonts w:ascii="Arial Narrow" w:hAnsi="Arial Narrow"/>
                <w:sz w:val="18"/>
                <w:szCs w:val="18"/>
              </w:rPr>
              <w:t>Or mailed to:</w:t>
            </w:r>
          </w:p>
          <w:p w:rsidR="00EF657F" w:rsidRPr="00D61528" w:rsidRDefault="00EF657F" w:rsidP="00717F91">
            <w:pPr>
              <w:rPr>
                <w:rFonts w:ascii="Arial Narrow" w:hAnsi="Arial Narrow"/>
                <w:sz w:val="18"/>
                <w:szCs w:val="18"/>
              </w:rPr>
            </w:pPr>
            <w:r w:rsidRPr="00D61528">
              <w:rPr>
                <w:rFonts w:ascii="Arial Narrow" w:hAnsi="Arial Narrow"/>
                <w:sz w:val="18"/>
                <w:szCs w:val="18"/>
              </w:rPr>
              <w:t>Services Australia</w:t>
            </w:r>
          </w:p>
          <w:p w:rsidR="00EF657F" w:rsidRPr="00D61528" w:rsidRDefault="00EF657F" w:rsidP="00717F91">
            <w:pPr>
              <w:rPr>
                <w:rFonts w:ascii="Arial Narrow" w:hAnsi="Arial Narrow"/>
                <w:sz w:val="18"/>
                <w:szCs w:val="18"/>
              </w:rPr>
            </w:pPr>
            <w:r w:rsidRPr="00D61528">
              <w:rPr>
                <w:rFonts w:ascii="Arial Narrow" w:hAnsi="Arial Narrow"/>
                <w:sz w:val="18"/>
                <w:szCs w:val="18"/>
              </w:rPr>
              <w:t xml:space="preserve">Complex Drugs </w:t>
            </w:r>
          </w:p>
          <w:p w:rsidR="00EF657F" w:rsidRPr="00D61528" w:rsidRDefault="00EF657F" w:rsidP="00717F91">
            <w:pPr>
              <w:rPr>
                <w:rFonts w:ascii="Arial Narrow" w:hAnsi="Arial Narrow"/>
                <w:sz w:val="18"/>
                <w:szCs w:val="18"/>
              </w:rPr>
            </w:pPr>
            <w:r w:rsidRPr="00D61528">
              <w:rPr>
                <w:rFonts w:ascii="Arial Narrow" w:hAnsi="Arial Narrow"/>
                <w:sz w:val="18"/>
                <w:szCs w:val="18"/>
              </w:rPr>
              <w:t xml:space="preserve">Reply Paid 9826 </w:t>
            </w:r>
          </w:p>
          <w:p w:rsidR="00EF657F" w:rsidRPr="00D61528" w:rsidRDefault="00EF657F" w:rsidP="00717F91">
            <w:pPr>
              <w:rPr>
                <w:rFonts w:ascii="Arial Narrow" w:hAnsi="Arial Narrow"/>
                <w:sz w:val="18"/>
                <w:szCs w:val="18"/>
              </w:rPr>
            </w:pPr>
            <w:r w:rsidRPr="00D61528">
              <w:rPr>
                <w:rFonts w:ascii="Arial Narrow" w:hAnsi="Arial Narrow"/>
                <w:sz w:val="18"/>
                <w:szCs w:val="18"/>
              </w:rPr>
              <w:t>HOBART TAS 7001</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rPr>
                <w:rFonts w:ascii="Arial Narrow" w:hAnsi="Arial Narrow"/>
                <w:b/>
                <w:bCs/>
                <w:sz w:val="18"/>
                <w:szCs w:val="18"/>
              </w:rPr>
            </w:pPr>
            <w:r w:rsidRPr="00787A6E">
              <w:rPr>
                <w:rFonts w:ascii="Arial Narrow" w:hAnsi="Arial Narrow"/>
                <w:b/>
                <w:bCs/>
                <w:sz w:val="18"/>
                <w:szCs w:val="18"/>
              </w:rPr>
              <w:t>Administrative Advice:</w:t>
            </w:r>
          </w:p>
          <w:p w:rsidR="00EF657F" w:rsidRPr="00787A6E" w:rsidRDefault="00EF657F" w:rsidP="00717F91">
            <w:pPr>
              <w:rPr>
                <w:rFonts w:ascii="Arial Narrow" w:hAnsi="Arial Narrow"/>
                <w:bCs/>
                <w:sz w:val="18"/>
                <w:szCs w:val="18"/>
              </w:rPr>
            </w:pPr>
            <w:r w:rsidRPr="00787A6E">
              <w:rPr>
                <w:rFonts w:ascii="Arial Narrow" w:hAnsi="Arial Narrow"/>
                <w:bCs/>
                <w:sz w:val="18"/>
                <w:szCs w:val="18"/>
              </w:rPr>
              <w:t>No increase in the maximum number of repeats may be authorised</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61528"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D61528" w:rsidRDefault="00EF657F" w:rsidP="00717F91">
            <w:pPr>
              <w:rPr>
                <w:rFonts w:ascii="Arial Narrow" w:hAnsi="Arial Narrow"/>
                <w:sz w:val="18"/>
                <w:szCs w:val="18"/>
                <w:lang w:val="en-GB"/>
              </w:rPr>
            </w:pPr>
            <w:r w:rsidRPr="00D61528">
              <w:rPr>
                <w:rFonts w:ascii="Arial Narrow" w:hAnsi="Arial Narrow"/>
                <w:sz w:val="18"/>
                <w:szCs w:val="18"/>
                <w:lang w:val="en-GB"/>
              </w:rPr>
              <w:t>Administrative Advice:</w:t>
            </w:r>
          </w:p>
          <w:p w:rsidR="00EF657F" w:rsidRPr="00D61528" w:rsidRDefault="00EF657F" w:rsidP="00717F91">
            <w:pPr>
              <w:rPr>
                <w:rFonts w:ascii="Arial Narrow" w:hAnsi="Arial Narrow"/>
                <w:b/>
                <w:bCs/>
                <w:sz w:val="18"/>
                <w:szCs w:val="18"/>
              </w:rPr>
            </w:pPr>
            <w:r w:rsidRPr="00D61528">
              <w:rPr>
                <w:rFonts w:ascii="Arial Narrow" w:hAnsi="Arial Narrow"/>
                <w:sz w:val="18"/>
                <w:szCs w:val="18"/>
                <w:lang w:val="en-GB"/>
              </w:rPr>
              <w:t>Where both eyes are affected by the condition, a quantity of 2 units can be requested on the same authority prescription form.</w:t>
            </w:r>
          </w:p>
        </w:tc>
      </w:tr>
      <w:tr w:rsidR="00EF657F" w:rsidRPr="00787A6E"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rsidR="00EF657F" w:rsidRPr="00787A6E" w:rsidRDefault="00EF657F" w:rsidP="00717F91">
            <w:pPr>
              <w:rPr>
                <w:rFonts w:ascii="Arial Narrow" w:hAnsi="Arial Narrow"/>
                <w:b/>
                <w:bCs/>
                <w:sz w:val="18"/>
                <w:szCs w:val="18"/>
              </w:rPr>
            </w:pPr>
            <w:r w:rsidRPr="00787A6E">
              <w:rPr>
                <w:rFonts w:ascii="Arial Narrow" w:hAnsi="Arial Narrow"/>
                <w:b/>
                <w:bCs/>
                <w:sz w:val="18"/>
                <w:szCs w:val="18"/>
              </w:rPr>
              <w:t>Administrative Advice:</w:t>
            </w:r>
          </w:p>
          <w:p w:rsidR="00EF657F" w:rsidRPr="00787A6E" w:rsidRDefault="00EF657F" w:rsidP="00717F91">
            <w:pPr>
              <w:rPr>
                <w:rFonts w:ascii="Arial Narrow" w:hAnsi="Arial Narrow"/>
                <w:bCs/>
                <w:sz w:val="18"/>
                <w:szCs w:val="18"/>
              </w:rPr>
            </w:pPr>
            <w:r w:rsidRPr="00787A6E">
              <w:rPr>
                <w:rFonts w:ascii="Arial Narrow" w:hAnsi="Arial Narrow"/>
                <w:bCs/>
                <w:sz w:val="18"/>
                <w:szCs w:val="18"/>
              </w:rPr>
              <w:t xml:space="preserve">No increase in the maximum quantity or number of units may be authorised </w:t>
            </w:r>
            <w:r w:rsidRPr="00787A6E">
              <w:rPr>
                <w:rFonts w:ascii="Arial Narrow" w:hAnsi="Arial Narrow"/>
                <w:bCs/>
                <w:i/>
                <w:sz w:val="18"/>
                <w:szCs w:val="18"/>
              </w:rPr>
              <w:t>for applications treating one eye</w:t>
            </w:r>
          </w:p>
        </w:tc>
      </w:tr>
      <w:tr w:rsidR="00EF657F" w:rsidRPr="00670AD4" w:rsidTr="007C6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787A6E"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hideMark/>
          </w:tcPr>
          <w:p w:rsidR="00EF657F" w:rsidRPr="00670AD4" w:rsidRDefault="00EF657F" w:rsidP="00717F91">
            <w:pPr>
              <w:rPr>
                <w:rFonts w:ascii="Arial Narrow" w:hAnsi="Arial Narrow"/>
                <w:sz w:val="18"/>
                <w:szCs w:val="18"/>
              </w:rPr>
            </w:pPr>
            <w:r w:rsidRPr="00787A6E">
              <w:rPr>
                <w:rFonts w:ascii="Arial Narrow" w:hAnsi="Arial Narrow"/>
                <w:b/>
                <w:bCs/>
                <w:sz w:val="18"/>
                <w:szCs w:val="18"/>
              </w:rPr>
              <w:t>Administrative Advice:</w:t>
            </w:r>
            <w:r w:rsidRPr="00787A6E">
              <w:rPr>
                <w:rFonts w:ascii="Arial Narrow" w:hAnsi="Arial Narrow"/>
                <w:sz w:val="18"/>
                <w:szCs w:val="18"/>
              </w:rPr>
              <w:t xml:space="preserve"> Special Pricing Arrangements apply</w:t>
            </w:r>
          </w:p>
        </w:tc>
      </w:tr>
      <w:tr w:rsidR="00EF657F" w:rsidRPr="00670AD4" w:rsidTr="00717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cBorders>
            <w:vAlign w:val="center"/>
          </w:tcPr>
          <w:p w:rsidR="00EF657F" w:rsidRPr="00E85EE4" w:rsidRDefault="00EF657F" w:rsidP="00717F91">
            <w:pPr>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vAlign w:val="center"/>
          </w:tcPr>
          <w:p w:rsidR="00EF657F" w:rsidRPr="00E85EE4" w:rsidRDefault="00EF657F" w:rsidP="00717F91">
            <w:pPr>
              <w:rPr>
                <w:rFonts w:ascii="Arial Narrow" w:hAnsi="Arial Narrow"/>
                <w:b/>
                <w:bCs/>
                <w:sz w:val="18"/>
                <w:szCs w:val="18"/>
              </w:rPr>
            </w:pPr>
            <w:r w:rsidRPr="00E85EE4">
              <w:rPr>
                <w:rFonts w:ascii="Arial Narrow" w:hAnsi="Arial Narrow"/>
                <w:b/>
                <w:bCs/>
                <w:sz w:val="18"/>
                <w:szCs w:val="18"/>
              </w:rPr>
              <w:t>Administrative Advice</w:t>
            </w:r>
            <w:r>
              <w:rPr>
                <w:rFonts w:ascii="Arial Narrow" w:hAnsi="Arial Narrow"/>
                <w:b/>
                <w:bCs/>
                <w:sz w:val="18"/>
                <w:szCs w:val="18"/>
              </w:rPr>
              <w:t>:</w:t>
            </w:r>
            <w:r w:rsidRPr="00E85EE4">
              <w:rPr>
                <w:rFonts w:ascii="Arial Narrow" w:hAnsi="Arial Narrow"/>
                <w:b/>
                <w:bCs/>
                <w:sz w:val="18"/>
                <w:szCs w:val="18"/>
              </w:rPr>
              <w:t xml:space="preserve"> </w:t>
            </w:r>
          </w:p>
          <w:p w:rsidR="00EF657F" w:rsidRPr="00E85EE4" w:rsidRDefault="00EF657F" w:rsidP="00717F91">
            <w:pPr>
              <w:rPr>
                <w:rFonts w:ascii="Arial Narrow" w:hAnsi="Arial Narrow"/>
                <w:bCs/>
                <w:sz w:val="18"/>
                <w:szCs w:val="18"/>
              </w:rPr>
            </w:pPr>
            <w:r w:rsidRPr="00E85EE4">
              <w:rPr>
                <w:rFonts w:ascii="Arial Narrow" w:hAnsi="Arial Narrow"/>
                <w:bCs/>
                <w:sz w:val="18"/>
                <w:szCs w:val="18"/>
              </w:rPr>
              <w:t>This grandfather restriction will cease to operate from 12 months after the date specified in the clinical criteria.</w:t>
            </w:r>
          </w:p>
        </w:tc>
      </w:tr>
    </w:tbl>
    <w:p w:rsidR="00EF657F" w:rsidRDefault="00EF657F" w:rsidP="00EF657F">
      <w:pPr>
        <w:pStyle w:val="BodyText"/>
      </w:pPr>
    </w:p>
    <w:p w:rsidR="00097520" w:rsidRDefault="00097520" w:rsidP="00EF657F">
      <w:pPr>
        <w:pStyle w:val="BodyText"/>
      </w:pPr>
      <w:r w:rsidRPr="002564C4">
        <w:rPr>
          <w:b/>
          <w:bCs/>
          <w:i/>
        </w:rPr>
        <w:t>This restriction may be subject to further review. Should there be any changes made to the restriction the Sponsor will be informed.</w:t>
      </w:r>
    </w:p>
    <w:p w:rsidR="002B11DE" w:rsidRDefault="002B11DE" w:rsidP="00C5020A">
      <w:pPr>
        <w:pStyle w:val="ListParagraph"/>
        <w:widowControl/>
        <w:ind w:left="0"/>
      </w:pPr>
    </w:p>
    <w:p w:rsidR="00BD7A90" w:rsidRPr="00BD7A90" w:rsidRDefault="00BD7A90" w:rsidP="00BD7A90">
      <w:pPr>
        <w:pStyle w:val="PBACHeading1"/>
        <w:spacing w:after="120"/>
        <w:outlineLvl w:val="0"/>
      </w:pPr>
      <w:r w:rsidRPr="00BD7A90">
        <w:t>Context for Decision</w:t>
      </w:r>
    </w:p>
    <w:p w:rsidR="00BD7A90" w:rsidRPr="007129F2" w:rsidRDefault="00BD7A90" w:rsidP="00BD7A9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D7A90" w:rsidRPr="00BD7A90" w:rsidRDefault="00BD7A90" w:rsidP="00BD7A90">
      <w:pPr>
        <w:pStyle w:val="PBACHeading1"/>
        <w:spacing w:after="120"/>
        <w:outlineLvl w:val="0"/>
      </w:pPr>
      <w:r w:rsidRPr="00BD7A90">
        <w:t>Sponsor’s Comment</w:t>
      </w:r>
    </w:p>
    <w:p w:rsidR="00BD7A90" w:rsidRPr="001179AC" w:rsidRDefault="00596D86" w:rsidP="00596D86">
      <w:pPr>
        <w:spacing w:after="120"/>
        <w:ind w:left="720"/>
        <w:rPr>
          <w:rFonts w:asciiTheme="minorHAnsi" w:hAnsiTheme="minorHAnsi"/>
          <w:bCs/>
        </w:rPr>
      </w:pPr>
      <w:r w:rsidRPr="00FF1746">
        <w:rPr>
          <w:rFonts w:asciiTheme="minorHAnsi" w:hAnsiTheme="minorHAnsi"/>
          <w:bCs/>
          <w:lang w:val="en-GB"/>
        </w:rPr>
        <w:t>Novartis welcomes the decision by the PBAC to recommend the PBS listing of brolucizumab (Beovu) and are committed to make this treatment available to Australian patients with age related macular degeneration.</w:t>
      </w:r>
    </w:p>
    <w:p w:rsidR="00C5020A" w:rsidRPr="00C5020A" w:rsidRDefault="00C5020A" w:rsidP="00C5020A">
      <w:pPr>
        <w:pStyle w:val="ListParagraph"/>
        <w:widowControl/>
        <w:ind w:left="0"/>
      </w:pPr>
    </w:p>
    <w:p w:rsidR="00B46B15" w:rsidRDefault="00B46B15" w:rsidP="00D84BB1">
      <w:pPr>
        <w:rPr>
          <w:b/>
          <w:i/>
        </w:rPr>
      </w:pPr>
      <w:bookmarkStart w:id="35" w:name="_GoBack"/>
      <w:bookmarkEnd w:id="35"/>
    </w:p>
    <w:sectPr w:rsidR="00B46B15" w:rsidSect="00A200FC">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FDF13" w16cex:dateUtc="2021-03-31T18:56:00Z"/>
  <w16cex:commentExtensible w16cex:durableId="240FDFD7" w16cex:dateUtc="2021-03-31T18:59:00Z"/>
  <w16cex:commentExtensible w16cex:durableId="240FE00A" w16cex:dateUtc="2021-03-31T19:00:00Z"/>
  <w16cex:commentExtensible w16cex:durableId="240FE087" w16cex:dateUtc="2021-03-31T19:02:00Z"/>
  <w16cex:commentExtensible w16cex:durableId="240FE186" w16cex:dateUtc="2021-03-31T19:07:00Z"/>
  <w16cex:commentExtensible w16cex:durableId="240FE205" w16cex:dateUtc="2021-03-31T19:09:00Z"/>
  <w16cex:commentExtensible w16cex:durableId="240FE316" w16cex:dateUtc="2021-03-31T19:13:00Z"/>
  <w16cex:commentExtensible w16cex:durableId="240FE3D1" w16cex:dateUtc="2021-03-31T19:16:00Z"/>
  <w16cex:commentExtensible w16cex:durableId="240FE3FE" w16cex:dateUtc="2021-03-31T19:17:00Z"/>
  <w16cex:commentExtensible w16cex:durableId="240FE419" w16cex:dateUtc="2021-03-31T1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336A14" w16cid:durableId="240FDEBC"/>
  <w16cid:commentId w16cid:paraId="2B8B210C" w16cid:durableId="240FDF13"/>
  <w16cid:commentId w16cid:paraId="2519E47B" w16cid:durableId="240FDEBD"/>
  <w16cid:commentId w16cid:paraId="4EBB49D4" w16cid:durableId="240FDFD7"/>
  <w16cid:commentId w16cid:paraId="3BF98D85" w16cid:durableId="240FDEBE"/>
  <w16cid:commentId w16cid:paraId="1356DC4F" w16cid:durableId="240FE00A"/>
  <w16cid:commentId w16cid:paraId="5CC954D5" w16cid:durableId="240FE087"/>
  <w16cid:commentId w16cid:paraId="551E5BF2" w16cid:durableId="240FDEBF"/>
  <w16cid:commentId w16cid:paraId="0B1F1DA4" w16cid:durableId="240FE186"/>
  <w16cid:commentId w16cid:paraId="328F503A" w16cid:durableId="240FDEC0"/>
  <w16cid:commentId w16cid:paraId="1951CDD8" w16cid:durableId="240FDEC1"/>
  <w16cid:commentId w16cid:paraId="1A945C74" w16cid:durableId="240FDEC2"/>
  <w16cid:commentId w16cid:paraId="0AE11FDE" w16cid:durableId="240FDEC3"/>
  <w16cid:commentId w16cid:paraId="6DE1C784" w16cid:durableId="240FE205"/>
  <w16cid:commentId w16cid:paraId="5BA571E2" w16cid:durableId="240FDEC4"/>
  <w16cid:commentId w16cid:paraId="0AA93BAB" w16cid:durableId="240FE316"/>
  <w16cid:commentId w16cid:paraId="3A7FF54E" w16cid:durableId="240FDEC5"/>
  <w16cid:commentId w16cid:paraId="32E3C4E7" w16cid:durableId="240FE3D1"/>
  <w16cid:commentId w16cid:paraId="6AAA131B" w16cid:durableId="240FDEC6"/>
  <w16cid:commentId w16cid:paraId="520BDBFA" w16cid:durableId="240FE3FE"/>
  <w16cid:commentId w16cid:paraId="4C4B3384" w16cid:durableId="240FDEC7"/>
  <w16cid:commentId w16cid:paraId="0BB30328" w16cid:durableId="240FE419"/>
  <w16cid:commentId w16cid:paraId="29995708" w16cid:durableId="240FDEC8"/>
  <w16cid:commentId w16cid:paraId="44B4FBF0" w16cid:durableId="240FDE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31D" w:rsidRDefault="0071631D" w:rsidP="00124A51">
      <w:r>
        <w:separator/>
      </w:r>
    </w:p>
    <w:p w:rsidR="0071631D" w:rsidRDefault="0071631D"/>
  </w:endnote>
  <w:endnote w:type="continuationSeparator" w:id="0">
    <w:p w:rsidR="0071631D" w:rsidRDefault="0071631D" w:rsidP="00124A51">
      <w:r>
        <w:continuationSeparator/>
      </w:r>
    </w:p>
    <w:p w:rsidR="0071631D" w:rsidRDefault="00716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Default="00716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Default="0071631D">
    <w:pPr>
      <w:pStyle w:val="Footer"/>
      <w:jc w:val="center"/>
    </w:pPr>
  </w:p>
  <w:p w:rsidR="0071631D" w:rsidRPr="007F2CB8" w:rsidRDefault="0071631D" w:rsidP="007F2CB8">
    <w:pPr>
      <w:pStyle w:val="Footer"/>
      <w:jc w:val="center"/>
      <w:rPr>
        <w:b/>
      </w:rPr>
    </w:pPr>
    <w:sdt>
      <w:sdtPr>
        <w:id w:val="-1636400256"/>
        <w:docPartObj>
          <w:docPartGallery w:val="Page Numbers (Bottom of Page)"/>
          <w:docPartUnique/>
        </w:docPartObj>
      </w:sdtPr>
      <w:sdtEndPr>
        <w:rPr>
          <w:b/>
          <w:noProof/>
        </w:rPr>
      </w:sdtEndPr>
      <w:sdtContent>
        <w:r w:rsidRPr="007F2CB8">
          <w:rPr>
            <w:b/>
          </w:rPr>
          <w:fldChar w:fldCharType="begin"/>
        </w:r>
        <w:r w:rsidRPr="007F2CB8">
          <w:rPr>
            <w:b/>
          </w:rPr>
          <w:instrText xml:space="preserve"> PAGE   \* MERGEFORMAT </w:instrText>
        </w:r>
        <w:r w:rsidRPr="007F2CB8">
          <w:rPr>
            <w:b/>
          </w:rPr>
          <w:fldChar w:fldCharType="separate"/>
        </w:r>
        <w:r w:rsidR="003909FA">
          <w:rPr>
            <w:b/>
            <w:noProof/>
          </w:rPr>
          <w:t>1</w:t>
        </w:r>
        <w:r w:rsidRPr="007F2CB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Default="00716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31D" w:rsidRDefault="0071631D" w:rsidP="00124A51">
      <w:r>
        <w:separator/>
      </w:r>
    </w:p>
    <w:p w:rsidR="0071631D" w:rsidRDefault="0071631D"/>
  </w:footnote>
  <w:footnote w:type="continuationSeparator" w:id="0">
    <w:p w:rsidR="0071631D" w:rsidRDefault="0071631D" w:rsidP="00124A51">
      <w:r>
        <w:continuationSeparator/>
      </w:r>
    </w:p>
    <w:p w:rsidR="0071631D" w:rsidRDefault="0071631D"/>
  </w:footnote>
  <w:footnote w:id="1">
    <w:p w:rsidR="0071631D" w:rsidRPr="006C2EC1" w:rsidRDefault="0071631D" w:rsidP="00FF6BB7">
      <w:pPr>
        <w:rPr>
          <w:rFonts w:ascii="Arial Narrow" w:hAnsi="Arial Narrow"/>
          <w:sz w:val="18"/>
          <w:szCs w:val="18"/>
        </w:rPr>
      </w:pPr>
      <w:r>
        <w:rPr>
          <w:rStyle w:val="FootnoteReference"/>
        </w:rPr>
        <w:footnoteRef/>
      </w:r>
      <w:r>
        <w:t xml:space="preserve"> </w:t>
      </w:r>
      <w:r w:rsidRPr="006C2EC1">
        <w:rPr>
          <w:rFonts w:ascii="Arial Narrow" w:hAnsi="Arial Narrow"/>
          <w:sz w:val="18"/>
          <w:szCs w:val="18"/>
        </w:rPr>
        <w:t>Disease activity was measured using the following guidance criteria:</w:t>
      </w:r>
    </w:p>
    <w:p w:rsidR="0071631D" w:rsidRPr="006C2EC1" w:rsidRDefault="0071631D" w:rsidP="00BD7A90">
      <w:pPr>
        <w:pStyle w:val="ListParagraph"/>
        <w:numPr>
          <w:ilvl w:val="0"/>
          <w:numId w:val="4"/>
        </w:numPr>
        <w:spacing w:after="0"/>
        <w:ind w:left="357" w:hanging="357"/>
        <w:rPr>
          <w:rFonts w:ascii="Arial Narrow" w:hAnsi="Arial Narrow"/>
          <w:sz w:val="18"/>
          <w:szCs w:val="18"/>
        </w:rPr>
      </w:pPr>
      <w:r w:rsidRPr="006C2EC1">
        <w:rPr>
          <w:rFonts w:ascii="Arial Narrow" w:hAnsi="Arial Narrow"/>
          <w:sz w:val="18"/>
          <w:szCs w:val="18"/>
        </w:rPr>
        <w:t>Decrease in BCVA of ≥5 letters compared with baseline;</w:t>
      </w:r>
    </w:p>
    <w:p w:rsidR="0071631D" w:rsidRPr="006C2EC1" w:rsidRDefault="0071631D" w:rsidP="00BD7A90">
      <w:pPr>
        <w:pStyle w:val="ListParagraph"/>
        <w:numPr>
          <w:ilvl w:val="0"/>
          <w:numId w:val="4"/>
        </w:numPr>
        <w:spacing w:after="0"/>
        <w:ind w:left="357" w:hanging="357"/>
        <w:rPr>
          <w:rFonts w:ascii="Arial Narrow" w:hAnsi="Arial Narrow"/>
          <w:sz w:val="18"/>
          <w:szCs w:val="18"/>
        </w:rPr>
      </w:pPr>
      <w:r w:rsidRPr="006C2EC1">
        <w:rPr>
          <w:rFonts w:ascii="Arial Narrow" w:hAnsi="Arial Narrow"/>
          <w:sz w:val="18"/>
          <w:szCs w:val="18"/>
        </w:rPr>
        <w:t>Decrease in BCVA of ≥3 letters and CSFT increase ≥75 μm compared with Week 12;</w:t>
      </w:r>
    </w:p>
    <w:p w:rsidR="0071631D" w:rsidRDefault="0071631D" w:rsidP="00BD7A90">
      <w:pPr>
        <w:pStyle w:val="ListParagraph"/>
        <w:numPr>
          <w:ilvl w:val="0"/>
          <w:numId w:val="4"/>
        </w:numPr>
        <w:spacing w:after="0"/>
        <w:ind w:left="357" w:hanging="357"/>
        <w:rPr>
          <w:rFonts w:ascii="Arial Narrow" w:hAnsi="Arial Narrow"/>
          <w:sz w:val="18"/>
          <w:szCs w:val="18"/>
        </w:rPr>
      </w:pPr>
      <w:r w:rsidRPr="006C2EC1">
        <w:rPr>
          <w:rFonts w:ascii="Arial Narrow" w:hAnsi="Arial Narrow"/>
          <w:sz w:val="18"/>
          <w:szCs w:val="18"/>
        </w:rPr>
        <w:t>Decrease in BCVA of ≥5 letters due to wet AMD DA compared with Week 12; or</w:t>
      </w:r>
    </w:p>
    <w:p w:rsidR="0071631D" w:rsidRPr="00FF6BB7" w:rsidRDefault="0071631D" w:rsidP="00BD7A90">
      <w:pPr>
        <w:pStyle w:val="ListParagraph"/>
        <w:numPr>
          <w:ilvl w:val="0"/>
          <w:numId w:val="4"/>
        </w:numPr>
        <w:spacing w:after="0"/>
        <w:ind w:left="357" w:hanging="357"/>
        <w:rPr>
          <w:rFonts w:ascii="Arial Narrow" w:hAnsi="Arial Narrow"/>
          <w:sz w:val="18"/>
          <w:szCs w:val="18"/>
        </w:rPr>
      </w:pPr>
      <w:r w:rsidRPr="00FF6BB7">
        <w:rPr>
          <w:rFonts w:ascii="Arial Narrow" w:hAnsi="Arial Narrow"/>
          <w:sz w:val="18"/>
          <w:szCs w:val="18"/>
        </w:rPr>
        <w:t>New or worse IRF/intraretinal cysts compared with Week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Default="00716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Pr="00056684" w:rsidRDefault="0071631D" w:rsidP="007F2CB8">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71631D" w:rsidRDefault="007163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D" w:rsidRDefault="00716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805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BCF7F49"/>
    <w:multiLevelType w:val="hybridMultilevel"/>
    <w:tmpl w:val="BBF8CD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0B0768"/>
    <w:multiLevelType w:val="hybridMultilevel"/>
    <w:tmpl w:val="8FDEC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84D033C"/>
    <w:multiLevelType w:val="multilevel"/>
    <w:tmpl w:val="CE0082C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removePersonalInformation/>
  <w:removeDateAndTime/>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162"/>
    <w:rsid w:val="00001B12"/>
    <w:rsid w:val="00003279"/>
    <w:rsid w:val="00003499"/>
    <w:rsid w:val="000039B7"/>
    <w:rsid w:val="0000454A"/>
    <w:rsid w:val="00004556"/>
    <w:rsid w:val="000059AC"/>
    <w:rsid w:val="000077B6"/>
    <w:rsid w:val="00007EC2"/>
    <w:rsid w:val="000110C1"/>
    <w:rsid w:val="00011FAA"/>
    <w:rsid w:val="00013247"/>
    <w:rsid w:val="000133CE"/>
    <w:rsid w:val="00013F64"/>
    <w:rsid w:val="00013FF2"/>
    <w:rsid w:val="0001418B"/>
    <w:rsid w:val="000144B7"/>
    <w:rsid w:val="00015886"/>
    <w:rsid w:val="00015A7D"/>
    <w:rsid w:val="000162EF"/>
    <w:rsid w:val="00020090"/>
    <w:rsid w:val="00020511"/>
    <w:rsid w:val="00020C03"/>
    <w:rsid w:val="00020DDD"/>
    <w:rsid w:val="0002225F"/>
    <w:rsid w:val="00023763"/>
    <w:rsid w:val="00024C2C"/>
    <w:rsid w:val="000254F8"/>
    <w:rsid w:val="00027126"/>
    <w:rsid w:val="00030328"/>
    <w:rsid w:val="0003127C"/>
    <w:rsid w:val="000313EB"/>
    <w:rsid w:val="00031E1D"/>
    <w:rsid w:val="00031ED3"/>
    <w:rsid w:val="000326DD"/>
    <w:rsid w:val="00033477"/>
    <w:rsid w:val="00033863"/>
    <w:rsid w:val="00033A76"/>
    <w:rsid w:val="00035DC0"/>
    <w:rsid w:val="00036829"/>
    <w:rsid w:val="00037386"/>
    <w:rsid w:val="000373D8"/>
    <w:rsid w:val="00040895"/>
    <w:rsid w:val="0004151B"/>
    <w:rsid w:val="00041983"/>
    <w:rsid w:val="00042B2F"/>
    <w:rsid w:val="00043C37"/>
    <w:rsid w:val="00045017"/>
    <w:rsid w:val="0004571E"/>
    <w:rsid w:val="00045A2B"/>
    <w:rsid w:val="00045A89"/>
    <w:rsid w:val="0004698F"/>
    <w:rsid w:val="00047F41"/>
    <w:rsid w:val="0005037A"/>
    <w:rsid w:val="00050754"/>
    <w:rsid w:val="000539D0"/>
    <w:rsid w:val="00053FD8"/>
    <w:rsid w:val="000543DC"/>
    <w:rsid w:val="00054621"/>
    <w:rsid w:val="000546D7"/>
    <w:rsid w:val="00054EBD"/>
    <w:rsid w:val="0005596E"/>
    <w:rsid w:val="0005606D"/>
    <w:rsid w:val="00056415"/>
    <w:rsid w:val="000578A5"/>
    <w:rsid w:val="00057A68"/>
    <w:rsid w:val="00057D1C"/>
    <w:rsid w:val="000616BD"/>
    <w:rsid w:val="000637D0"/>
    <w:rsid w:val="000642A8"/>
    <w:rsid w:val="0006521F"/>
    <w:rsid w:val="00065E0B"/>
    <w:rsid w:val="00066360"/>
    <w:rsid w:val="000700B6"/>
    <w:rsid w:val="00071248"/>
    <w:rsid w:val="0007170C"/>
    <w:rsid w:val="000720B9"/>
    <w:rsid w:val="000724C7"/>
    <w:rsid w:val="000737F7"/>
    <w:rsid w:val="00073CC3"/>
    <w:rsid w:val="00073F00"/>
    <w:rsid w:val="000752D2"/>
    <w:rsid w:val="000754E7"/>
    <w:rsid w:val="00075B8F"/>
    <w:rsid w:val="0007672F"/>
    <w:rsid w:val="00076C34"/>
    <w:rsid w:val="00076E86"/>
    <w:rsid w:val="000774F0"/>
    <w:rsid w:val="00077B06"/>
    <w:rsid w:val="00080909"/>
    <w:rsid w:val="00080CDE"/>
    <w:rsid w:val="000812CA"/>
    <w:rsid w:val="0008156C"/>
    <w:rsid w:val="0008258D"/>
    <w:rsid w:val="00082BB9"/>
    <w:rsid w:val="00083882"/>
    <w:rsid w:val="00083E99"/>
    <w:rsid w:val="00084749"/>
    <w:rsid w:val="00084B89"/>
    <w:rsid w:val="00084FAF"/>
    <w:rsid w:val="0008523E"/>
    <w:rsid w:val="000856C5"/>
    <w:rsid w:val="000873B8"/>
    <w:rsid w:val="00087954"/>
    <w:rsid w:val="00090777"/>
    <w:rsid w:val="00090C7E"/>
    <w:rsid w:val="00091611"/>
    <w:rsid w:val="00092600"/>
    <w:rsid w:val="0009262B"/>
    <w:rsid w:val="00093310"/>
    <w:rsid w:val="00093609"/>
    <w:rsid w:val="000936E8"/>
    <w:rsid w:val="000942AE"/>
    <w:rsid w:val="000942F0"/>
    <w:rsid w:val="0009445C"/>
    <w:rsid w:val="00095FE5"/>
    <w:rsid w:val="0009607D"/>
    <w:rsid w:val="00096284"/>
    <w:rsid w:val="00097520"/>
    <w:rsid w:val="00097529"/>
    <w:rsid w:val="000A084C"/>
    <w:rsid w:val="000A0EEB"/>
    <w:rsid w:val="000A20AC"/>
    <w:rsid w:val="000A5CA8"/>
    <w:rsid w:val="000A5E76"/>
    <w:rsid w:val="000A606E"/>
    <w:rsid w:val="000A7D08"/>
    <w:rsid w:val="000B0670"/>
    <w:rsid w:val="000B0E75"/>
    <w:rsid w:val="000B1CA1"/>
    <w:rsid w:val="000B211B"/>
    <w:rsid w:val="000B2163"/>
    <w:rsid w:val="000B2642"/>
    <w:rsid w:val="000B2977"/>
    <w:rsid w:val="000B2D5A"/>
    <w:rsid w:val="000B4A7E"/>
    <w:rsid w:val="000B6CAC"/>
    <w:rsid w:val="000B7612"/>
    <w:rsid w:val="000C1372"/>
    <w:rsid w:val="000C1378"/>
    <w:rsid w:val="000C13B9"/>
    <w:rsid w:val="000C2494"/>
    <w:rsid w:val="000C3DF9"/>
    <w:rsid w:val="000C458C"/>
    <w:rsid w:val="000C6713"/>
    <w:rsid w:val="000C68E8"/>
    <w:rsid w:val="000C71F6"/>
    <w:rsid w:val="000D04DD"/>
    <w:rsid w:val="000D10A6"/>
    <w:rsid w:val="000D1136"/>
    <w:rsid w:val="000D1BFC"/>
    <w:rsid w:val="000D281A"/>
    <w:rsid w:val="000D326A"/>
    <w:rsid w:val="000D32CD"/>
    <w:rsid w:val="000D51C9"/>
    <w:rsid w:val="000D51FB"/>
    <w:rsid w:val="000D564F"/>
    <w:rsid w:val="000D593D"/>
    <w:rsid w:val="000E0904"/>
    <w:rsid w:val="000E0966"/>
    <w:rsid w:val="000E0B93"/>
    <w:rsid w:val="000E135D"/>
    <w:rsid w:val="000E1E46"/>
    <w:rsid w:val="000E3AB5"/>
    <w:rsid w:val="000E3ECF"/>
    <w:rsid w:val="000E472C"/>
    <w:rsid w:val="000E5443"/>
    <w:rsid w:val="000E5445"/>
    <w:rsid w:val="000E599E"/>
    <w:rsid w:val="000E603A"/>
    <w:rsid w:val="000E70C9"/>
    <w:rsid w:val="000E7E8A"/>
    <w:rsid w:val="000F00BA"/>
    <w:rsid w:val="000F251B"/>
    <w:rsid w:val="000F30F5"/>
    <w:rsid w:val="000F316A"/>
    <w:rsid w:val="000F36BA"/>
    <w:rsid w:val="000F3C74"/>
    <w:rsid w:val="000F4BB8"/>
    <w:rsid w:val="000F59F8"/>
    <w:rsid w:val="000F5D6B"/>
    <w:rsid w:val="000F5E3F"/>
    <w:rsid w:val="000F6310"/>
    <w:rsid w:val="000F700E"/>
    <w:rsid w:val="000F7127"/>
    <w:rsid w:val="000F741B"/>
    <w:rsid w:val="000F7CB5"/>
    <w:rsid w:val="00100B39"/>
    <w:rsid w:val="00100F8A"/>
    <w:rsid w:val="0010131E"/>
    <w:rsid w:val="00103058"/>
    <w:rsid w:val="00103641"/>
    <w:rsid w:val="00105251"/>
    <w:rsid w:val="00105AE2"/>
    <w:rsid w:val="00106072"/>
    <w:rsid w:val="00106B80"/>
    <w:rsid w:val="0011032E"/>
    <w:rsid w:val="00110B9B"/>
    <w:rsid w:val="00112E40"/>
    <w:rsid w:val="0011348B"/>
    <w:rsid w:val="00115982"/>
    <w:rsid w:val="00115A49"/>
    <w:rsid w:val="001163BB"/>
    <w:rsid w:val="00116619"/>
    <w:rsid w:val="00116C53"/>
    <w:rsid w:val="00117ACF"/>
    <w:rsid w:val="00120A97"/>
    <w:rsid w:val="001216C5"/>
    <w:rsid w:val="00121799"/>
    <w:rsid w:val="00121C31"/>
    <w:rsid w:val="001222FC"/>
    <w:rsid w:val="00123294"/>
    <w:rsid w:val="00123561"/>
    <w:rsid w:val="00124A51"/>
    <w:rsid w:val="001256E4"/>
    <w:rsid w:val="00126573"/>
    <w:rsid w:val="00126621"/>
    <w:rsid w:val="001270B2"/>
    <w:rsid w:val="0012773A"/>
    <w:rsid w:val="001301E9"/>
    <w:rsid w:val="0013046B"/>
    <w:rsid w:val="00130812"/>
    <w:rsid w:val="00130E9C"/>
    <w:rsid w:val="00131BF3"/>
    <w:rsid w:val="00131D82"/>
    <w:rsid w:val="001336D9"/>
    <w:rsid w:val="00133D36"/>
    <w:rsid w:val="00134908"/>
    <w:rsid w:val="001360D7"/>
    <w:rsid w:val="00137645"/>
    <w:rsid w:val="0014015A"/>
    <w:rsid w:val="00140E99"/>
    <w:rsid w:val="0014194A"/>
    <w:rsid w:val="0014204E"/>
    <w:rsid w:val="00145540"/>
    <w:rsid w:val="001456B0"/>
    <w:rsid w:val="001456C6"/>
    <w:rsid w:val="00146ED1"/>
    <w:rsid w:val="0014752A"/>
    <w:rsid w:val="001507DC"/>
    <w:rsid w:val="00150A48"/>
    <w:rsid w:val="00150F8F"/>
    <w:rsid w:val="00150FC0"/>
    <w:rsid w:val="001510F9"/>
    <w:rsid w:val="00151E98"/>
    <w:rsid w:val="00153442"/>
    <w:rsid w:val="00153D2C"/>
    <w:rsid w:val="00155879"/>
    <w:rsid w:val="00157130"/>
    <w:rsid w:val="001576B1"/>
    <w:rsid w:val="001578F9"/>
    <w:rsid w:val="00157C8E"/>
    <w:rsid w:val="001605A1"/>
    <w:rsid w:val="00160A07"/>
    <w:rsid w:val="00160A4C"/>
    <w:rsid w:val="00160B6A"/>
    <w:rsid w:val="001628B5"/>
    <w:rsid w:val="00162913"/>
    <w:rsid w:val="00163EFF"/>
    <w:rsid w:val="00164585"/>
    <w:rsid w:val="00164E05"/>
    <w:rsid w:val="00165332"/>
    <w:rsid w:val="00165EB9"/>
    <w:rsid w:val="001661FB"/>
    <w:rsid w:val="001667A4"/>
    <w:rsid w:val="00167AAF"/>
    <w:rsid w:val="00170625"/>
    <w:rsid w:val="00172170"/>
    <w:rsid w:val="00172700"/>
    <w:rsid w:val="00172C17"/>
    <w:rsid w:val="00173229"/>
    <w:rsid w:val="00173565"/>
    <w:rsid w:val="00173B07"/>
    <w:rsid w:val="00175523"/>
    <w:rsid w:val="00176F26"/>
    <w:rsid w:val="001819EB"/>
    <w:rsid w:val="00181D9C"/>
    <w:rsid w:val="00182B26"/>
    <w:rsid w:val="001837F3"/>
    <w:rsid w:val="001842F2"/>
    <w:rsid w:val="001854B3"/>
    <w:rsid w:val="0018667F"/>
    <w:rsid w:val="0018752F"/>
    <w:rsid w:val="00187761"/>
    <w:rsid w:val="001921C0"/>
    <w:rsid w:val="00192EC2"/>
    <w:rsid w:val="00194662"/>
    <w:rsid w:val="00195222"/>
    <w:rsid w:val="001975D8"/>
    <w:rsid w:val="00197913"/>
    <w:rsid w:val="001A12EC"/>
    <w:rsid w:val="001A3266"/>
    <w:rsid w:val="001A3B05"/>
    <w:rsid w:val="001A43FA"/>
    <w:rsid w:val="001A4CE3"/>
    <w:rsid w:val="001A5010"/>
    <w:rsid w:val="001A518F"/>
    <w:rsid w:val="001A59FB"/>
    <w:rsid w:val="001A6054"/>
    <w:rsid w:val="001A6354"/>
    <w:rsid w:val="001A7AE8"/>
    <w:rsid w:val="001B062B"/>
    <w:rsid w:val="001B1890"/>
    <w:rsid w:val="001B204E"/>
    <w:rsid w:val="001B31DD"/>
    <w:rsid w:val="001B3443"/>
    <w:rsid w:val="001B3482"/>
    <w:rsid w:val="001B44C3"/>
    <w:rsid w:val="001B452D"/>
    <w:rsid w:val="001B4D20"/>
    <w:rsid w:val="001B4D5F"/>
    <w:rsid w:val="001C2A9B"/>
    <w:rsid w:val="001C3C61"/>
    <w:rsid w:val="001C40CF"/>
    <w:rsid w:val="001C4299"/>
    <w:rsid w:val="001C5F94"/>
    <w:rsid w:val="001C5FBE"/>
    <w:rsid w:val="001C6E66"/>
    <w:rsid w:val="001D179A"/>
    <w:rsid w:val="001D18BC"/>
    <w:rsid w:val="001D2644"/>
    <w:rsid w:val="001D312F"/>
    <w:rsid w:val="001D3291"/>
    <w:rsid w:val="001D34F9"/>
    <w:rsid w:val="001D3A88"/>
    <w:rsid w:val="001D4373"/>
    <w:rsid w:val="001D564C"/>
    <w:rsid w:val="001D644A"/>
    <w:rsid w:val="001D66AD"/>
    <w:rsid w:val="001D7666"/>
    <w:rsid w:val="001E0210"/>
    <w:rsid w:val="001E084F"/>
    <w:rsid w:val="001E097B"/>
    <w:rsid w:val="001E1775"/>
    <w:rsid w:val="001E238E"/>
    <w:rsid w:val="001E2483"/>
    <w:rsid w:val="001E276B"/>
    <w:rsid w:val="001E2B1E"/>
    <w:rsid w:val="001E30B5"/>
    <w:rsid w:val="001E30D4"/>
    <w:rsid w:val="001E444D"/>
    <w:rsid w:val="001E52EB"/>
    <w:rsid w:val="001E5597"/>
    <w:rsid w:val="001E61D2"/>
    <w:rsid w:val="001E740C"/>
    <w:rsid w:val="001F0463"/>
    <w:rsid w:val="001F1235"/>
    <w:rsid w:val="001F1CB3"/>
    <w:rsid w:val="001F38B5"/>
    <w:rsid w:val="001F466F"/>
    <w:rsid w:val="001F4CA8"/>
    <w:rsid w:val="001F59D5"/>
    <w:rsid w:val="001F7361"/>
    <w:rsid w:val="001F744A"/>
    <w:rsid w:val="001F75FD"/>
    <w:rsid w:val="002011B0"/>
    <w:rsid w:val="0020238A"/>
    <w:rsid w:val="0020308A"/>
    <w:rsid w:val="00203181"/>
    <w:rsid w:val="002036EE"/>
    <w:rsid w:val="00203783"/>
    <w:rsid w:val="0020385F"/>
    <w:rsid w:val="00204377"/>
    <w:rsid w:val="002045CB"/>
    <w:rsid w:val="00205525"/>
    <w:rsid w:val="0020573C"/>
    <w:rsid w:val="00206FD0"/>
    <w:rsid w:val="00207021"/>
    <w:rsid w:val="0020732F"/>
    <w:rsid w:val="00207D00"/>
    <w:rsid w:val="002105C1"/>
    <w:rsid w:val="002148B1"/>
    <w:rsid w:val="00215239"/>
    <w:rsid w:val="002155F3"/>
    <w:rsid w:val="00216E90"/>
    <w:rsid w:val="00217704"/>
    <w:rsid w:val="00217977"/>
    <w:rsid w:val="00220555"/>
    <w:rsid w:val="00220FCA"/>
    <w:rsid w:val="00221B51"/>
    <w:rsid w:val="002233A0"/>
    <w:rsid w:val="00223A16"/>
    <w:rsid w:val="00223B49"/>
    <w:rsid w:val="00223CE0"/>
    <w:rsid w:val="00224DD4"/>
    <w:rsid w:val="002260B4"/>
    <w:rsid w:val="0022730F"/>
    <w:rsid w:val="00230092"/>
    <w:rsid w:val="002309CC"/>
    <w:rsid w:val="0023141B"/>
    <w:rsid w:val="0023209F"/>
    <w:rsid w:val="00235BC6"/>
    <w:rsid w:val="0023629D"/>
    <w:rsid w:val="00236968"/>
    <w:rsid w:val="00237255"/>
    <w:rsid w:val="002376B1"/>
    <w:rsid w:val="00237BF9"/>
    <w:rsid w:val="00237C04"/>
    <w:rsid w:val="00237DE0"/>
    <w:rsid w:val="00241E1B"/>
    <w:rsid w:val="002424AF"/>
    <w:rsid w:val="00243979"/>
    <w:rsid w:val="002439C4"/>
    <w:rsid w:val="002439DC"/>
    <w:rsid w:val="0024461B"/>
    <w:rsid w:val="00244D0E"/>
    <w:rsid w:val="00244D86"/>
    <w:rsid w:val="00244DC8"/>
    <w:rsid w:val="0024511F"/>
    <w:rsid w:val="002458BA"/>
    <w:rsid w:val="0024636C"/>
    <w:rsid w:val="002464A7"/>
    <w:rsid w:val="0024726D"/>
    <w:rsid w:val="00247925"/>
    <w:rsid w:val="0025001B"/>
    <w:rsid w:val="00250F01"/>
    <w:rsid w:val="002528C9"/>
    <w:rsid w:val="002537DD"/>
    <w:rsid w:val="002542CE"/>
    <w:rsid w:val="00254DCF"/>
    <w:rsid w:val="00255330"/>
    <w:rsid w:val="00255337"/>
    <w:rsid w:val="0025534B"/>
    <w:rsid w:val="00255BB7"/>
    <w:rsid w:val="00255C5D"/>
    <w:rsid w:val="002562B9"/>
    <w:rsid w:val="00257541"/>
    <w:rsid w:val="0026193C"/>
    <w:rsid w:val="00262292"/>
    <w:rsid w:val="00262A1A"/>
    <w:rsid w:val="00262A87"/>
    <w:rsid w:val="002631BA"/>
    <w:rsid w:val="00263ADD"/>
    <w:rsid w:val="00264D26"/>
    <w:rsid w:val="0026514C"/>
    <w:rsid w:val="0026588E"/>
    <w:rsid w:val="00265980"/>
    <w:rsid w:val="002665C6"/>
    <w:rsid w:val="00266E19"/>
    <w:rsid w:val="00266E3D"/>
    <w:rsid w:val="00267642"/>
    <w:rsid w:val="00267AEA"/>
    <w:rsid w:val="002700E6"/>
    <w:rsid w:val="0027111E"/>
    <w:rsid w:val="00271C2E"/>
    <w:rsid w:val="0027204C"/>
    <w:rsid w:val="002723CE"/>
    <w:rsid w:val="0027294B"/>
    <w:rsid w:val="00273AB3"/>
    <w:rsid w:val="002742C4"/>
    <w:rsid w:val="0027565B"/>
    <w:rsid w:val="00275826"/>
    <w:rsid w:val="00275C5A"/>
    <w:rsid w:val="00277675"/>
    <w:rsid w:val="00280062"/>
    <w:rsid w:val="00280237"/>
    <w:rsid w:val="00281014"/>
    <w:rsid w:val="002817CA"/>
    <w:rsid w:val="002820F5"/>
    <w:rsid w:val="00282C49"/>
    <w:rsid w:val="00282E42"/>
    <w:rsid w:val="00282E98"/>
    <w:rsid w:val="00285410"/>
    <w:rsid w:val="0028651C"/>
    <w:rsid w:val="002865F4"/>
    <w:rsid w:val="002908CE"/>
    <w:rsid w:val="0029240E"/>
    <w:rsid w:val="002936E0"/>
    <w:rsid w:val="00294333"/>
    <w:rsid w:val="00294BF8"/>
    <w:rsid w:val="00294EDF"/>
    <w:rsid w:val="00296227"/>
    <w:rsid w:val="002A078B"/>
    <w:rsid w:val="002A080F"/>
    <w:rsid w:val="002A0E20"/>
    <w:rsid w:val="002A129D"/>
    <w:rsid w:val="002A14AB"/>
    <w:rsid w:val="002A167A"/>
    <w:rsid w:val="002A1A0D"/>
    <w:rsid w:val="002A1BE7"/>
    <w:rsid w:val="002A2F50"/>
    <w:rsid w:val="002A2FC0"/>
    <w:rsid w:val="002A562D"/>
    <w:rsid w:val="002A6254"/>
    <w:rsid w:val="002A7E22"/>
    <w:rsid w:val="002B0147"/>
    <w:rsid w:val="002B05E2"/>
    <w:rsid w:val="002B0647"/>
    <w:rsid w:val="002B09A4"/>
    <w:rsid w:val="002B11DE"/>
    <w:rsid w:val="002B16B7"/>
    <w:rsid w:val="002B1C1F"/>
    <w:rsid w:val="002B2E07"/>
    <w:rsid w:val="002B32B5"/>
    <w:rsid w:val="002B32FD"/>
    <w:rsid w:val="002B432F"/>
    <w:rsid w:val="002B4539"/>
    <w:rsid w:val="002B5406"/>
    <w:rsid w:val="002B5BFC"/>
    <w:rsid w:val="002B61BB"/>
    <w:rsid w:val="002B62B3"/>
    <w:rsid w:val="002B6754"/>
    <w:rsid w:val="002B6CCE"/>
    <w:rsid w:val="002B7FA5"/>
    <w:rsid w:val="002C0CC1"/>
    <w:rsid w:val="002C2397"/>
    <w:rsid w:val="002C2510"/>
    <w:rsid w:val="002C2775"/>
    <w:rsid w:val="002C27C1"/>
    <w:rsid w:val="002C30C6"/>
    <w:rsid w:val="002C3756"/>
    <w:rsid w:val="002C38F8"/>
    <w:rsid w:val="002C3B1D"/>
    <w:rsid w:val="002C457A"/>
    <w:rsid w:val="002C5099"/>
    <w:rsid w:val="002C5889"/>
    <w:rsid w:val="002C71CE"/>
    <w:rsid w:val="002C7AC8"/>
    <w:rsid w:val="002D0468"/>
    <w:rsid w:val="002D1CE8"/>
    <w:rsid w:val="002D51A1"/>
    <w:rsid w:val="002D5632"/>
    <w:rsid w:val="002D577C"/>
    <w:rsid w:val="002D5CAE"/>
    <w:rsid w:val="002D693E"/>
    <w:rsid w:val="002D7A64"/>
    <w:rsid w:val="002D7CD7"/>
    <w:rsid w:val="002E03FA"/>
    <w:rsid w:val="002E07A1"/>
    <w:rsid w:val="002E15B9"/>
    <w:rsid w:val="002E17E5"/>
    <w:rsid w:val="002E1991"/>
    <w:rsid w:val="002E2158"/>
    <w:rsid w:val="002E3EC0"/>
    <w:rsid w:val="002E4D4D"/>
    <w:rsid w:val="002E546B"/>
    <w:rsid w:val="002E55A0"/>
    <w:rsid w:val="002E56E7"/>
    <w:rsid w:val="002E5947"/>
    <w:rsid w:val="002E59ED"/>
    <w:rsid w:val="002E5FED"/>
    <w:rsid w:val="002E6A07"/>
    <w:rsid w:val="002E7722"/>
    <w:rsid w:val="002F07BA"/>
    <w:rsid w:val="002F0DA9"/>
    <w:rsid w:val="002F2A35"/>
    <w:rsid w:val="002F2F2C"/>
    <w:rsid w:val="002F3D4A"/>
    <w:rsid w:val="002F3F66"/>
    <w:rsid w:val="002F48A8"/>
    <w:rsid w:val="002F48D4"/>
    <w:rsid w:val="002F5374"/>
    <w:rsid w:val="002F6087"/>
    <w:rsid w:val="002F643C"/>
    <w:rsid w:val="002F6694"/>
    <w:rsid w:val="002F71C0"/>
    <w:rsid w:val="002F75CE"/>
    <w:rsid w:val="00300682"/>
    <w:rsid w:val="00300AE5"/>
    <w:rsid w:val="00301017"/>
    <w:rsid w:val="0030155F"/>
    <w:rsid w:val="00302CBF"/>
    <w:rsid w:val="0030587B"/>
    <w:rsid w:val="003066FF"/>
    <w:rsid w:val="00306716"/>
    <w:rsid w:val="00306B35"/>
    <w:rsid w:val="00306B9A"/>
    <w:rsid w:val="00306D98"/>
    <w:rsid w:val="0030786C"/>
    <w:rsid w:val="0031031A"/>
    <w:rsid w:val="003103A3"/>
    <w:rsid w:val="00310981"/>
    <w:rsid w:val="003115F0"/>
    <w:rsid w:val="003129C2"/>
    <w:rsid w:val="00312C4A"/>
    <w:rsid w:val="00312E69"/>
    <w:rsid w:val="00313362"/>
    <w:rsid w:val="003136EE"/>
    <w:rsid w:val="003152AB"/>
    <w:rsid w:val="00315498"/>
    <w:rsid w:val="003168A6"/>
    <w:rsid w:val="003170BC"/>
    <w:rsid w:val="00317650"/>
    <w:rsid w:val="00317AFC"/>
    <w:rsid w:val="00320823"/>
    <w:rsid w:val="00320913"/>
    <w:rsid w:val="00322107"/>
    <w:rsid w:val="00322846"/>
    <w:rsid w:val="00322F70"/>
    <w:rsid w:val="0032395B"/>
    <w:rsid w:val="00324800"/>
    <w:rsid w:val="00325A5D"/>
    <w:rsid w:val="003266DE"/>
    <w:rsid w:val="00326734"/>
    <w:rsid w:val="00326DA7"/>
    <w:rsid w:val="003270E4"/>
    <w:rsid w:val="00330AE6"/>
    <w:rsid w:val="00330D0C"/>
    <w:rsid w:val="00330F5C"/>
    <w:rsid w:val="003324DA"/>
    <w:rsid w:val="00332BED"/>
    <w:rsid w:val="00332CFF"/>
    <w:rsid w:val="003330B5"/>
    <w:rsid w:val="003349DB"/>
    <w:rsid w:val="00336377"/>
    <w:rsid w:val="003366C9"/>
    <w:rsid w:val="003371B0"/>
    <w:rsid w:val="00340AB6"/>
    <w:rsid w:val="00340DF1"/>
    <w:rsid w:val="0034151C"/>
    <w:rsid w:val="0034151E"/>
    <w:rsid w:val="0034222C"/>
    <w:rsid w:val="003437EC"/>
    <w:rsid w:val="0034417A"/>
    <w:rsid w:val="00344278"/>
    <w:rsid w:val="0034473B"/>
    <w:rsid w:val="0034633E"/>
    <w:rsid w:val="0034654A"/>
    <w:rsid w:val="00346E67"/>
    <w:rsid w:val="00347623"/>
    <w:rsid w:val="003502EE"/>
    <w:rsid w:val="003505CD"/>
    <w:rsid w:val="003517F9"/>
    <w:rsid w:val="003532BA"/>
    <w:rsid w:val="00354FA4"/>
    <w:rsid w:val="003556EC"/>
    <w:rsid w:val="0035620E"/>
    <w:rsid w:val="003569E2"/>
    <w:rsid w:val="00356F5D"/>
    <w:rsid w:val="00360286"/>
    <w:rsid w:val="00361281"/>
    <w:rsid w:val="003613A8"/>
    <w:rsid w:val="00362362"/>
    <w:rsid w:val="003624C4"/>
    <w:rsid w:val="00363A5E"/>
    <w:rsid w:val="00364C94"/>
    <w:rsid w:val="0036504B"/>
    <w:rsid w:val="003653F5"/>
    <w:rsid w:val="003654AC"/>
    <w:rsid w:val="0036656E"/>
    <w:rsid w:val="00370361"/>
    <w:rsid w:val="00370F1F"/>
    <w:rsid w:val="00370F5C"/>
    <w:rsid w:val="003710CF"/>
    <w:rsid w:val="00371741"/>
    <w:rsid w:val="0037175A"/>
    <w:rsid w:val="00371A64"/>
    <w:rsid w:val="0037248F"/>
    <w:rsid w:val="00372F98"/>
    <w:rsid w:val="0037358A"/>
    <w:rsid w:val="003750F6"/>
    <w:rsid w:val="00375AFD"/>
    <w:rsid w:val="003760FC"/>
    <w:rsid w:val="003766EE"/>
    <w:rsid w:val="00377ABA"/>
    <w:rsid w:val="00380612"/>
    <w:rsid w:val="0038162C"/>
    <w:rsid w:val="003816CC"/>
    <w:rsid w:val="0038365C"/>
    <w:rsid w:val="0038369B"/>
    <w:rsid w:val="00383B78"/>
    <w:rsid w:val="00385A9D"/>
    <w:rsid w:val="003868AF"/>
    <w:rsid w:val="00386D8A"/>
    <w:rsid w:val="003876E6"/>
    <w:rsid w:val="00387C69"/>
    <w:rsid w:val="003902B1"/>
    <w:rsid w:val="003909FA"/>
    <w:rsid w:val="00390DC7"/>
    <w:rsid w:val="0039174F"/>
    <w:rsid w:val="00391AD6"/>
    <w:rsid w:val="00391B3C"/>
    <w:rsid w:val="003933B1"/>
    <w:rsid w:val="00393944"/>
    <w:rsid w:val="0039574A"/>
    <w:rsid w:val="003957D3"/>
    <w:rsid w:val="003962A8"/>
    <w:rsid w:val="00396510"/>
    <w:rsid w:val="00396896"/>
    <w:rsid w:val="00396FD0"/>
    <w:rsid w:val="003A1A7A"/>
    <w:rsid w:val="003A2392"/>
    <w:rsid w:val="003A2831"/>
    <w:rsid w:val="003A3952"/>
    <w:rsid w:val="003A3ED1"/>
    <w:rsid w:val="003A4BCB"/>
    <w:rsid w:val="003A5283"/>
    <w:rsid w:val="003A78FF"/>
    <w:rsid w:val="003A7E6F"/>
    <w:rsid w:val="003B13BE"/>
    <w:rsid w:val="003B226A"/>
    <w:rsid w:val="003B273A"/>
    <w:rsid w:val="003B31A4"/>
    <w:rsid w:val="003B4217"/>
    <w:rsid w:val="003B43BD"/>
    <w:rsid w:val="003B5704"/>
    <w:rsid w:val="003B5B61"/>
    <w:rsid w:val="003C0F90"/>
    <w:rsid w:val="003C1654"/>
    <w:rsid w:val="003C2CBC"/>
    <w:rsid w:val="003C36C8"/>
    <w:rsid w:val="003C5D0B"/>
    <w:rsid w:val="003C6487"/>
    <w:rsid w:val="003C7D19"/>
    <w:rsid w:val="003C7FDA"/>
    <w:rsid w:val="003D04A0"/>
    <w:rsid w:val="003D062D"/>
    <w:rsid w:val="003D1613"/>
    <w:rsid w:val="003D1828"/>
    <w:rsid w:val="003D1DE4"/>
    <w:rsid w:val="003D2422"/>
    <w:rsid w:val="003D25EA"/>
    <w:rsid w:val="003D2D79"/>
    <w:rsid w:val="003D32A0"/>
    <w:rsid w:val="003D39A1"/>
    <w:rsid w:val="003D3FBF"/>
    <w:rsid w:val="003D4A30"/>
    <w:rsid w:val="003D522E"/>
    <w:rsid w:val="003D5B86"/>
    <w:rsid w:val="003D79BB"/>
    <w:rsid w:val="003D7C98"/>
    <w:rsid w:val="003E0228"/>
    <w:rsid w:val="003E0543"/>
    <w:rsid w:val="003E3DD2"/>
    <w:rsid w:val="003E454E"/>
    <w:rsid w:val="003E5C08"/>
    <w:rsid w:val="003E78D0"/>
    <w:rsid w:val="003E7A73"/>
    <w:rsid w:val="003E7AD0"/>
    <w:rsid w:val="003F04BA"/>
    <w:rsid w:val="003F0C72"/>
    <w:rsid w:val="003F0FDF"/>
    <w:rsid w:val="003F1773"/>
    <w:rsid w:val="003F251A"/>
    <w:rsid w:val="003F313F"/>
    <w:rsid w:val="003F4156"/>
    <w:rsid w:val="003F46D6"/>
    <w:rsid w:val="0040034C"/>
    <w:rsid w:val="00400B29"/>
    <w:rsid w:val="00400DD8"/>
    <w:rsid w:val="004012F0"/>
    <w:rsid w:val="0040262C"/>
    <w:rsid w:val="00404759"/>
    <w:rsid w:val="004048E8"/>
    <w:rsid w:val="0040504B"/>
    <w:rsid w:val="004069ED"/>
    <w:rsid w:val="00406D57"/>
    <w:rsid w:val="00407CF0"/>
    <w:rsid w:val="00410708"/>
    <w:rsid w:val="00410A75"/>
    <w:rsid w:val="00410EC7"/>
    <w:rsid w:val="00411B39"/>
    <w:rsid w:val="00412005"/>
    <w:rsid w:val="00413A1E"/>
    <w:rsid w:val="004143A8"/>
    <w:rsid w:val="00414476"/>
    <w:rsid w:val="004145E7"/>
    <w:rsid w:val="00414C2E"/>
    <w:rsid w:val="004151CF"/>
    <w:rsid w:val="00415C6D"/>
    <w:rsid w:val="00416364"/>
    <w:rsid w:val="00417CEB"/>
    <w:rsid w:val="00420AA6"/>
    <w:rsid w:val="00420B37"/>
    <w:rsid w:val="00420B9F"/>
    <w:rsid w:val="00422260"/>
    <w:rsid w:val="004222C3"/>
    <w:rsid w:val="0042413F"/>
    <w:rsid w:val="0042540C"/>
    <w:rsid w:val="00427399"/>
    <w:rsid w:val="004273FF"/>
    <w:rsid w:val="00431496"/>
    <w:rsid w:val="004319F8"/>
    <w:rsid w:val="00431E55"/>
    <w:rsid w:val="004321F6"/>
    <w:rsid w:val="00432AF5"/>
    <w:rsid w:val="00433044"/>
    <w:rsid w:val="00433354"/>
    <w:rsid w:val="004337A5"/>
    <w:rsid w:val="0043409D"/>
    <w:rsid w:val="00436F8D"/>
    <w:rsid w:val="00437103"/>
    <w:rsid w:val="004375B9"/>
    <w:rsid w:val="00440E4D"/>
    <w:rsid w:val="00440EC1"/>
    <w:rsid w:val="004428D0"/>
    <w:rsid w:val="004443A7"/>
    <w:rsid w:val="0044442C"/>
    <w:rsid w:val="00444725"/>
    <w:rsid w:val="00445106"/>
    <w:rsid w:val="00445941"/>
    <w:rsid w:val="00445C1D"/>
    <w:rsid w:val="00445C6E"/>
    <w:rsid w:val="004464EB"/>
    <w:rsid w:val="00446E78"/>
    <w:rsid w:val="0044772E"/>
    <w:rsid w:val="00447D26"/>
    <w:rsid w:val="00450394"/>
    <w:rsid w:val="00450B9D"/>
    <w:rsid w:val="00451023"/>
    <w:rsid w:val="004513E3"/>
    <w:rsid w:val="004516D7"/>
    <w:rsid w:val="00451C32"/>
    <w:rsid w:val="004524C1"/>
    <w:rsid w:val="00454FE9"/>
    <w:rsid w:val="00455D45"/>
    <w:rsid w:val="00455E6D"/>
    <w:rsid w:val="00456164"/>
    <w:rsid w:val="00456860"/>
    <w:rsid w:val="00456BC3"/>
    <w:rsid w:val="0045726D"/>
    <w:rsid w:val="00460DB5"/>
    <w:rsid w:val="00463229"/>
    <w:rsid w:val="0046445A"/>
    <w:rsid w:val="00464539"/>
    <w:rsid w:val="00464595"/>
    <w:rsid w:val="0046471A"/>
    <w:rsid w:val="0046549A"/>
    <w:rsid w:val="00465A76"/>
    <w:rsid w:val="00466EE6"/>
    <w:rsid w:val="00467EC0"/>
    <w:rsid w:val="00470B57"/>
    <w:rsid w:val="004710BC"/>
    <w:rsid w:val="00471290"/>
    <w:rsid w:val="00472908"/>
    <w:rsid w:val="00472A79"/>
    <w:rsid w:val="00473731"/>
    <w:rsid w:val="00473B16"/>
    <w:rsid w:val="00473F19"/>
    <w:rsid w:val="00475443"/>
    <w:rsid w:val="00475E22"/>
    <w:rsid w:val="0047788D"/>
    <w:rsid w:val="00477AE9"/>
    <w:rsid w:val="0048088E"/>
    <w:rsid w:val="004810AD"/>
    <w:rsid w:val="0048214A"/>
    <w:rsid w:val="00482720"/>
    <w:rsid w:val="004835E7"/>
    <w:rsid w:val="004841FB"/>
    <w:rsid w:val="00485E60"/>
    <w:rsid w:val="00485FA4"/>
    <w:rsid w:val="004867E2"/>
    <w:rsid w:val="00487EEA"/>
    <w:rsid w:val="00487F44"/>
    <w:rsid w:val="00491B3A"/>
    <w:rsid w:val="00492C59"/>
    <w:rsid w:val="00492CFD"/>
    <w:rsid w:val="004934F0"/>
    <w:rsid w:val="004939FF"/>
    <w:rsid w:val="00493C75"/>
    <w:rsid w:val="0049483C"/>
    <w:rsid w:val="00494DD5"/>
    <w:rsid w:val="00495A4A"/>
    <w:rsid w:val="00495BD7"/>
    <w:rsid w:val="00495CD7"/>
    <w:rsid w:val="004962D2"/>
    <w:rsid w:val="004A0C33"/>
    <w:rsid w:val="004A0DA1"/>
    <w:rsid w:val="004A24B4"/>
    <w:rsid w:val="004A2EA9"/>
    <w:rsid w:val="004A495E"/>
    <w:rsid w:val="004A52E9"/>
    <w:rsid w:val="004A5F3D"/>
    <w:rsid w:val="004A6597"/>
    <w:rsid w:val="004A7848"/>
    <w:rsid w:val="004A7AAE"/>
    <w:rsid w:val="004A7EC3"/>
    <w:rsid w:val="004B04DF"/>
    <w:rsid w:val="004B1CB4"/>
    <w:rsid w:val="004B2F18"/>
    <w:rsid w:val="004B35CA"/>
    <w:rsid w:val="004B39CB"/>
    <w:rsid w:val="004B3DDB"/>
    <w:rsid w:val="004B3F6F"/>
    <w:rsid w:val="004B44FD"/>
    <w:rsid w:val="004B5CFC"/>
    <w:rsid w:val="004B6370"/>
    <w:rsid w:val="004B774D"/>
    <w:rsid w:val="004B7CC7"/>
    <w:rsid w:val="004C0C75"/>
    <w:rsid w:val="004C1DF1"/>
    <w:rsid w:val="004C4AED"/>
    <w:rsid w:val="004C5F61"/>
    <w:rsid w:val="004C798C"/>
    <w:rsid w:val="004D09E9"/>
    <w:rsid w:val="004D141A"/>
    <w:rsid w:val="004D185E"/>
    <w:rsid w:val="004D1EEF"/>
    <w:rsid w:val="004D2194"/>
    <w:rsid w:val="004D270B"/>
    <w:rsid w:val="004D28D3"/>
    <w:rsid w:val="004D2C2D"/>
    <w:rsid w:val="004D5B0E"/>
    <w:rsid w:val="004D6B80"/>
    <w:rsid w:val="004D7227"/>
    <w:rsid w:val="004E0162"/>
    <w:rsid w:val="004E0784"/>
    <w:rsid w:val="004E0E7F"/>
    <w:rsid w:val="004E0EB8"/>
    <w:rsid w:val="004E1F0F"/>
    <w:rsid w:val="004E271A"/>
    <w:rsid w:val="004E2ADC"/>
    <w:rsid w:val="004E3471"/>
    <w:rsid w:val="004E43B2"/>
    <w:rsid w:val="004E6F1E"/>
    <w:rsid w:val="004F0442"/>
    <w:rsid w:val="004F0D49"/>
    <w:rsid w:val="004F1837"/>
    <w:rsid w:val="004F1D02"/>
    <w:rsid w:val="004F2679"/>
    <w:rsid w:val="004F277A"/>
    <w:rsid w:val="004F2F21"/>
    <w:rsid w:val="004F5347"/>
    <w:rsid w:val="004F64E6"/>
    <w:rsid w:val="004F6913"/>
    <w:rsid w:val="004F7865"/>
    <w:rsid w:val="004F7B51"/>
    <w:rsid w:val="00501BBB"/>
    <w:rsid w:val="00501DED"/>
    <w:rsid w:val="0050219B"/>
    <w:rsid w:val="0050247D"/>
    <w:rsid w:val="00502AD8"/>
    <w:rsid w:val="005033D2"/>
    <w:rsid w:val="00503F17"/>
    <w:rsid w:val="005048EE"/>
    <w:rsid w:val="00506799"/>
    <w:rsid w:val="00506928"/>
    <w:rsid w:val="005105A1"/>
    <w:rsid w:val="00510874"/>
    <w:rsid w:val="00511896"/>
    <w:rsid w:val="00511D0E"/>
    <w:rsid w:val="005152B5"/>
    <w:rsid w:val="005159F8"/>
    <w:rsid w:val="00515F72"/>
    <w:rsid w:val="005166B1"/>
    <w:rsid w:val="00516C41"/>
    <w:rsid w:val="00516EB8"/>
    <w:rsid w:val="00517D50"/>
    <w:rsid w:val="00521319"/>
    <w:rsid w:val="0052143A"/>
    <w:rsid w:val="005216D5"/>
    <w:rsid w:val="00522BC8"/>
    <w:rsid w:val="00523C28"/>
    <w:rsid w:val="00526385"/>
    <w:rsid w:val="005268F1"/>
    <w:rsid w:val="00526C3D"/>
    <w:rsid w:val="005316A7"/>
    <w:rsid w:val="0053172E"/>
    <w:rsid w:val="005317F1"/>
    <w:rsid w:val="00531B83"/>
    <w:rsid w:val="00531BF0"/>
    <w:rsid w:val="005330F0"/>
    <w:rsid w:val="0053421F"/>
    <w:rsid w:val="00534AA4"/>
    <w:rsid w:val="00534E31"/>
    <w:rsid w:val="00535A74"/>
    <w:rsid w:val="00535C79"/>
    <w:rsid w:val="00536F42"/>
    <w:rsid w:val="00537182"/>
    <w:rsid w:val="0054006C"/>
    <w:rsid w:val="0054110E"/>
    <w:rsid w:val="00542743"/>
    <w:rsid w:val="00542C2D"/>
    <w:rsid w:val="00543991"/>
    <w:rsid w:val="0054443C"/>
    <w:rsid w:val="005456FD"/>
    <w:rsid w:val="005458FE"/>
    <w:rsid w:val="00547F44"/>
    <w:rsid w:val="00550871"/>
    <w:rsid w:val="00550EB6"/>
    <w:rsid w:val="00551985"/>
    <w:rsid w:val="005525E9"/>
    <w:rsid w:val="005526AB"/>
    <w:rsid w:val="00552BD3"/>
    <w:rsid w:val="00552F1C"/>
    <w:rsid w:val="005540BC"/>
    <w:rsid w:val="00555109"/>
    <w:rsid w:val="00556C7B"/>
    <w:rsid w:val="00560BA8"/>
    <w:rsid w:val="00562B9C"/>
    <w:rsid w:val="00563A0E"/>
    <w:rsid w:val="005641BF"/>
    <w:rsid w:val="00564620"/>
    <w:rsid w:val="0056696F"/>
    <w:rsid w:val="0056749D"/>
    <w:rsid w:val="00567AB7"/>
    <w:rsid w:val="00570880"/>
    <w:rsid w:val="00571AA0"/>
    <w:rsid w:val="00571BAF"/>
    <w:rsid w:val="00572269"/>
    <w:rsid w:val="0057244A"/>
    <w:rsid w:val="005732CB"/>
    <w:rsid w:val="00573E0C"/>
    <w:rsid w:val="00575D8D"/>
    <w:rsid w:val="00576972"/>
    <w:rsid w:val="005772E5"/>
    <w:rsid w:val="005800E9"/>
    <w:rsid w:val="005811E0"/>
    <w:rsid w:val="00582C1C"/>
    <w:rsid w:val="00582D59"/>
    <w:rsid w:val="0058343E"/>
    <w:rsid w:val="00583699"/>
    <w:rsid w:val="00584486"/>
    <w:rsid w:val="00585094"/>
    <w:rsid w:val="00585159"/>
    <w:rsid w:val="00585CDD"/>
    <w:rsid w:val="00585E48"/>
    <w:rsid w:val="00585F59"/>
    <w:rsid w:val="0058601A"/>
    <w:rsid w:val="00587031"/>
    <w:rsid w:val="00587058"/>
    <w:rsid w:val="00587994"/>
    <w:rsid w:val="00591957"/>
    <w:rsid w:val="005919A4"/>
    <w:rsid w:val="0059364C"/>
    <w:rsid w:val="00593A31"/>
    <w:rsid w:val="00594D5A"/>
    <w:rsid w:val="0059527D"/>
    <w:rsid w:val="00595816"/>
    <w:rsid w:val="00595FEF"/>
    <w:rsid w:val="005964EE"/>
    <w:rsid w:val="005967FF"/>
    <w:rsid w:val="00596D86"/>
    <w:rsid w:val="00597682"/>
    <w:rsid w:val="0059786E"/>
    <w:rsid w:val="005978BB"/>
    <w:rsid w:val="00597BF9"/>
    <w:rsid w:val="005A0289"/>
    <w:rsid w:val="005A142D"/>
    <w:rsid w:val="005A1640"/>
    <w:rsid w:val="005A16A9"/>
    <w:rsid w:val="005A282A"/>
    <w:rsid w:val="005A2EE6"/>
    <w:rsid w:val="005A373D"/>
    <w:rsid w:val="005A3BA8"/>
    <w:rsid w:val="005A45B8"/>
    <w:rsid w:val="005A66F9"/>
    <w:rsid w:val="005A7E8C"/>
    <w:rsid w:val="005B2DC4"/>
    <w:rsid w:val="005B333F"/>
    <w:rsid w:val="005B3AAA"/>
    <w:rsid w:val="005B4095"/>
    <w:rsid w:val="005B4124"/>
    <w:rsid w:val="005B5326"/>
    <w:rsid w:val="005B5857"/>
    <w:rsid w:val="005B64BF"/>
    <w:rsid w:val="005B64F3"/>
    <w:rsid w:val="005B708D"/>
    <w:rsid w:val="005B724B"/>
    <w:rsid w:val="005B7526"/>
    <w:rsid w:val="005B7CA8"/>
    <w:rsid w:val="005C0473"/>
    <w:rsid w:val="005C1142"/>
    <w:rsid w:val="005C1B83"/>
    <w:rsid w:val="005C2D55"/>
    <w:rsid w:val="005C2F23"/>
    <w:rsid w:val="005C31B6"/>
    <w:rsid w:val="005C346B"/>
    <w:rsid w:val="005C3AAC"/>
    <w:rsid w:val="005C43D5"/>
    <w:rsid w:val="005C44BD"/>
    <w:rsid w:val="005C49CD"/>
    <w:rsid w:val="005C7FC9"/>
    <w:rsid w:val="005D044D"/>
    <w:rsid w:val="005D04A6"/>
    <w:rsid w:val="005D0ABD"/>
    <w:rsid w:val="005D0E1B"/>
    <w:rsid w:val="005D13BF"/>
    <w:rsid w:val="005D18AD"/>
    <w:rsid w:val="005D1A61"/>
    <w:rsid w:val="005D2609"/>
    <w:rsid w:val="005D26B4"/>
    <w:rsid w:val="005D55D7"/>
    <w:rsid w:val="005D5759"/>
    <w:rsid w:val="005D5768"/>
    <w:rsid w:val="005D7648"/>
    <w:rsid w:val="005E0748"/>
    <w:rsid w:val="005E1E97"/>
    <w:rsid w:val="005E2082"/>
    <w:rsid w:val="005E237B"/>
    <w:rsid w:val="005E2D62"/>
    <w:rsid w:val="005E45D4"/>
    <w:rsid w:val="005E5092"/>
    <w:rsid w:val="005E537D"/>
    <w:rsid w:val="005E5980"/>
    <w:rsid w:val="005E6358"/>
    <w:rsid w:val="005E6CBC"/>
    <w:rsid w:val="005E737F"/>
    <w:rsid w:val="005E73C0"/>
    <w:rsid w:val="005F12BD"/>
    <w:rsid w:val="005F1BDF"/>
    <w:rsid w:val="005F2706"/>
    <w:rsid w:val="005F2EA6"/>
    <w:rsid w:val="005F484F"/>
    <w:rsid w:val="005F4A40"/>
    <w:rsid w:val="005F4CD7"/>
    <w:rsid w:val="005F5737"/>
    <w:rsid w:val="005F601E"/>
    <w:rsid w:val="005F674E"/>
    <w:rsid w:val="005F6905"/>
    <w:rsid w:val="005F6A8F"/>
    <w:rsid w:val="005F70BC"/>
    <w:rsid w:val="00600878"/>
    <w:rsid w:val="006027DC"/>
    <w:rsid w:val="00603DB9"/>
    <w:rsid w:val="006040FE"/>
    <w:rsid w:val="0060498D"/>
    <w:rsid w:val="0060538E"/>
    <w:rsid w:val="00606086"/>
    <w:rsid w:val="00606881"/>
    <w:rsid w:val="00607669"/>
    <w:rsid w:val="006079A2"/>
    <w:rsid w:val="00607AFD"/>
    <w:rsid w:val="00610D0E"/>
    <w:rsid w:val="00612F97"/>
    <w:rsid w:val="0061345D"/>
    <w:rsid w:val="00615915"/>
    <w:rsid w:val="006167B2"/>
    <w:rsid w:val="00616802"/>
    <w:rsid w:val="006178E7"/>
    <w:rsid w:val="00617C7E"/>
    <w:rsid w:val="00617E12"/>
    <w:rsid w:val="0062040A"/>
    <w:rsid w:val="00620810"/>
    <w:rsid w:val="00621477"/>
    <w:rsid w:val="006220C1"/>
    <w:rsid w:val="00623DF9"/>
    <w:rsid w:val="0062563E"/>
    <w:rsid w:val="006260AF"/>
    <w:rsid w:val="0063158F"/>
    <w:rsid w:val="00631D6B"/>
    <w:rsid w:val="006323E9"/>
    <w:rsid w:val="006330A1"/>
    <w:rsid w:val="006338E7"/>
    <w:rsid w:val="00633E37"/>
    <w:rsid w:val="0063479F"/>
    <w:rsid w:val="00635336"/>
    <w:rsid w:val="006353F0"/>
    <w:rsid w:val="00636404"/>
    <w:rsid w:val="006364A1"/>
    <w:rsid w:val="00637BFD"/>
    <w:rsid w:val="00640006"/>
    <w:rsid w:val="006413F1"/>
    <w:rsid w:val="00641C04"/>
    <w:rsid w:val="00641C4E"/>
    <w:rsid w:val="0064609B"/>
    <w:rsid w:val="006460BD"/>
    <w:rsid w:val="00646ED0"/>
    <w:rsid w:val="00647020"/>
    <w:rsid w:val="006471CC"/>
    <w:rsid w:val="00647DB9"/>
    <w:rsid w:val="0065079F"/>
    <w:rsid w:val="00653325"/>
    <w:rsid w:val="0065379F"/>
    <w:rsid w:val="00654058"/>
    <w:rsid w:val="00655DFB"/>
    <w:rsid w:val="00656B37"/>
    <w:rsid w:val="00657108"/>
    <w:rsid w:val="00657BFD"/>
    <w:rsid w:val="00660BCC"/>
    <w:rsid w:val="00661C6B"/>
    <w:rsid w:val="00663BCD"/>
    <w:rsid w:val="00665BF0"/>
    <w:rsid w:val="006673DC"/>
    <w:rsid w:val="00667FC4"/>
    <w:rsid w:val="00670089"/>
    <w:rsid w:val="00670390"/>
    <w:rsid w:val="00670588"/>
    <w:rsid w:val="00670D05"/>
    <w:rsid w:val="00671B20"/>
    <w:rsid w:val="0067268C"/>
    <w:rsid w:val="006744F1"/>
    <w:rsid w:val="00674E42"/>
    <w:rsid w:val="00677729"/>
    <w:rsid w:val="00677AB7"/>
    <w:rsid w:val="006808BF"/>
    <w:rsid w:val="00681E62"/>
    <w:rsid w:val="00682112"/>
    <w:rsid w:val="0068325A"/>
    <w:rsid w:val="006833F4"/>
    <w:rsid w:val="00684447"/>
    <w:rsid w:val="006862F0"/>
    <w:rsid w:val="00686957"/>
    <w:rsid w:val="00687114"/>
    <w:rsid w:val="006872BA"/>
    <w:rsid w:val="006872F2"/>
    <w:rsid w:val="006878B2"/>
    <w:rsid w:val="00687A51"/>
    <w:rsid w:val="00687C17"/>
    <w:rsid w:val="006904B5"/>
    <w:rsid w:val="006907DE"/>
    <w:rsid w:val="00691648"/>
    <w:rsid w:val="006917D7"/>
    <w:rsid w:val="00691841"/>
    <w:rsid w:val="0069285C"/>
    <w:rsid w:val="00693A5A"/>
    <w:rsid w:val="00694F44"/>
    <w:rsid w:val="00695236"/>
    <w:rsid w:val="006977C0"/>
    <w:rsid w:val="00697A10"/>
    <w:rsid w:val="00697E6A"/>
    <w:rsid w:val="006A0AA9"/>
    <w:rsid w:val="006A2536"/>
    <w:rsid w:val="006A3246"/>
    <w:rsid w:val="006A5D0F"/>
    <w:rsid w:val="006A6891"/>
    <w:rsid w:val="006A698C"/>
    <w:rsid w:val="006A6CF7"/>
    <w:rsid w:val="006A6F53"/>
    <w:rsid w:val="006A7E5F"/>
    <w:rsid w:val="006B025B"/>
    <w:rsid w:val="006B19DA"/>
    <w:rsid w:val="006B261B"/>
    <w:rsid w:val="006B280A"/>
    <w:rsid w:val="006B2C90"/>
    <w:rsid w:val="006B3056"/>
    <w:rsid w:val="006B361F"/>
    <w:rsid w:val="006B36B9"/>
    <w:rsid w:val="006B3949"/>
    <w:rsid w:val="006B559D"/>
    <w:rsid w:val="006B6DD0"/>
    <w:rsid w:val="006C0304"/>
    <w:rsid w:val="006C2884"/>
    <w:rsid w:val="006C2A8E"/>
    <w:rsid w:val="006C2EC1"/>
    <w:rsid w:val="006C3157"/>
    <w:rsid w:val="006C34CC"/>
    <w:rsid w:val="006C3CBC"/>
    <w:rsid w:val="006C45F9"/>
    <w:rsid w:val="006C4C69"/>
    <w:rsid w:val="006C4E2D"/>
    <w:rsid w:val="006C53B1"/>
    <w:rsid w:val="006D01D3"/>
    <w:rsid w:val="006D0E80"/>
    <w:rsid w:val="006D1D03"/>
    <w:rsid w:val="006D2E13"/>
    <w:rsid w:val="006D329A"/>
    <w:rsid w:val="006D373B"/>
    <w:rsid w:val="006D38F3"/>
    <w:rsid w:val="006D3C7D"/>
    <w:rsid w:val="006D45EE"/>
    <w:rsid w:val="006D5D5F"/>
    <w:rsid w:val="006D6B7C"/>
    <w:rsid w:val="006D7E22"/>
    <w:rsid w:val="006E0849"/>
    <w:rsid w:val="006E0AF8"/>
    <w:rsid w:val="006E1EA2"/>
    <w:rsid w:val="006E1F21"/>
    <w:rsid w:val="006E2370"/>
    <w:rsid w:val="006E32BF"/>
    <w:rsid w:val="006E62B5"/>
    <w:rsid w:val="006F081E"/>
    <w:rsid w:val="006F1777"/>
    <w:rsid w:val="006F2536"/>
    <w:rsid w:val="006F306C"/>
    <w:rsid w:val="006F3212"/>
    <w:rsid w:val="006F36E4"/>
    <w:rsid w:val="006F5008"/>
    <w:rsid w:val="006F56DB"/>
    <w:rsid w:val="006F5B35"/>
    <w:rsid w:val="006F63A5"/>
    <w:rsid w:val="006F656C"/>
    <w:rsid w:val="0070142B"/>
    <w:rsid w:val="00701E54"/>
    <w:rsid w:val="0070276E"/>
    <w:rsid w:val="00702F8F"/>
    <w:rsid w:val="00704627"/>
    <w:rsid w:val="00705BBA"/>
    <w:rsid w:val="00705F8F"/>
    <w:rsid w:val="007067CC"/>
    <w:rsid w:val="00707132"/>
    <w:rsid w:val="00711A36"/>
    <w:rsid w:val="00711BA0"/>
    <w:rsid w:val="0071228E"/>
    <w:rsid w:val="007131D8"/>
    <w:rsid w:val="007145E0"/>
    <w:rsid w:val="0071529C"/>
    <w:rsid w:val="0071631D"/>
    <w:rsid w:val="00716F21"/>
    <w:rsid w:val="007172AD"/>
    <w:rsid w:val="007175F5"/>
    <w:rsid w:val="00717664"/>
    <w:rsid w:val="00717F91"/>
    <w:rsid w:val="0072039C"/>
    <w:rsid w:val="007221ED"/>
    <w:rsid w:val="00722534"/>
    <w:rsid w:val="00722B1B"/>
    <w:rsid w:val="0072416F"/>
    <w:rsid w:val="0072446B"/>
    <w:rsid w:val="007251F3"/>
    <w:rsid w:val="0072526E"/>
    <w:rsid w:val="00727C94"/>
    <w:rsid w:val="007305F3"/>
    <w:rsid w:val="007318A3"/>
    <w:rsid w:val="00731EAE"/>
    <w:rsid w:val="00733C1B"/>
    <w:rsid w:val="007340C3"/>
    <w:rsid w:val="00735033"/>
    <w:rsid w:val="007351C9"/>
    <w:rsid w:val="00735328"/>
    <w:rsid w:val="007356BB"/>
    <w:rsid w:val="007365C1"/>
    <w:rsid w:val="0073685B"/>
    <w:rsid w:val="00737444"/>
    <w:rsid w:val="00740542"/>
    <w:rsid w:val="007408C7"/>
    <w:rsid w:val="00743B01"/>
    <w:rsid w:val="0074431C"/>
    <w:rsid w:val="00744ECB"/>
    <w:rsid w:val="00745BEC"/>
    <w:rsid w:val="0074638B"/>
    <w:rsid w:val="00747BB0"/>
    <w:rsid w:val="0075046B"/>
    <w:rsid w:val="00750CE8"/>
    <w:rsid w:val="00751B3A"/>
    <w:rsid w:val="00752142"/>
    <w:rsid w:val="007523F9"/>
    <w:rsid w:val="00752552"/>
    <w:rsid w:val="00753430"/>
    <w:rsid w:val="00756744"/>
    <w:rsid w:val="007573E8"/>
    <w:rsid w:val="00760353"/>
    <w:rsid w:val="00760451"/>
    <w:rsid w:val="00760C4E"/>
    <w:rsid w:val="007614A4"/>
    <w:rsid w:val="00761596"/>
    <w:rsid w:val="007616BC"/>
    <w:rsid w:val="00765B1A"/>
    <w:rsid w:val="00767262"/>
    <w:rsid w:val="007713C5"/>
    <w:rsid w:val="00771AC2"/>
    <w:rsid w:val="00772001"/>
    <w:rsid w:val="0077383B"/>
    <w:rsid w:val="007756FE"/>
    <w:rsid w:val="007758A7"/>
    <w:rsid w:val="00776987"/>
    <w:rsid w:val="00777A43"/>
    <w:rsid w:val="00777B47"/>
    <w:rsid w:val="00780DAB"/>
    <w:rsid w:val="007843F2"/>
    <w:rsid w:val="00784DC8"/>
    <w:rsid w:val="0078548F"/>
    <w:rsid w:val="0078650B"/>
    <w:rsid w:val="00787A6E"/>
    <w:rsid w:val="00787DAC"/>
    <w:rsid w:val="00791865"/>
    <w:rsid w:val="007919C9"/>
    <w:rsid w:val="007922DE"/>
    <w:rsid w:val="0079270C"/>
    <w:rsid w:val="007934CC"/>
    <w:rsid w:val="00793DF1"/>
    <w:rsid w:val="0079430A"/>
    <w:rsid w:val="007943BD"/>
    <w:rsid w:val="00794C41"/>
    <w:rsid w:val="00795783"/>
    <w:rsid w:val="007957EA"/>
    <w:rsid w:val="00797B4E"/>
    <w:rsid w:val="007A01FD"/>
    <w:rsid w:val="007A0A12"/>
    <w:rsid w:val="007A0CD7"/>
    <w:rsid w:val="007A132D"/>
    <w:rsid w:val="007A2970"/>
    <w:rsid w:val="007A33F3"/>
    <w:rsid w:val="007A3AED"/>
    <w:rsid w:val="007A4D1E"/>
    <w:rsid w:val="007B0D68"/>
    <w:rsid w:val="007B13E5"/>
    <w:rsid w:val="007B241C"/>
    <w:rsid w:val="007B251D"/>
    <w:rsid w:val="007B2773"/>
    <w:rsid w:val="007B3EB8"/>
    <w:rsid w:val="007B460A"/>
    <w:rsid w:val="007B4F58"/>
    <w:rsid w:val="007B528D"/>
    <w:rsid w:val="007B599F"/>
    <w:rsid w:val="007B68FF"/>
    <w:rsid w:val="007B70CA"/>
    <w:rsid w:val="007B76F4"/>
    <w:rsid w:val="007B77D1"/>
    <w:rsid w:val="007C04A0"/>
    <w:rsid w:val="007C0787"/>
    <w:rsid w:val="007C1CD9"/>
    <w:rsid w:val="007C22CC"/>
    <w:rsid w:val="007C32DC"/>
    <w:rsid w:val="007C361D"/>
    <w:rsid w:val="007C4B84"/>
    <w:rsid w:val="007C6013"/>
    <w:rsid w:val="007C61ED"/>
    <w:rsid w:val="007C6D34"/>
    <w:rsid w:val="007C7DF8"/>
    <w:rsid w:val="007D0010"/>
    <w:rsid w:val="007D004F"/>
    <w:rsid w:val="007D0B38"/>
    <w:rsid w:val="007D1248"/>
    <w:rsid w:val="007D1DDB"/>
    <w:rsid w:val="007D2C24"/>
    <w:rsid w:val="007D4386"/>
    <w:rsid w:val="007D5440"/>
    <w:rsid w:val="007D629A"/>
    <w:rsid w:val="007D672A"/>
    <w:rsid w:val="007D7747"/>
    <w:rsid w:val="007E0FD2"/>
    <w:rsid w:val="007E188F"/>
    <w:rsid w:val="007E19B1"/>
    <w:rsid w:val="007E1F97"/>
    <w:rsid w:val="007E22F4"/>
    <w:rsid w:val="007E2909"/>
    <w:rsid w:val="007E4055"/>
    <w:rsid w:val="007E4EB9"/>
    <w:rsid w:val="007E72D8"/>
    <w:rsid w:val="007E7C06"/>
    <w:rsid w:val="007F0149"/>
    <w:rsid w:val="007F1017"/>
    <w:rsid w:val="007F1F5E"/>
    <w:rsid w:val="007F20B9"/>
    <w:rsid w:val="007F2315"/>
    <w:rsid w:val="007F2C79"/>
    <w:rsid w:val="007F2CB8"/>
    <w:rsid w:val="007F39DB"/>
    <w:rsid w:val="007F4A3F"/>
    <w:rsid w:val="007F4A61"/>
    <w:rsid w:val="007F5C7D"/>
    <w:rsid w:val="007F61C2"/>
    <w:rsid w:val="007F6255"/>
    <w:rsid w:val="0080104D"/>
    <w:rsid w:val="00801AB4"/>
    <w:rsid w:val="00803550"/>
    <w:rsid w:val="0080355D"/>
    <w:rsid w:val="00803BB4"/>
    <w:rsid w:val="00805142"/>
    <w:rsid w:val="00807024"/>
    <w:rsid w:val="00807A8B"/>
    <w:rsid w:val="008109E0"/>
    <w:rsid w:val="00810B35"/>
    <w:rsid w:val="00811383"/>
    <w:rsid w:val="00811A98"/>
    <w:rsid w:val="00812149"/>
    <w:rsid w:val="008124BF"/>
    <w:rsid w:val="00812CAC"/>
    <w:rsid w:val="008131A3"/>
    <w:rsid w:val="00814566"/>
    <w:rsid w:val="0081498A"/>
    <w:rsid w:val="00815AE6"/>
    <w:rsid w:val="008166EF"/>
    <w:rsid w:val="008171D9"/>
    <w:rsid w:val="00820432"/>
    <w:rsid w:val="008208E2"/>
    <w:rsid w:val="00820D86"/>
    <w:rsid w:val="008218F8"/>
    <w:rsid w:val="008220F0"/>
    <w:rsid w:val="00823376"/>
    <w:rsid w:val="008249C6"/>
    <w:rsid w:val="00825751"/>
    <w:rsid w:val="008264EB"/>
    <w:rsid w:val="008269AB"/>
    <w:rsid w:val="008307DB"/>
    <w:rsid w:val="00831C1D"/>
    <w:rsid w:val="008326E5"/>
    <w:rsid w:val="00832D2A"/>
    <w:rsid w:val="00832DB9"/>
    <w:rsid w:val="00833B05"/>
    <w:rsid w:val="00834639"/>
    <w:rsid w:val="008362B4"/>
    <w:rsid w:val="0083687C"/>
    <w:rsid w:val="00840CA2"/>
    <w:rsid w:val="0084222A"/>
    <w:rsid w:val="0084374F"/>
    <w:rsid w:val="00843F14"/>
    <w:rsid w:val="0084475C"/>
    <w:rsid w:val="00844888"/>
    <w:rsid w:val="008448D7"/>
    <w:rsid w:val="0084628F"/>
    <w:rsid w:val="00846E4A"/>
    <w:rsid w:val="0084759D"/>
    <w:rsid w:val="0084799B"/>
    <w:rsid w:val="00847DF5"/>
    <w:rsid w:val="00850C84"/>
    <w:rsid w:val="008514FE"/>
    <w:rsid w:val="0085309D"/>
    <w:rsid w:val="00854F5B"/>
    <w:rsid w:val="008565BE"/>
    <w:rsid w:val="00856897"/>
    <w:rsid w:val="00856E9A"/>
    <w:rsid w:val="0086075D"/>
    <w:rsid w:val="00860FD7"/>
    <w:rsid w:val="008618DB"/>
    <w:rsid w:val="00862502"/>
    <w:rsid w:val="00862CF4"/>
    <w:rsid w:val="0086420A"/>
    <w:rsid w:val="00865B6B"/>
    <w:rsid w:val="00865D44"/>
    <w:rsid w:val="008660D4"/>
    <w:rsid w:val="00867BB8"/>
    <w:rsid w:val="00871272"/>
    <w:rsid w:val="00871A42"/>
    <w:rsid w:val="00871FA9"/>
    <w:rsid w:val="008728E9"/>
    <w:rsid w:val="008733CD"/>
    <w:rsid w:val="00873CEE"/>
    <w:rsid w:val="008747E4"/>
    <w:rsid w:val="0087717C"/>
    <w:rsid w:val="008801CA"/>
    <w:rsid w:val="0088029D"/>
    <w:rsid w:val="00882874"/>
    <w:rsid w:val="00883787"/>
    <w:rsid w:val="00884269"/>
    <w:rsid w:val="00884F3D"/>
    <w:rsid w:val="00885E34"/>
    <w:rsid w:val="00886CD2"/>
    <w:rsid w:val="008871A8"/>
    <w:rsid w:val="00892A36"/>
    <w:rsid w:val="00893239"/>
    <w:rsid w:val="00894489"/>
    <w:rsid w:val="008954A7"/>
    <w:rsid w:val="00895A71"/>
    <w:rsid w:val="0089602D"/>
    <w:rsid w:val="008963A5"/>
    <w:rsid w:val="0089758F"/>
    <w:rsid w:val="008A0BAA"/>
    <w:rsid w:val="008A3363"/>
    <w:rsid w:val="008A3371"/>
    <w:rsid w:val="008A3C3E"/>
    <w:rsid w:val="008A40E7"/>
    <w:rsid w:val="008A46AF"/>
    <w:rsid w:val="008A5DE0"/>
    <w:rsid w:val="008A7038"/>
    <w:rsid w:val="008A79DE"/>
    <w:rsid w:val="008B0E5F"/>
    <w:rsid w:val="008B0FC1"/>
    <w:rsid w:val="008B1757"/>
    <w:rsid w:val="008B23CC"/>
    <w:rsid w:val="008B2922"/>
    <w:rsid w:val="008B3A5F"/>
    <w:rsid w:val="008B3DE4"/>
    <w:rsid w:val="008B5082"/>
    <w:rsid w:val="008B5404"/>
    <w:rsid w:val="008B5756"/>
    <w:rsid w:val="008B5C8F"/>
    <w:rsid w:val="008B7D7E"/>
    <w:rsid w:val="008C1ED0"/>
    <w:rsid w:val="008C4CA9"/>
    <w:rsid w:val="008C7ECB"/>
    <w:rsid w:val="008D14B3"/>
    <w:rsid w:val="008D2F16"/>
    <w:rsid w:val="008D391D"/>
    <w:rsid w:val="008D3946"/>
    <w:rsid w:val="008D4755"/>
    <w:rsid w:val="008D4C3D"/>
    <w:rsid w:val="008D50AF"/>
    <w:rsid w:val="008E00F5"/>
    <w:rsid w:val="008E0D3C"/>
    <w:rsid w:val="008E15B9"/>
    <w:rsid w:val="008E19B6"/>
    <w:rsid w:val="008E1B9E"/>
    <w:rsid w:val="008E261D"/>
    <w:rsid w:val="008E2F4A"/>
    <w:rsid w:val="008E3E7D"/>
    <w:rsid w:val="008E4125"/>
    <w:rsid w:val="008E487E"/>
    <w:rsid w:val="008E4CDB"/>
    <w:rsid w:val="008E55AB"/>
    <w:rsid w:val="008F120A"/>
    <w:rsid w:val="008F2662"/>
    <w:rsid w:val="008F27E0"/>
    <w:rsid w:val="008F36BD"/>
    <w:rsid w:val="008F48EB"/>
    <w:rsid w:val="008F4F0B"/>
    <w:rsid w:val="008F69F3"/>
    <w:rsid w:val="008F7295"/>
    <w:rsid w:val="008F7666"/>
    <w:rsid w:val="009006B1"/>
    <w:rsid w:val="00900F77"/>
    <w:rsid w:val="00901A3F"/>
    <w:rsid w:val="00901C0F"/>
    <w:rsid w:val="00901E76"/>
    <w:rsid w:val="00902827"/>
    <w:rsid w:val="00902AB0"/>
    <w:rsid w:val="00902B95"/>
    <w:rsid w:val="00902D65"/>
    <w:rsid w:val="00903805"/>
    <w:rsid w:val="00903845"/>
    <w:rsid w:val="00903A92"/>
    <w:rsid w:val="009046C4"/>
    <w:rsid w:val="009047D3"/>
    <w:rsid w:val="009048F4"/>
    <w:rsid w:val="00904FF2"/>
    <w:rsid w:val="00905EA3"/>
    <w:rsid w:val="009062A5"/>
    <w:rsid w:val="0091040C"/>
    <w:rsid w:val="00911272"/>
    <w:rsid w:val="00912087"/>
    <w:rsid w:val="00912355"/>
    <w:rsid w:val="00912A8F"/>
    <w:rsid w:val="009135D6"/>
    <w:rsid w:val="00913BFD"/>
    <w:rsid w:val="00914C77"/>
    <w:rsid w:val="00917DAC"/>
    <w:rsid w:val="00917DD0"/>
    <w:rsid w:val="009200D0"/>
    <w:rsid w:val="00920B89"/>
    <w:rsid w:val="00922537"/>
    <w:rsid w:val="009231E6"/>
    <w:rsid w:val="0092369B"/>
    <w:rsid w:val="009239F4"/>
    <w:rsid w:val="00923AD6"/>
    <w:rsid w:val="00924458"/>
    <w:rsid w:val="00924826"/>
    <w:rsid w:val="00924829"/>
    <w:rsid w:val="00924CB0"/>
    <w:rsid w:val="009250AC"/>
    <w:rsid w:val="00925F0E"/>
    <w:rsid w:val="00927245"/>
    <w:rsid w:val="00927CC7"/>
    <w:rsid w:val="00930283"/>
    <w:rsid w:val="009320F1"/>
    <w:rsid w:val="00934D78"/>
    <w:rsid w:val="009350A6"/>
    <w:rsid w:val="0093658C"/>
    <w:rsid w:val="00936A1F"/>
    <w:rsid w:val="00937954"/>
    <w:rsid w:val="00940F0A"/>
    <w:rsid w:val="00941291"/>
    <w:rsid w:val="00943A0A"/>
    <w:rsid w:val="009451AC"/>
    <w:rsid w:val="0094565A"/>
    <w:rsid w:val="00946594"/>
    <w:rsid w:val="009510A2"/>
    <w:rsid w:val="00952F06"/>
    <w:rsid w:val="00953257"/>
    <w:rsid w:val="00956188"/>
    <w:rsid w:val="00961E10"/>
    <w:rsid w:val="009624CC"/>
    <w:rsid w:val="00962594"/>
    <w:rsid w:val="00962C7A"/>
    <w:rsid w:val="00962CB9"/>
    <w:rsid w:val="00962E9E"/>
    <w:rsid w:val="00964085"/>
    <w:rsid w:val="00964312"/>
    <w:rsid w:val="009645CF"/>
    <w:rsid w:val="009649AC"/>
    <w:rsid w:val="00964C03"/>
    <w:rsid w:val="00965B8A"/>
    <w:rsid w:val="00965F6D"/>
    <w:rsid w:val="009662ED"/>
    <w:rsid w:val="00967342"/>
    <w:rsid w:val="009706F6"/>
    <w:rsid w:val="0097104C"/>
    <w:rsid w:val="009717AC"/>
    <w:rsid w:val="009721ED"/>
    <w:rsid w:val="0097373D"/>
    <w:rsid w:val="009772A9"/>
    <w:rsid w:val="00977559"/>
    <w:rsid w:val="00981798"/>
    <w:rsid w:val="00982889"/>
    <w:rsid w:val="0098363A"/>
    <w:rsid w:val="00983E57"/>
    <w:rsid w:val="0098674F"/>
    <w:rsid w:val="0098675D"/>
    <w:rsid w:val="00987B4C"/>
    <w:rsid w:val="009912AC"/>
    <w:rsid w:val="00991496"/>
    <w:rsid w:val="00991E05"/>
    <w:rsid w:val="00992875"/>
    <w:rsid w:val="0099334A"/>
    <w:rsid w:val="00993E19"/>
    <w:rsid w:val="009948C0"/>
    <w:rsid w:val="00994D03"/>
    <w:rsid w:val="009953E1"/>
    <w:rsid w:val="009958BC"/>
    <w:rsid w:val="00996B1A"/>
    <w:rsid w:val="0099764E"/>
    <w:rsid w:val="00997FDD"/>
    <w:rsid w:val="009A17D7"/>
    <w:rsid w:val="009A1BBC"/>
    <w:rsid w:val="009A379A"/>
    <w:rsid w:val="009A4E40"/>
    <w:rsid w:val="009A5378"/>
    <w:rsid w:val="009A5D32"/>
    <w:rsid w:val="009A6DFA"/>
    <w:rsid w:val="009A6F92"/>
    <w:rsid w:val="009A7F10"/>
    <w:rsid w:val="009B05AE"/>
    <w:rsid w:val="009B0FDC"/>
    <w:rsid w:val="009B1BB2"/>
    <w:rsid w:val="009B3776"/>
    <w:rsid w:val="009B3E26"/>
    <w:rsid w:val="009B5658"/>
    <w:rsid w:val="009C3BCC"/>
    <w:rsid w:val="009C496A"/>
    <w:rsid w:val="009C5E47"/>
    <w:rsid w:val="009C6CEA"/>
    <w:rsid w:val="009C7B85"/>
    <w:rsid w:val="009D2DF2"/>
    <w:rsid w:val="009D4093"/>
    <w:rsid w:val="009D5B91"/>
    <w:rsid w:val="009D6382"/>
    <w:rsid w:val="009D6D52"/>
    <w:rsid w:val="009D792E"/>
    <w:rsid w:val="009D79F8"/>
    <w:rsid w:val="009D7D61"/>
    <w:rsid w:val="009E0DFE"/>
    <w:rsid w:val="009E1954"/>
    <w:rsid w:val="009E2066"/>
    <w:rsid w:val="009E2437"/>
    <w:rsid w:val="009E258E"/>
    <w:rsid w:val="009E38D7"/>
    <w:rsid w:val="009E392D"/>
    <w:rsid w:val="009E3AAE"/>
    <w:rsid w:val="009E4686"/>
    <w:rsid w:val="009E4C07"/>
    <w:rsid w:val="009E5223"/>
    <w:rsid w:val="009E5963"/>
    <w:rsid w:val="009E66D7"/>
    <w:rsid w:val="009E7D5A"/>
    <w:rsid w:val="009F0106"/>
    <w:rsid w:val="009F1D1E"/>
    <w:rsid w:val="009F2978"/>
    <w:rsid w:val="009F3DF2"/>
    <w:rsid w:val="009F4C90"/>
    <w:rsid w:val="009F6F8F"/>
    <w:rsid w:val="009F7630"/>
    <w:rsid w:val="00A0111D"/>
    <w:rsid w:val="00A01184"/>
    <w:rsid w:val="00A01E1E"/>
    <w:rsid w:val="00A029AC"/>
    <w:rsid w:val="00A03D43"/>
    <w:rsid w:val="00A04380"/>
    <w:rsid w:val="00A06455"/>
    <w:rsid w:val="00A0667F"/>
    <w:rsid w:val="00A06A6D"/>
    <w:rsid w:val="00A07287"/>
    <w:rsid w:val="00A07AB6"/>
    <w:rsid w:val="00A07F34"/>
    <w:rsid w:val="00A10129"/>
    <w:rsid w:val="00A10D96"/>
    <w:rsid w:val="00A10F7D"/>
    <w:rsid w:val="00A11667"/>
    <w:rsid w:val="00A11AB6"/>
    <w:rsid w:val="00A11AC5"/>
    <w:rsid w:val="00A11CD0"/>
    <w:rsid w:val="00A13501"/>
    <w:rsid w:val="00A13948"/>
    <w:rsid w:val="00A14655"/>
    <w:rsid w:val="00A1555B"/>
    <w:rsid w:val="00A155C5"/>
    <w:rsid w:val="00A16043"/>
    <w:rsid w:val="00A16AD8"/>
    <w:rsid w:val="00A17634"/>
    <w:rsid w:val="00A200FC"/>
    <w:rsid w:val="00A2058E"/>
    <w:rsid w:val="00A209C7"/>
    <w:rsid w:val="00A20D2F"/>
    <w:rsid w:val="00A21CF3"/>
    <w:rsid w:val="00A21E47"/>
    <w:rsid w:val="00A23BBD"/>
    <w:rsid w:val="00A23E9E"/>
    <w:rsid w:val="00A24611"/>
    <w:rsid w:val="00A246F5"/>
    <w:rsid w:val="00A27AEC"/>
    <w:rsid w:val="00A301BB"/>
    <w:rsid w:val="00A31E4C"/>
    <w:rsid w:val="00A320DB"/>
    <w:rsid w:val="00A344D3"/>
    <w:rsid w:val="00A34DF3"/>
    <w:rsid w:val="00A35D16"/>
    <w:rsid w:val="00A35E1F"/>
    <w:rsid w:val="00A36BAD"/>
    <w:rsid w:val="00A37040"/>
    <w:rsid w:val="00A37BCD"/>
    <w:rsid w:val="00A41064"/>
    <w:rsid w:val="00A41275"/>
    <w:rsid w:val="00A41533"/>
    <w:rsid w:val="00A419EC"/>
    <w:rsid w:val="00A42874"/>
    <w:rsid w:val="00A42BC7"/>
    <w:rsid w:val="00A42F1A"/>
    <w:rsid w:val="00A43C59"/>
    <w:rsid w:val="00A4513F"/>
    <w:rsid w:val="00A45AED"/>
    <w:rsid w:val="00A46972"/>
    <w:rsid w:val="00A46E2C"/>
    <w:rsid w:val="00A4793B"/>
    <w:rsid w:val="00A50B52"/>
    <w:rsid w:val="00A50ECD"/>
    <w:rsid w:val="00A518F3"/>
    <w:rsid w:val="00A52729"/>
    <w:rsid w:val="00A53675"/>
    <w:rsid w:val="00A54FB2"/>
    <w:rsid w:val="00A564D7"/>
    <w:rsid w:val="00A56B6A"/>
    <w:rsid w:val="00A5724C"/>
    <w:rsid w:val="00A578DC"/>
    <w:rsid w:val="00A57BD8"/>
    <w:rsid w:val="00A60F4B"/>
    <w:rsid w:val="00A63402"/>
    <w:rsid w:val="00A63D2A"/>
    <w:rsid w:val="00A65046"/>
    <w:rsid w:val="00A65BA2"/>
    <w:rsid w:val="00A65CB5"/>
    <w:rsid w:val="00A65F02"/>
    <w:rsid w:val="00A66804"/>
    <w:rsid w:val="00A671E2"/>
    <w:rsid w:val="00A6725B"/>
    <w:rsid w:val="00A67C46"/>
    <w:rsid w:val="00A70605"/>
    <w:rsid w:val="00A7107C"/>
    <w:rsid w:val="00A72D16"/>
    <w:rsid w:val="00A73134"/>
    <w:rsid w:val="00A73779"/>
    <w:rsid w:val="00A7646C"/>
    <w:rsid w:val="00A767F1"/>
    <w:rsid w:val="00A76C5D"/>
    <w:rsid w:val="00A777B2"/>
    <w:rsid w:val="00A77F94"/>
    <w:rsid w:val="00A80493"/>
    <w:rsid w:val="00A80C60"/>
    <w:rsid w:val="00A815E4"/>
    <w:rsid w:val="00A81C3B"/>
    <w:rsid w:val="00A831F1"/>
    <w:rsid w:val="00A83D81"/>
    <w:rsid w:val="00A840FB"/>
    <w:rsid w:val="00A84EEC"/>
    <w:rsid w:val="00A850E9"/>
    <w:rsid w:val="00A854A4"/>
    <w:rsid w:val="00A865D7"/>
    <w:rsid w:val="00A86A22"/>
    <w:rsid w:val="00A86E8B"/>
    <w:rsid w:val="00A87164"/>
    <w:rsid w:val="00A87DDE"/>
    <w:rsid w:val="00A87FFC"/>
    <w:rsid w:val="00A90ABC"/>
    <w:rsid w:val="00A90E78"/>
    <w:rsid w:val="00A93072"/>
    <w:rsid w:val="00A93953"/>
    <w:rsid w:val="00A93E89"/>
    <w:rsid w:val="00A947E3"/>
    <w:rsid w:val="00A948F4"/>
    <w:rsid w:val="00A95843"/>
    <w:rsid w:val="00A959D8"/>
    <w:rsid w:val="00A96FD6"/>
    <w:rsid w:val="00A977ED"/>
    <w:rsid w:val="00AA0E9F"/>
    <w:rsid w:val="00AA113D"/>
    <w:rsid w:val="00AA157B"/>
    <w:rsid w:val="00AA2263"/>
    <w:rsid w:val="00AA33EB"/>
    <w:rsid w:val="00AA45FB"/>
    <w:rsid w:val="00AA4B53"/>
    <w:rsid w:val="00AA4F31"/>
    <w:rsid w:val="00AA6C7D"/>
    <w:rsid w:val="00AA7FD6"/>
    <w:rsid w:val="00AB0334"/>
    <w:rsid w:val="00AB042A"/>
    <w:rsid w:val="00AB1D82"/>
    <w:rsid w:val="00AB2D34"/>
    <w:rsid w:val="00AB3218"/>
    <w:rsid w:val="00AB3430"/>
    <w:rsid w:val="00AB355B"/>
    <w:rsid w:val="00AB4AD1"/>
    <w:rsid w:val="00AB543E"/>
    <w:rsid w:val="00AB577A"/>
    <w:rsid w:val="00AB5835"/>
    <w:rsid w:val="00AB62D3"/>
    <w:rsid w:val="00AB645A"/>
    <w:rsid w:val="00AB6CAC"/>
    <w:rsid w:val="00AB7064"/>
    <w:rsid w:val="00AB72F1"/>
    <w:rsid w:val="00AB7468"/>
    <w:rsid w:val="00AB7847"/>
    <w:rsid w:val="00AB7CFA"/>
    <w:rsid w:val="00AC00E5"/>
    <w:rsid w:val="00AC2A43"/>
    <w:rsid w:val="00AC3B58"/>
    <w:rsid w:val="00AC452D"/>
    <w:rsid w:val="00AC473E"/>
    <w:rsid w:val="00AC5B48"/>
    <w:rsid w:val="00AC7A5A"/>
    <w:rsid w:val="00AD1406"/>
    <w:rsid w:val="00AD2655"/>
    <w:rsid w:val="00AD3AC3"/>
    <w:rsid w:val="00AD48BF"/>
    <w:rsid w:val="00AD4C27"/>
    <w:rsid w:val="00AD60E6"/>
    <w:rsid w:val="00AD6502"/>
    <w:rsid w:val="00AE00BC"/>
    <w:rsid w:val="00AE0C9D"/>
    <w:rsid w:val="00AE28A3"/>
    <w:rsid w:val="00AE3B82"/>
    <w:rsid w:val="00AE5581"/>
    <w:rsid w:val="00AE5EC3"/>
    <w:rsid w:val="00AE6655"/>
    <w:rsid w:val="00AF1315"/>
    <w:rsid w:val="00AF188B"/>
    <w:rsid w:val="00AF19BF"/>
    <w:rsid w:val="00AF249F"/>
    <w:rsid w:val="00AF25CC"/>
    <w:rsid w:val="00AF2DC3"/>
    <w:rsid w:val="00AF30BB"/>
    <w:rsid w:val="00AF32F4"/>
    <w:rsid w:val="00AF3391"/>
    <w:rsid w:val="00AF3493"/>
    <w:rsid w:val="00AF45B6"/>
    <w:rsid w:val="00AF4B16"/>
    <w:rsid w:val="00AF5E67"/>
    <w:rsid w:val="00AF7521"/>
    <w:rsid w:val="00B02346"/>
    <w:rsid w:val="00B0255C"/>
    <w:rsid w:val="00B02D21"/>
    <w:rsid w:val="00B02DA1"/>
    <w:rsid w:val="00B033E5"/>
    <w:rsid w:val="00B03A63"/>
    <w:rsid w:val="00B03B43"/>
    <w:rsid w:val="00B04345"/>
    <w:rsid w:val="00B05F60"/>
    <w:rsid w:val="00B0646C"/>
    <w:rsid w:val="00B06EA9"/>
    <w:rsid w:val="00B07463"/>
    <w:rsid w:val="00B076E3"/>
    <w:rsid w:val="00B111EC"/>
    <w:rsid w:val="00B12476"/>
    <w:rsid w:val="00B1352B"/>
    <w:rsid w:val="00B150DC"/>
    <w:rsid w:val="00B15930"/>
    <w:rsid w:val="00B15A3D"/>
    <w:rsid w:val="00B16E11"/>
    <w:rsid w:val="00B17597"/>
    <w:rsid w:val="00B201A4"/>
    <w:rsid w:val="00B202EA"/>
    <w:rsid w:val="00B210D9"/>
    <w:rsid w:val="00B213A6"/>
    <w:rsid w:val="00B221C0"/>
    <w:rsid w:val="00B23E51"/>
    <w:rsid w:val="00B24DF6"/>
    <w:rsid w:val="00B25C8F"/>
    <w:rsid w:val="00B26C29"/>
    <w:rsid w:val="00B26F03"/>
    <w:rsid w:val="00B27189"/>
    <w:rsid w:val="00B27B44"/>
    <w:rsid w:val="00B3093D"/>
    <w:rsid w:val="00B316A1"/>
    <w:rsid w:val="00B3190E"/>
    <w:rsid w:val="00B31A1F"/>
    <w:rsid w:val="00B31C35"/>
    <w:rsid w:val="00B32273"/>
    <w:rsid w:val="00B32415"/>
    <w:rsid w:val="00B327BA"/>
    <w:rsid w:val="00B34E21"/>
    <w:rsid w:val="00B34EEA"/>
    <w:rsid w:val="00B34FE2"/>
    <w:rsid w:val="00B357D8"/>
    <w:rsid w:val="00B35B60"/>
    <w:rsid w:val="00B363C2"/>
    <w:rsid w:val="00B36504"/>
    <w:rsid w:val="00B36831"/>
    <w:rsid w:val="00B3740D"/>
    <w:rsid w:val="00B37BFC"/>
    <w:rsid w:val="00B40358"/>
    <w:rsid w:val="00B4054A"/>
    <w:rsid w:val="00B41015"/>
    <w:rsid w:val="00B41602"/>
    <w:rsid w:val="00B41614"/>
    <w:rsid w:val="00B41712"/>
    <w:rsid w:val="00B41C63"/>
    <w:rsid w:val="00B42851"/>
    <w:rsid w:val="00B42B83"/>
    <w:rsid w:val="00B42F80"/>
    <w:rsid w:val="00B435CB"/>
    <w:rsid w:val="00B4615F"/>
    <w:rsid w:val="00B461C8"/>
    <w:rsid w:val="00B4675D"/>
    <w:rsid w:val="00B46A30"/>
    <w:rsid w:val="00B46B15"/>
    <w:rsid w:val="00B47169"/>
    <w:rsid w:val="00B50DB8"/>
    <w:rsid w:val="00B516FD"/>
    <w:rsid w:val="00B518B9"/>
    <w:rsid w:val="00B52E64"/>
    <w:rsid w:val="00B5362E"/>
    <w:rsid w:val="00B53654"/>
    <w:rsid w:val="00B53905"/>
    <w:rsid w:val="00B54A13"/>
    <w:rsid w:val="00B54B5B"/>
    <w:rsid w:val="00B55182"/>
    <w:rsid w:val="00B5562E"/>
    <w:rsid w:val="00B568C7"/>
    <w:rsid w:val="00B57000"/>
    <w:rsid w:val="00B572BF"/>
    <w:rsid w:val="00B603E7"/>
    <w:rsid w:val="00B60939"/>
    <w:rsid w:val="00B60AFD"/>
    <w:rsid w:val="00B60D90"/>
    <w:rsid w:val="00B61165"/>
    <w:rsid w:val="00B622B0"/>
    <w:rsid w:val="00B62715"/>
    <w:rsid w:val="00B62DDC"/>
    <w:rsid w:val="00B6307E"/>
    <w:rsid w:val="00B63986"/>
    <w:rsid w:val="00B649A8"/>
    <w:rsid w:val="00B64F2D"/>
    <w:rsid w:val="00B65BD9"/>
    <w:rsid w:val="00B6662B"/>
    <w:rsid w:val="00B70B88"/>
    <w:rsid w:val="00B70DAC"/>
    <w:rsid w:val="00B70E22"/>
    <w:rsid w:val="00B7295A"/>
    <w:rsid w:val="00B74985"/>
    <w:rsid w:val="00B75772"/>
    <w:rsid w:val="00B77AB2"/>
    <w:rsid w:val="00B800E0"/>
    <w:rsid w:val="00B80E95"/>
    <w:rsid w:val="00B818A4"/>
    <w:rsid w:val="00B81DCA"/>
    <w:rsid w:val="00B81F2B"/>
    <w:rsid w:val="00B82C92"/>
    <w:rsid w:val="00B84117"/>
    <w:rsid w:val="00B85AA2"/>
    <w:rsid w:val="00B8649C"/>
    <w:rsid w:val="00B87F0A"/>
    <w:rsid w:val="00B901C8"/>
    <w:rsid w:val="00B902CC"/>
    <w:rsid w:val="00B9045A"/>
    <w:rsid w:val="00B92331"/>
    <w:rsid w:val="00B92804"/>
    <w:rsid w:val="00B92C93"/>
    <w:rsid w:val="00B92D0B"/>
    <w:rsid w:val="00B930CE"/>
    <w:rsid w:val="00B944B6"/>
    <w:rsid w:val="00B94945"/>
    <w:rsid w:val="00B957B8"/>
    <w:rsid w:val="00B969EE"/>
    <w:rsid w:val="00B96F44"/>
    <w:rsid w:val="00B97CAB"/>
    <w:rsid w:val="00B97FED"/>
    <w:rsid w:val="00BA1D0A"/>
    <w:rsid w:val="00BA2BD8"/>
    <w:rsid w:val="00BA322D"/>
    <w:rsid w:val="00BA3AE6"/>
    <w:rsid w:val="00BA4708"/>
    <w:rsid w:val="00BA5869"/>
    <w:rsid w:val="00BA60E1"/>
    <w:rsid w:val="00BA635B"/>
    <w:rsid w:val="00BA6BC8"/>
    <w:rsid w:val="00BA7287"/>
    <w:rsid w:val="00BA793A"/>
    <w:rsid w:val="00BB0BBD"/>
    <w:rsid w:val="00BB0BDD"/>
    <w:rsid w:val="00BB0F93"/>
    <w:rsid w:val="00BB1513"/>
    <w:rsid w:val="00BB1ABD"/>
    <w:rsid w:val="00BB1C04"/>
    <w:rsid w:val="00BB2A73"/>
    <w:rsid w:val="00BB2EBF"/>
    <w:rsid w:val="00BB4ACC"/>
    <w:rsid w:val="00BB703E"/>
    <w:rsid w:val="00BB7405"/>
    <w:rsid w:val="00BB7C86"/>
    <w:rsid w:val="00BC0835"/>
    <w:rsid w:val="00BC3631"/>
    <w:rsid w:val="00BC3DE1"/>
    <w:rsid w:val="00BC41B7"/>
    <w:rsid w:val="00BC63E0"/>
    <w:rsid w:val="00BC6D61"/>
    <w:rsid w:val="00BC785E"/>
    <w:rsid w:val="00BD0ADA"/>
    <w:rsid w:val="00BD0E58"/>
    <w:rsid w:val="00BD1264"/>
    <w:rsid w:val="00BD27C2"/>
    <w:rsid w:val="00BD3D6E"/>
    <w:rsid w:val="00BD3F0D"/>
    <w:rsid w:val="00BD3F18"/>
    <w:rsid w:val="00BD5C51"/>
    <w:rsid w:val="00BD642F"/>
    <w:rsid w:val="00BD68A3"/>
    <w:rsid w:val="00BD6938"/>
    <w:rsid w:val="00BD6A57"/>
    <w:rsid w:val="00BD6CF3"/>
    <w:rsid w:val="00BD6E64"/>
    <w:rsid w:val="00BD7A90"/>
    <w:rsid w:val="00BD7BCD"/>
    <w:rsid w:val="00BE15C3"/>
    <w:rsid w:val="00BE2180"/>
    <w:rsid w:val="00BE21F2"/>
    <w:rsid w:val="00BE3E30"/>
    <w:rsid w:val="00BE3F1E"/>
    <w:rsid w:val="00BE4275"/>
    <w:rsid w:val="00BE476F"/>
    <w:rsid w:val="00BE4D35"/>
    <w:rsid w:val="00BE4F0A"/>
    <w:rsid w:val="00BE59EA"/>
    <w:rsid w:val="00BE77E6"/>
    <w:rsid w:val="00BF0F95"/>
    <w:rsid w:val="00BF15AB"/>
    <w:rsid w:val="00BF1AEA"/>
    <w:rsid w:val="00BF2433"/>
    <w:rsid w:val="00BF24F0"/>
    <w:rsid w:val="00BF2FB8"/>
    <w:rsid w:val="00BF430D"/>
    <w:rsid w:val="00BF53E9"/>
    <w:rsid w:val="00BF61C9"/>
    <w:rsid w:val="00BF6C60"/>
    <w:rsid w:val="00BF6C94"/>
    <w:rsid w:val="00C00424"/>
    <w:rsid w:val="00C00AD2"/>
    <w:rsid w:val="00C01309"/>
    <w:rsid w:val="00C01403"/>
    <w:rsid w:val="00C03D89"/>
    <w:rsid w:val="00C03F5A"/>
    <w:rsid w:val="00C04623"/>
    <w:rsid w:val="00C0571F"/>
    <w:rsid w:val="00C05E3E"/>
    <w:rsid w:val="00C0632D"/>
    <w:rsid w:val="00C06CD6"/>
    <w:rsid w:val="00C10721"/>
    <w:rsid w:val="00C12C14"/>
    <w:rsid w:val="00C12F59"/>
    <w:rsid w:val="00C13451"/>
    <w:rsid w:val="00C147D7"/>
    <w:rsid w:val="00C147EE"/>
    <w:rsid w:val="00C14846"/>
    <w:rsid w:val="00C17836"/>
    <w:rsid w:val="00C17954"/>
    <w:rsid w:val="00C17DA1"/>
    <w:rsid w:val="00C200AA"/>
    <w:rsid w:val="00C20373"/>
    <w:rsid w:val="00C20F8C"/>
    <w:rsid w:val="00C214CD"/>
    <w:rsid w:val="00C21D0E"/>
    <w:rsid w:val="00C22CF6"/>
    <w:rsid w:val="00C237ED"/>
    <w:rsid w:val="00C244FE"/>
    <w:rsid w:val="00C24632"/>
    <w:rsid w:val="00C250F4"/>
    <w:rsid w:val="00C25418"/>
    <w:rsid w:val="00C25D9C"/>
    <w:rsid w:val="00C27265"/>
    <w:rsid w:val="00C2778B"/>
    <w:rsid w:val="00C30419"/>
    <w:rsid w:val="00C3145C"/>
    <w:rsid w:val="00C31649"/>
    <w:rsid w:val="00C34432"/>
    <w:rsid w:val="00C344B6"/>
    <w:rsid w:val="00C3537A"/>
    <w:rsid w:val="00C40385"/>
    <w:rsid w:val="00C40E4F"/>
    <w:rsid w:val="00C41E75"/>
    <w:rsid w:val="00C42C36"/>
    <w:rsid w:val="00C43392"/>
    <w:rsid w:val="00C43A77"/>
    <w:rsid w:val="00C43B61"/>
    <w:rsid w:val="00C440A4"/>
    <w:rsid w:val="00C45251"/>
    <w:rsid w:val="00C46B5F"/>
    <w:rsid w:val="00C47366"/>
    <w:rsid w:val="00C475AA"/>
    <w:rsid w:val="00C47D5D"/>
    <w:rsid w:val="00C47DC2"/>
    <w:rsid w:val="00C50176"/>
    <w:rsid w:val="00C5020A"/>
    <w:rsid w:val="00C50514"/>
    <w:rsid w:val="00C515B8"/>
    <w:rsid w:val="00C515D5"/>
    <w:rsid w:val="00C51F1F"/>
    <w:rsid w:val="00C52F19"/>
    <w:rsid w:val="00C5398E"/>
    <w:rsid w:val="00C55A95"/>
    <w:rsid w:val="00C604F1"/>
    <w:rsid w:val="00C61E23"/>
    <w:rsid w:val="00C651FC"/>
    <w:rsid w:val="00C65576"/>
    <w:rsid w:val="00C66165"/>
    <w:rsid w:val="00C663D8"/>
    <w:rsid w:val="00C6644A"/>
    <w:rsid w:val="00C66738"/>
    <w:rsid w:val="00C66BF9"/>
    <w:rsid w:val="00C71191"/>
    <w:rsid w:val="00C7151A"/>
    <w:rsid w:val="00C71D6E"/>
    <w:rsid w:val="00C71F60"/>
    <w:rsid w:val="00C72241"/>
    <w:rsid w:val="00C732CD"/>
    <w:rsid w:val="00C743B3"/>
    <w:rsid w:val="00C74865"/>
    <w:rsid w:val="00C750C8"/>
    <w:rsid w:val="00C7560F"/>
    <w:rsid w:val="00C80A0E"/>
    <w:rsid w:val="00C817C3"/>
    <w:rsid w:val="00C8213F"/>
    <w:rsid w:val="00C82188"/>
    <w:rsid w:val="00C831D2"/>
    <w:rsid w:val="00C83498"/>
    <w:rsid w:val="00C85BEE"/>
    <w:rsid w:val="00C86E47"/>
    <w:rsid w:val="00C87637"/>
    <w:rsid w:val="00C8797A"/>
    <w:rsid w:val="00C900B8"/>
    <w:rsid w:val="00C901DF"/>
    <w:rsid w:val="00C90274"/>
    <w:rsid w:val="00C90C71"/>
    <w:rsid w:val="00C92A98"/>
    <w:rsid w:val="00C931CF"/>
    <w:rsid w:val="00C93840"/>
    <w:rsid w:val="00C938CF"/>
    <w:rsid w:val="00C94CDB"/>
    <w:rsid w:val="00C94F38"/>
    <w:rsid w:val="00C9558F"/>
    <w:rsid w:val="00C9624D"/>
    <w:rsid w:val="00C969DA"/>
    <w:rsid w:val="00C972E2"/>
    <w:rsid w:val="00C977A3"/>
    <w:rsid w:val="00C97E61"/>
    <w:rsid w:val="00CA0134"/>
    <w:rsid w:val="00CA0EFB"/>
    <w:rsid w:val="00CA1110"/>
    <w:rsid w:val="00CA17F7"/>
    <w:rsid w:val="00CA2313"/>
    <w:rsid w:val="00CA2B0D"/>
    <w:rsid w:val="00CA2C77"/>
    <w:rsid w:val="00CA444F"/>
    <w:rsid w:val="00CA49C7"/>
    <w:rsid w:val="00CA4F2E"/>
    <w:rsid w:val="00CA4F78"/>
    <w:rsid w:val="00CA5245"/>
    <w:rsid w:val="00CA71F4"/>
    <w:rsid w:val="00CA7B09"/>
    <w:rsid w:val="00CB00E5"/>
    <w:rsid w:val="00CB2F2A"/>
    <w:rsid w:val="00CB5B1A"/>
    <w:rsid w:val="00CB6378"/>
    <w:rsid w:val="00CB6A75"/>
    <w:rsid w:val="00CB6B22"/>
    <w:rsid w:val="00CB7166"/>
    <w:rsid w:val="00CB7F5F"/>
    <w:rsid w:val="00CC154F"/>
    <w:rsid w:val="00CC1B39"/>
    <w:rsid w:val="00CC2376"/>
    <w:rsid w:val="00CC2A65"/>
    <w:rsid w:val="00CC51F7"/>
    <w:rsid w:val="00CC5E80"/>
    <w:rsid w:val="00CC659B"/>
    <w:rsid w:val="00CD0B46"/>
    <w:rsid w:val="00CD1306"/>
    <w:rsid w:val="00CD1543"/>
    <w:rsid w:val="00CD16AE"/>
    <w:rsid w:val="00CD17BF"/>
    <w:rsid w:val="00CD2663"/>
    <w:rsid w:val="00CD3B3D"/>
    <w:rsid w:val="00CD4AAC"/>
    <w:rsid w:val="00CD5805"/>
    <w:rsid w:val="00CD6ADC"/>
    <w:rsid w:val="00CD7BF3"/>
    <w:rsid w:val="00CD7E25"/>
    <w:rsid w:val="00CE2428"/>
    <w:rsid w:val="00CE42D2"/>
    <w:rsid w:val="00CE4F91"/>
    <w:rsid w:val="00CE5F10"/>
    <w:rsid w:val="00CE6274"/>
    <w:rsid w:val="00CE78BA"/>
    <w:rsid w:val="00CE794C"/>
    <w:rsid w:val="00CF0CDF"/>
    <w:rsid w:val="00CF2B8D"/>
    <w:rsid w:val="00CF3408"/>
    <w:rsid w:val="00CF456B"/>
    <w:rsid w:val="00CF4664"/>
    <w:rsid w:val="00CF4C38"/>
    <w:rsid w:val="00CF5930"/>
    <w:rsid w:val="00CF5A22"/>
    <w:rsid w:val="00CF5BB3"/>
    <w:rsid w:val="00D00B0C"/>
    <w:rsid w:val="00D0262E"/>
    <w:rsid w:val="00D056E6"/>
    <w:rsid w:val="00D072EF"/>
    <w:rsid w:val="00D0750D"/>
    <w:rsid w:val="00D0788E"/>
    <w:rsid w:val="00D07995"/>
    <w:rsid w:val="00D10A76"/>
    <w:rsid w:val="00D1100F"/>
    <w:rsid w:val="00D110BD"/>
    <w:rsid w:val="00D1128C"/>
    <w:rsid w:val="00D13675"/>
    <w:rsid w:val="00D141E1"/>
    <w:rsid w:val="00D17D6C"/>
    <w:rsid w:val="00D2040F"/>
    <w:rsid w:val="00D20FDB"/>
    <w:rsid w:val="00D2264C"/>
    <w:rsid w:val="00D23091"/>
    <w:rsid w:val="00D23566"/>
    <w:rsid w:val="00D24022"/>
    <w:rsid w:val="00D24D2C"/>
    <w:rsid w:val="00D25ACF"/>
    <w:rsid w:val="00D25FE8"/>
    <w:rsid w:val="00D26750"/>
    <w:rsid w:val="00D2754D"/>
    <w:rsid w:val="00D27B27"/>
    <w:rsid w:val="00D3155F"/>
    <w:rsid w:val="00D33BE9"/>
    <w:rsid w:val="00D34044"/>
    <w:rsid w:val="00D3421A"/>
    <w:rsid w:val="00D3445D"/>
    <w:rsid w:val="00D357FF"/>
    <w:rsid w:val="00D36096"/>
    <w:rsid w:val="00D36143"/>
    <w:rsid w:val="00D3693A"/>
    <w:rsid w:val="00D4075C"/>
    <w:rsid w:val="00D4172B"/>
    <w:rsid w:val="00D424C7"/>
    <w:rsid w:val="00D42555"/>
    <w:rsid w:val="00D43541"/>
    <w:rsid w:val="00D435C4"/>
    <w:rsid w:val="00D43B2A"/>
    <w:rsid w:val="00D447F9"/>
    <w:rsid w:val="00D44E9B"/>
    <w:rsid w:val="00D4555F"/>
    <w:rsid w:val="00D45921"/>
    <w:rsid w:val="00D45B95"/>
    <w:rsid w:val="00D4610F"/>
    <w:rsid w:val="00D46425"/>
    <w:rsid w:val="00D47575"/>
    <w:rsid w:val="00D505C7"/>
    <w:rsid w:val="00D519D5"/>
    <w:rsid w:val="00D519E0"/>
    <w:rsid w:val="00D51B6D"/>
    <w:rsid w:val="00D51C34"/>
    <w:rsid w:val="00D5352D"/>
    <w:rsid w:val="00D54CD0"/>
    <w:rsid w:val="00D54FEA"/>
    <w:rsid w:val="00D5516F"/>
    <w:rsid w:val="00D56FE7"/>
    <w:rsid w:val="00D60073"/>
    <w:rsid w:val="00D61085"/>
    <w:rsid w:val="00D61528"/>
    <w:rsid w:val="00D61A6C"/>
    <w:rsid w:val="00D62186"/>
    <w:rsid w:val="00D6644C"/>
    <w:rsid w:val="00D671CD"/>
    <w:rsid w:val="00D70F16"/>
    <w:rsid w:val="00D71445"/>
    <w:rsid w:val="00D71696"/>
    <w:rsid w:val="00D74CCF"/>
    <w:rsid w:val="00D75589"/>
    <w:rsid w:val="00D76A44"/>
    <w:rsid w:val="00D7738C"/>
    <w:rsid w:val="00D803D1"/>
    <w:rsid w:val="00D80C8F"/>
    <w:rsid w:val="00D815EF"/>
    <w:rsid w:val="00D826A2"/>
    <w:rsid w:val="00D83D66"/>
    <w:rsid w:val="00D84741"/>
    <w:rsid w:val="00D84BB1"/>
    <w:rsid w:val="00D85639"/>
    <w:rsid w:val="00D90831"/>
    <w:rsid w:val="00D90FC6"/>
    <w:rsid w:val="00D9121C"/>
    <w:rsid w:val="00D91923"/>
    <w:rsid w:val="00D91BD5"/>
    <w:rsid w:val="00D92753"/>
    <w:rsid w:val="00D92D2F"/>
    <w:rsid w:val="00D93152"/>
    <w:rsid w:val="00D933F0"/>
    <w:rsid w:val="00D93753"/>
    <w:rsid w:val="00D94086"/>
    <w:rsid w:val="00D946FF"/>
    <w:rsid w:val="00D94DAF"/>
    <w:rsid w:val="00D957CA"/>
    <w:rsid w:val="00D96E06"/>
    <w:rsid w:val="00DA0B72"/>
    <w:rsid w:val="00DA19DA"/>
    <w:rsid w:val="00DA3167"/>
    <w:rsid w:val="00DA4DC3"/>
    <w:rsid w:val="00DA52A8"/>
    <w:rsid w:val="00DA5DAA"/>
    <w:rsid w:val="00DA631D"/>
    <w:rsid w:val="00DA77A5"/>
    <w:rsid w:val="00DB13CD"/>
    <w:rsid w:val="00DB1DB0"/>
    <w:rsid w:val="00DB484F"/>
    <w:rsid w:val="00DB5DCD"/>
    <w:rsid w:val="00DB6468"/>
    <w:rsid w:val="00DB7F19"/>
    <w:rsid w:val="00DC04F6"/>
    <w:rsid w:val="00DC2081"/>
    <w:rsid w:val="00DC2BF6"/>
    <w:rsid w:val="00DC2F5D"/>
    <w:rsid w:val="00DC30AD"/>
    <w:rsid w:val="00DC3C57"/>
    <w:rsid w:val="00DC42FF"/>
    <w:rsid w:val="00DC5501"/>
    <w:rsid w:val="00DC5ED3"/>
    <w:rsid w:val="00DC61BD"/>
    <w:rsid w:val="00DC6DE6"/>
    <w:rsid w:val="00DC7019"/>
    <w:rsid w:val="00DC718C"/>
    <w:rsid w:val="00DC7E14"/>
    <w:rsid w:val="00DD0C0D"/>
    <w:rsid w:val="00DD1526"/>
    <w:rsid w:val="00DD1C22"/>
    <w:rsid w:val="00DD273C"/>
    <w:rsid w:val="00DD35FA"/>
    <w:rsid w:val="00DD3F28"/>
    <w:rsid w:val="00DD4537"/>
    <w:rsid w:val="00DD4BD4"/>
    <w:rsid w:val="00DD4E15"/>
    <w:rsid w:val="00DD6252"/>
    <w:rsid w:val="00DE090C"/>
    <w:rsid w:val="00DE1D41"/>
    <w:rsid w:val="00DE289A"/>
    <w:rsid w:val="00DE2E5B"/>
    <w:rsid w:val="00DE3138"/>
    <w:rsid w:val="00DE32D3"/>
    <w:rsid w:val="00DE37F8"/>
    <w:rsid w:val="00DE44B6"/>
    <w:rsid w:val="00DE4FCB"/>
    <w:rsid w:val="00DE7311"/>
    <w:rsid w:val="00DE74D0"/>
    <w:rsid w:val="00DE7832"/>
    <w:rsid w:val="00DE7DE5"/>
    <w:rsid w:val="00DF0071"/>
    <w:rsid w:val="00DF10CD"/>
    <w:rsid w:val="00DF18FC"/>
    <w:rsid w:val="00DF29F0"/>
    <w:rsid w:val="00DF2AE5"/>
    <w:rsid w:val="00DF404E"/>
    <w:rsid w:val="00DF4601"/>
    <w:rsid w:val="00DF46E4"/>
    <w:rsid w:val="00DF48F1"/>
    <w:rsid w:val="00DF4A02"/>
    <w:rsid w:val="00DF5D2B"/>
    <w:rsid w:val="00DF5E59"/>
    <w:rsid w:val="00DF6091"/>
    <w:rsid w:val="00DF614D"/>
    <w:rsid w:val="00DF680A"/>
    <w:rsid w:val="00DF74F5"/>
    <w:rsid w:val="00DF775B"/>
    <w:rsid w:val="00E004FA"/>
    <w:rsid w:val="00E00A0C"/>
    <w:rsid w:val="00E00E8E"/>
    <w:rsid w:val="00E01BBD"/>
    <w:rsid w:val="00E01F42"/>
    <w:rsid w:val="00E0454D"/>
    <w:rsid w:val="00E04602"/>
    <w:rsid w:val="00E05630"/>
    <w:rsid w:val="00E05F45"/>
    <w:rsid w:val="00E062A2"/>
    <w:rsid w:val="00E06C27"/>
    <w:rsid w:val="00E06DBB"/>
    <w:rsid w:val="00E06E30"/>
    <w:rsid w:val="00E075CC"/>
    <w:rsid w:val="00E10149"/>
    <w:rsid w:val="00E104D8"/>
    <w:rsid w:val="00E10B22"/>
    <w:rsid w:val="00E1189E"/>
    <w:rsid w:val="00E13188"/>
    <w:rsid w:val="00E132BA"/>
    <w:rsid w:val="00E13A3B"/>
    <w:rsid w:val="00E14457"/>
    <w:rsid w:val="00E148B8"/>
    <w:rsid w:val="00E14E1D"/>
    <w:rsid w:val="00E1521E"/>
    <w:rsid w:val="00E16372"/>
    <w:rsid w:val="00E1732F"/>
    <w:rsid w:val="00E20E4D"/>
    <w:rsid w:val="00E20ED6"/>
    <w:rsid w:val="00E2105D"/>
    <w:rsid w:val="00E21358"/>
    <w:rsid w:val="00E2249B"/>
    <w:rsid w:val="00E22A0D"/>
    <w:rsid w:val="00E2302F"/>
    <w:rsid w:val="00E23D7D"/>
    <w:rsid w:val="00E24223"/>
    <w:rsid w:val="00E24278"/>
    <w:rsid w:val="00E24950"/>
    <w:rsid w:val="00E2585D"/>
    <w:rsid w:val="00E25C85"/>
    <w:rsid w:val="00E2771E"/>
    <w:rsid w:val="00E326CC"/>
    <w:rsid w:val="00E32935"/>
    <w:rsid w:val="00E331B5"/>
    <w:rsid w:val="00E34948"/>
    <w:rsid w:val="00E35C8C"/>
    <w:rsid w:val="00E37569"/>
    <w:rsid w:val="00E4061A"/>
    <w:rsid w:val="00E41E30"/>
    <w:rsid w:val="00E43D70"/>
    <w:rsid w:val="00E44F77"/>
    <w:rsid w:val="00E4529B"/>
    <w:rsid w:val="00E466F3"/>
    <w:rsid w:val="00E47B2C"/>
    <w:rsid w:val="00E51102"/>
    <w:rsid w:val="00E51560"/>
    <w:rsid w:val="00E51F2A"/>
    <w:rsid w:val="00E52B1A"/>
    <w:rsid w:val="00E5345C"/>
    <w:rsid w:val="00E54347"/>
    <w:rsid w:val="00E54CF6"/>
    <w:rsid w:val="00E55424"/>
    <w:rsid w:val="00E55A70"/>
    <w:rsid w:val="00E55BB5"/>
    <w:rsid w:val="00E56B6C"/>
    <w:rsid w:val="00E57920"/>
    <w:rsid w:val="00E6032A"/>
    <w:rsid w:val="00E62469"/>
    <w:rsid w:val="00E62E30"/>
    <w:rsid w:val="00E63648"/>
    <w:rsid w:val="00E63D3F"/>
    <w:rsid w:val="00E644FE"/>
    <w:rsid w:val="00E64C29"/>
    <w:rsid w:val="00E65E79"/>
    <w:rsid w:val="00E66BA2"/>
    <w:rsid w:val="00E671E5"/>
    <w:rsid w:val="00E67416"/>
    <w:rsid w:val="00E70919"/>
    <w:rsid w:val="00E711CF"/>
    <w:rsid w:val="00E718B6"/>
    <w:rsid w:val="00E71C70"/>
    <w:rsid w:val="00E723BA"/>
    <w:rsid w:val="00E73192"/>
    <w:rsid w:val="00E73581"/>
    <w:rsid w:val="00E738F1"/>
    <w:rsid w:val="00E73CAA"/>
    <w:rsid w:val="00E73E14"/>
    <w:rsid w:val="00E74BA0"/>
    <w:rsid w:val="00E76229"/>
    <w:rsid w:val="00E80AEF"/>
    <w:rsid w:val="00E80AFE"/>
    <w:rsid w:val="00E80B32"/>
    <w:rsid w:val="00E81DDE"/>
    <w:rsid w:val="00E82A12"/>
    <w:rsid w:val="00E83318"/>
    <w:rsid w:val="00E833F7"/>
    <w:rsid w:val="00E83BDF"/>
    <w:rsid w:val="00E84EE5"/>
    <w:rsid w:val="00E858B7"/>
    <w:rsid w:val="00E86605"/>
    <w:rsid w:val="00E87A1D"/>
    <w:rsid w:val="00E926A5"/>
    <w:rsid w:val="00E92E8D"/>
    <w:rsid w:val="00E9310E"/>
    <w:rsid w:val="00E94F6A"/>
    <w:rsid w:val="00E96880"/>
    <w:rsid w:val="00E979B5"/>
    <w:rsid w:val="00E97BF6"/>
    <w:rsid w:val="00E97E80"/>
    <w:rsid w:val="00EA144E"/>
    <w:rsid w:val="00EA14C1"/>
    <w:rsid w:val="00EA17C3"/>
    <w:rsid w:val="00EA191A"/>
    <w:rsid w:val="00EA210C"/>
    <w:rsid w:val="00EA2328"/>
    <w:rsid w:val="00EA276C"/>
    <w:rsid w:val="00EA2CAA"/>
    <w:rsid w:val="00EA3864"/>
    <w:rsid w:val="00EA3D98"/>
    <w:rsid w:val="00EA551D"/>
    <w:rsid w:val="00EA61D7"/>
    <w:rsid w:val="00EB02C2"/>
    <w:rsid w:val="00EB0D02"/>
    <w:rsid w:val="00EB15B6"/>
    <w:rsid w:val="00EB17A2"/>
    <w:rsid w:val="00EB17F4"/>
    <w:rsid w:val="00EB2159"/>
    <w:rsid w:val="00EB251C"/>
    <w:rsid w:val="00EB2AFE"/>
    <w:rsid w:val="00EB32BF"/>
    <w:rsid w:val="00EB4916"/>
    <w:rsid w:val="00EB52B2"/>
    <w:rsid w:val="00EB6A78"/>
    <w:rsid w:val="00EB6DEC"/>
    <w:rsid w:val="00EB7E33"/>
    <w:rsid w:val="00EC00C9"/>
    <w:rsid w:val="00EC092A"/>
    <w:rsid w:val="00EC2385"/>
    <w:rsid w:val="00EC2649"/>
    <w:rsid w:val="00EC3BBA"/>
    <w:rsid w:val="00EC4EFC"/>
    <w:rsid w:val="00EC5513"/>
    <w:rsid w:val="00EC71E6"/>
    <w:rsid w:val="00ED0CE8"/>
    <w:rsid w:val="00ED14CD"/>
    <w:rsid w:val="00ED3312"/>
    <w:rsid w:val="00ED39E4"/>
    <w:rsid w:val="00ED3FBE"/>
    <w:rsid w:val="00ED57EA"/>
    <w:rsid w:val="00ED6034"/>
    <w:rsid w:val="00ED6283"/>
    <w:rsid w:val="00ED6949"/>
    <w:rsid w:val="00EE0460"/>
    <w:rsid w:val="00EE0480"/>
    <w:rsid w:val="00EE07D3"/>
    <w:rsid w:val="00EE22AF"/>
    <w:rsid w:val="00EE24C2"/>
    <w:rsid w:val="00EE2D43"/>
    <w:rsid w:val="00EE3360"/>
    <w:rsid w:val="00EE79FA"/>
    <w:rsid w:val="00EF0171"/>
    <w:rsid w:val="00EF10EB"/>
    <w:rsid w:val="00EF1B25"/>
    <w:rsid w:val="00EF4747"/>
    <w:rsid w:val="00EF4A86"/>
    <w:rsid w:val="00EF4BF8"/>
    <w:rsid w:val="00EF657F"/>
    <w:rsid w:val="00F00814"/>
    <w:rsid w:val="00F00C94"/>
    <w:rsid w:val="00F01B73"/>
    <w:rsid w:val="00F02253"/>
    <w:rsid w:val="00F0253A"/>
    <w:rsid w:val="00F027A8"/>
    <w:rsid w:val="00F02E30"/>
    <w:rsid w:val="00F0325F"/>
    <w:rsid w:val="00F03C2E"/>
    <w:rsid w:val="00F04A66"/>
    <w:rsid w:val="00F0516C"/>
    <w:rsid w:val="00F05447"/>
    <w:rsid w:val="00F0585B"/>
    <w:rsid w:val="00F06086"/>
    <w:rsid w:val="00F067A2"/>
    <w:rsid w:val="00F07B7E"/>
    <w:rsid w:val="00F10F15"/>
    <w:rsid w:val="00F11ABA"/>
    <w:rsid w:val="00F12538"/>
    <w:rsid w:val="00F1263A"/>
    <w:rsid w:val="00F16077"/>
    <w:rsid w:val="00F16255"/>
    <w:rsid w:val="00F172F7"/>
    <w:rsid w:val="00F2108A"/>
    <w:rsid w:val="00F22BE3"/>
    <w:rsid w:val="00F23941"/>
    <w:rsid w:val="00F24837"/>
    <w:rsid w:val="00F24EE8"/>
    <w:rsid w:val="00F24F19"/>
    <w:rsid w:val="00F25500"/>
    <w:rsid w:val="00F2575F"/>
    <w:rsid w:val="00F26E86"/>
    <w:rsid w:val="00F27565"/>
    <w:rsid w:val="00F310D4"/>
    <w:rsid w:val="00F31C9A"/>
    <w:rsid w:val="00F31D5A"/>
    <w:rsid w:val="00F33C3C"/>
    <w:rsid w:val="00F33DE9"/>
    <w:rsid w:val="00F3405C"/>
    <w:rsid w:val="00F3420C"/>
    <w:rsid w:val="00F35246"/>
    <w:rsid w:val="00F3611B"/>
    <w:rsid w:val="00F3619A"/>
    <w:rsid w:val="00F40AAA"/>
    <w:rsid w:val="00F40BA7"/>
    <w:rsid w:val="00F40E12"/>
    <w:rsid w:val="00F4126D"/>
    <w:rsid w:val="00F42260"/>
    <w:rsid w:val="00F435B8"/>
    <w:rsid w:val="00F43970"/>
    <w:rsid w:val="00F444E0"/>
    <w:rsid w:val="00F44961"/>
    <w:rsid w:val="00F46CB6"/>
    <w:rsid w:val="00F47A4C"/>
    <w:rsid w:val="00F47C87"/>
    <w:rsid w:val="00F47DE8"/>
    <w:rsid w:val="00F50D37"/>
    <w:rsid w:val="00F51878"/>
    <w:rsid w:val="00F5337E"/>
    <w:rsid w:val="00F542C1"/>
    <w:rsid w:val="00F54A1F"/>
    <w:rsid w:val="00F5589F"/>
    <w:rsid w:val="00F55E73"/>
    <w:rsid w:val="00F55EDA"/>
    <w:rsid w:val="00F56B35"/>
    <w:rsid w:val="00F56D86"/>
    <w:rsid w:val="00F56DF0"/>
    <w:rsid w:val="00F57FC5"/>
    <w:rsid w:val="00F60092"/>
    <w:rsid w:val="00F605AB"/>
    <w:rsid w:val="00F61E61"/>
    <w:rsid w:val="00F623B8"/>
    <w:rsid w:val="00F62EED"/>
    <w:rsid w:val="00F6308C"/>
    <w:rsid w:val="00F638CF"/>
    <w:rsid w:val="00F64644"/>
    <w:rsid w:val="00F65C91"/>
    <w:rsid w:val="00F65F4B"/>
    <w:rsid w:val="00F703D1"/>
    <w:rsid w:val="00F70790"/>
    <w:rsid w:val="00F70C9D"/>
    <w:rsid w:val="00F70D4F"/>
    <w:rsid w:val="00F72CDF"/>
    <w:rsid w:val="00F74CD9"/>
    <w:rsid w:val="00F75BE0"/>
    <w:rsid w:val="00F76792"/>
    <w:rsid w:val="00F803E8"/>
    <w:rsid w:val="00F80A7B"/>
    <w:rsid w:val="00F80DE0"/>
    <w:rsid w:val="00F80E5D"/>
    <w:rsid w:val="00F8141A"/>
    <w:rsid w:val="00F82D4B"/>
    <w:rsid w:val="00F83728"/>
    <w:rsid w:val="00F83BA8"/>
    <w:rsid w:val="00F845A6"/>
    <w:rsid w:val="00F851CE"/>
    <w:rsid w:val="00F85226"/>
    <w:rsid w:val="00F865E8"/>
    <w:rsid w:val="00F86B7D"/>
    <w:rsid w:val="00F87230"/>
    <w:rsid w:val="00F87D8B"/>
    <w:rsid w:val="00F906E5"/>
    <w:rsid w:val="00F91219"/>
    <w:rsid w:val="00F91688"/>
    <w:rsid w:val="00F92AA4"/>
    <w:rsid w:val="00F9660E"/>
    <w:rsid w:val="00F97A78"/>
    <w:rsid w:val="00FA03F5"/>
    <w:rsid w:val="00FA0B20"/>
    <w:rsid w:val="00FA0E51"/>
    <w:rsid w:val="00FA1C22"/>
    <w:rsid w:val="00FA24E7"/>
    <w:rsid w:val="00FA39A1"/>
    <w:rsid w:val="00FA3A8C"/>
    <w:rsid w:val="00FA4748"/>
    <w:rsid w:val="00FA50AE"/>
    <w:rsid w:val="00FA66DE"/>
    <w:rsid w:val="00FA6746"/>
    <w:rsid w:val="00FA6AE6"/>
    <w:rsid w:val="00FA7A0A"/>
    <w:rsid w:val="00FA7A31"/>
    <w:rsid w:val="00FA7B97"/>
    <w:rsid w:val="00FB01EA"/>
    <w:rsid w:val="00FB05DB"/>
    <w:rsid w:val="00FB1AAE"/>
    <w:rsid w:val="00FB2BCE"/>
    <w:rsid w:val="00FB2FCB"/>
    <w:rsid w:val="00FB3AD7"/>
    <w:rsid w:val="00FB3E3E"/>
    <w:rsid w:val="00FB417B"/>
    <w:rsid w:val="00FB4A3D"/>
    <w:rsid w:val="00FB6AD9"/>
    <w:rsid w:val="00FB6EB8"/>
    <w:rsid w:val="00FB79B5"/>
    <w:rsid w:val="00FB7C21"/>
    <w:rsid w:val="00FC1074"/>
    <w:rsid w:val="00FC1884"/>
    <w:rsid w:val="00FC3123"/>
    <w:rsid w:val="00FC331C"/>
    <w:rsid w:val="00FC371D"/>
    <w:rsid w:val="00FC38BA"/>
    <w:rsid w:val="00FC3AAE"/>
    <w:rsid w:val="00FC458A"/>
    <w:rsid w:val="00FC46C4"/>
    <w:rsid w:val="00FC518D"/>
    <w:rsid w:val="00FC57C6"/>
    <w:rsid w:val="00FC5F0B"/>
    <w:rsid w:val="00FC62D8"/>
    <w:rsid w:val="00FC6D85"/>
    <w:rsid w:val="00FC7C5F"/>
    <w:rsid w:val="00FD00DE"/>
    <w:rsid w:val="00FD2100"/>
    <w:rsid w:val="00FD22E8"/>
    <w:rsid w:val="00FD30F4"/>
    <w:rsid w:val="00FD34D2"/>
    <w:rsid w:val="00FD3A4F"/>
    <w:rsid w:val="00FD436C"/>
    <w:rsid w:val="00FD446D"/>
    <w:rsid w:val="00FD5043"/>
    <w:rsid w:val="00FD6394"/>
    <w:rsid w:val="00FD74A0"/>
    <w:rsid w:val="00FE0435"/>
    <w:rsid w:val="00FE0A11"/>
    <w:rsid w:val="00FE0E6C"/>
    <w:rsid w:val="00FE21AB"/>
    <w:rsid w:val="00FE22DC"/>
    <w:rsid w:val="00FE2833"/>
    <w:rsid w:val="00FE2D32"/>
    <w:rsid w:val="00FE5C92"/>
    <w:rsid w:val="00FE70C3"/>
    <w:rsid w:val="00FE7A87"/>
    <w:rsid w:val="00FE7BE6"/>
    <w:rsid w:val="00FF0D67"/>
    <w:rsid w:val="00FF0F7F"/>
    <w:rsid w:val="00FF13DE"/>
    <w:rsid w:val="00FF1746"/>
    <w:rsid w:val="00FF30BE"/>
    <w:rsid w:val="00FF3536"/>
    <w:rsid w:val="00FF3770"/>
    <w:rsid w:val="00FF3DCF"/>
    <w:rsid w:val="00FF492C"/>
    <w:rsid w:val="00FF49CC"/>
    <w:rsid w:val="00FF4A21"/>
    <w:rsid w:val="00FF4B95"/>
    <w:rsid w:val="00FF5AA3"/>
    <w:rsid w:val="00FF5AD8"/>
    <w:rsid w:val="00FF6059"/>
    <w:rsid w:val="00FF6BB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57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C61E23"/>
    <w:pPr>
      <w:ind w:left="720" w:hanging="720"/>
      <w:outlineLvl w:val="0"/>
    </w:pPr>
    <w:rPr>
      <w:b/>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L,Bullet Point,Bulletr List Paragraph,Content descriptions,FooterText,List Bullet 1,List Paragraph2,List Paragraph21,Listeafsnit1,NFP GP Bulleted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L Char,Bullet Point Char,Bulletr List Paragraph Char,Content descriptions Char,FooterText Char,List Bullet 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customStyle="1" w:styleId="PBACTableText">
    <w:name w:val="PBAC Table Text"/>
    <w:basedOn w:val="Normal"/>
    <w:link w:val="PBACTableTextChar"/>
    <w:qFormat/>
    <w:rsid w:val="00D45B95"/>
    <w:pPr>
      <w:widowControl/>
      <w:spacing w:before="40" w:after="40"/>
      <w:jc w:val="left"/>
    </w:pPr>
    <w:rPr>
      <w:rFonts w:ascii="Arial Narrow" w:hAnsi="Arial Narrow" w:cs="Times New Roman"/>
      <w:snapToGrid/>
      <w:sz w:val="20"/>
      <w:szCs w:val="20"/>
    </w:rPr>
  </w:style>
  <w:style w:type="character" w:customStyle="1" w:styleId="PBACTableTextChar">
    <w:name w:val="PBAC Table Text Char"/>
    <w:basedOn w:val="DefaultParagraphFont"/>
    <w:link w:val="PBACTableText"/>
    <w:rsid w:val="00D45B95"/>
    <w:rPr>
      <w:rFonts w:ascii="Arial Narrow" w:hAnsi="Arial Narrow"/>
      <w:lang w:eastAsia="en-US"/>
    </w:rPr>
  </w:style>
  <w:style w:type="paragraph" w:styleId="FootnoteText">
    <w:name w:val="footnote text"/>
    <w:basedOn w:val="Normal"/>
    <w:link w:val="FootnoteTextChar"/>
    <w:semiHidden/>
    <w:unhideWhenUsed/>
    <w:rsid w:val="002908CE"/>
    <w:rPr>
      <w:sz w:val="20"/>
      <w:szCs w:val="20"/>
    </w:rPr>
  </w:style>
  <w:style w:type="character" w:customStyle="1" w:styleId="FootnoteTextChar">
    <w:name w:val="Footnote Text Char"/>
    <w:basedOn w:val="DefaultParagraphFont"/>
    <w:link w:val="FootnoteText"/>
    <w:semiHidden/>
    <w:rsid w:val="002908CE"/>
    <w:rPr>
      <w:rFonts w:ascii="Calibri" w:hAnsi="Calibri" w:cs="Arial"/>
      <w:snapToGrid w:val="0"/>
      <w:lang w:eastAsia="en-US"/>
    </w:rPr>
  </w:style>
  <w:style w:type="character" w:styleId="FootnoteReference">
    <w:name w:val="footnote reference"/>
    <w:basedOn w:val="DefaultParagraphFont"/>
    <w:semiHidden/>
    <w:unhideWhenUsed/>
    <w:rsid w:val="002908CE"/>
    <w:rPr>
      <w:vertAlign w:val="superscript"/>
    </w:rPr>
  </w:style>
  <w:style w:type="character" w:customStyle="1" w:styleId="cit">
    <w:name w:val="cit"/>
    <w:basedOn w:val="DefaultParagraphFont"/>
    <w:rsid w:val="002908CE"/>
  </w:style>
  <w:style w:type="character" w:customStyle="1" w:styleId="fm-vol-iss-date">
    <w:name w:val="fm-vol-iss-date"/>
    <w:basedOn w:val="DefaultParagraphFont"/>
    <w:rsid w:val="002908CE"/>
  </w:style>
  <w:style w:type="character" w:customStyle="1" w:styleId="doi">
    <w:name w:val="doi"/>
    <w:basedOn w:val="DefaultParagraphFont"/>
    <w:rsid w:val="002908CE"/>
  </w:style>
  <w:style w:type="paragraph" w:customStyle="1" w:styleId="2-SectionHeading">
    <w:name w:val="2-Section Heading"/>
    <w:qFormat/>
    <w:rsid w:val="003E454E"/>
    <w:pPr>
      <w:keepNext/>
      <w:spacing w:before="240" w:after="120"/>
      <w:ind w:left="720" w:hanging="720"/>
      <w:outlineLvl w:val="0"/>
    </w:pPr>
    <w:rPr>
      <w:rFonts w:asciiTheme="minorHAnsi" w:hAnsiTheme="minorHAnsi" w:cs="Arial"/>
      <w:b/>
      <w:snapToGrid w:val="0"/>
      <w:sz w:val="32"/>
      <w:szCs w:val="32"/>
    </w:rPr>
  </w:style>
  <w:style w:type="paragraph" w:customStyle="1" w:styleId="Default">
    <w:name w:val="Default"/>
    <w:rsid w:val="003D25EA"/>
    <w:pPr>
      <w:autoSpaceDE w:val="0"/>
      <w:autoSpaceDN w:val="0"/>
      <w:adjustRightInd w:val="0"/>
    </w:pPr>
    <w:rPr>
      <w:rFonts w:ascii="Sabon" w:hAnsi="Sabon" w:cs="Sabon"/>
      <w:color w:val="000000"/>
      <w:sz w:val="24"/>
      <w:szCs w:val="24"/>
    </w:rPr>
  </w:style>
  <w:style w:type="paragraph" w:customStyle="1" w:styleId="TableParagraph">
    <w:name w:val="Table Paragraph"/>
    <w:basedOn w:val="Normal"/>
    <w:uiPriority w:val="1"/>
    <w:qFormat/>
    <w:rsid w:val="00B944B6"/>
    <w:pPr>
      <w:autoSpaceDE w:val="0"/>
      <w:autoSpaceDN w:val="0"/>
      <w:spacing w:before="35"/>
      <w:ind w:left="107"/>
      <w:jc w:val="left"/>
    </w:pPr>
    <w:rPr>
      <w:rFonts w:ascii="Arial Narrow" w:eastAsia="Arial Narrow" w:hAnsi="Arial Narrow" w:cs="Arial Narrow"/>
      <w:snapToGrid/>
      <w:sz w:val="22"/>
    </w:rPr>
  </w:style>
  <w:style w:type="paragraph" w:customStyle="1" w:styleId="PBACcaption">
    <w:name w:val="PBAC caption"/>
    <w:basedOn w:val="Normal"/>
    <w:link w:val="PBACcaptionChar"/>
    <w:qFormat/>
    <w:rsid w:val="002D5CAE"/>
    <w:pPr>
      <w:widowControl/>
      <w:jc w:val="left"/>
    </w:pPr>
    <w:rPr>
      <w:rFonts w:ascii="Sabon" w:eastAsiaTheme="minorHAnsi" w:hAnsi="Sabon"/>
      <w:b/>
      <w:snapToGrid/>
      <w:sz w:val="22"/>
    </w:rPr>
  </w:style>
  <w:style w:type="character" w:customStyle="1" w:styleId="PBACcaptionChar">
    <w:name w:val="PBAC caption Char"/>
    <w:basedOn w:val="DefaultParagraphFont"/>
    <w:link w:val="PBACcaption"/>
    <w:rsid w:val="002D5CAE"/>
    <w:rPr>
      <w:rFonts w:ascii="Sabon" w:eastAsiaTheme="minorHAnsi" w:hAnsi="Sabon" w:cs="Arial"/>
      <w:b/>
      <w:sz w:val="22"/>
      <w:szCs w:val="22"/>
      <w:lang w:eastAsia="en-US"/>
    </w:rPr>
  </w:style>
  <w:style w:type="paragraph" w:customStyle="1" w:styleId="PbacTableHeading">
    <w:name w:val="Pbac Table Heading"/>
    <w:basedOn w:val="PBACTableText"/>
    <w:qFormat/>
    <w:rsid w:val="002D5CAE"/>
    <w:pPr>
      <w:spacing w:before="0" w:after="80"/>
    </w:pPr>
    <w:rPr>
      <w:rFonts w:eastAsiaTheme="minorHAnsi" w:cs="Arial"/>
      <w:b/>
    </w:rPr>
  </w:style>
  <w:style w:type="character" w:customStyle="1" w:styleId="NoSpacingChar">
    <w:name w:val="No Spacing Char"/>
    <w:aliases w:val="PBAC Table Footnote Char"/>
    <w:basedOn w:val="DefaultParagraphFont"/>
    <w:link w:val="NoSpacing"/>
    <w:uiPriority w:val="1"/>
    <w:rsid w:val="002D5CAE"/>
    <w:rPr>
      <w:rFonts w:ascii="Arial" w:hAnsi="Arial" w:cs="Arial"/>
      <w:snapToGrid w:val="0"/>
      <w:sz w:val="22"/>
      <w:lang w:eastAsia="en-US"/>
    </w:rPr>
  </w:style>
  <w:style w:type="paragraph" w:customStyle="1" w:styleId="PBACtablecaption">
    <w:name w:val="PBAC table caption"/>
    <w:basedOn w:val="PBACTableText"/>
    <w:link w:val="PBACtablecaptionChar"/>
    <w:rsid w:val="000B4A7E"/>
    <w:pPr>
      <w:spacing w:before="0" w:after="0"/>
    </w:pPr>
    <w:rPr>
      <w:rFonts w:eastAsiaTheme="minorHAnsi" w:cs="Arial"/>
      <w:sz w:val="18"/>
      <w:szCs w:val="18"/>
    </w:rPr>
  </w:style>
  <w:style w:type="character" w:customStyle="1" w:styleId="PBACtablecaptionChar">
    <w:name w:val="PBAC table caption Char"/>
    <w:basedOn w:val="PBACTableTextChar"/>
    <w:link w:val="PBACtablecaption"/>
    <w:rsid w:val="000B4A7E"/>
    <w:rPr>
      <w:rFonts w:ascii="Arial Narrow" w:eastAsiaTheme="minorHAnsi" w:hAnsi="Arial Narrow" w:cs="Arial"/>
      <w:sz w:val="18"/>
      <w:szCs w:val="18"/>
      <w:lang w:eastAsia="en-US"/>
    </w:rPr>
  </w:style>
  <w:style w:type="paragraph" w:customStyle="1" w:styleId="PBACHeading1Nonumbering">
    <w:name w:val="PBAC Heading 1 No numbering"/>
    <w:basedOn w:val="Heading1"/>
    <w:qFormat/>
    <w:rsid w:val="003103A3"/>
    <w:pPr>
      <w:keepNext/>
      <w:widowControl/>
      <w:spacing w:before="120" w:after="120"/>
      <w:ind w:left="0" w:firstLine="0"/>
      <w:jc w:val="left"/>
    </w:pPr>
    <w:rPr>
      <w:rFonts w:ascii="Sabon" w:hAnsi="Sabon"/>
      <w:b w:val="0"/>
      <w:bCs/>
      <w:caps/>
      <w:snapToGrid/>
      <w:kern w:val="32"/>
      <w:szCs w:val="28"/>
    </w:rPr>
  </w:style>
  <w:style w:type="paragraph" w:customStyle="1" w:styleId="3Bodytext">
    <w:name w:val="3. Body text"/>
    <w:basedOn w:val="ListParagraph"/>
    <w:link w:val="3BodytextChar"/>
    <w:qFormat/>
    <w:rsid w:val="00280237"/>
    <w:pPr>
      <w:widowControl/>
      <w:tabs>
        <w:tab w:val="num" w:pos="360"/>
      </w:tabs>
      <w:spacing w:after="120"/>
    </w:pPr>
    <w:rPr>
      <w:rFonts w:asciiTheme="minorHAnsi" w:eastAsiaTheme="minorHAnsi" w:hAnsiTheme="minorHAnsi" w:cstheme="minorBidi"/>
      <w:snapToGrid/>
    </w:rPr>
  </w:style>
  <w:style w:type="character" w:customStyle="1" w:styleId="3BodytextChar">
    <w:name w:val="3. Body text Char"/>
    <w:basedOn w:val="DefaultParagraphFont"/>
    <w:link w:val="3Bodytext"/>
    <w:rsid w:val="00280237"/>
    <w:rPr>
      <w:rFonts w:asciiTheme="minorHAnsi" w:eastAsiaTheme="minorHAnsi" w:hAnsiTheme="minorHAnsi" w:cstheme="minorBidi"/>
      <w:sz w:val="24"/>
      <w:szCs w:val="22"/>
      <w:lang w:eastAsia="en-US"/>
    </w:rPr>
  </w:style>
  <w:style w:type="paragraph" w:customStyle="1" w:styleId="In-tableHeading">
    <w:name w:val="In-table Heading"/>
    <w:qFormat/>
    <w:rsid w:val="004B04DF"/>
    <w:pPr>
      <w:keepNext/>
    </w:pPr>
    <w:rPr>
      <w:rFonts w:ascii="Arial Narrow" w:eastAsiaTheme="majorEastAsia" w:hAnsi="Arial Narrow"/>
      <w:b/>
      <w:szCs w:val="24"/>
      <w:lang w:val="en-US"/>
    </w:rPr>
  </w:style>
  <w:style w:type="paragraph" w:customStyle="1" w:styleId="TableFigureHeading">
    <w:name w:val="Table/Figure Heading"/>
    <w:next w:val="In-tableHeading"/>
    <w:link w:val="TableFigureHeadingChar"/>
    <w:qFormat/>
    <w:rsid w:val="004B04D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B04DF"/>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4B04DF"/>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4B04DF"/>
    <w:rPr>
      <w:rFonts w:ascii="Arial Narrow" w:hAnsi="Arial Narrow" w:cs="Arial"/>
      <w:snapToGrid w:val="0"/>
      <w:sz w:val="18"/>
      <w:szCs w:val="22"/>
    </w:rPr>
  </w:style>
  <w:style w:type="character" w:customStyle="1" w:styleId="TableTextChar0">
    <w:name w:val="Table Text Char"/>
    <w:basedOn w:val="DefaultParagraphFont"/>
    <w:link w:val="TableText0"/>
    <w:rsid w:val="004B04DF"/>
    <w:rPr>
      <w:rFonts w:ascii="Arial Narrow" w:eastAsiaTheme="minorHAnsi" w:hAnsi="Arial Narrow" w:cstheme="minorBidi"/>
      <w:szCs w:val="22"/>
      <w:lang w:eastAsia="en-US"/>
    </w:rPr>
  </w:style>
  <w:style w:type="character" w:customStyle="1" w:styleId="UnresolvedMention1">
    <w:name w:val="Unresolved Mention1"/>
    <w:basedOn w:val="DefaultParagraphFont"/>
    <w:uiPriority w:val="99"/>
    <w:semiHidden/>
    <w:unhideWhenUsed/>
    <w:rsid w:val="00300AE5"/>
    <w:rPr>
      <w:color w:val="605E5C"/>
      <w:shd w:val="clear" w:color="auto" w:fill="E1DFDD"/>
    </w:rPr>
  </w:style>
  <w:style w:type="paragraph" w:styleId="ListBullet">
    <w:name w:val="List Bullet"/>
    <w:basedOn w:val="Normal"/>
    <w:unhideWhenUsed/>
    <w:rsid w:val="005B7526"/>
    <w:pPr>
      <w:widowControl/>
      <w:numPr>
        <w:numId w:val="5"/>
      </w:numPr>
      <w:contextualSpacing/>
    </w:pPr>
    <w:rPr>
      <w:rFonts w:cs="Times New Roman"/>
      <w:snapToGrid/>
      <w:szCs w:val="24"/>
      <w:lang w:eastAsia="en-AU"/>
    </w:rPr>
  </w:style>
  <w:style w:type="paragraph" w:customStyle="1" w:styleId="Bodytextitalics">
    <w:name w:val="Body text italics"/>
    <w:basedOn w:val="BodyText"/>
    <w:qFormat/>
    <w:rsid w:val="008D3946"/>
    <w:pPr>
      <w:widowControl/>
      <w:spacing w:after="120"/>
      <w:jc w:val="both"/>
    </w:pPr>
    <w:rPr>
      <w:rFonts w:asciiTheme="minorHAnsi" w:eastAsiaTheme="minorHAnsi" w:hAnsiTheme="minorHAnsi" w:cstheme="minorBidi"/>
      <w:i/>
      <w:snapToGrid/>
      <w:lang w:eastAsia="en-AU"/>
    </w:rPr>
  </w:style>
  <w:style w:type="paragraph" w:customStyle="1" w:styleId="null">
    <w:name w:val="null"/>
    <w:basedOn w:val="Normal"/>
    <w:rsid w:val="002742C4"/>
    <w:pPr>
      <w:widowControl/>
      <w:spacing w:before="100" w:beforeAutospacing="1" w:after="100" w:afterAutospacing="1"/>
      <w:jc w:val="left"/>
    </w:pPr>
    <w:rPr>
      <w:rFonts w:ascii="Times New Roman" w:eastAsiaTheme="minorHAnsi" w:hAnsi="Times New Roman" w:cs="Times New Roman"/>
      <w:snapToGrid/>
      <w:szCs w:val="24"/>
      <w:lang w:eastAsia="en-AU"/>
    </w:rPr>
  </w:style>
  <w:style w:type="paragraph" w:customStyle="1" w:styleId="1MainTitle">
    <w:name w:val="1. Main Title"/>
    <w:basedOn w:val="Title"/>
    <w:link w:val="1MainTitleChar"/>
    <w:qFormat/>
    <w:rsid w:val="00FF6059"/>
    <w:pPr>
      <w:widowControl/>
      <w:spacing w:before="120" w:after="160"/>
      <w:ind w:left="720" w:hanging="720"/>
      <w:contextualSpacing/>
      <w:jc w:val="both"/>
    </w:pPr>
    <w:rPr>
      <w:rFonts w:asciiTheme="minorHAnsi" w:eastAsiaTheme="majorEastAsia" w:hAnsiTheme="minorHAnsi" w:cstheme="majorBidi"/>
      <w:bCs w:val="0"/>
      <w:snapToGrid/>
      <w:spacing w:val="5"/>
      <w:sz w:val="36"/>
      <w:szCs w:val="36"/>
    </w:rPr>
  </w:style>
  <w:style w:type="character" w:customStyle="1" w:styleId="1MainTitleChar">
    <w:name w:val="1. Main Title Char"/>
    <w:basedOn w:val="TitleChar"/>
    <w:link w:val="1MainTitle"/>
    <w:rsid w:val="00FF6059"/>
    <w:rPr>
      <w:rFonts w:asciiTheme="minorHAnsi" w:eastAsiaTheme="majorEastAsia" w:hAnsiTheme="minorHAnsi" w:cstheme="majorBidi"/>
      <w:b/>
      <w:bCs w:val="0"/>
      <w:snapToGrid/>
      <w:spacing w:val="5"/>
      <w:kern w:val="28"/>
      <w:sz w:val="36"/>
      <w:szCs w:val="36"/>
      <w:lang w:eastAsia="en-US"/>
    </w:rPr>
  </w:style>
  <w:style w:type="character" w:customStyle="1" w:styleId="Heading1Char">
    <w:name w:val="Heading 1 Char"/>
    <w:basedOn w:val="DefaultParagraphFont"/>
    <w:link w:val="Heading1"/>
    <w:rsid w:val="007F2CB8"/>
    <w:rPr>
      <w:rFonts w:ascii="Calibri" w:hAnsi="Calibri" w:cs="Arial"/>
      <w:b/>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27535">
      <w:bodyDiv w:val="1"/>
      <w:marLeft w:val="0"/>
      <w:marRight w:val="0"/>
      <w:marTop w:val="0"/>
      <w:marBottom w:val="0"/>
      <w:divBdr>
        <w:top w:val="none" w:sz="0" w:space="0" w:color="auto"/>
        <w:left w:val="none" w:sz="0" w:space="0" w:color="auto"/>
        <w:bottom w:val="none" w:sz="0" w:space="0" w:color="auto"/>
        <w:right w:val="none" w:sz="0" w:space="0" w:color="auto"/>
      </w:divBdr>
    </w:div>
    <w:div w:id="184907620">
      <w:bodyDiv w:val="1"/>
      <w:marLeft w:val="0"/>
      <w:marRight w:val="0"/>
      <w:marTop w:val="0"/>
      <w:marBottom w:val="0"/>
      <w:divBdr>
        <w:top w:val="none" w:sz="0" w:space="0" w:color="auto"/>
        <w:left w:val="none" w:sz="0" w:space="0" w:color="auto"/>
        <w:bottom w:val="none" w:sz="0" w:space="0" w:color="auto"/>
        <w:right w:val="none" w:sz="0" w:space="0" w:color="auto"/>
      </w:divBdr>
      <w:divsChild>
        <w:div w:id="1249391259">
          <w:marLeft w:val="360"/>
          <w:marRight w:val="0"/>
          <w:marTop w:val="200"/>
          <w:marBottom w:val="0"/>
          <w:divBdr>
            <w:top w:val="none" w:sz="0" w:space="0" w:color="auto"/>
            <w:left w:val="none" w:sz="0" w:space="0" w:color="auto"/>
            <w:bottom w:val="none" w:sz="0" w:space="0" w:color="auto"/>
            <w:right w:val="none" w:sz="0" w:space="0" w:color="auto"/>
          </w:divBdr>
        </w:div>
      </w:divsChild>
    </w:div>
    <w:div w:id="31596348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12">
          <w:marLeft w:val="360"/>
          <w:marRight w:val="0"/>
          <w:marTop w:val="200"/>
          <w:marBottom w:val="0"/>
          <w:divBdr>
            <w:top w:val="none" w:sz="0" w:space="0" w:color="auto"/>
            <w:left w:val="none" w:sz="0" w:space="0" w:color="auto"/>
            <w:bottom w:val="none" w:sz="0" w:space="0" w:color="auto"/>
            <w:right w:val="none" w:sz="0" w:space="0" w:color="auto"/>
          </w:divBdr>
        </w:div>
      </w:divsChild>
    </w:div>
    <w:div w:id="359864951">
      <w:bodyDiv w:val="1"/>
      <w:marLeft w:val="0"/>
      <w:marRight w:val="0"/>
      <w:marTop w:val="0"/>
      <w:marBottom w:val="0"/>
      <w:divBdr>
        <w:top w:val="none" w:sz="0" w:space="0" w:color="auto"/>
        <w:left w:val="none" w:sz="0" w:space="0" w:color="auto"/>
        <w:bottom w:val="none" w:sz="0" w:space="0" w:color="auto"/>
        <w:right w:val="none" w:sz="0" w:space="0" w:color="auto"/>
      </w:divBdr>
    </w:div>
    <w:div w:id="367143971">
      <w:bodyDiv w:val="1"/>
      <w:marLeft w:val="0"/>
      <w:marRight w:val="0"/>
      <w:marTop w:val="0"/>
      <w:marBottom w:val="0"/>
      <w:divBdr>
        <w:top w:val="none" w:sz="0" w:space="0" w:color="auto"/>
        <w:left w:val="none" w:sz="0" w:space="0" w:color="auto"/>
        <w:bottom w:val="none" w:sz="0" w:space="0" w:color="auto"/>
        <w:right w:val="none" w:sz="0" w:space="0" w:color="auto"/>
      </w:divBdr>
    </w:div>
    <w:div w:id="434327807">
      <w:bodyDiv w:val="1"/>
      <w:marLeft w:val="0"/>
      <w:marRight w:val="0"/>
      <w:marTop w:val="0"/>
      <w:marBottom w:val="0"/>
      <w:divBdr>
        <w:top w:val="none" w:sz="0" w:space="0" w:color="auto"/>
        <w:left w:val="none" w:sz="0" w:space="0" w:color="auto"/>
        <w:bottom w:val="none" w:sz="0" w:space="0" w:color="auto"/>
        <w:right w:val="none" w:sz="0" w:space="0" w:color="auto"/>
      </w:divBdr>
    </w:div>
    <w:div w:id="746417971">
      <w:bodyDiv w:val="1"/>
      <w:marLeft w:val="0"/>
      <w:marRight w:val="0"/>
      <w:marTop w:val="0"/>
      <w:marBottom w:val="0"/>
      <w:divBdr>
        <w:top w:val="none" w:sz="0" w:space="0" w:color="auto"/>
        <w:left w:val="none" w:sz="0" w:space="0" w:color="auto"/>
        <w:bottom w:val="none" w:sz="0" w:space="0" w:color="auto"/>
        <w:right w:val="none" w:sz="0" w:space="0" w:color="auto"/>
      </w:divBdr>
      <w:divsChild>
        <w:div w:id="1147933921">
          <w:marLeft w:val="360"/>
          <w:marRight w:val="0"/>
          <w:marTop w:val="200"/>
          <w:marBottom w:val="0"/>
          <w:divBdr>
            <w:top w:val="none" w:sz="0" w:space="0" w:color="auto"/>
            <w:left w:val="none" w:sz="0" w:space="0" w:color="auto"/>
            <w:bottom w:val="none" w:sz="0" w:space="0" w:color="auto"/>
            <w:right w:val="none" w:sz="0" w:space="0" w:color="auto"/>
          </w:divBdr>
        </w:div>
        <w:div w:id="603390076">
          <w:marLeft w:val="1080"/>
          <w:marRight w:val="0"/>
          <w:marTop w:val="100"/>
          <w:marBottom w:val="0"/>
          <w:divBdr>
            <w:top w:val="none" w:sz="0" w:space="0" w:color="auto"/>
            <w:left w:val="none" w:sz="0" w:space="0" w:color="auto"/>
            <w:bottom w:val="none" w:sz="0" w:space="0" w:color="auto"/>
            <w:right w:val="none" w:sz="0" w:space="0" w:color="auto"/>
          </w:divBdr>
        </w:div>
        <w:div w:id="732775610">
          <w:marLeft w:val="1080"/>
          <w:marRight w:val="0"/>
          <w:marTop w:val="100"/>
          <w:marBottom w:val="0"/>
          <w:divBdr>
            <w:top w:val="none" w:sz="0" w:space="0" w:color="auto"/>
            <w:left w:val="none" w:sz="0" w:space="0" w:color="auto"/>
            <w:bottom w:val="none" w:sz="0" w:space="0" w:color="auto"/>
            <w:right w:val="none" w:sz="0" w:space="0" w:color="auto"/>
          </w:divBdr>
        </w:div>
        <w:div w:id="1166899236">
          <w:marLeft w:val="1080"/>
          <w:marRight w:val="0"/>
          <w:marTop w:val="100"/>
          <w:marBottom w:val="0"/>
          <w:divBdr>
            <w:top w:val="none" w:sz="0" w:space="0" w:color="auto"/>
            <w:left w:val="none" w:sz="0" w:space="0" w:color="auto"/>
            <w:bottom w:val="none" w:sz="0" w:space="0" w:color="auto"/>
            <w:right w:val="none" w:sz="0" w:space="0" w:color="auto"/>
          </w:divBdr>
        </w:div>
      </w:divsChild>
    </w:div>
    <w:div w:id="798034220">
      <w:bodyDiv w:val="1"/>
      <w:marLeft w:val="0"/>
      <w:marRight w:val="0"/>
      <w:marTop w:val="0"/>
      <w:marBottom w:val="0"/>
      <w:divBdr>
        <w:top w:val="none" w:sz="0" w:space="0" w:color="auto"/>
        <w:left w:val="none" w:sz="0" w:space="0" w:color="auto"/>
        <w:bottom w:val="none" w:sz="0" w:space="0" w:color="auto"/>
        <w:right w:val="none" w:sz="0" w:space="0" w:color="auto"/>
      </w:divBdr>
    </w:div>
    <w:div w:id="819232730">
      <w:bodyDiv w:val="1"/>
      <w:marLeft w:val="0"/>
      <w:marRight w:val="0"/>
      <w:marTop w:val="0"/>
      <w:marBottom w:val="0"/>
      <w:divBdr>
        <w:top w:val="none" w:sz="0" w:space="0" w:color="auto"/>
        <w:left w:val="none" w:sz="0" w:space="0" w:color="auto"/>
        <w:bottom w:val="none" w:sz="0" w:space="0" w:color="auto"/>
        <w:right w:val="none" w:sz="0" w:space="0" w:color="auto"/>
      </w:divBdr>
    </w:div>
    <w:div w:id="929703422">
      <w:bodyDiv w:val="1"/>
      <w:marLeft w:val="0"/>
      <w:marRight w:val="0"/>
      <w:marTop w:val="0"/>
      <w:marBottom w:val="0"/>
      <w:divBdr>
        <w:top w:val="none" w:sz="0" w:space="0" w:color="auto"/>
        <w:left w:val="none" w:sz="0" w:space="0" w:color="auto"/>
        <w:bottom w:val="none" w:sz="0" w:space="0" w:color="auto"/>
        <w:right w:val="none" w:sz="0" w:space="0" w:color="auto"/>
      </w:divBdr>
      <w:divsChild>
        <w:div w:id="1457331981">
          <w:marLeft w:val="0"/>
          <w:marRight w:val="0"/>
          <w:marTop w:val="0"/>
          <w:marBottom w:val="0"/>
          <w:divBdr>
            <w:top w:val="none" w:sz="0" w:space="0" w:color="auto"/>
            <w:left w:val="none" w:sz="0" w:space="0" w:color="auto"/>
            <w:bottom w:val="none" w:sz="0" w:space="0" w:color="auto"/>
            <w:right w:val="none" w:sz="0" w:space="0" w:color="auto"/>
          </w:divBdr>
          <w:divsChild>
            <w:div w:id="636299055">
              <w:marLeft w:val="0"/>
              <w:marRight w:val="0"/>
              <w:marTop w:val="0"/>
              <w:marBottom w:val="0"/>
              <w:divBdr>
                <w:top w:val="none" w:sz="0" w:space="0" w:color="auto"/>
                <w:left w:val="none" w:sz="0" w:space="0" w:color="auto"/>
                <w:bottom w:val="none" w:sz="0" w:space="0" w:color="auto"/>
                <w:right w:val="none" w:sz="0" w:space="0" w:color="auto"/>
              </w:divBdr>
              <w:divsChild>
                <w:div w:id="680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1392">
      <w:bodyDiv w:val="1"/>
      <w:marLeft w:val="0"/>
      <w:marRight w:val="0"/>
      <w:marTop w:val="0"/>
      <w:marBottom w:val="0"/>
      <w:divBdr>
        <w:top w:val="none" w:sz="0" w:space="0" w:color="auto"/>
        <w:left w:val="none" w:sz="0" w:space="0" w:color="auto"/>
        <w:bottom w:val="none" w:sz="0" w:space="0" w:color="auto"/>
        <w:right w:val="none" w:sz="0" w:space="0" w:color="auto"/>
      </w:divBdr>
      <w:divsChild>
        <w:div w:id="317153318">
          <w:marLeft w:val="360"/>
          <w:marRight w:val="0"/>
          <w:marTop w:val="200"/>
          <w:marBottom w:val="0"/>
          <w:divBdr>
            <w:top w:val="none" w:sz="0" w:space="0" w:color="auto"/>
            <w:left w:val="none" w:sz="0" w:space="0" w:color="auto"/>
            <w:bottom w:val="none" w:sz="0" w:space="0" w:color="auto"/>
            <w:right w:val="none" w:sz="0" w:space="0" w:color="auto"/>
          </w:divBdr>
        </w:div>
      </w:divsChild>
    </w:div>
    <w:div w:id="1148136242">
      <w:bodyDiv w:val="1"/>
      <w:marLeft w:val="0"/>
      <w:marRight w:val="0"/>
      <w:marTop w:val="0"/>
      <w:marBottom w:val="0"/>
      <w:divBdr>
        <w:top w:val="none" w:sz="0" w:space="0" w:color="auto"/>
        <w:left w:val="none" w:sz="0" w:space="0" w:color="auto"/>
        <w:bottom w:val="none" w:sz="0" w:space="0" w:color="auto"/>
        <w:right w:val="none" w:sz="0" w:space="0" w:color="auto"/>
      </w:divBdr>
    </w:div>
    <w:div w:id="1159610299">
      <w:bodyDiv w:val="1"/>
      <w:marLeft w:val="0"/>
      <w:marRight w:val="0"/>
      <w:marTop w:val="0"/>
      <w:marBottom w:val="0"/>
      <w:divBdr>
        <w:top w:val="none" w:sz="0" w:space="0" w:color="auto"/>
        <w:left w:val="none" w:sz="0" w:space="0" w:color="auto"/>
        <w:bottom w:val="none" w:sz="0" w:space="0" w:color="auto"/>
        <w:right w:val="none" w:sz="0" w:space="0" w:color="auto"/>
      </w:divBdr>
    </w:div>
    <w:div w:id="1635330069">
      <w:bodyDiv w:val="1"/>
      <w:marLeft w:val="0"/>
      <w:marRight w:val="0"/>
      <w:marTop w:val="0"/>
      <w:marBottom w:val="0"/>
      <w:divBdr>
        <w:top w:val="none" w:sz="0" w:space="0" w:color="auto"/>
        <w:left w:val="none" w:sz="0" w:space="0" w:color="auto"/>
        <w:bottom w:val="none" w:sz="0" w:space="0" w:color="auto"/>
        <w:right w:val="none" w:sz="0" w:space="0" w:color="auto"/>
      </w:divBdr>
      <w:divsChild>
        <w:div w:id="986397474">
          <w:marLeft w:val="360"/>
          <w:marRight w:val="0"/>
          <w:marTop w:val="200"/>
          <w:marBottom w:val="0"/>
          <w:divBdr>
            <w:top w:val="none" w:sz="0" w:space="0" w:color="auto"/>
            <w:left w:val="none" w:sz="0" w:space="0" w:color="auto"/>
            <w:bottom w:val="none" w:sz="0" w:space="0" w:color="auto"/>
            <w:right w:val="none" w:sz="0" w:space="0" w:color="auto"/>
          </w:divBdr>
        </w:div>
        <w:div w:id="580677966">
          <w:marLeft w:val="1080"/>
          <w:marRight w:val="0"/>
          <w:marTop w:val="100"/>
          <w:marBottom w:val="0"/>
          <w:divBdr>
            <w:top w:val="none" w:sz="0" w:space="0" w:color="auto"/>
            <w:left w:val="none" w:sz="0" w:space="0" w:color="auto"/>
            <w:bottom w:val="none" w:sz="0" w:space="0" w:color="auto"/>
            <w:right w:val="none" w:sz="0" w:space="0" w:color="auto"/>
          </w:divBdr>
        </w:div>
      </w:divsChild>
    </w:div>
    <w:div w:id="1666786138">
      <w:bodyDiv w:val="1"/>
      <w:marLeft w:val="0"/>
      <w:marRight w:val="0"/>
      <w:marTop w:val="0"/>
      <w:marBottom w:val="0"/>
      <w:divBdr>
        <w:top w:val="none" w:sz="0" w:space="0" w:color="auto"/>
        <w:left w:val="none" w:sz="0" w:space="0" w:color="auto"/>
        <w:bottom w:val="none" w:sz="0" w:space="0" w:color="auto"/>
        <w:right w:val="none" w:sz="0" w:space="0" w:color="auto"/>
      </w:divBdr>
    </w:div>
    <w:div w:id="1692074867">
      <w:bodyDiv w:val="1"/>
      <w:marLeft w:val="0"/>
      <w:marRight w:val="0"/>
      <w:marTop w:val="0"/>
      <w:marBottom w:val="0"/>
      <w:divBdr>
        <w:top w:val="none" w:sz="0" w:space="0" w:color="auto"/>
        <w:left w:val="none" w:sz="0" w:space="0" w:color="auto"/>
        <w:bottom w:val="none" w:sz="0" w:space="0" w:color="auto"/>
        <w:right w:val="none" w:sz="0" w:space="0" w:color="auto"/>
      </w:divBdr>
    </w:div>
    <w:div w:id="1701280302">
      <w:bodyDiv w:val="1"/>
      <w:marLeft w:val="0"/>
      <w:marRight w:val="0"/>
      <w:marTop w:val="0"/>
      <w:marBottom w:val="0"/>
      <w:divBdr>
        <w:top w:val="none" w:sz="0" w:space="0" w:color="auto"/>
        <w:left w:val="none" w:sz="0" w:space="0" w:color="auto"/>
        <w:bottom w:val="none" w:sz="0" w:space="0" w:color="auto"/>
        <w:right w:val="none" w:sz="0" w:space="0" w:color="auto"/>
      </w:divBdr>
    </w:div>
    <w:div w:id="1885437155">
      <w:bodyDiv w:val="1"/>
      <w:marLeft w:val="0"/>
      <w:marRight w:val="0"/>
      <w:marTop w:val="0"/>
      <w:marBottom w:val="0"/>
      <w:divBdr>
        <w:top w:val="none" w:sz="0" w:space="0" w:color="auto"/>
        <w:left w:val="none" w:sz="0" w:space="0" w:color="auto"/>
        <w:bottom w:val="none" w:sz="0" w:space="0" w:color="auto"/>
        <w:right w:val="none" w:sz="0" w:space="0" w:color="auto"/>
      </w:divBdr>
      <w:divsChild>
        <w:div w:id="1626161293">
          <w:marLeft w:val="1080"/>
          <w:marRight w:val="0"/>
          <w:marTop w:val="100"/>
          <w:marBottom w:val="0"/>
          <w:divBdr>
            <w:top w:val="none" w:sz="0" w:space="0" w:color="auto"/>
            <w:left w:val="none" w:sz="0" w:space="0" w:color="auto"/>
            <w:bottom w:val="none" w:sz="0" w:space="0" w:color="auto"/>
            <w:right w:val="none" w:sz="0" w:space="0" w:color="auto"/>
          </w:divBdr>
        </w:div>
      </w:divsChild>
    </w:div>
    <w:div w:id="193909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F5BCC-2F31-4700-B0F3-8A9670B9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9105</Words>
  <Characters>55231</Characters>
  <Application>Microsoft Office Word</Application>
  <DocSecurity>0</DocSecurity>
  <Lines>460</Lines>
  <Paragraphs>128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7.02	BROLUCIZUMAB,  Solution for injection 19.8 mg in 0.165 mL pre-filled syring</vt:lpstr>
      <vt:lpstr>1	Purpose of Application</vt:lpstr>
      <vt:lpstr>Requested listing</vt:lpstr>
      <vt:lpstr>Background</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vt:lpstr>
      <vt:lpstr>    Drug cost/patient/year (effective)</vt:lpstr>
      <vt:lpstr>    Estimated PBS usage &amp; financial implications</vt:lpstr>
      <vt:lpstr>    Financial Management – Risk Sharing Arrangements</vt:lpstr>
      <vt:lpstr>PBAC Outcome</vt:lpstr>
      <vt:lpstr>Recommended listing</vt:lpstr>
      <vt:lpstr>Context for Decision</vt:lpstr>
      <vt:lpstr>Sponsor’s Comment</vt:lpstr>
    </vt:vector>
  </TitlesOfParts>
  <Company/>
  <LinksUpToDate>false</LinksUpToDate>
  <CharactersWithSpaces>64208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2021-06-30T06:18:00Z</dcterms:created>
  <dcterms:modified xsi:type="dcterms:W3CDTF">2021-06-30T06:18:00Z</dcterms:modified>
</cp:coreProperties>
</file>