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939" w:rsidRPr="008E3F1A" w:rsidRDefault="00B45030" w:rsidP="004A6040">
      <w:pPr>
        <w:pStyle w:val="1-MainHeading"/>
      </w:pPr>
      <w:bookmarkStart w:id="0" w:name="_Toc62055081"/>
      <w:r w:rsidRPr="008E3F1A">
        <w:t>6.03</w:t>
      </w:r>
      <w:r w:rsidR="00163F66" w:rsidRPr="008E3F1A">
        <w:tab/>
      </w:r>
      <w:r w:rsidR="002742BE" w:rsidRPr="008E3F1A">
        <w:t>BRENTUXIMAB VEDOTIN</w:t>
      </w:r>
      <w:r w:rsidR="00163F66" w:rsidRPr="008E3F1A">
        <w:t>,</w:t>
      </w:r>
      <w:r w:rsidR="00163F66" w:rsidRPr="008E3F1A">
        <w:br/>
      </w:r>
      <w:r w:rsidR="00D102B7" w:rsidRPr="008E3F1A">
        <w:t>Powder for I</w:t>
      </w:r>
      <w:r w:rsidR="006420CB" w:rsidRPr="008E3F1A">
        <w:t>.</w:t>
      </w:r>
      <w:r w:rsidR="00127292" w:rsidRPr="008E3F1A">
        <w:t>V</w:t>
      </w:r>
      <w:r w:rsidR="006420CB" w:rsidRPr="008E3F1A">
        <w:t>.</w:t>
      </w:r>
      <w:r w:rsidR="00D102B7" w:rsidRPr="008E3F1A">
        <w:t xml:space="preserve"> infusion </w:t>
      </w:r>
      <w:r w:rsidR="00127292" w:rsidRPr="008E3F1A">
        <w:t>50 mg</w:t>
      </w:r>
      <w:r w:rsidR="00163F66" w:rsidRPr="008E3F1A">
        <w:t>,</w:t>
      </w:r>
      <w:r w:rsidR="00163F66" w:rsidRPr="008E3F1A">
        <w:br/>
      </w:r>
      <w:r w:rsidR="00D745FC" w:rsidRPr="008E3F1A">
        <w:t>Adcetris</w:t>
      </w:r>
      <w:r w:rsidR="00B60939" w:rsidRPr="008E3F1A">
        <w:rPr>
          <w:vertAlign w:val="superscript"/>
        </w:rPr>
        <w:t>®</w:t>
      </w:r>
      <w:r w:rsidR="004A6040" w:rsidRPr="008E3F1A">
        <w:t>,</w:t>
      </w:r>
      <w:r w:rsidR="004A6040" w:rsidRPr="008E3F1A">
        <w:br/>
      </w:r>
      <w:r w:rsidR="00D745FC" w:rsidRPr="008E3F1A">
        <w:t>Takeda</w:t>
      </w:r>
      <w:r w:rsidR="002D63FF" w:rsidRPr="008E3F1A">
        <w:t xml:space="preserve"> Ph</w:t>
      </w:r>
      <w:r w:rsidR="00430D98" w:rsidRPr="008E3F1A">
        <w:t>armaceuticals Australia Pty</w:t>
      </w:r>
      <w:r w:rsidR="002D63FF" w:rsidRPr="008E3F1A">
        <w:t xml:space="preserve"> Ltd</w:t>
      </w:r>
      <w:bookmarkEnd w:id="0"/>
    </w:p>
    <w:p w:rsidR="00B50DB8" w:rsidRPr="008E3F1A" w:rsidRDefault="00B50DB8" w:rsidP="004A6040">
      <w:pPr>
        <w:pStyle w:val="2-SectionHeading"/>
      </w:pPr>
      <w:bookmarkStart w:id="1" w:name="_Toc62055083"/>
      <w:r w:rsidRPr="008E3F1A">
        <w:t xml:space="preserve">Purpose of </w:t>
      </w:r>
      <w:r w:rsidR="00CD7193" w:rsidRPr="008E3F1A">
        <w:t>s</w:t>
      </w:r>
      <w:r w:rsidR="00BB3A45" w:rsidRPr="008E3F1A">
        <w:t>ubmission</w:t>
      </w:r>
      <w:bookmarkEnd w:id="1"/>
    </w:p>
    <w:p w:rsidR="009E1E69" w:rsidRPr="008E3F1A" w:rsidRDefault="009E1E69" w:rsidP="009E1E69">
      <w:pPr>
        <w:pStyle w:val="3-BodyText"/>
      </w:pPr>
      <w:r w:rsidRPr="008E3F1A">
        <w:t xml:space="preserve">The submission requested a Section 100 listing (Efficient Funding of Chemotherapy) for </w:t>
      </w:r>
      <w:r w:rsidRPr="008E3F1A">
        <w:rPr>
          <w:bCs/>
          <w:iCs/>
        </w:rPr>
        <w:t>brentuximab vedotin</w:t>
      </w:r>
      <w:r w:rsidR="007F109C" w:rsidRPr="008E3F1A">
        <w:rPr>
          <w:bCs/>
          <w:iCs/>
        </w:rPr>
        <w:t xml:space="preserve"> </w:t>
      </w:r>
      <w:r w:rsidRPr="008E3F1A">
        <w:rPr>
          <w:bCs/>
          <w:iCs/>
        </w:rPr>
        <w:t xml:space="preserve">(BV) in combination with </w:t>
      </w:r>
      <w:r w:rsidR="00E0195C" w:rsidRPr="008E3F1A">
        <w:rPr>
          <w:bCs/>
          <w:iCs/>
        </w:rPr>
        <w:t xml:space="preserve">cyclophosphamide, doxorubicin, and prednisone (CHP) </w:t>
      </w:r>
      <w:r w:rsidRPr="008E3F1A">
        <w:rPr>
          <w:bCs/>
          <w:iCs/>
        </w:rPr>
        <w:t xml:space="preserve">for use as an intravenous </w:t>
      </w:r>
      <w:r w:rsidR="00E821C5" w:rsidRPr="008E3F1A">
        <w:rPr>
          <w:bCs/>
          <w:iCs/>
        </w:rPr>
        <w:t xml:space="preserve">(IV) </w:t>
      </w:r>
      <w:r w:rsidRPr="008E3F1A">
        <w:rPr>
          <w:bCs/>
          <w:iCs/>
        </w:rPr>
        <w:t>injection once every three weeks for the treatment of patients with</w:t>
      </w:r>
      <w:r w:rsidR="00E0195C" w:rsidRPr="008E3F1A">
        <w:rPr>
          <w:bCs/>
          <w:iCs/>
        </w:rPr>
        <w:t xml:space="preserve"> previously untreated CD30</w:t>
      </w:r>
      <w:r w:rsidR="006A6406" w:rsidRPr="008E3F1A">
        <w:rPr>
          <w:bCs/>
          <w:iCs/>
        </w:rPr>
        <w:t xml:space="preserve"> </w:t>
      </w:r>
      <w:r w:rsidR="00E0195C" w:rsidRPr="008E3F1A">
        <w:rPr>
          <w:bCs/>
          <w:iCs/>
        </w:rPr>
        <w:t>positive peripheral T-cell lymphoma (PTCL).</w:t>
      </w:r>
    </w:p>
    <w:p w:rsidR="00C2778B" w:rsidRPr="008E3F1A" w:rsidRDefault="00762F28" w:rsidP="008B724F">
      <w:pPr>
        <w:pStyle w:val="3-BodyText"/>
      </w:pPr>
      <w:r w:rsidRPr="008E3F1A">
        <w:t>Listing was requested on the basis of a cost-effectiveness analysis versus</w:t>
      </w:r>
      <w:r w:rsidR="00BD6490" w:rsidRPr="008E3F1A">
        <w:t xml:space="preserve"> cyclophosphamide, doxorubicin, vincristine and prednisone (CHOP). </w:t>
      </w:r>
      <w:r w:rsidRPr="008E3F1A">
        <w:t>The key components addressed by the submission are presented in Table 1.</w:t>
      </w:r>
    </w:p>
    <w:p w:rsidR="008B1757" w:rsidRPr="008E3F1A" w:rsidRDefault="008B1757" w:rsidP="00D5594F">
      <w:pPr>
        <w:pStyle w:val="TableFigureHeading"/>
        <w:keepLines/>
        <w:rPr>
          <w:rStyle w:val="CommentReference"/>
          <w:b/>
          <w:szCs w:val="24"/>
        </w:rPr>
      </w:pPr>
      <w:r w:rsidRPr="008E3F1A">
        <w:rPr>
          <w:rStyle w:val="CommentReference"/>
          <w:b/>
          <w:szCs w:val="24"/>
        </w:rPr>
        <w:t xml:space="preserve">Table </w:t>
      </w:r>
      <w:r w:rsidR="006004EF" w:rsidRPr="008E3F1A">
        <w:rPr>
          <w:rStyle w:val="CommentReference"/>
          <w:b/>
          <w:szCs w:val="24"/>
        </w:rPr>
        <w:t>1</w:t>
      </w:r>
      <w:r w:rsidRPr="008E3F1A">
        <w:rPr>
          <w:rStyle w:val="CommentReference"/>
          <w:b/>
          <w:szCs w:val="24"/>
        </w:rPr>
        <w:t>:</w:t>
      </w:r>
      <w:r w:rsidR="00BC591F" w:rsidRPr="008E3F1A">
        <w:rPr>
          <w:rStyle w:val="CommentReference"/>
          <w:b/>
          <w:szCs w:val="24"/>
        </w:rPr>
        <w:t xml:space="preserve"> </w:t>
      </w:r>
      <w:r w:rsidRPr="008E3F1A">
        <w:rPr>
          <w:rStyle w:val="CommentReference"/>
          <w:b/>
          <w:szCs w:val="24"/>
        </w:rPr>
        <w:t>Key components of the clinical issue addressed by the submission</w:t>
      </w:r>
      <w:r w:rsidR="007170DA" w:rsidRPr="008E3F1A">
        <w:rPr>
          <w:rStyle w:val="CommentReference"/>
          <w:b/>
          <w:szCs w:val="24"/>
        </w:rPr>
        <w:t xml:space="preserve"> (as stated in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488"/>
      </w:tblGrid>
      <w:tr w:rsidR="00FE2CFB" w:rsidRPr="008E3F1A" w:rsidTr="00A50809">
        <w:trPr>
          <w:tblHeader/>
        </w:trPr>
        <w:tc>
          <w:tcPr>
            <w:tcW w:w="1668" w:type="dxa"/>
            <w:vAlign w:val="center"/>
          </w:tcPr>
          <w:p w:rsidR="00FE2CFB" w:rsidRPr="008E3F1A" w:rsidRDefault="00FE2CFB" w:rsidP="00D5594F">
            <w:pPr>
              <w:pStyle w:val="In-tableHeading"/>
              <w:keepLines/>
              <w:widowControl w:val="0"/>
              <w:rPr>
                <w:lang w:val="en-AU"/>
              </w:rPr>
            </w:pPr>
            <w:r w:rsidRPr="008E3F1A">
              <w:rPr>
                <w:lang w:val="en-AU"/>
              </w:rPr>
              <w:t>Component</w:t>
            </w:r>
          </w:p>
        </w:tc>
        <w:tc>
          <w:tcPr>
            <w:tcW w:w="7488" w:type="dxa"/>
            <w:vAlign w:val="center"/>
          </w:tcPr>
          <w:p w:rsidR="00FE2CFB" w:rsidRPr="008E3F1A" w:rsidRDefault="00FE2CFB" w:rsidP="00D5594F">
            <w:pPr>
              <w:pStyle w:val="In-tableHeading"/>
              <w:keepLines/>
              <w:widowControl w:val="0"/>
              <w:rPr>
                <w:lang w:val="en-AU"/>
              </w:rPr>
            </w:pPr>
            <w:r w:rsidRPr="008E3F1A">
              <w:rPr>
                <w:lang w:val="en-AU"/>
              </w:rPr>
              <w:t>Description</w:t>
            </w:r>
          </w:p>
        </w:tc>
      </w:tr>
      <w:tr w:rsidR="00FE2CFB" w:rsidRPr="008E3F1A" w:rsidTr="00A50809">
        <w:tc>
          <w:tcPr>
            <w:tcW w:w="1668" w:type="dxa"/>
            <w:vAlign w:val="center"/>
          </w:tcPr>
          <w:p w:rsidR="00FE2CFB" w:rsidRPr="008E3F1A" w:rsidRDefault="00FE2CFB" w:rsidP="00D5594F">
            <w:pPr>
              <w:pStyle w:val="TableText0"/>
              <w:keepLines/>
              <w:widowControl w:val="0"/>
            </w:pPr>
            <w:r w:rsidRPr="008E3F1A">
              <w:t>Population</w:t>
            </w:r>
          </w:p>
        </w:tc>
        <w:tc>
          <w:tcPr>
            <w:tcW w:w="7488" w:type="dxa"/>
            <w:vAlign w:val="center"/>
          </w:tcPr>
          <w:p w:rsidR="00FE2CFB" w:rsidRPr="008E3F1A" w:rsidRDefault="00F36324" w:rsidP="00D5594F">
            <w:pPr>
              <w:pStyle w:val="TableText0"/>
              <w:keepLines/>
              <w:widowControl w:val="0"/>
            </w:pPr>
            <w:r w:rsidRPr="008E3F1A">
              <w:t>Patients with previously untreated CD30</w:t>
            </w:r>
            <w:r w:rsidR="0049793D" w:rsidRPr="008E3F1A">
              <w:t xml:space="preserve"> </w:t>
            </w:r>
            <w:r w:rsidRPr="008E3F1A">
              <w:t>positive PTCL including sALCL.</w:t>
            </w:r>
          </w:p>
        </w:tc>
      </w:tr>
      <w:tr w:rsidR="00FE2CFB" w:rsidRPr="008E3F1A" w:rsidTr="00A50809">
        <w:tc>
          <w:tcPr>
            <w:tcW w:w="1668" w:type="dxa"/>
            <w:vAlign w:val="center"/>
          </w:tcPr>
          <w:p w:rsidR="00FE2CFB" w:rsidRPr="008E3F1A" w:rsidRDefault="00FE2CFB" w:rsidP="00D5594F">
            <w:pPr>
              <w:pStyle w:val="TableText0"/>
              <w:keepLines/>
              <w:widowControl w:val="0"/>
            </w:pPr>
            <w:r w:rsidRPr="008E3F1A">
              <w:t>Intervention</w:t>
            </w:r>
          </w:p>
        </w:tc>
        <w:tc>
          <w:tcPr>
            <w:tcW w:w="7488" w:type="dxa"/>
          </w:tcPr>
          <w:p w:rsidR="00FE2CFB" w:rsidRPr="008E3F1A" w:rsidRDefault="001117B4" w:rsidP="00D5594F">
            <w:pPr>
              <w:pStyle w:val="TableText0"/>
              <w:keepLines/>
              <w:widowControl w:val="0"/>
            </w:pPr>
            <w:r w:rsidRPr="008E3F1A">
              <w:rPr>
                <w:szCs w:val="20"/>
              </w:rPr>
              <w:t>Brentuximab</w:t>
            </w:r>
            <w:r w:rsidR="00F36324" w:rsidRPr="008E3F1A">
              <w:rPr>
                <w:szCs w:val="20"/>
              </w:rPr>
              <w:t xml:space="preserve"> vedotin </w:t>
            </w:r>
            <w:r w:rsidRPr="008E3F1A">
              <w:rPr>
                <w:szCs w:val="20"/>
              </w:rPr>
              <w:t>1.8 mg/kg (to a maximum of 180 mg)</w:t>
            </w:r>
            <w:r w:rsidR="00FE2CFB" w:rsidRPr="008E3F1A">
              <w:rPr>
                <w:szCs w:val="20"/>
              </w:rPr>
              <w:t xml:space="preserve"> in combination with chemotherapy (CHP) is administered as an intravenous infusion over 30 minutes in 6 to 8 cycles for every 3 weeks.</w:t>
            </w:r>
          </w:p>
        </w:tc>
      </w:tr>
      <w:tr w:rsidR="00FE2CFB" w:rsidRPr="008E3F1A" w:rsidTr="00A50809">
        <w:tc>
          <w:tcPr>
            <w:tcW w:w="1668" w:type="dxa"/>
            <w:vAlign w:val="center"/>
          </w:tcPr>
          <w:p w:rsidR="00FE2CFB" w:rsidRPr="008E3F1A" w:rsidRDefault="00FE2CFB" w:rsidP="00D5594F">
            <w:pPr>
              <w:pStyle w:val="TableText0"/>
              <w:keepLines/>
              <w:widowControl w:val="0"/>
            </w:pPr>
            <w:r w:rsidRPr="008E3F1A">
              <w:t>Comparator</w:t>
            </w:r>
          </w:p>
        </w:tc>
        <w:tc>
          <w:tcPr>
            <w:tcW w:w="7488" w:type="dxa"/>
          </w:tcPr>
          <w:p w:rsidR="00FE2CFB" w:rsidRPr="008E3F1A" w:rsidRDefault="001117B4" w:rsidP="00D5594F">
            <w:pPr>
              <w:pStyle w:val="TableText0"/>
              <w:keepLines/>
              <w:widowControl w:val="0"/>
            </w:pPr>
            <w:r w:rsidRPr="008E3F1A">
              <w:t>CHOP</w:t>
            </w:r>
          </w:p>
        </w:tc>
      </w:tr>
      <w:tr w:rsidR="00FE2CFB" w:rsidRPr="008E3F1A" w:rsidTr="00A50809">
        <w:tc>
          <w:tcPr>
            <w:tcW w:w="1668" w:type="dxa"/>
            <w:vAlign w:val="center"/>
          </w:tcPr>
          <w:p w:rsidR="00FE2CFB" w:rsidRPr="008E3F1A" w:rsidRDefault="00FE2CFB" w:rsidP="00D5594F">
            <w:pPr>
              <w:pStyle w:val="TableText0"/>
              <w:keepLines/>
              <w:widowControl w:val="0"/>
            </w:pPr>
            <w:r w:rsidRPr="008E3F1A">
              <w:t>Outcomes</w:t>
            </w:r>
          </w:p>
        </w:tc>
        <w:tc>
          <w:tcPr>
            <w:tcW w:w="7488" w:type="dxa"/>
            <w:vAlign w:val="center"/>
          </w:tcPr>
          <w:p w:rsidR="00FE2CFB" w:rsidRPr="008E3F1A" w:rsidRDefault="00FE2CFB" w:rsidP="00D5594F">
            <w:pPr>
              <w:keepNext/>
              <w:keepLines/>
              <w:widowControl w:val="0"/>
              <w:rPr>
                <w:rFonts w:ascii="Arial Narrow" w:eastAsiaTheme="majorEastAsia" w:hAnsi="Arial Narrow" w:cstheme="majorBidi"/>
                <w:bCs/>
                <w:sz w:val="20"/>
                <w:szCs w:val="20"/>
              </w:rPr>
            </w:pPr>
            <w:r w:rsidRPr="008E3F1A">
              <w:rPr>
                <w:rFonts w:ascii="Arial Narrow" w:eastAsiaTheme="majorEastAsia" w:hAnsi="Arial Narrow" w:cstheme="majorBidi"/>
                <w:bCs/>
                <w:sz w:val="20"/>
                <w:szCs w:val="20"/>
              </w:rPr>
              <w:t>PFS</w:t>
            </w:r>
            <w:r w:rsidR="00B65645" w:rsidRPr="008E3F1A">
              <w:rPr>
                <w:rFonts w:ascii="Arial Narrow" w:eastAsiaTheme="majorEastAsia" w:hAnsi="Arial Narrow" w:cstheme="majorBidi"/>
                <w:bCs/>
                <w:sz w:val="20"/>
                <w:szCs w:val="20"/>
              </w:rPr>
              <w:t>,</w:t>
            </w:r>
            <w:r w:rsidR="007C186E" w:rsidRPr="008E3F1A">
              <w:rPr>
                <w:rFonts w:ascii="Arial Narrow" w:eastAsiaTheme="majorEastAsia" w:hAnsi="Arial Narrow" w:cstheme="majorBidi"/>
                <w:bCs/>
                <w:sz w:val="20"/>
                <w:szCs w:val="20"/>
              </w:rPr>
              <w:t xml:space="preserve"> OS</w:t>
            </w:r>
            <w:r w:rsidR="00B65645" w:rsidRPr="008E3F1A">
              <w:rPr>
                <w:rFonts w:ascii="Arial Narrow" w:eastAsiaTheme="majorEastAsia" w:hAnsi="Arial Narrow" w:cstheme="majorBidi"/>
                <w:bCs/>
                <w:sz w:val="20"/>
                <w:szCs w:val="20"/>
              </w:rPr>
              <w:t xml:space="preserve">, </w:t>
            </w:r>
            <w:r w:rsidRPr="008E3F1A">
              <w:rPr>
                <w:rFonts w:ascii="Arial Narrow" w:eastAsiaTheme="majorEastAsia" w:hAnsi="Arial Narrow" w:cstheme="majorBidi"/>
                <w:bCs/>
                <w:sz w:val="20"/>
                <w:szCs w:val="20"/>
              </w:rPr>
              <w:t xml:space="preserve">PFS for patients </w:t>
            </w:r>
            <w:r w:rsidR="00B65645" w:rsidRPr="008E3F1A">
              <w:rPr>
                <w:rFonts w:ascii="Arial Narrow" w:eastAsiaTheme="majorEastAsia" w:hAnsi="Arial Narrow" w:cstheme="majorBidi"/>
                <w:bCs/>
                <w:sz w:val="20"/>
                <w:szCs w:val="20"/>
              </w:rPr>
              <w:t>with centrally confirmed sALCL, ORR</w:t>
            </w:r>
            <w:r w:rsidR="00D57E8E" w:rsidRPr="008E3F1A">
              <w:rPr>
                <w:rFonts w:ascii="Arial Narrow" w:eastAsiaTheme="majorEastAsia" w:hAnsi="Arial Narrow" w:cstheme="majorBidi"/>
                <w:bCs/>
                <w:sz w:val="20"/>
                <w:szCs w:val="20"/>
              </w:rPr>
              <w:t>, patient reported outcomes for health</w:t>
            </w:r>
            <w:r w:rsidR="00297354" w:rsidRPr="008E3F1A">
              <w:rPr>
                <w:rFonts w:ascii="Arial Narrow" w:eastAsiaTheme="majorEastAsia" w:hAnsi="Arial Narrow" w:cstheme="majorBidi"/>
                <w:bCs/>
                <w:sz w:val="20"/>
                <w:szCs w:val="20"/>
              </w:rPr>
              <w:t>-</w:t>
            </w:r>
            <w:r w:rsidR="00B65645" w:rsidRPr="008E3F1A">
              <w:rPr>
                <w:rFonts w:ascii="Arial Narrow" w:eastAsiaTheme="majorEastAsia" w:hAnsi="Arial Narrow" w:cstheme="majorBidi"/>
                <w:bCs/>
                <w:sz w:val="20"/>
                <w:szCs w:val="20"/>
              </w:rPr>
              <w:t>related quality of life</w:t>
            </w:r>
            <w:r w:rsidR="008E3F1A">
              <w:rPr>
                <w:rFonts w:ascii="Arial Narrow" w:eastAsiaTheme="majorEastAsia" w:hAnsi="Arial Narrow" w:cstheme="majorBidi"/>
                <w:bCs/>
                <w:sz w:val="20"/>
                <w:szCs w:val="20"/>
              </w:rPr>
              <w:t xml:space="preserve">. </w:t>
            </w:r>
          </w:p>
        </w:tc>
      </w:tr>
      <w:tr w:rsidR="00FE2CFB" w:rsidRPr="008E3F1A" w:rsidTr="00A50809">
        <w:tc>
          <w:tcPr>
            <w:tcW w:w="1668" w:type="dxa"/>
            <w:vAlign w:val="center"/>
          </w:tcPr>
          <w:p w:rsidR="00FE2CFB" w:rsidRPr="008E3F1A" w:rsidRDefault="00FE2CFB" w:rsidP="00D5594F">
            <w:pPr>
              <w:pStyle w:val="TableText0"/>
              <w:keepLines/>
              <w:widowControl w:val="0"/>
            </w:pPr>
            <w:r w:rsidRPr="008E3F1A">
              <w:t>Clinical claim</w:t>
            </w:r>
          </w:p>
        </w:tc>
        <w:tc>
          <w:tcPr>
            <w:tcW w:w="7488" w:type="dxa"/>
            <w:vAlign w:val="center"/>
          </w:tcPr>
          <w:p w:rsidR="00FE2CFB" w:rsidRPr="008E3F1A" w:rsidRDefault="00FE2CFB" w:rsidP="001977B2">
            <w:pPr>
              <w:pStyle w:val="TableText0"/>
              <w:keepLines/>
              <w:widowControl w:val="0"/>
            </w:pPr>
            <w:r w:rsidRPr="008E3F1A">
              <w:rPr>
                <w:szCs w:val="20"/>
              </w:rPr>
              <w:t xml:space="preserve">BV+CHP for untreated CD30+ PTCL is superior in effectiveness (response, PFS and OS) to the CHOP regimen and </w:t>
            </w:r>
            <w:r w:rsidRPr="008E3F1A">
              <w:rPr>
                <w:iCs/>
                <w:szCs w:val="20"/>
              </w:rPr>
              <w:t>non-inferior</w:t>
            </w:r>
            <w:r w:rsidRPr="008E3F1A">
              <w:rPr>
                <w:szCs w:val="20"/>
              </w:rPr>
              <w:t xml:space="preserve"> in safety but with known and generally manageable side effects.</w:t>
            </w:r>
          </w:p>
        </w:tc>
      </w:tr>
    </w:tbl>
    <w:p w:rsidR="00FE2CFB" w:rsidRPr="008E3F1A" w:rsidRDefault="00FE2CFB" w:rsidP="00D5594F">
      <w:pPr>
        <w:pStyle w:val="TableFigureFooter"/>
        <w:keepNext/>
        <w:keepLines/>
      </w:pPr>
      <w:r w:rsidRPr="008E3F1A">
        <w:t>Source: Table 1.1, pp32-33, of the submission.</w:t>
      </w:r>
    </w:p>
    <w:p w:rsidR="00FE2CFB" w:rsidRPr="008E3F1A" w:rsidRDefault="00FE2CFB" w:rsidP="00D5594F">
      <w:pPr>
        <w:pStyle w:val="TableFigureFooter"/>
        <w:keepNext/>
        <w:keepLines/>
      </w:pPr>
      <w:r w:rsidRPr="008E3F1A">
        <w:t>BV = brentuximab vedotin; BV+CHP = brentuximab vedotin with cyclophosphami</w:t>
      </w:r>
      <w:r w:rsidR="005A32C5" w:rsidRPr="008E3F1A">
        <w:t xml:space="preserve">de, doxorubicin and prednisone; </w:t>
      </w:r>
      <w:r w:rsidRPr="008E3F1A">
        <w:t xml:space="preserve">CHOP = cyclophosphamide, doxorubicin, vincristine and prednisone; </w:t>
      </w:r>
      <w:r w:rsidR="005A32C5" w:rsidRPr="008E3F1A">
        <w:t xml:space="preserve">CHP = </w:t>
      </w:r>
      <w:r w:rsidR="005A32C5" w:rsidRPr="008E3F1A">
        <w:rPr>
          <w:szCs w:val="18"/>
        </w:rPr>
        <w:t>cyclophosphamide, doxorubicin and prednisone;</w:t>
      </w:r>
      <w:r w:rsidR="005A32C5" w:rsidRPr="008E3F1A">
        <w:t xml:space="preserve"> </w:t>
      </w:r>
      <w:r w:rsidR="00B65645" w:rsidRPr="008E3F1A">
        <w:t xml:space="preserve">ORR = objective response rate, </w:t>
      </w:r>
      <w:r w:rsidRPr="008E3F1A">
        <w:t>OS = overall survival; PBS = Pharmaceutical Benefits Scheme; PFS = progression free survival; sALCL = systemic anaplastic large cell lymphoma.</w:t>
      </w:r>
    </w:p>
    <w:p w:rsidR="00FE2CFB" w:rsidRPr="008E3F1A" w:rsidRDefault="00FE2CFB" w:rsidP="00D5594F">
      <w:pPr>
        <w:pStyle w:val="TableFigureFooter"/>
        <w:keepNext/>
        <w:keepLines/>
        <w:rPr>
          <w:i/>
          <w:iCs/>
        </w:rPr>
      </w:pPr>
    </w:p>
    <w:p w:rsidR="005C25FF" w:rsidRPr="008E3F1A" w:rsidRDefault="005C25FF" w:rsidP="004A6040">
      <w:pPr>
        <w:pStyle w:val="2-SectionHeading"/>
      </w:pPr>
      <w:bookmarkStart w:id="2" w:name="_Toc62055084"/>
      <w:r w:rsidRPr="008E3F1A">
        <w:t>Background</w:t>
      </w:r>
      <w:bookmarkEnd w:id="2"/>
    </w:p>
    <w:p w:rsidR="005C25FF" w:rsidRPr="008E3F1A" w:rsidRDefault="005C25FF" w:rsidP="004A6040">
      <w:pPr>
        <w:pStyle w:val="4-SubsectionHeading"/>
      </w:pPr>
      <w:bookmarkStart w:id="3" w:name="_Toc22897638"/>
      <w:bookmarkStart w:id="4" w:name="_Toc62055085"/>
      <w:r w:rsidRPr="008E3F1A">
        <w:t>Registration status</w:t>
      </w:r>
      <w:bookmarkEnd w:id="3"/>
      <w:bookmarkEnd w:id="4"/>
    </w:p>
    <w:p w:rsidR="005C25FF" w:rsidRPr="008E3F1A" w:rsidRDefault="00A4713B" w:rsidP="007C1A15">
      <w:pPr>
        <w:pStyle w:val="3-BodyText"/>
      </w:pPr>
      <w:r w:rsidRPr="008E3F1A">
        <w:t>BV</w:t>
      </w:r>
      <w:r w:rsidR="005C25FF" w:rsidRPr="008E3F1A">
        <w:t xml:space="preserve"> was </w:t>
      </w:r>
      <w:r w:rsidR="007C1A15" w:rsidRPr="008E3F1A">
        <w:t xml:space="preserve">approved by the TGA (30 April 2020) for the following indication: </w:t>
      </w:r>
      <w:r w:rsidR="007C1A15" w:rsidRPr="008E3F1A">
        <w:rPr>
          <w:bCs/>
          <w:iCs/>
        </w:rPr>
        <w:t>treatment of adult patients with previously untreated CD30</w:t>
      </w:r>
      <w:r w:rsidR="0049793D" w:rsidRPr="008E3F1A">
        <w:rPr>
          <w:bCs/>
          <w:iCs/>
        </w:rPr>
        <w:t xml:space="preserve"> </w:t>
      </w:r>
      <w:r w:rsidR="007C1A15" w:rsidRPr="008E3F1A">
        <w:rPr>
          <w:bCs/>
          <w:iCs/>
        </w:rPr>
        <w:t>positive PTCL in combination with CHP.</w:t>
      </w:r>
    </w:p>
    <w:p w:rsidR="00D36DD0" w:rsidRPr="008E3F1A" w:rsidRDefault="00D36DD0" w:rsidP="00D36DD0">
      <w:pPr>
        <w:pStyle w:val="3-BodyText"/>
      </w:pPr>
      <w:r w:rsidRPr="008E3F1A">
        <w:t>The current TGA-approved indications are as follows.</w:t>
      </w:r>
    </w:p>
    <w:p w:rsidR="00D36DD0" w:rsidRPr="008E3F1A" w:rsidRDefault="00D36DD0" w:rsidP="00BA026D">
      <w:pPr>
        <w:pStyle w:val="3-BodyText"/>
        <w:numPr>
          <w:ilvl w:val="1"/>
          <w:numId w:val="9"/>
        </w:numPr>
        <w:ind w:left="1418"/>
      </w:pPr>
      <w:r w:rsidRPr="008E3F1A">
        <w:t>Treatment of adult patients with relapsed/refractory CD30</w:t>
      </w:r>
      <w:r w:rsidR="0049793D" w:rsidRPr="008E3F1A">
        <w:t xml:space="preserve"> </w:t>
      </w:r>
      <w:r w:rsidRPr="008E3F1A">
        <w:t xml:space="preserve">positive </w:t>
      </w:r>
      <w:r w:rsidR="00D34571" w:rsidRPr="008E3F1A">
        <w:t>Hodgkins lymphoma (HL)</w:t>
      </w:r>
      <w:r w:rsidRPr="008E3F1A">
        <w:t>:</w:t>
      </w:r>
    </w:p>
    <w:p w:rsidR="00D36DD0" w:rsidRPr="008E3F1A" w:rsidRDefault="00D36DD0" w:rsidP="00BA026D">
      <w:pPr>
        <w:pStyle w:val="3-BodyText"/>
        <w:numPr>
          <w:ilvl w:val="3"/>
          <w:numId w:val="10"/>
        </w:numPr>
        <w:ind w:left="2552"/>
      </w:pPr>
      <w:r w:rsidRPr="008E3F1A">
        <w:t xml:space="preserve">following </w:t>
      </w:r>
      <w:r w:rsidR="000E60E7" w:rsidRPr="008E3F1A">
        <w:t>autologous stem cell transplant (</w:t>
      </w:r>
      <w:r w:rsidRPr="008E3F1A">
        <w:t>ASCT</w:t>
      </w:r>
      <w:r w:rsidR="000E60E7" w:rsidRPr="008E3F1A">
        <w:t>)</w:t>
      </w:r>
      <w:r w:rsidRPr="008E3F1A">
        <w:t xml:space="preserve"> or</w:t>
      </w:r>
    </w:p>
    <w:p w:rsidR="00D36DD0" w:rsidRPr="008E3F1A" w:rsidRDefault="00D36DD0" w:rsidP="00BA026D">
      <w:pPr>
        <w:pStyle w:val="3-BodyText"/>
        <w:numPr>
          <w:ilvl w:val="3"/>
          <w:numId w:val="10"/>
        </w:numPr>
        <w:ind w:left="2552"/>
      </w:pPr>
      <w:r w:rsidRPr="008E3F1A">
        <w:lastRenderedPageBreak/>
        <w:t>following at least two prior therapies when ASCT or multi-agent chemotherapy is not a treatment option.</w:t>
      </w:r>
    </w:p>
    <w:p w:rsidR="00D36DD0" w:rsidRPr="008E3F1A" w:rsidRDefault="00D36DD0" w:rsidP="00BA026D">
      <w:pPr>
        <w:pStyle w:val="3-BodyText"/>
        <w:numPr>
          <w:ilvl w:val="1"/>
          <w:numId w:val="9"/>
        </w:numPr>
        <w:ind w:left="1418"/>
      </w:pPr>
      <w:r w:rsidRPr="008E3F1A">
        <w:t>Treatment of adult patients with CD30</w:t>
      </w:r>
      <w:r w:rsidR="0049793D" w:rsidRPr="008E3F1A">
        <w:t xml:space="preserve"> </w:t>
      </w:r>
      <w:r w:rsidRPr="008E3F1A">
        <w:t>positive HL at a higher risk of relapse or progression following ASCT.</w:t>
      </w:r>
    </w:p>
    <w:p w:rsidR="00D36DD0" w:rsidRPr="008E3F1A" w:rsidRDefault="00D36DD0" w:rsidP="00BA026D">
      <w:pPr>
        <w:pStyle w:val="3-BodyText"/>
        <w:numPr>
          <w:ilvl w:val="1"/>
          <w:numId w:val="9"/>
        </w:numPr>
        <w:ind w:left="1418"/>
      </w:pPr>
      <w:r w:rsidRPr="008E3F1A">
        <w:t xml:space="preserve">Treatment of adult patients with relapsed/refractory </w:t>
      </w:r>
      <w:r w:rsidR="000E60E7" w:rsidRPr="008E3F1A">
        <w:rPr>
          <w:iCs/>
        </w:rPr>
        <w:t>systemic anaplastic large cell lymphoma</w:t>
      </w:r>
      <w:r w:rsidR="000E60E7" w:rsidRPr="008E3F1A">
        <w:t xml:space="preserve"> (</w:t>
      </w:r>
      <w:r w:rsidRPr="008E3F1A">
        <w:t>sALCL</w:t>
      </w:r>
      <w:r w:rsidR="000E60E7" w:rsidRPr="008E3F1A">
        <w:t>)</w:t>
      </w:r>
      <w:r w:rsidRPr="008E3F1A">
        <w:t>.</w:t>
      </w:r>
    </w:p>
    <w:p w:rsidR="00EA1F92" w:rsidRPr="008E3F1A" w:rsidRDefault="00D36DD0" w:rsidP="00BA026D">
      <w:pPr>
        <w:pStyle w:val="3-BodyText"/>
        <w:numPr>
          <w:ilvl w:val="1"/>
          <w:numId w:val="9"/>
        </w:numPr>
        <w:ind w:left="1418"/>
      </w:pPr>
      <w:r w:rsidRPr="008E3F1A">
        <w:t>Treatment of adult patients with CD30</w:t>
      </w:r>
      <w:r w:rsidR="0049793D" w:rsidRPr="008E3F1A">
        <w:t xml:space="preserve"> </w:t>
      </w:r>
      <w:r w:rsidRPr="008E3F1A">
        <w:t xml:space="preserve">positive </w:t>
      </w:r>
      <w:r w:rsidR="000E60E7" w:rsidRPr="008E3F1A">
        <w:rPr>
          <w:color w:val="000000" w:themeColor="text1"/>
        </w:rPr>
        <w:t xml:space="preserve">cutaneous T-cell lymphomas </w:t>
      </w:r>
      <w:r w:rsidR="000E60E7" w:rsidRPr="008E3F1A">
        <w:t>(</w:t>
      </w:r>
      <w:r w:rsidRPr="008E3F1A">
        <w:t>CTCL</w:t>
      </w:r>
      <w:r w:rsidR="000E60E7" w:rsidRPr="008E3F1A">
        <w:t>)</w:t>
      </w:r>
      <w:r w:rsidRPr="008E3F1A">
        <w:t xml:space="preserve"> after at least one prior systemic therapy.</w:t>
      </w:r>
    </w:p>
    <w:p w:rsidR="00297354" w:rsidRPr="008E3F1A" w:rsidRDefault="00B01731" w:rsidP="00D34571">
      <w:pPr>
        <w:pStyle w:val="3-BodyText"/>
        <w:rPr>
          <w:bCs/>
          <w:iCs/>
        </w:rPr>
      </w:pPr>
      <w:r w:rsidRPr="008E3F1A">
        <w:rPr>
          <w:bCs/>
          <w:iCs/>
        </w:rPr>
        <w:t xml:space="preserve">BV was approved by the US Food and Drug Administration (FDA) for first-line use in combination with chemotherapy for CD30-expressing PTCL on 16 November 2018. </w:t>
      </w:r>
      <w:r w:rsidR="00AB1061" w:rsidRPr="008E3F1A">
        <w:rPr>
          <w:bCs/>
          <w:iCs/>
        </w:rPr>
        <w:t xml:space="preserve">BV+CHP was approved by the EMA in </w:t>
      </w:r>
      <w:r w:rsidR="00CD7A63" w:rsidRPr="008E3F1A">
        <w:rPr>
          <w:bCs/>
          <w:iCs/>
        </w:rPr>
        <w:t xml:space="preserve">previously untreated sALCL </w:t>
      </w:r>
      <w:r w:rsidR="005E4743" w:rsidRPr="008E3F1A">
        <w:rPr>
          <w:bCs/>
          <w:iCs/>
        </w:rPr>
        <w:t>patients</w:t>
      </w:r>
      <w:r w:rsidR="00D32CAA" w:rsidRPr="008E3F1A">
        <w:rPr>
          <w:bCs/>
          <w:iCs/>
        </w:rPr>
        <w:t xml:space="preserve"> (</w:t>
      </w:r>
      <w:r w:rsidR="00B625C5" w:rsidRPr="008E3F1A">
        <w:rPr>
          <w:bCs/>
          <w:iCs/>
        </w:rPr>
        <w:t xml:space="preserve">26 </w:t>
      </w:r>
      <w:r w:rsidR="00D57E8E" w:rsidRPr="008E3F1A">
        <w:rPr>
          <w:bCs/>
          <w:iCs/>
        </w:rPr>
        <w:t>M</w:t>
      </w:r>
      <w:r w:rsidR="00B625C5" w:rsidRPr="008E3F1A">
        <w:rPr>
          <w:bCs/>
          <w:iCs/>
        </w:rPr>
        <w:t>arch 2020).</w:t>
      </w:r>
      <w:r w:rsidRPr="008E3F1A">
        <w:rPr>
          <w:bCs/>
          <w:iCs/>
        </w:rPr>
        <w:t xml:space="preserve"> </w:t>
      </w:r>
    </w:p>
    <w:p w:rsidR="00297354" w:rsidRPr="008E3F1A" w:rsidRDefault="00297354" w:rsidP="00297354">
      <w:pPr>
        <w:pStyle w:val="4-SubsectionHeading"/>
      </w:pPr>
      <w:bookmarkStart w:id="5" w:name="_Toc62055086"/>
      <w:r w:rsidRPr="008E3F1A">
        <w:t>Previous PBAC Considerations</w:t>
      </w:r>
      <w:bookmarkEnd w:id="5"/>
    </w:p>
    <w:p w:rsidR="0034716A" w:rsidRPr="008E3F1A" w:rsidRDefault="00297354" w:rsidP="00297354">
      <w:pPr>
        <w:pStyle w:val="3-BodyText"/>
      </w:pPr>
      <w:r w:rsidRPr="008E3F1A">
        <w:t>A summary of the details of the application to the PBS for BV in the second-line setting</w:t>
      </w:r>
      <w:r w:rsidR="00D34571" w:rsidRPr="008E3F1A">
        <w:t xml:space="preserve"> for</w:t>
      </w:r>
      <w:r w:rsidR="00273606" w:rsidRPr="008E3F1A">
        <w:t xml:space="preserve"> relapsed/refractory</w:t>
      </w:r>
      <w:r w:rsidR="00D34571" w:rsidRPr="008E3F1A">
        <w:t xml:space="preserve"> sALCL</w:t>
      </w:r>
      <w:r w:rsidRPr="008E3F1A">
        <w:t xml:space="preserve"> </w:t>
      </w:r>
      <w:r w:rsidR="00B40221" w:rsidRPr="008E3F1A">
        <w:t>compared</w:t>
      </w:r>
      <w:r w:rsidR="00B01B90" w:rsidRPr="008E3F1A">
        <w:t xml:space="preserve"> to this submission</w:t>
      </w:r>
      <w:r w:rsidR="00B40221" w:rsidRPr="008E3F1A">
        <w:t xml:space="preserve"> are presented in Table 2.</w:t>
      </w:r>
    </w:p>
    <w:p w:rsidR="00B40221" w:rsidRPr="008E3F1A" w:rsidRDefault="00B40221" w:rsidP="00B40221">
      <w:pPr>
        <w:pStyle w:val="TableFigureHeading"/>
        <w:rPr>
          <w:rStyle w:val="CommentReference"/>
          <w:b/>
          <w:szCs w:val="24"/>
        </w:rPr>
      </w:pPr>
      <w:r w:rsidRPr="008E3F1A">
        <w:rPr>
          <w:rStyle w:val="CommentReference"/>
          <w:b/>
          <w:szCs w:val="24"/>
        </w:rPr>
        <w:t xml:space="preserve">Table 2: </w:t>
      </w:r>
      <w:r w:rsidR="002A5E23" w:rsidRPr="008E3F1A">
        <w:rPr>
          <w:rStyle w:val="CommentReference"/>
          <w:b/>
          <w:szCs w:val="24"/>
        </w:rPr>
        <w:t>Summary of evidence submitted for BV</w:t>
      </w:r>
    </w:p>
    <w:tbl>
      <w:tblPr>
        <w:tblStyle w:val="TableGrid"/>
        <w:tblW w:w="5000" w:type="pct"/>
        <w:tblLook w:val="04A0" w:firstRow="1" w:lastRow="0" w:firstColumn="1" w:lastColumn="0" w:noHBand="0" w:noVBand="1"/>
        <w:tblCaption w:val="Table 2: Summary of evidence submitted for BV"/>
      </w:tblPr>
      <w:tblGrid>
        <w:gridCol w:w="1888"/>
        <w:gridCol w:w="1796"/>
        <w:gridCol w:w="1802"/>
        <w:gridCol w:w="3531"/>
      </w:tblGrid>
      <w:tr w:rsidR="00520E68" w:rsidRPr="008E3F1A" w:rsidTr="00B40221">
        <w:trPr>
          <w:tblHeader/>
        </w:trPr>
        <w:tc>
          <w:tcPr>
            <w:tcW w:w="1047" w:type="pct"/>
          </w:tcPr>
          <w:p w:rsidR="00520E68" w:rsidRPr="008E3F1A" w:rsidRDefault="00520E68" w:rsidP="00EC15A7">
            <w:pPr>
              <w:pStyle w:val="In-tableHeading"/>
              <w:keepNext w:val="0"/>
              <w:rPr>
                <w:szCs w:val="20"/>
                <w:lang w:val="en-AU"/>
              </w:rPr>
            </w:pPr>
          </w:p>
        </w:tc>
        <w:tc>
          <w:tcPr>
            <w:tcW w:w="1995" w:type="pct"/>
            <w:gridSpan w:val="2"/>
          </w:tcPr>
          <w:p w:rsidR="002D2591" w:rsidRPr="008E3F1A" w:rsidRDefault="00520E68" w:rsidP="002D2591">
            <w:pPr>
              <w:pStyle w:val="In-tableHeading"/>
              <w:keepNext w:val="0"/>
              <w:jc w:val="center"/>
              <w:rPr>
                <w:szCs w:val="20"/>
                <w:lang w:val="en-AU"/>
              </w:rPr>
            </w:pPr>
            <w:r w:rsidRPr="008E3F1A">
              <w:rPr>
                <w:szCs w:val="20"/>
                <w:lang w:val="en-AU"/>
              </w:rPr>
              <w:t>First-line setting</w:t>
            </w:r>
            <w:r w:rsidR="002D2591" w:rsidRPr="008E3F1A">
              <w:rPr>
                <w:szCs w:val="20"/>
                <w:lang w:val="en-AU"/>
              </w:rPr>
              <w:t xml:space="preserve"> - BV+CHP</w:t>
            </w:r>
          </w:p>
          <w:p w:rsidR="00520E68" w:rsidRPr="008E3F1A" w:rsidRDefault="002D2591" w:rsidP="00EC15A7">
            <w:pPr>
              <w:pStyle w:val="In-tableHeading"/>
              <w:keepNext w:val="0"/>
              <w:jc w:val="center"/>
              <w:rPr>
                <w:szCs w:val="20"/>
                <w:lang w:val="en-AU"/>
              </w:rPr>
            </w:pPr>
            <w:r w:rsidRPr="008E3F1A">
              <w:rPr>
                <w:szCs w:val="20"/>
                <w:lang w:val="en-AU"/>
              </w:rPr>
              <w:t xml:space="preserve">(March 2021) </w:t>
            </w:r>
          </w:p>
        </w:tc>
        <w:tc>
          <w:tcPr>
            <w:tcW w:w="1958" w:type="pct"/>
          </w:tcPr>
          <w:p w:rsidR="002D2591" w:rsidRPr="008E3F1A" w:rsidRDefault="00520E68" w:rsidP="00EC15A7">
            <w:pPr>
              <w:pStyle w:val="In-tableHeading"/>
              <w:keepNext w:val="0"/>
              <w:jc w:val="center"/>
              <w:rPr>
                <w:szCs w:val="20"/>
                <w:lang w:val="en-AU"/>
              </w:rPr>
            </w:pPr>
            <w:r w:rsidRPr="008E3F1A">
              <w:rPr>
                <w:szCs w:val="20"/>
                <w:lang w:val="en-AU"/>
              </w:rPr>
              <w:t>Second</w:t>
            </w:r>
            <w:r w:rsidR="00EF3BDB" w:rsidRPr="008E3F1A">
              <w:rPr>
                <w:szCs w:val="20"/>
                <w:lang w:val="en-AU"/>
              </w:rPr>
              <w:t>-</w:t>
            </w:r>
            <w:r w:rsidRPr="008E3F1A">
              <w:rPr>
                <w:szCs w:val="20"/>
                <w:lang w:val="en-AU"/>
              </w:rPr>
              <w:t>line (later-line) setting</w:t>
            </w:r>
            <w:r w:rsidR="002D2591" w:rsidRPr="008E3F1A">
              <w:rPr>
                <w:szCs w:val="20"/>
                <w:lang w:val="en-AU"/>
              </w:rPr>
              <w:t xml:space="preserve"> </w:t>
            </w:r>
          </w:p>
          <w:p w:rsidR="00520E68" w:rsidRPr="008E3F1A" w:rsidRDefault="002D2591" w:rsidP="00EC15A7">
            <w:pPr>
              <w:pStyle w:val="In-tableHeading"/>
              <w:keepNext w:val="0"/>
              <w:jc w:val="center"/>
              <w:rPr>
                <w:szCs w:val="20"/>
                <w:lang w:val="en-AU"/>
              </w:rPr>
            </w:pPr>
            <w:r w:rsidRPr="008E3F1A">
              <w:rPr>
                <w:szCs w:val="20"/>
                <w:lang w:val="en-AU"/>
              </w:rPr>
              <w:t>BV monotherapy</w:t>
            </w:r>
          </w:p>
          <w:p w:rsidR="002D2591" w:rsidRPr="008E3F1A" w:rsidRDefault="002D2591" w:rsidP="00EC15A7">
            <w:pPr>
              <w:pStyle w:val="In-tableHeading"/>
              <w:keepNext w:val="0"/>
              <w:jc w:val="center"/>
              <w:rPr>
                <w:szCs w:val="20"/>
                <w:lang w:val="en-AU"/>
              </w:rPr>
            </w:pPr>
            <w:r w:rsidRPr="008E3F1A">
              <w:rPr>
                <w:szCs w:val="20"/>
                <w:lang w:val="en-AU"/>
              </w:rPr>
              <w:t>(March and Jul 2014)</w:t>
            </w:r>
          </w:p>
        </w:tc>
      </w:tr>
      <w:tr w:rsidR="00520E68" w:rsidRPr="008E3F1A" w:rsidTr="00B40221">
        <w:trPr>
          <w:tblHeader/>
        </w:trPr>
        <w:tc>
          <w:tcPr>
            <w:tcW w:w="1047" w:type="pct"/>
          </w:tcPr>
          <w:p w:rsidR="00520E68" w:rsidRPr="008E3F1A" w:rsidRDefault="00520E68" w:rsidP="00EC15A7">
            <w:pPr>
              <w:pStyle w:val="In-tableHeading"/>
              <w:keepNext w:val="0"/>
              <w:rPr>
                <w:szCs w:val="20"/>
                <w:lang w:val="en-AU"/>
              </w:rPr>
            </w:pPr>
          </w:p>
        </w:tc>
        <w:tc>
          <w:tcPr>
            <w:tcW w:w="996" w:type="pct"/>
          </w:tcPr>
          <w:p w:rsidR="00520E68" w:rsidRPr="008E3F1A" w:rsidRDefault="00520E68" w:rsidP="002D2591">
            <w:pPr>
              <w:pStyle w:val="In-tableHeading"/>
              <w:keepNext w:val="0"/>
              <w:jc w:val="center"/>
              <w:rPr>
                <w:szCs w:val="20"/>
                <w:lang w:val="en-AU"/>
              </w:rPr>
            </w:pPr>
            <w:r w:rsidRPr="008E3F1A">
              <w:rPr>
                <w:szCs w:val="20"/>
                <w:lang w:val="en-AU"/>
              </w:rPr>
              <w:t xml:space="preserve">ITT </w:t>
            </w:r>
          </w:p>
        </w:tc>
        <w:tc>
          <w:tcPr>
            <w:tcW w:w="999" w:type="pct"/>
          </w:tcPr>
          <w:p w:rsidR="00520E68" w:rsidRPr="008E3F1A" w:rsidRDefault="00520E68" w:rsidP="00EC15A7">
            <w:pPr>
              <w:pStyle w:val="In-tableHeading"/>
              <w:keepNext w:val="0"/>
              <w:jc w:val="center"/>
              <w:rPr>
                <w:szCs w:val="20"/>
                <w:lang w:val="en-AU"/>
              </w:rPr>
            </w:pPr>
            <w:r w:rsidRPr="008E3F1A">
              <w:rPr>
                <w:szCs w:val="20"/>
                <w:lang w:val="en-AU"/>
              </w:rPr>
              <w:t xml:space="preserve">sALCL </w:t>
            </w:r>
          </w:p>
        </w:tc>
        <w:tc>
          <w:tcPr>
            <w:tcW w:w="1958" w:type="pct"/>
          </w:tcPr>
          <w:p w:rsidR="00520E68" w:rsidRPr="008E3F1A" w:rsidRDefault="00273606" w:rsidP="002D2591">
            <w:pPr>
              <w:pStyle w:val="In-tableHeading"/>
              <w:keepNext w:val="0"/>
              <w:jc w:val="center"/>
              <w:rPr>
                <w:szCs w:val="20"/>
                <w:lang w:val="en-AU"/>
              </w:rPr>
            </w:pPr>
            <w:r w:rsidRPr="008E3F1A">
              <w:rPr>
                <w:szCs w:val="20"/>
                <w:lang w:val="en-AU"/>
              </w:rPr>
              <w:t>sALCL</w:t>
            </w:r>
          </w:p>
        </w:tc>
      </w:tr>
      <w:tr w:rsidR="00520E68" w:rsidRPr="008E3F1A" w:rsidTr="00B40221">
        <w:tc>
          <w:tcPr>
            <w:tcW w:w="1047" w:type="pct"/>
          </w:tcPr>
          <w:p w:rsidR="00520E68" w:rsidRPr="008E3F1A" w:rsidRDefault="00520E68" w:rsidP="00EC15A7">
            <w:pPr>
              <w:pStyle w:val="TableText0"/>
              <w:keepNext w:val="0"/>
              <w:rPr>
                <w:szCs w:val="20"/>
              </w:rPr>
            </w:pPr>
            <w:r w:rsidRPr="008E3F1A">
              <w:rPr>
                <w:szCs w:val="20"/>
              </w:rPr>
              <w:t>PBS restrictions (requested)</w:t>
            </w:r>
          </w:p>
        </w:tc>
        <w:tc>
          <w:tcPr>
            <w:tcW w:w="996" w:type="pct"/>
          </w:tcPr>
          <w:p w:rsidR="00520E68" w:rsidRPr="008E3F1A" w:rsidRDefault="00520E68" w:rsidP="00EC15A7">
            <w:pPr>
              <w:pStyle w:val="TableText0"/>
              <w:keepNext w:val="0"/>
              <w:rPr>
                <w:szCs w:val="20"/>
              </w:rPr>
            </w:pPr>
            <w:r w:rsidRPr="008E3F1A">
              <w:rPr>
                <w:szCs w:val="20"/>
              </w:rPr>
              <w:t>Previously untreated CD30</w:t>
            </w:r>
            <w:r w:rsidR="0049793D" w:rsidRPr="008E3F1A">
              <w:rPr>
                <w:szCs w:val="20"/>
              </w:rPr>
              <w:t xml:space="preserve"> </w:t>
            </w:r>
            <w:r w:rsidRPr="008E3F1A">
              <w:rPr>
                <w:szCs w:val="20"/>
              </w:rPr>
              <w:t>positive patients with PTCL</w:t>
            </w:r>
          </w:p>
        </w:tc>
        <w:tc>
          <w:tcPr>
            <w:tcW w:w="999" w:type="pct"/>
          </w:tcPr>
          <w:p w:rsidR="00520E68" w:rsidRPr="008E3F1A" w:rsidRDefault="00520E68" w:rsidP="00EC15A7">
            <w:pPr>
              <w:pStyle w:val="TableText0"/>
              <w:keepNext w:val="0"/>
              <w:rPr>
                <w:szCs w:val="20"/>
              </w:rPr>
            </w:pPr>
            <w:r w:rsidRPr="008E3F1A">
              <w:rPr>
                <w:szCs w:val="20"/>
              </w:rPr>
              <w:t>Previously untreated CD30</w:t>
            </w:r>
            <w:r w:rsidR="0049793D" w:rsidRPr="008E3F1A">
              <w:rPr>
                <w:szCs w:val="20"/>
              </w:rPr>
              <w:t xml:space="preserve"> </w:t>
            </w:r>
            <w:r w:rsidRPr="008E3F1A">
              <w:rPr>
                <w:szCs w:val="20"/>
              </w:rPr>
              <w:t>positive patients with sALCL</w:t>
            </w:r>
          </w:p>
        </w:tc>
        <w:tc>
          <w:tcPr>
            <w:tcW w:w="1958" w:type="pct"/>
          </w:tcPr>
          <w:p w:rsidR="00520E68" w:rsidRPr="008E3F1A" w:rsidRDefault="00F30D47" w:rsidP="00EC15A7">
            <w:pPr>
              <w:pStyle w:val="TableText0"/>
              <w:keepNext w:val="0"/>
              <w:rPr>
                <w:szCs w:val="20"/>
              </w:rPr>
            </w:pPr>
            <w:r w:rsidRPr="008E3F1A">
              <w:rPr>
                <w:szCs w:val="20"/>
              </w:rPr>
              <w:t>A</w:t>
            </w:r>
            <w:r w:rsidR="00520E68" w:rsidRPr="008E3F1A">
              <w:rPr>
                <w:szCs w:val="20"/>
              </w:rPr>
              <w:t>dult patients with relapsed or refractory systemic anaplastic large cell lymphoma (sALCL) who are suitable for further systemic curative-intent salvage therapy</w:t>
            </w:r>
          </w:p>
        </w:tc>
      </w:tr>
      <w:tr w:rsidR="00520E68" w:rsidRPr="008E3F1A" w:rsidTr="00B40221">
        <w:tc>
          <w:tcPr>
            <w:tcW w:w="1047" w:type="pct"/>
          </w:tcPr>
          <w:p w:rsidR="00520E68" w:rsidRPr="008E3F1A" w:rsidRDefault="00520E68" w:rsidP="00EC15A7">
            <w:pPr>
              <w:pStyle w:val="TableText0"/>
              <w:keepNext w:val="0"/>
              <w:rPr>
                <w:szCs w:val="20"/>
              </w:rPr>
            </w:pPr>
            <w:r w:rsidRPr="008E3F1A">
              <w:rPr>
                <w:szCs w:val="20"/>
              </w:rPr>
              <w:t>TGA indication</w:t>
            </w:r>
          </w:p>
        </w:tc>
        <w:tc>
          <w:tcPr>
            <w:tcW w:w="1995" w:type="pct"/>
            <w:gridSpan w:val="2"/>
          </w:tcPr>
          <w:p w:rsidR="00520E68" w:rsidRPr="008E3F1A" w:rsidRDefault="00520E68" w:rsidP="00273606">
            <w:pPr>
              <w:rPr>
                <w:rFonts w:ascii="Arial Narrow" w:hAnsi="Arial Narrow"/>
                <w:sz w:val="20"/>
                <w:szCs w:val="20"/>
              </w:rPr>
            </w:pPr>
            <w:r w:rsidRPr="008E3F1A">
              <w:rPr>
                <w:rFonts w:ascii="Arial Narrow" w:hAnsi="Arial Narrow"/>
                <w:sz w:val="20"/>
                <w:szCs w:val="20"/>
              </w:rPr>
              <w:t>Treatment of adult patients with previously untreated CD30</w:t>
            </w:r>
            <w:r w:rsidR="0049793D" w:rsidRPr="008E3F1A">
              <w:rPr>
                <w:rFonts w:ascii="Arial Narrow" w:hAnsi="Arial Narrow"/>
                <w:sz w:val="20"/>
                <w:szCs w:val="20"/>
              </w:rPr>
              <w:t xml:space="preserve"> </w:t>
            </w:r>
            <w:r w:rsidRPr="008E3F1A">
              <w:rPr>
                <w:rFonts w:ascii="Arial Narrow" w:hAnsi="Arial Narrow"/>
                <w:sz w:val="20"/>
                <w:szCs w:val="20"/>
              </w:rPr>
              <w:t>positiv</w:t>
            </w:r>
            <w:r w:rsidR="00273606" w:rsidRPr="008E3F1A">
              <w:rPr>
                <w:rFonts w:ascii="Arial Narrow" w:hAnsi="Arial Narrow"/>
                <w:sz w:val="20"/>
                <w:szCs w:val="20"/>
              </w:rPr>
              <w:t>e PTCL in combination with CHP.</w:t>
            </w:r>
          </w:p>
        </w:tc>
        <w:tc>
          <w:tcPr>
            <w:tcW w:w="1958" w:type="pct"/>
          </w:tcPr>
          <w:p w:rsidR="00520E68" w:rsidRPr="008E3F1A" w:rsidRDefault="00520E68" w:rsidP="00273606">
            <w:pPr>
              <w:pStyle w:val="TableText0"/>
              <w:rPr>
                <w:szCs w:val="20"/>
              </w:rPr>
            </w:pPr>
            <w:r w:rsidRPr="008E3F1A">
              <w:rPr>
                <w:szCs w:val="20"/>
              </w:rPr>
              <w:t>Treatment of adult patients with</w:t>
            </w:r>
            <w:r w:rsidR="00273606" w:rsidRPr="008E3F1A">
              <w:rPr>
                <w:szCs w:val="20"/>
              </w:rPr>
              <w:t xml:space="preserve"> relapsed or refractory sALCL</w:t>
            </w:r>
          </w:p>
        </w:tc>
      </w:tr>
      <w:tr w:rsidR="00520E68" w:rsidRPr="008E3F1A" w:rsidTr="00B40221">
        <w:tc>
          <w:tcPr>
            <w:tcW w:w="1047" w:type="pct"/>
          </w:tcPr>
          <w:p w:rsidR="00520E68" w:rsidRPr="008E3F1A" w:rsidRDefault="00520E68" w:rsidP="00EC15A7">
            <w:pPr>
              <w:pStyle w:val="TableText0"/>
              <w:keepNext w:val="0"/>
              <w:rPr>
                <w:szCs w:val="20"/>
              </w:rPr>
            </w:pPr>
            <w:r w:rsidRPr="008E3F1A">
              <w:rPr>
                <w:szCs w:val="20"/>
              </w:rPr>
              <w:t>Dosage.</w:t>
            </w:r>
          </w:p>
        </w:tc>
        <w:tc>
          <w:tcPr>
            <w:tcW w:w="1995" w:type="pct"/>
            <w:gridSpan w:val="2"/>
          </w:tcPr>
          <w:p w:rsidR="00520E68" w:rsidRPr="008E3F1A" w:rsidRDefault="00520E68" w:rsidP="00EC15A7">
            <w:pPr>
              <w:pStyle w:val="TableText0"/>
              <w:keepNext w:val="0"/>
              <w:rPr>
                <w:szCs w:val="20"/>
              </w:rPr>
            </w:pPr>
            <w:r w:rsidRPr="008E3F1A">
              <w:rPr>
                <w:szCs w:val="20"/>
              </w:rPr>
              <w:t>1.8 mg/kg IV on Day of 21 day cycle</w:t>
            </w:r>
          </w:p>
        </w:tc>
        <w:tc>
          <w:tcPr>
            <w:tcW w:w="1958" w:type="pct"/>
          </w:tcPr>
          <w:p w:rsidR="00520E68" w:rsidRPr="008E3F1A" w:rsidRDefault="00520E68" w:rsidP="00EC15A7">
            <w:pPr>
              <w:pStyle w:val="TableText0"/>
              <w:keepNext w:val="0"/>
              <w:rPr>
                <w:szCs w:val="20"/>
              </w:rPr>
            </w:pPr>
            <w:r w:rsidRPr="008E3F1A">
              <w:rPr>
                <w:szCs w:val="20"/>
              </w:rPr>
              <w:t>1.8 mg/kg IV on Day of 21 day cycle</w:t>
            </w:r>
          </w:p>
        </w:tc>
      </w:tr>
      <w:tr w:rsidR="00520E68" w:rsidRPr="008E3F1A" w:rsidTr="00F30D47">
        <w:tc>
          <w:tcPr>
            <w:tcW w:w="1047" w:type="pct"/>
            <w:tcBorders>
              <w:bottom w:val="single" w:sz="4" w:space="0" w:color="auto"/>
            </w:tcBorders>
          </w:tcPr>
          <w:p w:rsidR="00520E68" w:rsidRPr="008E3F1A" w:rsidRDefault="00520E68" w:rsidP="00EC15A7">
            <w:pPr>
              <w:pStyle w:val="TableText0"/>
              <w:keepNext w:val="0"/>
              <w:rPr>
                <w:szCs w:val="20"/>
              </w:rPr>
            </w:pPr>
            <w:r w:rsidRPr="008E3F1A">
              <w:rPr>
                <w:szCs w:val="20"/>
              </w:rPr>
              <w:t>Main comparator</w:t>
            </w:r>
          </w:p>
        </w:tc>
        <w:tc>
          <w:tcPr>
            <w:tcW w:w="1995" w:type="pct"/>
            <w:gridSpan w:val="2"/>
            <w:tcBorders>
              <w:bottom w:val="single" w:sz="4" w:space="0" w:color="auto"/>
            </w:tcBorders>
          </w:tcPr>
          <w:p w:rsidR="00520E68" w:rsidRPr="008E3F1A" w:rsidRDefault="00520E68" w:rsidP="00EC15A7">
            <w:pPr>
              <w:pStyle w:val="TableText0"/>
              <w:keepNext w:val="0"/>
              <w:rPr>
                <w:szCs w:val="20"/>
              </w:rPr>
            </w:pPr>
            <w:r w:rsidRPr="008E3F1A">
              <w:rPr>
                <w:szCs w:val="20"/>
              </w:rPr>
              <w:t>CHOP</w:t>
            </w:r>
          </w:p>
        </w:tc>
        <w:tc>
          <w:tcPr>
            <w:tcW w:w="1958" w:type="pct"/>
            <w:tcBorders>
              <w:bottom w:val="single" w:sz="4" w:space="0" w:color="auto"/>
            </w:tcBorders>
          </w:tcPr>
          <w:p w:rsidR="00520E68" w:rsidRPr="008E3F1A" w:rsidRDefault="00520E68" w:rsidP="00EC15A7">
            <w:pPr>
              <w:pStyle w:val="TableText0"/>
              <w:keepNext w:val="0"/>
              <w:rPr>
                <w:szCs w:val="20"/>
              </w:rPr>
            </w:pPr>
            <w:r w:rsidRPr="008E3F1A">
              <w:rPr>
                <w:szCs w:val="20"/>
              </w:rPr>
              <w:t>multi-agent salvage chemotherapy (ICE: ifosfamide, carboplatin, etoposide; DHAP: dexamethasone, cytarabine, cisplatin; ESHAP: etoposide, methylprednisolone, cytarabine, cisplatin)</w:t>
            </w:r>
          </w:p>
        </w:tc>
      </w:tr>
      <w:tr w:rsidR="00520E68" w:rsidRPr="008E3F1A" w:rsidTr="00F30D47">
        <w:tc>
          <w:tcPr>
            <w:tcW w:w="3042" w:type="pct"/>
            <w:gridSpan w:val="3"/>
            <w:tcBorders>
              <w:right w:val="nil"/>
            </w:tcBorders>
          </w:tcPr>
          <w:p w:rsidR="00520E68" w:rsidRPr="008E3F1A" w:rsidRDefault="00520E68" w:rsidP="00EC15A7">
            <w:pPr>
              <w:pStyle w:val="TableText0"/>
              <w:keepNext w:val="0"/>
              <w:rPr>
                <w:b/>
                <w:szCs w:val="20"/>
              </w:rPr>
            </w:pPr>
            <w:r w:rsidRPr="008E3F1A">
              <w:rPr>
                <w:b/>
                <w:szCs w:val="20"/>
              </w:rPr>
              <w:t>Clinical evidence</w:t>
            </w:r>
          </w:p>
        </w:tc>
        <w:tc>
          <w:tcPr>
            <w:tcW w:w="1958" w:type="pct"/>
            <w:tcBorders>
              <w:left w:val="nil"/>
            </w:tcBorders>
          </w:tcPr>
          <w:p w:rsidR="00520E68" w:rsidRPr="008E3F1A" w:rsidRDefault="00520E68" w:rsidP="00EC15A7">
            <w:pPr>
              <w:pStyle w:val="TableText0"/>
              <w:keepNext w:val="0"/>
              <w:rPr>
                <w:b/>
                <w:szCs w:val="20"/>
              </w:rPr>
            </w:pPr>
          </w:p>
        </w:tc>
      </w:tr>
      <w:tr w:rsidR="00B40221" w:rsidRPr="008E3F1A" w:rsidTr="00B40221">
        <w:tc>
          <w:tcPr>
            <w:tcW w:w="1047" w:type="pct"/>
          </w:tcPr>
          <w:p w:rsidR="00B40221" w:rsidRPr="008E3F1A" w:rsidRDefault="00B40221" w:rsidP="00EC15A7">
            <w:pPr>
              <w:pStyle w:val="TableText0"/>
              <w:keepNext w:val="0"/>
              <w:rPr>
                <w:szCs w:val="20"/>
              </w:rPr>
            </w:pPr>
            <w:r w:rsidRPr="008E3F1A">
              <w:rPr>
                <w:szCs w:val="20"/>
              </w:rPr>
              <w:t>Trial/Study</w:t>
            </w:r>
          </w:p>
        </w:tc>
        <w:tc>
          <w:tcPr>
            <w:tcW w:w="1995" w:type="pct"/>
            <w:gridSpan w:val="2"/>
            <w:vAlign w:val="center"/>
          </w:tcPr>
          <w:p w:rsidR="00B40221" w:rsidRPr="008E3F1A" w:rsidRDefault="00B40221" w:rsidP="00B40221">
            <w:pPr>
              <w:pStyle w:val="TableText0"/>
              <w:keepNext w:val="0"/>
              <w:jc w:val="center"/>
              <w:rPr>
                <w:szCs w:val="20"/>
              </w:rPr>
            </w:pPr>
            <w:r w:rsidRPr="008E3F1A">
              <w:rPr>
                <w:szCs w:val="20"/>
              </w:rPr>
              <w:t>RCT: ECHELON-2 (BV+CHP vs CHOP)</w:t>
            </w:r>
          </w:p>
        </w:tc>
        <w:tc>
          <w:tcPr>
            <w:tcW w:w="1958" w:type="pct"/>
          </w:tcPr>
          <w:p w:rsidR="00B40221" w:rsidRPr="008E3F1A" w:rsidRDefault="00B40221" w:rsidP="00EC15A7">
            <w:pPr>
              <w:pStyle w:val="TableText0"/>
              <w:keepNext w:val="0"/>
              <w:rPr>
                <w:szCs w:val="20"/>
              </w:rPr>
            </w:pPr>
            <w:r w:rsidRPr="008E3F1A">
              <w:rPr>
                <w:szCs w:val="20"/>
              </w:rPr>
              <w:t>Indirect comparison:</w:t>
            </w:r>
          </w:p>
          <w:p w:rsidR="00B40221" w:rsidRPr="008E3F1A" w:rsidRDefault="00B40221" w:rsidP="00EC15A7">
            <w:pPr>
              <w:pStyle w:val="TableText0"/>
              <w:keepNext w:val="0"/>
              <w:rPr>
                <w:szCs w:val="20"/>
              </w:rPr>
            </w:pPr>
            <w:r w:rsidRPr="008E3F1A">
              <w:rPr>
                <w:szCs w:val="20"/>
              </w:rPr>
              <w:t>BV: Study 0004 (single arm);</w:t>
            </w:r>
          </w:p>
          <w:p w:rsidR="00B40221" w:rsidRPr="008E3F1A" w:rsidRDefault="00B40221" w:rsidP="00EC15A7">
            <w:pPr>
              <w:pStyle w:val="TableText0"/>
              <w:keepNext w:val="0"/>
              <w:rPr>
                <w:szCs w:val="20"/>
              </w:rPr>
            </w:pPr>
            <w:r w:rsidRPr="008E3F1A">
              <w:rPr>
                <w:szCs w:val="20"/>
              </w:rPr>
              <w:t>Multi-agent salvage chemotherapy: extraction of sample of relapsed and refractory sALCL patients from British Columbia lymphoma registry.</w:t>
            </w:r>
          </w:p>
        </w:tc>
      </w:tr>
      <w:tr w:rsidR="00520E68" w:rsidRPr="008E3F1A" w:rsidTr="00B40221">
        <w:tc>
          <w:tcPr>
            <w:tcW w:w="1047" w:type="pct"/>
          </w:tcPr>
          <w:p w:rsidR="00520E68" w:rsidRPr="008E3F1A" w:rsidRDefault="00520E68" w:rsidP="00EC15A7">
            <w:pPr>
              <w:pStyle w:val="TableText0"/>
              <w:keepNext w:val="0"/>
              <w:rPr>
                <w:szCs w:val="20"/>
              </w:rPr>
            </w:pPr>
            <w:r w:rsidRPr="008E3F1A">
              <w:rPr>
                <w:szCs w:val="20"/>
              </w:rPr>
              <w:t>Key outcomes</w:t>
            </w:r>
          </w:p>
        </w:tc>
        <w:tc>
          <w:tcPr>
            <w:tcW w:w="996" w:type="pct"/>
          </w:tcPr>
          <w:p w:rsidR="00520E68" w:rsidRPr="008E3F1A" w:rsidRDefault="00520E68" w:rsidP="00EC15A7">
            <w:pPr>
              <w:pStyle w:val="TableText0"/>
              <w:keepNext w:val="0"/>
              <w:rPr>
                <w:szCs w:val="20"/>
              </w:rPr>
            </w:pPr>
            <w:r w:rsidRPr="008E3F1A">
              <w:rPr>
                <w:szCs w:val="20"/>
              </w:rPr>
              <w:t>PFS, OS, O</w:t>
            </w:r>
            <w:r w:rsidR="00C5485A" w:rsidRPr="008E3F1A">
              <w:rPr>
                <w:szCs w:val="20"/>
              </w:rPr>
              <w:t>R</w:t>
            </w:r>
            <w:r w:rsidRPr="008E3F1A">
              <w:rPr>
                <w:szCs w:val="20"/>
              </w:rPr>
              <w:t>R, HRQoL, Safety</w:t>
            </w:r>
          </w:p>
        </w:tc>
        <w:tc>
          <w:tcPr>
            <w:tcW w:w="999" w:type="pct"/>
          </w:tcPr>
          <w:p w:rsidR="00520E68" w:rsidRPr="008E3F1A" w:rsidRDefault="00520E68" w:rsidP="00EC15A7">
            <w:pPr>
              <w:pStyle w:val="TableText0"/>
              <w:keepNext w:val="0"/>
              <w:rPr>
                <w:szCs w:val="20"/>
              </w:rPr>
            </w:pPr>
            <w:r w:rsidRPr="008E3F1A">
              <w:rPr>
                <w:szCs w:val="20"/>
              </w:rPr>
              <w:t>PFS for sALCL</w:t>
            </w:r>
          </w:p>
        </w:tc>
        <w:tc>
          <w:tcPr>
            <w:tcW w:w="1958" w:type="pct"/>
          </w:tcPr>
          <w:p w:rsidR="00520E68" w:rsidRPr="008E3F1A" w:rsidRDefault="00520E68" w:rsidP="00EC15A7">
            <w:pPr>
              <w:pStyle w:val="TableText0"/>
              <w:keepNext w:val="0"/>
              <w:rPr>
                <w:szCs w:val="20"/>
              </w:rPr>
            </w:pPr>
            <w:r w:rsidRPr="008E3F1A">
              <w:rPr>
                <w:szCs w:val="20"/>
              </w:rPr>
              <w:t>OS, PFS, O</w:t>
            </w:r>
            <w:r w:rsidR="00C5485A" w:rsidRPr="008E3F1A">
              <w:rPr>
                <w:szCs w:val="20"/>
              </w:rPr>
              <w:t>R</w:t>
            </w:r>
            <w:r w:rsidRPr="008E3F1A">
              <w:rPr>
                <w:szCs w:val="20"/>
              </w:rPr>
              <w:t>R, DCR</w:t>
            </w:r>
          </w:p>
        </w:tc>
      </w:tr>
      <w:tr w:rsidR="00520E68" w:rsidRPr="008E3F1A" w:rsidTr="00B40221">
        <w:tc>
          <w:tcPr>
            <w:tcW w:w="1047" w:type="pct"/>
          </w:tcPr>
          <w:p w:rsidR="00520E68" w:rsidRPr="008E3F1A" w:rsidRDefault="00520E68" w:rsidP="00EC15A7">
            <w:pPr>
              <w:pStyle w:val="TableText0"/>
              <w:keepNext w:val="0"/>
              <w:rPr>
                <w:szCs w:val="20"/>
              </w:rPr>
            </w:pPr>
            <w:r w:rsidRPr="008E3F1A">
              <w:rPr>
                <w:szCs w:val="20"/>
              </w:rPr>
              <w:t>OS</w:t>
            </w:r>
          </w:p>
        </w:tc>
        <w:tc>
          <w:tcPr>
            <w:tcW w:w="996" w:type="pct"/>
          </w:tcPr>
          <w:p w:rsidR="00520E68" w:rsidRPr="008E3F1A" w:rsidRDefault="00520E68" w:rsidP="00EC15A7">
            <w:pPr>
              <w:pStyle w:val="TableText0"/>
              <w:keepNext w:val="0"/>
              <w:rPr>
                <w:szCs w:val="20"/>
              </w:rPr>
            </w:pPr>
            <w:r w:rsidRPr="008E3F1A">
              <w:rPr>
                <w:szCs w:val="20"/>
              </w:rPr>
              <w:t>HR =</w:t>
            </w:r>
            <w:r w:rsidR="00273606" w:rsidRPr="008E3F1A">
              <w:rPr>
                <w:szCs w:val="20"/>
              </w:rPr>
              <w:t xml:space="preserve"> </w:t>
            </w:r>
            <w:r w:rsidRPr="008E3F1A">
              <w:rPr>
                <w:szCs w:val="20"/>
              </w:rPr>
              <w:t xml:space="preserve">0.66 (0.46, 0.95); </w:t>
            </w:r>
            <w:r w:rsidR="000E60E7" w:rsidRPr="008E3F1A">
              <w:rPr>
                <w:szCs w:val="20"/>
              </w:rPr>
              <w:br/>
            </w:r>
            <w:r w:rsidRPr="008E3F1A">
              <w:rPr>
                <w:szCs w:val="20"/>
              </w:rPr>
              <w:t>p-value = 0.0244;</w:t>
            </w:r>
          </w:p>
          <w:p w:rsidR="00520E68" w:rsidRPr="008E3F1A" w:rsidRDefault="00520E68" w:rsidP="00EC15A7">
            <w:pPr>
              <w:pStyle w:val="TableText0"/>
              <w:keepNext w:val="0"/>
              <w:rPr>
                <w:szCs w:val="20"/>
              </w:rPr>
            </w:pPr>
            <w:r w:rsidRPr="008E3F1A">
              <w:rPr>
                <w:szCs w:val="20"/>
              </w:rPr>
              <w:t>Median OS not reached</w:t>
            </w:r>
          </w:p>
        </w:tc>
        <w:tc>
          <w:tcPr>
            <w:tcW w:w="999" w:type="pct"/>
          </w:tcPr>
          <w:p w:rsidR="00520E68" w:rsidRPr="008E3F1A" w:rsidRDefault="00420621" w:rsidP="00EC15A7">
            <w:pPr>
              <w:pStyle w:val="TableText0"/>
              <w:rPr>
                <w:szCs w:val="20"/>
              </w:rPr>
            </w:pPr>
            <w:r w:rsidRPr="008E3F1A">
              <w:rPr>
                <w:szCs w:val="20"/>
              </w:rPr>
              <w:t>HR</w:t>
            </w:r>
            <w:r w:rsidR="004A4220" w:rsidRPr="008E3F1A">
              <w:rPr>
                <w:szCs w:val="20"/>
              </w:rPr>
              <w:t xml:space="preserve"> = 0.54 (0.34,0.87)</w:t>
            </w:r>
          </w:p>
        </w:tc>
        <w:tc>
          <w:tcPr>
            <w:tcW w:w="1958" w:type="pct"/>
          </w:tcPr>
          <w:p w:rsidR="00520E68" w:rsidRPr="008E3F1A" w:rsidRDefault="00520E68" w:rsidP="008E2325">
            <w:pPr>
              <w:pStyle w:val="TableText0"/>
              <w:rPr>
                <w:szCs w:val="20"/>
              </w:rPr>
            </w:pPr>
            <w:r w:rsidRPr="008E3F1A">
              <w:rPr>
                <w:szCs w:val="20"/>
              </w:rPr>
              <w:t>Indirect comparison of Study 0004 vs BC lymphoid cancer register at 24/36 months: 0.38 (0.12,0.64); p-value NR</w:t>
            </w:r>
          </w:p>
        </w:tc>
      </w:tr>
      <w:tr w:rsidR="00520E68" w:rsidRPr="008E3F1A" w:rsidTr="00B40221">
        <w:tc>
          <w:tcPr>
            <w:tcW w:w="1047" w:type="pct"/>
          </w:tcPr>
          <w:p w:rsidR="00520E68" w:rsidRPr="008E3F1A" w:rsidRDefault="00520E68" w:rsidP="00EC15A7">
            <w:pPr>
              <w:pStyle w:val="TableText0"/>
              <w:keepNext w:val="0"/>
              <w:rPr>
                <w:szCs w:val="20"/>
              </w:rPr>
            </w:pPr>
            <w:r w:rsidRPr="008E3F1A">
              <w:rPr>
                <w:szCs w:val="20"/>
              </w:rPr>
              <w:lastRenderedPageBreak/>
              <w:t>PFS (latest data presented)</w:t>
            </w:r>
          </w:p>
        </w:tc>
        <w:tc>
          <w:tcPr>
            <w:tcW w:w="996" w:type="pct"/>
          </w:tcPr>
          <w:p w:rsidR="00520E68" w:rsidRPr="008E3F1A" w:rsidRDefault="00520E68" w:rsidP="00EC15A7">
            <w:pPr>
              <w:pStyle w:val="TableText0"/>
              <w:keepNext w:val="0"/>
              <w:rPr>
                <w:szCs w:val="20"/>
              </w:rPr>
            </w:pPr>
            <w:r w:rsidRPr="008E3F1A">
              <w:rPr>
                <w:szCs w:val="20"/>
              </w:rPr>
              <w:t>HR= 0.71 (</w:t>
            </w:r>
            <w:r w:rsidR="00144236" w:rsidRPr="008E3F1A">
              <w:rPr>
                <w:szCs w:val="20"/>
              </w:rPr>
              <w:t xml:space="preserve">95%CI: </w:t>
            </w:r>
            <w:r w:rsidRPr="008E3F1A">
              <w:rPr>
                <w:szCs w:val="20"/>
              </w:rPr>
              <w:t xml:space="preserve">0.54, 0.93); </w:t>
            </w:r>
            <w:r w:rsidR="000E60E7" w:rsidRPr="008E3F1A">
              <w:rPr>
                <w:szCs w:val="20"/>
              </w:rPr>
              <w:br/>
            </w:r>
            <w:r w:rsidRPr="008E3F1A">
              <w:rPr>
                <w:szCs w:val="20"/>
              </w:rPr>
              <w:t>p-value = 0.0110</w:t>
            </w:r>
          </w:p>
          <w:p w:rsidR="00520E68" w:rsidRPr="008E3F1A" w:rsidRDefault="00520E68" w:rsidP="00EC15A7">
            <w:pPr>
              <w:pStyle w:val="TableText0"/>
              <w:keepNext w:val="0"/>
              <w:rPr>
                <w:szCs w:val="20"/>
              </w:rPr>
            </w:pPr>
            <w:r w:rsidRPr="008E3F1A">
              <w:rPr>
                <w:szCs w:val="20"/>
              </w:rPr>
              <w:t>Median PFS</w:t>
            </w:r>
          </w:p>
          <w:p w:rsidR="00520E68" w:rsidRPr="008E3F1A" w:rsidRDefault="00520E68" w:rsidP="00EC15A7">
            <w:pPr>
              <w:pStyle w:val="TableText0"/>
              <w:keepNext w:val="0"/>
              <w:rPr>
                <w:szCs w:val="20"/>
              </w:rPr>
            </w:pPr>
            <w:r w:rsidRPr="008E3F1A">
              <w:rPr>
                <w:szCs w:val="20"/>
              </w:rPr>
              <w:t xml:space="preserve">BV+CHP:  48.2 months, CHOP 27.4 months </w:t>
            </w:r>
          </w:p>
        </w:tc>
        <w:tc>
          <w:tcPr>
            <w:tcW w:w="999" w:type="pct"/>
          </w:tcPr>
          <w:p w:rsidR="00520E68" w:rsidRPr="008E3F1A" w:rsidRDefault="00520E68" w:rsidP="004E1236">
            <w:pPr>
              <w:pStyle w:val="TableText0"/>
              <w:keepNext w:val="0"/>
              <w:rPr>
                <w:szCs w:val="20"/>
              </w:rPr>
            </w:pPr>
            <w:r w:rsidRPr="008E3F1A">
              <w:rPr>
                <w:szCs w:val="20"/>
              </w:rPr>
              <w:t>HR= 0.59 (</w:t>
            </w:r>
            <w:r w:rsidR="00144236" w:rsidRPr="008E3F1A">
              <w:rPr>
                <w:szCs w:val="20"/>
              </w:rPr>
              <w:t xml:space="preserve">95%CI: </w:t>
            </w:r>
            <w:r w:rsidRPr="008E3F1A">
              <w:rPr>
                <w:szCs w:val="20"/>
              </w:rPr>
              <w:t xml:space="preserve">0.42, 0.95); </w:t>
            </w:r>
            <w:r w:rsidR="000E60E7" w:rsidRPr="008E3F1A">
              <w:rPr>
                <w:szCs w:val="20"/>
              </w:rPr>
              <w:br/>
            </w:r>
            <w:r w:rsidRPr="008E3F1A">
              <w:rPr>
                <w:szCs w:val="20"/>
              </w:rPr>
              <w:t>p-value = 0.0031</w:t>
            </w:r>
          </w:p>
          <w:p w:rsidR="00520E68" w:rsidRPr="008E3F1A" w:rsidRDefault="00520E68" w:rsidP="004E1236">
            <w:pPr>
              <w:pStyle w:val="TableText0"/>
              <w:keepNext w:val="0"/>
              <w:rPr>
                <w:szCs w:val="20"/>
              </w:rPr>
            </w:pPr>
            <w:r w:rsidRPr="008E3F1A">
              <w:rPr>
                <w:szCs w:val="20"/>
              </w:rPr>
              <w:t>Median PFS</w:t>
            </w:r>
          </w:p>
          <w:p w:rsidR="00520E68" w:rsidRPr="008E3F1A" w:rsidRDefault="00520E68" w:rsidP="004E1236">
            <w:pPr>
              <w:pStyle w:val="TableText0"/>
              <w:rPr>
                <w:szCs w:val="20"/>
              </w:rPr>
            </w:pPr>
            <w:r w:rsidRPr="008E3F1A">
              <w:rPr>
                <w:szCs w:val="20"/>
              </w:rPr>
              <w:t>BV+CHP:  55.66 months, CHOP 54.18 months</w:t>
            </w:r>
          </w:p>
        </w:tc>
        <w:tc>
          <w:tcPr>
            <w:tcW w:w="1958" w:type="pct"/>
          </w:tcPr>
          <w:p w:rsidR="00520E68" w:rsidRPr="008E3F1A" w:rsidRDefault="00520E68" w:rsidP="00EC15A7">
            <w:pPr>
              <w:pStyle w:val="TableText0"/>
              <w:rPr>
                <w:szCs w:val="20"/>
              </w:rPr>
            </w:pPr>
            <w:r w:rsidRPr="008E3F1A">
              <w:rPr>
                <w:szCs w:val="20"/>
              </w:rPr>
              <w:t xml:space="preserve">Indirect comparison of Study 0004 vs BC lymphoid cancer register at 36 months: 0.33 </w:t>
            </w:r>
          </w:p>
          <w:p w:rsidR="00520E68" w:rsidRPr="008E3F1A" w:rsidRDefault="00520E68" w:rsidP="0075329A">
            <w:pPr>
              <w:pStyle w:val="TableText0"/>
              <w:rPr>
                <w:szCs w:val="20"/>
              </w:rPr>
            </w:pPr>
            <w:r w:rsidRPr="008E3F1A">
              <w:rPr>
                <w:szCs w:val="20"/>
              </w:rPr>
              <w:t>(</w:t>
            </w:r>
            <w:r w:rsidR="0075329A" w:rsidRPr="008E3F1A">
              <w:rPr>
                <w:szCs w:val="20"/>
              </w:rPr>
              <w:t xml:space="preserve">95% CI: </w:t>
            </w:r>
            <w:r w:rsidRPr="008E3F1A">
              <w:rPr>
                <w:szCs w:val="20"/>
              </w:rPr>
              <w:t>-0.01, 0.59) p-</w:t>
            </w:r>
            <w:r w:rsidR="0075329A" w:rsidRPr="008E3F1A">
              <w:rPr>
                <w:szCs w:val="20"/>
              </w:rPr>
              <w:t>value</w:t>
            </w:r>
            <w:r w:rsidRPr="008E3F1A">
              <w:rPr>
                <w:szCs w:val="20"/>
              </w:rPr>
              <w:t xml:space="preserve"> NR</w:t>
            </w:r>
          </w:p>
        </w:tc>
      </w:tr>
      <w:tr w:rsidR="00744182" w:rsidRPr="008E3F1A" w:rsidTr="00F30D47">
        <w:tc>
          <w:tcPr>
            <w:tcW w:w="1047" w:type="pct"/>
            <w:tcBorders>
              <w:bottom w:val="single" w:sz="4" w:space="0" w:color="auto"/>
            </w:tcBorders>
          </w:tcPr>
          <w:p w:rsidR="00744182" w:rsidRPr="008E3F1A" w:rsidRDefault="00744182" w:rsidP="00346965">
            <w:pPr>
              <w:pStyle w:val="TableText0"/>
              <w:keepNext w:val="0"/>
              <w:rPr>
                <w:szCs w:val="20"/>
              </w:rPr>
            </w:pPr>
            <w:r w:rsidRPr="008E3F1A">
              <w:rPr>
                <w:szCs w:val="20"/>
              </w:rPr>
              <w:t>Clinical claim</w:t>
            </w:r>
          </w:p>
        </w:tc>
        <w:tc>
          <w:tcPr>
            <w:tcW w:w="1995" w:type="pct"/>
            <w:gridSpan w:val="2"/>
            <w:tcBorders>
              <w:bottom w:val="single" w:sz="4" w:space="0" w:color="auto"/>
            </w:tcBorders>
            <w:vAlign w:val="center"/>
          </w:tcPr>
          <w:p w:rsidR="00744182" w:rsidRPr="008E3F1A" w:rsidRDefault="00744182" w:rsidP="00346965">
            <w:pPr>
              <w:pStyle w:val="TableText0"/>
              <w:keepNext w:val="0"/>
              <w:rPr>
                <w:szCs w:val="20"/>
              </w:rPr>
            </w:pPr>
            <w:r w:rsidRPr="008E3F1A">
              <w:rPr>
                <w:szCs w:val="20"/>
              </w:rPr>
              <w:t>BV+CHP is superior to CHOP in terms of comparative effectiveness and non-inferior in safety but with known and generally manageable side effects.</w:t>
            </w:r>
          </w:p>
        </w:tc>
        <w:tc>
          <w:tcPr>
            <w:tcW w:w="1958" w:type="pct"/>
            <w:tcBorders>
              <w:bottom w:val="single" w:sz="4" w:space="0" w:color="auto"/>
            </w:tcBorders>
          </w:tcPr>
          <w:p w:rsidR="00744182" w:rsidRPr="008E3F1A" w:rsidRDefault="00744182" w:rsidP="00346965">
            <w:pPr>
              <w:pStyle w:val="TableText0"/>
              <w:keepNext w:val="0"/>
              <w:rPr>
                <w:szCs w:val="20"/>
              </w:rPr>
            </w:pPr>
            <w:r w:rsidRPr="008E3F1A">
              <w:rPr>
                <w:szCs w:val="20"/>
              </w:rPr>
              <w:t>BV is being associated with significant additional OS and patient relevant efficacy as well as less toxicity relative to multi-agent salvage chemotherapy.</w:t>
            </w:r>
          </w:p>
        </w:tc>
      </w:tr>
      <w:tr w:rsidR="00520E68" w:rsidRPr="008E3F1A" w:rsidTr="00F30D47">
        <w:tc>
          <w:tcPr>
            <w:tcW w:w="3042" w:type="pct"/>
            <w:gridSpan w:val="3"/>
            <w:tcBorders>
              <w:right w:val="nil"/>
            </w:tcBorders>
          </w:tcPr>
          <w:p w:rsidR="00520E68" w:rsidRPr="008E3F1A" w:rsidRDefault="00520E68" w:rsidP="00346965">
            <w:pPr>
              <w:pStyle w:val="TableText0"/>
              <w:keepNext w:val="0"/>
              <w:rPr>
                <w:b/>
                <w:szCs w:val="20"/>
              </w:rPr>
            </w:pPr>
            <w:r w:rsidRPr="008E3F1A">
              <w:rPr>
                <w:b/>
                <w:szCs w:val="20"/>
              </w:rPr>
              <w:t>Economic analysis</w:t>
            </w:r>
          </w:p>
        </w:tc>
        <w:tc>
          <w:tcPr>
            <w:tcW w:w="1958" w:type="pct"/>
            <w:tcBorders>
              <w:left w:val="nil"/>
            </w:tcBorders>
          </w:tcPr>
          <w:p w:rsidR="00520E68" w:rsidRPr="008E3F1A" w:rsidRDefault="00520E68" w:rsidP="00346965">
            <w:pPr>
              <w:pStyle w:val="TableText0"/>
              <w:keepNext w:val="0"/>
              <w:rPr>
                <w:b/>
                <w:szCs w:val="20"/>
              </w:rPr>
            </w:pPr>
          </w:p>
        </w:tc>
      </w:tr>
      <w:tr w:rsidR="00744182" w:rsidRPr="008E3F1A" w:rsidTr="00B40221">
        <w:tc>
          <w:tcPr>
            <w:tcW w:w="1047" w:type="pct"/>
          </w:tcPr>
          <w:p w:rsidR="00744182" w:rsidRPr="008E3F1A" w:rsidRDefault="00744182" w:rsidP="00346965">
            <w:pPr>
              <w:pStyle w:val="TableText0"/>
              <w:keepNext w:val="0"/>
              <w:rPr>
                <w:szCs w:val="20"/>
              </w:rPr>
            </w:pPr>
            <w:r w:rsidRPr="008E3F1A">
              <w:rPr>
                <w:szCs w:val="20"/>
              </w:rPr>
              <w:t>Type</w:t>
            </w:r>
          </w:p>
        </w:tc>
        <w:tc>
          <w:tcPr>
            <w:tcW w:w="1995" w:type="pct"/>
            <w:gridSpan w:val="2"/>
            <w:vAlign w:val="center"/>
          </w:tcPr>
          <w:p w:rsidR="00744182" w:rsidRPr="008E3F1A" w:rsidRDefault="00744182" w:rsidP="00297354">
            <w:pPr>
              <w:pStyle w:val="TableText0"/>
              <w:keepNext w:val="0"/>
              <w:rPr>
                <w:szCs w:val="20"/>
              </w:rPr>
            </w:pPr>
            <w:r w:rsidRPr="008E3F1A">
              <w:rPr>
                <w:szCs w:val="20"/>
              </w:rPr>
              <w:t>CUA</w:t>
            </w:r>
          </w:p>
        </w:tc>
        <w:tc>
          <w:tcPr>
            <w:tcW w:w="1958" w:type="pct"/>
          </w:tcPr>
          <w:p w:rsidR="00744182" w:rsidRPr="008E3F1A" w:rsidRDefault="00744182" w:rsidP="00346965">
            <w:pPr>
              <w:spacing w:line="259" w:lineRule="auto"/>
              <w:rPr>
                <w:rFonts w:ascii="Arial Narrow" w:hAnsi="Arial Narrow"/>
                <w:sz w:val="20"/>
                <w:szCs w:val="20"/>
              </w:rPr>
            </w:pPr>
            <w:r w:rsidRPr="008E3F1A">
              <w:rPr>
                <w:rFonts w:ascii="Arial Narrow" w:hAnsi="Arial Narrow"/>
                <w:sz w:val="20"/>
                <w:szCs w:val="20"/>
              </w:rPr>
              <w:t>CUA</w:t>
            </w:r>
          </w:p>
        </w:tc>
      </w:tr>
      <w:tr w:rsidR="00744182" w:rsidRPr="008E3F1A" w:rsidTr="00B40221">
        <w:tc>
          <w:tcPr>
            <w:tcW w:w="1047" w:type="pct"/>
          </w:tcPr>
          <w:p w:rsidR="00744182" w:rsidRPr="008E3F1A" w:rsidRDefault="00744182" w:rsidP="00346965">
            <w:pPr>
              <w:pStyle w:val="TableText0"/>
              <w:keepNext w:val="0"/>
              <w:rPr>
                <w:szCs w:val="20"/>
              </w:rPr>
            </w:pPr>
            <w:r w:rsidRPr="008E3F1A">
              <w:rPr>
                <w:szCs w:val="20"/>
              </w:rPr>
              <w:t>Comparator</w:t>
            </w:r>
          </w:p>
        </w:tc>
        <w:tc>
          <w:tcPr>
            <w:tcW w:w="1995" w:type="pct"/>
            <w:gridSpan w:val="2"/>
            <w:vAlign w:val="center"/>
          </w:tcPr>
          <w:p w:rsidR="00744182" w:rsidRPr="008E3F1A" w:rsidRDefault="00744182" w:rsidP="00297354">
            <w:pPr>
              <w:pStyle w:val="TableText0"/>
              <w:keepNext w:val="0"/>
              <w:rPr>
                <w:szCs w:val="20"/>
              </w:rPr>
            </w:pPr>
            <w:r w:rsidRPr="008E3F1A">
              <w:rPr>
                <w:szCs w:val="20"/>
              </w:rPr>
              <w:t>CHOP</w:t>
            </w:r>
          </w:p>
        </w:tc>
        <w:tc>
          <w:tcPr>
            <w:tcW w:w="1958" w:type="pct"/>
          </w:tcPr>
          <w:p w:rsidR="00744182" w:rsidRPr="008E3F1A" w:rsidRDefault="00744182" w:rsidP="00346965">
            <w:pPr>
              <w:pStyle w:val="TableText0"/>
              <w:keepNext w:val="0"/>
              <w:rPr>
                <w:szCs w:val="20"/>
              </w:rPr>
            </w:pPr>
            <w:r w:rsidRPr="008E3F1A">
              <w:rPr>
                <w:szCs w:val="20"/>
              </w:rPr>
              <w:t>Multi-agent chemotherapies</w:t>
            </w:r>
          </w:p>
        </w:tc>
      </w:tr>
      <w:tr w:rsidR="00744182" w:rsidRPr="008E3F1A" w:rsidTr="00B40221">
        <w:tc>
          <w:tcPr>
            <w:tcW w:w="1047" w:type="pct"/>
          </w:tcPr>
          <w:p w:rsidR="00744182" w:rsidRPr="008E3F1A" w:rsidRDefault="00744182" w:rsidP="00346965">
            <w:pPr>
              <w:pStyle w:val="TableText0"/>
              <w:keepNext w:val="0"/>
              <w:rPr>
                <w:szCs w:val="20"/>
              </w:rPr>
            </w:pPr>
            <w:r w:rsidRPr="008E3F1A">
              <w:rPr>
                <w:szCs w:val="20"/>
              </w:rPr>
              <w:t>Time horizon</w:t>
            </w:r>
          </w:p>
        </w:tc>
        <w:tc>
          <w:tcPr>
            <w:tcW w:w="1995" w:type="pct"/>
            <w:gridSpan w:val="2"/>
            <w:vAlign w:val="center"/>
          </w:tcPr>
          <w:p w:rsidR="00744182" w:rsidRPr="008E3F1A" w:rsidRDefault="00744182" w:rsidP="00297354">
            <w:pPr>
              <w:pStyle w:val="TableText0"/>
              <w:keepNext w:val="0"/>
              <w:rPr>
                <w:szCs w:val="20"/>
              </w:rPr>
            </w:pPr>
            <w:r w:rsidRPr="008E3F1A">
              <w:rPr>
                <w:szCs w:val="20"/>
              </w:rPr>
              <w:t>45 years</w:t>
            </w:r>
          </w:p>
        </w:tc>
        <w:tc>
          <w:tcPr>
            <w:tcW w:w="1958" w:type="pct"/>
          </w:tcPr>
          <w:p w:rsidR="00744182" w:rsidRPr="008E3F1A" w:rsidRDefault="00744182" w:rsidP="00346965">
            <w:pPr>
              <w:pStyle w:val="TableText0"/>
              <w:keepNext w:val="0"/>
              <w:rPr>
                <w:szCs w:val="20"/>
              </w:rPr>
            </w:pPr>
            <w:r w:rsidRPr="008E3F1A">
              <w:rPr>
                <w:szCs w:val="20"/>
              </w:rPr>
              <w:t>20 years</w:t>
            </w:r>
          </w:p>
        </w:tc>
      </w:tr>
      <w:tr w:rsidR="00520E68" w:rsidRPr="008E3F1A" w:rsidTr="00B40221">
        <w:tc>
          <w:tcPr>
            <w:tcW w:w="1047" w:type="pct"/>
          </w:tcPr>
          <w:p w:rsidR="00520E68" w:rsidRPr="008E3F1A" w:rsidRDefault="00520E68" w:rsidP="00346965">
            <w:pPr>
              <w:pStyle w:val="TableText0"/>
              <w:keepNext w:val="0"/>
              <w:rPr>
                <w:szCs w:val="20"/>
              </w:rPr>
            </w:pPr>
            <w:r w:rsidRPr="008E3F1A">
              <w:rPr>
                <w:szCs w:val="20"/>
              </w:rPr>
              <w:t>ICER (from the latest round)</w:t>
            </w:r>
          </w:p>
        </w:tc>
        <w:tc>
          <w:tcPr>
            <w:tcW w:w="996" w:type="pct"/>
          </w:tcPr>
          <w:p w:rsidR="00520E68" w:rsidRPr="000345C6" w:rsidRDefault="00520E68" w:rsidP="000345C6">
            <w:pPr>
              <w:pStyle w:val="TableText0"/>
              <w:keepNext w:val="0"/>
              <w:rPr>
                <w:szCs w:val="20"/>
                <w:vertAlign w:val="superscript"/>
              </w:rPr>
            </w:pPr>
            <w:r w:rsidRPr="008E3F1A">
              <w:rPr>
                <w:szCs w:val="20"/>
              </w:rPr>
              <w:t>$</w:t>
            </w:r>
            <w:r w:rsidR="003F2520">
              <w:rPr>
                <w:noProof/>
                <w:color w:val="000000"/>
                <w:szCs w:val="20"/>
                <w:highlight w:val="black"/>
              </w:rPr>
              <w:t>''''''''''''''''</w:t>
            </w:r>
            <w:r w:rsidR="000345C6">
              <w:rPr>
                <w:szCs w:val="20"/>
                <w:vertAlign w:val="superscript"/>
              </w:rPr>
              <w:t>1</w:t>
            </w:r>
            <w:r w:rsidRPr="008E3F1A">
              <w:rPr>
                <w:szCs w:val="20"/>
              </w:rPr>
              <w:t xml:space="preserve"> per QALY gained</w:t>
            </w:r>
          </w:p>
        </w:tc>
        <w:tc>
          <w:tcPr>
            <w:tcW w:w="999" w:type="pct"/>
          </w:tcPr>
          <w:p w:rsidR="00520E68" w:rsidRPr="008E3F1A" w:rsidRDefault="00520E68" w:rsidP="00346965">
            <w:pPr>
              <w:pStyle w:val="TableText0"/>
              <w:keepNext w:val="0"/>
              <w:rPr>
                <w:szCs w:val="20"/>
              </w:rPr>
            </w:pPr>
            <w:r w:rsidRPr="008E3F1A">
              <w:rPr>
                <w:szCs w:val="20"/>
              </w:rPr>
              <w:t>$</w:t>
            </w:r>
            <w:r w:rsidR="003F2520">
              <w:rPr>
                <w:noProof/>
                <w:color w:val="000000"/>
                <w:szCs w:val="20"/>
                <w:highlight w:val="black"/>
              </w:rPr>
              <w:t>''''''''''''''''</w:t>
            </w:r>
            <w:r w:rsidR="000345C6">
              <w:rPr>
                <w:szCs w:val="20"/>
                <w:vertAlign w:val="superscript"/>
              </w:rPr>
              <w:t>2</w:t>
            </w:r>
            <w:r w:rsidRPr="008E3F1A">
              <w:rPr>
                <w:szCs w:val="20"/>
              </w:rPr>
              <w:t xml:space="preserve"> per QALY gained</w:t>
            </w:r>
          </w:p>
        </w:tc>
        <w:tc>
          <w:tcPr>
            <w:tcW w:w="1958" w:type="pct"/>
          </w:tcPr>
          <w:p w:rsidR="00520E68" w:rsidRPr="008E3F1A" w:rsidRDefault="00520E68" w:rsidP="00346965">
            <w:pPr>
              <w:pStyle w:val="TableText0"/>
              <w:keepNext w:val="0"/>
              <w:rPr>
                <w:szCs w:val="20"/>
              </w:rPr>
            </w:pPr>
            <w:r w:rsidRPr="008E3F1A">
              <w:rPr>
                <w:szCs w:val="20"/>
              </w:rPr>
              <w:t>$</w:t>
            </w:r>
            <w:r w:rsidR="003F2520">
              <w:rPr>
                <w:noProof/>
                <w:color w:val="000000"/>
                <w:szCs w:val="20"/>
                <w:highlight w:val="black"/>
              </w:rPr>
              <w:t>'''''''''''''''''</w:t>
            </w:r>
            <w:r w:rsidR="000345C6">
              <w:rPr>
                <w:szCs w:val="20"/>
                <w:vertAlign w:val="superscript"/>
              </w:rPr>
              <w:t>3</w:t>
            </w:r>
            <w:r w:rsidRPr="008E3F1A">
              <w:rPr>
                <w:szCs w:val="20"/>
              </w:rPr>
              <w:t xml:space="preserve"> per QALY gained</w:t>
            </w:r>
          </w:p>
        </w:tc>
      </w:tr>
      <w:tr w:rsidR="00520E68" w:rsidRPr="008E3F1A" w:rsidTr="00B40221">
        <w:tc>
          <w:tcPr>
            <w:tcW w:w="3042" w:type="pct"/>
            <w:gridSpan w:val="3"/>
          </w:tcPr>
          <w:p w:rsidR="00520E68" w:rsidRPr="008E3F1A" w:rsidRDefault="00520E68" w:rsidP="00346965">
            <w:pPr>
              <w:pStyle w:val="TableText0"/>
              <w:keepNext w:val="0"/>
              <w:rPr>
                <w:b/>
                <w:szCs w:val="20"/>
              </w:rPr>
            </w:pPr>
            <w:r w:rsidRPr="008E3F1A">
              <w:rPr>
                <w:b/>
                <w:szCs w:val="20"/>
              </w:rPr>
              <w:t>Financial impact</w:t>
            </w:r>
          </w:p>
        </w:tc>
        <w:tc>
          <w:tcPr>
            <w:tcW w:w="1958" w:type="pct"/>
          </w:tcPr>
          <w:p w:rsidR="00520E68" w:rsidRPr="008E3F1A" w:rsidRDefault="00520E68" w:rsidP="00346965">
            <w:pPr>
              <w:pStyle w:val="TableText0"/>
              <w:keepNext w:val="0"/>
              <w:rPr>
                <w:b/>
                <w:szCs w:val="20"/>
              </w:rPr>
            </w:pPr>
          </w:p>
        </w:tc>
      </w:tr>
      <w:tr w:rsidR="00744182" w:rsidRPr="008E3F1A" w:rsidTr="00B40221">
        <w:tc>
          <w:tcPr>
            <w:tcW w:w="1047" w:type="pct"/>
          </w:tcPr>
          <w:p w:rsidR="00744182" w:rsidRPr="008E3F1A" w:rsidRDefault="00744182" w:rsidP="00F9571B">
            <w:pPr>
              <w:pStyle w:val="TableText0"/>
              <w:keepNext w:val="0"/>
              <w:rPr>
                <w:szCs w:val="20"/>
              </w:rPr>
            </w:pPr>
            <w:r w:rsidRPr="008E3F1A">
              <w:rPr>
                <w:szCs w:val="20"/>
              </w:rPr>
              <w:t>Approach</w:t>
            </w:r>
          </w:p>
        </w:tc>
        <w:tc>
          <w:tcPr>
            <w:tcW w:w="1995" w:type="pct"/>
            <w:gridSpan w:val="2"/>
          </w:tcPr>
          <w:p w:rsidR="00744182" w:rsidRPr="008E3F1A" w:rsidRDefault="00744182" w:rsidP="00F9571B">
            <w:pPr>
              <w:pStyle w:val="TableText0"/>
              <w:keepNext w:val="0"/>
              <w:rPr>
                <w:szCs w:val="20"/>
              </w:rPr>
            </w:pPr>
            <w:r w:rsidRPr="008E3F1A">
              <w:rPr>
                <w:szCs w:val="20"/>
              </w:rPr>
              <w:t>Mixed epidemiological and market share</w:t>
            </w:r>
          </w:p>
        </w:tc>
        <w:tc>
          <w:tcPr>
            <w:tcW w:w="1958" w:type="pct"/>
          </w:tcPr>
          <w:p w:rsidR="00744182" w:rsidRPr="008E3F1A" w:rsidRDefault="00744182" w:rsidP="00F9571B">
            <w:pPr>
              <w:pStyle w:val="TableText0"/>
              <w:keepNext w:val="0"/>
              <w:rPr>
                <w:szCs w:val="20"/>
              </w:rPr>
            </w:pPr>
            <w:r w:rsidRPr="008E3F1A">
              <w:rPr>
                <w:szCs w:val="20"/>
              </w:rPr>
              <w:t>NR</w:t>
            </w:r>
          </w:p>
        </w:tc>
      </w:tr>
      <w:tr w:rsidR="00520E68" w:rsidRPr="008E3F1A" w:rsidTr="00B40221">
        <w:tc>
          <w:tcPr>
            <w:tcW w:w="1047" w:type="pct"/>
          </w:tcPr>
          <w:p w:rsidR="00520E68" w:rsidRPr="008E3F1A" w:rsidRDefault="00520E68" w:rsidP="00F6457B">
            <w:pPr>
              <w:pStyle w:val="TableText0"/>
              <w:keepNext w:val="0"/>
              <w:rPr>
                <w:szCs w:val="20"/>
              </w:rPr>
            </w:pPr>
            <w:r w:rsidRPr="008E3F1A">
              <w:rPr>
                <w:szCs w:val="20"/>
              </w:rPr>
              <w:t>Patient number/ Scripts</w:t>
            </w:r>
          </w:p>
        </w:tc>
        <w:tc>
          <w:tcPr>
            <w:tcW w:w="996" w:type="pct"/>
          </w:tcPr>
          <w:p w:rsidR="00520E68" w:rsidRPr="008E3F1A" w:rsidRDefault="00520E68" w:rsidP="00F6457B">
            <w:pPr>
              <w:pStyle w:val="TableText0"/>
              <w:keepNext w:val="0"/>
              <w:rPr>
                <w:szCs w:val="20"/>
              </w:rPr>
            </w:pPr>
            <w:r w:rsidRPr="008E3F1A">
              <w:rPr>
                <w:szCs w:val="20"/>
              </w:rPr>
              <w:t xml:space="preserve">Number of patients: </w:t>
            </w:r>
          </w:p>
          <w:p w:rsidR="00520E68" w:rsidRPr="008E3F1A" w:rsidRDefault="00520E68" w:rsidP="00F6457B">
            <w:pPr>
              <w:pStyle w:val="TableText0"/>
              <w:keepNext w:val="0"/>
              <w:rPr>
                <w:szCs w:val="20"/>
              </w:rPr>
            </w:pPr>
            <w:r w:rsidRPr="008E3F1A">
              <w:rPr>
                <w:szCs w:val="20"/>
              </w:rPr>
              <w:t xml:space="preserve">Yr 1: </w:t>
            </w:r>
            <w:r w:rsidR="003F2520">
              <w:rPr>
                <w:noProof/>
                <w:color w:val="000000"/>
                <w:szCs w:val="20"/>
                <w:highlight w:val="black"/>
              </w:rPr>
              <w:t>''''''</w:t>
            </w:r>
            <w:r w:rsidR="000345C6">
              <w:rPr>
                <w:szCs w:val="20"/>
                <w:vertAlign w:val="superscript"/>
              </w:rPr>
              <w:t>4</w:t>
            </w:r>
          </w:p>
          <w:p w:rsidR="00520E68" w:rsidRPr="008E3F1A" w:rsidRDefault="00520E68" w:rsidP="00F6457B">
            <w:pPr>
              <w:pStyle w:val="TableText0"/>
              <w:keepNext w:val="0"/>
              <w:rPr>
                <w:szCs w:val="20"/>
              </w:rPr>
            </w:pPr>
            <w:r w:rsidRPr="008E3F1A">
              <w:rPr>
                <w:szCs w:val="20"/>
              </w:rPr>
              <w:t xml:space="preserve">Yr 2: </w:t>
            </w:r>
            <w:r w:rsidR="003F2520">
              <w:rPr>
                <w:noProof/>
                <w:color w:val="000000"/>
                <w:szCs w:val="20"/>
                <w:highlight w:val="black"/>
              </w:rPr>
              <w:t>'''''</w:t>
            </w:r>
            <w:r w:rsidR="000345C6">
              <w:rPr>
                <w:szCs w:val="20"/>
                <w:vertAlign w:val="superscript"/>
              </w:rPr>
              <w:t>4</w:t>
            </w:r>
          </w:p>
          <w:p w:rsidR="00520E68" w:rsidRPr="008E3F1A" w:rsidRDefault="00520E68" w:rsidP="00F6457B">
            <w:pPr>
              <w:pStyle w:val="TableText0"/>
              <w:keepNext w:val="0"/>
              <w:rPr>
                <w:szCs w:val="20"/>
              </w:rPr>
            </w:pPr>
            <w:r w:rsidRPr="008E3F1A">
              <w:rPr>
                <w:szCs w:val="20"/>
              </w:rPr>
              <w:t xml:space="preserve">Yr 3: </w:t>
            </w:r>
            <w:r w:rsidR="003F2520">
              <w:rPr>
                <w:noProof/>
                <w:color w:val="000000"/>
                <w:szCs w:val="20"/>
                <w:highlight w:val="black"/>
              </w:rPr>
              <w:t>''''''</w:t>
            </w:r>
            <w:r w:rsidR="000345C6">
              <w:rPr>
                <w:szCs w:val="20"/>
                <w:vertAlign w:val="superscript"/>
              </w:rPr>
              <w:t>4</w:t>
            </w:r>
          </w:p>
          <w:p w:rsidR="00520E68" w:rsidRPr="008E3F1A" w:rsidRDefault="00520E68" w:rsidP="00F6457B">
            <w:pPr>
              <w:pStyle w:val="TableText0"/>
              <w:keepNext w:val="0"/>
              <w:rPr>
                <w:szCs w:val="20"/>
              </w:rPr>
            </w:pPr>
            <w:r w:rsidRPr="008E3F1A">
              <w:rPr>
                <w:szCs w:val="20"/>
              </w:rPr>
              <w:t xml:space="preserve">Yr 4: </w:t>
            </w:r>
            <w:r w:rsidR="003F2520">
              <w:rPr>
                <w:noProof/>
                <w:color w:val="000000"/>
                <w:szCs w:val="20"/>
                <w:highlight w:val="black"/>
              </w:rPr>
              <w:t>''''''</w:t>
            </w:r>
            <w:r w:rsidR="000345C6">
              <w:rPr>
                <w:szCs w:val="20"/>
                <w:vertAlign w:val="superscript"/>
              </w:rPr>
              <w:t>4</w:t>
            </w:r>
          </w:p>
          <w:p w:rsidR="00520E68" w:rsidRPr="008E3F1A" w:rsidRDefault="00520E68" w:rsidP="00F6457B">
            <w:pPr>
              <w:pStyle w:val="TableText0"/>
              <w:keepNext w:val="0"/>
              <w:rPr>
                <w:szCs w:val="20"/>
              </w:rPr>
            </w:pPr>
            <w:r w:rsidRPr="008E3F1A">
              <w:rPr>
                <w:szCs w:val="20"/>
              </w:rPr>
              <w:t xml:space="preserve">Yr 5: </w:t>
            </w:r>
            <w:r w:rsidR="003F2520">
              <w:rPr>
                <w:noProof/>
                <w:color w:val="000000"/>
                <w:szCs w:val="20"/>
                <w:highlight w:val="black"/>
              </w:rPr>
              <w:t>'''''''</w:t>
            </w:r>
            <w:r w:rsidR="000345C6">
              <w:rPr>
                <w:szCs w:val="20"/>
                <w:vertAlign w:val="superscript"/>
              </w:rPr>
              <w:t>4</w:t>
            </w:r>
          </w:p>
          <w:p w:rsidR="00520E68" w:rsidRPr="008E3F1A" w:rsidRDefault="00520E68" w:rsidP="00F6457B">
            <w:pPr>
              <w:pStyle w:val="TableText0"/>
              <w:keepNext w:val="0"/>
              <w:rPr>
                <w:szCs w:val="20"/>
              </w:rPr>
            </w:pPr>
            <w:r w:rsidRPr="008E3F1A">
              <w:rPr>
                <w:szCs w:val="20"/>
              </w:rPr>
              <w:t xml:space="preserve">Yr 6: </w:t>
            </w:r>
            <w:r w:rsidR="003F2520">
              <w:rPr>
                <w:noProof/>
                <w:color w:val="000000"/>
                <w:szCs w:val="20"/>
                <w:highlight w:val="black"/>
              </w:rPr>
              <w:t>''''''</w:t>
            </w:r>
            <w:r w:rsidR="000345C6">
              <w:rPr>
                <w:szCs w:val="20"/>
                <w:vertAlign w:val="superscript"/>
              </w:rPr>
              <w:t>4</w:t>
            </w:r>
          </w:p>
        </w:tc>
        <w:tc>
          <w:tcPr>
            <w:tcW w:w="999" w:type="pct"/>
          </w:tcPr>
          <w:p w:rsidR="00520E68" w:rsidRPr="008E3F1A" w:rsidRDefault="00520E68" w:rsidP="00F6457B">
            <w:pPr>
              <w:pStyle w:val="TableText0"/>
              <w:keepNext w:val="0"/>
              <w:rPr>
                <w:szCs w:val="20"/>
              </w:rPr>
            </w:pPr>
            <w:r w:rsidRPr="008E3F1A">
              <w:rPr>
                <w:szCs w:val="20"/>
              </w:rPr>
              <w:t xml:space="preserve">Number of patients: </w:t>
            </w:r>
          </w:p>
          <w:p w:rsidR="00520E68" w:rsidRPr="008E3F1A" w:rsidRDefault="00520E68" w:rsidP="00F6457B">
            <w:pPr>
              <w:pStyle w:val="TableText0"/>
              <w:keepNext w:val="0"/>
              <w:rPr>
                <w:szCs w:val="20"/>
              </w:rPr>
            </w:pPr>
            <w:r w:rsidRPr="008E3F1A">
              <w:rPr>
                <w:szCs w:val="20"/>
              </w:rPr>
              <w:t xml:space="preserve">Yr 1: </w:t>
            </w:r>
            <w:r w:rsidR="003F2520">
              <w:rPr>
                <w:noProof/>
                <w:color w:val="000000"/>
                <w:szCs w:val="20"/>
                <w:highlight w:val="black"/>
              </w:rPr>
              <w:t>'''''</w:t>
            </w:r>
            <w:r w:rsidR="000345C6">
              <w:rPr>
                <w:szCs w:val="20"/>
                <w:vertAlign w:val="superscript"/>
              </w:rPr>
              <w:t>4</w:t>
            </w:r>
          </w:p>
          <w:p w:rsidR="00520E68" w:rsidRPr="008E3F1A" w:rsidRDefault="00520E68" w:rsidP="00F6457B">
            <w:pPr>
              <w:pStyle w:val="TableText0"/>
              <w:keepNext w:val="0"/>
              <w:rPr>
                <w:szCs w:val="20"/>
              </w:rPr>
            </w:pPr>
            <w:r w:rsidRPr="008E3F1A">
              <w:rPr>
                <w:szCs w:val="20"/>
              </w:rPr>
              <w:t xml:space="preserve">Yr 2: </w:t>
            </w:r>
            <w:r w:rsidR="003F2520">
              <w:rPr>
                <w:noProof/>
                <w:color w:val="000000"/>
                <w:szCs w:val="20"/>
                <w:highlight w:val="black"/>
              </w:rPr>
              <w:t>''''''</w:t>
            </w:r>
            <w:r w:rsidR="000345C6">
              <w:rPr>
                <w:szCs w:val="20"/>
                <w:vertAlign w:val="superscript"/>
              </w:rPr>
              <w:t>4</w:t>
            </w:r>
          </w:p>
          <w:p w:rsidR="00520E68" w:rsidRPr="008E3F1A" w:rsidRDefault="00520E68" w:rsidP="00F6457B">
            <w:pPr>
              <w:pStyle w:val="TableText0"/>
              <w:keepNext w:val="0"/>
              <w:rPr>
                <w:szCs w:val="20"/>
              </w:rPr>
            </w:pPr>
            <w:r w:rsidRPr="008E3F1A">
              <w:rPr>
                <w:szCs w:val="20"/>
              </w:rPr>
              <w:t xml:space="preserve">Yr 3: </w:t>
            </w:r>
            <w:r w:rsidR="003F2520">
              <w:rPr>
                <w:noProof/>
                <w:color w:val="000000"/>
                <w:szCs w:val="20"/>
                <w:highlight w:val="black"/>
              </w:rPr>
              <w:t>''''''</w:t>
            </w:r>
            <w:r w:rsidR="000345C6">
              <w:rPr>
                <w:szCs w:val="20"/>
                <w:vertAlign w:val="superscript"/>
              </w:rPr>
              <w:t>4</w:t>
            </w:r>
          </w:p>
          <w:p w:rsidR="00520E68" w:rsidRPr="008E3F1A" w:rsidRDefault="00520E68" w:rsidP="00F6457B">
            <w:pPr>
              <w:pStyle w:val="TableText0"/>
              <w:keepNext w:val="0"/>
              <w:rPr>
                <w:szCs w:val="20"/>
              </w:rPr>
            </w:pPr>
            <w:r w:rsidRPr="008E3F1A">
              <w:rPr>
                <w:szCs w:val="20"/>
              </w:rPr>
              <w:t xml:space="preserve">Yr 4: </w:t>
            </w:r>
            <w:r w:rsidR="003F2520">
              <w:rPr>
                <w:noProof/>
                <w:color w:val="000000"/>
                <w:szCs w:val="20"/>
                <w:highlight w:val="black"/>
              </w:rPr>
              <w:t>'''''''</w:t>
            </w:r>
            <w:r w:rsidR="000345C6">
              <w:rPr>
                <w:szCs w:val="20"/>
                <w:vertAlign w:val="superscript"/>
              </w:rPr>
              <w:t>4</w:t>
            </w:r>
          </w:p>
          <w:p w:rsidR="00520E68" w:rsidRPr="008E3F1A" w:rsidRDefault="00520E68" w:rsidP="00F6457B">
            <w:pPr>
              <w:pStyle w:val="TableText0"/>
              <w:keepNext w:val="0"/>
              <w:rPr>
                <w:szCs w:val="20"/>
              </w:rPr>
            </w:pPr>
            <w:r w:rsidRPr="008E3F1A">
              <w:rPr>
                <w:szCs w:val="20"/>
              </w:rPr>
              <w:t xml:space="preserve">Yr 5: </w:t>
            </w:r>
            <w:r w:rsidR="003F2520">
              <w:rPr>
                <w:noProof/>
                <w:color w:val="000000"/>
                <w:szCs w:val="20"/>
                <w:highlight w:val="black"/>
              </w:rPr>
              <w:t>''''''</w:t>
            </w:r>
            <w:r w:rsidR="000345C6">
              <w:rPr>
                <w:szCs w:val="20"/>
                <w:vertAlign w:val="superscript"/>
              </w:rPr>
              <w:t>4</w:t>
            </w:r>
          </w:p>
          <w:p w:rsidR="00520E68" w:rsidRPr="008E3F1A" w:rsidRDefault="00520E68" w:rsidP="00F6457B">
            <w:pPr>
              <w:pStyle w:val="TableText0"/>
              <w:keepNext w:val="0"/>
              <w:rPr>
                <w:szCs w:val="20"/>
              </w:rPr>
            </w:pPr>
            <w:r w:rsidRPr="008E3F1A">
              <w:rPr>
                <w:szCs w:val="20"/>
              </w:rPr>
              <w:t xml:space="preserve">Yr 6: </w:t>
            </w:r>
            <w:r w:rsidR="003F2520">
              <w:rPr>
                <w:noProof/>
                <w:color w:val="000000"/>
                <w:szCs w:val="20"/>
                <w:highlight w:val="black"/>
              </w:rPr>
              <w:t>'''''''</w:t>
            </w:r>
            <w:r w:rsidR="000345C6">
              <w:rPr>
                <w:szCs w:val="20"/>
                <w:vertAlign w:val="superscript"/>
              </w:rPr>
              <w:t>4</w:t>
            </w:r>
          </w:p>
        </w:tc>
        <w:tc>
          <w:tcPr>
            <w:tcW w:w="1958" w:type="pct"/>
          </w:tcPr>
          <w:p w:rsidR="00520E68" w:rsidRPr="008E3F1A" w:rsidRDefault="00520E68" w:rsidP="00F6457B">
            <w:pPr>
              <w:pStyle w:val="TableText0"/>
              <w:keepNext w:val="0"/>
              <w:rPr>
                <w:szCs w:val="20"/>
              </w:rPr>
            </w:pPr>
            <w:r w:rsidRPr="008E3F1A">
              <w:rPr>
                <w:szCs w:val="20"/>
              </w:rPr>
              <w:t>Number of patients:</w:t>
            </w:r>
          </w:p>
          <w:p w:rsidR="00520E68" w:rsidRPr="008E3F1A" w:rsidRDefault="00520E68" w:rsidP="00F6457B">
            <w:pPr>
              <w:pStyle w:val="TableText0"/>
              <w:keepNext w:val="0"/>
              <w:rPr>
                <w:szCs w:val="20"/>
              </w:rPr>
            </w:pPr>
            <w:r w:rsidRPr="008E3F1A">
              <w:rPr>
                <w:szCs w:val="20"/>
              </w:rPr>
              <w:t xml:space="preserve">Yr 1: </w:t>
            </w:r>
            <w:r w:rsidR="003F2520">
              <w:rPr>
                <w:noProof/>
                <w:color w:val="000000"/>
                <w:szCs w:val="20"/>
                <w:highlight w:val="black"/>
              </w:rPr>
              <w:t>'''''''</w:t>
            </w:r>
            <w:r w:rsidR="000345C6">
              <w:rPr>
                <w:szCs w:val="20"/>
                <w:vertAlign w:val="superscript"/>
              </w:rPr>
              <w:t>4</w:t>
            </w:r>
          </w:p>
          <w:p w:rsidR="00520E68" w:rsidRPr="008E3F1A" w:rsidRDefault="00520E68" w:rsidP="00F6457B">
            <w:pPr>
              <w:pStyle w:val="TableText0"/>
              <w:keepNext w:val="0"/>
              <w:rPr>
                <w:szCs w:val="20"/>
              </w:rPr>
            </w:pPr>
            <w:r w:rsidRPr="008E3F1A">
              <w:rPr>
                <w:szCs w:val="20"/>
              </w:rPr>
              <w:t xml:space="preserve">Yr 2: </w:t>
            </w:r>
            <w:r w:rsidR="003F2520">
              <w:rPr>
                <w:noProof/>
                <w:color w:val="000000"/>
                <w:szCs w:val="20"/>
                <w:highlight w:val="black"/>
              </w:rPr>
              <w:t>''''''</w:t>
            </w:r>
            <w:r w:rsidR="000345C6">
              <w:rPr>
                <w:szCs w:val="20"/>
                <w:vertAlign w:val="superscript"/>
              </w:rPr>
              <w:t>4</w:t>
            </w:r>
          </w:p>
          <w:p w:rsidR="00520E68" w:rsidRPr="008E3F1A" w:rsidRDefault="00520E68" w:rsidP="00F6457B">
            <w:pPr>
              <w:pStyle w:val="TableText0"/>
              <w:keepNext w:val="0"/>
              <w:rPr>
                <w:szCs w:val="20"/>
              </w:rPr>
            </w:pPr>
            <w:r w:rsidRPr="008E3F1A">
              <w:rPr>
                <w:szCs w:val="20"/>
              </w:rPr>
              <w:t xml:space="preserve">Yr 3: </w:t>
            </w:r>
            <w:r w:rsidR="003F2520">
              <w:rPr>
                <w:noProof/>
                <w:color w:val="000000"/>
                <w:szCs w:val="20"/>
                <w:highlight w:val="black"/>
              </w:rPr>
              <w:t>'''''</w:t>
            </w:r>
            <w:r w:rsidR="000345C6">
              <w:rPr>
                <w:szCs w:val="20"/>
                <w:vertAlign w:val="superscript"/>
              </w:rPr>
              <w:t>4</w:t>
            </w:r>
          </w:p>
          <w:p w:rsidR="00520E68" w:rsidRPr="008E3F1A" w:rsidRDefault="00520E68" w:rsidP="00F6457B">
            <w:pPr>
              <w:pStyle w:val="TableText0"/>
              <w:keepNext w:val="0"/>
              <w:rPr>
                <w:szCs w:val="20"/>
              </w:rPr>
            </w:pPr>
            <w:r w:rsidRPr="008E3F1A">
              <w:rPr>
                <w:szCs w:val="20"/>
              </w:rPr>
              <w:t xml:space="preserve">Yr 4: </w:t>
            </w:r>
            <w:r w:rsidR="003F2520">
              <w:rPr>
                <w:noProof/>
                <w:color w:val="000000"/>
                <w:szCs w:val="20"/>
                <w:highlight w:val="black"/>
              </w:rPr>
              <w:t>''''''</w:t>
            </w:r>
            <w:r w:rsidR="000345C6">
              <w:rPr>
                <w:szCs w:val="20"/>
                <w:vertAlign w:val="superscript"/>
              </w:rPr>
              <w:t>4</w:t>
            </w:r>
          </w:p>
          <w:p w:rsidR="00520E68" w:rsidRPr="008E3F1A" w:rsidRDefault="00520E68" w:rsidP="00F6457B">
            <w:pPr>
              <w:pStyle w:val="TableText0"/>
              <w:keepNext w:val="0"/>
              <w:rPr>
                <w:szCs w:val="20"/>
              </w:rPr>
            </w:pPr>
            <w:r w:rsidRPr="008E3F1A">
              <w:rPr>
                <w:szCs w:val="20"/>
              </w:rPr>
              <w:t xml:space="preserve">Yr 5: </w:t>
            </w:r>
            <w:r w:rsidR="003F2520">
              <w:rPr>
                <w:noProof/>
                <w:color w:val="000000"/>
                <w:szCs w:val="20"/>
                <w:highlight w:val="black"/>
              </w:rPr>
              <w:t>''''''</w:t>
            </w:r>
            <w:r w:rsidR="000345C6">
              <w:rPr>
                <w:szCs w:val="20"/>
                <w:vertAlign w:val="superscript"/>
              </w:rPr>
              <w:t>4</w:t>
            </w:r>
          </w:p>
          <w:p w:rsidR="00520E68" w:rsidRPr="008E3F1A" w:rsidRDefault="00520E68" w:rsidP="00F6457B">
            <w:pPr>
              <w:pStyle w:val="TableText0"/>
              <w:keepNext w:val="0"/>
              <w:rPr>
                <w:szCs w:val="20"/>
              </w:rPr>
            </w:pPr>
          </w:p>
        </w:tc>
      </w:tr>
      <w:tr w:rsidR="00520E68" w:rsidRPr="008E3F1A" w:rsidTr="00B40221">
        <w:tc>
          <w:tcPr>
            <w:tcW w:w="1047" w:type="pct"/>
          </w:tcPr>
          <w:p w:rsidR="00520E68" w:rsidRPr="008E3F1A" w:rsidRDefault="00520E68" w:rsidP="001F5A9E">
            <w:pPr>
              <w:pStyle w:val="TableText0"/>
              <w:keepNext w:val="0"/>
              <w:rPr>
                <w:szCs w:val="20"/>
              </w:rPr>
            </w:pPr>
            <w:r w:rsidRPr="008E3F1A">
              <w:rPr>
                <w:szCs w:val="20"/>
              </w:rPr>
              <w:t>Net cost to the PBS/RPBS</w:t>
            </w:r>
          </w:p>
        </w:tc>
        <w:tc>
          <w:tcPr>
            <w:tcW w:w="996" w:type="pct"/>
          </w:tcPr>
          <w:p w:rsidR="00520E68" w:rsidRPr="003F2520" w:rsidRDefault="00520E68" w:rsidP="001F5A9E">
            <w:pPr>
              <w:pStyle w:val="TableText0"/>
              <w:keepNext w:val="0"/>
              <w:rPr>
                <w:szCs w:val="20"/>
              </w:rPr>
            </w:pPr>
            <w:r w:rsidRPr="008E3F1A">
              <w:rPr>
                <w:szCs w:val="20"/>
              </w:rPr>
              <w:t>Yr 1: $</w:t>
            </w:r>
            <w:r w:rsidR="003F2520">
              <w:rPr>
                <w:noProof/>
                <w:color w:val="000000"/>
                <w:szCs w:val="20"/>
                <w:highlight w:val="black"/>
              </w:rPr>
              <w:t>'''''''''''''''''''''</w:t>
            </w:r>
            <w:r w:rsidR="000345C6">
              <w:rPr>
                <w:szCs w:val="20"/>
                <w:vertAlign w:val="superscript"/>
              </w:rPr>
              <w:t>5</w:t>
            </w:r>
          </w:p>
          <w:p w:rsidR="00520E68" w:rsidRPr="008E3F1A" w:rsidRDefault="00520E68" w:rsidP="001F5A9E">
            <w:pPr>
              <w:pStyle w:val="TableText0"/>
              <w:keepNext w:val="0"/>
              <w:rPr>
                <w:szCs w:val="20"/>
              </w:rPr>
            </w:pPr>
            <w:r w:rsidRPr="008E3F1A">
              <w:rPr>
                <w:szCs w:val="20"/>
              </w:rPr>
              <w:t>Yr 2: $</w:t>
            </w:r>
            <w:r w:rsidR="003F2520">
              <w:rPr>
                <w:noProof/>
                <w:color w:val="000000"/>
                <w:szCs w:val="20"/>
                <w:highlight w:val="black"/>
              </w:rPr>
              <w:t>''''''''''''''''''''''</w:t>
            </w:r>
            <w:r w:rsidR="000345C6">
              <w:rPr>
                <w:szCs w:val="20"/>
                <w:vertAlign w:val="superscript"/>
              </w:rPr>
              <w:t>5</w:t>
            </w:r>
          </w:p>
          <w:p w:rsidR="00520E68" w:rsidRPr="008E3F1A" w:rsidRDefault="00520E68" w:rsidP="001F5A9E">
            <w:pPr>
              <w:pStyle w:val="TableText0"/>
              <w:keepNext w:val="0"/>
              <w:rPr>
                <w:szCs w:val="20"/>
              </w:rPr>
            </w:pPr>
            <w:r w:rsidRPr="008E3F1A">
              <w:rPr>
                <w:szCs w:val="20"/>
              </w:rPr>
              <w:t>Yr 3: $</w:t>
            </w:r>
            <w:r w:rsidR="003F2520">
              <w:rPr>
                <w:noProof/>
                <w:color w:val="000000"/>
                <w:szCs w:val="20"/>
                <w:highlight w:val="black"/>
              </w:rPr>
              <w:t>''''''''''''''''''''''''</w:t>
            </w:r>
            <w:r w:rsidR="000345C6">
              <w:rPr>
                <w:szCs w:val="20"/>
                <w:vertAlign w:val="superscript"/>
              </w:rPr>
              <w:t>5</w:t>
            </w:r>
          </w:p>
          <w:p w:rsidR="00520E68" w:rsidRPr="008E3F1A" w:rsidRDefault="00520E68" w:rsidP="001F5A9E">
            <w:pPr>
              <w:pStyle w:val="TableText0"/>
              <w:keepNext w:val="0"/>
              <w:rPr>
                <w:szCs w:val="20"/>
              </w:rPr>
            </w:pPr>
            <w:r w:rsidRPr="008E3F1A">
              <w:rPr>
                <w:szCs w:val="20"/>
              </w:rPr>
              <w:t>Yr 4: $</w:t>
            </w:r>
            <w:r w:rsidR="003F2520">
              <w:rPr>
                <w:noProof/>
                <w:color w:val="000000"/>
                <w:szCs w:val="20"/>
                <w:highlight w:val="black"/>
              </w:rPr>
              <w:t>'''''''''''''''''''''</w:t>
            </w:r>
            <w:r w:rsidR="000345C6">
              <w:rPr>
                <w:szCs w:val="20"/>
                <w:vertAlign w:val="superscript"/>
              </w:rPr>
              <w:t>5</w:t>
            </w:r>
          </w:p>
          <w:p w:rsidR="00520E68" w:rsidRPr="008E3F1A" w:rsidRDefault="00520E68" w:rsidP="001F5A9E">
            <w:pPr>
              <w:pStyle w:val="TableText0"/>
              <w:keepNext w:val="0"/>
              <w:rPr>
                <w:szCs w:val="20"/>
              </w:rPr>
            </w:pPr>
            <w:r w:rsidRPr="008E3F1A">
              <w:rPr>
                <w:szCs w:val="20"/>
              </w:rPr>
              <w:t>Yr 5: $</w:t>
            </w:r>
            <w:r w:rsidR="003F2520">
              <w:rPr>
                <w:noProof/>
                <w:color w:val="000000"/>
                <w:szCs w:val="20"/>
                <w:highlight w:val="black"/>
              </w:rPr>
              <w:t>'''''''''''''''''''''''</w:t>
            </w:r>
            <w:r w:rsidR="000345C6">
              <w:rPr>
                <w:szCs w:val="20"/>
                <w:vertAlign w:val="superscript"/>
              </w:rPr>
              <w:t>5</w:t>
            </w:r>
          </w:p>
          <w:p w:rsidR="00520E68" w:rsidRPr="008E3F1A" w:rsidRDefault="00520E68" w:rsidP="001F5A9E">
            <w:pPr>
              <w:pStyle w:val="TableText0"/>
              <w:keepNext w:val="0"/>
              <w:rPr>
                <w:szCs w:val="20"/>
              </w:rPr>
            </w:pPr>
            <w:r w:rsidRPr="008E3F1A">
              <w:rPr>
                <w:szCs w:val="20"/>
              </w:rPr>
              <w:t>Yr 6: $</w:t>
            </w:r>
            <w:r w:rsidR="003F2520">
              <w:rPr>
                <w:noProof/>
                <w:color w:val="000000"/>
                <w:szCs w:val="20"/>
                <w:highlight w:val="black"/>
              </w:rPr>
              <w:t>''''''''''''''''''''''''</w:t>
            </w:r>
            <w:r w:rsidR="000345C6">
              <w:rPr>
                <w:szCs w:val="20"/>
                <w:vertAlign w:val="superscript"/>
              </w:rPr>
              <w:t>5</w:t>
            </w:r>
          </w:p>
        </w:tc>
        <w:tc>
          <w:tcPr>
            <w:tcW w:w="999" w:type="pct"/>
          </w:tcPr>
          <w:p w:rsidR="00520E68" w:rsidRPr="008E3F1A" w:rsidRDefault="00520E68" w:rsidP="001F5A9E">
            <w:pPr>
              <w:pStyle w:val="TableText0"/>
              <w:keepNext w:val="0"/>
              <w:rPr>
                <w:szCs w:val="20"/>
              </w:rPr>
            </w:pPr>
            <w:r w:rsidRPr="008E3F1A">
              <w:rPr>
                <w:szCs w:val="20"/>
              </w:rPr>
              <w:t>Yr 1: $</w:t>
            </w:r>
            <w:r w:rsidR="003F2520">
              <w:rPr>
                <w:noProof/>
                <w:color w:val="000000"/>
                <w:szCs w:val="20"/>
                <w:highlight w:val="black"/>
              </w:rPr>
              <w:t>''''''''''''''''''''</w:t>
            </w:r>
            <w:r w:rsidR="000345C6">
              <w:rPr>
                <w:szCs w:val="20"/>
                <w:vertAlign w:val="superscript"/>
              </w:rPr>
              <w:t>5</w:t>
            </w:r>
          </w:p>
          <w:p w:rsidR="00520E68" w:rsidRPr="008E3F1A" w:rsidRDefault="00520E68" w:rsidP="001F5A9E">
            <w:pPr>
              <w:pStyle w:val="TableText0"/>
              <w:keepNext w:val="0"/>
              <w:rPr>
                <w:szCs w:val="20"/>
              </w:rPr>
            </w:pPr>
            <w:r w:rsidRPr="008E3F1A">
              <w:rPr>
                <w:szCs w:val="20"/>
              </w:rPr>
              <w:t>Yr 2: $</w:t>
            </w:r>
            <w:r w:rsidR="003F2520">
              <w:rPr>
                <w:noProof/>
                <w:color w:val="000000"/>
                <w:szCs w:val="20"/>
                <w:highlight w:val="black"/>
              </w:rPr>
              <w:t>''''''''''''''''''</w:t>
            </w:r>
            <w:r w:rsidR="000345C6">
              <w:rPr>
                <w:szCs w:val="20"/>
                <w:vertAlign w:val="superscript"/>
              </w:rPr>
              <w:t>5</w:t>
            </w:r>
          </w:p>
          <w:p w:rsidR="00520E68" w:rsidRPr="008E3F1A" w:rsidRDefault="00520E68" w:rsidP="001F5A9E">
            <w:pPr>
              <w:pStyle w:val="TableText0"/>
              <w:keepNext w:val="0"/>
              <w:rPr>
                <w:szCs w:val="20"/>
              </w:rPr>
            </w:pPr>
            <w:r w:rsidRPr="008E3F1A">
              <w:rPr>
                <w:szCs w:val="20"/>
              </w:rPr>
              <w:t>Yr 3: $</w:t>
            </w:r>
            <w:r w:rsidR="003F2520">
              <w:rPr>
                <w:noProof/>
                <w:color w:val="000000"/>
                <w:szCs w:val="20"/>
                <w:highlight w:val="black"/>
              </w:rPr>
              <w:t>''''''''''''''''''</w:t>
            </w:r>
            <w:r w:rsidR="000345C6">
              <w:rPr>
                <w:szCs w:val="20"/>
                <w:vertAlign w:val="superscript"/>
              </w:rPr>
              <w:t>5</w:t>
            </w:r>
          </w:p>
          <w:p w:rsidR="00520E68" w:rsidRPr="008E3F1A" w:rsidRDefault="00520E68" w:rsidP="001F5A9E">
            <w:pPr>
              <w:pStyle w:val="TableText0"/>
              <w:keepNext w:val="0"/>
              <w:rPr>
                <w:szCs w:val="20"/>
              </w:rPr>
            </w:pPr>
            <w:r w:rsidRPr="008E3F1A">
              <w:rPr>
                <w:szCs w:val="20"/>
              </w:rPr>
              <w:t>Yr 4: $</w:t>
            </w:r>
            <w:r w:rsidR="003F2520">
              <w:rPr>
                <w:noProof/>
                <w:color w:val="000000"/>
                <w:szCs w:val="20"/>
                <w:highlight w:val="black"/>
              </w:rPr>
              <w:t>'''''''''''''''''''''</w:t>
            </w:r>
            <w:r w:rsidR="000345C6">
              <w:rPr>
                <w:szCs w:val="20"/>
                <w:vertAlign w:val="superscript"/>
              </w:rPr>
              <w:t>5</w:t>
            </w:r>
          </w:p>
          <w:p w:rsidR="00520E68" w:rsidRPr="008E3F1A" w:rsidRDefault="00520E68" w:rsidP="001F5A9E">
            <w:pPr>
              <w:pStyle w:val="TableText0"/>
              <w:keepNext w:val="0"/>
              <w:rPr>
                <w:szCs w:val="20"/>
              </w:rPr>
            </w:pPr>
            <w:r w:rsidRPr="008E3F1A">
              <w:rPr>
                <w:szCs w:val="20"/>
              </w:rPr>
              <w:t>Yr 5: $</w:t>
            </w:r>
            <w:r w:rsidR="003F2520">
              <w:rPr>
                <w:noProof/>
                <w:color w:val="000000"/>
                <w:szCs w:val="20"/>
                <w:highlight w:val="black"/>
              </w:rPr>
              <w:t>''''''''''''''''''</w:t>
            </w:r>
            <w:r w:rsidR="000345C6">
              <w:rPr>
                <w:szCs w:val="20"/>
                <w:vertAlign w:val="superscript"/>
              </w:rPr>
              <w:t>5</w:t>
            </w:r>
            <w:r w:rsidRPr="008E3F1A">
              <w:rPr>
                <w:szCs w:val="20"/>
              </w:rPr>
              <w:t xml:space="preserve"> </w:t>
            </w:r>
          </w:p>
          <w:p w:rsidR="00520E68" w:rsidRPr="008E3F1A" w:rsidRDefault="00520E68" w:rsidP="001F5A9E">
            <w:pPr>
              <w:pStyle w:val="TableText0"/>
              <w:keepNext w:val="0"/>
              <w:rPr>
                <w:szCs w:val="20"/>
              </w:rPr>
            </w:pPr>
            <w:r w:rsidRPr="008E3F1A">
              <w:rPr>
                <w:szCs w:val="20"/>
              </w:rPr>
              <w:t>Yr 6: $</w:t>
            </w:r>
            <w:r w:rsidR="003F2520">
              <w:rPr>
                <w:noProof/>
                <w:color w:val="000000"/>
                <w:szCs w:val="20"/>
                <w:highlight w:val="black"/>
              </w:rPr>
              <w:t>'''''''''''''''''''''</w:t>
            </w:r>
            <w:r w:rsidR="000345C6">
              <w:rPr>
                <w:szCs w:val="20"/>
                <w:vertAlign w:val="superscript"/>
              </w:rPr>
              <w:t>5</w:t>
            </w:r>
          </w:p>
        </w:tc>
        <w:tc>
          <w:tcPr>
            <w:tcW w:w="1958" w:type="pct"/>
          </w:tcPr>
          <w:p w:rsidR="00520E68" w:rsidRPr="008E3F1A" w:rsidRDefault="00520E68" w:rsidP="001F5A9E">
            <w:pPr>
              <w:pStyle w:val="TableText0"/>
              <w:keepNext w:val="0"/>
              <w:rPr>
                <w:szCs w:val="20"/>
              </w:rPr>
            </w:pPr>
            <w:r w:rsidRPr="008E3F1A">
              <w:rPr>
                <w:szCs w:val="20"/>
              </w:rPr>
              <w:t>Yr 1: $</w:t>
            </w:r>
            <w:r w:rsidR="003F2520">
              <w:rPr>
                <w:noProof/>
                <w:color w:val="000000"/>
                <w:szCs w:val="20"/>
                <w:highlight w:val="black"/>
              </w:rPr>
              <w:t>''''''''''''''''''''''''</w:t>
            </w:r>
            <w:r w:rsidR="000345C6">
              <w:rPr>
                <w:szCs w:val="20"/>
                <w:vertAlign w:val="superscript"/>
              </w:rPr>
              <w:t>5</w:t>
            </w:r>
          </w:p>
          <w:p w:rsidR="00520E68" w:rsidRPr="008E3F1A" w:rsidRDefault="00520E68" w:rsidP="001F5A9E">
            <w:pPr>
              <w:pStyle w:val="TableText0"/>
              <w:keepNext w:val="0"/>
              <w:rPr>
                <w:szCs w:val="20"/>
              </w:rPr>
            </w:pPr>
            <w:r w:rsidRPr="008E3F1A">
              <w:rPr>
                <w:szCs w:val="20"/>
              </w:rPr>
              <w:t xml:space="preserve">Yr 2: </w:t>
            </w:r>
            <w:r w:rsidRPr="008E3F1A">
              <w:rPr>
                <w:rFonts w:cs="Arial"/>
                <w:szCs w:val="20"/>
              </w:rPr>
              <w:t>$</w:t>
            </w:r>
            <w:r w:rsidR="003F2520">
              <w:rPr>
                <w:noProof/>
                <w:color w:val="000000"/>
                <w:szCs w:val="20"/>
                <w:highlight w:val="black"/>
              </w:rPr>
              <w:t>'''''''''''''''''''''''</w:t>
            </w:r>
            <w:r w:rsidR="000345C6">
              <w:rPr>
                <w:szCs w:val="20"/>
                <w:vertAlign w:val="superscript"/>
              </w:rPr>
              <w:t>5</w:t>
            </w:r>
          </w:p>
          <w:p w:rsidR="00520E68" w:rsidRPr="008E3F1A" w:rsidRDefault="00520E68" w:rsidP="001F5A9E">
            <w:pPr>
              <w:pStyle w:val="TableText0"/>
              <w:keepNext w:val="0"/>
              <w:rPr>
                <w:szCs w:val="20"/>
              </w:rPr>
            </w:pPr>
            <w:r w:rsidRPr="008E3F1A">
              <w:rPr>
                <w:szCs w:val="20"/>
              </w:rPr>
              <w:t xml:space="preserve">Yr 3: </w:t>
            </w:r>
            <w:r w:rsidRPr="008E3F1A">
              <w:rPr>
                <w:rFonts w:cs="Arial"/>
                <w:szCs w:val="20"/>
              </w:rPr>
              <w:t>$</w:t>
            </w:r>
            <w:r w:rsidR="003F2520">
              <w:rPr>
                <w:noProof/>
                <w:color w:val="000000"/>
                <w:szCs w:val="20"/>
                <w:highlight w:val="black"/>
              </w:rPr>
              <w:t>'''''''''''''''''''''''''</w:t>
            </w:r>
            <w:r w:rsidR="000345C6">
              <w:rPr>
                <w:szCs w:val="20"/>
                <w:vertAlign w:val="superscript"/>
              </w:rPr>
              <w:t>5</w:t>
            </w:r>
          </w:p>
          <w:p w:rsidR="00520E68" w:rsidRPr="008E3F1A" w:rsidRDefault="00520E68" w:rsidP="001F5A9E">
            <w:pPr>
              <w:pStyle w:val="TableText0"/>
              <w:keepNext w:val="0"/>
              <w:rPr>
                <w:szCs w:val="20"/>
              </w:rPr>
            </w:pPr>
            <w:r w:rsidRPr="008E3F1A">
              <w:rPr>
                <w:szCs w:val="20"/>
              </w:rPr>
              <w:t xml:space="preserve">Yr 4: </w:t>
            </w:r>
            <w:r w:rsidRPr="008E3F1A">
              <w:rPr>
                <w:rFonts w:cs="Arial"/>
                <w:szCs w:val="20"/>
              </w:rPr>
              <w:t>$</w:t>
            </w:r>
            <w:r w:rsidR="003F2520">
              <w:rPr>
                <w:noProof/>
                <w:color w:val="000000"/>
                <w:szCs w:val="20"/>
                <w:highlight w:val="black"/>
              </w:rPr>
              <w:t>''''''''''''''''''''''''</w:t>
            </w:r>
            <w:r w:rsidR="000345C6">
              <w:rPr>
                <w:szCs w:val="20"/>
                <w:vertAlign w:val="superscript"/>
              </w:rPr>
              <w:t>5</w:t>
            </w:r>
          </w:p>
          <w:p w:rsidR="00520E68" w:rsidRPr="008E3F1A" w:rsidRDefault="00520E68" w:rsidP="001F5A9E">
            <w:pPr>
              <w:pStyle w:val="TableText0"/>
              <w:keepNext w:val="0"/>
              <w:rPr>
                <w:szCs w:val="20"/>
              </w:rPr>
            </w:pPr>
            <w:r w:rsidRPr="008E3F1A">
              <w:rPr>
                <w:szCs w:val="20"/>
              </w:rPr>
              <w:t xml:space="preserve">Yr 5: </w:t>
            </w:r>
            <w:r w:rsidRPr="008E3F1A">
              <w:rPr>
                <w:rFonts w:cs="Arial"/>
                <w:szCs w:val="20"/>
              </w:rPr>
              <w:t>$</w:t>
            </w:r>
            <w:r w:rsidR="003F2520">
              <w:rPr>
                <w:noProof/>
                <w:color w:val="000000"/>
                <w:szCs w:val="20"/>
                <w:highlight w:val="black"/>
              </w:rPr>
              <w:t>'''''''''''''''''''''''</w:t>
            </w:r>
            <w:r w:rsidR="000345C6">
              <w:rPr>
                <w:szCs w:val="20"/>
                <w:vertAlign w:val="superscript"/>
              </w:rPr>
              <w:t>5</w:t>
            </w:r>
          </w:p>
          <w:p w:rsidR="00520E68" w:rsidRPr="008E3F1A" w:rsidRDefault="00520E68" w:rsidP="001F5A9E">
            <w:pPr>
              <w:pStyle w:val="TableText0"/>
              <w:keepNext w:val="0"/>
              <w:rPr>
                <w:szCs w:val="20"/>
              </w:rPr>
            </w:pPr>
          </w:p>
        </w:tc>
      </w:tr>
    </w:tbl>
    <w:p w:rsidR="00B01B90" w:rsidRPr="008E3F1A" w:rsidRDefault="006B104F" w:rsidP="00144236">
      <w:pPr>
        <w:pStyle w:val="3-BodyText"/>
        <w:numPr>
          <w:ilvl w:val="0"/>
          <w:numId w:val="0"/>
        </w:numPr>
        <w:spacing w:after="0"/>
        <w:rPr>
          <w:rFonts w:ascii="Arial Narrow" w:hAnsi="Arial Narrow"/>
          <w:sz w:val="18"/>
          <w:szCs w:val="18"/>
        </w:rPr>
      </w:pPr>
      <w:r w:rsidRPr="008E3F1A">
        <w:rPr>
          <w:rFonts w:ascii="Arial Narrow" w:hAnsi="Arial Narrow"/>
          <w:sz w:val="18"/>
          <w:szCs w:val="18"/>
        </w:rPr>
        <w:t>Source:</w:t>
      </w:r>
      <w:r w:rsidR="00292AF9" w:rsidRPr="008E3F1A">
        <w:rPr>
          <w:rFonts w:ascii="Arial Narrow" w:hAnsi="Arial Narrow"/>
          <w:sz w:val="18"/>
          <w:szCs w:val="18"/>
        </w:rPr>
        <w:t xml:space="preserve"> compiled during evaluation from</w:t>
      </w:r>
      <w:r w:rsidRPr="008E3F1A">
        <w:rPr>
          <w:rFonts w:ascii="Arial Narrow" w:hAnsi="Arial Narrow"/>
          <w:sz w:val="18"/>
          <w:szCs w:val="18"/>
        </w:rPr>
        <w:t xml:space="preserve"> brentuximab vedotin</w:t>
      </w:r>
      <w:r w:rsidR="006C1C47">
        <w:rPr>
          <w:rFonts w:ascii="Arial Narrow" w:hAnsi="Arial Narrow"/>
          <w:sz w:val="18"/>
          <w:szCs w:val="18"/>
        </w:rPr>
        <w:t xml:space="preserve"> </w:t>
      </w:r>
      <w:r w:rsidR="002E18CA" w:rsidRPr="002E18CA">
        <w:rPr>
          <w:rFonts w:ascii="Arial Narrow" w:hAnsi="Arial Narrow"/>
          <w:sz w:val="18"/>
          <w:szCs w:val="18"/>
        </w:rPr>
        <w:t xml:space="preserve">Public Summary Document </w:t>
      </w:r>
      <w:r w:rsidR="002E18CA">
        <w:rPr>
          <w:rFonts w:ascii="Arial Narrow" w:hAnsi="Arial Narrow"/>
          <w:sz w:val="18"/>
          <w:szCs w:val="18"/>
        </w:rPr>
        <w:t>(</w:t>
      </w:r>
      <w:r w:rsidR="006C1C47">
        <w:rPr>
          <w:rFonts w:ascii="Arial Narrow" w:hAnsi="Arial Narrow"/>
          <w:sz w:val="18"/>
          <w:szCs w:val="18"/>
        </w:rPr>
        <w:t>PSD</w:t>
      </w:r>
      <w:r w:rsidR="002E18CA">
        <w:rPr>
          <w:rFonts w:ascii="Arial Narrow" w:hAnsi="Arial Narrow"/>
          <w:sz w:val="18"/>
          <w:szCs w:val="18"/>
        </w:rPr>
        <w:t>)</w:t>
      </w:r>
      <w:r w:rsidRPr="008E3F1A">
        <w:rPr>
          <w:rFonts w:ascii="Arial Narrow" w:hAnsi="Arial Narrow"/>
          <w:sz w:val="18"/>
          <w:szCs w:val="18"/>
        </w:rPr>
        <w:t xml:space="preserve">, March 2014 and July 2014 PBAC meeting; </w:t>
      </w:r>
      <w:r w:rsidR="00E951DE" w:rsidRPr="008E3F1A">
        <w:rPr>
          <w:rFonts w:ascii="Arial Narrow" w:hAnsi="Arial Narrow"/>
          <w:sz w:val="18"/>
          <w:szCs w:val="18"/>
        </w:rPr>
        <w:t xml:space="preserve">BV+CHP </w:t>
      </w:r>
      <w:r w:rsidR="00292AF9" w:rsidRPr="008E3F1A">
        <w:rPr>
          <w:rFonts w:ascii="Arial Narrow" w:hAnsi="Arial Narrow"/>
          <w:sz w:val="18"/>
          <w:szCs w:val="18"/>
        </w:rPr>
        <w:t>submission March 2021.</w:t>
      </w:r>
    </w:p>
    <w:p w:rsidR="00292AF9" w:rsidRDefault="00292AF9" w:rsidP="00D623A6">
      <w:pPr>
        <w:rPr>
          <w:rFonts w:ascii="Arial Narrow" w:hAnsi="Arial Narrow"/>
          <w:snapToGrid w:val="0"/>
          <w:sz w:val="18"/>
          <w:szCs w:val="18"/>
        </w:rPr>
      </w:pPr>
      <w:r w:rsidRPr="008E3F1A">
        <w:rPr>
          <w:rFonts w:ascii="Arial Narrow" w:hAnsi="Arial Narrow"/>
          <w:snapToGrid w:val="0"/>
          <w:sz w:val="18"/>
          <w:szCs w:val="18"/>
        </w:rPr>
        <w:t xml:space="preserve">BV+CHP = brentuximab vedotin with cyclophosphamide, doxorubicin and prednisone; CHOP = cyclophosphamide, doxorubicin, vincristine and prednisone; CI=confidence interval; </w:t>
      </w:r>
      <w:r w:rsidR="00E31C7B" w:rsidRPr="008E3F1A">
        <w:rPr>
          <w:rFonts w:ascii="Arial Narrow" w:hAnsi="Arial Narrow"/>
          <w:snapToGrid w:val="0"/>
          <w:sz w:val="18"/>
          <w:szCs w:val="18"/>
        </w:rPr>
        <w:t xml:space="preserve">CUA = cost utility analysis; </w:t>
      </w:r>
      <w:r w:rsidR="002C5FDE" w:rsidRPr="008E3F1A">
        <w:rPr>
          <w:rFonts w:ascii="Arial Narrow" w:hAnsi="Arial Narrow"/>
          <w:snapToGrid w:val="0"/>
          <w:sz w:val="18"/>
          <w:szCs w:val="18"/>
        </w:rPr>
        <w:t xml:space="preserve">DCR= disease control rate; </w:t>
      </w:r>
      <w:r w:rsidR="00077A7F" w:rsidRPr="008E3F1A">
        <w:rPr>
          <w:rFonts w:ascii="Arial Narrow" w:hAnsi="Arial Narrow"/>
          <w:snapToGrid w:val="0"/>
          <w:sz w:val="18"/>
          <w:szCs w:val="18"/>
        </w:rPr>
        <w:t xml:space="preserve">HR = hazard ratio; </w:t>
      </w:r>
      <w:r w:rsidR="002C5FDE" w:rsidRPr="008E3F1A">
        <w:rPr>
          <w:rFonts w:ascii="Arial Narrow" w:hAnsi="Arial Narrow"/>
          <w:snapToGrid w:val="0"/>
          <w:sz w:val="18"/>
          <w:szCs w:val="18"/>
        </w:rPr>
        <w:t xml:space="preserve">HRQoL = health related quality of life; </w:t>
      </w:r>
      <w:r w:rsidR="00E31C7B" w:rsidRPr="008E3F1A">
        <w:rPr>
          <w:rFonts w:ascii="Arial Narrow" w:hAnsi="Arial Narrow"/>
          <w:snapToGrid w:val="0"/>
          <w:sz w:val="18"/>
          <w:szCs w:val="18"/>
        </w:rPr>
        <w:t>NR = not reported;</w:t>
      </w:r>
      <w:r w:rsidR="002C5FDE" w:rsidRPr="008E3F1A">
        <w:rPr>
          <w:rFonts w:ascii="Arial Narrow" w:hAnsi="Arial Narrow"/>
          <w:snapToGrid w:val="0"/>
          <w:sz w:val="18"/>
          <w:szCs w:val="18"/>
        </w:rPr>
        <w:t xml:space="preserve"> ORR = objective response rate; </w:t>
      </w:r>
      <w:r w:rsidRPr="008E3F1A">
        <w:rPr>
          <w:rFonts w:ascii="Arial Narrow" w:hAnsi="Arial Narrow"/>
          <w:snapToGrid w:val="0"/>
          <w:sz w:val="18"/>
          <w:szCs w:val="18"/>
        </w:rPr>
        <w:t>OS=overall survival;</w:t>
      </w:r>
      <w:r w:rsidR="00E31C7B" w:rsidRPr="008E3F1A">
        <w:rPr>
          <w:rFonts w:ascii="Arial Narrow" w:hAnsi="Arial Narrow"/>
          <w:snapToGrid w:val="0"/>
          <w:sz w:val="18"/>
          <w:szCs w:val="18"/>
        </w:rPr>
        <w:t xml:space="preserve"> </w:t>
      </w:r>
      <w:r w:rsidR="00E31C7B" w:rsidRPr="008E3F1A">
        <w:rPr>
          <w:rFonts w:ascii="Arial Narrow" w:hAnsi="Arial Narrow"/>
          <w:sz w:val="18"/>
          <w:szCs w:val="18"/>
        </w:rPr>
        <w:t>PBS = Pharmaceutical Benefits Scheme;</w:t>
      </w:r>
      <w:r w:rsidRPr="008E3F1A">
        <w:rPr>
          <w:rFonts w:ascii="Arial Narrow" w:hAnsi="Arial Narrow"/>
          <w:snapToGrid w:val="0"/>
          <w:sz w:val="18"/>
          <w:szCs w:val="18"/>
        </w:rPr>
        <w:t xml:space="preserve"> PFS=progression free survival; PRO = patient reported outcomes;  PTCL = peripheral T-cell lymphoma;</w:t>
      </w:r>
      <w:r w:rsidR="00E31C7B" w:rsidRPr="008E3F1A">
        <w:rPr>
          <w:rFonts w:ascii="Arial Narrow" w:hAnsi="Arial Narrow"/>
          <w:snapToGrid w:val="0"/>
          <w:sz w:val="18"/>
          <w:szCs w:val="18"/>
        </w:rPr>
        <w:t xml:space="preserve"> QALY = quality Adjusted Life Years; </w:t>
      </w:r>
      <w:r w:rsidR="00C5485A" w:rsidRPr="008E3F1A">
        <w:rPr>
          <w:rFonts w:ascii="Arial Narrow" w:hAnsi="Arial Narrow"/>
          <w:snapToGrid w:val="0"/>
          <w:sz w:val="18"/>
          <w:szCs w:val="18"/>
        </w:rPr>
        <w:t>RCT = randomised control</w:t>
      </w:r>
      <w:r w:rsidR="004E4311" w:rsidRPr="008E3F1A">
        <w:rPr>
          <w:rFonts w:ascii="Arial Narrow" w:hAnsi="Arial Narrow"/>
          <w:snapToGrid w:val="0"/>
          <w:sz w:val="18"/>
          <w:szCs w:val="18"/>
        </w:rPr>
        <w:t xml:space="preserve"> trial; </w:t>
      </w:r>
      <w:r w:rsidR="00E31C7B" w:rsidRPr="008E3F1A">
        <w:rPr>
          <w:rFonts w:ascii="Arial Narrow" w:hAnsi="Arial Narrow"/>
          <w:snapToGrid w:val="0"/>
          <w:sz w:val="18"/>
          <w:szCs w:val="18"/>
        </w:rPr>
        <w:t>R</w:t>
      </w:r>
      <w:r w:rsidR="00E31C7B" w:rsidRPr="008E3F1A">
        <w:rPr>
          <w:rFonts w:ascii="Arial Narrow" w:hAnsi="Arial Narrow"/>
          <w:sz w:val="18"/>
          <w:szCs w:val="18"/>
        </w:rPr>
        <w:t>PBS = Repatriated Pharmaceutical Benefits Scheme;</w:t>
      </w:r>
      <w:r w:rsidRPr="008E3F1A">
        <w:rPr>
          <w:rFonts w:ascii="Arial Narrow" w:hAnsi="Arial Narrow"/>
          <w:snapToGrid w:val="0"/>
          <w:sz w:val="18"/>
          <w:szCs w:val="18"/>
        </w:rPr>
        <w:t xml:space="preserve"> sALCL = systemic anaplastic large cell lymphom</w:t>
      </w:r>
      <w:r w:rsidR="00D623A6" w:rsidRPr="008E3F1A">
        <w:rPr>
          <w:rFonts w:ascii="Arial Narrow" w:hAnsi="Arial Narrow"/>
          <w:snapToGrid w:val="0"/>
          <w:sz w:val="18"/>
          <w:szCs w:val="18"/>
        </w:rPr>
        <w:t>a.</w:t>
      </w:r>
    </w:p>
    <w:p w:rsidR="000345C6" w:rsidRDefault="000345C6" w:rsidP="00D623A6">
      <w:pPr>
        <w:rPr>
          <w:rFonts w:ascii="Arial Narrow" w:hAnsi="Arial Narrow"/>
          <w:i/>
          <w:snapToGrid w:val="0"/>
          <w:sz w:val="18"/>
          <w:szCs w:val="18"/>
        </w:rPr>
      </w:pPr>
      <w:r w:rsidRPr="000345C6">
        <w:rPr>
          <w:rFonts w:ascii="Arial Narrow" w:hAnsi="Arial Narrow"/>
          <w:i/>
          <w:snapToGrid w:val="0"/>
          <w:sz w:val="18"/>
          <w:szCs w:val="18"/>
        </w:rPr>
        <w:t>The redacted values correspond to the following ranges:</w:t>
      </w:r>
    </w:p>
    <w:p w:rsidR="000345C6" w:rsidRPr="000345C6" w:rsidRDefault="000345C6" w:rsidP="000345C6">
      <w:pPr>
        <w:rPr>
          <w:rFonts w:ascii="Arial Narrow" w:hAnsi="Arial Narrow"/>
          <w:i/>
          <w:snapToGrid w:val="0"/>
          <w:sz w:val="18"/>
          <w:szCs w:val="18"/>
        </w:rPr>
      </w:pPr>
      <w:r>
        <w:rPr>
          <w:rFonts w:ascii="Arial Narrow" w:hAnsi="Arial Narrow"/>
          <w:i/>
          <w:snapToGrid w:val="0"/>
          <w:sz w:val="18"/>
          <w:szCs w:val="18"/>
          <w:vertAlign w:val="superscript"/>
        </w:rPr>
        <w:t xml:space="preserve">1 </w:t>
      </w:r>
      <w:r w:rsidRPr="000345C6">
        <w:rPr>
          <w:rFonts w:ascii="Arial Narrow" w:hAnsi="Arial Narrow"/>
          <w:i/>
          <w:snapToGrid w:val="0"/>
          <w:sz w:val="18"/>
          <w:szCs w:val="18"/>
        </w:rPr>
        <w:t>$25,000 to &lt; $35,000</w:t>
      </w:r>
    </w:p>
    <w:p w:rsidR="000345C6" w:rsidRDefault="000345C6" w:rsidP="000345C6">
      <w:pPr>
        <w:rPr>
          <w:rFonts w:ascii="Arial Narrow" w:hAnsi="Arial Narrow"/>
          <w:i/>
          <w:snapToGrid w:val="0"/>
          <w:sz w:val="18"/>
          <w:szCs w:val="18"/>
        </w:rPr>
      </w:pPr>
      <w:r>
        <w:rPr>
          <w:rFonts w:ascii="Arial Narrow" w:hAnsi="Arial Narrow"/>
          <w:i/>
          <w:snapToGrid w:val="0"/>
          <w:sz w:val="18"/>
          <w:szCs w:val="18"/>
          <w:vertAlign w:val="superscript"/>
        </w:rPr>
        <w:t xml:space="preserve">2 </w:t>
      </w:r>
      <w:r w:rsidRPr="000345C6">
        <w:rPr>
          <w:rFonts w:ascii="Arial Narrow" w:hAnsi="Arial Narrow"/>
          <w:i/>
          <w:snapToGrid w:val="0"/>
          <w:sz w:val="18"/>
          <w:szCs w:val="18"/>
        </w:rPr>
        <w:t>$35,000 to &lt; $45,000</w:t>
      </w:r>
    </w:p>
    <w:p w:rsidR="000345C6" w:rsidRDefault="000345C6" w:rsidP="000345C6">
      <w:pPr>
        <w:rPr>
          <w:rFonts w:ascii="Arial Narrow" w:hAnsi="Arial Narrow"/>
          <w:i/>
          <w:snapToGrid w:val="0"/>
          <w:sz w:val="18"/>
          <w:szCs w:val="18"/>
        </w:rPr>
      </w:pPr>
      <w:r>
        <w:rPr>
          <w:rFonts w:ascii="Arial Narrow" w:hAnsi="Arial Narrow"/>
          <w:i/>
          <w:snapToGrid w:val="0"/>
          <w:sz w:val="18"/>
          <w:szCs w:val="18"/>
          <w:vertAlign w:val="superscript"/>
        </w:rPr>
        <w:t xml:space="preserve">3 </w:t>
      </w:r>
      <w:r w:rsidRPr="000345C6">
        <w:rPr>
          <w:rFonts w:ascii="Arial Narrow" w:hAnsi="Arial Narrow"/>
          <w:i/>
          <w:snapToGrid w:val="0"/>
          <w:sz w:val="18"/>
          <w:szCs w:val="18"/>
        </w:rPr>
        <w:t>$55,000 to &lt; $75,000</w:t>
      </w:r>
    </w:p>
    <w:p w:rsidR="000345C6" w:rsidRDefault="000345C6" w:rsidP="000345C6">
      <w:pPr>
        <w:rPr>
          <w:rFonts w:ascii="Arial Narrow" w:hAnsi="Arial Narrow"/>
          <w:i/>
          <w:snapToGrid w:val="0"/>
          <w:sz w:val="18"/>
          <w:szCs w:val="18"/>
        </w:rPr>
      </w:pPr>
      <w:r>
        <w:rPr>
          <w:rFonts w:ascii="Arial Narrow" w:hAnsi="Arial Narrow"/>
          <w:i/>
          <w:snapToGrid w:val="0"/>
          <w:sz w:val="18"/>
          <w:szCs w:val="18"/>
          <w:vertAlign w:val="superscript"/>
        </w:rPr>
        <w:t xml:space="preserve">4 </w:t>
      </w:r>
      <w:r w:rsidRPr="000345C6">
        <w:rPr>
          <w:rFonts w:ascii="Arial Narrow" w:hAnsi="Arial Narrow"/>
          <w:i/>
          <w:snapToGrid w:val="0"/>
          <w:sz w:val="18"/>
          <w:szCs w:val="18"/>
        </w:rPr>
        <w:t>&lt; 500</w:t>
      </w:r>
    </w:p>
    <w:p w:rsidR="000345C6" w:rsidRPr="000345C6" w:rsidRDefault="000345C6" w:rsidP="000345C6">
      <w:pPr>
        <w:rPr>
          <w:rFonts w:ascii="Arial Narrow" w:hAnsi="Arial Narrow"/>
          <w:i/>
          <w:snapToGrid w:val="0"/>
          <w:sz w:val="18"/>
          <w:szCs w:val="18"/>
        </w:rPr>
      </w:pPr>
      <w:r>
        <w:rPr>
          <w:rFonts w:ascii="Arial Narrow" w:hAnsi="Arial Narrow"/>
          <w:i/>
          <w:snapToGrid w:val="0"/>
          <w:sz w:val="18"/>
          <w:szCs w:val="18"/>
          <w:vertAlign w:val="superscript"/>
        </w:rPr>
        <w:t xml:space="preserve">5 </w:t>
      </w:r>
      <w:r w:rsidRPr="000345C6">
        <w:rPr>
          <w:rFonts w:ascii="Arial Narrow" w:hAnsi="Arial Narrow"/>
          <w:i/>
          <w:snapToGrid w:val="0"/>
          <w:sz w:val="18"/>
          <w:szCs w:val="18"/>
        </w:rPr>
        <w:t>$0 to &lt; $10 million</w:t>
      </w:r>
    </w:p>
    <w:p w:rsidR="00C16A99" w:rsidRPr="008E3F1A" w:rsidRDefault="00C16A99" w:rsidP="00D623A6">
      <w:pPr>
        <w:rPr>
          <w:rFonts w:ascii="Arial Narrow" w:hAnsi="Arial Narrow"/>
          <w:snapToGrid w:val="0"/>
          <w:sz w:val="18"/>
          <w:szCs w:val="18"/>
        </w:rPr>
      </w:pPr>
    </w:p>
    <w:p w:rsidR="00C16A99" w:rsidRPr="008E3F1A" w:rsidRDefault="00C16A99" w:rsidP="00C16A99">
      <w:pPr>
        <w:tabs>
          <w:tab w:val="center" w:pos="4153"/>
          <w:tab w:val="right" w:pos="8306"/>
        </w:tabs>
        <w:autoSpaceDE w:val="0"/>
        <w:autoSpaceDN w:val="0"/>
        <w:adjustRightInd w:val="0"/>
        <w:spacing w:after="120"/>
        <w:ind w:firstLine="709"/>
        <w:rPr>
          <w:rFonts w:asciiTheme="minorHAnsi" w:hAnsiTheme="minorHAnsi" w:cs="Times New Roman"/>
          <w:i/>
          <w:iCs/>
        </w:rPr>
      </w:pPr>
      <w:r w:rsidRPr="008E3F1A">
        <w:rPr>
          <w:rFonts w:asciiTheme="minorHAnsi" w:hAnsiTheme="minorHAnsi" w:cs="Times New Roman"/>
          <w:i/>
          <w:iCs/>
        </w:rPr>
        <w:t>For more detail on PBAC’s view, see section 7 PBAC outcome.</w:t>
      </w:r>
    </w:p>
    <w:p w:rsidR="00B60939" w:rsidRPr="008E3F1A" w:rsidRDefault="00B50DB8" w:rsidP="004E18E9">
      <w:pPr>
        <w:pStyle w:val="2-SectionHeading"/>
      </w:pPr>
      <w:bookmarkStart w:id="6" w:name="_Toc62055087"/>
      <w:r w:rsidRPr="008E3F1A">
        <w:lastRenderedPageBreak/>
        <w:t>Requested listing</w:t>
      </w:r>
      <w:bookmarkEnd w:id="6"/>
    </w:p>
    <w:p w:rsidR="00A44180" w:rsidRPr="008E3F1A" w:rsidRDefault="00151561" w:rsidP="00A44180">
      <w:pPr>
        <w:pStyle w:val="3-BodyText"/>
      </w:pPr>
      <w:r w:rsidRPr="008E3F1A">
        <w:t xml:space="preserve">The requested listing </w:t>
      </w:r>
      <w:r w:rsidR="002E4DB1" w:rsidRPr="008E3F1A">
        <w:t xml:space="preserve">for BV </w:t>
      </w:r>
      <w:r w:rsidR="00E821C5" w:rsidRPr="008E3F1A">
        <w:t xml:space="preserve">as proposed in the submission is </w:t>
      </w:r>
      <w:r w:rsidRPr="008E3F1A">
        <w:t xml:space="preserve">summarised below. </w:t>
      </w:r>
      <w:r w:rsidR="00A44180" w:rsidRPr="008E3F1A">
        <w:t>Suggestions and additions proposed by the Secretariat are added in italics and suggested deletions are crossed out with strikethrough.</w:t>
      </w:r>
    </w:p>
    <w:p w:rsidR="00A44180" w:rsidRPr="008E3F1A" w:rsidRDefault="00A44180" w:rsidP="00A44180">
      <w:pPr>
        <w:pStyle w:val="3-BodyText"/>
        <w:numPr>
          <w:ilvl w:val="0"/>
          <w:numId w:val="0"/>
        </w:num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6"/>
        <w:gridCol w:w="1560"/>
        <w:gridCol w:w="1276"/>
        <w:gridCol w:w="850"/>
        <w:gridCol w:w="709"/>
        <w:gridCol w:w="2126"/>
        <w:gridCol w:w="1559"/>
      </w:tblGrid>
      <w:tr w:rsidR="00A44180" w:rsidRPr="008E3F1A" w:rsidTr="00A44180">
        <w:trPr>
          <w:cantSplit/>
          <w:trHeight w:val="471"/>
        </w:trPr>
        <w:tc>
          <w:tcPr>
            <w:tcW w:w="2547" w:type="dxa"/>
            <w:gridSpan w:val="3"/>
          </w:tcPr>
          <w:p w:rsidR="00A44180" w:rsidRPr="008E3F1A" w:rsidRDefault="00A44180" w:rsidP="00241BD3">
            <w:pPr>
              <w:keepNext/>
              <w:rPr>
                <w:rFonts w:ascii="Arial Narrow" w:hAnsi="Arial Narrow"/>
                <w:b/>
                <w:sz w:val="18"/>
                <w:szCs w:val="18"/>
              </w:rPr>
            </w:pPr>
            <w:r w:rsidRPr="008E3F1A">
              <w:rPr>
                <w:rFonts w:ascii="Arial Narrow" w:hAnsi="Arial Narrow"/>
                <w:b/>
                <w:sz w:val="18"/>
                <w:szCs w:val="18"/>
              </w:rPr>
              <w:t>MEDICINAL PRODUCT</w:t>
            </w:r>
          </w:p>
          <w:p w:rsidR="00A44180" w:rsidRPr="008E3F1A" w:rsidRDefault="00A44180" w:rsidP="00241BD3">
            <w:pPr>
              <w:keepNext/>
              <w:rPr>
                <w:rFonts w:ascii="Arial Narrow" w:hAnsi="Arial Narrow"/>
                <w:b/>
                <w:sz w:val="18"/>
                <w:szCs w:val="18"/>
              </w:rPr>
            </w:pPr>
            <w:r w:rsidRPr="008E3F1A">
              <w:rPr>
                <w:rFonts w:ascii="Arial Narrow" w:hAnsi="Arial Narrow"/>
                <w:b/>
                <w:sz w:val="18"/>
                <w:szCs w:val="18"/>
              </w:rPr>
              <w:t>Form</w:t>
            </w:r>
          </w:p>
        </w:tc>
        <w:tc>
          <w:tcPr>
            <w:tcW w:w="1276" w:type="dxa"/>
          </w:tcPr>
          <w:p w:rsidR="00A44180" w:rsidRPr="008E3F1A" w:rsidRDefault="00A44180" w:rsidP="00241BD3">
            <w:pPr>
              <w:keepNext/>
              <w:ind w:left="-108"/>
              <w:jc w:val="center"/>
              <w:rPr>
                <w:rFonts w:ascii="Arial Narrow" w:hAnsi="Arial Narrow"/>
                <w:b/>
                <w:sz w:val="18"/>
                <w:szCs w:val="18"/>
              </w:rPr>
            </w:pPr>
            <w:r w:rsidRPr="008E3F1A">
              <w:rPr>
                <w:rFonts w:ascii="Arial Narrow" w:hAnsi="Arial Narrow"/>
                <w:b/>
                <w:sz w:val="18"/>
                <w:szCs w:val="18"/>
              </w:rPr>
              <w:t>PBS item code</w:t>
            </w:r>
          </w:p>
        </w:tc>
        <w:tc>
          <w:tcPr>
            <w:tcW w:w="850" w:type="dxa"/>
          </w:tcPr>
          <w:p w:rsidR="00A44180" w:rsidRPr="008E3F1A" w:rsidRDefault="00A44180" w:rsidP="00241BD3">
            <w:pPr>
              <w:keepNext/>
              <w:ind w:left="-108"/>
              <w:jc w:val="center"/>
              <w:rPr>
                <w:rFonts w:ascii="Arial Narrow" w:hAnsi="Arial Narrow"/>
                <w:b/>
                <w:sz w:val="18"/>
                <w:szCs w:val="18"/>
              </w:rPr>
            </w:pPr>
            <w:r w:rsidRPr="008E3F1A">
              <w:rPr>
                <w:rFonts w:ascii="Arial Narrow" w:hAnsi="Arial Narrow"/>
                <w:b/>
                <w:sz w:val="18"/>
                <w:szCs w:val="18"/>
              </w:rPr>
              <w:t>Max.</w:t>
            </w:r>
          </w:p>
          <w:p w:rsidR="00A44180" w:rsidRPr="008E3F1A" w:rsidRDefault="00A44180" w:rsidP="00241BD3">
            <w:pPr>
              <w:keepNext/>
              <w:ind w:left="-108"/>
              <w:jc w:val="center"/>
              <w:rPr>
                <w:rFonts w:ascii="Arial Narrow" w:hAnsi="Arial Narrow"/>
                <w:b/>
                <w:sz w:val="18"/>
                <w:szCs w:val="18"/>
              </w:rPr>
            </w:pPr>
            <w:r w:rsidRPr="008E3F1A">
              <w:rPr>
                <w:rFonts w:ascii="Arial Narrow" w:hAnsi="Arial Narrow"/>
                <w:b/>
                <w:sz w:val="18"/>
                <w:szCs w:val="18"/>
              </w:rPr>
              <w:t>Amount</w:t>
            </w:r>
          </w:p>
        </w:tc>
        <w:tc>
          <w:tcPr>
            <w:tcW w:w="709" w:type="dxa"/>
          </w:tcPr>
          <w:p w:rsidR="00A44180" w:rsidRPr="008E3F1A" w:rsidRDefault="00A44180" w:rsidP="00241BD3">
            <w:pPr>
              <w:keepNext/>
              <w:ind w:left="-108"/>
              <w:jc w:val="center"/>
              <w:rPr>
                <w:rFonts w:ascii="Arial Narrow" w:hAnsi="Arial Narrow"/>
                <w:b/>
                <w:sz w:val="18"/>
                <w:szCs w:val="18"/>
              </w:rPr>
            </w:pPr>
            <w:r w:rsidRPr="008E3F1A">
              <w:rPr>
                <w:rFonts w:ascii="Arial Narrow" w:hAnsi="Arial Narrow"/>
                <w:b/>
                <w:sz w:val="18"/>
                <w:szCs w:val="18"/>
              </w:rPr>
              <w:t>№.of</w:t>
            </w:r>
          </w:p>
          <w:p w:rsidR="00A44180" w:rsidRPr="008E3F1A" w:rsidRDefault="00A44180" w:rsidP="00241BD3">
            <w:pPr>
              <w:keepNext/>
              <w:ind w:left="-108"/>
              <w:jc w:val="center"/>
              <w:rPr>
                <w:rFonts w:ascii="Arial Narrow" w:hAnsi="Arial Narrow"/>
                <w:b/>
                <w:sz w:val="18"/>
                <w:szCs w:val="18"/>
              </w:rPr>
            </w:pPr>
            <w:r w:rsidRPr="008E3F1A">
              <w:rPr>
                <w:rFonts w:ascii="Arial Narrow" w:hAnsi="Arial Narrow"/>
                <w:b/>
                <w:sz w:val="18"/>
                <w:szCs w:val="18"/>
              </w:rPr>
              <w:t>Rpts</w:t>
            </w:r>
          </w:p>
        </w:tc>
        <w:tc>
          <w:tcPr>
            <w:tcW w:w="2126" w:type="dxa"/>
          </w:tcPr>
          <w:p w:rsidR="00A44180" w:rsidRPr="008E3F1A" w:rsidRDefault="00A44180" w:rsidP="00241BD3">
            <w:pPr>
              <w:keepNext/>
              <w:ind w:left="-108"/>
              <w:jc w:val="center"/>
              <w:rPr>
                <w:rFonts w:ascii="Arial Narrow" w:hAnsi="Arial Narrow"/>
                <w:b/>
                <w:sz w:val="18"/>
                <w:szCs w:val="18"/>
              </w:rPr>
            </w:pPr>
            <w:r w:rsidRPr="008E3F1A">
              <w:rPr>
                <w:rFonts w:ascii="Arial Narrow" w:hAnsi="Arial Narrow"/>
                <w:b/>
                <w:sz w:val="18"/>
                <w:szCs w:val="18"/>
              </w:rPr>
              <w:t>Dispensed Price for Max. Amt</w:t>
            </w:r>
          </w:p>
        </w:tc>
        <w:tc>
          <w:tcPr>
            <w:tcW w:w="1559" w:type="dxa"/>
          </w:tcPr>
          <w:p w:rsidR="00A44180" w:rsidRPr="008E3F1A" w:rsidRDefault="00A44180" w:rsidP="00241BD3">
            <w:pPr>
              <w:keepNext/>
              <w:rPr>
                <w:rFonts w:ascii="Arial Narrow" w:hAnsi="Arial Narrow"/>
                <w:b/>
                <w:sz w:val="18"/>
                <w:szCs w:val="18"/>
              </w:rPr>
            </w:pPr>
            <w:r w:rsidRPr="008E3F1A">
              <w:rPr>
                <w:rFonts w:ascii="Arial Narrow" w:hAnsi="Arial Narrow"/>
                <w:b/>
                <w:sz w:val="18"/>
                <w:szCs w:val="18"/>
              </w:rPr>
              <w:t>Manufacturer</w:t>
            </w:r>
          </w:p>
        </w:tc>
      </w:tr>
      <w:tr w:rsidR="00A44180" w:rsidRPr="008E3F1A" w:rsidTr="00A44180">
        <w:trPr>
          <w:cantSplit/>
          <w:trHeight w:val="577"/>
        </w:trPr>
        <w:tc>
          <w:tcPr>
            <w:tcW w:w="2547" w:type="dxa"/>
            <w:gridSpan w:val="3"/>
          </w:tcPr>
          <w:p w:rsidR="00A44180" w:rsidRPr="008E3F1A" w:rsidRDefault="00A44180" w:rsidP="00241BD3">
            <w:pPr>
              <w:pStyle w:val="TableText0"/>
              <w:rPr>
                <w:rFonts w:ascii="Arial" w:hAnsi="Arial"/>
                <w:sz w:val="18"/>
                <w:szCs w:val="18"/>
              </w:rPr>
            </w:pPr>
            <w:r w:rsidRPr="008E3F1A">
              <w:rPr>
                <w:rFonts w:ascii="Arial" w:hAnsi="Arial"/>
                <w:sz w:val="18"/>
                <w:szCs w:val="18"/>
              </w:rPr>
              <w:t xml:space="preserve">BRENTUXIMAB VEDOTIN </w:t>
            </w:r>
          </w:p>
          <w:p w:rsidR="00A44180" w:rsidRPr="008E3F1A" w:rsidRDefault="00A44180" w:rsidP="00241BD3">
            <w:pPr>
              <w:keepNext/>
              <w:rPr>
                <w:rFonts w:ascii="Arial Narrow" w:hAnsi="Arial Narrow"/>
                <w:sz w:val="18"/>
                <w:szCs w:val="18"/>
              </w:rPr>
            </w:pPr>
            <w:r w:rsidRPr="008E3F1A">
              <w:rPr>
                <w:rFonts w:ascii="Arial Narrow" w:hAnsi="Arial Narrow" w:cs="Arial Narrow"/>
                <w:sz w:val="18"/>
                <w:szCs w:val="18"/>
              </w:rPr>
              <w:t>Injection</w:t>
            </w:r>
          </w:p>
        </w:tc>
        <w:tc>
          <w:tcPr>
            <w:tcW w:w="1276" w:type="dxa"/>
          </w:tcPr>
          <w:p w:rsidR="00A44180" w:rsidRPr="008E3F1A" w:rsidRDefault="00A44180" w:rsidP="00A44180">
            <w:pPr>
              <w:keepNext/>
              <w:jc w:val="center"/>
              <w:rPr>
                <w:rFonts w:ascii="Arial Narrow" w:hAnsi="Arial Narrow"/>
                <w:sz w:val="18"/>
                <w:szCs w:val="18"/>
              </w:rPr>
            </w:pPr>
            <w:r w:rsidRPr="008E3F1A">
              <w:rPr>
                <w:rFonts w:ascii="Arial Narrow" w:hAnsi="Arial Narrow"/>
                <w:sz w:val="18"/>
                <w:szCs w:val="18"/>
              </w:rPr>
              <w:t>NEW (Public)</w:t>
            </w:r>
            <w:r w:rsidRPr="008E3F1A">
              <w:rPr>
                <w:rFonts w:ascii="Arial Narrow" w:hAnsi="Arial Narrow"/>
                <w:sz w:val="18"/>
                <w:szCs w:val="18"/>
              </w:rPr>
              <w:br/>
              <w:t>NEW (Private)</w:t>
            </w:r>
          </w:p>
        </w:tc>
        <w:tc>
          <w:tcPr>
            <w:tcW w:w="850" w:type="dxa"/>
          </w:tcPr>
          <w:p w:rsidR="00A44180" w:rsidRPr="008E3F1A" w:rsidRDefault="00A44180" w:rsidP="00241BD3">
            <w:pPr>
              <w:keepNext/>
              <w:jc w:val="center"/>
              <w:rPr>
                <w:rFonts w:ascii="Arial Narrow" w:hAnsi="Arial Narrow"/>
                <w:sz w:val="18"/>
                <w:szCs w:val="18"/>
              </w:rPr>
            </w:pPr>
            <w:r w:rsidRPr="008E3F1A">
              <w:rPr>
                <w:rFonts w:ascii="Arial Narrow" w:hAnsi="Arial Narrow"/>
                <w:sz w:val="18"/>
                <w:szCs w:val="18"/>
              </w:rPr>
              <w:t>200 mg</w:t>
            </w:r>
          </w:p>
        </w:tc>
        <w:tc>
          <w:tcPr>
            <w:tcW w:w="709" w:type="dxa"/>
          </w:tcPr>
          <w:p w:rsidR="00A44180" w:rsidRPr="008E3F1A" w:rsidRDefault="00A44180" w:rsidP="00241BD3">
            <w:pPr>
              <w:keepNext/>
              <w:jc w:val="center"/>
              <w:rPr>
                <w:rFonts w:ascii="Arial Narrow" w:hAnsi="Arial Narrow"/>
                <w:sz w:val="18"/>
                <w:szCs w:val="18"/>
              </w:rPr>
            </w:pPr>
            <w:r w:rsidRPr="008E3F1A">
              <w:rPr>
                <w:rFonts w:ascii="Arial Narrow" w:hAnsi="Arial Narrow"/>
                <w:sz w:val="18"/>
                <w:szCs w:val="18"/>
              </w:rPr>
              <w:t>5</w:t>
            </w:r>
          </w:p>
        </w:tc>
        <w:tc>
          <w:tcPr>
            <w:tcW w:w="2126" w:type="dxa"/>
          </w:tcPr>
          <w:p w:rsidR="00A44180" w:rsidRPr="008E3F1A" w:rsidRDefault="00A44180" w:rsidP="00A44180">
            <w:pPr>
              <w:keepNext/>
              <w:jc w:val="center"/>
              <w:rPr>
                <w:rFonts w:ascii="Arial Narrow" w:hAnsi="Arial Narrow"/>
                <w:sz w:val="18"/>
                <w:szCs w:val="18"/>
              </w:rPr>
            </w:pPr>
            <w:r w:rsidRPr="008E3F1A">
              <w:rPr>
                <w:rFonts w:ascii="Arial Narrow" w:hAnsi="Arial Narrow"/>
                <w:sz w:val="18"/>
                <w:szCs w:val="18"/>
              </w:rPr>
              <w:t>Published prices:</w:t>
            </w:r>
          </w:p>
          <w:p w:rsidR="00A44180" w:rsidRPr="008E3F1A" w:rsidRDefault="00A44180" w:rsidP="00A44180">
            <w:pPr>
              <w:keepNext/>
              <w:jc w:val="center"/>
              <w:rPr>
                <w:rFonts w:ascii="Arial Narrow" w:hAnsi="Arial Narrow"/>
                <w:sz w:val="18"/>
                <w:szCs w:val="18"/>
              </w:rPr>
            </w:pPr>
            <w:r w:rsidRPr="008E3F1A">
              <w:rPr>
                <w:rFonts w:ascii="Arial Narrow" w:hAnsi="Arial Narrow"/>
                <w:sz w:val="18"/>
                <w:szCs w:val="18"/>
              </w:rPr>
              <w:t>Public hospital - $18,705.78</w:t>
            </w:r>
          </w:p>
          <w:p w:rsidR="00A44180" w:rsidRPr="008E3F1A" w:rsidRDefault="00A44180" w:rsidP="00A44180">
            <w:pPr>
              <w:keepNext/>
              <w:jc w:val="center"/>
              <w:rPr>
                <w:rFonts w:ascii="Arial Narrow" w:hAnsi="Arial Narrow"/>
                <w:sz w:val="18"/>
                <w:szCs w:val="18"/>
              </w:rPr>
            </w:pPr>
            <w:r w:rsidRPr="008E3F1A">
              <w:rPr>
                <w:rFonts w:ascii="Arial Narrow" w:hAnsi="Arial Narrow"/>
                <w:sz w:val="18"/>
                <w:szCs w:val="18"/>
              </w:rPr>
              <w:t>Private hospital - $19,007.09</w:t>
            </w:r>
          </w:p>
          <w:p w:rsidR="00A44180" w:rsidRPr="008E3F1A" w:rsidRDefault="00A44180" w:rsidP="00A44180">
            <w:pPr>
              <w:keepNext/>
              <w:jc w:val="center"/>
              <w:rPr>
                <w:rFonts w:ascii="Arial Narrow" w:hAnsi="Arial Narrow"/>
                <w:sz w:val="18"/>
                <w:szCs w:val="18"/>
              </w:rPr>
            </w:pPr>
          </w:p>
          <w:p w:rsidR="00A44180" w:rsidRPr="008E3F1A" w:rsidRDefault="00A44180" w:rsidP="00A44180">
            <w:pPr>
              <w:keepNext/>
              <w:jc w:val="center"/>
              <w:rPr>
                <w:rFonts w:ascii="Arial Narrow" w:hAnsi="Arial Narrow"/>
                <w:sz w:val="18"/>
                <w:szCs w:val="18"/>
              </w:rPr>
            </w:pPr>
            <w:r w:rsidRPr="008E3F1A">
              <w:rPr>
                <w:rFonts w:ascii="Arial Narrow" w:hAnsi="Arial Narrow"/>
                <w:sz w:val="18"/>
                <w:szCs w:val="18"/>
              </w:rPr>
              <w:t>Effective prices:</w:t>
            </w:r>
          </w:p>
          <w:p w:rsidR="00A44180" w:rsidRPr="008E3F1A" w:rsidRDefault="00A44180" w:rsidP="00A44180">
            <w:pPr>
              <w:keepNext/>
              <w:jc w:val="center"/>
              <w:rPr>
                <w:rFonts w:ascii="Arial Narrow" w:hAnsi="Arial Narrow"/>
                <w:sz w:val="18"/>
                <w:szCs w:val="18"/>
              </w:rPr>
            </w:pPr>
            <w:r w:rsidRPr="008E3F1A">
              <w:rPr>
                <w:rFonts w:ascii="Arial Narrow" w:hAnsi="Arial Narrow"/>
                <w:sz w:val="18"/>
                <w:szCs w:val="18"/>
              </w:rPr>
              <w:t>Public hospital- $</w:t>
            </w:r>
            <w:r w:rsidR="003F2520">
              <w:rPr>
                <w:rFonts w:ascii="Arial Narrow" w:hAnsi="Arial Narrow"/>
                <w:noProof/>
                <w:color w:val="000000"/>
                <w:sz w:val="18"/>
                <w:szCs w:val="18"/>
                <w:highlight w:val="black"/>
              </w:rPr>
              <w:t>''''''''''''''''''''''''</w:t>
            </w:r>
          </w:p>
          <w:p w:rsidR="00A44180" w:rsidRPr="008E3F1A" w:rsidRDefault="00A44180" w:rsidP="00A44180">
            <w:pPr>
              <w:keepNext/>
              <w:jc w:val="center"/>
              <w:rPr>
                <w:rFonts w:ascii="Arial Narrow" w:hAnsi="Arial Narrow"/>
                <w:sz w:val="18"/>
                <w:szCs w:val="18"/>
              </w:rPr>
            </w:pPr>
            <w:r w:rsidRPr="008E3F1A">
              <w:rPr>
                <w:rFonts w:ascii="Arial Narrow" w:hAnsi="Arial Narrow"/>
                <w:sz w:val="18"/>
                <w:szCs w:val="18"/>
              </w:rPr>
              <w:t>Private hospital - $</w:t>
            </w:r>
            <w:r w:rsidR="003F2520">
              <w:rPr>
                <w:rFonts w:ascii="Arial Narrow" w:hAnsi="Arial Narrow"/>
                <w:noProof/>
                <w:color w:val="000000"/>
                <w:sz w:val="18"/>
                <w:szCs w:val="18"/>
                <w:highlight w:val="black"/>
              </w:rPr>
              <w:t>''''''''''''''''''''''</w:t>
            </w:r>
          </w:p>
        </w:tc>
        <w:tc>
          <w:tcPr>
            <w:tcW w:w="1559" w:type="dxa"/>
          </w:tcPr>
          <w:p w:rsidR="00A44180" w:rsidRPr="008E3F1A" w:rsidRDefault="00A44180" w:rsidP="00241BD3">
            <w:pPr>
              <w:keepNext/>
              <w:rPr>
                <w:rFonts w:ascii="Arial Narrow" w:hAnsi="Arial Narrow"/>
                <w:sz w:val="18"/>
                <w:szCs w:val="18"/>
              </w:rPr>
            </w:pPr>
            <w:r w:rsidRPr="008E3F1A">
              <w:rPr>
                <w:rFonts w:ascii="Arial Narrow" w:hAnsi="Arial Narrow" w:cs="Arial Narrow"/>
                <w:sz w:val="18"/>
                <w:szCs w:val="18"/>
              </w:rPr>
              <w:t>Takeda Pharmaceuticals Australia Pty Ltd</w:t>
            </w:r>
          </w:p>
        </w:tc>
      </w:tr>
      <w:tr w:rsidR="00A44180" w:rsidRPr="008E3F1A" w:rsidTr="00241BD3">
        <w:trPr>
          <w:cantSplit/>
          <w:trHeight w:val="225"/>
        </w:trPr>
        <w:tc>
          <w:tcPr>
            <w:tcW w:w="9067" w:type="dxa"/>
            <w:gridSpan w:val="8"/>
          </w:tcPr>
          <w:p w:rsidR="00A44180" w:rsidRPr="008E3F1A" w:rsidRDefault="00A44180" w:rsidP="00241BD3">
            <w:pPr>
              <w:keepNext/>
              <w:rPr>
                <w:rFonts w:ascii="Arial Narrow" w:hAnsi="Arial Narrow"/>
                <w:b/>
                <w:sz w:val="18"/>
                <w:szCs w:val="18"/>
              </w:rPr>
            </w:pPr>
            <w:r w:rsidRPr="008E3F1A">
              <w:rPr>
                <w:rFonts w:ascii="Arial Narrow" w:hAnsi="Arial Narrow"/>
                <w:b/>
                <w:sz w:val="18"/>
                <w:szCs w:val="18"/>
              </w:rPr>
              <w:t>Available brands</w:t>
            </w:r>
          </w:p>
        </w:tc>
      </w:tr>
      <w:tr w:rsidR="00A44180" w:rsidRPr="008E3F1A" w:rsidTr="00241BD3">
        <w:trPr>
          <w:cantSplit/>
          <w:trHeight w:val="360"/>
        </w:trPr>
        <w:tc>
          <w:tcPr>
            <w:tcW w:w="9067" w:type="dxa"/>
            <w:gridSpan w:val="8"/>
          </w:tcPr>
          <w:p w:rsidR="00A44180" w:rsidRPr="008E3F1A" w:rsidRDefault="00A44180" w:rsidP="00241BD3">
            <w:pPr>
              <w:rPr>
                <w:rFonts w:ascii="Arial Narrow" w:hAnsi="Arial Narrow"/>
                <w:sz w:val="18"/>
                <w:szCs w:val="18"/>
              </w:rPr>
            </w:pPr>
            <w:r w:rsidRPr="008E3F1A">
              <w:rPr>
                <w:rFonts w:ascii="Arial Narrow" w:hAnsi="Arial Narrow"/>
                <w:sz w:val="18"/>
                <w:szCs w:val="18"/>
              </w:rPr>
              <w:t>Adcetris</w:t>
            </w:r>
          </w:p>
          <w:p w:rsidR="00A44180" w:rsidRPr="008E3F1A" w:rsidRDefault="00A44180" w:rsidP="00241BD3">
            <w:pPr>
              <w:rPr>
                <w:rFonts w:ascii="Arial Narrow" w:hAnsi="Arial Narrow"/>
                <w:sz w:val="18"/>
                <w:szCs w:val="18"/>
              </w:rPr>
            </w:pPr>
            <w:r w:rsidRPr="008E3F1A">
              <w:rPr>
                <w:rFonts w:ascii="Arial Narrow" w:hAnsi="Arial Narrow"/>
                <w:sz w:val="18"/>
                <w:szCs w:val="18"/>
              </w:rPr>
              <w:t>(brentuximab vedotin 50 mg injection, 1 vial)</w:t>
            </w:r>
          </w:p>
        </w:tc>
      </w:tr>
      <w:tr w:rsidR="00A44180" w:rsidRPr="008E3F1A" w:rsidTr="00241BD3">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rsidR="00A44180" w:rsidRPr="008E3F1A" w:rsidRDefault="00A44180" w:rsidP="00241BD3">
            <w:pPr>
              <w:ind w:left="57"/>
              <w:rPr>
                <w:rFonts w:ascii="Arial Narrow" w:hAnsi="Arial Narrow"/>
                <w:b/>
                <w:sz w:val="18"/>
                <w:szCs w:val="18"/>
              </w:rPr>
            </w:pPr>
            <w:r w:rsidRPr="008E3F1A">
              <w:rPr>
                <w:rFonts w:ascii="Arial Narrow" w:hAnsi="Arial Narrow"/>
                <w:b/>
                <w:sz w:val="18"/>
                <w:szCs w:val="18"/>
              </w:rPr>
              <w:t>Restriction Summary [new] / Treatment of Concept: [new]</w:t>
            </w:r>
          </w:p>
        </w:tc>
      </w:tr>
      <w:tr w:rsidR="00A44180" w:rsidRPr="008E3F1A" w:rsidTr="00241BD3">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rsidR="00A44180" w:rsidRPr="008E3F1A" w:rsidRDefault="00A44180" w:rsidP="00241BD3">
            <w:pPr>
              <w:rPr>
                <w:rFonts w:ascii="Arial Narrow" w:hAnsi="Arial Narrow"/>
                <w:i/>
                <w:sz w:val="18"/>
                <w:szCs w:val="18"/>
              </w:rPr>
            </w:pPr>
          </w:p>
          <w:p w:rsidR="00A44180" w:rsidRPr="008E3F1A" w:rsidRDefault="00A44180" w:rsidP="00241BD3">
            <w:pPr>
              <w:rPr>
                <w:rFonts w:ascii="Arial Narrow" w:hAnsi="Arial Narrow"/>
                <w:i/>
                <w:sz w:val="18"/>
                <w:szCs w:val="18"/>
              </w:rPr>
            </w:pPr>
          </w:p>
          <w:p w:rsidR="00A44180" w:rsidRPr="008E3F1A" w:rsidRDefault="00A44180" w:rsidP="00241BD3">
            <w:pPr>
              <w:rPr>
                <w:rFonts w:ascii="Arial Narrow" w:hAnsi="Arial Narrow"/>
                <w:b/>
                <w:sz w:val="18"/>
                <w:szCs w:val="18"/>
              </w:rPr>
            </w:pPr>
          </w:p>
        </w:tc>
        <w:tc>
          <w:tcPr>
            <w:tcW w:w="8086" w:type="dxa"/>
            <w:gridSpan w:val="7"/>
            <w:tcBorders>
              <w:top w:val="single" w:sz="4" w:space="0" w:color="auto"/>
              <w:left w:val="single" w:sz="4" w:space="0" w:color="auto"/>
              <w:bottom w:val="single" w:sz="4" w:space="0" w:color="auto"/>
              <w:right w:val="single" w:sz="4" w:space="0" w:color="auto"/>
            </w:tcBorders>
          </w:tcPr>
          <w:p w:rsidR="00A44180" w:rsidRPr="008E3F1A" w:rsidRDefault="00A44180" w:rsidP="00241BD3">
            <w:pPr>
              <w:rPr>
                <w:rFonts w:ascii="Arial Narrow" w:hAnsi="Arial Narrow"/>
                <w:sz w:val="18"/>
                <w:szCs w:val="18"/>
              </w:rPr>
            </w:pPr>
            <w:r w:rsidRPr="008E3F1A">
              <w:rPr>
                <w:rFonts w:ascii="Arial Narrow" w:hAnsi="Arial Narrow"/>
                <w:b/>
                <w:sz w:val="18"/>
                <w:szCs w:val="18"/>
              </w:rPr>
              <w:t xml:space="preserve">Category / Program: </w:t>
            </w:r>
            <w:r w:rsidRPr="008E3F1A">
              <w:rPr>
                <w:rFonts w:ascii="Arial Narrow" w:hAnsi="Arial Narrow"/>
                <w:sz w:val="18"/>
                <w:szCs w:val="18"/>
              </w:rPr>
              <w:t xml:space="preserve">Section 100 – Efficient Funding of Chemotherapy Public/Private hospitals </w:t>
            </w:r>
          </w:p>
        </w:tc>
      </w:tr>
      <w:tr w:rsidR="00A44180" w:rsidRPr="008E3F1A" w:rsidTr="00241BD3">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rsidR="00A44180" w:rsidRPr="008E3F1A" w:rsidRDefault="00A44180" w:rsidP="00241BD3">
            <w:pPr>
              <w:rPr>
                <w:rFonts w:ascii="Arial Narrow" w:hAnsi="Arial Narrow"/>
                <w:sz w:val="18"/>
                <w:szCs w:val="18"/>
              </w:rPr>
            </w:pPr>
          </w:p>
        </w:tc>
        <w:tc>
          <w:tcPr>
            <w:tcW w:w="8086" w:type="dxa"/>
            <w:gridSpan w:val="7"/>
            <w:tcBorders>
              <w:top w:val="single" w:sz="4" w:space="0" w:color="auto"/>
              <w:left w:val="single" w:sz="4" w:space="0" w:color="auto"/>
              <w:bottom w:val="single" w:sz="4" w:space="0" w:color="auto"/>
              <w:right w:val="single" w:sz="4" w:space="0" w:color="auto"/>
            </w:tcBorders>
          </w:tcPr>
          <w:p w:rsidR="00A44180" w:rsidRPr="008E3F1A" w:rsidRDefault="00A44180" w:rsidP="00241BD3">
            <w:pPr>
              <w:rPr>
                <w:rFonts w:ascii="Arial Narrow" w:hAnsi="Arial Narrow"/>
                <w:b/>
                <w:sz w:val="18"/>
                <w:szCs w:val="18"/>
              </w:rPr>
            </w:pPr>
            <w:r w:rsidRPr="008E3F1A">
              <w:rPr>
                <w:rFonts w:ascii="Arial Narrow" w:hAnsi="Arial Narrow"/>
                <w:b/>
                <w:sz w:val="18"/>
                <w:szCs w:val="18"/>
              </w:rPr>
              <w:t xml:space="preserve">Prescriber type:   </w:t>
            </w:r>
            <w:r w:rsidRPr="008E3F1A">
              <w:rPr>
                <w:rFonts w:ascii="Arial Narrow" w:hAnsi="Arial Narrow"/>
                <w:sz w:val="18"/>
                <w:szCs w:val="18"/>
              </w:rPr>
              <w:fldChar w:fldCharType="begin">
                <w:ffData>
                  <w:name w:val=""/>
                  <w:enabled/>
                  <w:calcOnExit w:val="0"/>
                  <w:checkBox>
                    <w:sizeAuto/>
                    <w:default w:val="1"/>
                  </w:checkBox>
                </w:ffData>
              </w:fldChar>
            </w:r>
            <w:r w:rsidRPr="008E3F1A">
              <w:rPr>
                <w:rFonts w:ascii="Arial Narrow" w:hAnsi="Arial Narrow"/>
                <w:sz w:val="18"/>
                <w:szCs w:val="18"/>
              </w:rPr>
              <w:instrText xml:space="preserve"> FORMCHECKBOX </w:instrText>
            </w:r>
            <w:r w:rsidR="00DC3953">
              <w:rPr>
                <w:rFonts w:ascii="Arial Narrow" w:hAnsi="Arial Narrow"/>
                <w:sz w:val="18"/>
                <w:szCs w:val="18"/>
              </w:rPr>
            </w:r>
            <w:r w:rsidR="00DC3953">
              <w:rPr>
                <w:rFonts w:ascii="Arial Narrow" w:hAnsi="Arial Narrow"/>
                <w:sz w:val="18"/>
                <w:szCs w:val="18"/>
              </w:rPr>
              <w:fldChar w:fldCharType="separate"/>
            </w:r>
            <w:r w:rsidRPr="008E3F1A">
              <w:rPr>
                <w:rFonts w:ascii="Arial Narrow" w:hAnsi="Arial Narrow"/>
                <w:sz w:val="18"/>
                <w:szCs w:val="18"/>
              </w:rPr>
              <w:fldChar w:fldCharType="end"/>
            </w:r>
            <w:r w:rsidRPr="008E3F1A">
              <w:rPr>
                <w:rFonts w:ascii="Arial Narrow" w:hAnsi="Arial Narrow"/>
                <w:sz w:val="18"/>
                <w:szCs w:val="18"/>
              </w:rPr>
              <w:t xml:space="preserve"> Medical Practitioners </w:t>
            </w:r>
          </w:p>
        </w:tc>
      </w:tr>
      <w:tr w:rsidR="00A44180" w:rsidRPr="008E3F1A" w:rsidTr="00241BD3">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rsidR="00A44180" w:rsidRPr="008E3F1A" w:rsidRDefault="00A44180" w:rsidP="00241BD3">
            <w:pPr>
              <w:rPr>
                <w:rFonts w:ascii="Arial Narrow" w:hAnsi="Arial Narrow"/>
                <w:sz w:val="18"/>
                <w:szCs w:val="18"/>
              </w:rPr>
            </w:pPr>
          </w:p>
        </w:tc>
        <w:tc>
          <w:tcPr>
            <w:tcW w:w="8086" w:type="dxa"/>
            <w:gridSpan w:val="7"/>
            <w:tcBorders>
              <w:top w:val="single" w:sz="4" w:space="0" w:color="auto"/>
              <w:left w:val="single" w:sz="4" w:space="0" w:color="auto"/>
              <w:bottom w:val="single" w:sz="4" w:space="0" w:color="auto"/>
              <w:right w:val="single" w:sz="4" w:space="0" w:color="auto"/>
            </w:tcBorders>
          </w:tcPr>
          <w:p w:rsidR="00A44180" w:rsidRPr="008E3F1A" w:rsidRDefault="00A44180" w:rsidP="00241BD3">
            <w:pPr>
              <w:rPr>
                <w:rFonts w:ascii="Arial Narrow" w:hAnsi="Arial Narrow"/>
                <w:b/>
                <w:sz w:val="18"/>
                <w:szCs w:val="18"/>
              </w:rPr>
            </w:pPr>
            <w:r w:rsidRPr="008E3F1A">
              <w:rPr>
                <w:rFonts w:ascii="Arial Narrow" w:hAnsi="Arial Narrow"/>
                <w:b/>
                <w:sz w:val="18"/>
                <w:szCs w:val="18"/>
              </w:rPr>
              <w:t>Restriction type:</w:t>
            </w:r>
          </w:p>
          <w:p w:rsidR="00A44180" w:rsidRPr="008E3F1A" w:rsidRDefault="00A44180" w:rsidP="00241BD3">
            <w:pPr>
              <w:rPr>
                <w:rFonts w:ascii="Arial Narrow" w:eastAsia="Calibri" w:hAnsi="Arial Narrow"/>
                <w:sz w:val="18"/>
                <w:szCs w:val="18"/>
              </w:rPr>
            </w:pPr>
            <w:r w:rsidRPr="008E3F1A">
              <w:rPr>
                <w:rFonts w:ascii="Arial Narrow" w:eastAsia="Calibri" w:hAnsi="Arial Narrow"/>
                <w:sz w:val="18"/>
                <w:szCs w:val="18"/>
              </w:rPr>
              <w:fldChar w:fldCharType="begin">
                <w:ffData>
                  <w:name w:val="Check1"/>
                  <w:enabled/>
                  <w:calcOnExit w:val="0"/>
                  <w:checkBox>
                    <w:sizeAuto/>
                    <w:default w:val="0"/>
                  </w:checkBox>
                </w:ffData>
              </w:fldChar>
            </w:r>
            <w:r w:rsidRPr="008E3F1A">
              <w:rPr>
                <w:rFonts w:ascii="Arial Narrow" w:eastAsia="Calibri" w:hAnsi="Arial Narrow"/>
                <w:sz w:val="18"/>
                <w:szCs w:val="18"/>
              </w:rPr>
              <w:instrText xml:space="preserve"> FORMCHECKBOX </w:instrText>
            </w:r>
            <w:r w:rsidR="00DC3953">
              <w:rPr>
                <w:rFonts w:ascii="Arial Narrow" w:eastAsia="Calibri" w:hAnsi="Arial Narrow"/>
                <w:sz w:val="18"/>
                <w:szCs w:val="18"/>
              </w:rPr>
            </w:r>
            <w:r w:rsidR="00DC3953">
              <w:rPr>
                <w:rFonts w:ascii="Arial Narrow" w:eastAsia="Calibri" w:hAnsi="Arial Narrow"/>
                <w:sz w:val="18"/>
                <w:szCs w:val="18"/>
              </w:rPr>
              <w:fldChar w:fldCharType="separate"/>
            </w:r>
            <w:r w:rsidRPr="008E3F1A">
              <w:rPr>
                <w:rFonts w:ascii="Arial Narrow" w:eastAsia="Calibri" w:hAnsi="Arial Narrow"/>
                <w:sz w:val="18"/>
                <w:szCs w:val="18"/>
              </w:rPr>
              <w:fldChar w:fldCharType="end"/>
            </w:r>
            <w:r w:rsidRPr="008E3F1A">
              <w:rPr>
                <w:rFonts w:ascii="Arial Narrow" w:eastAsia="Calibri" w:hAnsi="Arial Narrow"/>
                <w:sz w:val="18"/>
                <w:szCs w:val="18"/>
              </w:rPr>
              <w:t>Unrestricted benefit</w:t>
            </w:r>
          </w:p>
          <w:p w:rsidR="00A44180" w:rsidRPr="008E3F1A" w:rsidRDefault="00A44180" w:rsidP="00241BD3">
            <w:pPr>
              <w:rPr>
                <w:rFonts w:ascii="Arial Narrow" w:eastAsia="Calibri" w:hAnsi="Arial Narrow"/>
                <w:sz w:val="18"/>
                <w:szCs w:val="18"/>
              </w:rPr>
            </w:pPr>
            <w:r w:rsidRPr="008E3F1A">
              <w:rPr>
                <w:rFonts w:ascii="Arial Narrow" w:eastAsia="Calibri" w:hAnsi="Arial Narrow"/>
                <w:sz w:val="18"/>
                <w:szCs w:val="18"/>
              </w:rPr>
              <w:fldChar w:fldCharType="begin">
                <w:ffData>
                  <w:name w:val="Check1"/>
                  <w:enabled/>
                  <w:calcOnExit w:val="0"/>
                  <w:checkBox>
                    <w:sizeAuto/>
                    <w:default w:val="0"/>
                  </w:checkBox>
                </w:ffData>
              </w:fldChar>
            </w:r>
            <w:r w:rsidRPr="008E3F1A">
              <w:rPr>
                <w:rFonts w:ascii="Arial Narrow" w:eastAsia="Calibri" w:hAnsi="Arial Narrow"/>
                <w:sz w:val="18"/>
                <w:szCs w:val="18"/>
              </w:rPr>
              <w:instrText xml:space="preserve"> FORMCHECKBOX </w:instrText>
            </w:r>
            <w:r w:rsidR="00DC3953">
              <w:rPr>
                <w:rFonts w:ascii="Arial Narrow" w:eastAsia="Calibri" w:hAnsi="Arial Narrow"/>
                <w:sz w:val="18"/>
                <w:szCs w:val="18"/>
              </w:rPr>
            </w:r>
            <w:r w:rsidR="00DC3953">
              <w:rPr>
                <w:rFonts w:ascii="Arial Narrow" w:eastAsia="Calibri" w:hAnsi="Arial Narrow"/>
                <w:sz w:val="18"/>
                <w:szCs w:val="18"/>
              </w:rPr>
              <w:fldChar w:fldCharType="separate"/>
            </w:r>
            <w:r w:rsidRPr="008E3F1A">
              <w:rPr>
                <w:rFonts w:ascii="Arial Narrow" w:eastAsia="Calibri" w:hAnsi="Arial Narrow"/>
                <w:sz w:val="18"/>
                <w:szCs w:val="18"/>
              </w:rPr>
              <w:fldChar w:fldCharType="end"/>
            </w:r>
            <w:r w:rsidRPr="008E3F1A">
              <w:rPr>
                <w:rFonts w:ascii="Arial Narrow" w:eastAsia="Calibri" w:hAnsi="Arial Narrow"/>
                <w:sz w:val="18"/>
                <w:szCs w:val="18"/>
              </w:rPr>
              <w:t>Restricted benefit</w:t>
            </w:r>
          </w:p>
          <w:p w:rsidR="00A44180" w:rsidRPr="008E3F1A" w:rsidRDefault="00A44180" w:rsidP="00241BD3">
            <w:pPr>
              <w:rPr>
                <w:rFonts w:ascii="Arial Narrow" w:eastAsia="Calibri" w:hAnsi="Arial Narrow"/>
                <w:strike/>
                <w:color w:val="FF00FF"/>
                <w:sz w:val="18"/>
                <w:szCs w:val="18"/>
              </w:rPr>
            </w:pPr>
            <w:r w:rsidRPr="008E3F1A">
              <w:rPr>
                <w:rFonts w:ascii="Arial Narrow" w:eastAsia="Calibri" w:hAnsi="Arial Narrow"/>
                <w:sz w:val="18"/>
                <w:szCs w:val="18"/>
              </w:rPr>
              <w:fldChar w:fldCharType="begin">
                <w:ffData>
                  <w:name w:val=""/>
                  <w:enabled/>
                  <w:calcOnExit w:val="0"/>
                  <w:checkBox>
                    <w:sizeAuto/>
                    <w:default w:val="1"/>
                  </w:checkBox>
                </w:ffData>
              </w:fldChar>
            </w:r>
            <w:r w:rsidRPr="008E3F1A">
              <w:rPr>
                <w:rFonts w:ascii="Arial Narrow" w:eastAsia="Calibri" w:hAnsi="Arial Narrow"/>
                <w:sz w:val="18"/>
                <w:szCs w:val="18"/>
              </w:rPr>
              <w:instrText xml:space="preserve"> FORMCHECKBOX </w:instrText>
            </w:r>
            <w:r w:rsidR="00DC3953">
              <w:rPr>
                <w:rFonts w:ascii="Arial Narrow" w:eastAsia="Calibri" w:hAnsi="Arial Narrow"/>
                <w:sz w:val="18"/>
                <w:szCs w:val="18"/>
              </w:rPr>
            </w:r>
            <w:r w:rsidR="00DC3953">
              <w:rPr>
                <w:rFonts w:ascii="Arial Narrow" w:eastAsia="Calibri" w:hAnsi="Arial Narrow"/>
                <w:sz w:val="18"/>
                <w:szCs w:val="18"/>
              </w:rPr>
              <w:fldChar w:fldCharType="separate"/>
            </w:r>
            <w:r w:rsidRPr="008E3F1A">
              <w:rPr>
                <w:rFonts w:ascii="Arial Narrow" w:eastAsia="Calibri" w:hAnsi="Arial Narrow"/>
                <w:sz w:val="18"/>
                <w:szCs w:val="18"/>
              </w:rPr>
              <w:fldChar w:fldCharType="end"/>
            </w:r>
            <w:r w:rsidRPr="008E3F1A">
              <w:rPr>
                <w:rFonts w:ascii="Arial Narrow" w:eastAsia="Calibri" w:hAnsi="Arial Narrow"/>
                <w:strike/>
                <w:sz w:val="18"/>
                <w:szCs w:val="18"/>
              </w:rPr>
              <w:t>Authority Required – Streamlined [new/existing code]</w:t>
            </w:r>
          </w:p>
          <w:p w:rsidR="00A44180" w:rsidRPr="008E3F1A" w:rsidRDefault="00A44180" w:rsidP="00241BD3">
            <w:pPr>
              <w:rPr>
                <w:rFonts w:ascii="Arial Narrow" w:eastAsia="Calibri" w:hAnsi="Arial Narrow"/>
                <w:sz w:val="18"/>
                <w:szCs w:val="18"/>
              </w:rPr>
            </w:pPr>
            <w:r w:rsidRPr="008E3F1A">
              <w:rPr>
                <w:rFonts w:ascii="Arial Narrow" w:eastAsia="Calibri" w:hAnsi="Arial Narrow"/>
                <w:sz w:val="18"/>
                <w:szCs w:val="18"/>
              </w:rPr>
              <w:fldChar w:fldCharType="begin">
                <w:ffData>
                  <w:name w:val="Check3"/>
                  <w:enabled/>
                  <w:calcOnExit w:val="0"/>
                  <w:checkBox>
                    <w:sizeAuto/>
                    <w:default w:val="0"/>
                  </w:checkBox>
                </w:ffData>
              </w:fldChar>
            </w:r>
            <w:r w:rsidRPr="008E3F1A">
              <w:rPr>
                <w:rFonts w:ascii="Arial Narrow" w:eastAsia="Calibri" w:hAnsi="Arial Narrow"/>
                <w:sz w:val="18"/>
                <w:szCs w:val="18"/>
              </w:rPr>
              <w:instrText xml:space="preserve"> FORMCHECKBOX </w:instrText>
            </w:r>
            <w:r w:rsidR="00DC3953">
              <w:rPr>
                <w:rFonts w:ascii="Arial Narrow" w:eastAsia="Calibri" w:hAnsi="Arial Narrow"/>
                <w:sz w:val="18"/>
                <w:szCs w:val="18"/>
              </w:rPr>
            </w:r>
            <w:r w:rsidR="00DC3953">
              <w:rPr>
                <w:rFonts w:ascii="Arial Narrow" w:eastAsia="Calibri" w:hAnsi="Arial Narrow"/>
                <w:sz w:val="18"/>
                <w:szCs w:val="18"/>
              </w:rPr>
              <w:fldChar w:fldCharType="separate"/>
            </w:r>
            <w:r w:rsidRPr="008E3F1A">
              <w:rPr>
                <w:rFonts w:ascii="Arial Narrow" w:eastAsia="Calibri" w:hAnsi="Arial Narrow"/>
                <w:sz w:val="18"/>
                <w:szCs w:val="18"/>
              </w:rPr>
              <w:fldChar w:fldCharType="end"/>
            </w:r>
            <w:r w:rsidRPr="008E3F1A">
              <w:rPr>
                <w:rFonts w:ascii="Arial Narrow" w:eastAsia="Calibri" w:hAnsi="Arial Narrow"/>
                <w:sz w:val="18"/>
                <w:szCs w:val="18"/>
              </w:rPr>
              <w:t>Authority Required – immediate/real-time assessment by Services Australia (telephone/electronic)</w:t>
            </w:r>
          </w:p>
          <w:p w:rsidR="00A44180" w:rsidRPr="008E3F1A" w:rsidRDefault="00A44180" w:rsidP="00241BD3">
            <w:pPr>
              <w:rPr>
                <w:rFonts w:ascii="Arial Narrow" w:eastAsia="Calibri" w:hAnsi="Arial Narrow"/>
                <w:color w:val="FF00FF"/>
                <w:sz w:val="18"/>
                <w:szCs w:val="18"/>
              </w:rPr>
            </w:pPr>
            <w:r w:rsidRPr="008E3F1A">
              <w:rPr>
                <w:rFonts w:ascii="Arial Narrow" w:eastAsia="Calibri" w:hAnsi="Arial Narrow"/>
                <w:sz w:val="18"/>
                <w:szCs w:val="18"/>
              </w:rPr>
              <w:fldChar w:fldCharType="begin">
                <w:ffData>
                  <w:name w:val=""/>
                  <w:enabled/>
                  <w:calcOnExit w:val="0"/>
                  <w:checkBox>
                    <w:sizeAuto/>
                    <w:default w:val="1"/>
                  </w:checkBox>
                </w:ffData>
              </w:fldChar>
            </w:r>
            <w:r w:rsidRPr="008E3F1A">
              <w:rPr>
                <w:rFonts w:ascii="Arial Narrow" w:eastAsia="Calibri" w:hAnsi="Arial Narrow"/>
                <w:sz w:val="18"/>
                <w:szCs w:val="18"/>
              </w:rPr>
              <w:instrText xml:space="preserve"> FORMCHECKBOX </w:instrText>
            </w:r>
            <w:r w:rsidR="00DC3953">
              <w:rPr>
                <w:rFonts w:ascii="Arial Narrow" w:eastAsia="Calibri" w:hAnsi="Arial Narrow"/>
                <w:sz w:val="18"/>
                <w:szCs w:val="18"/>
              </w:rPr>
            </w:r>
            <w:r w:rsidR="00DC3953">
              <w:rPr>
                <w:rFonts w:ascii="Arial Narrow" w:eastAsia="Calibri" w:hAnsi="Arial Narrow"/>
                <w:sz w:val="18"/>
                <w:szCs w:val="18"/>
              </w:rPr>
              <w:fldChar w:fldCharType="separate"/>
            </w:r>
            <w:r w:rsidRPr="008E3F1A">
              <w:rPr>
                <w:rFonts w:ascii="Arial Narrow" w:eastAsia="Calibri" w:hAnsi="Arial Narrow"/>
                <w:sz w:val="18"/>
                <w:szCs w:val="18"/>
              </w:rPr>
              <w:fldChar w:fldCharType="end"/>
            </w:r>
            <w:r w:rsidRPr="008E3F1A">
              <w:rPr>
                <w:rFonts w:ascii="Arial Narrow" w:eastAsia="Calibri" w:hAnsi="Arial Narrow"/>
                <w:i/>
                <w:sz w:val="18"/>
                <w:szCs w:val="18"/>
              </w:rPr>
              <w:t>Authority Required – non-immediate/delayed assessment by Services Australia (In-writing only via mail/postal service or electronic submission)</w:t>
            </w:r>
          </w:p>
        </w:tc>
      </w:tr>
      <w:tr w:rsidR="00A44180" w:rsidRPr="008E3F1A" w:rsidTr="00241BD3">
        <w:tblPrEx>
          <w:tblCellMar>
            <w:top w:w="15" w:type="dxa"/>
            <w:left w:w="15" w:type="dxa"/>
            <w:bottom w:w="15" w:type="dxa"/>
            <w:right w:w="15" w:type="dxa"/>
          </w:tblCellMar>
          <w:tblLook w:val="04A0" w:firstRow="1" w:lastRow="0" w:firstColumn="1" w:lastColumn="0" w:noHBand="0" w:noVBand="1"/>
        </w:tblPrEx>
        <w:tc>
          <w:tcPr>
            <w:tcW w:w="987" w:type="dxa"/>
            <w:gridSpan w:val="2"/>
            <w:vAlign w:val="center"/>
          </w:tcPr>
          <w:p w:rsidR="00A44180" w:rsidRPr="008E3F1A" w:rsidRDefault="00A44180" w:rsidP="00241BD3">
            <w:pPr>
              <w:jc w:val="center"/>
              <w:rPr>
                <w:rFonts w:ascii="Arial Narrow" w:hAnsi="Arial Narrow"/>
                <w:color w:val="333333"/>
                <w:sz w:val="18"/>
                <w:szCs w:val="18"/>
              </w:rPr>
            </w:pPr>
          </w:p>
        </w:tc>
        <w:tc>
          <w:tcPr>
            <w:tcW w:w="8080" w:type="dxa"/>
            <w:gridSpan w:val="6"/>
            <w:vAlign w:val="center"/>
          </w:tcPr>
          <w:p w:rsidR="00A44180" w:rsidRPr="008E3F1A" w:rsidRDefault="00A44180" w:rsidP="00241BD3">
            <w:pPr>
              <w:rPr>
                <w:rFonts w:ascii="Arial Narrow" w:hAnsi="Arial Narrow"/>
                <w:color w:val="333333"/>
                <w:sz w:val="18"/>
                <w:szCs w:val="18"/>
              </w:rPr>
            </w:pPr>
            <w:r w:rsidRPr="008E3F1A">
              <w:rPr>
                <w:rFonts w:ascii="Arial Narrow" w:hAnsi="Arial Narrow"/>
                <w:b/>
                <w:bCs/>
                <w:color w:val="333333"/>
                <w:sz w:val="18"/>
                <w:szCs w:val="18"/>
              </w:rPr>
              <w:t>Administrative Advice:</w:t>
            </w:r>
          </w:p>
          <w:p w:rsidR="00A44180" w:rsidRPr="008E3F1A" w:rsidRDefault="00A44180" w:rsidP="00241BD3">
            <w:pPr>
              <w:rPr>
                <w:rFonts w:ascii="Arial Narrow" w:hAnsi="Arial Narrow"/>
                <w:color w:val="333333"/>
                <w:sz w:val="18"/>
                <w:szCs w:val="18"/>
              </w:rPr>
            </w:pPr>
            <w:r w:rsidRPr="008E3F1A">
              <w:rPr>
                <w:rFonts w:ascii="Arial Narrow" w:hAnsi="Arial Narrow"/>
                <w:color w:val="333333"/>
                <w:sz w:val="18"/>
                <w:szCs w:val="18"/>
              </w:rPr>
              <w:t>No increase in the maximum quantity or number of units may be authorised.</w:t>
            </w:r>
          </w:p>
        </w:tc>
      </w:tr>
      <w:tr w:rsidR="00A44180" w:rsidRPr="008E3F1A" w:rsidTr="00241BD3">
        <w:tblPrEx>
          <w:tblCellMar>
            <w:top w:w="15" w:type="dxa"/>
            <w:left w:w="15" w:type="dxa"/>
            <w:bottom w:w="15" w:type="dxa"/>
            <w:right w:w="15" w:type="dxa"/>
          </w:tblCellMar>
          <w:tblLook w:val="04A0" w:firstRow="1" w:lastRow="0" w:firstColumn="1" w:lastColumn="0" w:noHBand="0" w:noVBand="1"/>
        </w:tblPrEx>
        <w:tc>
          <w:tcPr>
            <w:tcW w:w="987" w:type="dxa"/>
            <w:gridSpan w:val="2"/>
            <w:vAlign w:val="center"/>
          </w:tcPr>
          <w:p w:rsidR="00A44180" w:rsidRPr="008E3F1A" w:rsidRDefault="00A44180" w:rsidP="00241BD3">
            <w:pPr>
              <w:jc w:val="center"/>
              <w:rPr>
                <w:rFonts w:ascii="Arial Narrow" w:hAnsi="Arial Narrow"/>
                <w:color w:val="333333"/>
                <w:sz w:val="18"/>
                <w:szCs w:val="18"/>
              </w:rPr>
            </w:pPr>
          </w:p>
        </w:tc>
        <w:tc>
          <w:tcPr>
            <w:tcW w:w="8080" w:type="dxa"/>
            <w:gridSpan w:val="6"/>
            <w:vAlign w:val="center"/>
          </w:tcPr>
          <w:p w:rsidR="00A44180" w:rsidRPr="008E3F1A" w:rsidRDefault="00A44180" w:rsidP="00241BD3">
            <w:pPr>
              <w:rPr>
                <w:rFonts w:ascii="Arial Narrow" w:hAnsi="Arial Narrow"/>
                <w:color w:val="333333"/>
                <w:sz w:val="18"/>
                <w:szCs w:val="18"/>
              </w:rPr>
            </w:pPr>
            <w:r w:rsidRPr="008E3F1A">
              <w:rPr>
                <w:rFonts w:ascii="Arial Narrow" w:hAnsi="Arial Narrow"/>
                <w:b/>
                <w:bCs/>
                <w:color w:val="333333"/>
                <w:sz w:val="18"/>
                <w:szCs w:val="18"/>
              </w:rPr>
              <w:t>Administrative Advice:</w:t>
            </w:r>
          </w:p>
          <w:p w:rsidR="00A44180" w:rsidRPr="008E3F1A" w:rsidRDefault="00A44180" w:rsidP="00241BD3">
            <w:pPr>
              <w:rPr>
                <w:rFonts w:ascii="Arial Narrow" w:hAnsi="Arial Narrow"/>
                <w:b/>
                <w:bCs/>
                <w:color w:val="333333"/>
                <w:sz w:val="18"/>
                <w:szCs w:val="18"/>
              </w:rPr>
            </w:pPr>
            <w:r w:rsidRPr="008E3F1A">
              <w:rPr>
                <w:rFonts w:ascii="Arial Narrow" w:hAnsi="Arial Narrow"/>
                <w:color w:val="333333"/>
                <w:sz w:val="18"/>
                <w:szCs w:val="18"/>
              </w:rPr>
              <w:t>No increase in the maximum number of repeats may be authorised.</w:t>
            </w:r>
          </w:p>
        </w:tc>
      </w:tr>
      <w:tr w:rsidR="00A44180" w:rsidRPr="008E3F1A" w:rsidTr="00241BD3">
        <w:tblPrEx>
          <w:tblCellMar>
            <w:top w:w="15" w:type="dxa"/>
            <w:left w:w="15" w:type="dxa"/>
            <w:bottom w:w="15" w:type="dxa"/>
            <w:right w:w="15" w:type="dxa"/>
          </w:tblCellMar>
          <w:tblLook w:val="04A0" w:firstRow="1" w:lastRow="0" w:firstColumn="1" w:lastColumn="0" w:noHBand="0" w:noVBand="1"/>
        </w:tblPrEx>
        <w:trPr>
          <w:trHeight w:val="485"/>
        </w:trPr>
        <w:tc>
          <w:tcPr>
            <w:tcW w:w="987" w:type="dxa"/>
            <w:gridSpan w:val="2"/>
            <w:vAlign w:val="center"/>
          </w:tcPr>
          <w:p w:rsidR="00A44180" w:rsidRPr="008E3F1A" w:rsidRDefault="00A44180" w:rsidP="00241BD3">
            <w:pPr>
              <w:jc w:val="center"/>
              <w:rPr>
                <w:rFonts w:ascii="Arial Narrow" w:hAnsi="Arial Narrow"/>
                <w:color w:val="333333"/>
                <w:sz w:val="18"/>
                <w:szCs w:val="18"/>
              </w:rPr>
            </w:pPr>
          </w:p>
        </w:tc>
        <w:tc>
          <w:tcPr>
            <w:tcW w:w="8080" w:type="dxa"/>
            <w:gridSpan w:val="6"/>
            <w:vAlign w:val="center"/>
          </w:tcPr>
          <w:p w:rsidR="00A44180" w:rsidRPr="008E3F1A" w:rsidRDefault="00A44180" w:rsidP="00241BD3">
            <w:pPr>
              <w:rPr>
                <w:rFonts w:ascii="Arial Narrow" w:hAnsi="Arial Narrow"/>
                <w:color w:val="333333"/>
                <w:sz w:val="18"/>
                <w:szCs w:val="18"/>
              </w:rPr>
            </w:pPr>
            <w:r w:rsidRPr="008E3F1A">
              <w:rPr>
                <w:rFonts w:ascii="Arial Narrow" w:hAnsi="Arial Narrow"/>
                <w:b/>
                <w:bCs/>
                <w:color w:val="333333"/>
                <w:sz w:val="18"/>
                <w:szCs w:val="18"/>
              </w:rPr>
              <w:t>Administrative Advice:</w:t>
            </w:r>
          </w:p>
          <w:p w:rsidR="00A44180" w:rsidRPr="008E3F1A" w:rsidRDefault="00A44180" w:rsidP="00241BD3">
            <w:pPr>
              <w:rPr>
                <w:rFonts w:ascii="Arial Narrow" w:hAnsi="Arial Narrow"/>
                <w:b/>
                <w:bCs/>
                <w:color w:val="333333"/>
                <w:sz w:val="18"/>
                <w:szCs w:val="18"/>
              </w:rPr>
            </w:pPr>
            <w:r w:rsidRPr="008E3F1A">
              <w:rPr>
                <w:rFonts w:ascii="Arial Narrow" w:hAnsi="Arial Narrow"/>
                <w:color w:val="333333"/>
                <w:sz w:val="18"/>
                <w:szCs w:val="18"/>
              </w:rPr>
              <w:t>Special Pricing Arrangements apply.</w:t>
            </w:r>
          </w:p>
        </w:tc>
      </w:tr>
      <w:tr w:rsidR="00A44180" w:rsidRPr="008E3F1A" w:rsidTr="00241BD3">
        <w:tblPrEx>
          <w:tblCellMar>
            <w:top w:w="15" w:type="dxa"/>
            <w:left w:w="15" w:type="dxa"/>
            <w:bottom w:w="15" w:type="dxa"/>
            <w:right w:w="15" w:type="dxa"/>
          </w:tblCellMar>
          <w:tblLook w:val="04A0" w:firstRow="1" w:lastRow="0" w:firstColumn="1" w:lastColumn="0" w:noHBand="0" w:noVBand="1"/>
        </w:tblPrEx>
        <w:tc>
          <w:tcPr>
            <w:tcW w:w="981" w:type="dxa"/>
            <w:vMerge w:val="restart"/>
            <w:vAlign w:val="center"/>
          </w:tcPr>
          <w:p w:rsidR="00A44180" w:rsidRPr="008E3F1A" w:rsidRDefault="00A44180" w:rsidP="00241BD3">
            <w:pPr>
              <w:jc w:val="center"/>
              <w:rPr>
                <w:rFonts w:ascii="Arial Narrow" w:hAnsi="Arial Narrow"/>
                <w:color w:val="333333"/>
                <w:sz w:val="18"/>
                <w:szCs w:val="18"/>
              </w:rPr>
            </w:pPr>
          </w:p>
        </w:tc>
        <w:tc>
          <w:tcPr>
            <w:tcW w:w="8086" w:type="dxa"/>
            <w:gridSpan w:val="7"/>
            <w:vAlign w:val="center"/>
          </w:tcPr>
          <w:p w:rsidR="00A44180" w:rsidRPr="008E3F1A" w:rsidRDefault="00A44180" w:rsidP="00241BD3">
            <w:pPr>
              <w:rPr>
                <w:rFonts w:ascii="Arial Narrow" w:hAnsi="Arial Narrow"/>
                <w:bCs/>
                <w:color w:val="333333"/>
                <w:sz w:val="18"/>
                <w:szCs w:val="18"/>
              </w:rPr>
            </w:pPr>
            <w:r w:rsidRPr="008E3F1A">
              <w:rPr>
                <w:rFonts w:ascii="Arial Narrow" w:hAnsi="Arial Narrow"/>
                <w:b/>
                <w:bCs/>
                <w:color w:val="333333"/>
                <w:sz w:val="18"/>
                <w:szCs w:val="18"/>
              </w:rPr>
              <w:t xml:space="preserve">Episodicity: </w:t>
            </w:r>
            <w:r w:rsidRPr="008E3F1A">
              <w:rPr>
                <w:rFonts w:ascii="Arial Narrow" w:hAnsi="Arial Narrow"/>
                <w:bCs/>
                <w:color w:val="333333"/>
                <w:sz w:val="18"/>
                <w:szCs w:val="18"/>
              </w:rPr>
              <w:t>blank</w:t>
            </w:r>
          </w:p>
        </w:tc>
      </w:tr>
      <w:tr w:rsidR="00A44180" w:rsidRPr="008E3F1A" w:rsidTr="00241BD3">
        <w:tblPrEx>
          <w:tblCellMar>
            <w:top w:w="15" w:type="dxa"/>
            <w:left w:w="15" w:type="dxa"/>
            <w:bottom w:w="15" w:type="dxa"/>
            <w:right w:w="15" w:type="dxa"/>
          </w:tblCellMar>
          <w:tblLook w:val="04A0" w:firstRow="1" w:lastRow="0" w:firstColumn="1" w:lastColumn="0" w:noHBand="0" w:noVBand="1"/>
        </w:tblPrEx>
        <w:tc>
          <w:tcPr>
            <w:tcW w:w="981" w:type="dxa"/>
            <w:vMerge/>
            <w:vAlign w:val="center"/>
          </w:tcPr>
          <w:p w:rsidR="00A44180" w:rsidRPr="008E3F1A" w:rsidRDefault="00A44180" w:rsidP="00241BD3">
            <w:pPr>
              <w:jc w:val="center"/>
              <w:rPr>
                <w:rFonts w:ascii="Arial Narrow" w:hAnsi="Arial Narrow"/>
                <w:color w:val="333333"/>
                <w:sz w:val="18"/>
                <w:szCs w:val="18"/>
              </w:rPr>
            </w:pPr>
          </w:p>
        </w:tc>
        <w:tc>
          <w:tcPr>
            <w:tcW w:w="8086" w:type="dxa"/>
            <w:gridSpan w:val="7"/>
            <w:vAlign w:val="center"/>
          </w:tcPr>
          <w:p w:rsidR="00A44180" w:rsidRPr="008E3F1A" w:rsidRDefault="00A44180" w:rsidP="00241BD3">
            <w:pPr>
              <w:rPr>
                <w:rFonts w:ascii="Arial Narrow" w:hAnsi="Arial Narrow"/>
                <w:b/>
                <w:bCs/>
                <w:color w:val="333333"/>
                <w:sz w:val="18"/>
                <w:szCs w:val="18"/>
              </w:rPr>
            </w:pPr>
            <w:r w:rsidRPr="008E3F1A">
              <w:rPr>
                <w:rFonts w:ascii="Arial Narrow" w:hAnsi="Arial Narrow"/>
                <w:b/>
                <w:bCs/>
                <w:color w:val="333333"/>
                <w:sz w:val="18"/>
                <w:szCs w:val="18"/>
              </w:rPr>
              <w:t xml:space="preserve">Severity: </w:t>
            </w:r>
            <w:r w:rsidRPr="008E3F1A">
              <w:rPr>
                <w:rFonts w:ascii="Arial Narrow" w:hAnsi="Arial Narrow"/>
                <w:bCs/>
                <w:color w:val="333333"/>
                <w:sz w:val="18"/>
                <w:szCs w:val="18"/>
              </w:rPr>
              <w:t>blank</w:t>
            </w:r>
          </w:p>
        </w:tc>
      </w:tr>
      <w:tr w:rsidR="00A44180" w:rsidRPr="008E3F1A" w:rsidTr="00241BD3">
        <w:tblPrEx>
          <w:tblCellMar>
            <w:top w:w="15" w:type="dxa"/>
            <w:left w:w="15" w:type="dxa"/>
            <w:bottom w:w="15" w:type="dxa"/>
            <w:right w:w="15" w:type="dxa"/>
          </w:tblCellMar>
          <w:tblLook w:val="04A0" w:firstRow="1" w:lastRow="0" w:firstColumn="1" w:lastColumn="0" w:noHBand="0" w:noVBand="1"/>
        </w:tblPrEx>
        <w:tc>
          <w:tcPr>
            <w:tcW w:w="981" w:type="dxa"/>
            <w:vMerge/>
            <w:vAlign w:val="center"/>
          </w:tcPr>
          <w:p w:rsidR="00A44180" w:rsidRPr="008E3F1A" w:rsidRDefault="00A44180" w:rsidP="00241BD3">
            <w:pPr>
              <w:jc w:val="center"/>
              <w:rPr>
                <w:rFonts w:ascii="Arial Narrow" w:hAnsi="Arial Narrow"/>
                <w:color w:val="333333"/>
                <w:sz w:val="18"/>
                <w:szCs w:val="18"/>
              </w:rPr>
            </w:pPr>
          </w:p>
        </w:tc>
        <w:tc>
          <w:tcPr>
            <w:tcW w:w="8086" w:type="dxa"/>
            <w:gridSpan w:val="7"/>
            <w:vAlign w:val="center"/>
          </w:tcPr>
          <w:p w:rsidR="00A44180" w:rsidRPr="008E3F1A" w:rsidRDefault="00A44180" w:rsidP="00241BD3">
            <w:pPr>
              <w:rPr>
                <w:rFonts w:ascii="Arial Narrow" w:hAnsi="Arial Narrow"/>
                <w:bCs/>
                <w:color w:val="333333"/>
                <w:sz w:val="18"/>
                <w:szCs w:val="18"/>
              </w:rPr>
            </w:pPr>
            <w:r w:rsidRPr="008E3F1A">
              <w:rPr>
                <w:rFonts w:ascii="Arial Narrow" w:hAnsi="Arial Narrow"/>
                <w:b/>
                <w:bCs/>
                <w:color w:val="333333"/>
                <w:sz w:val="18"/>
                <w:szCs w:val="18"/>
              </w:rPr>
              <w:t>Condition:</w:t>
            </w:r>
            <w:r w:rsidRPr="008E3F1A">
              <w:rPr>
                <w:rFonts w:ascii="Arial Narrow" w:hAnsi="Arial Narrow"/>
                <w:bCs/>
                <w:color w:val="333333"/>
                <w:sz w:val="18"/>
                <w:szCs w:val="18"/>
              </w:rPr>
              <w:t xml:space="preserve"> CD30 positive peripheral T-cell lymphoma, non-cutaneous type</w:t>
            </w:r>
          </w:p>
        </w:tc>
      </w:tr>
      <w:tr w:rsidR="00A44180" w:rsidRPr="008E3F1A" w:rsidTr="000345C6">
        <w:tblPrEx>
          <w:tblCellMar>
            <w:top w:w="15" w:type="dxa"/>
            <w:left w:w="15" w:type="dxa"/>
            <w:bottom w:w="15" w:type="dxa"/>
            <w:right w:w="15" w:type="dxa"/>
          </w:tblCellMar>
          <w:tblLook w:val="04A0" w:firstRow="1" w:lastRow="0" w:firstColumn="1" w:lastColumn="0" w:noHBand="0" w:noVBand="1"/>
        </w:tblPrEx>
        <w:tc>
          <w:tcPr>
            <w:tcW w:w="981" w:type="dxa"/>
            <w:vAlign w:val="center"/>
          </w:tcPr>
          <w:p w:rsidR="00A44180" w:rsidRPr="008E3F1A" w:rsidRDefault="00A44180" w:rsidP="00241BD3">
            <w:pPr>
              <w:jc w:val="center"/>
              <w:rPr>
                <w:rFonts w:ascii="Arial Narrow" w:hAnsi="Arial Narrow"/>
                <w:color w:val="333333"/>
                <w:sz w:val="18"/>
                <w:szCs w:val="18"/>
              </w:rPr>
            </w:pPr>
          </w:p>
        </w:tc>
        <w:tc>
          <w:tcPr>
            <w:tcW w:w="8086" w:type="dxa"/>
            <w:gridSpan w:val="7"/>
            <w:vAlign w:val="center"/>
            <w:hideMark/>
          </w:tcPr>
          <w:p w:rsidR="00A44180" w:rsidRPr="008E3F1A" w:rsidRDefault="00A44180" w:rsidP="00241BD3">
            <w:pPr>
              <w:rPr>
                <w:rFonts w:ascii="Arial Narrow" w:hAnsi="Arial Narrow"/>
                <w:color w:val="333333"/>
                <w:sz w:val="18"/>
                <w:szCs w:val="18"/>
              </w:rPr>
            </w:pPr>
            <w:r w:rsidRPr="008E3F1A">
              <w:rPr>
                <w:rFonts w:ascii="Arial Narrow" w:hAnsi="Arial Narrow"/>
                <w:b/>
                <w:bCs/>
                <w:color w:val="333333"/>
                <w:sz w:val="18"/>
                <w:szCs w:val="18"/>
              </w:rPr>
              <w:t>Indication:</w:t>
            </w:r>
            <w:r w:rsidRPr="008E3F1A">
              <w:rPr>
                <w:rFonts w:ascii="Arial Narrow" w:hAnsi="Arial Narrow"/>
                <w:color w:val="333333"/>
                <w:sz w:val="18"/>
                <w:szCs w:val="18"/>
              </w:rPr>
              <w:t xml:space="preserve"> </w:t>
            </w:r>
            <w:r w:rsidRPr="008E3F1A">
              <w:rPr>
                <w:rFonts w:ascii="Arial Narrow" w:hAnsi="Arial Narrow"/>
                <w:bCs/>
                <w:color w:val="333333"/>
                <w:sz w:val="18"/>
                <w:szCs w:val="18"/>
              </w:rPr>
              <w:t>CD30 positive peripheral T-cell lymphoma, non-cutaneous type</w:t>
            </w:r>
          </w:p>
        </w:tc>
      </w:tr>
      <w:tr w:rsidR="00A44180" w:rsidRPr="008E3F1A" w:rsidTr="000345C6">
        <w:tblPrEx>
          <w:tblCellMar>
            <w:top w:w="15" w:type="dxa"/>
            <w:left w:w="15" w:type="dxa"/>
            <w:bottom w:w="15" w:type="dxa"/>
            <w:right w:w="15" w:type="dxa"/>
          </w:tblCellMar>
          <w:tblLook w:val="04A0" w:firstRow="1" w:lastRow="0" w:firstColumn="1" w:lastColumn="0" w:noHBand="0" w:noVBand="1"/>
        </w:tblPrEx>
        <w:tc>
          <w:tcPr>
            <w:tcW w:w="981" w:type="dxa"/>
            <w:vAlign w:val="center"/>
          </w:tcPr>
          <w:p w:rsidR="00A44180" w:rsidRPr="008E3F1A" w:rsidRDefault="00A44180" w:rsidP="00241BD3">
            <w:pPr>
              <w:jc w:val="center"/>
              <w:rPr>
                <w:rFonts w:ascii="Arial Narrow" w:hAnsi="Arial Narrow"/>
                <w:color w:val="333333"/>
                <w:sz w:val="18"/>
                <w:szCs w:val="18"/>
              </w:rPr>
            </w:pPr>
          </w:p>
        </w:tc>
        <w:tc>
          <w:tcPr>
            <w:tcW w:w="8086" w:type="dxa"/>
            <w:gridSpan w:val="7"/>
            <w:vAlign w:val="center"/>
            <w:hideMark/>
          </w:tcPr>
          <w:p w:rsidR="00A44180" w:rsidRPr="008E3F1A" w:rsidRDefault="00A44180" w:rsidP="00241BD3">
            <w:pPr>
              <w:rPr>
                <w:rFonts w:ascii="Arial Narrow" w:hAnsi="Arial Narrow"/>
                <w:color w:val="FF00FF"/>
                <w:sz w:val="18"/>
                <w:szCs w:val="18"/>
              </w:rPr>
            </w:pPr>
            <w:r w:rsidRPr="008E3F1A">
              <w:rPr>
                <w:rFonts w:ascii="Arial Narrow" w:hAnsi="Arial Narrow"/>
                <w:b/>
                <w:bCs/>
                <w:color w:val="333333"/>
                <w:sz w:val="18"/>
                <w:szCs w:val="18"/>
              </w:rPr>
              <w:t>Treatment Phase:</w:t>
            </w:r>
            <w:r w:rsidRPr="008E3F1A">
              <w:rPr>
                <w:rFonts w:ascii="Arial Narrow" w:hAnsi="Arial Narrow"/>
                <w:color w:val="333333"/>
                <w:sz w:val="18"/>
                <w:szCs w:val="18"/>
              </w:rPr>
              <w:t xml:space="preserve"> Initial </w:t>
            </w:r>
          </w:p>
        </w:tc>
      </w:tr>
      <w:tr w:rsidR="00A44180" w:rsidRPr="008E3F1A" w:rsidTr="00241BD3">
        <w:tblPrEx>
          <w:tblCellMar>
            <w:top w:w="15" w:type="dxa"/>
            <w:left w:w="15" w:type="dxa"/>
            <w:bottom w:w="15" w:type="dxa"/>
            <w:right w:w="15" w:type="dxa"/>
          </w:tblCellMar>
          <w:tblLook w:val="04A0" w:firstRow="1" w:lastRow="0" w:firstColumn="1" w:lastColumn="0" w:noHBand="0" w:noVBand="1"/>
        </w:tblPrEx>
        <w:tc>
          <w:tcPr>
            <w:tcW w:w="981" w:type="dxa"/>
            <w:vAlign w:val="center"/>
          </w:tcPr>
          <w:p w:rsidR="00A44180" w:rsidRPr="008E3F1A" w:rsidRDefault="00A44180" w:rsidP="00241BD3">
            <w:pPr>
              <w:jc w:val="center"/>
              <w:rPr>
                <w:rFonts w:ascii="Arial Narrow" w:hAnsi="Arial Narrow"/>
                <w:color w:val="333333"/>
                <w:sz w:val="18"/>
                <w:szCs w:val="18"/>
              </w:rPr>
            </w:pPr>
          </w:p>
        </w:tc>
        <w:tc>
          <w:tcPr>
            <w:tcW w:w="8086" w:type="dxa"/>
            <w:gridSpan w:val="7"/>
            <w:vAlign w:val="center"/>
          </w:tcPr>
          <w:p w:rsidR="00A44180" w:rsidRPr="008E3F1A" w:rsidRDefault="00A44180" w:rsidP="00241BD3">
            <w:pPr>
              <w:rPr>
                <w:rFonts w:ascii="Arial Narrow" w:hAnsi="Arial Narrow"/>
                <w:b/>
                <w:bCs/>
                <w:color w:val="333333"/>
                <w:sz w:val="18"/>
                <w:szCs w:val="18"/>
              </w:rPr>
            </w:pPr>
            <w:r w:rsidRPr="008E3F1A">
              <w:rPr>
                <w:rFonts w:ascii="Arial Narrow" w:hAnsi="Arial Narrow"/>
                <w:b/>
                <w:bCs/>
                <w:color w:val="333333"/>
                <w:sz w:val="18"/>
                <w:szCs w:val="18"/>
              </w:rPr>
              <w:t>Clinical criteria:</w:t>
            </w:r>
          </w:p>
        </w:tc>
      </w:tr>
      <w:tr w:rsidR="00A44180" w:rsidRPr="008E3F1A" w:rsidTr="00241BD3">
        <w:tblPrEx>
          <w:tblCellMar>
            <w:top w:w="15" w:type="dxa"/>
            <w:left w:w="15" w:type="dxa"/>
            <w:bottom w:w="15" w:type="dxa"/>
            <w:right w:w="15" w:type="dxa"/>
          </w:tblCellMar>
          <w:tblLook w:val="04A0" w:firstRow="1" w:lastRow="0" w:firstColumn="1" w:lastColumn="0" w:noHBand="0" w:noVBand="1"/>
        </w:tblPrEx>
        <w:tc>
          <w:tcPr>
            <w:tcW w:w="981" w:type="dxa"/>
            <w:vAlign w:val="center"/>
          </w:tcPr>
          <w:p w:rsidR="00A44180" w:rsidRPr="008E3F1A" w:rsidRDefault="00A44180" w:rsidP="00241BD3">
            <w:pPr>
              <w:jc w:val="center"/>
              <w:rPr>
                <w:rFonts w:ascii="Arial Narrow" w:hAnsi="Arial Narrow"/>
                <w:color w:val="333333"/>
                <w:sz w:val="18"/>
                <w:szCs w:val="18"/>
              </w:rPr>
            </w:pPr>
          </w:p>
        </w:tc>
        <w:tc>
          <w:tcPr>
            <w:tcW w:w="8086" w:type="dxa"/>
            <w:gridSpan w:val="7"/>
            <w:vAlign w:val="center"/>
          </w:tcPr>
          <w:p w:rsidR="00A44180" w:rsidRPr="008E3F1A" w:rsidRDefault="00A44180" w:rsidP="00241BD3">
            <w:pPr>
              <w:spacing w:before="40" w:after="40"/>
              <w:rPr>
                <w:rFonts w:ascii="Arial Narrow" w:hAnsi="Arial Narrow"/>
                <w:i/>
                <w:sz w:val="18"/>
                <w:szCs w:val="18"/>
              </w:rPr>
            </w:pPr>
            <w:r w:rsidRPr="008E3F1A">
              <w:rPr>
                <w:rFonts w:ascii="Arial Narrow" w:hAnsi="Arial Narrow"/>
                <w:i/>
                <w:sz w:val="18"/>
                <w:szCs w:val="18"/>
              </w:rPr>
              <w:t>Patient must have histological confirmation of CD30 expression.</w:t>
            </w:r>
          </w:p>
        </w:tc>
      </w:tr>
      <w:tr w:rsidR="00A44180" w:rsidRPr="008E3F1A" w:rsidTr="00241BD3">
        <w:tblPrEx>
          <w:tblCellMar>
            <w:top w:w="15" w:type="dxa"/>
            <w:left w:w="15" w:type="dxa"/>
            <w:bottom w:w="15" w:type="dxa"/>
            <w:right w:w="15" w:type="dxa"/>
          </w:tblCellMar>
          <w:tblLook w:val="04A0" w:firstRow="1" w:lastRow="0" w:firstColumn="1" w:lastColumn="0" w:noHBand="0" w:noVBand="1"/>
        </w:tblPrEx>
        <w:tc>
          <w:tcPr>
            <w:tcW w:w="981" w:type="dxa"/>
            <w:vAlign w:val="center"/>
          </w:tcPr>
          <w:p w:rsidR="00A44180" w:rsidRPr="008E3F1A" w:rsidRDefault="00A44180" w:rsidP="00241BD3">
            <w:pPr>
              <w:jc w:val="center"/>
              <w:rPr>
                <w:rFonts w:ascii="Arial Narrow" w:hAnsi="Arial Narrow"/>
                <w:color w:val="333333"/>
                <w:sz w:val="18"/>
                <w:szCs w:val="18"/>
              </w:rPr>
            </w:pPr>
          </w:p>
        </w:tc>
        <w:tc>
          <w:tcPr>
            <w:tcW w:w="8086" w:type="dxa"/>
            <w:gridSpan w:val="7"/>
            <w:vAlign w:val="center"/>
          </w:tcPr>
          <w:p w:rsidR="00A44180" w:rsidRPr="008E3F1A" w:rsidRDefault="00A44180" w:rsidP="00241BD3">
            <w:pPr>
              <w:rPr>
                <w:rFonts w:ascii="Arial Narrow" w:hAnsi="Arial Narrow"/>
                <w:b/>
                <w:bCs/>
                <w:color w:val="333333"/>
                <w:sz w:val="18"/>
                <w:szCs w:val="18"/>
              </w:rPr>
            </w:pPr>
            <w:r w:rsidRPr="008E3F1A">
              <w:rPr>
                <w:rFonts w:ascii="Arial Narrow" w:hAnsi="Arial Narrow"/>
                <w:b/>
                <w:bCs/>
                <w:color w:val="333333"/>
                <w:sz w:val="18"/>
                <w:szCs w:val="18"/>
              </w:rPr>
              <w:t>AND</w:t>
            </w:r>
          </w:p>
        </w:tc>
      </w:tr>
      <w:tr w:rsidR="00A44180" w:rsidRPr="008E3F1A" w:rsidTr="00241BD3">
        <w:tblPrEx>
          <w:tblCellMar>
            <w:top w:w="15" w:type="dxa"/>
            <w:left w:w="15" w:type="dxa"/>
            <w:bottom w:w="15" w:type="dxa"/>
            <w:right w:w="15" w:type="dxa"/>
          </w:tblCellMar>
          <w:tblLook w:val="04A0" w:firstRow="1" w:lastRow="0" w:firstColumn="1" w:lastColumn="0" w:noHBand="0" w:noVBand="1"/>
        </w:tblPrEx>
        <w:tc>
          <w:tcPr>
            <w:tcW w:w="981" w:type="dxa"/>
            <w:vAlign w:val="center"/>
          </w:tcPr>
          <w:p w:rsidR="00A44180" w:rsidRPr="008E3F1A" w:rsidRDefault="00A44180" w:rsidP="00241BD3">
            <w:pPr>
              <w:jc w:val="center"/>
              <w:rPr>
                <w:rFonts w:ascii="Arial Narrow" w:hAnsi="Arial Narrow"/>
                <w:color w:val="333333"/>
                <w:sz w:val="18"/>
                <w:szCs w:val="18"/>
              </w:rPr>
            </w:pPr>
          </w:p>
        </w:tc>
        <w:tc>
          <w:tcPr>
            <w:tcW w:w="8086" w:type="dxa"/>
            <w:gridSpan w:val="7"/>
            <w:vAlign w:val="center"/>
          </w:tcPr>
          <w:p w:rsidR="00A44180" w:rsidRPr="008E3F1A" w:rsidRDefault="00A44180" w:rsidP="00241BD3">
            <w:pPr>
              <w:rPr>
                <w:rFonts w:ascii="Arial Narrow" w:hAnsi="Arial Narrow"/>
                <w:b/>
                <w:bCs/>
                <w:color w:val="333333"/>
                <w:sz w:val="18"/>
                <w:szCs w:val="18"/>
              </w:rPr>
            </w:pPr>
            <w:r w:rsidRPr="008E3F1A">
              <w:rPr>
                <w:rFonts w:ascii="Arial Narrow" w:hAnsi="Arial Narrow"/>
                <w:b/>
                <w:bCs/>
                <w:color w:val="333333"/>
                <w:sz w:val="18"/>
                <w:szCs w:val="18"/>
              </w:rPr>
              <w:t>Clinical criteria:</w:t>
            </w:r>
          </w:p>
        </w:tc>
      </w:tr>
      <w:tr w:rsidR="00A44180" w:rsidRPr="008E3F1A" w:rsidTr="00241BD3">
        <w:tblPrEx>
          <w:tblCellMar>
            <w:top w:w="15" w:type="dxa"/>
            <w:left w:w="15" w:type="dxa"/>
            <w:bottom w:w="15" w:type="dxa"/>
            <w:right w:w="15" w:type="dxa"/>
          </w:tblCellMar>
          <w:tblLook w:val="04A0" w:firstRow="1" w:lastRow="0" w:firstColumn="1" w:lastColumn="0" w:noHBand="0" w:noVBand="1"/>
        </w:tblPrEx>
        <w:tc>
          <w:tcPr>
            <w:tcW w:w="981" w:type="dxa"/>
            <w:vAlign w:val="center"/>
          </w:tcPr>
          <w:p w:rsidR="00A44180" w:rsidRPr="008E3F1A" w:rsidRDefault="00A44180" w:rsidP="00241BD3">
            <w:pPr>
              <w:jc w:val="center"/>
              <w:rPr>
                <w:rFonts w:ascii="Arial Narrow" w:hAnsi="Arial Narrow"/>
                <w:color w:val="333333"/>
                <w:sz w:val="18"/>
                <w:szCs w:val="18"/>
              </w:rPr>
            </w:pPr>
          </w:p>
        </w:tc>
        <w:tc>
          <w:tcPr>
            <w:tcW w:w="8086" w:type="dxa"/>
            <w:gridSpan w:val="7"/>
            <w:vAlign w:val="center"/>
          </w:tcPr>
          <w:p w:rsidR="00A44180" w:rsidRPr="008E3F1A" w:rsidRDefault="00A44180" w:rsidP="00241BD3">
            <w:pPr>
              <w:rPr>
                <w:rFonts w:ascii="Arial Narrow" w:hAnsi="Arial Narrow"/>
                <w:b/>
                <w:bCs/>
                <w:i/>
                <w:color w:val="333333"/>
                <w:sz w:val="18"/>
                <w:szCs w:val="18"/>
              </w:rPr>
            </w:pPr>
            <w:r w:rsidRPr="008E3F1A">
              <w:rPr>
                <w:rFonts w:ascii="Arial Narrow" w:hAnsi="Arial Narrow"/>
                <w:bCs/>
                <w:i/>
                <w:color w:val="333333"/>
                <w:sz w:val="18"/>
                <w:szCs w:val="18"/>
              </w:rPr>
              <w:t>The treatment must be for first line therapy for this condition.</w:t>
            </w:r>
          </w:p>
        </w:tc>
      </w:tr>
      <w:tr w:rsidR="00A44180" w:rsidRPr="008E3F1A" w:rsidTr="00241BD3">
        <w:tblPrEx>
          <w:tblCellMar>
            <w:top w:w="15" w:type="dxa"/>
            <w:left w:w="15" w:type="dxa"/>
            <w:bottom w:w="15" w:type="dxa"/>
            <w:right w:w="15" w:type="dxa"/>
          </w:tblCellMar>
          <w:tblLook w:val="04A0" w:firstRow="1" w:lastRow="0" w:firstColumn="1" w:lastColumn="0" w:noHBand="0" w:noVBand="1"/>
        </w:tblPrEx>
        <w:tc>
          <w:tcPr>
            <w:tcW w:w="981" w:type="dxa"/>
            <w:vAlign w:val="center"/>
          </w:tcPr>
          <w:p w:rsidR="00A44180" w:rsidRPr="008E3F1A" w:rsidRDefault="00A44180" w:rsidP="00241BD3">
            <w:pPr>
              <w:jc w:val="center"/>
              <w:rPr>
                <w:rFonts w:ascii="Arial Narrow" w:hAnsi="Arial Narrow"/>
                <w:color w:val="333333"/>
                <w:sz w:val="18"/>
                <w:szCs w:val="18"/>
              </w:rPr>
            </w:pPr>
          </w:p>
        </w:tc>
        <w:tc>
          <w:tcPr>
            <w:tcW w:w="8086" w:type="dxa"/>
            <w:gridSpan w:val="7"/>
            <w:vAlign w:val="center"/>
          </w:tcPr>
          <w:p w:rsidR="00A44180" w:rsidRPr="008E3F1A" w:rsidRDefault="00A44180" w:rsidP="00241BD3">
            <w:pPr>
              <w:rPr>
                <w:rFonts w:ascii="Arial Narrow" w:hAnsi="Arial Narrow"/>
                <w:b/>
                <w:bCs/>
                <w:color w:val="333333"/>
                <w:sz w:val="18"/>
                <w:szCs w:val="18"/>
              </w:rPr>
            </w:pPr>
            <w:r w:rsidRPr="008E3F1A">
              <w:rPr>
                <w:rFonts w:ascii="Arial Narrow" w:hAnsi="Arial Narrow"/>
                <w:b/>
                <w:bCs/>
                <w:color w:val="333333"/>
                <w:sz w:val="18"/>
                <w:szCs w:val="18"/>
              </w:rPr>
              <w:t>AND</w:t>
            </w:r>
          </w:p>
        </w:tc>
      </w:tr>
      <w:tr w:rsidR="00A44180" w:rsidRPr="008E3F1A" w:rsidTr="000345C6">
        <w:tblPrEx>
          <w:tblCellMar>
            <w:top w:w="15" w:type="dxa"/>
            <w:left w:w="15" w:type="dxa"/>
            <w:bottom w:w="15" w:type="dxa"/>
            <w:right w:w="15" w:type="dxa"/>
          </w:tblCellMar>
          <w:tblLook w:val="04A0" w:firstRow="1" w:lastRow="0" w:firstColumn="1" w:lastColumn="0" w:noHBand="0" w:noVBand="1"/>
        </w:tblPrEx>
        <w:tc>
          <w:tcPr>
            <w:tcW w:w="981" w:type="dxa"/>
            <w:vAlign w:val="center"/>
          </w:tcPr>
          <w:p w:rsidR="00A44180" w:rsidRPr="008E3F1A" w:rsidRDefault="00A44180" w:rsidP="00241BD3">
            <w:pPr>
              <w:jc w:val="center"/>
              <w:rPr>
                <w:rFonts w:ascii="Arial Narrow" w:hAnsi="Arial Narrow"/>
                <w:color w:val="333333"/>
                <w:sz w:val="18"/>
                <w:szCs w:val="18"/>
              </w:rPr>
            </w:pPr>
          </w:p>
        </w:tc>
        <w:tc>
          <w:tcPr>
            <w:tcW w:w="8086" w:type="dxa"/>
            <w:gridSpan w:val="7"/>
            <w:vAlign w:val="center"/>
            <w:hideMark/>
          </w:tcPr>
          <w:p w:rsidR="00A44180" w:rsidRPr="008E3F1A" w:rsidRDefault="00A44180" w:rsidP="00241BD3">
            <w:pPr>
              <w:rPr>
                <w:rFonts w:ascii="Arial Narrow" w:hAnsi="Arial Narrow"/>
                <w:color w:val="FF00FF"/>
                <w:sz w:val="18"/>
                <w:szCs w:val="18"/>
              </w:rPr>
            </w:pPr>
            <w:r w:rsidRPr="008E3F1A">
              <w:rPr>
                <w:rFonts w:ascii="Arial Narrow" w:hAnsi="Arial Narrow"/>
                <w:b/>
                <w:bCs/>
                <w:color w:val="333333"/>
                <w:sz w:val="18"/>
                <w:szCs w:val="18"/>
              </w:rPr>
              <w:t>Clinical criteria:</w:t>
            </w:r>
          </w:p>
        </w:tc>
      </w:tr>
      <w:tr w:rsidR="00A44180" w:rsidRPr="008E3F1A" w:rsidTr="000345C6">
        <w:tblPrEx>
          <w:tblCellMar>
            <w:top w:w="15" w:type="dxa"/>
            <w:left w:w="15" w:type="dxa"/>
            <w:bottom w:w="15" w:type="dxa"/>
            <w:right w:w="15" w:type="dxa"/>
          </w:tblCellMar>
          <w:tblLook w:val="04A0" w:firstRow="1" w:lastRow="0" w:firstColumn="1" w:lastColumn="0" w:noHBand="0" w:noVBand="1"/>
        </w:tblPrEx>
        <w:tc>
          <w:tcPr>
            <w:tcW w:w="981" w:type="dxa"/>
            <w:vAlign w:val="center"/>
          </w:tcPr>
          <w:p w:rsidR="00A44180" w:rsidRPr="008E3F1A" w:rsidRDefault="00A44180" w:rsidP="00241BD3">
            <w:pPr>
              <w:jc w:val="center"/>
              <w:rPr>
                <w:rFonts w:ascii="Arial Narrow" w:hAnsi="Arial Narrow"/>
                <w:color w:val="333333"/>
                <w:sz w:val="18"/>
                <w:szCs w:val="18"/>
              </w:rPr>
            </w:pPr>
          </w:p>
        </w:tc>
        <w:tc>
          <w:tcPr>
            <w:tcW w:w="8086" w:type="dxa"/>
            <w:gridSpan w:val="7"/>
            <w:vAlign w:val="center"/>
            <w:hideMark/>
          </w:tcPr>
          <w:p w:rsidR="00A44180" w:rsidRPr="008E3F1A" w:rsidRDefault="00A44180" w:rsidP="00241BD3">
            <w:pPr>
              <w:spacing w:before="40" w:after="40"/>
              <w:rPr>
                <w:rFonts w:ascii="Arial Narrow" w:hAnsi="Arial Narrow"/>
                <w:iCs/>
                <w:sz w:val="18"/>
                <w:szCs w:val="18"/>
              </w:rPr>
            </w:pPr>
            <w:r w:rsidRPr="008E3F1A">
              <w:rPr>
                <w:rFonts w:ascii="Arial Narrow" w:hAnsi="Arial Narrow"/>
                <w:iCs/>
                <w:sz w:val="18"/>
                <w:szCs w:val="18"/>
              </w:rPr>
              <w:t>The treatment must be for curative intent.</w:t>
            </w:r>
          </w:p>
        </w:tc>
      </w:tr>
      <w:tr w:rsidR="00A44180" w:rsidRPr="008E3F1A" w:rsidTr="000345C6">
        <w:tblPrEx>
          <w:tblCellMar>
            <w:top w:w="15" w:type="dxa"/>
            <w:left w:w="15" w:type="dxa"/>
            <w:bottom w:w="15" w:type="dxa"/>
            <w:right w:w="15" w:type="dxa"/>
          </w:tblCellMar>
          <w:tblLook w:val="04A0" w:firstRow="1" w:lastRow="0" w:firstColumn="1" w:lastColumn="0" w:noHBand="0" w:noVBand="1"/>
        </w:tblPrEx>
        <w:tc>
          <w:tcPr>
            <w:tcW w:w="981" w:type="dxa"/>
            <w:vAlign w:val="center"/>
          </w:tcPr>
          <w:p w:rsidR="00A44180" w:rsidRPr="008E3F1A" w:rsidRDefault="00A44180" w:rsidP="00241BD3">
            <w:pPr>
              <w:jc w:val="center"/>
              <w:rPr>
                <w:rFonts w:ascii="Arial Narrow" w:hAnsi="Arial Narrow"/>
                <w:color w:val="333333"/>
                <w:sz w:val="18"/>
                <w:szCs w:val="18"/>
              </w:rPr>
            </w:pPr>
          </w:p>
        </w:tc>
        <w:tc>
          <w:tcPr>
            <w:tcW w:w="8086" w:type="dxa"/>
            <w:gridSpan w:val="7"/>
            <w:vAlign w:val="center"/>
            <w:hideMark/>
          </w:tcPr>
          <w:p w:rsidR="00A44180" w:rsidRPr="008E3F1A" w:rsidRDefault="00A44180" w:rsidP="00241BD3">
            <w:pPr>
              <w:rPr>
                <w:rFonts w:ascii="Arial Narrow" w:hAnsi="Arial Narrow"/>
                <w:color w:val="333333"/>
                <w:sz w:val="18"/>
                <w:szCs w:val="18"/>
              </w:rPr>
            </w:pPr>
            <w:r w:rsidRPr="008E3F1A">
              <w:rPr>
                <w:rFonts w:ascii="Arial Narrow" w:hAnsi="Arial Narrow"/>
                <w:b/>
                <w:bCs/>
                <w:color w:val="333333"/>
                <w:sz w:val="18"/>
                <w:szCs w:val="18"/>
              </w:rPr>
              <w:t>AND</w:t>
            </w:r>
          </w:p>
        </w:tc>
      </w:tr>
      <w:tr w:rsidR="00A44180" w:rsidRPr="008E3F1A" w:rsidTr="00241BD3">
        <w:tblPrEx>
          <w:tblCellMar>
            <w:top w:w="15" w:type="dxa"/>
            <w:left w:w="15" w:type="dxa"/>
            <w:bottom w:w="15" w:type="dxa"/>
            <w:right w:w="15" w:type="dxa"/>
          </w:tblCellMar>
          <w:tblLook w:val="04A0" w:firstRow="1" w:lastRow="0" w:firstColumn="1" w:lastColumn="0" w:noHBand="0" w:noVBand="1"/>
        </w:tblPrEx>
        <w:tc>
          <w:tcPr>
            <w:tcW w:w="981" w:type="dxa"/>
            <w:vAlign w:val="center"/>
          </w:tcPr>
          <w:p w:rsidR="00A44180" w:rsidRPr="008E3F1A" w:rsidRDefault="00A44180" w:rsidP="00241BD3">
            <w:pPr>
              <w:jc w:val="center"/>
              <w:rPr>
                <w:rFonts w:ascii="Arial Narrow" w:hAnsi="Arial Narrow"/>
                <w:color w:val="333333"/>
                <w:sz w:val="18"/>
                <w:szCs w:val="18"/>
              </w:rPr>
            </w:pPr>
          </w:p>
        </w:tc>
        <w:tc>
          <w:tcPr>
            <w:tcW w:w="8086" w:type="dxa"/>
            <w:gridSpan w:val="7"/>
            <w:vAlign w:val="center"/>
            <w:hideMark/>
          </w:tcPr>
          <w:p w:rsidR="00A44180" w:rsidRPr="008E3F1A" w:rsidRDefault="00A44180" w:rsidP="00241BD3">
            <w:pPr>
              <w:rPr>
                <w:rFonts w:ascii="Arial Narrow" w:hAnsi="Arial Narrow"/>
                <w:strike/>
                <w:color w:val="333333"/>
                <w:sz w:val="18"/>
                <w:szCs w:val="18"/>
              </w:rPr>
            </w:pPr>
            <w:r w:rsidRPr="008E3F1A">
              <w:rPr>
                <w:rFonts w:ascii="Arial Narrow" w:hAnsi="Arial Narrow"/>
                <w:b/>
                <w:bCs/>
                <w:strike/>
                <w:color w:val="333333"/>
                <w:sz w:val="18"/>
                <w:szCs w:val="18"/>
              </w:rPr>
              <w:t>Clinical criteria:</w:t>
            </w:r>
          </w:p>
        </w:tc>
      </w:tr>
      <w:tr w:rsidR="00A44180" w:rsidRPr="008E3F1A" w:rsidTr="00241BD3">
        <w:tblPrEx>
          <w:tblCellMar>
            <w:top w:w="15" w:type="dxa"/>
            <w:left w:w="15" w:type="dxa"/>
            <w:bottom w:w="15" w:type="dxa"/>
            <w:right w:w="15" w:type="dxa"/>
          </w:tblCellMar>
          <w:tblLook w:val="04A0" w:firstRow="1" w:lastRow="0" w:firstColumn="1" w:lastColumn="0" w:noHBand="0" w:noVBand="1"/>
        </w:tblPrEx>
        <w:tc>
          <w:tcPr>
            <w:tcW w:w="981" w:type="dxa"/>
            <w:vAlign w:val="center"/>
          </w:tcPr>
          <w:p w:rsidR="00A44180" w:rsidRPr="008E3F1A" w:rsidRDefault="00A44180" w:rsidP="00241BD3">
            <w:pPr>
              <w:jc w:val="center"/>
              <w:rPr>
                <w:rFonts w:ascii="Arial Narrow" w:hAnsi="Arial Narrow"/>
                <w:iCs/>
                <w:sz w:val="18"/>
                <w:szCs w:val="18"/>
              </w:rPr>
            </w:pPr>
          </w:p>
        </w:tc>
        <w:tc>
          <w:tcPr>
            <w:tcW w:w="8086" w:type="dxa"/>
            <w:gridSpan w:val="7"/>
            <w:vAlign w:val="center"/>
            <w:hideMark/>
          </w:tcPr>
          <w:p w:rsidR="00A44180" w:rsidRPr="008E3F1A" w:rsidRDefault="00A44180" w:rsidP="00241BD3">
            <w:pPr>
              <w:rPr>
                <w:rFonts w:ascii="Arial Narrow" w:hAnsi="Arial Narrow"/>
                <w:iCs/>
                <w:strike/>
                <w:sz w:val="18"/>
                <w:szCs w:val="18"/>
              </w:rPr>
            </w:pPr>
            <w:r w:rsidRPr="008E3F1A">
              <w:rPr>
                <w:rFonts w:ascii="Arial Narrow" w:hAnsi="Arial Narrow"/>
                <w:iCs/>
                <w:strike/>
                <w:sz w:val="18"/>
                <w:szCs w:val="18"/>
              </w:rPr>
              <w:t>Patient must not have received prior treatment with curative intent chemotherapy for this condition.</w:t>
            </w:r>
          </w:p>
        </w:tc>
      </w:tr>
      <w:tr w:rsidR="00A44180" w:rsidRPr="008E3F1A" w:rsidTr="00241BD3">
        <w:tblPrEx>
          <w:tblCellMar>
            <w:top w:w="15" w:type="dxa"/>
            <w:left w:w="15" w:type="dxa"/>
            <w:bottom w:w="15" w:type="dxa"/>
            <w:right w:w="15" w:type="dxa"/>
          </w:tblCellMar>
          <w:tblLook w:val="04A0" w:firstRow="1" w:lastRow="0" w:firstColumn="1" w:lastColumn="0" w:noHBand="0" w:noVBand="1"/>
        </w:tblPrEx>
        <w:tc>
          <w:tcPr>
            <w:tcW w:w="981" w:type="dxa"/>
            <w:vAlign w:val="center"/>
          </w:tcPr>
          <w:p w:rsidR="00A44180" w:rsidRPr="008E3F1A" w:rsidRDefault="00A44180" w:rsidP="00241BD3">
            <w:pPr>
              <w:jc w:val="center"/>
              <w:rPr>
                <w:rFonts w:ascii="Arial Narrow" w:hAnsi="Arial Narrow"/>
                <w:color w:val="333333"/>
                <w:sz w:val="18"/>
                <w:szCs w:val="18"/>
              </w:rPr>
            </w:pPr>
          </w:p>
        </w:tc>
        <w:tc>
          <w:tcPr>
            <w:tcW w:w="8086" w:type="dxa"/>
            <w:gridSpan w:val="7"/>
            <w:vAlign w:val="center"/>
            <w:hideMark/>
          </w:tcPr>
          <w:p w:rsidR="00A44180" w:rsidRPr="008E3F1A" w:rsidRDefault="00A44180" w:rsidP="00241BD3">
            <w:pPr>
              <w:rPr>
                <w:rFonts w:ascii="Arial Narrow" w:hAnsi="Arial Narrow"/>
                <w:color w:val="333333"/>
                <w:sz w:val="18"/>
                <w:szCs w:val="18"/>
              </w:rPr>
            </w:pPr>
            <w:r w:rsidRPr="008E3F1A">
              <w:rPr>
                <w:rFonts w:ascii="Arial Narrow" w:hAnsi="Arial Narrow"/>
                <w:b/>
                <w:bCs/>
                <w:color w:val="333333"/>
                <w:sz w:val="18"/>
                <w:szCs w:val="18"/>
              </w:rPr>
              <w:t>Clinical criteria:</w:t>
            </w:r>
          </w:p>
        </w:tc>
      </w:tr>
      <w:tr w:rsidR="00A44180" w:rsidRPr="008E3F1A" w:rsidTr="00241BD3">
        <w:tblPrEx>
          <w:tblCellMar>
            <w:top w:w="15" w:type="dxa"/>
            <w:left w:w="15" w:type="dxa"/>
            <w:bottom w:w="15" w:type="dxa"/>
            <w:right w:w="15" w:type="dxa"/>
          </w:tblCellMar>
          <w:tblLook w:val="04A0" w:firstRow="1" w:lastRow="0" w:firstColumn="1" w:lastColumn="0" w:noHBand="0" w:noVBand="1"/>
        </w:tblPrEx>
        <w:tc>
          <w:tcPr>
            <w:tcW w:w="981" w:type="dxa"/>
            <w:vAlign w:val="center"/>
          </w:tcPr>
          <w:p w:rsidR="00A44180" w:rsidRPr="008E3F1A" w:rsidRDefault="00A44180" w:rsidP="00241BD3">
            <w:pPr>
              <w:jc w:val="center"/>
              <w:rPr>
                <w:rFonts w:ascii="Arial Narrow" w:hAnsi="Arial Narrow"/>
                <w:color w:val="333333"/>
                <w:sz w:val="18"/>
                <w:szCs w:val="18"/>
              </w:rPr>
            </w:pPr>
          </w:p>
        </w:tc>
        <w:tc>
          <w:tcPr>
            <w:tcW w:w="8086" w:type="dxa"/>
            <w:gridSpan w:val="7"/>
            <w:hideMark/>
          </w:tcPr>
          <w:p w:rsidR="00A44180" w:rsidRPr="008E3F1A" w:rsidRDefault="00A44180" w:rsidP="00241BD3">
            <w:pPr>
              <w:spacing w:before="40" w:after="40"/>
              <w:rPr>
                <w:rFonts w:ascii="Arial Narrow" w:hAnsi="Arial Narrow"/>
                <w:i/>
                <w:sz w:val="18"/>
                <w:szCs w:val="18"/>
              </w:rPr>
            </w:pPr>
            <w:r w:rsidRPr="008E3F1A">
              <w:rPr>
                <w:rFonts w:ascii="Arial Narrow" w:hAnsi="Arial Narrow"/>
                <w:i/>
                <w:sz w:val="18"/>
                <w:szCs w:val="18"/>
              </w:rPr>
              <w:t>The treatment must be in combination with cyclophosphamide, doxorubicin and prednisone.</w:t>
            </w:r>
          </w:p>
        </w:tc>
      </w:tr>
      <w:tr w:rsidR="00A44180" w:rsidRPr="008E3F1A" w:rsidTr="00241BD3">
        <w:tblPrEx>
          <w:tblCellMar>
            <w:top w:w="15" w:type="dxa"/>
            <w:left w:w="15" w:type="dxa"/>
            <w:bottom w:w="15" w:type="dxa"/>
            <w:right w:w="15" w:type="dxa"/>
          </w:tblCellMar>
          <w:tblLook w:val="04A0" w:firstRow="1" w:lastRow="0" w:firstColumn="1" w:lastColumn="0" w:noHBand="0" w:noVBand="1"/>
        </w:tblPrEx>
        <w:tc>
          <w:tcPr>
            <w:tcW w:w="981" w:type="dxa"/>
            <w:vAlign w:val="center"/>
          </w:tcPr>
          <w:p w:rsidR="00A44180" w:rsidRPr="008E3F1A" w:rsidRDefault="00A44180" w:rsidP="00241BD3">
            <w:pPr>
              <w:jc w:val="center"/>
              <w:rPr>
                <w:rFonts w:ascii="Arial Narrow" w:hAnsi="Arial Narrow"/>
                <w:color w:val="333333"/>
                <w:sz w:val="18"/>
                <w:szCs w:val="18"/>
              </w:rPr>
            </w:pPr>
          </w:p>
        </w:tc>
        <w:tc>
          <w:tcPr>
            <w:tcW w:w="8086" w:type="dxa"/>
            <w:gridSpan w:val="7"/>
          </w:tcPr>
          <w:p w:rsidR="00A44180" w:rsidRPr="008E3F1A" w:rsidRDefault="00A44180" w:rsidP="00241BD3">
            <w:pPr>
              <w:spacing w:before="40" w:after="40"/>
              <w:rPr>
                <w:rFonts w:ascii="Arial Narrow" w:hAnsi="Arial Narrow"/>
                <w:b/>
                <w:i/>
                <w:sz w:val="18"/>
                <w:szCs w:val="18"/>
              </w:rPr>
            </w:pPr>
            <w:r w:rsidRPr="008E3F1A">
              <w:rPr>
                <w:rFonts w:ascii="Arial Narrow" w:hAnsi="Arial Narrow"/>
                <w:b/>
                <w:i/>
                <w:sz w:val="18"/>
                <w:szCs w:val="18"/>
              </w:rPr>
              <w:t>AND</w:t>
            </w:r>
          </w:p>
        </w:tc>
      </w:tr>
      <w:tr w:rsidR="00A44180" w:rsidRPr="008E3F1A" w:rsidTr="00241BD3">
        <w:tblPrEx>
          <w:tblCellMar>
            <w:top w:w="15" w:type="dxa"/>
            <w:left w:w="15" w:type="dxa"/>
            <w:bottom w:w="15" w:type="dxa"/>
            <w:right w:w="15" w:type="dxa"/>
          </w:tblCellMar>
          <w:tblLook w:val="04A0" w:firstRow="1" w:lastRow="0" w:firstColumn="1" w:lastColumn="0" w:noHBand="0" w:noVBand="1"/>
        </w:tblPrEx>
        <w:tc>
          <w:tcPr>
            <w:tcW w:w="981" w:type="dxa"/>
            <w:vAlign w:val="center"/>
          </w:tcPr>
          <w:p w:rsidR="00A44180" w:rsidRPr="008E3F1A" w:rsidRDefault="00A44180" w:rsidP="00241BD3">
            <w:pPr>
              <w:jc w:val="center"/>
              <w:rPr>
                <w:rFonts w:ascii="Arial Narrow" w:hAnsi="Arial Narrow"/>
                <w:color w:val="333333"/>
                <w:sz w:val="18"/>
                <w:szCs w:val="18"/>
              </w:rPr>
            </w:pPr>
          </w:p>
        </w:tc>
        <w:tc>
          <w:tcPr>
            <w:tcW w:w="8086" w:type="dxa"/>
            <w:gridSpan w:val="7"/>
          </w:tcPr>
          <w:p w:rsidR="00A44180" w:rsidRPr="008E3F1A" w:rsidRDefault="00A44180" w:rsidP="00241BD3">
            <w:pPr>
              <w:spacing w:before="40" w:after="40"/>
              <w:rPr>
                <w:rFonts w:ascii="Arial Narrow" w:hAnsi="Arial Narrow"/>
                <w:b/>
                <w:i/>
                <w:sz w:val="18"/>
                <w:szCs w:val="18"/>
              </w:rPr>
            </w:pPr>
            <w:r w:rsidRPr="008E3F1A">
              <w:rPr>
                <w:rFonts w:ascii="Arial Narrow" w:hAnsi="Arial Narrow"/>
                <w:b/>
                <w:i/>
                <w:sz w:val="18"/>
                <w:szCs w:val="18"/>
              </w:rPr>
              <w:t>Clinical criteria:</w:t>
            </w:r>
          </w:p>
        </w:tc>
      </w:tr>
      <w:tr w:rsidR="00A44180" w:rsidRPr="008E3F1A" w:rsidTr="00241BD3">
        <w:tblPrEx>
          <w:tblCellMar>
            <w:top w:w="15" w:type="dxa"/>
            <w:left w:w="15" w:type="dxa"/>
            <w:bottom w:w="15" w:type="dxa"/>
            <w:right w:w="15" w:type="dxa"/>
          </w:tblCellMar>
          <w:tblLook w:val="04A0" w:firstRow="1" w:lastRow="0" w:firstColumn="1" w:lastColumn="0" w:noHBand="0" w:noVBand="1"/>
        </w:tblPrEx>
        <w:tc>
          <w:tcPr>
            <w:tcW w:w="981" w:type="dxa"/>
            <w:vAlign w:val="center"/>
          </w:tcPr>
          <w:p w:rsidR="00A44180" w:rsidRPr="008E3F1A" w:rsidRDefault="00A44180" w:rsidP="00241BD3">
            <w:pPr>
              <w:jc w:val="center"/>
              <w:rPr>
                <w:rFonts w:ascii="Arial Narrow" w:hAnsi="Arial Narrow"/>
                <w:color w:val="333333"/>
                <w:sz w:val="18"/>
                <w:szCs w:val="18"/>
              </w:rPr>
            </w:pPr>
          </w:p>
        </w:tc>
        <w:tc>
          <w:tcPr>
            <w:tcW w:w="8086" w:type="dxa"/>
            <w:gridSpan w:val="7"/>
          </w:tcPr>
          <w:p w:rsidR="00A44180" w:rsidRPr="008E3F1A" w:rsidRDefault="00A44180" w:rsidP="00241BD3">
            <w:pPr>
              <w:pStyle w:val="NormalWeb"/>
              <w:spacing w:before="0" w:after="0"/>
              <w:rPr>
                <w:rFonts w:ascii="Arial Narrow" w:hAnsi="Arial Narrow" w:cs="Calibri"/>
                <w:i/>
                <w:iCs/>
                <w:sz w:val="18"/>
                <w:szCs w:val="18"/>
                <w:lang w:val="en-AU"/>
              </w:rPr>
            </w:pPr>
            <w:r w:rsidRPr="008E3F1A">
              <w:rPr>
                <w:rFonts w:ascii="Arial Narrow" w:hAnsi="Arial Narrow" w:cs="Calibri"/>
                <w:i/>
                <w:iCs/>
                <w:sz w:val="18"/>
                <w:szCs w:val="18"/>
                <w:lang w:val="en-AU"/>
              </w:rPr>
              <w:t>The treatment must not be more than 6 treatment cycles under this restriction in a lifetime.</w:t>
            </w:r>
          </w:p>
        </w:tc>
      </w:tr>
      <w:tr w:rsidR="00A44180" w:rsidRPr="008E3F1A" w:rsidTr="00241BD3">
        <w:tblPrEx>
          <w:tblCellMar>
            <w:top w:w="15" w:type="dxa"/>
            <w:left w:w="15" w:type="dxa"/>
            <w:bottom w:w="15" w:type="dxa"/>
            <w:right w:w="15" w:type="dxa"/>
          </w:tblCellMar>
          <w:tblLook w:val="04A0" w:firstRow="1" w:lastRow="0" w:firstColumn="1" w:lastColumn="0" w:noHBand="0" w:noVBand="1"/>
        </w:tblPrEx>
        <w:tc>
          <w:tcPr>
            <w:tcW w:w="981" w:type="dxa"/>
            <w:vAlign w:val="center"/>
          </w:tcPr>
          <w:p w:rsidR="00A44180" w:rsidRPr="008E3F1A" w:rsidRDefault="00A44180" w:rsidP="00241BD3">
            <w:pPr>
              <w:jc w:val="center"/>
              <w:rPr>
                <w:rFonts w:ascii="Arial Narrow" w:hAnsi="Arial Narrow"/>
                <w:color w:val="333333"/>
                <w:sz w:val="18"/>
                <w:szCs w:val="18"/>
              </w:rPr>
            </w:pPr>
          </w:p>
        </w:tc>
        <w:tc>
          <w:tcPr>
            <w:tcW w:w="8086" w:type="dxa"/>
            <w:gridSpan w:val="7"/>
            <w:vAlign w:val="center"/>
            <w:hideMark/>
          </w:tcPr>
          <w:p w:rsidR="00A44180" w:rsidRPr="008E3F1A" w:rsidRDefault="00A44180" w:rsidP="00241BD3">
            <w:pPr>
              <w:rPr>
                <w:rFonts w:ascii="Arial Narrow" w:hAnsi="Arial Narrow"/>
                <w:strike/>
                <w:color w:val="333333"/>
                <w:sz w:val="18"/>
                <w:szCs w:val="18"/>
              </w:rPr>
            </w:pPr>
            <w:r w:rsidRPr="008E3F1A">
              <w:rPr>
                <w:rFonts w:ascii="Arial Narrow" w:hAnsi="Arial Narrow"/>
                <w:b/>
                <w:bCs/>
                <w:strike/>
                <w:color w:val="333333"/>
                <w:sz w:val="18"/>
                <w:szCs w:val="18"/>
              </w:rPr>
              <w:t>Treatment criteria:</w:t>
            </w:r>
          </w:p>
        </w:tc>
      </w:tr>
      <w:tr w:rsidR="00A44180" w:rsidRPr="008E3F1A" w:rsidTr="00241BD3">
        <w:tblPrEx>
          <w:tblCellMar>
            <w:top w:w="15" w:type="dxa"/>
            <w:left w:w="15" w:type="dxa"/>
            <w:bottom w:w="15" w:type="dxa"/>
            <w:right w:w="15" w:type="dxa"/>
          </w:tblCellMar>
          <w:tblLook w:val="04A0" w:firstRow="1" w:lastRow="0" w:firstColumn="1" w:lastColumn="0" w:noHBand="0" w:noVBand="1"/>
        </w:tblPrEx>
        <w:tc>
          <w:tcPr>
            <w:tcW w:w="981" w:type="dxa"/>
            <w:vAlign w:val="center"/>
          </w:tcPr>
          <w:p w:rsidR="00A44180" w:rsidRPr="008E3F1A" w:rsidRDefault="00A44180" w:rsidP="00241BD3">
            <w:pPr>
              <w:jc w:val="center"/>
              <w:rPr>
                <w:rFonts w:ascii="Arial Narrow" w:hAnsi="Arial Narrow"/>
                <w:color w:val="333333"/>
                <w:sz w:val="18"/>
                <w:szCs w:val="18"/>
              </w:rPr>
            </w:pPr>
          </w:p>
        </w:tc>
        <w:tc>
          <w:tcPr>
            <w:tcW w:w="8086" w:type="dxa"/>
            <w:gridSpan w:val="7"/>
            <w:hideMark/>
          </w:tcPr>
          <w:p w:rsidR="00A44180" w:rsidRPr="008E3F1A" w:rsidRDefault="00A44180" w:rsidP="00241BD3">
            <w:pPr>
              <w:spacing w:before="40" w:after="40"/>
              <w:rPr>
                <w:rFonts w:ascii="Arial Narrow" w:hAnsi="Arial Narrow"/>
                <w:strike/>
                <w:sz w:val="18"/>
                <w:szCs w:val="18"/>
              </w:rPr>
            </w:pPr>
            <w:r w:rsidRPr="008E3F1A">
              <w:rPr>
                <w:rFonts w:ascii="Arial Narrow" w:hAnsi="Arial Narrow"/>
                <w:strike/>
                <w:sz w:val="18"/>
                <w:szCs w:val="18"/>
              </w:rPr>
              <w:t>Treatment must be in combination with cyclophosphamide, doxorubicin and prednisone</w:t>
            </w:r>
          </w:p>
        </w:tc>
      </w:tr>
      <w:tr w:rsidR="00A44180" w:rsidRPr="008E3F1A" w:rsidTr="00241BD3">
        <w:tblPrEx>
          <w:tblCellMar>
            <w:top w:w="15" w:type="dxa"/>
            <w:left w:w="15" w:type="dxa"/>
            <w:bottom w:w="15" w:type="dxa"/>
            <w:right w:w="15" w:type="dxa"/>
          </w:tblCellMar>
          <w:tblLook w:val="04A0" w:firstRow="1" w:lastRow="0" w:firstColumn="1" w:lastColumn="0" w:noHBand="0" w:noVBand="1"/>
        </w:tblPrEx>
        <w:tc>
          <w:tcPr>
            <w:tcW w:w="981" w:type="dxa"/>
            <w:vAlign w:val="center"/>
          </w:tcPr>
          <w:p w:rsidR="00A44180" w:rsidRPr="008E3F1A" w:rsidRDefault="00A44180" w:rsidP="00241BD3">
            <w:pPr>
              <w:jc w:val="center"/>
              <w:rPr>
                <w:rFonts w:ascii="Arial Narrow" w:hAnsi="Arial Narrow"/>
                <w:color w:val="333333"/>
                <w:sz w:val="18"/>
                <w:szCs w:val="18"/>
              </w:rPr>
            </w:pPr>
          </w:p>
        </w:tc>
        <w:tc>
          <w:tcPr>
            <w:tcW w:w="8086" w:type="dxa"/>
            <w:gridSpan w:val="7"/>
            <w:vAlign w:val="center"/>
            <w:hideMark/>
          </w:tcPr>
          <w:p w:rsidR="00A44180" w:rsidRPr="008E3F1A" w:rsidRDefault="00A44180" w:rsidP="00241BD3">
            <w:pPr>
              <w:rPr>
                <w:rFonts w:ascii="Arial Narrow" w:hAnsi="Arial Narrow"/>
                <w:strike/>
                <w:color w:val="333333"/>
                <w:sz w:val="18"/>
                <w:szCs w:val="18"/>
              </w:rPr>
            </w:pPr>
            <w:r w:rsidRPr="008E3F1A">
              <w:rPr>
                <w:rFonts w:ascii="Arial Narrow" w:hAnsi="Arial Narrow"/>
                <w:b/>
                <w:bCs/>
                <w:strike/>
                <w:color w:val="333333"/>
                <w:sz w:val="18"/>
                <w:szCs w:val="18"/>
              </w:rPr>
              <w:t>Population criteria:</w:t>
            </w:r>
          </w:p>
        </w:tc>
      </w:tr>
      <w:tr w:rsidR="00A44180" w:rsidRPr="008E3F1A" w:rsidTr="00241BD3">
        <w:tblPrEx>
          <w:tblCellMar>
            <w:top w:w="15" w:type="dxa"/>
            <w:left w:w="15" w:type="dxa"/>
            <w:bottom w:w="15" w:type="dxa"/>
            <w:right w:w="15" w:type="dxa"/>
          </w:tblCellMar>
          <w:tblLook w:val="04A0" w:firstRow="1" w:lastRow="0" w:firstColumn="1" w:lastColumn="0" w:noHBand="0" w:noVBand="1"/>
        </w:tblPrEx>
        <w:tc>
          <w:tcPr>
            <w:tcW w:w="981" w:type="dxa"/>
            <w:vAlign w:val="center"/>
            <w:hideMark/>
          </w:tcPr>
          <w:p w:rsidR="00A44180" w:rsidRPr="008E3F1A" w:rsidRDefault="00A44180" w:rsidP="00241BD3">
            <w:pPr>
              <w:jc w:val="center"/>
              <w:rPr>
                <w:rFonts w:ascii="Arial Narrow" w:hAnsi="Arial Narrow"/>
                <w:color w:val="333333"/>
                <w:sz w:val="18"/>
                <w:szCs w:val="18"/>
              </w:rPr>
            </w:pPr>
          </w:p>
        </w:tc>
        <w:tc>
          <w:tcPr>
            <w:tcW w:w="8086" w:type="dxa"/>
            <w:gridSpan w:val="7"/>
            <w:vAlign w:val="center"/>
            <w:hideMark/>
          </w:tcPr>
          <w:p w:rsidR="00A44180" w:rsidRPr="008E3F1A" w:rsidRDefault="00A44180" w:rsidP="00241BD3">
            <w:pPr>
              <w:spacing w:before="40" w:after="40"/>
              <w:rPr>
                <w:rFonts w:ascii="Arial Narrow" w:hAnsi="Arial Narrow"/>
                <w:i/>
                <w:strike/>
                <w:sz w:val="18"/>
                <w:szCs w:val="18"/>
              </w:rPr>
            </w:pPr>
            <w:r w:rsidRPr="008E3F1A">
              <w:rPr>
                <w:rFonts w:ascii="Arial Narrow" w:hAnsi="Arial Narrow"/>
                <w:strike/>
                <w:sz w:val="18"/>
                <w:szCs w:val="18"/>
              </w:rPr>
              <w:t>Patient must have histological confirmation of CD30 expression</w:t>
            </w:r>
          </w:p>
        </w:tc>
      </w:tr>
      <w:tr w:rsidR="00A44180" w:rsidRPr="008E3F1A" w:rsidTr="000345C6">
        <w:tblPrEx>
          <w:tblCellMar>
            <w:top w:w="15" w:type="dxa"/>
            <w:left w:w="15" w:type="dxa"/>
            <w:bottom w:w="15" w:type="dxa"/>
            <w:right w:w="15" w:type="dxa"/>
          </w:tblCellMar>
          <w:tblLook w:val="04A0" w:firstRow="1" w:lastRow="0" w:firstColumn="1" w:lastColumn="0" w:noHBand="0" w:noVBand="1"/>
        </w:tblPrEx>
        <w:tc>
          <w:tcPr>
            <w:tcW w:w="981" w:type="dxa"/>
            <w:vAlign w:val="center"/>
          </w:tcPr>
          <w:p w:rsidR="00A44180" w:rsidRPr="008E3F1A" w:rsidRDefault="00A44180" w:rsidP="00241BD3">
            <w:pPr>
              <w:jc w:val="center"/>
              <w:rPr>
                <w:rFonts w:ascii="Arial Narrow" w:hAnsi="Arial Narrow"/>
                <w:color w:val="333333"/>
                <w:sz w:val="18"/>
                <w:szCs w:val="18"/>
              </w:rPr>
            </w:pPr>
          </w:p>
        </w:tc>
        <w:tc>
          <w:tcPr>
            <w:tcW w:w="8086" w:type="dxa"/>
            <w:gridSpan w:val="7"/>
            <w:vAlign w:val="center"/>
            <w:hideMark/>
          </w:tcPr>
          <w:p w:rsidR="00A44180" w:rsidRPr="008E3F1A" w:rsidRDefault="00A44180" w:rsidP="00241BD3">
            <w:pPr>
              <w:rPr>
                <w:rFonts w:ascii="Arial Narrow" w:hAnsi="Arial Narrow"/>
                <w:b/>
                <w:bCs/>
                <w:color w:val="333333"/>
                <w:sz w:val="18"/>
                <w:szCs w:val="18"/>
              </w:rPr>
            </w:pPr>
            <w:r w:rsidRPr="008E3F1A">
              <w:rPr>
                <w:rFonts w:ascii="Arial Narrow" w:hAnsi="Arial Narrow"/>
                <w:b/>
                <w:bCs/>
                <w:color w:val="333333"/>
                <w:sz w:val="18"/>
                <w:szCs w:val="18"/>
              </w:rPr>
              <w:t xml:space="preserve">Prescribing Instructions: </w:t>
            </w:r>
          </w:p>
          <w:p w:rsidR="00A44180" w:rsidRPr="008E3F1A" w:rsidRDefault="00A44180" w:rsidP="00241BD3">
            <w:pPr>
              <w:rPr>
                <w:rFonts w:ascii="Arial Narrow" w:hAnsi="Arial Narrow" w:cs="Calibri"/>
                <w:i/>
                <w:iCs/>
                <w:sz w:val="18"/>
                <w:szCs w:val="18"/>
              </w:rPr>
            </w:pPr>
            <w:r w:rsidRPr="008E3F1A">
              <w:rPr>
                <w:rFonts w:ascii="Arial Narrow" w:hAnsi="Arial Narrow" w:cs="Calibri"/>
                <w:i/>
                <w:iCs/>
                <w:sz w:val="18"/>
                <w:szCs w:val="18"/>
              </w:rPr>
              <w:t xml:space="preserve">Applications for </w:t>
            </w:r>
            <w:r w:rsidRPr="008E3F1A">
              <w:rPr>
                <w:rFonts w:ascii="Arial Narrow" w:hAnsi="Arial Narrow"/>
                <w:i/>
                <w:sz w:val="18"/>
                <w:szCs w:val="18"/>
              </w:rPr>
              <w:t>authorisation</w:t>
            </w:r>
            <w:r w:rsidRPr="008E3F1A">
              <w:rPr>
                <w:rFonts w:ascii="Arial Narrow" w:hAnsi="Arial Narrow" w:cs="Calibri"/>
                <w:i/>
                <w:iCs/>
                <w:sz w:val="18"/>
                <w:szCs w:val="18"/>
              </w:rPr>
              <w:t xml:space="preserve"> of initial treatment must be in writing and must include:</w:t>
            </w:r>
            <w:r w:rsidRPr="008E3F1A">
              <w:rPr>
                <w:rFonts w:ascii="Arial Narrow" w:hAnsi="Arial Narrow" w:cs="Calibri"/>
                <w:sz w:val="18"/>
                <w:szCs w:val="18"/>
              </w:rPr>
              <w:t> </w:t>
            </w:r>
          </w:p>
          <w:p w:rsidR="00A44180" w:rsidRPr="008E3F1A" w:rsidRDefault="00A44180" w:rsidP="00241BD3">
            <w:pPr>
              <w:pStyle w:val="NormalWeb"/>
              <w:spacing w:before="0" w:after="0"/>
              <w:rPr>
                <w:rFonts w:ascii="Arial Narrow" w:hAnsi="Arial Narrow" w:cs="Calibri"/>
                <w:sz w:val="18"/>
                <w:szCs w:val="18"/>
                <w:lang w:val="en-AU"/>
              </w:rPr>
            </w:pPr>
            <w:r w:rsidRPr="008E3F1A">
              <w:rPr>
                <w:rFonts w:ascii="Arial Narrow" w:hAnsi="Arial Narrow" w:cs="Calibri"/>
                <w:i/>
                <w:iCs/>
                <w:sz w:val="18"/>
                <w:szCs w:val="18"/>
                <w:lang w:val="en-AU"/>
              </w:rPr>
              <w:t>(a) a completed authority prescription form; and</w:t>
            </w:r>
          </w:p>
          <w:p w:rsidR="00A44180" w:rsidRPr="008E3F1A" w:rsidRDefault="00A44180" w:rsidP="00241BD3">
            <w:pPr>
              <w:pStyle w:val="NormalWeb"/>
              <w:spacing w:before="0" w:after="0"/>
              <w:rPr>
                <w:rFonts w:ascii="Arial Narrow" w:hAnsi="Arial Narrow" w:cs="Calibri"/>
                <w:sz w:val="18"/>
                <w:szCs w:val="18"/>
                <w:lang w:val="en-AU"/>
              </w:rPr>
            </w:pPr>
            <w:r w:rsidRPr="008E3F1A">
              <w:rPr>
                <w:rFonts w:ascii="Arial Narrow" w:hAnsi="Arial Narrow" w:cs="Calibri"/>
                <w:i/>
                <w:iCs/>
                <w:sz w:val="18"/>
                <w:szCs w:val="18"/>
                <w:lang w:val="en-AU"/>
              </w:rPr>
              <w:t xml:space="preserve">(b) a completed Peripheral T cell lymphoma Brentuximab PBS Authority Application - Supporting Information Form which includes the following: </w:t>
            </w:r>
          </w:p>
          <w:p w:rsidR="00A44180" w:rsidRPr="008E3F1A" w:rsidRDefault="00A44180" w:rsidP="00241BD3">
            <w:pPr>
              <w:pStyle w:val="NormalWeb"/>
              <w:spacing w:before="0" w:after="0"/>
              <w:rPr>
                <w:rFonts w:ascii="Arial Narrow" w:hAnsi="Arial Narrow" w:cs="Calibri"/>
                <w:sz w:val="18"/>
                <w:szCs w:val="18"/>
                <w:lang w:val="en-AU"/>
              </w:rPr>
            </w:pPr>
            <w:r w:rsidRPr="008E3F1A">
              <w:rPr>
                <w:rFonts w:ascii="Arial Narrow" w:hAnsi="Arial Narrow" w:cs="Calibri"/>
                <w:i/>
                <w:iCs/>
                <w:sz w:val="18"/>
                <w:szCs w:val="18"/>
                <w:lang w:val="en-AU"/>
              </w:rPr>
              <w:t>(i) a histology report including evidence of the tumour's CD30 positivity;</w:t>
            </w:r>
          </w:p>
          <w:p w:rsidR="00A44180" w:rsidRPr="008E3F1A" w:rsidRDefault="00A44180" w:rsidP="00241BD3">
            <w:pPr>
              <w:rPr>
                <w:rFonts w:ascii="Arial Narrow" w:hAnsi="Arial Narrow"/>
                <w:color w:val="FF00FF"/>
                <w:sz w:val="18"/>
                <w:szCs w:val="18"/>
              </w:rPr>
            </w:pPr>
            <w:r w:rsidRPr="008E3F1A">
              <w:rPr>
                <w:rFonts w:ascii="Arial Narrow" w:hAnsi="Arial Narrow" w:cs="Calibri"/>
                <w:i/>
                <w:iCs/>
                <w:sz w:val="18"/>
                <w:szCs w:val="18"/>
              </w:rPr>
              <w:t>(ii) The date of initial diagnosis of Peripheral T cell lymphoma cell lymphoma;</w:t>
            </w:r>
          </w:p>
          <w:p w:rsidR="00A44180" w:rsidRPr="008E3F1A" w:rsidRDefault="00A44180" w:rsidP="00241BD3">
            <w:pPr>
              <w:rPr>
                <w:rFonts w:ascii="Arial Narrow" w:hAnsi="Arial Narrow"/>
                <w:color w:val="333333"/>
                <w:sz w:val="18"/>
                <w:szCs w:val="18"/>
              </w:rPr>
            </w:pPr>
          </w:p>
        </w:tc>
      </w:tr>
      <w:tr w:rsidR="00A44180" w:rsidRPr="008E3F1A" w:rsidTr="000345C6">
        <w:tblPrEx>
          <w:tblCellMar>
            <w:top w:w="15" w:type="dxa"/>
            <w:left w:w="15" w:type="dxa"/>
            <w:bottom w:w="15" w:type="dxa"/>
            <w:right w:w="15" w:type="dxa"/>
          </w:tblCellMar>
          <w:tblLook w:val="04A0" w:firstRow="1" w:lastRow="0" w:firstColumn="1" w:lastColumn="0" w:noHBand="0" w:noVBand="1"/>
        </w:tblPrEx>
        <w:tc>
          <w:tcPr>
            <w:tcW w:w="981" w:type="dxa"/>
            <w:vAlign w:val="center"/>
          </w:tcPr>
          <w:p w:rsidR="00A44180" w:rsidRPr="008E3F1A" w:rsidRDefault="00A44180" w:rsidP="00241BD3">
            <w:pPr>
              <w:jc w:val="center"/>
              <w:rPr>
                <w:rFonts w:ascii="Arial Narrow" w:hAnsi="Arial Narrow"/>
                <w:color w:val="333333"/>
                <w:sz w:val="18"/>
                <w:szCs w:val="18"/>
              </w:rPr>
            </w:pPr>
          </w:p>
        </w:tc>
        <w:tc>
          <w:tcPr>
            <w:tcW w:w="8086" w:type="dxa"/>
            <w:gridSpan w:val="7"/>
            <w:vAlign w:val="center"/>
            <w:hideMark/>
          </w:tcPr>
          <w:p w:rsidR="00A44180" w:rsidRPr="008E3F1A" w:rsidRDefault="00A44180" w:rsidP="00241BD3">
            <w:pPr>
              <w:rPr>
                <w:rFonts w:ascii="Arial Narrow" w:hAnsi="Arial Narrow"/>
                <w:bCs/>
                <w:i/>
                <w:color w:val="333333"/>
                <w:sz w:val="18"/>
                <w:szCs w:val="18"/>
              </w:rPr>
            </w:pPr>
            <w:r w:rsidRPr="008E3F1A">
              <w:rPr>
                <w:rFonts w:ascii="Arial Narrow" w:hAnsi="Arial Narrow"/>
                <w:b/>
                <w:bCs/>
                <w:color w:val="333333"/>
                <w:sz w:val="18"/>
                <w:szCs w:val="18"/>
              </w:rPr>
              <w:t xml:space="preserve">Administrative Advice: </w:t>
            </w:r>
            <w:r w:rsidRPr="008E3F1A">
              <w:rPr>
                <w:rFonts w:ascii="Arial Narrow" w:hAnsi="Arial Narrow"/>
                <w:bCs/>
                <w:i/>
                <w:color w:val="333333"/>
                <w:sz w:val="18"/>
                <w:szCs w:val="18"/>
              </w:rPr>
              <w:t>This product is not PBS-subsidised for the treatment of CD30 positive cutaneous T-cell lymphoma.</w:t>
            </w:r>
          </w:p>
          <w:p w:rsidR="00A44180" w:rsidRPr="008E3F1A" w:rsidRDefault="00A44180" w:rsidP="00241BD3">
            <w:pPr>
              <w:rPr>
                <w:rFonts w:ascii="Arial Narrow" w:hAnsi="Arial Narrow"/>
                <w:color w:val="333333"/>
                <w:sz w:val="18"/>
                <w:szCs w:val="18"/>
              </w:rPr>
            </w:pPr>
          </w:p>
        </w:tc>
      </w:tr>
      <w:tr w:rsidR="00A44180" w:rsidRPr="008E3F1A" w:rsidTr="000345C6">
        <w:tblPrEx>
          <w:tblCellMar>
            <w:top w:w="15" w:type="dxa"/>
            <w:left w:w="15" w:type="dxa"/>
            <w:bottom w:w="15" w:type="dxa"/>
            <w:right w:w="15" w:type="dxa"/>
          </w:tblCellMar>
          <w:tblLook w:val="04A0" w:firstRow="1" w:lastRow="0" w:firstColumn="1" w:lastColumn="0" w:noHBand="0" w:noVBand="1"/>
        </w:tblPrEx>
        <w:tc>
          <w:tcPr>
            <w:tcW w:w="981" w:type="dxa"/>
            <w:vAlign w:val="center"/>
          </w:tcPr>
          <w:p w:rsidR="00A44180" w:rsidRPr="008E3F1A" w:rsidRDefault="00A44180" w:rsidP="00241BD3">
            <w:pPr>
              <w:jc w:val="center"/>
              <w:rPr>
                <w:rFonts w:ascii="Arial Narrow" w:hAnsi="Arial Narrow"/>
                <w:color w:val="333333"/>
                <w:sz w:val="18"/>
                <w:szCs w:val="18"/>
              </w:rPr>
            </w:pPr>
          </w:p>
        </w:tc>
        <w:tc>
          <w:tcPr>
            <w:tcW w:w="8086" w:type="dxa"/>
            <w:gridSpan w:val="7"/>
            <w:vAlign w:val="center"/>
            <w:hideMark/>
          </w:tcPr>
          <w:p w:rsidR="00A44180" w:rsidRPr="008E3F1A" w:rsidRDefault="00A44180" w:rsidP="00241BD3">
            <w:pPr>
              <w:rPr>
                <w:rFonts w:ascii="Arial Narrow" w:hAnsi="Arial Narrow"/>
                <w:color w:val="333333"/>
                <w:sz w:val="18"/>
                <w:szCs w:val="18"/>
              </w:rPr>
            </w:pPr>
            <w:r w:rsidRPr="008E3F1A">
              <w:rPr>
                <w:rFonts w:ascii="Arial Narrow" w:hAnsi="Arial Narrow"/>
                <w:b/>
                <w:bCs/>
                <w:color w:val="333333"/>
                <w:sz w:val="18"/>
                <w:szCs w:val="18"/>
              </w:rPr>
              <w:t>Administrative Advice:</w:t>
            </w:r>
          </w:p>
          <w:p w:rsidR="00A44180" w:rsidRPr="008E3F1A" w:rsidRDefault="00A44180" w:rsidP="00241BD3">
            <w:pPr>
              <w:spacing w:before="40" w:after="80"/>
              <w:rPr>
                <w:rFonts w:ascii="Arial Narrow" w:hAnsi="Arial Narrow"/>
                <w:strike/>
                <w:sz w:val="18"/>
              </w:rPr>
            </w:pPr>
            <w:r w:rsidRPr="008E3F1A">
              <w:rPr>
                <w:rFonts w:ascii="Arial Narrow" w:hAnsi="Arial Narrow"/>
                <w:iCs/>
                <w:strike/>
                <w:sz w:val="18"/>
                <w:szCs w:val="18"/>
              </w:rPr>
              <w:t>A maximum quantity and number of repeats to provide for a total course of brentuximab vedotin of six initial cycles will be authorised.</w:t>
            </w:r>
          </w:p>
        </w:tc>
      </w:tr>
      <w:tr w:rsidR="00A44180" w:rsidRPr="008E3F1A" w:rsidTr="00241BD3">
        <w:tblPrEx>
          <w:tblCellMar>
            <w:top w:w="15" w:type="dxa"/>
            <w:left w:w="15" w:type="dxa"/>
            <w:bottom w:w="15" w:type="dxa"/>
            <w:right w:w="15" w:type="dxa"/>
          </w:tblCellMar>
          <w:tblLook w:val="04A0" w:firstRow="1" w:lastRow="0" w:firstColumn="1" w:lastColumn="0" w:noHBand="0" w:noVBand="1"/>
        </w:tblPrEx>
        <w:tc>
          <w:tcPr>
            <w:tcW w:w="981" w:type="dxa"/>
            <w:vAlign w:val="center"/>
          </w:tcPr>
          <w:p w:rsidR="00A44180" w:rsidRPr="008E3F1A" w:rsidRDefault="00A44180" w:rsidP="00241BD3">
            <w:pPr>
              <w:jc w:val="center"/>
              <w:rPr>
                <w:rFonts w:ascii="Arial Narrow" w:hAnsi="Arial Narrow" w:cs="Calibri"/>
                <w:i/>
                <w:iCs/>
                <w:sz w:val="18"/>
                <w:szCs w:val="18"/>
              </w:rPr>
            </w:pPr>
          </w:p>
        </w:tc>
        <w:tc>
          <w:tcPr>
            <w:tcW w:w="8086" w:type="dxa"/>
            <w:gridSpan w:val="7"/>
            <w:vAlign w:val="center"/>
          </w:tcPr>
          <w:p w:rsidR="00A44180" w:rsidRPr="008E3F1A" w:rsidRDefault="00A44180" w:rsidP="00241BD3">
            <w:pPr>
              <w:pStyle w:val="NormalWeb"/>
              <w:spacing w:before="0" w:after="0"/>
              <w:rPr>
                <w:rFonts w:ascii="Arial Narrow" w:hAnsi="Arial Narrow" w:cs="Calibri"/>
                <w:b/>
                <w:iCs/>
                <w:sz w:val="18"/>
                <w:szCs w:val="18"/>
                <w:lang w:val="en-AU"/>
              </w:rPr>
            </w:pPr>
            <w:r w:rsidRPr="008E3F1A">
              <w:rPr>
                <w:rFonts w:ascii="Arial Narrow" w:hAnsi="Arial Narrow" w:cs="Calibri"/>
                <w:b/>
                <w:iCs/>
                <w:sz w:val="18"/>
                <w:szCs w:val="18"/>
                <w:lang w:val="en-AU"/>
              </w:rPr>
              <w:t xml:space="preserve">Administrative Advice: </w:t>
            </w:r>
          </w:p>
          <w:p w:rsidR="00A44180" w:rsidRPr="008E3F1A" w:rsidRDefault="00A44180" w:rsidP="00241BD3">
            <w:pPr>
              <w:pStyle w:val="NormalWeb"/>
              <w:spacing w:before="0" w:after="0"/>
              <w:rPr>
                <w:rFonts w:ascii="Arial Narrow" w:hAnsi="Arial Narrow" w:cs="Calibri"/>
                <w:i/>
                <w:iCs/>
                <w:sz w:val="18"/>
                <w:szCs w:val="18"/>
                <w:lang w:val="en-AU"/>
              </w:rPr>
            </w:pPr>
            <w:r w:rsidRPr="008E3F1A">
              <w:rPr>
                <w:rFonts w:ascii="Arial Narrow" w:hAnsi="Arial Narrow" w:cs="Calibri"/>
                <w:i/>
                <w:iCs/>
                <w:sz w:val="18"/>
                <w:szCs w:val="18"/>
                <w:lang w:val="en-AU"/>
              </w:rPr>
              <w:t xml:space="preserve">Any queries concerning the arrangements to prescribe may be directed to Services Australia 1800 700 270 (hours of operation 8 a.m. to 5 p.m. EST Monday to Friday). </w:t>
            </w:r>
          </w:p>
          <w:p w:rsidR="00A44180" w:rsidRPr="008E3F1A" w:rsidRDefault="00A44180" w:rsidP="00241BD3">
            <w:pPr>
              <w:pStyle w:val="NormalWeb"/>
              <w:spacing w:before="0" w:after="0"/>
              <w:rPr>
                <w:rFonts w:ascii="Arial Narrow" w:hAnsi="Arial Narrow" w:cs="Calibri"/>
                <w:i/>
                <w:iCs/>
                <w:sz w:val="18"/>
                <w:szCs w:val="18"/>
                <w:lang w:val="en-AU"/>
              </w:rPr>
            </w:pPr>
            <w:r w:rsidRPr="008E3F1A">
              <w:rPr>
                <w:rFonts w:ascii="Arial Narrow" w:hAnsi="Arial Narrow" w:cs="Calibri"/>
                <w:i/>
                <w:iCs/>
                <w:sz w:val="18"/>
                <w:szCs w:val="18"/>
                <w:lang w:val="en-AU"/>
              </w:rPr>
              <w:t xml:space="preserve">Prescribing information (including Authority Application forms and other relevant documentation as applicable) is available on the Services Australia website at </w:t>
            </w:r>
            <w:r w:rsidRPr="008E3F1A">
              <w:rPr>
                <w:rFonts w:ascii="Arial Narrow" w:hAnsi="Arial Narrow" w:cs="Calibri"/>
                <w:sz w:val="18"/>
                <w:szCs w:val="18"/>
                <w:lang w:val="en-AU"/>
              </w:rPr>
              <w:t>www.servicesaustralia.gov.au</w:t>
            </w:r>
            <w:r w:rsidRPr="008E3F1A">
              <w:rPr>
                <w:rFonts w:ascii="Arial Narrow" w:hAnsi="Arial Narrow" w:cs="Calibri"/>
                <w:i/>
                <w:iCs/>
                <w:sz w:val="18"/>
                <w:szCs w:val="18"/>
                <w:lang w:val="en-AU"/>
              </w:rPr>
              <w:t xml:space="preserve"> </w:t>
            </w:r>
          </w:p>
          <w:p w:rsidR="00A44180" w:rsidRPr="008E3F1A" w:rsidRDefault="00A44180" w:rsidP="00241BD3">
            <w:pPr>
              <w:pStyle w:val="NormalWeb"/>
              <w:spacing w:before="0" w:after="0"/>
              <w:rPr>
                <w:rFonts w:ascii="Arial Narrow" w:hAnsi="Arial Narrow" w:cs="Calibri"/>
                <w:i/>
                <w:iCs/>
                <w:sz w:val="18"/>
                <w:szCs w:val="18"/>
                <w:lang w:val="en-AU"/>
              </w:rPr>
            </w:pPr>
            <w:r w:rsidRPr="008E3F1A">
              <w:rPr>
                <w:rFonts w:ascii="Arial Narrow" w:hAnsi="Arial Narrow" w:cs="Calibri"/>
                <w:i/>
                <w:iCs/>
                <w:sz w:val="18"/>
                <w:szCs w:val="18"/>
                <w:lang w:val="en-AU"/>
              </w:rPr>
              <w:t xml:space="preserve">Applications for authority to prescribe should be submitted online using the form upload facility in Health Professional Online Services (HPOS) at </w:t>
            </w:r>
            <w:r w:rsidRPr="008E3F1A">
              <w:rPr>
                <w:rFonts w:ascii="Arial Narrow" w:hAnsi="Arial Narrow" w:cs="Calibri"/>
                <w:sz w:val="18"/>
                <w:szCs w:val="18"/>
                <w:lang w:val="en-AU"/>
              </w:rPr>
              <w:t>www.servicesaustralia.gov.au/hpos</w:t>
            </w:r>
            <w:r w:rsidRPr="008E3F1A">
              <w:rPr>
                <w:rFonts w:ascii="Arial Narrow" w:hAnsi="Arial Narrow" w:cs="Calibri"/>
                <w:i/>
                <w:iCs/>
                <w:sz w:val="18"/>
                <w:szCs w:val="18"/>
                <w:lang w:val="en-AU"/>
              </w:rPr>
              <w:t xml:space="preserve"> </w:t>
            </w:r>
          </w:p>
          <w:p w:rsidR="00A44180" w:rsidRPr="008E3F1A" w:rsidRDefault="00A44180" w:rsidP="00241BD3">
            <w:pPr>
              <w:pStyle w:val="NormalWeb"/>
              <w:spacing w:before="0" w:after="0"/>
              <w:rPr>
                <w:rFonts w:ascii="Arial Narrow" w:hAnsi="Arial Narrow" w:cs="Calibri"/>
                <w:i/>
                <w:iCs/>
                <w:sz w:val="18"/>
                <w:szCs w:val="18"/>
                <w:lang w:val="en-AU"/>
              </w:rPr>
            </w:pPr>
            <w:r w:rsidRPr="008E3F1A">
              <w:rPr>
                <w:rFonts w:ascii="Arial Narrow" w:hAnsi="Arial Narrow" w:cs="Calibri"/>
                <w:i/>
                <w:iCs/>
                <w:sz w:val="18"/>
                <w:szCs w:val="18"/>
                <w:lang w:val="en-AU"/>
              </w:rPr>
              <w:t>Or mailed to:</w:t>
            </w:r>
          </w:p>
          <w:p w:rsidR="00A44180" w:rsidRPr="008E3F1A" w:rsidRDefault="00A44180" w:rsidP="00241BD3">
            <w:pPr>
              <w:pStyle w:val="NormalWeb"/>
              <w:spacing w:before="0" w:after="0"/>
              <w:rPr>
                <w:rFonts w:ascii="Arial Narrow" w:hAnsi="Arial Narrow" w:cs="Calibri"/>
                <w:i/>
                <w:iCs/>
                <w:sz w:val="18"/>
                <w:szCs w:val="18"/>
                <w:lang w:val="en-AU"/>
              </w:rPr>
            </w:pPr>
            <w:r w:rsidRPr="008E3F1A">
              <w:rPr>
                <w:rFonts w:ascii="Arial Narrow" w:hAnsi="Arial Narrow" w:cs="Calibri"/>
                <w:i/>
                <w:iCs/>
                <w:sz w:val="18"/>
                <w:szCs w:val="18"/>
                <w:lang w:val="en-AU"/>
              </w:rPr>
              <w:t>Services Australia</w:t>
            </w:r>
          </w:p>
          <w:p w:rsidR="00A44180" w:rsidRPr="008E3F1A" w:rsidRDefault="00A44180" w:rsidP="00241BD3">
            <w:pPr>
              <w:pStyle w:val="NormalWeb"/>
              <w:spacing w:before="0" w:after="0"/>
              <w:rPr>
                <w:rFonts w:ascii="Arial Narrow" w:hAnsi="Arial Narrow" w:cs="Calibri"/>
                <w:i/>
                <w:iCs/>
                <w:sz w:val="18"/>
                <w:szCs w:val="18"/>
                <w:lang w:val="en-AU"/>
              </w:rPr>
            </w:pPr>
            <w:r w:rsidRPr="008E3F1A">
              <w:rPr>
                <w:rFonts w:ascii="Arial Narrow" w:hAnsi="Arial Narrow" w:cs="Calibri"/>
                <w:i/>
                <w:iCs/>
                <w:sz w:val="18"/>
                <w:szCs w:val="18"/>
                <w:lang w:val="en-AU"/>
              </w:rPr>
              <w:t>Complex Drugs</w:t>
            </w:r>
          </w:p>
          <w:p w:rsidR="00A44180" w:rsidRPr="008E3F1A" w:rsidRDefault="00A44180" w:rsidP="00241BD3">
            <w:pPr>
              <w:pStyle w:val="NormalWeb"/>
              <w:spacing w:before="0" w:after="0"/>
              <w:rPr>
                <w:rFonts w:ascii="Arial Narrow" w:hAnsi="Arial Narrow" w:cs="Calibri"/>
                <w:i/>
                <w:iCs/>
                <w:sz w:val="18"/>
                <w:szCs w:val="18"/>
                <w:lang w:val="en-AU"/>
              </w:rPr>
            </w:pPr>
            <w:r w:rsidRPr="008E3F1A">
              <w:rPr>
                <w:rFonts w:ascii="Arial Narrow" w:hAnsi="Arial Narrow" w:cs="Calibri"/>
                <w:i/>
                <w:iCs/>
                <w:sz w:val="18"/>
                <w:szCs w:val="18"/>
                <w:lang w:val="en-AU"/>
              </w:rPr>
              <w:t>Reply Paid 9826</w:t>
            </w:r>
          </w:p>
          <w:p w:rsidR="00A44180" w:rsidRPr="008E3F1A" w:rsidRDefault="00A44180" w:rsidP="00241BD3">
            <w:pPr>
              <w:pStyle w:val="NormalWeb"/>
              <w:spacing w:before="0" w:after="0"/>
              <w:rPr>
                <w:rFonts w:ascii="Arial Narrow" w:hAnsi="Arial Narrow" w:cs="Calibri"/>
                <w:i/>
                <w:iCs/>
                <w:sz w:val="18"/>
                <w:szCs w:val="18"/>
                <w:lang w:val="en-AU"/>
              </w:rPr>
            </w:pPr>
            <w:r w:rsidRPr="008E3F1A">
              <w:rPr>
                <w:rFonts w:ascii="Arial Narrow" w:hAnsi="Arial Narrow" w:cs="Calibri"/>
                <w:i/>
                <w:iCs/>
                <w:sz w:val="18"/>
                <w:szCs w:val="18"/>
                <w:lang w:val="en-AU"/>
              </w:rPr>
              <w:t>HOBART TAS 7001</w:t>
            </w:r>
          </w:p>
          <w:p w:rsidR="00A44180" w:rsidRPr="008E3F1A" w:rsidRDefault="00A44180" w:rsidP="00241BD3">
            <w:pPr>
              <w:pStyle w:val="NormalWeb"/>
              <w:spacing w:before="0" w:after="0"/>
              <w:rPr>
                <w:rFonts w:ascii="Arial Narrow" w:hAnsi="Arial Narrow" w:cs="Calibri"/>
                <w:i/>
                <w:iCs/>
                <w:sz w:val="18"/>
                <w:szCs w:val="18"/>
                <w:lang w:val="en-AU"/>
              </w:rPr>
            </w:pPr>
          </w:p>
        </w:tc>
      </w:tr>
    </w:tbl>
    <w:p w:rsidR="00A44180" w:rsidRPr="008E3F1A" w:rsidRDefault="00A44180" w:rsidP="00F82AEC">
      <w:pPr>
        <w:pStyle w:val="3-BodyText"/>
        <w:numPr>
          <w:ilvl w:val="0"/>
          <w:numId w:val="0"/>
        </w:numPr>
        <w:ind w:left="720" w:hanging="720"/>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6"/>
        <w:gridCol w:w="1418"/>
        <w:gridCol w:w="1276"/>
        <w:gridCol w:w="709"/>
        <w:gridCol w:w="708"/>
        <w:gridCol w:w="2268"/>
        <w:gridCol w:w="1701"/>
      </w:tblGrid>
      <w:tr w:rsidR="00F82AEC" w:rsidRPr="008E3F1A" w:rsidTr="00F82AEC">
        <w:trPr>
          <w:cantSplit/>
          <w:trHeight w:val="471"/>
        </w:trPr>
        <w:tc>
          <w:tcPr>
            <w:tcW w:w="2405" w:type="dxa"/>
            <w:gridSpan w:val="3"/>
          </w:tcPr>
          <w:p w:rsidR="00F82AEC" w:rsidRPr="008E3F1A" w:rsidRDefault="00F82AEC" w:rsidP="00F82AEC">
            <w:pPr>
              <w:keepNext/>
              <w:rPr>
                <w:rFonts w:ascii="Arial Narrow" w:hAnsi="Arial Narrow"/>
                <w:b/>
                <w:sz w:val="18"/>
                <w:szCs w:val="18"/>
              </w:rPr>
            </w:pPr>
            <w:r w:rsidRPr="008E3F1A">
              <w:rPr>
                <w:rFonts w:ascii="Arial Narrow" w:hAnsi="Arial Narrow"/>
                <w:b/>
                <w:sz w:val="18"/>
                <w:szCs w:val="18"/>
              </w:rPr>
              <w:t>MEDICINAL PRODUCT</w:t>
            </w:r>
          </w:p>
          <w:p w:rsidR="00F82AEC" w:rsidRPr="008E3F1A" w:rsidRDefault="00F82AEC" w:rsidP="00F82AEC">
            <w:pPr>
              <w:keepNext/>
              <w:rPr>
                <w:rFonts w:ascii="Arial Narrow" w:hAnsi="Arial Narrow"/>
                <w:b/>
                <w:sz w:val="18"/>
                <w:szCs w:val="18"/>
              </w:rPr>
            </w:pPr>
            <w:r w:rsidRPr="008E3F1A">
              <w:rPr>
                <w:rFonts w:ascii="Arial Narrow" w:hAnsi="Arial Narrow"/>
                <w:b/>
                <w:sz w:val="18"/>
                <w:szCs w:val="18"/>
              </w:rPr>
              <w:t>Form</w:t>
            </w:r>
          </w:p>
        </w:tc>
        <w:tc>
          <w:tcPr>
            <w:tcW w:w="1276" w:type="dxa"/>
          </w:tcPr>
          <w:p w:rsidR="00F82AEC" w:rsidRPr="008E3F1A" w:rsidRDefault="00F82AEC" w:rsidP="00F82AEC">
            <w:pPr>
              <w:keepNext/>
              <w:ind w:left="-108"/>
              <w:jc w:val="center"/>
              <w:rPr>
                <w:rFonts w:ascii="Arial Narrow" w:hAnsi="Arial Narrow"/>
                <w:b/>
                <w:sz w:val="18"/>
                <w:szCs w:val="18"/>
              </w:rPr>
            </w:pPr>
            <w:r w:rsidRPr="008E3F1A">
              <w:rPr>
                <w:rFonts w:ascii="Arial Narrow" w:hAnsi="Arial Narrow"/>
                <w:b/>
                <w:sz w:val="18"/>
                <w:szCs w:val="18"/>
              </w:rPr>
              <w:t>PBS item code</w:t>
            </w:r>
          </w:p>
        </w:tc>
        <w:tc>
          <w:tcPr>
            <w:tcW w:w="709" w:type="dxa"/>
          </w:tcPr>
          <w:p w:rsidR="00F82AEC" w:rsidRPr="008E3F1A" w:rsidRDefault="00F82AEC" w:rsidP="00F82AEC">
            <w:pPr>
              <w:keepNext/>
              <w:ind w:left="-108"/>
              <w:jc w:val="center"/>
              <w:rPr>
                <w:rFonts w:ascii="Arial Narrow" w:hAnsi="Arial Narrow"/>
                <w:b/>
                <w:sz w:val="18"/>
                <w:szCs w:val="18"/>
              </w:rPr>
            </w:pPr>
            <w:r w:rsidRPr="008E3F1A">
              <w:rPr>
                <w:rFonts w:ascii="Arial Narrow" w:hAnsi="Arial Narrow"/>
                <w:b/>
                <w:sz w:val="18"/>
                <w:szCs w:val="18"/>
              </w:rPr>
              <w:t>Max.</w:t>
            </w:r>
          </w:p>
          <w:p w:rsidR="00F82AEC" w:rsidRPr="008E3F1A" w:rsidRDefault="00F82AEC" w:rsidP="00F82AEC">
            <w:pPr>
              <w:keepNext/>
              <w:ind w:left="-108"/>
              <w:jc w:val="center"/>
              <w:rPr>
                <w:rFonts w:ascii="Arial Narrow" w:hAnsi="Arial Narrow"/>
                <w:b/>
                <w:sz w:val="18"/>
                <w:szCs w:val="18"/>
              </w:rPr>
            </w:pPr>
            <w:r w:rsidRPr="008E3F1A">
              <w:rPr>
                <w:rFonts w:ascii="Arial Narrow" w:hAnsi="Arial Narrow"/>
                <w:b/>
                <w:sz w:val="18"/>
                <w:szCs w:val="18"/>
              </w:rPr>
              <w:t>Amount</w:t>
            </w:r>
          </w:p>
        </w:tc>
        <w:tc>
          <w:tcPr>
            <w:tcW w:w="708" w:type="dxa"/>
          </w:tcPr>
          <w:p w:rsidR="00F82AEC" w:rsidRPr="008E3F1A" w:rsidRDefault="00F82AEC" w:rsidP="00F82AEC">
            <w:pPr>
              <w:keepNext/>
              <w:ind w:left="-108"/>
              <w:jc w:val="center"/>
              <w:rPr>
                <w:rFonts w:ascii="Arial Narrow" w:hAnsi="Arial Narrow"/>
                <w:b/>
                <w:sz w:val="18"/>
                <w:szCs w:val="18"/>
              </w:rPr>
            </w:pPr>
            <w:r w:rsidRPr="008E3F1A">
              <w:rPr>
                <w:rFonts w:ascii="Arial Narrow" w:hAnsi="Arial Narrow"/>
                <w:b/>
                <w:sz w:val="18"/>
                <w:szCs w:val="18"/>
              </w:rPr>
              <w:t>№.of</w:t>
            </w:r>
          </w:p>
          <w:p w:rsidR="00F82AEC" w:rsidRPr="008E3F1A" w:rsidRDefault="00F82AEC" w:rsidP="00F82AEC">
            <w:pPr>
              <w:keepNext/>
              <w:ind w:left="-108"/>
              <w:jc w:val="center"/>
              <w:rPr>
                <w:rFonts w:ascii="Arial Narrow" w:hAnsi="Arial Narrow"/>
                <w:b/>
                <w:sz w:val="18"/>
                <w:szCs w:val="18"/>
              </w:rPr>
            </w:pPr>
            <w:r w:rsidRPr="008E3F1A">
              <w:rPr>
                <w:rFonts w:ascii="Arial Narrow" w:hAnsi="Arial Narrow"/>
                <w:b/>
                <w:sz w:val="18"/>
                <w:szCs w:val="18"/>
              </w:rPr>
              <w:t>Rpts</w:t>
            </w:r>
          </w:p>
        </w:tc>
        <w:tc>
          <w:tcPr>
            <w:tcW w:w="2268" w:type="dxa"/>
          </w:tcPr>
          <w:p w:rsidR="00F82AEC" w:rsidRPr="008E3F1A" w:rsidRDefault="00F82AEC" w:rsidP="00F82AEC">
            <w:pPr>
              <w:keepNext/>
              <w:ind w:left="-108"/>
              <w:rPr>
                <w:rFonts w:ascii="Arial Narrow" w:hAnsi="Arial Narrow"/>
                <w:b/>
                <w:sz w:val="18"/>
                <w:szCs w:val="18"/>
              </w:rPr>
            </w:pPr>
            <w:r w:rsidRPr="008E3F1A">
              <w:rPr>
                <w:rFonts w:ascii="Arial Narrow" w:hAnsi="Arial Narrow"/>
                <w:b/>
                <w:sz w:val="18"/>
                <w:szCs w:val="18"/>
              </w:rPr>
              <w:t>Dispensed Price for Max. Amt</w:t>
            </w:r>
          </w:p>
        </w:tc>
        <w:tc>
          <w:tcPr>
            <w:tcW w:w="1701" w:type="dxa"/>
          </w:tcPr>
          <w:p w:rsidR="00F82AEC" w:rsidRPr="008E3F1A" w:rsidRDefault="00F82AEC" w:rsidP="00F82AEC">
            <w:pPr>
              <w:keepNext/>
              <w:rPr>
                <w:rFonts w:ascii="Arial Narrow" w:hAnsi="Arial Narrow"/>
                <w:b/>
                <w:sz w:val="18"/>
                <w:szCs w:val="18"/>
              </w:rPr>
            </w:pPr>
            <w:r w:rsidRPr="008E3F1A">
              <w:rPr>
                <w:rFonts w:ascii="Arial Narrow" w:hAnsi="Arial Narrow"/>
                <w:b/>
                <w:sz w:val="18"/>
                <w:szCs w:val="18"/>
              </w:rPr>
              <w:t>Manufacturer</w:t>
            </w:r>
          </w:p>
        </w:tc>
      </w:tr>
      <w:tr w:rsidR="00F82AEC" w:rsidRPr="008E3F1A" w:rsidTr="00F82AEC">
        <w:trPr>
          <w:cantSplit/>
          <w:trHeight w:val="577"/>
        </w:trPr>
        <w:tc>
          <w:tcPr>
            <w:tcW w:w="2405" w:type="dxa"/>
            <w:gridSpan w:val="3"/>
          </w:tcPr>
          <w:p w:rsidR="00F82AEC" w:rsidRPr="008E3F1A" w:rsidRDefault="00F82AEC" w:rsidP="00F82AEC">
            <w:pPr>
              <w:pStyle w:val="TableText0"/>
              <w:rPr>
                <w:rFonts w:ascii="Arial" w:hAnsi="Arial"/>
                <w:sz w:val="18"/>
                <w:szCs w:val="18"/>
              </w:rPr>
            </w:pPr>
            <w:r w:rsidRPr="008E3F1A">
              <w:rPr>
                <w:rFonts w:ascii="Arial" w:hAnsi="Arial"/>
                <w:sz w:val="18"/>
                <w:szCs w:val="18"/>
              </w:rPr>
              <w:t xml:space="preserve">BRENTUXIMAB VEDOTIN </w:t>
            </w:r>
          </w:p>
          <w:p w:rsidR="00F82AEC" w:rsidRPr="008E3F1A" w:rsidRDefault="00F82AEC" w:rsidP="00F82AEC">
            <w:pPr>
              <w:keepNext/>
              <w:rPr>
                <w:rFonts w:ascii="Arial Narrow" w:hAnsi="Arial Narrow"/>
                <w:sz w:val="18"/>
                <w:szCs w:val="18"/>
              </w:rPr>
            </w:pPr>
            <w:r w:rsidRPr="008E3F1A">
              <w:rPr>
                <w:rFonts w:ascii="Arial Narrow" w:hAnsi="Arial Narrow" w:cs="Arial Narrow"/>
                <w:sz w:val="18"/>
                <w:szCs w:val="18"/>
              </w:rPr>
              <w:t>Injection</w:t>
            </w:r>
          </w:p>
        </w:tc>
        <w:tc>
          <w:tcPr>
            <w:tcW w:w="1276" w:type="dxa"/>
          </w:tcPr>
          <w:p w:rsidR="00F82AEC" w:rsidRPr="008E3F1A" w:rsidRDefault="00F82AEC" w:rsidP="00F82AEC">
            <w:pPr>
              <w:keepNext/>
              <w:jc w:val="center"/>
              <w:rPr>
                <w:rFonts w:ascii="Arial Narrow" w:hAnsi="Arial Narrow"/>
                <w:sz w:val="18"/>
                <w:szCs w:val="18"/>
              </w:rPr>
            </w:pPr>
            <w:r w:rsidRPr="008E3F1A">
              <w:rPr>
                <w:rFonts w:ascii="Arial Narrow" w:hAnsi="Arial Narrow"/>
                <w:sz w:val="18"/>
                <w:szCs w:val="18"/>
              </w:rPr>
              <w:t>NEW (Public)</w:t>
            </w:r>
            <w:r w:rsidRPr="008E3F1A">
              <w:rPr>
                <w:rFonts w:ascii="Arial Narrow" w:hAnsi="Arial Narrow"/>
                <w:sz w:val="18"/>
                <w:szCs w:val="18"/>
              </w:rPr>
              <w:br/>
              <w:t>NEW (Private)</w:t>
            </w:r>
          </w:p>
        </w:tc>
        <w:tc>
          <w:tcPr>
            <w:tcW w:w="709" w:type="dxa"/>
          </w:tcPr>
          <w:p w:rsidR="00F82AEC" w:rsidRPr="008E3F1A" w:rsidRDefault="00F82AEC" w:rsidP="00F82AEC">
            <w:pPr>
              <w:keepNext/>
              <w:jc w:val="center"/>
              <w:rPr>
                <w:rFonts w:ascii="Arial Narrow" w:hAnsi="Arial Narrow"/>
                <w:sz w:val="18"/>
                <w:szCs w:val="18"/>
              </w:rPr>
            </w:pPr>
            <w:r w:rsidRPr="008E3F1A">
              <w:rPr>
                <w:rFonts w:ascii="Arial Narrow" w:hAnsi="Arial Narrow"/>
                <w:sz w:val="18"/>
                <w:szCs w:val="18"/>
              </w:rPr>
              <w:t>200 mg</w:t>
            </w:r>
          </w:p>
        </w:tc>
        <w:tc>
          <w:tcPr>
            <w:tcW w:w="708" w:type="dxa"/>
          </w:tcPr>
          <w:p w:rsidR="00F82AEC" w:rsidRPr="008E3F1A" w:rsidRDefault="00F82AEC" w:rsidP="00F82AEC">
            <w:pPr>
              <w:keepNext/>
              <w:jc w:val="center"/>
              <w:rPr>
                <w:rFonts w:ascii="Arial Narrow" w:hAnsi="Arial Narrow"/>
                <w:sz w:val="18"/>
                <w:szCs w:val="18"/>
              </w:rPr>
            </w:pPr>
            <w:r w:rsidRPr="008E3F1A">
              <w:rPr>
                <w:rFonts w:ascii="Arial Narrow" w:hAnsi="Arial Narrow"/>
                <w:sz w:val="18"/>
                <w:szCs w:val="18"/>
              </w:rPr>
              <w:t>1</w:t>
            </w:r>
          </w:p>
        </w:tc>
        <w:tc>
          <w:tcPr>
            <w:tcW w:w="2268" w:type="dxa"/>
          </w:tcPr>
          <w:p w:rsidR="00F82AEC" w:rsidRPr="008E3F1A" w:rsidRDefault="00F82AEC" w:rsidP="00F82AEC">
            <w:pPr>
              <w:keepNext/>
              <w:jc w:val="center"/>
              <w:rPr>
                <w:rFonts w:ascii="Arial Narrow" w:hAnsi="Arial Narrow"/>
                <w:sz w:val="18"/>
                <w:szCs w:val="18"/>
              </w:rPr>
            </w:pPr>
            <w:r w:rsidRPr="008E3F1A">
              <w:rPr>
                <w:rFonts w:ascii="Arial Narrow" w:hAnsi="Arial Narrow"/>
                <w:sz w:val="18"/>
                <w:szCs w:val="18"/>
              </w:rPr>
              <w:t>Published prices:</w:t>
            </w:r>
          </w:p>
          <w:p w:rsidR="00F82AEC" w:rsidRPr="008E3F1A" w:rsidRDefault="00F82AEC" w:rsidP="00F82AEC">
            <w:pPr>
              <w:keepNext/>
              <w:jc w:val="center"/>
              <w:rPr>
                <w:rFonts w:ascii="Arial Narrow" w:hAnsi="Arial Narrow"/>
                <w:sz w:val="18"/>
                <w:szCs w:val="18"/>
              </w:rPr>
            </w:pPr>
            <w:r w:rsidRPr="008E3F1A">
              <w:rPr>
                <w:rFonts w:ascii="Arial Narrow" w:hAnsi="Arial Narrow"/>
                <w:sz w:val="18"/>
                <w:szCs w:val="18"/>
              </w:rPr>
              <w:t>Public hospital - $18,705.78</w:t>
            </w:r>
          </w:p>
          <w:p w:rsidR="00F82AEC" w:rsidRPr="008E3F1A" w:rsidRDefault="00F82AEC" w:rsidP="00F82AEC">
            <w:pPr>
              <w:keepNext/>
              <w:jc w:val="center"/>
              <w:rPr>
                <w:rFonts w:ascii="Arial Narrow" w:hAnsi="Arial Narrow"/>
                <w:sz w:val="18"/>
                <w:szCs w:val="18"/>
              </w:rPr>
            </w:pPr>
            <w:r w:rsidRPr="008E3F1A">
              <w:rPr>
                <w:rFonts w:ascii="Arial Narrow" w:hAnsi="Arial Narrow"/>
                <w:sz w:val="18"/>
                <w:szCs w:val="18"/>
              </w:rPr>
              <w:t>Private hospital - $19,007.09</w:t>
            </w:r>
          </w:p>
          <w:p w:rsidR="00F82AEC" w:rsidRPr="008E3F1A" w:rsidRDefault="00F82AEC" w:rsidP="00F82AEC">
            <w:pPr>
              <w:keepNext/>
              <w:jc w:val="center"/>
              <w:rPr>
                <w:rFonts w:ascii="Arial Narrow" w:hAnsi="Arial Narrow"/>
                <w:sz w:val="18"/>
                <w:szCs w:val="18"/>
              </w:rPr>
            </w:pPr>
          </w:p>
          <w:p w:rsidR="00F82AEC" w:rsidRPr="008E3F1A" w:rsidRDefault="00F82AEC" w:rsidP="00F82AEC">
            <w:pPr>
              <w:keepNext/>
              <w:jc w:val="center"/>
              <w:rPr>
                <w:rFonts w:ascii="Arial Narrow" w:hAnsi="Arial Narrow"/>
                <w:sz w:val="18"/>
                <w:szCs w:val="18"/>
              </w:rPr>
            </w:pPr>
            <w:r w:rsidRPr="008E3F1A">
              <w:rPr>
                <w:rFonts w:ascii="Arial Narrow" w:hAnsi="Arial Narrow"/>
                <w:sz w:val="18"/>
                <w:szCs w:val="18"/>
              </w:rPr>
              <w:t>Effective prices:</w:t>
            </w:r>
          </w:p>
          <w:p w:rsidR="00F82AEC" w:rsidRPr="008E3F1A" w:rsidRDefault="00F82AEC" w:rsidP="00F82AEC">
            <w:pPr>
              <w:keepNext/>
              <w:jc w:val="center"/>
              <w:rPr>
                <w:rFonts w:ascii="Arial Narrow" w:hAnsi="Arial Narrow"/>
                <w:sz w:val="18"/>
                <w:szCs w:val="18"/>
              </w:rPr>
            </w:pPr>
            <w:r w:rsidRPr="008E3F1A">
              <w:rPr>
                <w:rFonts w:ascii="Arial Narrow" w:hAnsi="Arial Narrow"/>
                <w:sz w:val="18"/>
                <w:szCs w:val="18"/>
              </w:rPr>
              <w:t>Public hospital- $</w:t>
            </w:r>
            <w:r w:rsidR="003F2520">
              <w:rPr>
                <w:rFonts w:ascii="Arial Narrow" w:hAnsi="Arial Narrow"/>
                <w:noProof/>
                <w:color w:val="000000"/>
                <w:sz w:val="18"/>
                <w:szCs w:val="18"/>
                <w:highlight w:val="black"/>
              </w:rPr>
              <w:t>''''''''''''''''''''''</w:t>
            </w:r>
          </w:p>
          <w:p w:rsidR="00F82AEC" w:rsidRPr="008E3F1A" w:rsidRDefault="00F82AEC" w:rsidP="00F82AEC">
            <w:pPr>
              <w:keepNext/>
              <w:jc w:val="center"/>
              <w:rPr>
                <w:rFonts w:ascii="Arial Narrow" w:hAnsi="Arial Narrow"/>
                <w:sz w:val="18"/>
                <w:szCs w:val="18"/>
              </w:rPr>
            </w:pPr>
            <w:r w:rsidRPr="008E3F1A">
              <w:rPr>
                <w:rFonts w:ascii="Arial Narrow" w:hAnsi="Arial Narrow"/>
                <w:sz w:val="18"/>
                <w:szCs w:val="18"/>
              </w:rPr>
              <w:t>Private hospital - $</w:t>
            </w:r>
            <w:r w:rsidR="003F2520">
              <w:rPr>
                <w:rFonts w:ascii="Arial Narrow" w:hAnsi="Arial Narrow"/>
                <w:noProof/>
                <w:color w:val="000000"/>
                <w:sz w:val="18"/>
                <w:szCs w:val="18"/>
                <w:highlight w:val="black"/>
              </w:rPr>
              <w:t>''''''''''''''''''''''</w:t>
            </w:r>
          </w:p>
        </w:tc>
        <w:tc>
          <w:tcPr>
            <w:tcW w:w="1701" w:type="dxa"/>
          </w:tcPr>
          <w:p w:rsidR="00F82AEC" w:rsidRPr="008E3F1A" w:rsidRDefault="00F82AEC" w:rsidP="00F82AEC">
            <w:pPr>
              <w:keepNext/>
              <w:rPr>
                <w:rFonts w:ascii="Arial Narrow" w:hAnsi="Arial Narrow"/>
                <w:sz w:val="18"/>
                <w:szCs w:val="18"/>
              </w:rPr>
            </w:pPr>
            <w:r w:rsidRPr="008E3F1A">
              <w:rPr>
                <w:rFonts w:ascii="Arial Narrow" w:hAnsi="Arial Narrow" w:cs="Arial Narrow"/>
                <w:sz w:val="18"/>
                <w:szCs w:val="18"/>
              </w:rPr>
              <w:t>Takeda Pharmaceuticals Australia Pty Ltd</w:t>
            </w:r>
          </w:p>
        </w:tc>
      </w:tr>
      <w:tr w:rsidR="00A44180" w:rsidRPr="008E3F1A" w:rsidTr="00241BD3">
        <w:trPr>
          <w:cantSplit/>
          <w:trHeight w:val="225"/>
        </w:trPr>
        <w:tc>
          <w:tcPr>
            <w:tcW w:w="9067" w:type="dxa"/>
            <w:gridSpan w:val="8"/>
          </w:tcPr>
          <w:p w:rsidR="00A44180" w:rsidRPr="008E3F1A" w:rsidRDefault="00A44180" w:rsidP="00241BD3">
            <w:pPr>
              <w:keepNext/>
              <w:rPr>
                <w:rFonts w:ascii="Arial Narrow" w:hAnsi="Arial Narrow"/>
                <w:b/>
                <w:sz w:val="18"/>
                <w:szCs w:val="18"/>
              </w:rPr>
            </w:pPr>
            <w:r w:rsidRPr="008E3F1A">
              <w:rPr>
                <w:rFonts w:ascii="Arial Narrow" w:hAnsi="Arial Narrow"/>
                <w:b/>
                <w:sz w:val="18"/>
                <w:szCs w:val="18"/>
              </w:rPr>
              <w:t>Available brands</w:t>
            </w:r>
          </w:p>
        </w:tc>
      </w:tr>
      <w:tr w:rsidR="00A44180" w:rsidRPr="008E3F1A" w:rsidTr="00241BD3">
        <w:trPr>
          <w:cantSplit/>
          <w:trHeight w:val="360"/>
        </w:trPr>
        <w:tc>
          <w:tcPr>
            <w:tcW w:w="9067" w:type="dxa"/>
            <w:gridSpan w:val="8"/>
          </w:tcPr>
          <w:p w:rsidR="00A44180" w:rsidRPr="008E3F1A" w:rsidRDefault="00A44180" w:rsidP="00241BD3">
            <w:pPr>
              <w:rPr>
                <w:rFonts w:ascii="Arial Narrow" w:hAnsi="Arial Narrow"/>
                <w:sz w:val="18"/>
                <w:szCs w:val="18"/>
              </w:rPr>
            </w:pPr>
            <w:r w:rsidRPr="008E3F1A">
              <w:rPr>
                <w:rFonts w:ascii="Arial Narrow" w:hAnsi="Arial Narrow"/>
                <w:sz w:val="18"/>
                <w:szCs w:val="18"/>
              </w:rPr>
              <w:t>Adcetris</w:t>
            </w:r>
          </w:p>
          <w:p w:rsidR="00A44180" w:rsidRPr="008E3F1A" w:rsidRDefault="00A44180" w:rsidP="00241BD3">
            <w:pPr>
              <w:rPr>
                <w:rFonts w:ascii="Arial Narrow" w:hAnsi="Arial Narrow"/>
                <w:sz w:val="18"/>
                <w:szCs w:val="18"/>
              </w:rPr>
            </w:pPr>
            <w:r w:rsidRPr="008E3F1A">
              <w:rPr>
                <w:rFonts w:ascii="Arial Narrow" w:hAnsi="Arial Narrow"/>
                <w:sz w:val="18"/>
                <w:szCs w:val="18"/>
              </w:rPr>
              <w:t>(brentuximab vedotin 50 mg injection, 1 vial)</w:t>
            </w:r>
          </w:p>
        </w:tc>
      </w:tr>
      <w:tr w:rsidR="00A44180" w:rsidRPr="008E3F1A" w:rsidTr="00241BD3">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rsidR="00A44180" w:rsidRPr="008E3F1A" w:rsidRDefault="00A44180" w:rsidP="00241BD3">
            <w:pPr>
              <w:ind w:left="57"/>
              <w:rPr>
                <w:rFonts w:ascii="Arial Narrow" w:hAnsi="Arial Narrow"/>
                <w:b/>
                <w:color w:val="FF00FF"/>
                <w:sz w:val="18"/>
                <w:szCs w:val="18"/>
              </w:rPr>
            </w:pPr>
          </w:p>
        </w:tc>
      </w:tr>
      <w:tr w:rsidR="00A44180" w:rsidRPr="008E3F1A" w:rsidTr="00241BD3">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rsidR="00A44180" w:rsidRPr="008E3F1A" w:rsidRDefault="00A44180" w:rsidP="00241BD3">
            <w:pPr>
              <w:ind w:left="57"/>
              <w:rPr>
                <w:rFonts w:ascii="Arial Narrow" w:hAnsi="Arial Narrow"/>
                <w:b/>
                <w:sz w:val="18"/>
                <w:szCs w:val="18"/>
              </w:rPr>
            </w:pPr>
            <w:r w:rsidRPr="008E3F1A">
              <w:rPr>
                <w:rFonts w:ascii="Arial Narrow" w:hAnsi="Arial Narrow"/>
                <w:b/>
                <w:sz w:val="18"/>
                <w:szCs w:val="18"/>
              </w:rPr>
              <w:t>Restriction Summary [new] / Treatment of Concept: [new]</w:t>
            </w:r>
          </w:p>
        </w:tc>
      </w:tr>
      <w:tr w:rsidR="00A44180" w:rsidRPr="008E3F1A" w:rsidTr="00241BD3">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rsidR="00A44180" w:rsidRPr="008E3F1A" w:rsidRDefault="00A44180" w:rsidP="000345C6">
            <w:pPr>
              <w:rPr>
                <w:rFonts w:ascii="Arial Narrow" w:hAnsi="Arial Narrow"/>
                <w:b/>
                <w:sz w:val="18"/>
                <w:szCs w:val="18"/>
              </w:rPr>
            </w:pPr>
          </w:p>
        </w:tc>
        <w:tc>
          <w:tcPr>
            <w:tcW w:w="8086" w:type="dxa"/>
            <w:gridSpan w:val="7"/>
            <w:tcBorders>
              <w:top w:val="single" w:sz="4" w:space="0" w:color="auto"/>
              <w:left w:val="single" w:sz="4" w:space="0" w:color="auto"/>
              <w:bottom w:val="single" w:sz="4" w:space="0" w:color="auto"/>
              <w:right w:val="single" w:sz="4" w:space="0" w:color="auto"/>
            </w:tcBorders>
          </w:tcPr>
          <w:p w:rsidR="00A44180" w:rsidRPr="008E3F1A" w:rsidRDefault="00A44180" w:rsidP="00241BD3">
            <w:pPr>
              <w:rPr>
                <w:rFonts w:ascii="Arial Narrow" w:hAnsi="Arial Narrow"/>
                <w:sz w:val="18"/>
                <w:szCs w:val="18"/>
              </w:rPr>
            </w:pPr>
            <w:r w:rsidRPr="008E3F1A">
              <w:rPr>
                <w:rFonts w:ascii="Arial Narrow" w:hAnsi="Arial Narrow"/>
                <w:b/>
                <w:sz w:val="18"/>
                <w:szCs w:val="18"/>
              </w:rPr>
              <w:t xml:space="preserve">Category / Program: </w:t>
            </w:r>
            <w:r w:rsidRPr="008E3F1A">
              <w:rPr>
                <w:rFonts w:ascii="Arial Narrow" w:hAnsi="Arial Narrow"/>
                <w:sz w:val="18"/>
                <w:szCs w:val="18"/>
              </w:rPr>
              <w:t xml:space="preserve">Section 100 – Efficient Funding of Chemotherapy Public/Private hospitals </w:t>
            </w:r>
          </w:p>
        </w:tc>
      </w:tr>
      <w:tr w:rsidR="00A44180" w:rsidRPr="008E3F1A" w:rsidTr="00241BD3">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rsidR="00A44180" w:rsidRPr="008E3F1A" w:rsidRDefault="00A44180" w:rsidP="00241BD3">
            <w:pPr>
              <w:rPr>
                <w:rFonts w:ascii="Arial Narrow" w:hAnsi="Arial Narrow"/>
                <w:sz w:val="18"/>
                <w:szCs w:val="18"/>
              </w:rPr>
            </w:pPr>
          </w:p>
        </w:tc>
        <w:tc>
          <w:tcPr>
            <w:tcW w:w="8086" w:type="dxa"/>
            <w:gridSpan w:val="7"/>
            <w:tcBorders>
              <w:top w:val="single" w:sz="4" w:space="0" w:color="auto"/>
              <w:left w:val="single" w:sz="4" w:space="0" w:color="auto"/>
              <w:bottom w:val="single" w:sz="4" w:space="0" w:color="auto"/>
              <w:right w:val="single" w:sz="4" w:space="0" w:color="auto"/>
            </w:tcBorders>
          </w:tcPr>
          <w:p w:rsidR="00A44180" w:rsidRPr="008E3F1A" w:rsidRDefault="00A44180" w:rsidP="00241BD3">
            <w:pPr>
              <w:rPr>
                <w:rFonts w:ascii="Arial Narrow" w:hAnsi="Arial Narrow"/>
                <w:b/>
                <w:sz w:val="18"/>
                <w:szCs w:val="18"/>
              </w:rPr>
            </w:pPr>
            <w:r w:rsidRPr="008E3F1A">
              <w:rPr>
                <w:rFonts w:ascii="Arial Narrow" w:hAnsi="Arial Narrow"/>
                <w:b/>
                <w:sz w:val="18"/>
                <w:szCs w:val="18"/>
              </w:rPr>
              <w:t xml:space="preserve">Prescriber type:   </w:t>
            </w:r>
            <w:r w:rsidRPr="008E3F1A">
              <w:rPr>
                <w:rFonts w:ascii="Arial Narrow" w:hAnsi="Arial Narrow"/>
                <w:sz w:val="18"/>
                <w:szCs w:val="18"/>
              </w:rPr>
              <w:fldChar w:fldCharType="begin">
                <w:ffData>
                  <w:name w:val=""/>
                  <w:enabled/>
                  <w:calcOnExit w:val="0"/>
                  <w:checkBox>
                    <w:sizeAuto/>
                    <w:default w:val="1"/>
                  </w:checkBox>
                </w:ffData>
              </w:fldChar>
            </w:r>
            <w:r w:rsidRPr="008E3F1A">
              <w:rPr>
                <w:rFonts w:ascii="Arial Narrow" w:hAnsi="Arial Narrow"/>
                <w:sz w:val="18"/>
                <w:szCs w:val="18"/>
              </w:rPr>
              <w:instrText xml:space="preserve"> FORMCHECKBOX </w:instrText>
            </w:r>
            <w:r w:rsidR="00DC3953">
              <w:rPr>
                <w:rFonts w:ascii="Arial Narrow" w:hAnsi="Arial Narrow"/>
                <w:sz w:val="18"/>
                <w:szCs w:val="18"/>
              </w:rPr>
            </w:r>
            <w:r w:rsidR="00DC3953">
              <w:rPr>
                <w:rFonts w:ascii="Arial Narrow" w:hAnsi="Arial Narrow"/>
                <w:sz w:val="18"/>
                <w:szCs w:val="18"/>
              </w:rPr>
              <w:fldChar w:fldCharType="separate"/>
            </w:r>
            <w:r w:rsidRPr="008E3F1A">
              <w:rPr>
                <w:rFonts w:ascii="Arial Narrow" w:hAnsi="Arial Narrow"/>
                <w:sz w:val="18"/>
                <w:szCs w:val="18"/>
              </w:rPr>
              <w:fldChar w:fldCharType="end"/>
            </w:r>
            <w:r w:rsidRPr="008E3F1A">
              <w:rPr>
                <w:rFonts w:ascii="Arial Narrow" w:hAnsi="Arial Narrow"/>
                <w:sz w:val="18"/>
                <w:szCs w:val="18"/>
              </w:rPr>
              <w:t xml:space="preserve"> Medical Practitioners </w:t>
            </w:r>
          </w:p>
        </w:tc>
      </w:tr>
      <w:tr w:rsidR="00A44180" w:rsidRPr="008E3F1A" w:rsidTr="00241BD3">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rsidR="00A44180" w:rsidRPr="008E3F1A" w:rsidRDefault="00A44180" w:rsidP="00241BD3">
            <w:pPr>
              <w:rPr>
                <w:rFonts w:ascii="Arial Narrow" w:hAnsi="Arial Narrow"/>
                <w:sz w:val="18"/>
                <w:szCs w:val="18"/>
              </w:rPr>
            </w:pPr>
          </w:p>
        </w:tc>
        <w:tc>
          <w:tcPr>
            <w:tcW w:w="8086" w:type="dxa"/>
            <w:gridSpan w:val="7"/>
            <w:tcBorders>
              <w:top w:val="single" w:sz="4" w:space="0" w:color="auto"/>
              <w:left w:val="single" w:sz="4" w:space="0" w:color="auto"/>
              <w:bottom w:val="single" w:sz="4" w:space="0" w:color="auto"/>
              <w:right w:val="single" w:sz="4" w:space="0" w:color="auto"/>
            </w:tcBorders>
          </w:tcPr>
          <w:p w:rsidR="00A44180" w:rsidRPr="008E3F1A" w:rsidRDefault="00A44180" w:rsidP="00241BD3">
            <w:pPr>
              <w:rPr>
                <w:rFonts w:ascii="Arial Narrow" w:hAnsi="Arial Narrow"/>
                <w:b/>
                <w:sz w:val="18"/>
                <w:szCs w:val="18"/>
              </w:rPr>
            </w:pPr>
            <w:r w:rsidRPr="008E3F1A">
              <w:rPr>
                <w:rFonts w:ascii="Arial Narrow" w:hAnsi="Arial Narrow"/>
                <w:b/>
                <w:sz w:val="18"/>
                <w:szCs w:val="18"/>
              </w:rPr>
              <w:t>Restriction type:</w:t>
            </w:r>
          </w:p>
          <w:p w:rsidR="00A44180" w:rsidRPr="008E3F1A" w:rsidRDefault="00A44180" w:rsidP="00241BD3">
            <w:pPr>
              <w:rPr>
                <w:rFonts w:ascii="Arial Narrow" w:eastAsia="Calibri" w:hAnsi="Arial Narrow"/>
                <w:sz w:val="18"/>
                <w:szCs w:val="18"/>
              </w:rPr>
            </w:pPr>
            <w:r w:rsidRPr="008E3F1A">
              <w:rPr>
                <w:rFonts w:ascii="Arial Narrow" w:eastAsia="Calibri" w:hAnsi="Arial Narrow"/>
                <w:sz w:val="18"/>
                <w:szCs w:val="18"/>
              </w:rPr>
              <w:fldChar w:fldCharType="begin">
                <w:ffData>
                  <w:name w:val="Check1"/>
                  <w:enabled/>
                  <w:calcOnExit w:val="0"/>
                  <w:checkBox>
                    <w:sizeAuto/>
                    <w:default w:val="0"/>
                  </w:checkBox>
                </w:ffData>
              </w:fldChar>
            </w:r>
            <w:r w:rsidRPr="008E3F1A">
              <w:rPr>
                <w:rFonts w:ascii="Arial Narrow" w:eastAsia="Calibri" w:hAnsi="Arial Narrow"/>
                <w:sz w:val="18"/>
                <w:szCs w:val="18"/>
              </w:rPr>
              <w:instrText xml:space="preserve"> FORMCHECKBOX </w:instrText>
            </w:r>
            <w:r w:rsidR="00DC3953">
              <w:rPr>
                <w:rFonts w:ascii="Arial Narrow" w:eastAsia="Calibri" w:hAnsi="Arial Narrow"/>
                <w:sz w:val="18"/>
                <w:szCs w:val="18"/>
              </w:rPr>
            </w:r>
            <w:r w:rsidR="00DC3953">
              <w:rPr>
                <w:rFonts w:ascii="Arial Narrow" w:eastAsia="Calibri" w:hAnsi="Arial Narrow"/>
                <w:sz w:val="18"/>
                <w:szCs w:val="18"/>
              </w:rPr>
              <w:fldChar w:fldCharType="separate"/>
            </w:r>
            <w:r w:rsidRPr="008E3F1A">
              <w:rPr>
                <w:rFonts w:ascii="Arial Narrow" w:eastAsia="Calibri" w:hAnsi="Arial Narrow"/>
                <w:sz w:val="18"/>
                <w:szCs w:val="18"/>
              </w:rPr>
              <w:fldChar w:fldCharType="end"/>
            </w:r>
            <w:r w:rsidRPr="008E3F1A">
              <w:rPr>
                <w:rFonts w:ascii="Arial Narrow" w:eastAsia="Calibri" w:hAnsi="Arial Narrow"/>
                <w:sz w:val="18"/>
                <w:szCs w:val="18"/>
              </w:rPr>
              <w:t>Unrestricted benefit</w:t>
            </w:r>
          </w:p>
          <w:p w:rsidR="00A44180" w:rsidRPr="008E3F1A" w:rsidRDefault="00A44180" w:rsidP="00241BD3">
            <w:pPr>
              <w:rPr>
                <w:rFonts w:ascii="Arial Narrow" w:eastAsia="Calibri" w:hAnsi="Arial Narrow"/>
                <w:sz w:val="18"/>
                <w:szCs w:val="18"/>
              </w:rPr>
            </w:pPr>
            <w:r w:rsidRPr="008E3F1A">
              <w:rPr>
                <w:rFonts w:ascii="Arial Narrow" w:eastAsia="Calibri" w:hAnsi="Arial Narrow"/>
                <w:sz w:val="18"/>
                <w:szCs w:val="18"/>
              </w:rPr>
              <w:fldChar w:fldCharType="begin">
                <w:ffData>
                  <w:name w:val="Check1"/>
                  <w:enabled/>
                  <w:calcOnExit w:val="0"/>
                  <w:checkBox>
                    <w:sizeAuto/>
                    <w:default w:val="0"/>
                  </w:checkBox>
                </w:ffData>
              </w:fldChar>
            </w:r>
            <w:r w:rsidRPr="008E3F1A">
              <w:rPr>
                <w:rFonts w:ascii="Arial Narrow" w:eastAsia="Calibri" w:hAnsi="Arial Narrow"/>
                <w:sz w:val="18"/>
                <w:szCs w:val="18"/>
              </w:rPr>
              <w:instrText xml:space="preserve"> FORMCHECKBOX </w:instrText>
            </w:r>
            <w:r w:rsidR="00DC3953">
              <w:rPr>
                <w:rFonts w:ascii="Arial Narrow" w:eastAsia="Calibri" w:hAnsi="Arial Narrow"/>
                <w:sz w:val="18"/>
                <w:szCs w:val="18"/>
              </w:rPr>
            </w:r>
            <w:r w:rsidR="00DC3953">
              <w:rPr>
                <w:rFonts w:ascii="Arial Narrow" w:eastAsia="Calibri" w:hAnsi="Arial Narrow"/>
                <w:sz w:val="18"/>
                <w:szCs w:val="18"/>
              </w:rPr>
              <w:fldChar w:fldCharType="separate"/>
            </w:r>
            <w:r w:rsidRPr="008E3F1A">
              <w:rPr>
                <w:rFonts w:ascii="Arial Narrow" w:eastAsia="Calibri" w:hAnsi="Arial Narrow"/>
                <w:sz w:val="18"/>
                <w:szCs w:val="18"/>
              </w:rPr>
              <w:fldChar w:fldCharType="end"/>
            </w:r>
            <w:r w:rsidRPr="008E3F1A">
              <w:rPr>
                <w:rFonts w:ascii="Arial Narrow" w:eastAsia="Calibri" w:hAnsi="Arial Narrow"/>
                <w:sz w:val="18"/>
                <w:szCs w:val="18"/>
              </w:rPr>
              <w:t>Restricted benefit</w:t>
            </w:r>
          </w:p>
          <w:p w:rsidR="00A44180" w:rsidRPr="008E3F1A" w:rsidRDefault="00A44180" w:rsidP="00241BD3">
            <w:pPr>
              <w:rPr>
                <w:rFonts w:ascii="Arial Narrow" w:eastAsia="Calibri" w:hAnsi="Arial Narrow"/>
                <w:strike/>
                <w:color w:val="FF00FF"/>
                <w:sz w:val="18"/>
                <w:szCs w:val="18"/>
              </w:rPr>
            </w:pPr>
            <w:r w:rsidRPr="008E3F1A">
              <w:rPr>
                <w:rFonts w:ascii="Arial Narrow" w:eastAsia="Calibri" w:hAnsi="Arial Narrow"/>
                <w:sz w:val="18"/>
                <w:szCs w:val="18"/>
              </w:rPr>
              <w:lastRenderedPageBreak/>
              <w:fldChar w:fldCharType="begin">
                <w:ffData>
                  <w:name w:val=""/>
                  <w:enabled/>
                  <w:calcOnExit w:val="0"/>
                  <w:checkBox>
                    <w:sizeAuto/>
                    <w:default w:val="1"/>
                  </w:checkBox>
                </w:ffData>
              </w:fldChar>
            </w:r>
            <w:r w:rsidRPr="008E3F1A">
              <w:rPr>
                <w:rFonts w:ascii="Arial Narrow" w:eastAsia="Calibri" w:hAnsi="Arial Narrow"/>
                <w:sz w:val="18"/>
                <w:szCs w:val="18"/>
              </w:rPr>
              <w:instrText xml:space="preserve"> FORMCHECKBOX </w:instrText>
            </w:r>
            <w:r w:rsidR="00DC3953">
              <w:rPr>
                <w:rFonts w:ascii="Arial Narrow" w:eastAsia="Calibri" w:hAnsi="Arial Narrow"/>
                <w:sz w:val="18"/>
                <w:szCs w:val="18"/>
              </w:rPr>
            </w:r>
            <w:r w:rsidR="00DC3953">
              <w:rPr>
                <w:rFonts w:ascii="Arial Narrow" w:eastAsia="Calibri" w:hAnsi="Arial Narrow"/>
                <w:sz w:val="18"/>
                <w:szCs w:val="18"/>
              </w:rPr>
              <w:fldChar w:fldCharType="separate"/>
            </w:r>
            <w:r w:rsidRPr="008E3F1A">
              <w:rPr>
                <w:rFonts w:ascii="Arial Narrow" w:eastAsia="Calibri" w:hAnsi="Arial Narrow"/>
                <w:sz w:val="18"/>
                <w:szCs w:val="18"/>
              </w:rPr>
              <w:fldChar w:fldCharType="end"/>
            </w:r>
            <w:r w:rsidRPr="008E3F1A">
              <w:rPr>
                <w:rFonts w:ascii="Arial Narrow" w:eastAsia="Calibri" w:hAnsi="Arial Narrow"/>
                <w:strike/>
                <w:sz w:val="18"/>
                <w:szCs w:val="18"/>
              </w:rPr>
              <w:t>Authority Required – Streamlined [new/existing code]</w:t>
            </w:r>
          </w:p>
          <w:p w:rsidR="00A44180" w:rsidRPr="008E3F1A" w:rsidRDefault="00A44180" w:rsidP="00241BD3">
            <w:pPr>
              <w:rPr>
                <w:rFonts w:ascii="Arial Narrow" w:eastAsia="Calibri" w:hAnsi="Arial Narrow"/>
                <w:sz w:val="18"/>
                <w:szCs w:val="18"/>
              </w:rPr>
            </w:pPr>
            <w:r w:rsidRPr="008E3F1A">
              <w:rPr>
                <w:rFonts w:ascii="Arial Narrow" w:eastAsia="Calibri" w:hAnsi="Arial Narrow"/>
                <w:sz w:val="18"/>
                <w:szCs w:val="18"/>
              </w:rPr>
              <w:fldChar w:fldCharType="begin">
                <w:ffData>
                  <w:name w:val="Check3"/>
                  <w:enabled/>
                  <w:calcOnExit w:val="0"/>
                  <w:checkBox>
                    <w:sizeAuto/>
                    <w:default w:val="1"/>
                  </w:checkBox>
                </w:ffData>
              </w:fldChar>
            </w:r>
            <w:r w:rsidRPr="008E3F1A">
              <w:rPr>
                <w:rFonts w:ascii="Arial Narrow" w:eastAsia="Calibri" w:hAnsi="Arial Narrow"/>
                <w:sz w:val="18"/>
                <w:szCs w:val="18"/>
              </w:rPr>
              <w:instrText xml:space="preserve"> FORMCHECKBOX </w:instrText>
            </w:r>
            <w:r w:rsidR="00DC3953">
              <w:rPr>
                <w:rFonts w:ascii="Arial Narrow" w:eastAsia="Calibri" w:hAnsi="Arial Narrow"/>
                <w:sz w:val="18"/>
                <w:szCs w:val="18"/>
              </w:rPr>
            </w:r>
            <w:r w:rsidR="00DC3953">
              <w:rPr>
                <w:rFonts w:ascii="Arial Narrow" w:eastAsia="Calibri" w:hAnsi="Arial Narrow"/>
                <w:sz w:val="18"/>
                <w:szCs w:val="18"/>
              </w:rPr>
              <w:fldChar w:fldCharType="separate"/>
            </w:r>
            <w:r w:rsidRPr="008E3F1A">
              <w:rPr>
                <w:rFonts w:ascii="Arial Narrow" w:eastAsia="Calibri" w:hAnsi="Arial Narrow"/>
                <w:sz w:val="18"/>
                <w:szCs w:val="18"/>
              </w:rPr>
              <w:fldChar w:fldCharType="end"/>
            </w:r>
            <w:r w:rsidRPr="008E3F1A">
              <w:rPr>
                <w:rFonts w:ascii="Arial Narrow" w:eastAsia="Calibri" w:hAnsi="Arial Narrow"/>
                <w:i/>
                <w:sz w:val="18"/>
                <w:szCs w:val="18"/>
              </w:rPr>
              <w:t>Authority Required – immediate/real-time assessment by Services Australia (telephone/electronic)</w:t>
            </w:r>
          </w:p>
          <w:p w:rsidR="00A44180" w:rsidRPr="008E3F1A" w:rsidRDefault="00A44180" w:rsidP="00241BD3">
            <w:pPr>
              <w:rPr>
                <w:rFonts w:ascii="Arial Narrow" w:eastAsia="Calibri" w:hAnsi="Arial Narrow"/>
                <w:color w:val="FF00FF"/>
                <w:sz w:val="18"/>
                <w:szCs w:val="18"/>
              </w:rPr>
            </w:pPr>
            <w:r w:rsidRPr="008E3F1A">
              <w:rPr>
                <w:rFonts w:ascii="Arial Narrow" w:eastAsia="Calibri" w:hAnsi="Arial Narrow"/>
                <w:sz w:val="18"/>
                <w:szCs w:val="18"/>
              </w:rPr>
              <w:fldChar w:fldCharType="begin">
                <w:ffData>
                  <w:name w:val=""/>
                  <w:enabled/>
                  <w:calcOnExit w:val="0"/>
                  <w:checkBox>
                    <w:sizeAuto/>
                    <w:default w:val="0"/>
                  </w:checkBox>
                </w:ffData>
              </w:fldChar>
            </w:r>
            <w:r w:rsidRPr="008E3F1A">
              <w:rPr>
                <w:rFonts w:ascii="Arial Narrow" w:eastAsia="Calibri" w:hAnsi="Arial Narrow"/>
                <w:sz w:val="18"/>
                <w:szCs w:val="18"/>
              </w:rPr>
              <w:instrText xml:space="preserve"> FORMCHECKBOX </w:instrText>
            </w:r>
            <w:r w:rsidR="00DC3953">
              <w:rPr>
                <w:rFonts w:ascii="Arial Narrow" w:eastAsia="Calibri" w:hAnsi="Arial Narrow"/>
                <w:sz w:val="18"/>
                <w:szCs w:val="18"/>
              </w:rPr>
            </w:r>
            <w:r w:rsidR="00DC3953">
              <w:rPr>
                <w:rFonts w:ascii="Arial Narrow" w:eastAsia="Calibri" w:hAnsi="Arial Narrow"/>
                <w:sz w:val="18"/>
                <w:szCs w:val="18"/>
              </w:rPr>
              <w:fldChar w:fldCharType="separate"/>
            </w:r>
            <w:r w:rsidRPr="008E3F1A">
              <w:rPr>
                <w:rFonts w:ascii="Arial Narrow" w:eastAsia="Calibri" w:hAnsi="Arial Narrow"/>
                <w:sz w:val="18"/>
                <w:szCs w:val="18"/>
              </w:rPr>
              <w:fldChar w:fldCharType="end"/>
            </w:r>
            <w:r w:rsidRPr="008E3F1A">
              <w:rPr>
                <w:rFonts w:ascii="Arial Narrow" w:eastAsia="Calibri" w:hAnsi="Arial Narrow"/>
                <w:sz w:val="18"/>
                <w:szCs w:val="18"/>
              </w:rPr>
              <w:t>Authority Required – non-immediate/delayed assessment by Services Australia (In-writing only via mail/postal service or electronic submission)</w:t>
            </w:r>
          </w:p>
        </w:tc>
      </w:tr>
      <w:tr w:rsidR="00A44180" w:rsidRPr="008E3F1A" w:rsidTr="00241BD3">
        <w:tblPrEx>
          <w:tblCellMar>
            <w:top w:w="15" w:type="dxa"/>
            <w:left w:w="15" w:type="dxa"/>
            <w:bottom w:w="15" w:type="dxa"/>
            <w:right w:w="15" w:type="dxa"/>
          </w:tblCellMar>
          <w:tblLook w:val="04A0" w:firstRow="1" w:lastRow="0" w:firstColumn="1" w:lastColumn="0" w:noHBand="0" w:noVBand="1"/>
        </w:tblPrEx>
        <w:tc>
          <w:tcPr>
            <w:tcW w:w="987" w:type="dxa"/>
            <w:gridSpan w:val="2"/>
            <w:vAlign w:val="center"/>
          </w:tcPr>
          <w:p w:rsidR="00A44180" w:rsidRPr="008E3F1A" w:rsidRDefault="00A44180" w:rsidP="00241BD3">
            <w:pPr>
              <w:jc w:val="center"/>
              <w:rPr>
                <w:rFonts w:ascii="Arial Narrow" w:hAnsi="Arial Narrow"/>
                <w:color w:val="333333"/>
                <w:sz w:val="18"/>
                <w:szCs w:val="18"/>
              </w:rPr>
            </w:pPr>
          </w:p>
        </w:tc>
        <w:tc>
          <w:tcPr>
            <w:tcW w:w="8080" w:type="dxa"/>
            <w:gridSpan w:val="6"/>
            <w:vAlign w:val="center"/>
          </w:tcPr>
          <w:p w:rsidR="00A44180" w:rsidRPr="008E3F1A" w:rsidRDefault="00A44180" w:rsidP="00241BD3">
            <w:pPr>
              <w:rPr>
                <w:rFonts w:ascii="Arial Narrow" w:hAnsi="Arial Narrow"/>
                <w:color w:val="333333"/>
                <w:sz w:val="18"/>
                <w:szCs w:val="18"/>
              </w:rPr>
            </w:pPr>
            <w:r w:rsidRPr="008E3F1A">
              <w:rPr>
                <w:rFonts w:ascii="Arial Narrow" w:hAnsi="Arial Narrow"/>
                <w:b/>
                <w:bCs/>
                <w:color w:val="333333"/>
                <w:sz w:val="18"/>
                <w:szCs w:val="18"/>
              </w:rPr>
              <w:t>Administrative Advice:</w:t>
            </w:r>
          </w:p>
          <w:p w:rsidR="00A44180" w:rsidRPr="008E3F1A" w:rsidRDefault="00A44180" w:rsidP="00241BD3">
            <w:pPr>
              <w:rPr>
                <w:rFonts w:ascii="Arial Narrow" w:hAnsi="Arial Narrow"/>
                <w:color w:val="333333"/>
                <w:sz w:val="18"/>
                <w:szCs w:val="18"/>
              </w:rPr>
            </w:pPr>
            <w:r w:rsidRPr="008E3F1A">
              <w:rPr>
                <w:rFonts w:ascii="Arial Narrow" w:hAnsi="Arial Narrow"/>
                <w:color w:val="333333"/>
                <w:sz w:val="18"/>
                <w:szCs w:val="18"/>
              </w:rPr>
              <w:t>No increase in the maximum quantity or number of units may be authorised.</w:t>
            </w:r>
          </w:p>
        </w:tc>
      </w:tr>
      <w:tr w:rsidR="00A44180" w:rsidRPr="008E3F1A" w:rsidTr="00241BD3">
        <w:tblPrEx>
          <w:tblCellMar>
            <w:top w:w="15" w:type="dxa"/>
            <w:left w:w="15" w:type="dxa"/>
            <w:bottom w:w="15" w:type="dxa"/>
            <w:right w:w="15" w:type="dxa"/>
          </w:tblCellMar>
          <w:tblLook w:val="04A0" w:firstRow="1" w:lastRow="0" w:firstColumn="1" w:lastColumn="0" w:noHBand="0" w:noVBand="1"/>
        </w:tblPrEx>
        <w:tc>
          <w:tcPr>
            <w:tcW w:w="987" w:type="dxa"/>
            <w:gridSpan w:val="2"/>
            <w:vAlign w:val="center"/>
          </w:tcPr>
          <w:p w:rsidR="00A44180" w:rsidRPr="008E3F1A" w:rsidRDefault="00A44180" w:rsidP="00241BD3">
            <w:pPr>
              <w:jc w:val="center"/>
              <w:rPr>
                <w:rFonts w:ascii="Arial Narrow" w:hAnsi="Arial Narrow"/>
                <w:color w:val="333333"/>
                <w:sz w:val="18"/>
                <w:szCs w:val="18"/>
              </w:rPr>
            </w:pPr>
          </w:p>
        </w:tc>
        <w:tc>
          <w:tcPr>
            <w:tcW w:w="8080" w:type="dxa"/>
            <w:gridSpan w:val="6"/>
            <w:vAlign w:val="center"/>
          </w:tcPr>
          <w:p w:rsidR="00A44180" w:rsidRPr="008E3F1A" w:rsidRDefault="00A44180" w:rsidP="00241BD3">
            <w:pPr>
              <w:rPr>
                <w:rFonts w:ascii="Arial Narrow" w:hAnsi="Arial Narrow"/>
                <w:color w:val="333333"/>
                <w:sz w:val="18"/>
                <w:szCs w:val="18"/>
              </w:rPr>
            </w:pPr>
            <w:r w:rsidRPr="008E3F1A">
              <w:rPr>
                <w:rFonts w:ascii="Arial Narrow" w:hAnsi="Arial Narrow"/>
                <w:b/>
                <w:bCs/>
                <w:color w:val="333333"/>
                <w:sz w:val="18"/>
                <w:szCs w:val="18"/>
              </w:rPr>
              <w:t>Administrative Advice:</w:t>
            </w:r>
          </w:p>
          <w:p w:rsidR="00A44180" w:rsidRPr="008E3F1A" w:rsidRDefault="00A44180" w:rsidP="00241BD3">
            <w:pPr>
              <w:rPr>
                <w:rFonts w:ascii="Arial Narrow" w:hAnsi="Arial Narrow"/>
                <w:b/>
                <w:bCs/>
                <w:color w:val="333333"/>
                <w:sz w:val="18"/>
                <w:szCs w:val="18"/>
              </w:rPr>
            </w:pPr>
            <w:r w:rsidRPr="008E3F1A">
              <w:rPr>
                <w:rFonts w:ascii="Arial Narrow" w:hAnsi="Arial Narrow"/>
                <w:color w:val="333333"/>
                <w:sz w:val="18"/>
                <w:szCs w:val="18"/>
              </w:rPr>
              <w:t>No increase in the maximum number of repeats may be authorised.</w:t>
            </w:r>
          </w:p>
        </w:tc>
      </w:tr>
      <w:tr w:rsidR="00A44180" w:rsidRPr="008E3F1A" w:rsidTr="00241BD3">
        <w:tblPrEx>
          <w:tblCellMar>
            <w:top w:w="15" w:type="dxa"/>
            <w:left w:w="15" w:type="dxa"/>
            <w:bottom w:w="15" w:type="dxa"/>
            <w:right w:w="15" w:type="dxa"/>
          </w:tblCellMar>
          <w:tblLook w:val="04A0" w:firstRow="1" w:lastRow="0" w:firstColumn="1" w:lastColumn="0" w:noHBand="0" w:noVBand="1"/>
        </w:tblPrEx>
        <w:trPr>
          <w:trHeight w:val="485"/>
        </w:trPr>
        <w:tc>
          <w:tcPr>
            <w:tcW w:w="987" w:type="dxa"/>
            <w:gridSpan w:val="2"/>
            <w:vAlign w:val="center"/>
          </w:tcPr>
          <w:p w:rsidR="00A44180" w:rsidRPr="008E3F1A" w:rsidRDefault="00A44180" w:rsidP="00241BD3">
            <w:pPr>
              <w:jc w:val="center"/>
              <w:rPr>
                <w:rFonts w:ascii="Arial Narrow" w:hAnsi="Arial Narrow"/>
                <w:color w:val="333333"/>
                <w:sz w:val="18"/>
                <w:szCs w:val="18"/>
              </w:rPr>
            </w:pPr>
          </w:p>
        </w:tc>
        <w:tc>
          <w:tcPr>
            <w:tcW w:w="8080" w:type="dxa"/>
            <w:gridSpan w:val="6"/>
            <w:vAlign w:val="center"/>
          </w:tcPr>
          <w:p w:rsidR="00A44180" w:rsidRPr="008E3F1A" w:rsidRDefault="00A44180" w:rsidP="00241BD3">
            <w:pPr>
              <w:rPr>
                <w:rFonts w:ascii="Arial Narrow" w:hAnsi="Arial Narrow"/>
                <w:color w:val="333333"/>
                <w:sz w:val="18"/>
                <w:szCs w:val="18"/>
              </w:rPr>
            </w:pPr>
            <w:r w:rsidRPr="008E3F1A">
              <w:rPr>
                <w:rFonts w:ascii="Arial Narrow" w:hAnsi="Arial Narrow"/>
                <w:b/>
                <w:bCs/>
                <w:color w:val="333333"/>
                <w:sz w:val="18"/>
                <w:szCs w:val="18"/>
              </w:rPr>
              <w:t>Administrative Advice:</w:t>
            </w:r>
          </w:p>
          <w:p w:rsidR="00A44180" w:rsidRPr="008E3F1A" w:rsidRDefault="00A44180" w:rsidP="00241BD3">
            <w:pPr>
              <w:rPr>
                <w:rFonts w:ascii="Arial Narrow" w:hAnsi="Arial Narrow"/>
                <w:b/>
                <w:bCs/>
                <w:color w:val="333333"/>
                <w:sz w:val="18"/>
                <w:szCs w:val="18"/>
              </w:rPr>
            </w:pPr>
            <w:r w:rsidRPr="008E3F1A">
              <w:rPr>
                <w:rFonts w:ascii="Arial Narrow" w:hAnsi="Arial Narrow"/>
                <w:color w:val="333333"/>
                <w:sz w:val="18"/>
                <w:szCs w:val="18"/>
              </w:rPr>
              <w:t>Special Pricing Arrangements apply.</w:t>
            </w:r>
          </w:p>
        </w:tc>
      </w:tr>
      <w:tr w:rsidR="00A44180" w:rsidRPr="008E3F1A" w:rsidTr="00241BD3">
        <w:tblPrEx>
          <w:tblCellMar>
            <w:top w:w="15" w:type="dxa"/>
            <w:left w:w="15" w:type="dxa"/>
            <w:bottom w:w="15" w:type="dxa"/>
            <w:right w:w="15" w:type="dxa"/>
          </w:tblCellMar>
          <w:tblLook w:val="04A0" w:firstRow="1" w:lastRow="0" w:firstColumn="1" w:lastColumn="0" w:noHBand="0" w:noVBand="1"/>
        </w:tblPrEx>
        <w:tc>
          <w:tcPr>
            <w:tcW w:w="981" w:type="dxa"/>
            <w:vMerge w:val="restart"/>
            <w:vAlign w:val="center"/>
          </w:tcPr>
          <w:p w:rsidR="00A44180" w:rsidRPr="008E3F1A" w:rsidRDefault="00A44180" w:rsidP="00241BD3">
            <w:pPr>
              <w:jc w:val="center"/>
              <w:rPr>
                <w:rFonts w:ascii="Arial Narrow" w:hAnsi="Arial Narrow"/>
                <w:color w:val="333333"/>
                <w:sz w:val="18"/>
                <w:szCs w:val="18"/>
              </w:rPr>
            </w:pPr>
          </w:p>
        </w:tc>
        <w:tc>
          <w:tcPr>
            <w:tcW w:w="8086" w:type="dxa"/>
            <w:gridSpan w:val="7"/>
            <w:vAlign w:val="center"/>
          </w:tcPr>
          <w:p w:rsidR="00A44180" w:rsidRPr="008E3F1A" w:rsidRDefault="00A44180" w:rsidP="00241BD3">
            <w:pPr>
              <w:rPr>
                <w:rFonts w:ascii="Arial Narrow" w:hAnsi="Arial Narrow"/>
                <w:bCs/>
                <w:color w:val="333333"/>
                <w:sz w:val="18"/>
                <w:szCs w:val="18"/>
              </w:rPr>
            </w:pPr>
            <w:r w:rsidRPr="008E3F1A">
              <w:rPr>
                <w:rFonts w:ascii="Arial Narrow" w:hAnsi="Arial Narrow"/>
                <w:b/>
                <w:bCs/>
                <w:color w:val="333333"/>
                <w:sz w:val="18"/>
                <w:szCs w:val="18"/>
              </w:rPr>
              <w:t xml:space="preserve">Episodicity: </w:t>
            </w:r>
            <w:r w:rsidRPr="008E3F1A">
              <w:rPr>
                <w:rFonts w:ascii="Arial Narrow" w:hAnsi="Arial Narrow"/>
                <w:bCs/>
                <w:color w:val="333333"/>
                <w:sz w:val="18"/>
                <w:szCs w:val="18"/>
              </w:rPr>
              <w:t>blank</w:t>
            </w:r>
          </w:p>
        </w:tc>
      </w:tr>
      <w:tr w:rsidR="00A44180" w:rsidRPr="008E3F1A" w:rsidTr="00241BD3">
        <w:tblPrEx>
          <w:tblCellMar>
            <w:top w:w="15" w:type="dxa"/>
            <w:left w:w="15" w:type="dxa"/>
            <w:bottom w:w="15" w:type="dxa"/>
            <w:right w:w="15" w:type="dxa"/>
          </w:tblCellMar>
          <w:tblLook w:val="04A0" w:firstRow="1" w:lastRow="0" w:firstColumn="1" w:lastColumn="0" w:noHBand="0" w:noVBand="1"/>
        </w:tblPrEx>
        <w:tc>
          <w:tcPr>
            <w:tcW w:w="981" w:type="dxa"/>
            <w:vMerge/>
            <w:vAlign w:val="center"/>
          </w:tcPr>
          <w:p w:rsidR="00A44180" w:rsidRPr="008E3F1A" w:rsidRDefault="00A44180" w:rsidP="00241BD3">
            <w:pPr>
              <w:jc w:val="center"/>
              <w:rPr>
                <w:rFonts w:ascii="Arial Narrow" w:hAnsi="Arial Narrow"/>
                <w:color w:val="333333"/>
                <w:sz w:val="18"/>
                <w:szCs w:val="18"/>
              </w:rPr>
            </w:pPr>
          </w:p>
        </w:tc>
        <w:tc>
          <w:tcPr>
            <w:tcW w:w="8086" w:type="dxa"/>
            <w:gridSpan w:val="7"/>
            <w:vAlign w:val="center"/>
          </w:tcPr>
          <w:p w:rsidR="00A44180" w:rsidRPr="008E3F1A" w:rsidRDefault="00A44180" w:rsidP="00241BD3">
            <w:pPr>
              <w:rPr>
                <w:rFonts w:ascii="Arial Narrow" w:hAnsi="Arial Narrow"/>
                <w:b/>
                <w:bCs/>
                <w:color w:val="333333"/>
                <w:sz w:val="18"/>
                <w:szCs w:val="18"/>
              </w:rPr>
            </w:pPr>
            <w:r w:rsidRPr="008E3F1A">
              <w:rPr>
                <w:rFonts w:ascii="Arial Narrow" w:hAnsi="Arial Narrow"/>
                <w:b/>
                <w:bCs/>
                <w:color w:val="333333"/>
                <w:sz w:val="18"/>
                <w:szCs w:val="18"/>
              </w:rPr>
              <w:t xml:space="preserve">Severity: </w:t>
            </w:r>
            <w:r w:rsidRPr="008E3F1A">
              <w:rPr>
                <w:rFonts w:ascii="Arial Narrow" w:hAnsi="Arial Narrow"/>
                <w:bCs/>
                <w:color w:val="333333"/>
                <w:sz w:val="18"/>
                <w:szCs w:val="18"/>
              </w:rPr>
              <w:t>blank</w:t>
            </w:r>
          </w:p>
        </w:tc>
      </w:tr>
      <w:tr w:rsidR="00A44180" w:rsidRPr="008E3F1A" w:rsidTr="00241BD3">
        <w:tblPrEx>
          <w:tblCellMar>
            <w:top w:w="15" w:type="dxa"/>
            <w:left w:w="15" w:type="dxa"/>
            <w:bottom w:w="15" w:type="dxa"/>
            <w:right w:w="15" w:type="dxa"/>
          </w:tblCellMar>
          <w:tblLook w:val="04A0" w:firstRow="1" w:lastRow="0" w:firstColumn="1" w:lastColumn="0" w:noHBand="0" w:noVBand="1"/>
        </w:tblPrEx>
        <w:tc>
          <w:tcPr>
            <w:tcW w:w="981" w:type="dxa"/>
            <w:vMerge/>
            <w:vAlign w:val="center"/>
          </w:tcPr>
          <w:p w:rsidR="00A44180" w:rsidRPr="008E3F1A" w:rsidRDefault="00A44180" w:rsidP="00241BD3">
            <w:pPr>
              <w:jc w:val="center"/>
              <w:rPr>
                <w:rFonts w:ascii="Arial Narrow" w:hAnsi="Arial Narrow"/>
                <w:color w:val="333333"/>
                <w:sz w:val="18"/>
                <w:szCs w:val="18"/>
              </w:rPr>
            </w:pPr>
          </w:p>
        </w:tc>
        <w:tc>
          <w:tcPr>
            <w:tcW w:w="8086" w:type="dxa"/>
            <w:gridSpan w:val="7"/>
            <w:vAlign w:val="center"/>
          </w:tcPr>
          <w:p w:rsidR="00A44180" w:rsidRPr="008E3F1A" w:rsidRDefault="00A44180" w:rsidP="00241BD3">
            <w:pPr>
              <w:rPr>
                <w:rFonts w:ascii="Arial Narrow" w:hAnsi="Arial Narrow"/>
                <w:bCs/>
                <w:color w:val="333333"/>
                <w:sz w:val="18"/>
                <w:szCs w:val="18"/>
              </w:rPr>
            </w:pPr>
            <w:r w:rsidRPr="008E3F1A">
              <w:rPr>
                <w:rFonts w:ascii="Arial Narrow" w:hAnsi="Arial Narrow"/>
                <w:b/>
                <w:bCs/>
                <w:color w:val="333333"/>
                <w:sz w:val="18"/>
                <w:szCs w:val="18"/>
              </w:rPr>
              <w:t>Condition:</w:t>
            </w:r>
            <w:r w:rsidRPr="008E3F1A">
              <w:rPr>
                <w:rFonts w:ascii="Arial Narrow" w:hAnsi="Arial Narrow"/>
                <w:bCs/>
                <w:color w:val="333333"/>
                <w:sz w:val="18"/>
                <w:szCs w:val="18"/>
              </w:rPr>
              <w:t xml:space="preserve"> CD30 positive peripheral T-cell lymphoma, non-cutaneous type</w:t>
            </w:r>
          </w:p>
        </w:tc>
      </w:tr>
      <w:tr w:rsidR="00A44180" w:rsidRPr="008E3F1A" w:rsidTr="000345C6">
        <w:tblPrEx>
          <w:tblCellMar>
            <w:top w:w="15" w:type="dxa"/>
            <w:left w:w="15" w:type="dxa"/>
            <w:bottom w:w="15" w:type="dxa"/>
            <w:right w:w="15" w:type="dxa"/>
          </w:tblCellMar>
          <w:tblLook w:val="04A0" w:firstRow="1" w:lastRow="0" w:firstColumn="1" w:lastColumn="0" w:noHBand="0" w:noVBand="1"/>
        </w:tblPrEx>
        <w:tc>
          <w:tcPr>
            <w:tcW w:w="981" w:type="dxa"/>
            <w:vAlign w:val="center"/>
          </w:tcPr>
          <w:p w:rsidR="00A44180" w:rsidRPr="008E3F1A" w:rsidRDefault="00A44180" w:rsidP="00241BD3">
            <w:pPr>
              <w:jc w:val="center"/>
              <w:rPr>
                <w:rFonts w:ascii="Arial Narrow" w:hAnsi="Arial Narrow"/>
                <w:color w:val="333333"/>
                <w:sz w:val="18"/>
                <w:szCs w:val="18"/>
              </w:rPr>
            </w:pPr>
          </w:p>
        </w:tc>
        <w:tc>
          <w:tcPr>
            <w:tcW w:w="8086" w:type="dxa"/>
            <w:gridSpan w:val="7"/>
            <w:vAlign w:val="center"/>
            <w:hideMark/>
          </w:tcPr>
          <w:p w:rsidR="00A44180" w:rsidRPr="008E3F1A" w:rsidRDefault="00A44180" w:rsidP="00241BD3">
            <w:pPr>
              <w:rPr>
                <w:rFonts w:ascii="Arial Narrow" w:hAnsi="Arial Narrow"/>
                <w:color w:val="333333"/>
                <w:sz w:val="18"/>
                <w:szCs w:val="18"/>
              </w:rPr>
            </w:pPr>
            <w:r w:rsidRPr="008E3F1A">
              <w:rPr>
                <w:rFonts w:ascii="Arial Narrow" w:hAnsi="Arial Narrow"/>
                <w:b/>
                <w:bCs/>
                <w:color w:val="333333"/>
                <w:sz w:val="18"/>
                <w:szCs w:val="18"/>
              </w:rPr>
              <w:t>Indication:</w:t>
            </w:r>
            <w:r w:rsidRPr="008E3F1A">
              <w:rPr>
                <w:rFonts w:ascii="Arial Narrow" w:hAnsi="Arial Narrow"/>
                <w:color w:val="333333"/>
                <w:sz w:val="18"/>
                <w:szCs w:val="18"/>
              </w:rPr>
              <w:t xml:space="preserve"> </w:t>
            </w:r>
            <w:r w:rsidRPr="008E3F1A">
              <w:rPr>
                <w:rFonts w:ascii="Arial Narrow" w:hAnsi="Arial Narrow"/>
                <w:bCs/>
                <w:color w:val="333333"/>
                <w:sz w:val="18"/>
                <w:szCs w:val="18"/>
              </w:rPr>
              <w:t>CD30 positive peripheral T-cell lymphoma, non-cutaneous type</w:t>
            </w:r>
          </w:p>
        </w:tc>
      </w:tr>
      <w:tr w:rsidR="00A44180" w:rsidRPr="008E3F1A" w:rsidTr="000345C6">
        <w:tblPrEx>
          <w:tblCellMar>
            <w:top w:w="15" w:type="dxa"/>
            <w:left w:w="15" w:type="dxa"/>
            <w:bottom w:w="15" w:type="dxa"/>
            <w:right w:w="15" w:type="dxa"/>
          </w:tblCellMar>
          <w:tblLook w:val="04A0" w:firstRow="1" w:lastRow="0" w:firstColumn="1" w:lastColumn="0" w:noHBand="0" w:noVBand="1"/>
        </w:tblPrEx>
        <w:tc>
          <w:tcPr>
            <w:tcW w:w="981" w:type="dxa"/>
            <w:vAlign w:val="center"/>
          </w:tcPr>
          <w:p w:rsidR="00A44180" w:rsidRPr="008E3F1A" w:rsidRDefault="00A44180" w:rsidP="00241BD3">
            <w:pPr>
              <w:jc w:val="center"/>
              <w:rPr>
                <w:rFonts w:ascii="Arial Narrow" w:hAnsi="Arial Narrow"/>
                <w:color w:val="333333"/>
                <w:sz w:val="18"/>
                <w:szCs w:val="18"/>
              </w:rPr>
            </w:pPr>
          </w:p>
        </w:tc>
        <w:tc>
          <w:tcPr>
            <w:tcW w:w="8086" w:type="dxa"/>
            <w:gridSpan w:val="7"/>
            <w:vAlign w:val="center"/>
            <w:hideMark/>
          </w:tcPr>
          <w:p w:rsidR="00A44180" w:rsidRPr="008E3F1A" w:rsidRDefault="00A44180" w:rsidP="00241BD3">
            <w:pPr>
              <w:rPr>
                <w:rFonts w:ascii="Arial Narrow" w:hAnsi="Arial Narrow"/>
                <w:color w:val="FF00FF"/>
                <w:sz w:val="18"/>
                <w:szCs w:val="18"/>
              </w:rPr>
            </w:pPr>
            <w:r w:rsidRPr="008E3F1A">
              <w:rPr>
                <w:rFonts w:ascii="Arial Narrow" w:hAnsi="Arial Narrow"/>
                <w:b/>
                <w:bCs/>
                <w:color w:val="333333"/>
                <w:sz w:val="18"/>
                <w:szCs w:val="18"/>
              </w:rPr>
              <w:t>Treatment Phase:</w:t>
            </w:r>
            <w:r w:rsidRPr="008E3F1A">
              <w:rPr>
                <w:rFonts w:ascii="Arial Narrow" w:hAnsi="Arial Narrow"/>
                <w:color w:val="333333"/>
                <w:sz w:val="18"/>
                <w:szCs w:val="18"/>
              </w:rPr>
              <w:t xml:space="preserve"> Continuing </w:t>
            </w:r>
          </w:p>
        </w:tc>
      </w:tr>
      <w:tr w:rsidR="00A44180" w:rsidRPr="008E3F1A" w:rsidTr="00241BD3">
        <w:tblPrEx>
          <w:tblCellMar>
            <w:top w:w="15" w:type="dxa"/>
            <w:left w:w="15" w:type="dxa"/>
            <w:bottom w:w="15" w:type="dxa"/>
            <w:right w:w="15" w:type="dxa"/>
          </w:tblCellMar>
          <w:tblLook w:val="04A0" w:firstRow="1" w:lastRow="0" w:firstColumn="1" w:lastColumn="0" w:noHBand="0" w:noVBand="1"/>
        </w:tblPrEx>
        <w:tc>
          <w:tcPr>
            <w:tcW w:w="981" w:type="dxa"/>
            <w:vAlign w:val="center"/>
          </w:tcPr>
          <w:p w:rsidR="00A44180" w:rsidRPr="008E3F1A" w:rsidRDefault="00A44180" w:rsidP="00241BD3">
            <w:pPr>
              <w:jc w:val="center"/>
              <w:rPr>
                <w:rFonts w:ascii="Arial Narrow" w:hAnsi="Arial Narrow"/>
                <w:color w:val="333333"/>
                <w:sz w:val="18"/>
                <w:szCs w:val="18"/>
              </w:rPr>
            </w:pPr>
          </w:p>
        </w:tc>
        <w:tc>
          <w:tcPr>
            <w:tcW w:w="8086" w:type="dxa"/>
            <w:gridSpan w:val="7"/>
            <w:vAlign w:val="center"/>
            <w:hideMark/>
          </w:tcPr>
          <w:p w:rsidR="00A44180" w:rsidRPr="008E3F1A" w:rsidRDefault="00A44180" w:rsidP="00241BD3">
            <w:pPr>
              <w:rPr>
                <w:rFonts w:ascii="Arial Narrow" w:hAnsi="Arial Narrow"/>
                <w:color w:val="333333"/>
                <w:sz w:val="18"/>
                <w:szCs w:val="18"/>
              </w:rPr>
            </w:pPr>
            <w:r w:rsidRPr="008E3F1A">
              <w:rPr>
                <w:rFonts w:ascii="Arial Narrow" w:hAnsi="Arial Narrow"/>
                <w:b/>
                <w:bCs/>
                <w:color w:val="333333"/>
                <w:sz w:val="18"/>
                <w:szCs w:val="18"/>
              </w:rPr>
              <w:t>Clinical criteria:</w:t>
            </w:r>
          </w:p>
        </w:tc>
      </w:tr>
      <w:tr w:rsidR="00A44180" w:rsidRPr="008E3F1A" w:rsidTr="00241BD3">
        <w:tblPrEx>
          <w:tblCellMar>
            <w:top w:w="15" w:type="dxa"/>
            <w:left w:w="15" w:type="dxa"/>
            <w:bottom w:w="15" w:type="dxa"/>
            <w:right w:w="15" w:type="dxa"/>
          </w:tblCellMar>
          <w:tblLook w:val="04A0" w:firstRow="1" w:lastRow="0" w:firstColumn="1" w:lastColumn="0" w:noHBand="0" w:noVBand="1"/>
        </w:tblPrEx>
        <w:tc>
          <w:tcPr>
            <w:tcW w:w="981" w:type="dxa"/>
            <w:vAlign w:val="center"/>
          </w:tcPr>
          <w:p w:rsidR="00A44180" w:rsidRPr="008E3F1A" w:rsidRDefault="00A44180" w:rsidP="00241BD3">
            <w:pPr>
              <w:jc w:val="center"/>
              <w:rPr>
                <w:rFonts w:ascii="Arial Narrow" w:hAnsi="Arial Narrow"/>
                <w:color w:val="333333"/>
                <w:sz w:val="18"/>
                <w:szCs w:val="18"/>
              </w:rPr>
            </w:pPr>
          </w:p>
        </w:tc>
        <w:tc>
          <w:tcPr>
            <w:tcW w:w="8086" w:type="dxa"/>
            <w:gridSpan w:val="7"/>
            <w:hideMark/>
          </w:tcPr>
          <w:p w:rsidR="00A44180" w:rsidRPr="008E3F1A" w:rsidRDefault="00A44180" w:rsidP="00241BD3">
            <w:pPr>
              <w:spacing w:before="40" w:after="40"/>
              <w:rPr>
                <w:rFonts w:ascii="Arial Narrow" w:hAnsi="Arial Narrow"/>
                <w:i/>
                <w:sz w:val="18"/>
                <w:szCs w:val="18"/>
              </w:rPr>
            </w:pPr>
            <w:r w:rsidRPr="008E3F1A">
              <w:rPr>
                <w:rFonts w:ascii="Arial Narrow" w:hAnsi="Arial Narrow"/>
                <w:i/>
                <w:sz w:val="18"/>
                <w:szCs w:val="18"/>
              </w:rPr>
              <w:t>The treatment must be in combination with cyclophosphamide, doxorubicin and prednisone.</w:t>
            </w:r>
          </w:p>
        </w:tc>
      </w:tr>
      <w:tr w:rsidR="00A44180" w:rsidRPr="008E3F1A" w:rsidTr="00241BD3">
        <w:tblPrEx>
          <w:tblCellMar>
            <w:top w:w="15" w:type="dxa"/>
            <w:left w:w="15" w:type="dxa"/>
            <w:bottom w:w="15" w:type="dxa"/>
            <w:right w:w="15" w:type="dxa"/>
          </w:tblCellMar>
          <w:tblLook w:val="04A0" w:firstRow="1" w:lastRow="0" w:firstColumn="1" w:lastColumn="0" w:noHBand="0" w:noVBand="1"/>
        </w:tblPrEx>
        <w:tc>
          <w:tcPr>
            <w:tcW w:w="981" w:type="dxa"/>
            <w:vAlign w:val="center"/>
          </w:tcPr>
          <w:p w:rsidR="00A44180" w:rsidRPr="008E3F1A" w:rsidRDefault="00A44180" w:rsidP="00241BD3">
            <w:pPr>
              <w:jc w:val="center"/>
              <w:rPr>
                <w:rFonts w:ascii="Arial Narrow" w:hAnsi="Arial Narrow"/>
                <w:color w:val="333333"/>
                <w:sz w:val="18"/>
                <w:szCs w:val="18"/>
              </w:rPr>
            </w:pPr>
          </w:p>
        </w:tc>
        <w:tc>
          <w:tcPr>
            <w:tcW w:w="8086" w:type="dxa"/>
            <w:gridSpan w:val="7"/>
          </w:tcPr>
          <w:p w:rsidR="00A44180" w:rsidRPr="008E3F1A" w:rsidRDefault="00A44180" w:rsidP="00241BD3">
            <w:pPr>
              <w:spacing w:before="40" w:after="40"/>
              <w:rPr>
                <w:rFonts w:ascii="Arial Narrow" w:hAnsi="Arial Narrow"/>
                <w:b/>
                <w:sz w:val="18"/>
                <w:szCs w:val="18"/>
              </w:rPr>
            </w:pPr>
            <w:r w:rsidRPr="008E3F1A">
              <w:rPr>
                <w:rFonts w:ascii="Arial Narrow" w:hAnsi="Arial Narrow"/>
                <w:b/>
                <w:sz w:val="18"/>
                <w:szCs w:val="18"/>
              </w:rPr>
              <w:t>AND</w:t>
            </w:r>
          </w:p>
        </w:tc>
      </w:tr>
      <w:tr w:rsidR="00A44180" w:rsidRPr="008E3F1A" w:rsidTr="00241BD3">
        <w:tblPrEx>
          <w:tblCellMar>
            <w:top w:w="15" w:type="dxa"/>
            <w:left w:w="15" w:type="dxa"/>
            <w:bottom w:w="15" w:type="dxa"/>
            <w:right w:w="15" w:type="dxa"/>
          </w:tblCellMar>
          <w:tblLook w:val="04A0" w:firstRow="1" w:lastRow="0" w:firstColumn="1" w:lastColumn="0" w:noHBand="0" w:noVBand="1"/>
        </w:tblPrEx>
        <w:tc>
          <w:tcPr>
            <w:tcW w:w="981" w:type="dxa"/>
            <w:vAlign w:val="center"/>
          </w:tcPr>
          <w:p w:rsidR="00A44180" w:rsidRPr="008E3F1A" w:rsidRDefault="00A44180" w:rsidP="00241BD3">
            <w:pPr>
              <w:jc w:val="center"/>
              <w:rPr>
                <w:rFonts w:ascii="Arial Narrow" w:hAnsi="Arial Narrow"/>
                <w:color w:val="333333"/>
                <w:sz w:val="18"/>
                <w:szCs w:val="18"/>
              </w:rPr>
            </w:pPr>
          </w:p>
        </w:tc>
        <w:tc>
          <w:tcPr>
            <w:tcW w:w="8086" w:type="dxa"/>
            <w:gridSpan w:val="7"/>
          </w:tcPr>
          <w:p w:rsidR="00A44180" w:rsidRPr="008E3F1A" w:rsidRDefault="00A44180" w:rsidP="00241BD3">
            <w:pPr>
              <w:spacing w:before="40" w:after="40"/>
              <w:rPr>
                <w:rFonts w:ascii="Arial Narrow" w:hAnsi="Arial Narrow"/>
                <w:b/>
                <w:sz w:val="18"/>
                <w:szCs w:val="18"/>
              </w:rPr>
            </w:pPr>
            <w:r w:rsidRPr="008E3F1A">
              <w:rPr>
                <w:rFonts w:ascii="Arial Narrow" w:hAnsi="Arial Narrow"/>
                <w:b/>
                <w:sz w:val="18"/>
                <w:szCs w:val="18"/>
              </w:rPr>
              <w:t>Clinical criteria:</w:t>
            </w:r>
          </w:p>
        </w:tc>
      </w:tr>
      <w:tr w:rsidR="00A44180" w:rsidRPr="008E3F1A" w:rsidTr="00241BD3">
        <w:tblPrEx>
          <w:tblCellMar>
            <w:top w:w="15" w:type="dxa"/>
            <w:left w:w="15" w:type="dxa"/>
            <w:bottom w:w="15" w:type="dxa"/>
            <w:right w:w="15" w:type="dxa"/>
          </w:tblCellMar>
          <w:tblLook w:val="04A0" w:firstRow="1" w:lastRow="0" w:firstColumn="1" w:lastColumn="0" w:noHBand="0" w:noVBand="1"/>
        </w:tblPrEx>
        <w:tc>
          <w:tcPr>
            <w:tcW w:w="981" w:type="dxa"/>
            <w:vAlign w:val="center"/>
          </w:tcPr>
          <w:p w:rsidR="00A44180" w:rsidRPr="008E3F1A" w:rsidRDefault="00A44180" w:rsidP="00241BD3">
            <w:pPr>
              <w:jc w:val="center"/>
              <w:rPr>
                <w:rFonts w:ascii="Arial Narrow" w:hAnsi="Arial Narrow"/>
                <w:color w:val="333333"/>
                <w:sz w:val="18"/>
                <w:szCs w:val="18"/>
              </w:rPr>
            </w:pPr>
          </w:p>
        </w:tc>
        <w:tc>
          <w:tcPr>
            <w:tcW w:w="8086" w:type="dxa"/>
            <w:gridSpan w:val="7"/>
          </w:tcPr>
          <w:p w:rsidR="00A44180" w:rsidRPr="008E3F1A" w:rsidRDefault="00A44180" w:rsidP="00241BD3">
            <w:pPr>
              <w:pStyle w:val="NormalWeb"/>
              <w:spacing w:before="0" w:after="0"/>
              <w:rPr>
                <w:rFonts w:ascii="Arial Narrow" w:hAnsi="Arial Narrow" w:cs="Calibri"/>
                <w:i/>
                <w:iCs/>
                <w:sz w:val="18"/>
                <w:szCs w:val="18"/>
                <w:lang w:val="en-AU"/>
              </w:rPr>
            </w:pPr>
            <w:r w:rsidRPr="008E3F1A">
              <w:rPr>
                <w:rFonts w:ascii="Arial Narrow" w:hAnsi="Arial Narrow" w:cs="Calibri"/>
                <w:sz w:val="18"/>
                <w:szCs w:val="18"/>
                <w:lang w:val="en-AU"/>
              </w:rPr>
              <w:t xml:space="preserve">Patient must have completed 6 initial cycles of </w:t>
            </w:r>
            <w:r w:rsidRPr="008E3F1A">
              <w:rPr>
                <w:rFonts w:ascii="Arial Narrow" w:hAnsi="Arial Narrow" w:cs="Calibri"/>
                <w:strike/>
                <w:sz w:val="18"/>
                <w:szCs w:val="18"/>
                <w:lang w:val="en-AU"/>
              </w:rPr>
              <w:t>this</w:t>
            </w:r>
            <w:r w:rsidRPr="008E3F1A">
              <w:rPr>
                <w:rFonts w:ascii="Arial Narrow" w:hAnsi="Arial Narrow" w:cs="Calibri"/>
                <w:sz w:val="18"/>
                <w:szCs w:val="18"/>
                <w:lang w:val="en-AU"/>
              </w:rPr>
              <w:t xml:space="preserve"> </w:t>
            </w:r>
            <w:r w:rsidRPr="008E3F1A">
              <w:rPr>
                <w:rFonts w:ascii="Arial Narrow" w:hAnsi="Arial Narrow" w:cs="Calibri"/>
                <w:i/>
                <w:sz w:val="18"/>
                <w:szCs w:val="18"/>
                <w:lang w:val="en-AU"/>
              </w:rPr>
              <w:t>PBS-subsidised</w:t>
            </w:r>
            <w:r w:rsidRPr="008E3F1A">
              <w:rPr>
                <w:rFonts w:ascii="Arial Narrow" w:hAnsi="Arial Narrow" w:cs="Calibri"/>
                <w:sz w:val="18"/>
                <w:szCs w:val="18"/>
                <w:lang w:val="en-AU"/>
              </w:rPr>
              <w:t xml:space="preserve"> treatment </w:t>
            </w:r>
            <w:r w:rsidRPr="008E3F1A">
              <w:rPr>
                <w:rFonts w:ascii="Arial Narrow" w:hAnsi="Arial Narrow" w:cs="Calibri"/>
                <w:i/>
                <w:iCs/>
                <w:sz w:val="18"/>
                <w:szCs w:val="18"/>
                <w:lang w:val="en-AU"/>
              </w:rPr>
              <w:t>with this drug for this indication.</w:t>
            </w:r>
          </w:p>
        </w:tc>
      </w:tr>
      <w:tr w:rsidR="00A44180" w:rsidRPr="008E3F1A" w:rsidTr="00241BD3">
        <w:tblPrEx>
          <w:tblCellMar>
            <w:top w:w="15" w:type="dxa"/>
            <w:left w:w="15" w:type="dxa"/>
            <w:bottom w:w="15" w:type="dxa"/>
            <w:right w:w="15" w:type="dxa"/>
          </w:tblCellMar>
          <w:tblLook w:val="04A0" w:firstRow="1" w:lastRow="0" w:firstColumn="1" w:lastColumn="0" w:noHBand="0" w:noVBand="1"/>
        </w:tblPrEx>
        <w:tc>
          <w:tcPr>
            <w:tcW w:w="981" w:type="dxa"/>
            <w:vAlign w:val="center"/>
          </w:tcPr>
          <w:p w:rsidR="00A44180" w:rsidRPr="008E3F1A" w:rsidRDefault="00A44180" w:rsidP="00241BD3">
            <w:pPr>
              <w:jc w:val="center"/>
              <w:rPr>
                <w:rFonts w:ascii="Arial Narrow" w:hAnsi="Arial Narrow"/>
                <w:color w:val="333333"/>
                <w:sz w:val="18"/>
                <w:szCs w:val="18"/>
              </w:rPr>
            </w:pPr>
          </w:p>
        </w:tc>
        <w:tc>
          <w:tcPr>
            <w:tcW w:w="8086" w:type="dxa"/>
            <w:gridSpan w:val="7"/>
          </w:tcPr>
          <w:p w:rsidR="00A44180" w:rsidRPr="008E3F1A" w:rsidRDefault="00A44180" w:rsidP="00241BD3">
            <w:pPr>
              <w:spacing w:before="40" w:after="40"/>
              <w:rPr>
                <w:rFonts w:ascii="Arial Narrow" w:hAnsi="Arial Narrow"/>
                <w:b/>
                <w:sz w:val="18"/>
                <w:szCs w:val="18"/>
              </w:rPr>
            </w:pPr>
            <w:r w:rsidRPr="008E3F1A">
              <w:rPr>
                <w:rFonts w:ascii="Arial Narrow" w:hAnsi="Arial Narrow"/>
                <w:b/>
                <w:sz w:val="18"/>
                <w:szCs w:val="18"/>
              </w:rPr>
              <w:t>AND</w:t>
            </w:r>
          </w:p>
        </w:tc>
      </w:tr>
      <w:tr w:rsidR="00A44180" w:rsidRPr="008E3F1A" w:rsidTr="00241BD3">
        <w:tblPrEx>
          <w:tblCellMar>
            <w:top w:w="15" w:type="dxa"/>
            <w:left w:w="15" w:type="dxa"/>
            <w:bottom w:w="15" w:type="dxa"/>
            <w:right w:w="15" w:type="dxa"/>
          </w:tblCellMar>
          <w:tblLook w:val="04A0" w:firstRow="1" w:lastRow="0" w:firstColumn="1" w:lastColumn="0" w:noHBand="0" w:noVBand="1"/>
        </w:tblPrEx>
        <w:tc>
          <w:tcPr>
            <w:tcW w:w="981" w:type="dxa"/>
            <w:vAlign w:val="center"/>
          </w:tcPr>
          <w:p w:rsidR="00A44180" w:rsidRPr="008E3F1A" w:rsidRDefault="00A44180" w:rsidP="00241BD3">
            <w:pPr>
              <w:jc w:val="center"/>
              <w:rPr>
                <w:rFonts w:ascii="Arial Narrow" w:hAnsi="Arial Narrow"/>
                <w:color w:val="333333"/>
                <w:sz w:val="18"/>
                <w:szCs w:val="18"/>
              </w:rPr>
            </w:pPr>
          </w:p>
        </w:tc>
        <w:tc>
          <w:tcPr>
            <w:tcW w:w="8086" w:type="dxa"/>
            <w:gridSpan w:val="7"/>
          </w:tcPr>
          <w:p w:rsidR="00A44180" w:rsidRPr="008E3F1A" w:rsidRDefault="00A44180" w:rsidP="00241BD3">
            <w:pPr>
              <w:spacing w:before="40" w:after="40"/>
              <w:rPr>
                <w:rFonts w:ascii="Arial Narrow" w:hAnsi="Arial Narrow"/>
                <w:b/>
                <w:sz w:val="18"/>
                <w:szCs w:val="18"/>
              </w:rPr>
            </w:pPr>
            <w:r w:rsidRPr="008E3F1A">
              <w:rPr>
                <w:rFonts w:ascii="Arial Narrow" w:hAnsi="Arial Narrow"/>
                <w:b/>
                <w:sz w:val="18"/>
                <w:szCs w:val="18"/>
              </w:rPr>
              <w:t>Clinical criteria:</w:t>
            </w:r>
          </w:p>
        </w:tc>
      </w:tr>
      <w:tr w:rsidR="00A44180" w:rsidRPr="008E3F1A" w:rsidTr="00241BD3">
        <w:tblPrEx>
          <w:tblCellMar>
            <w:top w:w="15" w:type="dxa"/>
            <w:left w:w="15" w:type="dxa"/>
            <w:bottom w:w="15" w:type="dxa"/>
            <w:right w:w="15" w:type="dxa"/>
          </w:tblCellMar>
          <w:tblLook w:val="04A0" w:firstRow="1" w:lastRow="0" w:firstColumn="1" w:lastColumn="0" w:noHBand="0" w:noVBand="1"/>
        </w:tblPrEx>
        <w:tc>
          <w:tcPr>
            <w:tcW w:w="981" w:type="dxa"/>
            <w:vAlign w:val="center"/>
          </w:tcPr>
          <w:p w:rsidR="00A44180" w:rsidRPr="008E3F1A" w:rsidRDefault="00A44180" w:rsidP="00241BD3">
            <w:pPr>
              <w:jc w:val="center"/>
              <w:rPr>
                <w:rFonts w:ascii="Arial Narrow" w:hAnsi="Arial Narrow"/>
                <w:color w:val="333333"/>
                <w:sz w:val="18"/>
                <w:szCs w:val="18"/>
              </w:rPr>
            </w:pPr>
          </w:p>
        </w:tc>
        <w:tc>
          <w:tcPr>
            <w:tcW w:w="8086" w:type="dxa"/>
            <w:gridSpan w:val="7"/>
          </w:tcPr>
          <w:p w:rsidR="00A44180" w:rsidRPr="008E3F1A" w:rsidRDefault="00A44180" w:rsidP="00241BD3">
            <w:pPr>
              <w:spacing w:before="40" w:after="40"/>
              <w:rPr>
                <w:rFonts w:ascii="Arial Narrow" w:hAnsi="Arial Narrow"/>
                <w:b/>
                <w:sz w:val="18"/>
                <w:szCs w:val="18"/>
              </w:rPr>
            </w:pPr>
            <w:r w:rsidRPr="008E3F1A">
              <w:rPr>
                <w:rFonts w:ascii="Arial Narrow" w:hAnsi="Arial Narrow" w:cs="Calibri"/>
                <w:sz w:val="18"/>
                <w:szCs w:val="18"/>
              </w:rPr>
              <w:t xml:space="preserve">Patient must have </w:t>
            </w:r>
            <w:r w:rsidRPr="008E3F1A">
              <w:rPr>
                <w:rFonts w:ascii="Arial Narrow" w:hAnsi="Arial Narrow" w:cs="Calibri"/>
                <w:strike/>
                <w:sz w:val="18"/>
                <w:szCs w:val="18"/>
              </w:rPr>
              <w:t>obtained</w:t>
            </w:r>
            <w:r w:rsidRPr="008E3F1A">
              <w:rPr>
                <w:rFonts w:ascii="Arial Narrow" w:hAnsi="Arial Narrow" w:cs="Calibri"/>
                <w:sz w:val="18"/>
                <w:szCs w:val="18"/>
              </w:rPr>
              <w:t xml:space="preserve"> </w:t>
            </w:r>
            <w:r w:rsidRPr="008E3F1A">
              <w:rPr>
                <w:rFonts w:ascii="Arial Narrow" w:hAnsi="Arial Narrow" w:cs="Calibri"/>
                <w:i/>
                <w:sz w:val="18"/>
                <w:szCs w:val="18"/>
              </w:rPr>
              <w:t>achieved</w:t>
            </w:r>
            <w:r w:rsidRPr="008E3F1A">
              <w:rPr>
                <w:rFonts w:ascii="Arial Narrow" w:hAnsi="Arial Narrow" w:cs="Calibri"/>
                <w:sz w:val="18"/>
                <w:szCs w:val="18"/>
              </w:rPr>
              <w:t xml:space="preserve"> at least a partial response to </w:t>
            </w:r>
            <w:r w:rsidRPr="008E3F1A">
              <w:rPr>
                <w:rFonts w:ascii="Arial Narrow" w:hAnsi="Arial Narrow" w:cs="Calibri"/>
                <w:i/>
                <w:sz w:val="18"/>
                <w:szCs w:val="18"/>
              </w:rPr>
              <w:t>the 6</w:t>
            </w:r>
            <w:r w:rsidRPr="008E3F1A">
              <w:rPr>
                <w:rFonts w:ascii="Arial Narrow" w:hAnsi="Arial Narrow" w:cs="Calibri"/>
                <w:sz w:val="18"/>
                <w:szCs w:val="18"/>
              </w:rPr>
              <w:t xml:space="preserve"> initial </w:t>
            </w:r>
            <w:r w:rsidRPr="008E3F1A">
              <w:rPr>
                <w:rFonts w:ascii="Arial Narrow" w:hAnsi="Arial Narrow" w:cs="Calibri"/>
                <w:strike/>
                <w:sz w:val="18"/>
                <w:szCs w:val="18"/>
              </w:rPr>
              <w:t>treatment</w:t>
            </w:r>
            <w:r w:rsidRPr="008E3F1A">
              <w:rPr>
                <w:rFonts w:ascii="Arial Narrow" w:hAnsi="Arial Narrow" w:cs="Calibri"/>
                <w:sz w:val="18"/>
                <w:szCs w:val="18"/>
              </w:rPr>
              <w:t xml:space="preserve"> </w:t>
            </w:r>
            <w:r w:rsidRPr="008E3F1A">
              <w:rPr>
                <w:rFonts w:ascii="Arial Narrow" w:hAnsi="Arial Narrow" w:cs="Calibri"/>
                <w:i/>
                <w:sz w:val="18"/>
                <w:szCs w:val="18"/>
              </w:rPr>
              <w:t>cycles of treatment with a combination of this drug and cyclophosphamide, doxorubicin and prednisone for this indication.</w:t>
            </w:r>
          </w:p>
        </w:tc>
      </w:tr>
      <w:tr w:rsidR="00A44180" w:rsidRPr="008E3F1A" w:rsidTr="00241BD3">
        <w:tblPrEx>
          <w:tblCellMar>
            <w:top w:w="15" w:type="dxa"/>
            <w:left w:w="15" w:type="dxa"/>
            <w:bottom w:w="15" w:type="dxa"/>
            <w:right w:w="15" w:type="dxa"/>
          </w:tblCellMar>
          <w:tblLook w:val="04A0" w:firstRow="1" w:lastRow="0" w:firstColumn="1" w:lastColumn="0" w:noHBand="0" w:noVBand="1"/>
        </w:tblPrEx>
        <w:tc>
          <w:tcPr>
            <w:tcW w:w="981" w:type="dxa"/>
            <w:vAlign w:val="center"/>
          </w:tcPr>
          <w:p w:rsidR="00A44180" w:rsidRPr="008E3F1A" w:rsidRDefault="00A44180" w:rsidP="00241BD3">
            <w:pPr>
              <w:jc w:val="center"/>
              <w:rPr>
                <w:rFonts w:ascii="Arial Narrow" w:hAnsi="Arial Narrow"/>
                <w:color w:val="333333"/>
                <w:sz w:val="18"/>
                <w:szCs w:val="18"/>
              </w:rPr>
            </w:pPr>
          </w:p>
        </w:tc>
        <w:tc>
          <w:tcPr>
            <w:tcW w:w="8086" w:type="dxa"/>
            <w:gridSpan w:val="7"/>
          </w:tcPr>
          <w:p w:rsidR="00A44180" w:rsidRPr="008E3F1A" w:rsidRDefault="00A44180" w:rsidP="00241BD3">
            <w:pPr>
              <w:spacing w:before="40" w:after="40"/>
              <w:rPr>
                <w:rFonts w:ascii="Arial Narrow" w:hAnsi="Arial Narrow"/>
                <w:b/>
                <w:sz w:val="18"/>
                <w:szCs w:val="18"/>
              </w:rPr>
            </w:pPr>
            <w:r w:rsidRPr="008E3F1A">
              <w:rPr>
                <w:rFonts w:ascii="Arial Narrow" w:hAnsi="Arial Narrow"/>
                <w:b/>
                <w:sz w:val="18"/>
                <w:szCs w:val="18"/>
              </w:rPr>
              <w:t>AND</w:t>
            </w:r>
          </w:p>
        </w:tc>
      </w:tr>
      <w:tr w:rsidR="00A44180" w:rsidRPr="008E3F1A" w:rsidTr="00241BD3">
        <w:tblPrEx>
          <w:tblCellMar>
            <w:top w:w="15" w:type="dxa"/>
            <w:left w:w="15" w:type="dxa"/>
            <w:bottom w:w="15" w:type="dxa"/>
            <w:right w:w="15" w:type="dxa"/>
          </w:tblCellMar>
          <w:tblLook w:val="04A0" w:firstRow="1" w:lastRow="0" w:firstColumn="1" w:lastColumn="0" w:noHBand="0" w:noVBand="1"/>
        </w:tblPrEx>
        <w:tc>
          <w:tcPr>
            <w:tcW w:w="981" w:type="dxa"/>
            <w:vAlign w:val="center"/>
          </w:tcPr>
          <w:p w:rsidR="00A44180" w:rsidRPr="008E3F1A" w:rsidRDefault="00A44180" w:rsidP="00241BD3">
            <w:pPr>
              <w:jc w:val="center"/>
              <w:rPr>
                <w:rFonts w:ascii="Arial Narrow" w:hAnsi="Arial Narrow"/>
                <w:color w:val="333333"/>
                <w:sz w:val="18"/>
                <w:szCs w:val="18"/>
              </w:rPr>
            </w:pPr>
          </w:p>
        </w:tc>
        <w:tc>
          <w:tcPr>
            <w:tcW w:w="8086" w:type="dxa"/>
            <w:gridSpan w:val="7"/>
          </w:tcPr>
          <w:p w:rsidR="00A44180" w:rsidRPr="008E3F1A" w:rsidRDefault="00A44180" w:rsidP="00241BD3">
            <w:pPr>
              <w:spacing w:before="40" w:after="40"/>
              <w:rPr>
                <w:rFonts w:ascii="Arial Narrow" w:hAnsi="Arial Narrow"/>
                <w:b/>
                <w:sz w:val="18"/>
                <w:szCs w:val="18"/>
              </w:rPr>
            </w:pPr>
            <w:r w:rsidRPr="008E3F1A">
              <w:rPr>
                <w:rFonts w:ascii="Arial Narrow" w:hAnsi="Arial Narrow"/>
                <w:b/>
                <w:sz w:val="18"/>
                <w:szCs w:val="18"/>
              </w:rPr>
              <w:t>Clinical criteria:</w:t>
            </w:r>
          </w:p>
        </w:tc>
      </w:tr>
      <w:tr w:rsidR="00A44180" w:rsidRPr="008E3F1A" w:rsidTr="00241BD3">
        <w:tblPrEx>
          <w:tblCellMar>
            <w:top w:w="15" w:type="dxa"/>
            <w:left w:w="15" w:type="dxa"/>
            <w:bottom w:w="15" w:type="dxa"/>
            <w:right w:w="15" w:type="dxa"/>
          </w:tblCellMar>
          <w:tblLook w:val="04A0" w:firstRow="1" w:lastRow="0" w:firstColumn="1" w:lastColumn="0" w:noHBand="0" w:noVBand="1"/>
        </w:tblPrEx>
        <w:tc>
          <w:tcPr>
            <w:tcW w:w="981" w:type="dxa"/>
            <w:vAlign w:val="center"/>
          </w:tcPr>
          <w:p w:rsidR="00A44180" w:rsidRPr="008E3F1A" w:rsidRDefault="00A44180" w:rsidP="00241BD3">
            <w:pPr>
              <w:jc w:val="center"/>
              <w:rPr>
                <w:rFonts w:ascii="Arial Narrow" w:hAnsi="Arial Narrow"/>
                <w:color w:val="333333"/>
                <w:sz w:val="18"/>
                <w:szCs w:val="18"/>
              </w:rPr>
            </w:pPr>
          </w:p>
        </w:tc>
        <w:tc>
          <w:tcPr>
            <w:tcW w:w="8086" w:type="dxa"/>
            <w:gridSpan w:val="7"/>
          </w:tcPr>
          <w:p w:rsidR="00A44180" w:rsidRPr="008E3F1A" w:rsidRDefault="00A44180" w:rsidP="00241BD3">
            <w:pPr>
              <w:pStyle w:val="NormalWeb"/>
              <w:spacing w:before="0" w:after="0"/>
              <w:rPr>
                <w:rFonts w:ascii="Arial Narrow" w:hAnsi="Arial Narrow" w:cs="Calibri"/>
                <w:i/>
                <w:iCs/>
                <w:sz w:val="18"/>
                <w:szCs w:val="18"/>
                <w:lang w:val="en-AU"/>
              </w:rPr>
            </w:pPr>
            <w:r w:rsidRPr="008E3F1A">
              <w:rPr>
                <w:rFonts w:ascii="Arial Narrow" w:hAnsi="Arial Narrow" w:cs="Calibri"/>
                <w:i/>
                <w:iCs/>
                <w:sz w:val="18"/>
                <w:szCs w:val="18"/>
                <w:lang w:val="en-AU"/>
              </w:rPr>
              <w:t>The condition must have not progressed while being treated with this drug for this condition.</w:t>
            </w:r>
          </w:p>
        </w:tc>
      </w:tr>
      <w:tr w:rsidR="00A44180" w:rsidRPr="008E3F1A" w:rsidTr="00241BD3">
        <w:tblPrEx>
          <w:tblCellMar>
            <w:top w:w="15" w:type="dxa"/>
            <w:left w:w="15" w:type="dxa"/>
            <w:bottom w:w="15" w:type="dxa"/>
            <w:right w:w="15" w:type="dxa"/>
          </w:tblCellMar>
          <w:tblLook w:val="04A0" w:firstRow="1" w:lastRow="0" w:firstColumn="1" w:lastColumn="0" w:noHBand="0" w:noVBand="1"/>
        </w:tblPrEx>
        <w:tc>
          <w:tcPr>
            <w:tcW w:w="981" w:type="dxa"/>
            <w:vAlign w:val="center"/>
          </w:tcPr>
          <w:p w:rsidR="00A44180" w:rsidRPr="008E3F1A" w:rsidRDefault="00A44180" w:rsidP="00241BD3">
            <w:pPr>
              <w:jc w:val="center"/>
              <w:rPr>
                <w:rFonts w:ascii="Arial Narrow" w:hAnsi="Arial Narrow"/>
                <w:color w:val="333333"/>
                <w:sz w:val="18"/>
                <w:szCs w:val="18"/>
              </w:rPr>
            </w:pPr>
          </w:p>
        </w:tc>
        <w:tc>
          <w:tcPr>
            <w:tcW w:w="8086" w:type="dxa"/>
            <w:gridSpan w:val="7"/>
          </w:tcPr>
          <w:p w:rsidR="00A44180" w:rsidRPr="008E3F1A" w:rsidRDefault="00A44180" w:rsidP="00241BD3">
            <w:pPr>
              <w:pStyle w:val="NormalWeb"/>
              <w:spacing w:before="0" w:after="0"/>
              <w:rPr>
                <w:rFonts w:ascii="Arial Narrow" w:hAnsi="Arial Narrow" w:cs="Calibri"/>
                <w:b/>
                <w:i/>
                <w:iCs/>
                <w:sz w:val="18"/>
                <w:szCs w:val="18"/>
                <w:lang w:val="en-AU"/>
              </w:rPr>
            </w:pPr>
            <w:r w:rsidRPr="008E3F1A">
              <w:rPr>
                <w:rFonts w:ascii="Arial Narrow" w:hAnsi="Arial Narrow" w:cs="Calibri"/>
                <w:b/>
                <w:i/>
                <w:iCs/>
                <w:sz w:val="18"/>
                <w:szCs w:val="18"/>
                <w:lang w:val="en-AU"/>
              </w:rPr>
              <w:t>AND</w:t>
            </w:r>
          </w:p>
        </w:tc>
      </w:tr>
      <w:tr w:rsidR="00A44180" w:rsidRPr="008E3F1A" w:rsidTr="00241BD3">
        <w:tblPrEx>
          <w:tblCellMar>
            <w:top w:w="15" w:type="dxa"/>
            <w:left w:w="15" w:type="dxa"/>
            <w:bottom w:w="15" w:type="dxa"/>
            <w:right w:w="15" w:type="dxa"/>
          </w:tblCellMar>
          <w:tblLook w:val="04A0" w:firstRow="1" w:lastRow="0" w:firstColumn="1" w:lastColumn="0" w:noHBand="0" w:noVBand="1"/>
        </w:tblPrEx>
        <w:tc>
          <w:tcPr>
            <w:tcW w:w="981" w:type="dxa"/>
            <w:vAlign w:val="center"/>
          </w:tcPr>
          <w:p w:rsidR="00A44180" w:rsidRPr="008E3F1A" w:rsidRDefault="00A44180" w:rsidP="00241BD3">
            <w:pPr>
              <w:jc w:val="center"/>
              <w:rPr>
                <w:rFonts w:ascii="Arial Narrow" w:hAnsi="Arial Narrow"/>
                <w:color w:val="333333"/>
                <w:sz w:val="18"/>
                <w:szCs w:val="18"/>
              </w:rPr>
            </w:pPr>
          </w:p>
        </w:tc>
        <w:tc>
          <w:tcPr>
            <w:tcW w:w="8086" w:type="dxa"/>
            <w:gridSpan w:val="7"/>
          </w:tcPr>
          <w:p w:rsidR="00A44180" w:rsidRPr="008E3F1A" w:rsidRDefault="00A44180" w:rsidP="00241BD3">
            <w:pPr>
              <w:spacing w:before="40" w:after="40"/>
              <w:rPr>
                <w:rFonts w:ascii="Arial Narrow" w:hAnsi="Arial Narrow"/>
                <w:b/>
                <w:sz w:val="18"/>
                <w:szCs w:val="18"/>
              </w:rPr>
            </w:pPr>
            <w:r w:rsidRPr="008E3F1A">
              <w:rPr>
                <w:rFonts w:ascii="Arial Narrow" w:hAnsi="Arial Narrow"/>
                <w:b/>
                <w:sz w:val="18"/>
                <w:szCs w:val="18"/>
              </w:rPr>
              <w:t>Clinical criteria:</w:t>
            </w:r>
          </w:p>
        </w:tc>
      </w:tr>
      <w:tr w:rsidR="00A44180" w:rsidRPr="008E3F1A" w:rsidTr="00241BD3">
        <w:tblPrEx>
          <w:tblCellMar>
            <w:top w:w="15" w:type="dxa"/>
            <w:left w:w="15" w:type="dxa"/>
            <w:bottom w:w="15" w:type="dxa"/>
            <w:right w:w="15" w:type="dxa"/>
          </w:tblCellMar>
          <w:tblLook w:val="04A0" w:firstRow="1" w:lastRow="0" w:firstColumn="1" w:lastColumn="0" w:noHBand="0" w:noVBand="1"/>
        </w:tblPrEx>
        <w:tc>
          <w:tcPr>
            <w:tcW w:w="981" w:type="dxa"/>
            <w:vAlign w:val="center"/>
          </w:tcPr>
          <w:p w:rsidR="00A44180" w:rsidRPr="008E3F1A" w:rsidRDefault="00A44180" w:rsidP="00241BD3">
            <w:pPr>
              <w:jc w:val="center"/>
              <w:rPr>
                <w:rFonts w:ascii="Arial Narrow" w:hAnsi="Arial Narrow"/>
                <w:color w:val="333333"/>
                <w:sz w:val="18"/>
                <w:szCs w:val="18"/>
              </w:rPr>
            </w:pPr>
          </w:p>
        </w:tc>
        <w:tc>
          <w:tcPr>
            <w:tcW w:w="8086" w:type="dxa"/>
            <w:gridSpan w:val="7"/>
          </w:tcPr>
          <w:p w:rsidR="00A44180" w:rsidRPr="008E3F1A" w:rsidRDefault="00A44180" w:rsidP="00241BD3">
            <w:pPr>
              <w:pStyle w:val="NormalWeb"/>
              <w:spacing w:before="0" w:after="0"/>
              <w:rPr>
                <w:rFonts w:ascii="Arial Narrow" w:hAnsi="Arial Narrow" w:cs="Calibri"/>
                <w:i/>
                <w:iCs/>
                <w:sz w:val="18"/>
                <w:szCs w:val="18"/>
                <w:lang w:val="en-AU"/>
              </w:rPr>
            </w:pPr>
            <w:r w:rsidRPr="008E3F1A">
              <w:rPr>
                <w:rFonts w:ascii="Arial Narrow" w:hAnsi="Arial Narrow" w:cs="Calibri"/>
                <w:i/>
                <w:iCs/>
                <w:sz w:val="18"/>
                <w:szCs w:val="18"/>
                <w:lang w:val="en-AU"/>
              </w:rPr>
              <w:t>The treatment must not be more than 2 treatment cycles under this restriction in a lifetime.</w:t>
            </w:r>
          </w:p>
        </w:tc>
      </w:tr>
      <w:tr w:rsidR="00A44180" w:rsidRPr="008E3F1A" w:rsidTr="00241BD3">
        <w:tblPrEx>
          <w:tblCellMar>
            <w:top w:w="15" w:type="dxa"/>
            <w:left w:w="15" w:type="dxa"/>
            <w:bottom w:w="15" w:type="dxa"/>
            <w:right w:w="15" w:type="dxa"/>
          </w:tblCellMar>
          <w:tblLook w:val="04A0" w:firstRow="1" w:lastRow="0" w:firstColumn="1" w:lastColumn="0" w:noHBand="0" w:noVBand="1"/>
        </w:tblPrEx>
        <w:tc>
          <w:tcPr>
            <w:tcW w:w="981" w:type="dxa"/>
            <w:vAlign w:val="center"/>
          </w:tcPr>
          <w:p w:rsidR="00A44180" w:rsidRPr="008E3F1A" w:rsidRDefault="00A44180" w:rsidP="00241BD3">
            <w:pPr>
              <w:jc w:val="center"/>
              <w:rPr>
                <w:rFonts w:ascii="Arial Narrow" w:hAnsi="Arial Narrow"/>
                <w:color w:val="333333"/>
                <w:sz w:val="18"/>
                <w:szCs w:val="18"/>
              </w:rPr>
            </w:pPr>
          </w:p>
        </w:tc>
        <w:tc>
          <w:tcPr>
            <w:tcW w:w="8086" w:type="dxa"/>
            <w:gridSpan w:val="7"/>
            <w:vAlign w:val="center"/>
            <w:hideMark/>
          </w:tcPr>
          <w:p w:rsidR="00A44180" w:rsidRPr="008E3F1A" w:rsidRDefault="00A44180" w:rsidP="00241BD3">
            <w:pPr>
              <w:rPr>
                <w:rFonts w:ascii="Arial Narrow" w:hAnsi="Arial Narrow"/>
                <w:strike/>
                <w:color w:val="333333"/>
                <w:sz w:val="18"/>
                <w:szCs w:val="18"/>
              </w:rPr>
            </w:pPr>
            <w:r w:rsidRPr="008E3F1A">
              <w:rPr>
                <w:rFonts w:ascii="Arial Narrow" w:hAnsi="Arial Narrow"/>
                <w:b/>
                <w:bCs/>
                <w:strike/>
                <w:color w:val="333333"/>
                <w:sz w:val="18"/>
                <w:szCs w:val="18"/>
              </w:rPr>
              <w:t>Treatment criteria:</w:t>
            </w:r>
          </w:p>
        </w:tc>
      </w:tr>
      <w:tr w:rsidR="00A44180" w:rsidRPr="008E3F1A" w:rsidTr="00241BD3">
        <w:tblPrEx>
          <w:tblCellMar>
            <w:top w:w="15" w:type="dxa"/>
            <w:left w:w="15" w:type="dxa"/>
            <w:bottom w:w="15" w:type="dxa"/>
            <w:right w:w="15" w:type="dxa"/>
          </w:tblCellMar>
          <w:tblLook w:val="04A0" w:firstRow="1" w:lastRow="0" w:firstColumn="1" w:lastColumn="0" w:noHBand="0" w:noVBand="1"/>
        </w:tblPrEx>
        <w:tc>
          <w:tcPr>
            <w:tcW w:w="981" w:type="dxa"/>
            <w:vAlign w:val="center"/>
          </w:tcPr>
          <w:p w:rsidR="00A44180" w:rsidRPr="008E3F1A" w:rsidRDefault="00A44180" w:rsidP="00241BD3">
            <w:pPr>
              <w:jc w:val="center"/>
              <w:rPr>
                <w:rFonts w:ascii="Arial Narrow" w:hAnsi="Arial Narrow"/>
                <w:color w:val="333333"/>
                <w:sz w:val="18"/>
                <w:szCs w:val="18"/>
              </w:rPr>
            </w:pPr>
          </w:p>
        </w:tc>
        <w:tc>
          <w:tcPr>
            <w:tcW w:w="8086" w:type="dxa"/>
            <w:gridSpan w:val="7"/>
            <w:hideMark/>
          </w:tcPr>
          <w:p w:rsidR="00A44180" w:rsidRPr="008E3F1A" w:rsidRDefault="00A44180" w:rsidP="00241BD3">
            <w:pPr>
              <w:spacing w:before="40" w:after="40"/>
              <w:rPr>
                <w:rFonts w:ascii="Arial Narrow" w:hAnsi="Arial Narrow"/>
                <w:strike/>
                <w:sz w:val="18"/>
                <w:szCs w:val="18"/>
              </w:rPr>
            </w:pPr>
            <w:r w:rsidRPr="008E3F1A">
              <w:rPr>
                <w:rFonts w:ascii="Arial Narrow" w:hAnsi="Arial Narrow"/>
                <w:strike/>
                <w:sz w:val="18"/>
                <w:szCs w:val="18"/>
              </w:rPr>
              <w:t>Treatment must be in combination with cyclophosphamide, doxorubicin and prednisone</w:t>
            </w:r>
          </w:p>
        </w:tc>
      </w:tr>
      <w:tr w:rsidR="00A44180" w:rsidRPr="008E3F1A" w:rsidTr="000345C6">
        <w:tblPrEx>
          <w:tblCellMar>
            <w:top w:w="15" w:type="dxa"/>
            <w:left w:w="15" w:type="dxa"/>
            <w:bottom w:w="15" w:type="dxa"/>
            <w:right w:w="15" w:type="dxa"/>
          </w:tblCellMar>
          <w:tblLook w:val="04A0" w:firstRow="1" w:lastRow="0" w:firstColumn="1" w:lastColumn="0" w:noHBand="0" w:noVBand="1"/>
        </w:tblPrEx>
        <w:tc>
          <w:tcPr>
            <w:tcW w:w="981" w:type="dxa"/>
            <w:vAlign w:val="center"/>
          </w:tcPr>
          <w:p w:rsidR="00A44180" w:rsidRPr="008E3F1A" w:rsidRDefault="00A44180" w:rsidP="00241BD3">
            <w:pPr>
              <w:jc w:val="center"/>
              <w:rPr>
                <w:rFonts w:ascii="Arial Narrow" w:hAnsi="Arial Narrow"/>
                <w:color w:val="333333"/>
                <w:sz w:val="18"/>
                <w:szCs w:val="18"/>
              </w:rPr>
            </w:pPr>
          </w:p>
        </w:tc>
        <w:tc>
          <w:tcPr>
            <w:tcW w:w="8086" w:type="dxa"/>
            <w:gridSpan w:val="7"/>
            <w:vAlign w:val="center"/>
            <w:hideMark/>
          </w:tcPr>
          <w:p w:rsidR="00A44180" w:rsidRPr="008E3F1A" w:rsidRDefault="00A44180" w:rsidP="00241BD3">
            <w:pPr>
              <w:rPr>
                <w:rFonts w:ascii="Arial Narrow" w:hAnsi="Arial Narrow"/>
                <w:b/>
                <w:bCs/>
                <w:color w:val="333333"/>
                <w:sz w:val="18"/>
                <w:szCs w:val="18"/>
              </w:rPr>
            </w:pPr>
            <w:r w:rsidRPr="008E3F1A">
              <w:rPr>
                <w:rFonts w:ascii="Arial Narrow" w:hAnsi="Arial Narrow"/>
                <w:b/>
                <w:bCs/>
                <w:color w:val="333333"/>
                <w:sz w:val="18"/>
                <w:szCs w:val="18"/>
              </w:rPr>
              <w:t xml:space="preserve">Prescribing Instructions: </w:t>
            </w:r>
          </w:p>
          <w:p w:rsidR="00A44180" w:rsidRPr="008E3F1A" w:rsidRDefault="00A44180" w:rsidP="00241BD3">
            <w:pPr>
              <w:rPr>
                <w:rFonts w:ascii="Arial Narrow" w:hAnsi="Arial Narrow"/>
                <w:color w:val="333333"/>
                <w:sz w:val="18"/>
                <w:szCs w:val="18"/>
              </w:rPr>
            </w:pPr>
            <w:r w:rsidRPr="008E3F1A">
              <w:rPr>
                <w:rFonts w:ascii="Arial Narrow" w:hAnsi="Arial Narrow"/>
                <w:i/>
                <w:sz w:val="18"/>
                <w:szCs w:val="18"/>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r w:rsidRPr="008E3F1A">
              <w:rPr>
                <w:rFonts w:ascii="Arial Narrow" w:hAnsi="Arial Narrow"/>
                <w:color w:val="333333"/>
                <w:sz w:val="18"/>
                <w:szCs w:val="18"/>
              </w:rPr>
              <w:t xml:space="preserve"> </w:t>
            </w:r>
          </w:p>
        </w:tc>
      </w:tr>
      <w:tr w:rsidR="00A44180" w:rsidRPr="008E3F1A" w:rsidTr="000345C6">
        <w:tblPrEx>
          <w:tblCellMar>
            <w:top w:w="15" w:type="dxa"/>
            <w:left w:w="15" w:type="dxa"/>
            <w:bottom w:w="15" w:type="dxa"/>
            <w:right w:w="15" w:type="dxa"/>
          </w:tblCellMar>
          <w:tblLook w:val="04A0" w:firstRow="1" w:lastRow="0" w:firstColumn="1" w:lastColumn="0" w:noHBand="0" w:noVBand="1"/>
        </w:tblPrEx>
        <w:tc>
          <w:tcPr>
            <w:tcW w:w="981" w:type="dxa"/>
            <w:vAlign w:val="center"/>
          </w:tcPr>
          <w:p w:rsidR="00A44180" w:rsidRPr="008E3F1A" w:rsidRDefault="00A44180" w:rsidP="00241BD3">
            <w:pPr>
              <w:jc w:val="center"/>
              <w:rPr>
                <w:rFonts w:ascii="Arial Narrow" w:hAnsi="Arial Narrow"/>
                <w:color w:val="333333"/>
                <w:sz w:val="18"/>
                <w:szCs w:val="18"/>
              </w:rPr>
            </w:pPr>
          </w:p>
        </w:tc>
        <w:tc>
          <w:tcPr>
            <w:tcW w:w="8086" w:type="dxa"/>
            <w:gridSpan w:val="7"/>
            <w:vAlign w:val="center"/>
            <w:hideMark/>
          </w:tcPr>
          <w:p w:rsidR="00A44180" w:rsidRPr="008E3F1A" w:rsidRDefault="00A44180" w:rsidP="00241BD3">
            <w:pPr>
              <w:rPr>
                <w:rFonts w:ascii="Arial Narrow" w:hAnsi="Arial Narrow"/>
                <w:color w:val="333333"/>
                <w:sz w:val="18"/>
                <w:szCs w:val="18"/>
              </w:rPr>
            </w:pPr>
            <w:r w:rsidRPr="008E3F1A">
              <w:rPr>
                <w:rFonts w:ascii="Arial Narrow" w:hAnsi="Arial Narrow"/>
                <w:b/>
                <w:bCs/>
                <w:color w:val="333333"/>
                <w:sz w:val="18"/>
                <w:szCs w:val="18"/>
              </w:rPr>
              <w:t>Administrative Advice:</w:t>
            </w:r>
          </w:p>
          <w:p w:rsidR="00A44180" w:rsidRPr="008E3F1A" w:rsidRDefault="00A44180" w:rsidP="00241BD3">
            <w:pPr>
              <w:spacing w:before="40" w:after="80"/>
              <w:rPr>
                <w:rFonts w:ascii="Arial Narrow" w:hAnsi="Arial Narrow"/>
                <w:strike/>
                <w:sz w:val="18"/>
              </w:rPr>
            </w:pPr>
            <w:r w:rsidRPr="008E3F1A">
              <w:rPr>
                <w:rFonts w:ascii="Arial Narrow" w:hAnsi="Arial Narrow"/>
                <w:iCs/>
                <w:strike/>
                <w:sz w:val="18"/>
                <w:szCs w:val="18"/>
              </w:rPr>
              <w:t>A maximum quantity and number of repeats to provide for a total course of brentuximab vedotin of two continuing cycles will be authorised.</w:t>
            </w:r>
          </w:p>
        </w:tc>
      </w:tr>
      <w:tr w:rsidR="00A44180" w:rsidRPr="008E3F1A" w:rsidTr="000345C6">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rsidR="00A44180" w:rsidRPr="008E3F1A" w:rsidRDefault="00A44180" w:rsidP="00241BD3">
            <w:pPr>
              <w:jc w:val="center"/>
              <w:rPr>
                <w:rFonts w:ascii="Arial Narrow" w:hAnsi="Arial Narrow"/>
                <w:color w:val="333333"/>
                <w:sz w:val="18"/>
                <w:szCs w:val="18"/>
              </w:rPr>
            </w:pPr>
          </w:p>
        </w:tc>
        <w:tc>
          <w:tcPr>
            <w:tcW w:w="8086" w:type="dxa"/>
            <w:gridSpan w:val="7"/>
            <w:tcBorders>
              <w:top w:val="single" w:sz="4" w:space="0" w:color="auto"/>
              <w:left w:val="single" w:sz="4" w:space="0" w:color="auto"/>
              <w:bottom w:val="single" w:sz="4" w:space="0" w:color="auto"/>
              <w:right w:val="single" w:sz="4" w:space="0" w:color="auto"/>
            </w:tcBorders>
            <w:vAlign w:val="center"/>
            <w:hideMark/>
          </w:tcPr>
          <w:p w:rsidR="00A44180" w:rsidRPr="008E3F1A" w:rsidRDefault="00A44180" w:rsidP="00241BD3">
            <w:pPr>
              <w:rPr>
                <w:rFonts w:ascii="Arial Narrow" w:hAnsi="Arial Narrow"/>
                <w:b/>
                <w:bCs/>
                <w:color w:val="333333"/>
                <w:sz w:val="18"/>
                <w:szCs w:val="18"/>
              </w:rPr>
            </w:pPr>
            <w:r w:rsidRPr="008E3F1A">
              <w:rPr>
                <w:rFonts w:ascii="Arial Narrow" w:hAnsi="Arial Narrow"/>
                <w:b/>
                <w:bCs/>
                <w:color w:val="333333"/>
                <w:sz w:val="18"/>
                <w:szCs w:val="18"/>
              </w:rPr>
              <w:t xml:space="preserve">Administrative Advice: </w:t>
            </w:r>
            <w:r w:rsidRPr="008E3F1A">
              <w:rPr>
                <w:rFonts w:ascii="Arial Narrow" w:hAnsi="Arial Narrow"/>
                <w:bCs/>
                <w:i/>
                <w:color w:val="333333"/>
                <w:sz w:val="18"/>
                <w:szCs w:val="18"/>
              </w:rPr>
              <w:t>This product is not PBS-subsidised for the treatment of CD30 positive cutaneous T-cell lymphoma.</w:t>
            </w:r>
          </w:p>
          <w:p w:rsidR="00A44180" w:rsidRPr="008E3F1A" w:rsidRDefault="00A44180" w:rsidP="00241BD3">
            <w:pPr>
              <w:rPr>
                <w:rFonts w:ascii="Arial Narrow" w:hAnsi="Arial Narrow"/>
                <w:b/>
                <w:bCs/>
                <w:color w:val="333333"/>
                <w:sz w:val="18"/>
                <w:szCs w:val="18"/>
              </w:rPr>
            </w:pPr>
          </w:p>
        </w:tc>
      </w:tr>
    </w:tbl>
    <w:p w:rsidR="00A44180" w:rsidRPr="008E3F1A" w:rsidRDefault="00A44180" w:rsidP="00F82AEC">
      <w:pPr>
        <w:pStyle w:val="3-BodyText"/>
        <w:numPr>
          <w:ilvl w:val="0"/>
          <w:numId w:val="0"/>
        </w:numPr>
        <w:ind w:left="720" w:hanging="720"/>
        <w:rPr>
          <w:color w:val="000000" w:themeColor="text1"/>
        </w:rPr>
      </w:pPr>
    </w:p>
    <w:p w:rsidR="00A30723" w:rsidRPr="008E3F1A" w:rsidRDefault="0034256D" w:rsidP="004E18E9">
      <w:pPr>
        <w:pStyle w:val="3-BodyText"/>
        <w:rPr>
          <w:color w:val="000000" w:themeColor="text1"/>
        </w:rPr>
      </w:pPr>
      <w:r w:rsidRPr="008E3F1A">
        <w:rPr>
          <w:color w:val="000000" w:themeColor="text1"/>
        </w:rPr>
        <w:t xml:space="preserve">The submission proposed the application of a Special Pricing Arrangement (SPA) resulting in published and effective prices for BV that are consistent with the current </w:t>
      </w:r>
      <w:r w:rsidR="003F2520">
        <w:rPr>
          <w:noProof/>
          <w:color w:val="000000"/>
          <w:highlight w:val="black"/>
        </w:rPr>
        <w:t>''''''''''</w:t>
      </w:r>
      <w:r w:rsidRPr="008E3F1A">
        <w:rPr>
          <w:color w:val="000000" w:themeColor="text1"/>
        </w:rPr>
        <w:t xml:space="preserve">% rebate </w:t>
      </w:r>
      <w:r w:rsidR="00ED3FAB" w:rsidRPr="008E3F1A">
        <w:rPr>
          <w:color w:val="000000" w:themeColor="text1"/>
        </w:rPr>
        <w:t xml:space="preserve">applied to </w:t>
      </w:r>
      <w:r w:rsidRPr="008E3F1A">
        <w:rPr>
          <w:color w:val="000000" w:themeColor="text1"/>
        </w:rPr>
        <w:t xml:space="preserve">BV in the </w:t>
      </w:r>
      <w:r w:rsidR="00E821C5" w:rsidRPr="008E3F1A">
        <w:rPr>
          <w:color w:val="000000" w:themeColor="text1"/>
        </w:rPr>
        <w:t>current</w:t>
      </w:r>
      <w:r w:rsidR="00E821C5" w:rsidRPr="008E3F1A" w:rsidDel="00E821C5">
        <w:rPr>
          <w:color w:val="000000" w:themeColor="text1"/>
        </w:rPr>
        <w:t xml:space="preserve"> </w:t>
      </w:r>
      <w:r w:rsidRPr="008E3F1A">
        <w:rPr>
          <w:color w:val="000000" w:themeColor="text1"/>
        </w:rPr>
        <w:t>PBS listed indication</w:t>
      </w:r>
      <w:r w:rsidR="00A61F8B" w:rsidRPr="008E3F1A">
        <w:rPr>
          <w:color w:val="000000" w:themeColor="text1"/>
        </w:rPr>
        <w:t xml:space="preserve"> for </w:t>
      </w:r>
      <w:r w:rsidR="00E821C5" w:rsidRPr="008E3F1A">
        <w:rPr>
          <w:color w:val="000000" w:themeColor="text1"/>
        </w:rPr>
        <w:t>relapsed/refractory sALCL</w:t>
      </w:r>
      <w:r w:rsidR="00A61F8B" w:rsidRPr="008E3F1A">
        <w:rPr>
          <w:color w:val="000000" w:themeColor="text1"/>
        </w:rPr>
        <w:t xml:space="preserve">. </w:t>
      </w:r>
    </w:p>
    <w:p w:rsidR="00F25116" w:rsidRPr="008E3F1A" w:rsidRDefault="00F25116" w:rsidP="002E18CA">
      <w:pPr>
        <w:pStyle w:val="3-BodyText"/>
        <w:rPr>
          <w:color w:val="000000" w:themeColor="text1"/>
        </w:rPr>
      </w:pPr>
      <w:r w:rsidRPr="008E3F1A">
        <w:lastRenderedPageBreak/>
        <w:t xml:space="preserve">The submission proposed that patients have a histological confirmation of CD30 expression but did not specify the threshold level for positivity. </w:t>
      </w:r>
      <w:r w:rsidRPr="008E3F1A">
        <w:rPr>
          <w:iCs/>
        </w:rPr>
        <w:t xml:space="preserve">The PBAC has previously noted that an explicit definition of CD30 positivity in CTCL was desirable to minimise the potential for inconsistency </w:t>
      </w:r>
      <w:r w:rsidR="00E821C5" w:rsidRPr="008E3F1A">
        <w:rPr>
          <w:iCs/>
        </w:rPr>
        <w:t xml:space="preserve">in determining patient eligibility </w:t>
      </w:r>
      <w:r w:rsidRPr="008E3F1A">
        <w:rPr>
          <w:iCs/>
        </w:rPr>
        <w:t>across Australian pathology practice (paragraph 2.3, brentuximab vedotin</w:t>
      </w:r>
      <w:r w:rsidR="002E18CA">
        <w:rPr>
          <w:iCs/>
        </w:rPr>
        <w:t xml:space="preserve"> </w:t>
      </w:r>
      <w:r w:rsidR="002E18CA" w:rsidRPr="002E18CA">
        <w:rPr>
          <w:iCs/>
        </w:rPr>
        <w:t>Public Summary Document</w:t>
      </w:r>
      <w:r w:rsidR="002E18CA">
        <w:rPr>
          <w:iCs/>
        </w:rPr>
        <w:t xml:space="preserve"> (</w:t>
      </w:r>
      <w:r w:rsidRPr="008E3F1A">
        <w:rPr>
          <w:iCs/>
        </w:rPr>
        <w:t>PSD</w:t>
      </w:r>
      <w:r w:rsidR="002E18CA">
        <w:rPr>
          <w:iCs/>
        </w:rPr>
        <w:t>)</w:t>
      </w:r>
      <w:r w:rsidRPr="008E3F1A">
        <w:rPr>
          <w:iCs/>
        </w:rPr>
        <w:t>, July 2018</w:t>
      </w:r>
      <w:r w:rsidR="002879CD" w:rsidRPr="008E3F1A">
        <w:rPr>
          <w:iCs/>
        </w:rPr>
        <w:t xml:space="preserve"> PBAC meeting</w:t>
      </w:r>
      <w:r w:rsidRPr="008E3F1A">
        <w:rPr>
          <w:iCs/>
        </w:rPr>
        <w:t xml:space="preserve">). </w:t>
      </w:r>
      <w:r w:rsidRPr="008E3F1A">
        <w:t>The submission suggested that a quantitative threshold of at least 3% malignant cells, in line with the criterion applied to the current listing of BV in relapsed</w:t>
      </w:r>
      <w:r w:rsidR="000C074E" w:rsidRPr="008E3F1A">
        <w:t>/</w:t>
      </w:r>
      <w:r w:rsidRPr="008E3F1A">
        <w:t xml:space="preserve">refractory CTCL, could be applied if required. </w:t>
      </w:r>
      <w:r w:rsidRPr="008E3F1A">
        <w:rPr>
          <w:iCs/>
        </w:rPr>
        <w:t>Th</w:t>
      </w:r>
      <w:r w:rsidR="00E14509" w:rsidRPr="008E3F1A">
        <w:rPr>
          <w:iCs/>
        </w:rPr>
        <w:t xml:space="preserve">e </w:t>
      </w:r>
      <w:r w:rsidR="00D9137F" w:rsidRPr="008E3F1A">
        <w:rPr>
          <w:iCs/>
        </w:rPr>
        <w:t>PBAC</w:t>
      </w:r>
      <w:r w:rsidR="00E14509" w:rsidRPr="008E3F1A">
        <w:rPr>
          <w:iCs/>
        </w:rPr>
        <w:t xml:space="preserve"> noted that this</w:t>
      </w:r>
      <w:r w:rsidRPr="008E3F1A">
        <w:rPr>
          <w:iCs/>
        </w:rPr>
        <w:t xml:space="preserve"> does not reflect the entry criterion for ECHELON-2 of CD30 expression in 10% or greater of malignant cells</w:t>
      </w:r>
      <w:r w:rsidR="00E14509" w:rsidRPr="008E3F1A">
        <w:rPr>
          <w:iCs/>
        </w:rPr>
        <w:t xml:space="preserve">. </w:t>
      </w:r>
      <w:r w:rsidR="00E57599" w:rsidRPr="008E3F1A">
        <w:rPr>
          <w:iCs/>
        </w:rPr>
        <w:t xml:space="preserve">However, the </w:t>
      </w:r>
      <w:r w:rsidR="00D9137F" w:rsidRPr="008E3F1A">
        <w:rPr>
          <w:iCs/>
        </w:rPr>
        <w:t>PBAC</w:t>
      </w:r>
      <w:r w:rsidR="00E57599" w:rsidRPr="008E3F1A">
        <w:rPr>
          <w:iCs/>
        </w:rPr>
        <w:t xml:space="preserve"> considered</w:t>
      </w:r>
      <w:r w:rsidR="00E14509" w:rsidRPr="008E3F1A">
        <w:rPr>
          <w:iCs/>
        </w:rPr>
        <w:t xml:space="preserve"> that </w:t>
      </w:r>
      <w:r w:rsidR="00E57599" w:rsidRPr="008E3F1A">
        <w:rPr>
          <w:iCs/>
        </w:rPr>
        <w:t>a</w:t>
      </w:r>
      <w:r w:rsidR="00F46403" w:rsidRPr="008E3F1A">
        <w:rPr>
          <w:iCs/>
        </w:rPr>
        <w:t>s a</w:t>
      </w:r>
      <w:r w:rsidR="00E57599" w:rsidRPr="008E3F1A">
        <w:rPr>
          <w:iCs/>
        </w:rPr>
        <w:t xml:space="preserve"> </w:t>
      </w:r>
      <w:r w:rsidR="00E14509" w:rsidRPr="008E3F1A">
        <w:rPr>
          <w:iCs/>
        </w:rPr>
        <w:t xml:space="preserve">standard definition </w:t>
      </w:r>
      <w:r w:rsidR="00E57599" w:rsidRPr="008E3F1A">
        <w:rPr>
          <w:iCs/>
        </w:rPr>
        <w:t>of an appropriate level of CD30 expression across all PTCL</w:t>
      </w:r>
      <w:r w:rsidR="006B6EB2" w:rsidRPr="008E3F1A">
        <w:rPr>
          <w:iCs/>
        </w:rPr>
        <w:t xml:space="preserve"> subtypes</w:t>
      </w:r>
      <w:r w:rsidR="00E57599" w:rsidRPr="008E3F1A">
        <w:rPr>
          <w:iCs/>
        </w:rPr>
        <w:t xml:space="preserve"> is not availab</w:t>
      </w:r>
      <w:r w:rsidR="002F5AFB" w:rsidRPr="008E3F1A">
        <w:rPr>
          <w:iCs/>
        </w:rPr>
        <w:t>l</w:t>
      </w:r>
      <w:r w:rsidR="00E57599" w:rsidRPr="008E3F1A">
        <w:rPr>
          <w:iCs/>
        </w:rPr>
        <w:t xml:space="preserve">e it would be reasonable for the </w:t>
      </w:r>
      <w:r w:rsidR="00F46403" w:rsidRPr="008E3F1A">
        <w:rPr>
          <w:iCs/>
        </w:rPr>
        <w:t xml:space="preserve">threshold of positivity </w:t>
      </w:r>
      <w:r w:rsidR="00E57599" w:rsidRPr="008E3F1A">
        <w:rPr>
          <w:iCs/>
        </w:rPr>
        <w:t>to be consistent with the 3% specified in the relapsed</w:t>
      </w:r>
      <w:r w:rsidR="000C074E" w:rsidRPr="008E3F1A">
        <w:rPr>
          <w:iCs/>
        </w:rPr>
        <w:t>/</w:t>
      </w:r>
      <w:r w:rsidR="00E57599" w:rsidRPr="008E3F1A">
        <w:rPr>
          <w:iCs/>
        </w:rPr>
        <w:t xml:space="preserve">refractory CTCL restriction. </w:t>
      </w:r>
    </w:p>
    <w:p w:rsidR="00A30723" w:rsidRPr="008E3F1A" w:rsidRDefault="0066718D" w:rsidP="004E18E9">
      <w:pPr>
        <w:pStyle w:val="3-BodyText"/>
        <w:rPr>
          <w:color w:val="000000" w:themeColor="text1"/>
        </w:rPr>
      </w:pPr>
      <w:r w:rsidRPr="008E3F1A">
        <w:rPr>
          <w:color w:val="000000" w:themeColor="text1"/>
        </w:rPr>
        <w:t>The submission requested an Authority Required (Streamlined) restriction for the initiation and continuation treatments.</w:t>
      </w:r>
      <w:r w:rsidR="00D623A6" w:rsidRPr="008E3F1A">
        <w:rPr>
          <w:color w:val="000000" w:themeColor="text1"/>
        </w:rPr>
        <w:t xml:space="preserve"> </w:t>
      </w:r>
      <w:r w:rsidR="00D623A6" w:rsidRPr="008E3F1A">
        <w:rPr>
          <w:iCs/>
          <w:color w:val="000000" w:themeColor="text1"/>
        </w:rPr>
        <w:t>Th</w:t>
      </w:r>
      <w:r w:rsidRPr="008E3F1A">
        <w:rPr>
          <w:iCs/>
          <w:color w:val="000000" w:themeColor="text1"/>
        </w:rPr>
        <w:t xml:space="preserve">e latest listing </w:t>
      </w:r>
      <w:r w:rsidR="00E821C5" w:rsidRPr="008E3F1A">
        <w:rPr>
          <w:iCs/>
          <w:color w:val="000000" w:themeColor="text1"/>
        </w:rPr>
        <w:t xml:space="preserve">for </w:t>
      </w:r>
      <w:r w:rsidRPr="008E3F1A">
        <w:rPr>
          <w:iCs/>
          <w:color w:val="000000" w:themeColor="text1"/>
        </w:rPr>
        <w:t>BV</w:t>
      </w:r>
      <w:r w:rsidR="00E821C5" w:rsidRPr="008E3F1A">
        <w:rPr>
          <w:iCs/>
          <w:color w:val="000000" w:themeColor="text1"/>
        </w:rPr>
        <w:t xml:space="preserve">, in </w:t>
      </w:r>
      <w:r w:rsidRPr="008E3F1A">
        <w:rPr>
          <w:iCs/>
          <w:color w:val="000000" w:themeColor="text1"/>
        </w:rPr>
        <w:t>the treatment of CD30</w:t>
      </w:r>
      <w:r w:rsidR="0049793D" w:rsidRPr="008E3F1A">
        <w:rPr>
          <w:iCs/>
          <w:color w:val="000000" w:themeColor="text1"/>
        </w:rPr>
        <w:t xml:space="preserve"> </w:t>
      </w:r>
      <w:r w:rsidRPr="008E3F1A">
        <w:rPr>
          <w:iCs/>
          <w:color w:val="000000" w:themeColor="text1"/>
        </w:rPr>
        <w:t>positive CTCL</w:t>
      </w:r>
      <w:r w:rsidR="00E821C5" w:rsidRPr="008E3F1A">
        <w:rPr>
          <w:iCs/>
          <w:color w:val="000000" w:themeColor="text1"/>
        </w:rPr>
        <w:t>,</w:t>
      </w:r>
      <w:r w:rsidRPr="008E3F1A">
        <w:rPr>
          <w:iCs/>
          <w:color w:val="000000" w:themeColor="text1"/>
        </w:rPr>
        <w:t xml:space="preserve"> has an Authority Required – In Writing restriction.</w:t>
      </w:r>
      <w:r w:rsidR="00A0658A" w:rsidRPr="008E3F1A">
        <w:rPr>
          <w:iCs/>
          <w:color w:val="000000" w:themeColor="text1"/>
        </w:rPr>
        <w:t xml:space="preserve"> Additionally, the </w:t>
      </w:r>
      <w:r w:rsidR="00576C46" w:rsidRPr="008E3F1A">
        <w:rPr>
          <w:iCs/>
          <w:color w:val="000000" w:themeColor="text1"/>
        </w:rPr>
        <w:t xml:space="preserve">restriction for the </w:t>
      </w:r>
      <w:r w:rsidR="00844FFE" w:rsidRPr="008E3F1A">
        <w:rPr>
          <w:iCs/>
          <w:color w:val="000000" w:themeColor="text1"/>
        </w:rPr>
        <w:t>initial treatment with BV in relapsed</w:t>
      </w:r>
      <w:r w:rsidR="00D623A6" w:rsidRPr="008E3F1A">
        <w:rPr>
          <w:iCs/>
          <w:color w:val="000000" w:themeColor="text1"/>
        </w:rPr>
        <w:t>/</w:t>
      </w:r>
      <w:r w:rsidR="00844FFE" w:rsidRPr="008E3F1A">
        <w:rPr>
          <w:iCs/>
          <w:color w:val="000000" w:themeColor="text1"/>
        </w:rPr>
        <w:t xml:space="preserve">refractory </w:t>
      </w:r>
      <w:r w:rsidR="00576C46" w:rsidRPr="008E3F1A">
        <w:rPr>
          <w:iCs/>
          <w:color w:val="000000" w:themeColor="text1"/>
        </w:rPr>
        <w:t>sALCL listing is written only</w:t>
      </w:r>
      <w:r w:rsidR="00576C46" w:rsidRPr="008E3F1A">
        <w:rPr>
          <w:iCs/>
        </w:rPr>
        <w:t>.</w:t>
      </w:r>
      <w:r w:rsidRPr="008E3F1A">
        <w:rPr>
          <w:iCs/>
          <w:color w:val="000000" w:themeColor="text1"/>
        </w:rPr>
        <w:t xml:space="preserve"> Given the nature of this therapy, and to avoid any inconsistencies across indications, </w:t>
      </w:r>
      <w:r w:rsidR="00E57599" w:rsidRPr="008E3F1A">
        <w:rPr>
          <w:iCs/>
          <w:color w:val="000000" w:themeColor="text1"/>
        </w:rPr>
        <w:t>the evaluation considered</w:t>
      </w:r>
      <w:r w:rsidR="00E57599" w:rsidRPr="008E3F1A">
        <w:rPr>
          <w:i/>
          <w:iCs/>
          <w:color w:val="000000" w:themeColor="text1"/>
        </w:rPr>
        <w:t xml:space="preserve"> </w:t>
      </w:r>
      <w:r w:rsidRPr="008E3F1A">
        <w:rPr>
          <w:iCs/>
          <w:color w:val="000000" w:themeColor="text1"/>
        </w:rPr>
        <w:t>this would also be appropriate in this setting.</w:t>
      </w:r>
      <w:r w:rsidR="00D9137F" w:rsidRPr="008E3F1A">
        <w:rPr>
          <w:iCs/>
          <w:color w:val="000000" w:themeColor="text1"/>
        </w:rPr>
        <w:t xml:space="preserve"> The PBAC considered an Authority Required (Written) listing appropriate for initial treatment followed by an Authority Required (Telephone) listing for continuing treatment. </w:t>
      </w:r>
    </w:p>
    <w:p w:rsidR="006574A8" w:rsidRPr="008E3F1A" w:rsidRDefault="006A6406" w:rsidP="004E18E9">
      <w:pPr>
        <w:pStyle w:val="3-BodyText"/>
        <w:rPr>
          <w:color w:val="000000" w:themeColor="text1"/>
        </w:rPr>
      </w:pPr>
      <w:r w:rsidRPr="008E3F1A">
        <w:rPr>
          <w:iCs/>
          <w:color w:val="000000" w:themeColor="text1"/>
        </w:rPr>
        <w:t>The PBAC noted that no cutaneous-type lymphomas were included in the ECHELON-2 trial and agreed with the pre-PBAC response</w:t>
      </w:r>
      <w:r w:rsidR="00F05050" w:rsidRPr="008E3F1A">
        <w:rPr>
          <w:iCs/>
          <w:color w:val="000000" w:themeColor="text1"/>
        </w:rPr>
        <w:t xml:space="preserve"> </w:t>
      </w:r>
      <w:r w:rsidRPr="008E3F1A">
        <w:rPr>
          <w:iCs/>
          <w:color w:val="000000" w:themeColor="text1"/>
        </w:rPr>
        <w:t>that the initial treatment restriction should include a criterion stating ‘This product is not PBS-subsidised for the treatment of previously untreated CD30 positive cutaneous T-cell lymphoma’.</w:t>
      </w:r>
    </w:p>
    <w:p w:rsidR="00CD58C0" w:rsidRPr="008E3F1A" w:rsidRDefault="00CD58C0" w:rsidP="00F9393E">
      <w:pPr>
        <w:pStyle w:val="3-BodyText"/>
        <w:rPr>
          <w:color w:val="000000" w:themeColor="text1"/>
        </w:rPr>
      </w:pPr>
      <w:r w:rsidRPr="008E3F1A">
        <w:rPr>
          <w:color w:val="000000" w:themeColor="text1"/>
        </w:rPr>
        <w:t xml:space="preserve">The restriction proposed that patients undergo interim re-staging during the first six cycles of treatment and may continue to eight cycles if at least a partial response (PR) is evident. </w:t>
      </w:r>
      <w:r w:rsidRPr="008E3F1A">
        <w:rPr>
          <w:iCs/>
          <w:color w:val="000000" w:themeColor="text1"/>
        </w:rPr>
        <w:t>However, the clinical criterion in the proposed restriction did not stipulate the definition of PR that would be required. Within the submission, two different definitions of PR are referenced: those applied in ECHELON-2 (based on the Revised Response Criteria for Malignant Lymphoma</w:t>
      </w:r>
      <w:r w:rsidR="00AB268A" w:rsidRPr="008E3F1A">
        <w:rPr>
          <w:iCs/>
          <w:color w:val="000000" w:themeColor="text1"/>
        </w:rPr>
        <w:t xml:space="preserve"> (Cheson</w:t>
      </w:r>
      <w:r w:rsidR="00C17537" w:rsidRPr="008E3F1A">
        <w:rPr>
          <w:iCs/>
          <w:color w:val="000000" w:themeColor="text1"/>
        </w:rPr>
        <w:t xml:space="preserve"> et al., 2007)</w:t>
      </w:r>
      <w:r w:rsidRPr="008E3F1A">
        <w:rPr>
          <w:iCs/>
          <w:color w:val="000000" w:themeColor="text1"/>
        </w:rPr>
        <w:t>) and the Lugano Response Criteria.</w:t>
      </w:r>
      <w:r w:rsidRPr="008E3F1A">
        <w:rPr>
          <w:color w:val="000000" w:themeColor="text1"/>
        </w:rPr>
        <w:t xml:space="preserve"> A retrospective comparison of Cheson 2007 and Lugano classification criteria in </w:t>
      </w:r>
      <w:r w:rsidR="005D26A1" w:rsidRPr="008E3F1A">
        <w:rPr>
          <w:color w:val="000000" w:themeColor="text1"/>
        </w:rPr>
        <w:t xml:space="preserve">an </w:t>
      </w:r>
      <w:r w:rsidRPr="008E3F1A">
        <w:rPr>
          <w:color w:val="000000" w:themeColor="text1"/>
        </w:rPr>
        <w:t xml:space="preserve">independent review assessment of FDG-avid lymphomas (Narang et al., 2019) concluded that using </w:t>
      </w:r>
      <w:r w:rsidR="005D26A1" w:rsidRPr="008E3F1A">
        <w:rPr>
          <w:color w:val="000000" w:themeColor="text1"/>
        </w:rPr>
        <w:t xml:space="preserve">the </w:t>
      </w:r>
      <w:r w:rsidRPr="008E3F1A">
        <w:rPr>
          <w:color w:val="000000" w:themeColor="text1"/>
        </w:rPr>
        <w:t xml:space="preserve">Lugano classification </w:t>
      </w:r>
      <w:r w:rsidR="001C0940" w:rsidRPr="008E3F1A">
        <w:rPr>
          <w:color w:val="000000" w:themeColor="text1"/>
        </w:rPr>
        <w:t xml:space="preserve">criteria </w:t>
      </w:r>
      <w:r w:rsidRPr="008E3F1A">
        <w:rPr>
          <w:color w:val="000000" w:themeColor="text1"/>
        </w:rPr>
        <w:t>showed better duration of complete response, duration of response and progression free survival as compared to Cheson 20</w:t>
      </w:r>
      <w:r w:rsidR="008355C7" w:rsidRPr="008E3F1A">
        <w:rPr>
          <w:color w:val="000000" w:themeColor="text1"/>
        </w:rPr>
        <w:t>0</w:t>
      </w:r>
      <w:r w:rsidRPr="008E3F1A">
        <w:rPr>
          <w:color w:val="000000" w:themeColor="text1"/>
        </w:rPr>
        <w:t>7.</w:t>
      </w:r>
      <w:r w:rsidR="005B3CC1" w:rsidRPr="008E3F1A">
        <w:rPr>
          <w:color w:val="000000" w:themeColor="text1"/>
        </w:rPr>
        <w:t xml:space="preserve"> The </w:t>
      </w:r>
      <w:r w:rsidR="0062028A" w:rsidRPr="008E3F1A">
        <w:rPr>
          <w:rStyle w:val="Strong"/>
        </w:rPr>
        <w:t>Pre-Sub-Committee Response (PSCR)</w:t>
      </w:r>
      <w:r w:rsidR="005B3CC1" w:rsidRPr="008E3F1A">
        <w:rPr>
          <w:color w:val="000000" w:themeColor="text1"/>
        </w:rPr>
        <w:t xml:space="preserve"> stated that </w:t>
      </w:r>
      <w:r w:rsidR="005B3CC1" w:rsidRPr="008E3F1A">
        <w:t xml:space="preserve">not all patients who achieve a PR (or better) after six cycles will go on to receive a further two cycles of treatment. However, a patient should demonstrate </w:t>
      </w:r>
      <w:r w:rsidR="005B3CC1" w:rsidRPr="008E3F1A">
        <w:rPr>
          <w:iCs/>
        </w:rPr>
        <w:t>at least</w:t>
      </w:r>
      <w:r w:rsidR="005B3CC1" w:rsidRPr="008E3F1A">
        <w:t xml:space="preserve"> a PR after the initial six cycles of treatment to continue for the additional two cycles. The ESC agreed with the PSCR that the Lugano Criteria would be a reasonable basis on which to define a </w:t>
      </w:r>
      <w:r w:rsidR="006B6EB2" w:rsidRPr="008E3F1A">
        <w:t xml:space="preserve">PR </w:t>
      </w:r>
      <w:r w:rsidR="005B3CC1" w:rsidRPr="008E3F1A">
        <w:t>to treatment.</w:t>
      </w:r>
      <w:r w:rsidR="00ED5789" w:rsidRPr="008E3F1A">
        <w:t xml:space="preserve"> The PBAC considered inclusion of the Lugano </w:t>
      </w:r>
      <w:r w:rsidR="00ED5789" w:rsidRPr="008E3F1A">
        <w:lastRenderedPageBreak/>
        <w:t>response criteria</w:t>
      </w:r>
      <w:r w:rsidR="00ED5789" w:rsidRPr="008E3F1A">
        <w:rPr>
          <w:rStyle w:val="FootnoteReference"/>
        </w:rPr>
        <w:footnoteReference w:id="1"/>
      </w:r>
      <w:r w:rsidR="00ED5789" w:rsidRPr="008E3F1A">
        <w:t xml:space="preserve"> in the continuing restriction appropriate as this criteria is </w:t>
      </w:r>
      <w:r w:rsidR="00B31D7B" w:rsidRPr="008E3F1A">
        <w:t xml:space="preserve">routinely used </w:t>
      </w:r>
      <w:r w:rsidR="00ED5789" w:rsidRPr="008E3F1A">
        <w:t xml:space="preserve">for lymphoma assessment. </w:t>
      </w:r>
    </w:p>
    <w:p w:rsidR="002F5AFB" w:rsidRPr="008E3F1A" w:rsidRDefault="002F5AFB" w:rsidP="001B4480">
      <w:pPr>
        <w:pStyle w:val="3-BodyText"/>
        <w:rPr>
          <w:iCs/>
        </w:rPr>
      </w:pPr>
      <w:r w:rsidRPr="008E3F1A">
        <w:rPr>
          <w:iCs/>
        </w:rPr>
        <w:t xml:space="preserve">The PSCR stated that it is not the intention of the criteria that patients who achieve complete remission following the first six cycles would cease treatment. It may be clinically appropriate for some patients with complete remission to continue to eight cycles. As such, </w:t>
      </w:r>
      <w:r w:rsidR="001B4480" w:rsidRPr="008E3F1A">
        <w:rPr>
          <w:iCs/>
        </w:rPr>
        <w:t xml:space="preserve">the PSCR argued that </w:t>
      </w:r>
      <w:r w:rsidRPr="008E3F1A">
        <w:rPr>
          <w:iCs/>
        </w:rPr>
        <w:t>there is no need to define complete response in the PBS restriction.</w:t>
      </w:r>
    </w:p>
    <w:p w:rsidR="001B4480" w:rsidRPr="008E3F1A" w:rsidRDefault="006131EC" w:rsidP="00F9393E">
      <w:pPr>
        <w:pStyle w:val="3-BodyText"/>
        <w:rPr>
          <w:color w:val="000000" w:themeColor="text1"/>
        </w:rPr>
      </w:pPr>
      <w:r w:rsidRPr="008E3F1A">
        <w:rPr>
          <w:color w:val="000000" w:themeColor="text1"/>
        </w:rPr>
        <w:t xml:space="preserve">The proposed listing capped the maximum treatment duration for continuing patients at 8 cycles (6 initial treatment cycles, and 2 continuing cycles). </w:t>
      </w:r>
      <w:r w:rsidR="001B4480" w:rsidRPr="008E3F1A">
        <w:rPr>
          <w:color w:val="000000" w:themeColor="text1"/>
        </w:rPr>
        <w:t>The ESC agreed with the PSCR that, consistent with the ECHELON-2 trial, the maximum number of treatment cycles for patients w</w:t>
      </w:r>
      <w:r w:rsidR="002012E9" w:rsidRPr="008E3F1A">
        <w:rPr>
          <w:color w:val="000000" w:themeColor="text1"/>
        </w:rPr>
        <w:t>ith previously untreated PTCL should be</w:t>
      </w:r>
      <w:r w:rsidR="001B4480" w:rsidRPr="008E3F1A">
        <w:rPr>
          <w:color w:val="000000" w:themeColor="text1"/>
        </w:rPr>
        <w:t xml:space="preserve"> eight.</w:t>
      </w:r>
    </w:p>
    <w:p w:rsidR="00EF3BDB" w:rsidRPr="008E3F1A" w:rsidRDefault="006131EC" w:rsidP="007063F1">
      <w:pPr>
        <w:pStyle w:val="3-BodyText"/>
        <w:rPr>
          <w:iCs/>
        </w:rPr>
      </w:pPr>
      <w:r w:rsidRPr="008E3F1A">
        <w:rPr>
          <w:iCs/>
          <w:color w:val="000000" w:themeColor="text1"/>
        </w:rPr>
        <w:t>The submission did not address how th</w:t>
      </w:r>
      <w:r w:rsidR="001B4480" w:rsidRPr="008E3F1A">
        <w:rPr>
          <w:iCs/>
          <w:color w:val="000000" w:themeColor="text1"/>
        </w:rPr>
        <w:t>e capped maximum treatment duration for PTCL</w:t>
      </w:r>
      <w:r w:rsidRPr="008E3F1A">
        <w:rPr>
          <w:iCs/>
          <w:color w:val="000000" w:themeColor="text1"/>
        </w:rPr>
        <w:t xml:space="preserve"> might be interpreted with respect to the treatment of patients who might seek to continue treatment with BV monotherapy</w:t>
      </w:r>
      <w:r w:rsidR="0002022E" w:rsidRPr="008E3F1A">
        <w:rPr>
          <w:iCs/>
          <w:color w:val="000000" w:themeColor="text1"/>
        </w:rPr>
        <w:t xml:space="preserve"> </w:t>
      </w:r>
      <w:r w:rsidRPr="008E3F1A">
        <w:rPr>
          <w:iCs/>
          <w:color w:val="000000" w:themeColor="text1"/>
        </w:rPr>
        <w:t xml:space="preserve">for </w:t>
      </w:r>
      <w:r w:rsidR="008355C7" w:rsidRPr="008E3F1A">
        <w:rPr>
          <w:iCs/>
          <w:color w:val="000000" w:themeColor="text1"/>
        </w:rPr>
        <w:t>relapsed/refractory</w:t>
      </w:r>
      <w:r w:rsidRPr="008E3F1A">
        <w:rPr>
          <w:iCs/>
          <w:color w:val="000000" w:themeColor="text1"/>
        </w:rPr>
        <w:t xml:space="preserve"> sALCL</w:t>
      </w:r>
      <w:r w:rsidR="0002022E" w:rsidRPr="008E3F1A">
        <w:rPr>
          <w:iCs/>
          <w:color w:val="000000" w:themeColor="text1"/>
        </w:rPr>
        <w:t xml:space="preserve">; the current PBS listing in that setting </w:t>
      </w:r>
      <w:r w:rsidRPr="008E3F1A">
        <w:rPr>
          <w:iCs/>
          <w:color w:val="000000" w:themeColor="text1"/>
        </w:rPr>
        <w:t>has a maximum lifetime total of 16 cycles.</w:t>
      </w:r>
      <w:r w:rsidR="00A96B36" w:rsidRPr="008E3F1A">
        <w:rPr>
          <w:iCs/>
          <w:color w:val="000000" w:themeColor="text1"/>
        </w:rPr>
        <w:t xml:space="preserve"> The submission included </w:t>
      </w:r>
      <w:r w:rsidR="004607E8" w:rsidRPr="008E3F1A">
        <w:rPr>
          <w:iCs/>
          <w:color w:val="000000" w:themeColor="text1"/>
        </w:rPr>
        <w:t>treatment</w:t>
      </w:r>
      <w:r w:rsidR="00A96B36" w:rsidRPr="008E3F1A">
        <w:rPr>
          <w:iCs/>
          <w:color w:val="000000" w:themeColor="text1"/>
        </w:rPr>
        <w:t xml:space="preserve"> with BV monotherapy</w:t>
      </w:r>
      <w:r w:rsidR="00BF16A0" w:rsidRPr="008E3F1A">
        <w:rPr>
          <w:iCs/>
          <w:color w:val="000000" w:themeColor="text1"/>
        </w:rPr>
        <w:t xml:space="preserve"> in second</w:t>
      </w:r>
      <w:r w:rsidR="00EF3BDB" w:rsidRPr="008E3F1A">
        <w:rPr>
          <w:iCs/>
          <w:color w:val="000000" w:themeColor="text1"/>
        </w:rPr>
        <w:t>-</w:t>
      </w:r>
      <w:r w:rsidR="00BF16A0" w:rsidRPr="008E3F1A">
        <w:rPr>
          <w:iCs/>
          <w:color w:val="000000" w:themeColor="text1"/>
        </w:rPr>
        <w:t>line in both arms</w:t>
      </w:r>
      <w:r w:rsidR="00A96B36" w:rsidRPr="008E3F1A">
        <w:rPr>
          <w:iCs/>
          <w:color w:val="000000" w:themeColor="text1"/>
        </w:rPr>
        <w:t xml:space="preserve"> in the </w:t>
      </w:r>
      <w:r w:rsidR="004607E8" w:rsidRPr="008E3F1A">
        <w:rPr>
          <w:iCs/>
          <w:color w:val="000000" w:themeColor="text1"/>
        </w:rPr>
        <w:t>economic</w:t>
      </w:r>
      <w:r w:rsidR="00A96B36" w:rsidRPr="008E3F1A">
        <w:rPr>
          <w:iCs/>
          <w:color w:val="000000" w:themeColor="text1"/>
        </w:rPr>
        <w:t xml:space="preserve"> model, however, </w:t>
      </w:r>
      <w:r w:rsidR="004607E8" w:rsidRPr="008E3F1A">
        <w:rPr>
          <w:iCs/>
          <w:color w:val="000000" w:themeColor="text1"/>
        </w:rPr>
        <w:t>excluded treatment</w:t>
      </w:r>
      <w:r w:rsidR="00BF16A0" w:rsidRPr="008E3F1A">
        <w:rPr>
          <w:iCs/>
          <w:color w:val="000000" w:themeColor="text1"/>
        </w:rPr>
        <w:t xml:space="preserve"> with BV monotherapy after BV+CHP</w:t>
      </w:r>
      <w:r w:rsidR="004607E8" w:rsidRPr="008E3F1A">
        <w:rPr>
          <w:iCs/>
          <w:color w:val="000000" w:themeColor="text1"/>
        </w:rPr>
        <w:t xml:space="preserve"> in the financial estimates.</w:t>
      </w:r>
      <w:r w:rsidR="002F5AFB" w:rsidRPr="008E3F1A">
        <w:rPr>
          <w:iCs/>
          <w:color w:val="000000" w:themeColor="text1"/>
        </w:rPr>
        <w:t xml:space="preserve"> </w:t>
      </w:r>
      <w:r w:rsidR="00122E5B" w:rsidRPr="008E3F1A">
        <w:rPr>
          <w:iCs/>
          <w:color w:val="000000" w:themeColor="text1"/>
        </w:rPr>
        <w:t xml:space="preserve">The PSCR stated that </w:t>
      </w:r>
      <w:r w:rsidR="00122E5B" w:rsidRPr="008E3F1A">
        <w:rPr>
          <w:iCs/>
        </w:rPr>
        <w:t>in the absence of effective treatment options in the relapse setting, it is appropriate for sALCL patients who achieve objective response with BV in the front-line setting to be eligibl</w:t>
      </w:r>
      <w:r w:rsidR="0090712F" w:rsidRPr="008E3F1A">
        <w:rPr>
          <w:iCs/>
        </w:rPr>
        <w:t>e for re</w:t>
      </w:r>
      <w:r w:rsidR="00122E5B" w:rsidRPr="008E3F1A">
        <w:rPr>
          <w:iCs/>
        </w:rPr>
        <w:t>treatment with BV</w:t>
      </w:r>
      <w:r w:rsidR="00EF3BDB" w:rsidRPr="008E3F1A">
        <w:rPr>
          <w:iCs/>
        </w:rPr>
        <w:t xml:space="preserve"> as monotherapy, upon relapse. As out</w:t>
      </w:r>
      <w:r w:rsidR="008D1AB5" w:rsidRPr="008E3F1A">
        <w:rPr>
          <w:iCs/>
        </w:rPr>
        <w:t>lined in paragraph 6.17</w:t>
      </w:r>
      <w:r w:rsidR="00EF3BDB" w:rsidRPr="008E3F1A">
        <w:rPr>
          <w:iCs/>
        </w:rPr>
        <w:t xml:space="preserve">, the ESC considered that the limited data available on such use indicated </w:t>
      </w:r>
      <w:r w:rsidR="007063F1" w:rsidRPr="008E3F1A">
        <w:rPr>
          <w:lang w:eastAsia="en-US"/>
        </w:rPr>
        <w:t xml:space="preserve">treatment with BV monotherapy for relapsed/refractory sALCL </w:t>
      </w:r>
      <w:r w:rsidR="00EF3BDB" w:rsidRPr="008E3F1A">
        <w:rPr>
          <w:lang w:eastAsia="en-US"/>
        </w:rPr>
        <w:t xml:space="preserve">may be a viable option for patients who achieve a response to front-line BV containing therapy. </w:t>
      </w:r>
      <w:r w:rsidR="000B2CD1" w:rsidRPr="008E3F1A">
        <w:rPr>
          <w:lang w:eastAsia="en-US"/>
        </w:rPr>
        <w:t xml:space="preserve">The PBAC agreed with the ESC and in addition advised that </w:t>
      </w:r>
      <w:r w:rsidR="00B31D7B" w:rsidRPr="008E3F1A">
        <w:rPr>
          <w:lang w:eastAsia="en-US"/>
        </w:rPr>
        <w:t xml:space="preserve">subsequent </w:t>
      </w:r>
      <w:r w:rsidR="007A3686" w:rsidRPr="008E3F1A">
        <w:rPr>
          <w:lang w:eastAsia="en-US"/>
        </w:rPr>
        <w:t>treatment with BV monotherapy</w:t>
      </w:r>
      <w:r w:rsidR="000B2CD1" w:rsidRPr="008E3F1A">
        <w:rPr>
          <w:lang w:eastAsia="en-US"/>
        </w:rPr>
        <w:t xml:space="preserve"> for relapsed/refractory sALCL should </w:t>
      </w:r>
      <w:r w:rsidR="007A3686" w:rsidRPr="008E3F1A">
        <w:rPr>
          <w:lang w:eastAsia="en-US"/>
        </w:rPr>
        <w:t xml:space="preserve">exclude </w:t>
      </w:r>
      <w:r w:rsidR="000B2CD1" w:rsidRPr="008E3F1A">
        <w:rPr>
          <w:lang w:eastAsia="en-US"/>
        </w:rPr>
        <w:t>patients</w:t>
      </w:r>
      <w:r w:rsidR="007A3686" w:rsidRPr="008E3F1A">
        <w:rPr>
          <w:lang w:eastAsia="en-US"/>
        </w:rPr>
        <w:t xml:space="preserve"> who are </w:t>
      </w:r>
      <w:r w:rsidR="000B2CD1" w:rsidRPr="008E3F1A">
        <w:rPr>
          <w:lang w:eastAsia="en-US"/>
        </w:rPr>
        <w:t>primary refractory to BV-CHP</w:t>
      </w:r>
      <w:r w:rsidR="006A6406" w:rsidRPr="008E3F1A">
        <w:rPr>
          <w:lang w:eastAsia="en-US"/>
        </w:rPr>
        <w:t xml:space="preserve"> for CD30 </w:t>
      </w:r>
      <w:r w:rsidR="007A3686" w:rsidRPr="008E3F1A">
        <w:rPr>
          <w:lang w:eastAsia="en-US"/>
        </w:rPr>
        <w:t>positive PTCL</w:t>
      </w:r>
      <w:r w:rsidR="000B2CD1" w:rsidRPr="008E3F1A">
        <w:rPr>
          <w:lang w:eastAsia="en-US"/>
        </w:rPr>
        <w:t xml:space="preserve">. </w:t>
      </w:r>
    </w:p>
    <w:p w:rsidR="007063F1" w:rsidRPr="008E3F1A" w:rsidRDefault="00157D74" w:rsidP="007063F1">
      <w:pPr>
        <w:pStyle w:val="3-BodyText"/>
        <w:rPr>
          <w:iCs/>
        </w:rPr>
      </w:pPr>
      <w:r w:rsidRPr="008E3F1A">
        <w:rPr>
          <w:iCs/>
        </w:rPr>
        <w:t xml:space="preserve">The ESC noted the current relapsed/refractory sALCL listing </w:t>
      </w:r>
      <w:r w:rsidR="006D5460" w:rsidRPr="008E3F1A">
        <w:rPr>
          <w:iCs/>
        </w:rPr>
        <w:t xml:space="preserve">is based on Study 0004 which excluded </w:t>
      </w:r>
      <w:r w:rsidR="006B6EB2" w:rsidRPr="008E3F1A">
        <w:rPr>
          <w:iCs/>
        </w:rPr>
        <w:t xml:space="preserve">patients </w:t>
      </w:r>
      <w:r w:rsidR="009F10A5" w:rsidRPr="008E3F1A">
        <w:rPr>
          <w:iCs/>
        </w:rPr>
        <w:t>if they had previously received treatment with BV</w:t>
      </w:r>
      <w:r w:rsidR="006D5460" w:rsidRPr="008E3F1A">
        <w:rPr>
          <w:iCs/>
        </w:rPr>
        <w:t xml:space="preserve"> (paragraph 6.3, brentuximab vedotin PSD, March 2014 PBAC meeting).</w:t>
      </w:r>
      <w:r w:rsidR="009F10A5" w:rsidRPr="008E3F1A">
        <w:rPr>
          <w:iCs/>
        </w:rPr>
        <w:t xml:space="preserve"> The ESC noted that if the maximum lifetime total of 16 cycles remained the number of cycles available in the relapsed/refractory setting would be reduced by up to 50% in those who received BV-CHP as front-line therapy. The ESC considered that there was no evidence of efficacy </w:t>
      </w:r>
      <w:r w:rsidR="00F46403" w:rsidRPr="008E3F1A">
        <w:rPr>
          <w:iCs/>
        </w:rPr>
        <w:t>of</w:t>
      </w:r>
      <w:r w:rsidR="009F10A5" w:rsidRPr="008E3F1A">
        <w:rPr>
          <w:iCs/>
        </w:rPr>
        <w:t xml:space="preserve"> </w:t>
      </w:r>
      <w:r w:rsidR="00F46403" w:rsidRPr="008E3F1A">
        <w:rPr>
          <w:iCs/>
        </w:rPr>
        <w:t xml:space="preserve">restricting use to </w:t>
      </w:r>
      <w:r w:rsidR="009F10A5" w:rsidRPr="008E3F1A">
        <w:rPr>
          <w:iCs/>
        </w:rPr>
        <w:t>8 cycles in the relapsed/refractory sALCL setting and advised it may be appropriate to allow the maximum lifetime total to increase to 24 cycles to allow BV use in the first and second-line settings.</w:t>
      </w:r>
      <w:r w:rsidR="000A694B" w:rsidRPr="008E3F1A">
        <w:rPr>
          <w:iCs/>
        </w:rPr>
        <w:t xml:space="preserve"> The pre-PBAC response argued that two prospective observational studies (Fukuhara et al 2020 and Bartlett et al 2014) provided evidence for the use of BV beyond a cumulative lifetime total of 16 cycles. </w:t>
      </w:r>
      <w:r w:rsidR="000A694B" w:rsidRPr="008E3F1A">
        <w:rPr>
          <w:iCs/>
        </w:rPr>
        <w:lastRenderedPageBreak/>
        <w:t xml:space="preserve">The PBAC agreed with the pre-PBAC response that it was appropriate </w:t>
      </w:r>
      <w:r w:rsidR="00BE5B49" w:rsidRPr="008E3F1A">
        <w:rPr>
          <w:iCs/>
        </w:rPr>
        <w:t>to remove</w:t>
      </w:r>
      <w:r w:rsidR="000A694B" w:rsidRPr="008E3F1A">
        <w:rPr>
          <w:iCs/>
        </w:rPr>
        <w:t xml:space="preserve"> the criterion stating ‘The treatment must not exceed a lifetime total of 16 cycles’ in the current relapsed/refractory sALCL continuing treatment restriction </w:t>
      </w:r>
      <w:r w:rsidR="00BE5B49" w:rsidRPr="008E3F1A">
        <w:rPr>
          <w:iCs/>
        </w:rPr>
        <w:t>and advised that it should be replaced with ‘The treatment must not be more than 12 treatment cycles under this restriction in a lifetime’</w:t>
      </w:r>
      <w:r w:rsidR="00A83307" w:rsidRPr="008E3F1A">
        <w:rPr>
          <w:iCs/>
        </w:rPr>
        <w:t>.</w:t>
      </w:r>
    </w:p>
    <w:p w:rsidR="001B4480" w:rsidRPr="008E3F1A" w:rsidRDefault="001B4480" w:rsidP="00F9393E">
      <w:pPr>
        <w:pStyle w:val="3-BodyText"/>
        <w:rPr>
          <w:color w:val="000000" w:themeColor="text1"/>
        </w:rPr>
      </w:pPr>
      <w:r w:rsidRPr="008E3F1A">
        <w:rPr>
          <w:iCs/>
          <w:color w:val="000000" w:themeColor="text1"/>
        </w:rPr>
        <w:t xml:space="preserve">The PSCR </w:t>
      </w:r>
      <w:r w:rsidR="00BA14FA" w:rsidRPr="008E3F1A">
        <w:rPr>
          <w:iCs/>
          <w:color w:val="000000" w:themeColor="text1"/>
        </w:rPr>
        <w:t xml:space="preserve">stated that </w:t>
      </w:r>
      <w:r w:rsidR="00C3379E" w:rsidRPr="008E3F1A">
        <w:rPr>
          <w:iCs/>
          <w:color w:val="000000" w:themeColor="text1"/>
        </w:rPr>
        <w:t>a compassionate access program wa</w:t>
      </w:r>
      <w:r w:rsidR="00BA14FA" w:rsidRPr="008E3F1A">
        <w:rPr>
          <w:iCs/>
          <w:color w:val="000000" w:themeColor="text1"/>
        </w:rPr>
        <w:t>s in place in Australia and requested a grandfathering restriction</w:t>
      </w:r>
      <w:r w:rsidR="00C3379E" w:rsidRPr="008E3F1A">
        <w:rPr>
          <w:iCs/>
          <w:color w:val="000000" w:themeColor="text1"/>
        </w:rPr>
        <w:t xml:space="preserve"> for an estimated 10 patients</w:t>
      </w:r>
      <w:r w:rsidR="00BA14FA" w:rsidRPr="008E3F1A">
        <w:rPr>
          <w:iCs/>
          <w:color w:val="000000" w:themeColor="text1"/>
        </w:rPr>
        <w:t xml:space="preserve">. </w:t>
      </w:r>
      <w:r w:rsidR="00C3379E" w:rsidRPr="008E3F1A">
        <w:rPr>
          <w:iCs/>
          <w:color w:val="000000" w:themeColor="text1"/>
        </w:rPr>
        <w:t>The PSCR stated that the enrolment criteria of the program align</w:t>
      </w:r>
      <w:r w:rsidR="00F46403" w:rsidRPr="008E3F1A">
        <w:rPr>
          <w:iCs/>
          <w:color w:val="000000" w:themeColor="text1"/>
        </w:rPr>
        <w:t>ed</w:t>
      </w:r>
      <w:r w:rsidR="00C3379E" w:rsidRPr="008E3F1A">
        <w:rPr>
          <w:iCs/>
          <w:color w:val="000000" w:themeColor="text1"/>
        </w:rPr>
        <w:t xml:space="preserve"> with the proposed PBS restriction but did not provide specific criteria for a grandfathering restriction.</w:t>
      </w:r>
      <w:r w:rsidR="006574A8" w:rsidRPr="008E3F1A">
        <w:rPr>
          <w:iCs/>
          <w:color w:val="000000" w:themeColor="text1"/>
        </w:rPr>
        <w:t xml:space="preserve"> The </w:t>
      </w:r>
      <w:r w:rsidR="006A6406" w:rsidRPr="008E3F1A">
        <w:rPr>
          <w:iCs/>
          <w:color w:val="000000" w:themeColor="text1"/>
        </w:rPr>
        <w:t xml:space="preserve">pre-PBAC response clarified that, as noted by the ESC, due to the short duration of BV treatment in this </w:t>
      </w:r>
      <w:r w:rsidR="00C604A7">
        <w:rPr>
          <w:iCs/>
          <w:color w:val="000000" w:themeColor="text1"/>
        </w:rPr>
        <w:t>setting</w:t>
      </w:r>
      <w:r w:rsidR="006A6406" w:rsidRPr="008E3F1A">
        <w:rPr>
          <w:iCs/>
          <w:color w:val="000000" w:themeColor="text1"/>
        </w:rPr>
        <w:t xml:space="preserve"> those patients currently receiving BV will likely have ceased treatment by the time BV is PBS listed for CD30 positive PTCL and as such a grandfathering restriction is not required</w:t>
      </w:r>
      <w:r w:rsidR="008E3F1A">
        <w:rPr>
          <w:iCs/>
          <w:color w:val="000000" w:themeColor="text1"/>
        </w:rPr>
        <w:t xml:space="preserve">. </w:t>
      </w:r>
      <w:r w:rsidR="006574A8" w:rsidRPr="008E3F1A">
        <w:rPr>
          <w:iCs/>
          <w:color w:val="000000" w:themeColor="text1"/>
        </w:rPr>
        <w:t xml:space="preserve"> </w:t>
      </w:r>
    </w:p>
    <w:p w:rsidR="00C16A99" w:rsidRPr="008E3F1A" w:rsidRDefault="00C16A99" w:rsidP="00C16A99">
      <w:pPr>
        <w:pStyle w:val="3-BodyText"/>
        <w:numPr>
          <w:ilvl w:val="0"/>
          <w:numId w:val="0"/>
        </w:numPr>
        <w:ind w:left="720"/>
        <w:rPr>
          <w:i/>
          <w:iCs/>
        </w:rPr>
      </w:pPr>
      <w:r w:rsidRPr="008E3F1A">
        <w:rPr>
          <w:i/>
          <w:iCs/>
        </w:rPr>
        <w:t>For more detail on PBAC’s view, see section 7 PBAC outcome.</w:t>
      </w:r>
    </w:p>
    <w:p w:rsidR="00B50DB8" w:rsidRPr="008E3F1A" w:rsidRDefault="00203181" w:rsidP="004E18E9">
      <w:pPr>
        <w:pStyle w:val="2-SectionHeading"/>
      </w:pPr>
      <w:bookmarkStart w:id="7" w:name="_Toc62055088"/>
      <w:r w:rsidRPr="008E3F1A">
        <w:t xml:space="preserve">Population and </w:t>
      </w:r>
      <w:r w:rsidR="008E0D3C" w:rsidRPr="008E3F1A">
        <w:t>d</w:t>
      </w:r>
      <w:r w:rsidRPr="008E3F1A">
        <w:t>isease</w:t>
      </w:r>
      <w:bookmarkEnd w:id="7"/>
    </w:p>
    <w:p w:rsidR="00FC5150" w:rsidRPr="008E3F1A" w:rsidRDefault="00FC5150" w:rsidP="004E18E9">
      <w:pPr>
        <w:pStyle w:val="3-BodyText"/>
        <w:rPr>
          <w:color w:val="000000" w:themeColor="text1"/>
        </w:rPr>
      </w:pPr>
      <w:r w:rsidRPr="008E3F1A">
        <w:rPr>
          <w:color w:val="000000" w:themeColor="text1"/>
        </w:rPr>
        <w:t>PTCL is an aggressive non-Hodgkins lymphoma (NHL) that develops in the mature T cells within the lymphoid tissues of the lymph nodes, spleen, gastrointestinal trac</w:t>
      </w:r>
      <w:r w:rsidR="00497EF4" w:rsidRPr="008E3F1A">
        <w:rPr>
          <w:color w:val="000000" w:themeColor="text1"/>
        </w:rPr>
        <w:t>t</w:t>
      </w:r>
      <w:r w:rsidRPr="008E3F1A">
        <w:rPr>
          <w:color w:val="000000" w:themeColor="text1"/>
        </w:rPr>
        <w:t xml:space="preserve"> and skin.</w:t>
      </w:r>
      <w:r w:rsidR="007E6B3D" w:rsidRPr="008E3F1A">
        <w:rPr>
          <w:color w:val="000000" w:themeColor="text1"/>
        </w:rPr>
        <w:t xml:space="preserve"> </w:t>
      </w:r>
      <w:r w:rsidR="00A45405" w:rsidRPr="008E3F1A">
        <w:rPr>
          <w:color w:val="000000" w:themeColor="text1"/>
        </w:rPr>
        <w:t>Worldwide</w:t>
      </w:r>
      <w:r w:rsidR="00497EF4" w:rsidRPr="008E3F1A">
        <w:rPr>
          <w:color w:val="000000" w:themeColor="text1"/>
        </w:rPr>
        <w:t>,</w:t>
      </w:r>
      <w:r w:rsidR="00A45405" w:rsidRPr="008E3F1A">
        <w:rPr>
          <w:color w:val="000000" w:themeColor="text1"/>
        </w:rPr>
        <w:t xml:space="preserve"> PTCL represents approximately 5-10% of all newly diagnosed cases of NHL (Anderson et al.,1998; d’Amore et al., 2015).</w:t>
      </w:r>
    </w:p>
    <w:p w:rsidR="00844FFE" w:rsidRPr="008E3F1A" w:rsidRDefault="00844FFE" w:rsidP="00844FFE">
      <w:pPr>
        <w:pStyle w:val="3-BodyText"/>
        <w:rPr>
          <w:color w:val="000000" w:themeColor="text1"/>
        </w:rPr>
      </w:pPr>
      <w:r w:rsidRPr="008E3F1A">
        <w:rPr>
          <w:color w:val="000000" w:themeColor="text1"/>
        </w:rPr>
        <w:t xml:space="preserve">Lymphoma Australia describes four main types of PTCL: nodal, extra-nodal, cutaneous and leukaemic. The subtypes within each of these classifications include: </w:t>
      </w:r>
    </w:p>
    <w:p w:rsidR="00844FFE" w:rsidRPr="008E3F1A" w:rsidRDefault="00844FFE" w:rsidP="00BA026D">
      <w:pPr>
        <w:pStyle w:val="3-BodyText"/>
        <w:numPr>
          <w:ilvl w:val="1"/>
          <w:numId w:val="11"/>
        </w:numPr>
        <w:ind w:left="1418"/>
        <w:rPr>
          <w:color w:val="000000" w:themeColor="text1"/>
        </w:rPr>
      </w:pPr>
      <w:r w:rsidRPr="008E3F1A">
        <w:rPr>
          <w:color w:val="000000" w:themeColor="text1"/>
        </w:rPr>
        <w:t>Nodal: angioimmunoblastic T-cell lymphoma (AITL), follicular T-cell lymphoma, and peripheral T-cell lymphoma, PTCL not otherwise specified (PTCL-NOS); anaplastic large cell lymphomas (ALCLs; including sALCL).</w:t>
      </w:r>
    </w:p>
    <w:p w:rsidR="00844FFE" w:rsidRPr="008E3F1A" w:rsidRDefault="00844FFE" w:rsidP="00BA026D">
      <w:pPr>
        <w:pStyle w:val="3-BodyText"/>
        <w:numPr>
          <w:ilvl w:val="1"/>
          <w:numId w:val="11"/>
        </w:numPr>
        <w:ind w:left="1418"/>
        <w:rPr>
          <w:color w:val="000000" w:themeColor="text1"/>
        </w:rPr>
      </w:pPr>
      <w:r w:rsidRPr="008E3F1A">
        <w:rPr>
          <w:color w:val="000000" w:themeColor="text1"/>
        </w:rPr>
        <w:t>Extra-nodal: nasal natural killer (NK)/T-cell lymphoma (NKTCL), hepatosplenic TCL, enteropathy-associated TCL (EATL); monomorphic epitheliotropic intestinal TCL (MEITL).</w:t>
      </w:r>
    </w:p>
    <w:p w:rsidR="00844FFE" w:rsidRPr="008E3F1A" w:rsidRDefault="00844FFE" w:rsidP="00BA026D">
      <w:pPr>
        <w:pStyle w:val="3-BodyText"/>
        <w:numPr>
          <w:ilvl w:val="1"/>
          <w:numId w:val="11"/>
        </w:numPr>
        <w:ind w:left="1418"/>
        <w:rPr>
          <w:color w:val="000000" w:themeColor="text1"/>
        </w:rPr>
      </w:pPr>
      <w:r w:rsidRPr="008E3F1A">
        <w:rPr>
          <w:color w:val="000000" w:themeColor="text1"/>
        </w:rPr>
        <w:t>Cutaneo</w:t>
      </w:r>
      <w:r w:rsidR="000E60E7" w:rsidRPr="008E3F1A">
        <w:rPr>
          <w:color w:val="000000" w:themeColor="text1"/>
        </w:rPr>
        <w:t>us: CTCL</w:t>
      </w:r>
      <w:r w:rsidRPr="008E3F1A">
        <w:rPr>
          <w:color w:val="000000" w:themeColor="text1"/>
        </w:rPr>
        <w:t>; Sezary syndrome.</w:t>
      </w:r>
    </w:p>
    <w:p w:rsidR="00844FFE" w:rsidRPr="008E3F1A" w:rsidRDefault="00844FFE" w:rsidP="00BA026D">
      <w:pPr>
        <w:pStyle w:val="3-BodyText"/>
        <w:numPr>
          <w:ilvl w:val="1"/>
          <w:numId w:val="11"/>
        </w:numPr>
        <w:ind w:left="1418"/>
        <w:rPr>
          <w:color w:val="000000" w:themeColor="text1"/>
        </w:rPr>
      </w:pPr>
      <w:r w:rsidRPr="008E3F1A">
        <w:rPr>
          <w:color w:val="000000" w:themeColor="text1"/>
        </w:rPr>
        <w:t>Leukaemic: adult T-cell leukaemia/lymphoma (ATLL); T-cell lymphoblastic lymphoma (LL).</w:t>
      </w:r>
    </w:p>
    <w:p w:rsidR="00844FFE" w:rsidRPr="008E3F1A" w:rsidRDefault="00F42BFE" w:rsidP="004E18E9">
      <w:pPr>
        <w:pStyle w:val="3-BodyText"/>
        <w:rPr>
          <w:color w:val="000000" w:themeColor="text1"/>
        </w:rPr>
      </w:pPr>
      <w:r w:rsidRPr="008E3F1A">
        <w:rPr>
          <w:color w:val="000000" w:themeColor="text1"/>
        </w:rPr>
        <w:t>PTCL</w:t>
      </w:r>
      <w:r w:rsidR="0002022E" w:rsidRPr="008E3F1A">
        <w:rPr>
          <w:color w:val="000000" w:themeColor="text1"/>
        </w:rPr>
        <w:t>-</w:t>
      </w:r>
      <w:r w:rsidRPr="008E3F1A">
        <w:rPr>
          <w:color w:val="000000" w:themeColor="text1"/>
        </w:rPr>
        <w:t xml:space="preserve">NOS is the most common </w:t>
      </w:r>
      <w:r w:rsidR="00E00618" w:rsidRPr="008E3F1A">
        <w:rPr>
          <w:color w:val="000000" w:themeColor="text1"/>
        </w:rPr>
        <w:t>subtype</w:t>
      </w:r>
      <w:r w:rsidRPr="008E3F1A">
        <w:rPr>
          <w:color w:val="000000" w:themeColor="text1"/>
        </w:rPr>
        <w:t xml:space="preserve"> (26% of PTCL; Vose et al., 2008); sALCL is a CD30-expressing subtype that accounts for 12% of PTCL. </w:t>
      </w:r>
      <w:r w:rsidR="0002022E" w:rsidRPr="008E3F1A">
        <w:rPr>
          <w:iCs/>
          <w:color w:val="000000" w:themeColor="text1"/>
        </w:rPr>
        <w:t>70% of patients recruited into ECHELON-2 had sALCL.</w:t>
      </w:r>
      <w:r w:rsidR="00292C75" w:rsidRPr="008E3F1A">
        <w:rPr>
          <w:iCs/>
          <w:color w:val="000000" w:themeColor="text1"/>
        </w:rPr>
        <w:t xml:space="preserve"> The ESC noted that data from the International T-Cell lymphoma Project (Vose et al. 2008) p</w:t>
      </w:r>
      <w:r w:rsidR="0062028A" w:rsidRPr="008E3F1A">
        <w:rPr>
          <w:iCs/>
          <w:color w:val="000000" w:themeColor="text1"/>
        </w:rPr>
        <w:t xml:space="preserve">resented in the submission </w:t>
      </w:r>
      <w:r w:rsidR="00292C75" w:rsidRPr="008E3F1A">
        <w:rPr>
          <w:iCs/>
          <w:color w:val="000000" w:themeColor="text1"/>
        </w:rPr>
        <w:t>highlighted that the proportion of patients with each PTCL subtypes can vary by geographical region</w:t>
      </w:r>
      <w:r w:rsidR="008E3F1A">
        <w:rPr>
          <w:iCs/>
          <w:color w:val="000000" w:themeColor="text1"/>
        </w:rPr>
        <w:t xml:space="preserve">. </w:t>
      </w:r>
    </w:p>
    <w:p w:rsidR="00A45405" w:rsidRPr="008E3F1A" w:rsidRDefault="00A45405" w:rsidP="004E18E9">
      <w:pPr>
        <w:pStyle w:val="3-BodyText"/>
        <w:rPr>
          <w:color w:val="000000" w:themeColor="text1"/>
        </w:rPr>
      </w:pPr>
      <w:r w:rsidRPr="008E3F1A">
        <w:rPr>
          <w:color w:val="000000" w:themeColor="text1"/>
        </w:rPr>
        <w:t>The submission proposed that the place in therapy for BV+CHP is for previously untreated CD30</w:t>
      </w:r>
      <w:r w:rsidR="006A6406" w:rsidRPr="008E3F1A">
        <w:rPr>
          <w:color w:val="000000" w:themeColor="text1"/>
        </w:rPr>
        <w:t xml:space="preserve"> </w:t>
      </w:r>
      <w:r w:rsidRPr="008E3F1A">
        <w:rPr>
          <w:color w:val="000000" w:themeColor="text1"/>
        </w:rPr>
        <w:t>positive PTCL patients.</w:t>
      </w:r>
      <w:r w:rsidR="005271E7" w:rsidRPr="008E3F1A">
        <w:rPr>
          <w:color w:val="000000" w:themeColor="text1"/>
        </w:rPr>
        <w:t xml:space="preserve"> </w:t>
      </w:r>
    </w:p>
    <w:p w:rsidR="00114237" w:rsidRPr="008E3F1A" w:rsidRDefault="00A30320" w:rsidP="004E18E9">
      <w:pPr>
        <w:pStyle w:val="3-BodyText"/>
        <w:rPr>
          <w:color w:val="000000" w:themeColor="text1"/>
        </w:rPr>
      </w:pPr>
      <w:r w:rsidRPr="008E3F1A">
        <w:rPr>
          <w:color w:val="000000" w:themeColor="text1"/>
        </w:rPr>
        <w:lastRenderedPageBreak/>
        <w:t xml:space="preserve">Expression of the transmembrane receptor, CD30, is generally restricted to PTCL and select lymphomas (Sotomayor et al. 2015). </w:t>
      </w:r>
      <w:r w:rsidR="00114237" w:rsidRPr="008E3F1A">
        <w:rPr>
          <w:color w:val="000000" w:themeColor="text1"/>
        </w:rPr>
        <w:t xml:space="preserve">BV is a monoclonal </w:t>
      </w:r>
      <w:r w:rsidR="00892B09" w:rsidRPr="008E3F1A">
        <w:rPr>
          <w:color w:val="000000" w:themeColor="text1"/>
        </w:rPr>
        <w:t>antibody-drug conjugate</w:t>
      </w:r>
      <w:r w:rsidR="00114237" w:rsidRPr="008E3F1A">
        <w:rPr>
          <w:color w:val="000000" w:themeColor="text1"/>
        </w:rPr>
        <w:t xml:space="preserve"> with antineoplastic activity that targets the cell membrane protein CD30.</w:t>
      </w:r>
      <w:r w:rsidRPr="008E3F1A">
        <w:rPr>
          <w:color w:val="000000" w:themeColor="text1"/>
        </w:rPr>
        <w:t xml:space="preserve"> </w:t>
      </w:r>
    </w:p>
    <w:p w:rsidR="0033099C" w:rsidRPr="008E3F1A" w:rsidRDefault="005E751D" w:rsidP="00B45030">
      <w:pPr>
        <w:pStyle w:val="3-BodyText"/>
        <w:rPr>
          <w:rFonts w:ascii="Arial Narrow" w:hAnsi="Arial Narrow"/>
          <w:b/>
          <w:bCs/>
          <w:sz w:val="20"/>
        </w:rPr>
      </w:pPr>
      <w:r w:rsidRPr="008E3F1A">
        <w:rPr>
          <w:color w:val="000000" w:themeColor="text1"/>
        </w:rPr>
        <w:t xml:space="preserve">The clinical management algorithm for the intended use of BV+CHP </w:t>
      </w:r>
      <w:r w:rsidR="008B724F" w:rsidRPr="008E3F1A">
        <w:rPr>
          <w:color w:val="000000" w:themeColor="text1"/>
        </w:rPr>
        <w:t xml:space="preserve">is </w:t>
      </w:r>
      <w:r w:rsidRPr="008E3F1A">
        <w:rPr>
          <w:color w:val="000000" w:themeColor="text1"/>
        </w:rPr>
        <w:t>presented in Figure 1</w:t>
      </w:r>
      <w:r w:rsidRPr="008E3F1A">
        <w:rPr>
          <w:i/>
          <w:iCs/>
          <w:color w:val="000000" w:themeColor="text1"/>
        </w:rPr>
        <w:t xml:space="preserve">. </w:t>
      </w:r>
      <w:r w:rsidRPr="008E3F1A">
        <w:rPr>
          <w:color w:val="000000" w:themeColor="text1"/>
        </w:rPr>
        <w:t xml:space="preserve">The </w:t>
      </w:r>
      <w:r w:rsidR="00B23E71" w:rsidRPr="008E3F1A">
        <w:rPr>
          <w:color w:val="000000" w:themeColor="text1"/>
        </w:rPr>
        <w:t>submission</w:t>
      </w:r>
      <w:r w:rsidRPr="008E3F1A">
        <w:rPr>
          <w:color w:val="000000" w:themeColor="text1"/>
        </w:rPr>
        <w:t xml:space="preserve"> stated that the algorithm was based o</w:t>
      </w:r>
      <w:r w:rsidR="00B81E42" w:rsidRPr="008E3F1A">
        <w:rPr>
          <w:color w:val="000000" w:themeColor="text1"/>
        </w:rPr>
        <w:t>n</w:t>
      </w:r>
      <w:r w:rsidR="00B81E42" w:rsidRPr="008E3F1A">
        <w:t xml:space="preserve"> the NCCN (January 2020) and ESMO (d’Amore 2015)</w:t>
      </w:r>
      <w:r w:rsidR="008B724F" w:rsidRPr="008E3F1A">
        <w:t xml:space="preserve"> guidelines</w:t>
      </w:r>
      <w:r w:rsidR="00B81E42" w:rsidRPr="008E3F1A">
        <w:t>.</w:t>
      </w:r>
      <w:r w:rsidR="0070157E" w:rsidRPr="008E3F1A">
        <w:t xml:space="preserve"> According to the guidelines, for first-line treatment, CHOP is a standard of care regimen. </w:t>
      </w:r>
      <w:r w:rsidR="0033099C" w:rsidRPr="008E3F1A">
        <w:t>The ESC agreed that, while variants are often used, CHOP followed by interim restaging</w:t>
      </w:r>
      <w:r w:rsidR="00146677" w:rsidRPr="008E3F1A">
        <w:t xml:space="preserve"> is</w:t>
      </w:r>
      <w:r w:rsidR="0033099C" w:rsidRPr="008E3F1A">
        <w:t xml:space="preserve"> standard o</w:t>
      </w:r>
      <w:r w:rsidR="00146677" w:rsidRPr="008E3F1A">
        <w:t>f care</w:t>
      </w:r>
      <w:r w:rsidR="0033099C" w:rsidRPr="008E3F1A">
        <w:t xml:space="preserve"> in Australia.</w:t>
      </w:r>
      <w:r w:rsidR="0033099C" w:rsidRPr="008E3F1A">
        <w:rPr>
          <w:i/>
        </w:rPr>
        <w:t xml:space="preserve"> </w:t>
      </w:r>
    </w:p>
    <w:p w:rsidR="00B81E42" w:rsidRPr="008E3F1A" w:rsidRDefault="0070157E" w:rsidP="00B45030">
      <w:pPr>
        <w:pStyle w:val="3-BodyText"/>
        <w:rPr>
          <w:rFonts w:ascii="Arial Narrow" w:hAnsi="Arial Narrow"/>
          <w:b/>
          <w:bCs/>
          <w:sz w:val="20"/>
        </w:rPr>
      </w:pPr>
      <w:r w:rsidRPr="008E3F1A">
        <w:rPr>
          <w:iCs/>
        </w:rPr>
        <w:t>The sources of the presented algorithms appear to be appropriate</w:t>
      </w:r>
      <w:r w:rsidR="00396367" w:rsidRPr="008E3F1A">
        <w:rPr>
          <w:iCs/>
        </w:rPr>
        <w:t>, howe</w:t>
      </w:r>
      <w:r w:rsidR="00B31D7B" w:rsidRPr="008E3F1A">
        <w:rPr>
          <w:iCs/>
        </w:rPr>
        <w:t>ver the algorithm is limited to</w:t>
      </w:r>
      <w:r w:rsidR="00396367" w:rsidRPr="008E3F1A">
        <w:rPr>
          <w:iCs/>
        </w:rPr>
        <w:t xml:space="preserve"> fi</w:t>
      </w:r>
      <w:r w:rsidR="00B31D7B" w:rsidRPr="008E3F1A">
        <w:rPr>
          <w:iCs/>
        </w:rPr>
        <w:t>r</w:t>
      </w:r>
      <w:r w:rsidR="00396367" w:rsidRPr="008E3F1A">
        <w:rPr>
          <w:iCs/>
        </w:rPr>
        <w:t xml:space="preserve">st-line </w:t>
      </w:r>
      <w:r w:rsidR="00E4290E" w:rsidRPr="008E3F1A">
        <w:rPr>
          <w:iCs/>
        </w:rPr>
        <w:t>treatment regimens and does not specify the treatment</w:t>
      </w:r>
      <w:r w:rsidR="0002022E" w:rsidRPr="008E3F1A">
        <w:rPr>
          <w:iCs/>
        </w:rPr>
        <w:t>s used</w:t>
      </w:r>
      <w:r w:rsidR="00E4290E" w:rsidRPr="008E3F1A">
        <w:rPr>
          <w:iCs/>
        </w:rPr>
        <w:t xml:space="preserve"> in </w:t>
      </w:r>
      <w:r w:rsidR="0002022E" w:rsidRPr="008E3F1A">
        <w:rPr>
          <w:iCs/>
        </w:rPr>
        <w:t xml:space="preserve">the </w:t>
      </w:r>
      <w:r w:rsidR="00E4290E" w:rsidRPr="008E3F1A">
        <w:rPr>
          <w:iCs/>
        </w:rPr>
        <w:t>relapsed</w:t>
      </w:r>
      <w:r w:rsidR="000C074E" w:rsidRPr="008E3F1A">
        <w:rPr>
          <w:iCs/>
        </w:rPr>
        <w:t>/</w:t>
      </w:r>
      <w:r w:rsidR="00E4290E" w:rsidRPr="008E3F1A">
        <w:rPr>
          <w:iCs/>
        </w:rPr>
        <w:t>refractory settings.</w:t>
      </w:r>
      <w:r w:rsidR="00365C77" w:rsidRPr="008E3F1A">
        <w:rPr>
          <w:iCs/>
        </w:rPr>
        <w:t xml:space="preserve"> In ECHELO</w:t>
      </w:r>
      <w:r w:rsidR="006E01DB" w:rsidRPr="008E3F1A">
        <w:rPr>
          <w:iCs/>
        </w:rPr>
        <w:t>N</w:t>
      </w:r>
      <w:r w:rsidR="00365C77" w:rsidRPr="008E3F1A">
        <w:rPr>
          <w:iCs/>
        </w:rPr>
        <w:t xml:space="preserve">-2, both treatment arms </w:t>
      </w:r>
      <w:r w:rsidR="006E01DB" w:rsidRPr="008E3F1A">
        <w:rPr>
          <w:iCs/>
        </w:rPr>
        <w:t>received</w:t>
      </w:r>
      <w:r w:rsidR="00365C77" w:rsidRPr="008E3F1A">
        <w:rPr>
          <w:iCs/>
        </w:rPr>
        <w:t xml:space="preserve"> second-line </w:t>
      </w:r>
      <w:r w:rsidR="006E01DB" w:rsidRPr="008E3F1A">
        <w:rPr>
          <w:iCs/>
        </w:rPr>
        <w:t>treatment</w:t>
      </w:r>
      <w:r w:rsidR="00365C77" w:rsidRPr="008E3F1A">
        <w:rPr>
          <w:iCs/>
        </w:rPr>
        <w:t xml:space="preserve"> with BV based regime</w:t>
      </w:r>
      <w:r w:rsidR="006E01DB" w:rsidRPr="008E3F1A">
        <w:rPr>
          <w:iCs/>
        </w:rPr>
        <w:t>n</w:t>
      </w:r>
      <w:r w:rsidR="0002022E" w:rsidRPr="008E3F1A">
        <w:rPr>
          <w:iCs/>
        </w:rPr>
        <w:t>s</w:t>
      </w:r>
      <w:r w:rsidR="006E01DB" w:rsidRPr="008E3F1A">
        <w:rPr>
          <w:iCs/>
        </w:rPr>
        <w:t>. This was included in the economic analysis, but not accounted for in the financial estimates of the submission.</w:t>
      </w:r>
    </w:p>
    <w:p w:rsidR="00C12BC8" w:rsidRPr="008E3F1A" w:rsidRDefault="00831112" w:rsidP="00B45030">
      <w:pPr>
        <w:pStyle w:val="3-BodyText"/>
        <w:rPr>
          <w:rFonts w:ascii="Arial Narrow" w:hAnsi="Arial Narrow"/>
          <w:b/>
          <w:bCs/>
          <w:iCs/>
          <w:sz w:val="20"/>
        </w:rPr>
      </w:pPr>
      <w:r w:rsidRPr="008E3F1A">
        <w:rPr>
          <w:iCs/>
          <w:color w:val="000000" w:themeColor="text1"/>
        </w:rPr>
        <w:t xml:space="preserve">The submission included the </w:t>
      </w:r>
      <w:r w:rsidR="00A14A75" w:rsidRPr="008E3F1A">
        <w:rPr>
          <w:iCs/>
          <w:color w:val="000000" w:themeColor="text1"/>
        </w:rPr>
        <w:t xml:space="preserve">use of </w:t>
      </w:r>
      <w:r w:rsidR="0002022E" w:rsidRPr="008E3F1A">
        <w:rPr>
          <w:iCs/>
          <w:color w:val="000000" w:themeColor="text1"/>
        </w:rPr>
        <w:t>stem cell transplants (</w:t>
      </w:r>
      <w:r w:rsidR="00A14A75" w:rsidRPr="008E3F1A">
        <w:rPr>
          <w:iCs/>
          <w:color w:val="000000" w:themeColor="text1"/>
        </w:rPr>
        <w:t>SCT</w:t>
      </w:r>
      <w:r w:rsidR="0002022E" w:rsidRPr="008E3F1A">
        <w:rPr>
          <w:iCs/>
          <w:color w:val="000000" w:themeColor="text1"/>
        </w:rPr>
        <w:t>)</w:t>
      </w:r>
      <w:r w:rsidR="00A14A75" w:rsidRPr="008E3F1A">
        <w:rPr>
          <w:iCs/>
          <w:color w:val="000000" w:themeColor="text1"/>
        </w:rPr>
        <w:t xml:space="preserve"> after BV+CHP </w:t>
      </w:r>
      <w:r w:rsidR="00763224" w:rsidRPr="008E3F1A">
        <w:rPr>
          <w:iCs/>
          <w:color w:val="000000" w:themeColor="text1"/>
        </w:rPr>
        <w:t>in the economic model, as per ECHELON-2, however the use of SCT was not discussed in the financial estimates</w:t>
      </w:r>
      <w:r w:rsidR="00A14A75" w:rsidRPr="008E3F1A">
        <w:rPr>
          <w:iCs/>
          <w:color w:val="000000" w:themeColor="text1"/>
        </w:rPr>
        <w:t xml:space="preserve">. The </w:t>
      </w:r>
      <w:r w:rsidR="00D210C5" w:rsidRPr="008E3F1A">
        <w:rPr>
          <w:iCs/>
          <w:color w:val="000000" w:themeColor="text1"/>
        </w:rPr>
        <w:t>submission</w:t>
      </w:r>
      <w:r w:rsidR="00A14A75" w:rsidRPr="008E3F1A">
        <w:rPr>
          <w:iCs/>
          <w:color w:val="000000" w:themeColor="text1"/>
        </w:rPr>
        <w:t xml:space="preserve"> did not </w:t>
      </w:r>
      <w:r w:rsidR="0002022E" w:rsidRPr="008E3F1A">
        <w:rPr>
          <w:iCs/>
          <w:color w:val="000000" w:themeColor="text1"/>
        </w:rPr>
        <w:t xml:space="preserve">comment as to whether </w:t>
      </w:r>
      <w:r w:rsidR="00D210C5" w:rsidRPr="008E3F1A">
        <w:rPr>
          <w:iCs/>
          <w:color w:val="000000" w:themeColor="text1"/>
        </w:rPr>
        <w:t>the rate of SCT would increase as a result of listing of BV+CHP.</w:t>
      </w:r>
      <w:r w:rsidR="00C95008" w:rsidRPr="008E3F1A">
        <w:rPr>
          <w:iCs/>
          <w:color w:val="000000" w:themeColor="text1"/>
        </w:rPr>
        <w:t xml:space="preserve"> The PBAC considered that the role of SCT in PTCL was controversial with recommendations regarding appropriateness varying depending on the PTCL subtype. </w:t>
      </w:r>
    </w:p>
    <w:p w:rsidR="00B23E71" w:rsidRPr="008E3F1A" w:rsidRDefault="00B23E71" w:rsidP="00B81E42">
      <w:pPr>
        <w:pStyle w:val="3-BodyText"/>
        <w:keepNext/>
        <w:numPr>
          <w:ilvl w:val="0"/>
          <w:numId w:val="0"/>
        </w:numPr>
        <w:spacing w:after="0"/>
        <w:rPr>
          <w:rFonts w:ascii="Arial Narrow" w:hAnsi="Arial Narrow"/>
          <w:b/>
          <w:bCs/>
          <w:sz w:val="20"/>
          <w:szCs w:val="20"/>
        </w:rPr>
      </w:pPr>
      <w:r w:rsidRPr="008E3F1A">
        <w:rPr>
          <w:rFonts w:ascii="Arial Narrow" w:hAnsi="Arial Narrow"/>
          <w:b/>
          <w:bCs/>
          <w:sz w:val="20"/>
          <w:szCs w:val="20"/>
        </w:rPr>
        <w:lastRenderedPageBreak/>
        <w:t>Figure 1: Proposed previously untreated CD30</w:t>
      </w:r>
      <w:r w:rsidR="006A6406" w:rsidRPr="008E3F1A">
        <w:rPr>
          <w:rFonts w:ascii="Arial Narrow" w:hAnsi="Arial Narrow"/>
          <w:b/>
          <w:bCs/>
          <w:sz w:val="20"/>
          <w:szCs w:val="20"/>
        </w:rPr>
        <w:t xml:space="preserve"> </w:t>
      </w:r>
      <w:r w:rsidRPr="008E3F1A">
        <w:rPr>
          <w:rFonts w:ascii="Arial Narrow" w:hAnsi="Arial Narrow"/>
          <w:b/>
          <w:bCs/>
          <w:sz w:val="20"/>
          <w:szCs w:val="20"/>
        </w:rPr>
        <w:t>positive PTCL treatment algorithm</w:t>
      </w:r>
    </w:p>
    <w:p w:rsidR="00B23E71" w:rsidRPr="008E3F1A" w:rsidRDefault="00B23E71" w:rsidP="00B23E71">
      <w:pPr>
        <w:jc w:val="left"/>
      </w:pPr>
      <w:r w:rsidRPr="008E3F1A">
        <w:rPr>
          <w:noProof/>
        </w:rPr>
        <w:drawing>
          <wp:inline distT="0" distB="0" distL="0" distR="0" wp14:anchorId="0BC7C3A8" wp14:editId="0A834108">
            <wp:extent cx="4729349" cy="6743700"/>
            <wp:effectExtent l="12700" t="12700" r="8255" b="12700"/>
            <wp:docPr id="10" name="Picture 1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lgorithm 27042020.jpeg"/>
                    <pic:cNvPicPr/>
                  </pic:nvPicPr>
                  <pic:blipFill rotWithShape="1">
                    <a:blip r:embed="rId8"/>
                    <a:srcRect l="60060" t="1402" r="10137" b="68766"/>
                    <a:stretch/>
                  </pic:blipFill>
                  <pic:spPr bwMode="auto">
                    <a:xfrm>
                      <a:off x="0" y="0"/>
                      <a:ext cx="4767536" cy="6798152"/>
                    </a:xfrm>
                    <a:prstGeom prst="rect">
                      <a:avLst/>
                    </a:prstGeom>
                    <a:ln>
                      <a:solidFill>
                        <a:sysClr val="windowText" lastClr="000000"/>
                      </a:solidFill>
                    </a:ln>
                    <a:extLst>
                      <a:ext uri="{53640926-AAD7-44d8-BBD7-CCE9431645EC}">
                        <a14:shadowObscured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rsidR="00B23E71" w:rsidRPr="008E3F1A" w:rsidRDefault="00B23E71" w:rsidP="00B23E71">
      <w:pPr>
        <w:jc w:val="left"/>
        <w:rPr>
          <w:rFonts w:ascii="Arial Narrow" w:hAnsi="Arial Narrow"/>
          <w:sz w:val="16"/>
          <w:szCs w:val="16"/>
        </w:rPr>
      </w:pPr>
      <w:r w:rsidRPr="008E3F1A">
        <w:rPr>
          <w:rFonts w:ascii="Arial Narrow" w:hAnsi="Arial Narrow"/>
          <w:sz w:val="16"/>
          <w:szCs w:val="16"/>
        </w:rPr>
        <w:t>Source: Figure 1.8, p62 of the submission.</w:t>
      </w:r>
    </w:p>
    <w:p w:rsidR="00B23E71" w:rsidRPr="008E3F1A" w:rsidRDefault="00B23E71" w:rsidP="00B23E71">
      <w:pPr>
        <w:jc w:val="left"/>
        <w:rPr>
          <w:rFonts w:ascii="Arial Narrow" w:hAnsi="Arial Narrow"/>
          <w:sz w:val="16"/>
          <w:szCs w:val="16"/>
        </w:rPr>
      </w:pPr>
      <w:r w:rsidRPr="008E3F1A">
        <w:rPr>
          <w:rFonts w:ascii="Arial Narrow" w:hAnsi="Arial Narrow"/>
          <w:sz w:val="16"/>
          <w:szCs w:val="16"/>
        </w:rPr>
        <w:t>Subtypes included: PTCL–NOS= PTCL= not otherwise specified; AITL= angioimmunoblastic T-cell lymphoma; ALCL= anaplastic large cell lymphoma; anaplastic lymphoma kinase (ALK)-positive and ALK-negative; EATL= enteropathy-associated T-cell lymphoma; MEITL= monomorphic epitheliotropic intestinal T-cell lymphoma; nodal peripheral T-cell lymphoma with T follicular helper (TFH) phenotype (PTCL, TFH); FTCL= follicular T-cell lymphoma.</w:t>
      </w:r>
    </w:p>
    <w:p w:rsidR="00B23E71" w:rsidRPr="008E3F1A" w:rsidRDefault="00B23E71" w:rsidP="00B23E71">
      <w:pPr>
        <w:jc w:val="left"/>
        <w:rPr>
          <w:rFonts w:ascii="Arial Narrow" w:hAnsi="Arial Narrow"/>
          <w:sz w:val="16"/>
          <w:szCs w:val="16"/>
        </w:rPr>
      </w:pPr>
      <w:r w:rsidRPr="008E3F1A">
        <w:rPr>
          <w:rFonts w:ascii="Arial Narrow" w:hAnsi="Arial Narrow"/>
          <w:sz w:val="16"/>
          <w:szCs w:val="16"/>
        </w:rPr>
        <w:t>Regimens: ACVBP= doxorubicin, cyclophosphamide, vindesine, bleomycin and prednisone; CHOP= cyclophosphamide, doxorubicin, vincristine and prednisone; CHOEP= cyclophosphamide, doxorubicin, vincristine, etoposide and prednisone; CVP= cyclophosphamide, vincristine and prednisolone; dose-adjusted EPOCH= etoposide, prednisone, vincristine, cyclophosphamide and doxorubicin; HyperCVAD= cyclophosphamide, vincristine, doxorubicin, dexamethasone, alternating with high-dose methotrexate and cytarabine; R-CHOP, rituximab, cyclophosphamide, doxorubicin, vincristine and prednisone.</w:t>
      </w:r>
    </w:p>
    <w:p w:rsidR="00B23E71" w:rsidRPr="008E3F1A" w:rsidRDefault="00B23E71" w:rsidP="00A3157B">
      <w:pPr>
        <w:jc w:val="left"/>
        <w:rPr>
          <w:rFonts w:ascii="Arial Narrow" w:hAnsi="Arial Narrow"/>
          <w:sz w:val="16"/>
          <w:szCs w:val="16"/>
        </w:rPr>
      </w:pPr>
      <w:r w:rsidRPr="008E3F1A">
        <w:rPr>
          <w:rFonts w:ascii="Arial Narrow" w:hAnsi="Arial Narrow"/>
          <w:sz w:val="16"/>
          <w:szCs w:val="16"/>
        </w:rPr>
        <w:t>Other Abbreviations: CT= computed tomography; ECOG= Eastern Cooperative Oncology Group; HDT= high-dose therapy; HTV-1= human T-cell lymphotropic virus; IPI= International Prognostic Indicator; PET= positron emission tomography; SCT= stem cell transplantation</w:t>
      </w:r>
    </w:p>
    <w:p w:rsidR="00C16A99" w:rsidRPr="008E3F1A" w:rsidRDefault="00C16A99" w:rsidP="00A3157B">
      <w:pPr>
        <w:jc w:val="left"/>
        <w:rPr>
          <w:rFonts w:ascii="Arial Narrow" w:hAnsi="Arial Narrow"/>
          <w:sz w:val="16"/>
          <w:szCs w:val="16"/>
        </w:rPr>
      </w:pPr>
    </w:p>
    <w:p w:rsidR="00C16A99" w:rsidRPr="008E3F1A" w:rsidRDefault="00C16A99" w:rsidP="00C16A99">
      <w:pPr>
        <w:pStyle w:val="3-BodyText"/>
        <w:numPr>
          <w:ilvl w:val="0"/>
          <w:numId w:val="0"/>
        </w:numPr>
        <w:ind w:left="720"/>
        <w:rPr>
          <w:i/>
          <w:iCs/>
        </w:rPr>
      </w:pPr>
      <w:r w:rsidRPr="008E3F1A">
        <w:rPr>
          <w:i/>
          <w:iCs/>
        </w:rPr>
        <w:t>For more detail on PBAC’s view, see section 7 PBAC outcome.</w:t>
      </w:r>
    </w:p>
    <w:p w:rsidR="00B50DB8" w:rsidRPr="008E3F1A" w:rsidRDefault="00B50DB8" w:rsidP="004E18E9">
      <w:pPr>
        <w:pStyle w:val="2-SectionHeading"/>
      </w:pPr>
      <w:bookmarkStart w:id="8" w:name="_Toc62055089"/>
      <w:r w:rsidRPr="008E3F1A">
        <w:t>Comparator</w:t>
      </w:r>
      <w:bookmarkEnd w:id="8"/>
    </w:p>
    <w:p w:rsidR="00873964" w:rsidRPr="008E3F1A" w:rsidRDefault="00873964" w:rsidP="00882E3C">
      <w:pPr>
        <w:pStyle w:val="3-BodyText"/>
        <w:rPr>
          <w:snapToGrid/>
        </w:rPr>
      </w:pPr>
      <w:r w:rsidRPr="008E3F1A">
        <w:rPr>
          <w:snapToGrid/>
        </w:rPr>
        <w:t>The submission nominated CHOP as the main comparator</w:t>
      </w:r>
      <w:r w:rsidR="009F6D05" w:rsidRPr="008E3F1A">
        <w:rPr>
          <w:snapToGrid/>
        </w:rPr>
        <w:t xml:space="preserve"> based on</w:t>
      </w:r>
      <w:r w:rsidR="009F6D05" w:rsidRPr="008E3F1A">
        <w:t xml:space="preserve"> the published guidelines (NCCN (January 2020), ESMO (d’Amore 2015 and Buske et al., 2018) and market research among 40 Australian clinicians (Takeda Adcetris PTCL Market Research Report, 22 October 2018) that indicated that CHOP is </w:t>
      </w:r>
      <w:r w:rsidR="008B724F" w:rsidRPr="008E3F1A">
        <w:t xml:space="preserve">the </w:t>
      </w:r>
      <w:r w:rsidR="009F6D05" w:rsidRPr="008E3F1A">
        <w:t>commonly used first-line treatment in patients with PTCL.</w:t>
      </w:r>
      <w:r w:rsidRPr="008E3F1A">
        <w:rPr>
          <w:snapToGrid/>
        </w:rPr>
        <w:t xml:space="preserve"> </w:t>
      </w:r>
    </w:p>
    <w:p w:rsidR="00F27C18" w:rsidRPr="008E3F1A" w:rsidRDefault="00B46FE5" w:rsidP="00882E3C">
      <w:pPr>
        <w:pStyle w:val="3-BodyText"/>
        <w:rPr>
          <w:snapToGrid/>
        </w:rPr>
      </w:pPr>
      <w:r w:rsidRPr="008E3F1A">
        <w:rPr>
          <w:snapToGrid/>
        </w:rPr>
        <w:t xml:space="preserve">The submission stated that the addition of etoposide to CHOP (CHOEP) had been </w:t>
      </w:r>
      <w:r w:rsidR="000E60E7" w:rsidRPr="008E3F1A">
        <w:rPr>
          <w:snapToGrid/>
        </w:rPr>
        <w:t>considered as</w:t>
      </w:r>
      <w:r w:rsidR="00ED3FAB" w:rsidRPr="008E3F1A">
        <w:rPr>
          <w:snapToGrid/>
        </w:rPr>
        <w:t xml:space="preserve"> a comparator</w:t>
      </w:r>
      <w:r w:rsidRPr="008E3F1A">
        <w:rPr>
          <w:snapToGrid/>
        </w:rPr>
        <w:t>, however it was not independently associated with improvement</w:t>
      </w:r>
      <w:r w:rsidR="00ED3FAB" w:rsidRPr="008E3F1A">
        <w:rPr>
          <w:snapToGrid/>
        </w:rPr>
        <w:t>s</w:t>
      </w:r>
      <w:r w:rsidRPr="008E3F1A">
        <w:rPr>
          <w:snapToGrid/>
        </w:rPr>
        <w:t xml:space="preserve"> in event-free survival or OS and was associated with additional toxicity that includes longer hospitalisations and more frequent cytopenia requiring transfusion (Kim et al., 2017, Ellin et al., 2014). The Takeda Market Research report (22 October 2018) showed that of the 40 Australian clinicians surveyed, 45% would prefer CHOEP and 38% CHOP as first-line therapy for fit patients; while 32% prefer CHOP and 25% prefer mini-CHOP for unfit patients. </w:t>
      </w:r>
      <w:r w:rsidR="0033099C" w:rsidRPr="008E3F1A">
        <w:rPr>
          <w:iCs/>
          <w:snapToGrid/>
        </w:rPr>
        <w:t>The</w:t>
      </w:r>
      <w:r w:rsidRPr="008E3F1A">
        <w:rPr>
          <w:iCs/>
          <w:snapToGrid/>
        </w:rPr>
        <w:t xml:space="preserve"> </w:t>
      </w:r>
      <w:r w:rsidR="0033099C" w:rsidRPr="008E3F1A">
        <w:rPr>
          <w:iCs/>
          <w:snapToGrid/>
        </w:rPr>
        <w:t xml:space="preserve">ESC considered the </w:t>
      </w:r>
      <w:r w:rsidRPr="008E3F1A">
        <w:rPr>
          <w:iCs/>
          <w:snapToGrid/>
        </w:rPr>
        <w:t>choice of comparator</w:t>
      </w:r>
      <w:r w:rsidR="00ED3FAB" w:rsidRPr="008E3F1A">
        <w:rPr>
          <w:iCs/>
          <w:snapToGrid/>
        </w:rPr>
        <w:t>, CHOP,</w:t>
      </w:r>
      <w:r w:rsidRPr="008E3F1A">
        <w:rPr>
          <w:iCs/>
          <w:snapToGrid/>
        </w:rPr>
        <w:t xml:space="preserve"> was reasonable</w:t>
      </w:r>
      <w:r w:rsidR="0033099C" w:rsidRPr="008E3F1A">
        <w:rPr>
          <w:iCs/>
          <w:snapToGrid/>
        </w:rPr>
        <w:t>.</w:t>
      </w:r>
    </w:p>
    <w:p w:rsidR="00C16A99" w:rsidRPr="008E3F1A" w:rsidRDefault="00C16A99" w:rsidP="00C16A99">
      <w:pPr>
        <w:pStyle w:val="3-BodyText"/>
        <w:numPr>
          <w:ilvl w:val="0"/>
          <w:numId w:val="0"/>
        </w:numPr>
        <w:ind w:left="720"/>
        <w:rPr>
          <w:i/>
        </w:rPr>
      </w:pPr>
      <w:r w:rsidRPr="008E3F1A">
        <w:rPr>
          <w:i/>
        </w:rPr>
        <w:t>For more detail on PBAC’s view, see section 7 PBAC outcome.</w:t>
      </w:r>
    </w:p>
    <w:p w:rsidR="00223D5A" w:rsidRPr="008E3F1A" w:rsidRDefault="00223D5A" w:rsidP="00223D5A">
      <w:pPr>
        <w:pStyle w:val="2-SectionHeading"/>
      </w:pPr>
      <w:bookmarkStart w:id="9" w:name="_Toc62055090"/>
      <w:bookmarkStart w:id="10" w:name="_Toc22897640"/>
      <w:r w:rsidRPr="008E3F1A">
        <w:t>Consideration of the evidence</w:t>
      </w:r>
      <w:bookmarkEnd w:id="9"/>
    </w:p>
    <w:p w:rsidR="00C16A99" w:rsidRPr="008E3F1A" w:rsidRDefault="00C16A99" w:rsidP="00C16A99">
      <w:pPr>
        <w:pStyle w:val="Heading2"/>
        <w:rPr>
          <w:szCs w:val="22"/>
        </w:rPr>
      </w:pPr>
      <w:bookmarkStart w:id="11" w:name="_Toc62055091"/>
      <w:r w:rsidRPr="008E3F1A">
        <w:rPr>
          <w:szCs w:val="22"/>
        </w:rPr>
        <w:t>Sponsor hearing</w:t>
      </w:r>
    </w:p>
    <w:p w:rsidR="00C16A99" w:rsidRPr="008E3F1A" w:rsidRDefault="00C16A99" w:rsidP="00C16A99">
      <w:pPr>
        <w:numPr>
          <w:ilvl w:val="1"/>
          <w:numId w:val="1"/>
        </w:numPr>
        <w:spacing w:after="120"/>
        <w:jc w:val="left"/>
        <w:rPr>
          <w:rFonts w:asciiTheme="minorHAnsi" w:hAnsiTheme="minorHAnsi"/>
          <w:bCs/>
        </w:rPr>
      </w:pPr>
      <w:r w:rsidRPr="008E3F1A">
        <w:rPr>
          <w:rFonts w:asciiTheme="minorHAnsi" w:hAnsiTheme="minorHAnsi"/>
          <w:bCs/>
        </w:rPr>
        <w:t>There was no hearing for this item.</w:t>
      </w:r>
    </w:p>
    <w:p w:rsidR="00C16A99" w:rsidRPr="008E3F1A" w:rsidRDefault="00C16A99" w:rsidP="00C16A99">
      <w:pPr>
        <w:pStyle w:val="Heading2"/>
        <w:rPr>
          <w:szCs w:val="22"/>
        </w:rPr>
      </w:pPr>
      <w:r w:rsidRPr="008E3F1A">
        <w:rPr>
          <w:szCs w:val="22"/>
        </w:rPr>
        <w:t>Consumer comments</w:t>
      </w:r>
    </w:p>
    <w:p w:rsidR="00707CDC" w:rsidRPr="008E3F1A" w:rsidRDefault="00C16A99" w:rsidP="002E4F02">
      <w:pPr>
        <w:pStyle w:val="3-BodyText"/>
      </w:pPr>
      <w:r w:rsidRPr="008E3F1A">
        <w:t>The PBAC noted and welcom</w:t>
      </w:r>
      <w:r w:rsidR="00944781" w:rsidRPr="008E3F1A">
        <w:t>ed the input from health care professionals (2) and organisations (3</w:t>
      </w:r>
      <w:r w:rsidRPr="008E3F1A">
        <w:t>) via the Consumer Comments facility on the PBS website</w:t>
      </w:r>
      <w:r w:rsidR="008E3F1A">
        <w:t xml:space="preserve">. </w:t>
      </w:r>
      <w:r w:rsidRPr="008E3F1A">
        <w:t xml:space="preserve">The comments </w:t>
      </w:r>
      <w:r w:rsidR="00105E9A" w:rsidRPr="008E3F1A">
        <w:t>fr</w:t>
      </w:r>
      <w:r w:rsidR="006705CB" w:rsidRPr="008E3F1A">
        <w:t xml:space="preserve">om health care professionals, Rare Cancers Australia and the </w:t>
      </w:r>
      <w:r w:rsidR="00707CDC" w:rsidRPr="008E3F1A">
        <w:t xml:space="preserve">Leukaemia Foundation </w:t>
      </w:r>
      <w:r w:rsidR="006705CB" w:rsidRPr="008E3F1A">
        <w:t xml:space="preserve">described </w:t>
      </w:r>
      <w:r w:rsidRPr="008E3F1A">
        <w:t xml:space="preserve">a range of benefits of treatment with </w:t>
      </w:r>
      <w:r w:rsidR="003E231E" w:rsidRPr="008E3F1A">
        <w:t>BV</w:t>
      </w:r>
      <w:r w:rsidR="00707CDC" w:rsidRPr="008E3F1A">
        <w:t xml:space="preserve"> </w:t>
      </w:r>
      <w:r w:rsidRPr="008E3F1A">
        <w:t>inclu</w:t>
      </w:r>
      <w:r w:rsidR="00707CDC" w:rsidRPr="008E3F1A">
        <w:t xml:space="preserve">ding improvements in quality of life </w:t>
      </w:r>
      <w:r w:rsidR="006705CB" w:rsidRPr="008E3F1A">
        <w:t xml:space="preserve">by avoiding burdensome chemotherapy regimens </w:t>
      </w:r>
      <w:r w:rsidR="00707CDC" w:rsidRPr="008E3F1A">
        <w:t>and fewer side effects.</w:t>
      </w:r>
      <w:r w:rsidR="00105E9A" w:rsidRPr="008E3F1A">
        <w:t xml:space="preserve"> </w:t>
      </w:r>
    </w:p>
    <w:p w:rsidR="00C16A99" w:rsidRPr="008E3F1A" w:rsidRDefault="00707CDC" w:rsidP="00707CDC">
      <w:pPr>
        <w:pStyle w:val="3-BodyText"/>
      </w:pPr>
      <w:r w:rsidRPr="008E3F1A">
        <w:t xml:space="preserve"> The PBAC noted the advice received from the Haematology Society of Australia and New Zealand (HSANZ) and the Australasian Leukaemia and Lymphoma Group (ALLG) clarifying the likely use of </w:t>
      </w:r>
      <w:r w:rsidR="00105E9A" w:rsidRPr="008E3F1A">
        <w:t>BV</w:t>
      </w:r>
      <w:r w:rsidRPr="008E3F1A">
        <w:t xml:space="preserve"> in clinical practice</w:t>
      </w:r>
      <w:r w:rsidR="008E3F1A">
        <w:t xml:space="preserve">. </w:t>
      </w:r>
      <w:r w:rsidRPr="008E3F1A">
        <w:t>The PBAC specifically noted the advice tha</w:t>
      </w:r>
      <w:r w:rsidR="00BA026D" w:rsidRPr="008E3F1A">
        <w:t xml:space="preserve">t </w:t>
      </w:r>
      <w:r w:rsidR="00E26A85" w:rsidRPr="008E3F1A">
        <w:t xml:space="preserve">for this rare disease </w:t>
      </w:r>
      <w:r w:rsidR="00BA026D" w:rsidRPr="008E3F1A">
        <w:t>current standard chemotherapy with CHOP has a low complete remission rate and high relapse rate</w:t>
      </w:r>
      <w:r w:rsidR="00EF41E5" w:rsidRPr="008E3F1A">
        <w:t>,</w:t>
      </w:r>
      <w:r w:rsidR="00BA026D" w:rsidRPr="008E3F1A">
        <w:t xml:space="preserve"> and the high treatment burden for those progressing to second</w:t>
      </w:r>
      <w:r w:rsidR="000B2CD1" w:rsidRPr="008E3F1A">
        <w:t>-</w:t>
      </w:r>
      <w:r w:rsidR="00BA026D" w:rsidRPr="008E3F1A">
        <w:t>line therapy</w:t>
      </w:r>
      <w:r w:rsidR="008E3F1A">
        <w:t xml:space="preserve">. </w:t>
      </w:r>
    </w:p>
    <w:p w:rsidR="00B60939" w:rsidRPr="008E3F1A" w:rsidRDefault="00B60939" w:rsidP="002E4F02">
      <w:pPr>
        <w:pStyle w:val="4-SubsectionHeading"/>
      </w:pPr>
      <w:r w:rsidRPr="008E3F1A">
        <w:lastRenderedPageBreak/>
        <w:t>Clinical trial</w:t>
      </w:r>
      <w:bookmarkEnd w:id="10"/>
      <w:bookmarkEnd w:id="11"/>
    </w:p>
    <w:p w:rsidR="00862502" w:rsidRPr="008E3F1A" w:rsidRDefault="00A73134" w:rsidP="00A30320">
      <w:pPr>
        <w:pStyle w:val="3-BodyText"/>
      </w:pPr>
      <w:r w:rsidRPr="008E3F1A">
        <w:rPr>
          <w:snapToGrid/>
        </w:rPr>
        <w:t xml:space="preserve">The submission </w:t>
      </w:r>
      <w:r w:rsidR="00D5243B" w:rsidRPr="008E3F1A">
        <w:rPr>
          <w:snapToGrid/>
        </w:rPr>
        <w:t>wa</w:t>
      </w:r>
      <w:r w:rsidRPr="008E3F1A">
        <w:rPr>
          <w:snapToGrid/>
        </w:rPr>
        <w:t xml:space="preserve">s based on one head-to-head trial comparing </w:t>
      </w:r>
      <w:r w:rsidR="00316125" w:rsidRPr="008E3F1A">
        <w:rPr>
          <w:snapToGrid/>
        </w:rPr>
        <w:t>BV+CHP</w:t>
      </w:r>
      <w:r w:rsidRPr="008E3F1A">
        <w:rPr>
          <w:snapToGrid/>
        </w:rPr>
        <w:t xml:space="preserve"> to </w:t>
      </w:r>
      <w:r w:rsidR="00316125" w:rsidRPr="008E3F1A">
        <w:rPr>
          <w:snapToGrid/>
        </w:rPr>
        <w:t>CHOP</w:t>
      </w:r>
      <w:r w:rsidRPr="008E3F1A">
        <w:rPr>
          <w:snapToGrid/>
        </w:rPr>
        <w:t xml:space="preserve"> (</w:t>
      </w:r>
      <w:r w:rsidR="00483028" w:rsidRPr="008E3F1A">
        <w:rPr>
          <w:snapToGrid/>
        </w:rPr>
        <w:t>N=</w:t>
      </w:r>
      <w:r w:rsidR="00DB7BDF" w:rsidRPr="008E3F1A">
        <w:rPr>
          <w:snapToGrid/>
        </w:rPr>
        <w:t>452</w:t>
      </w:r>
      <w:r w:rsidRPr="008E3F1A">
        <w:rPr>
          <w:snapToGrid/>
        </w:rPr>
        <w:t>)</w:t>
      </w:r>
      <w:r w:rsidR="00DB7BDF" w:rsidRPr="008E3F1A">
        <w:rPr>
          <w:snapToGrid/>
        </w:rPr>
        <w:t>, ECHELON-2</w:t>
      </w:r>
      <w:r w:rsidRPr="008E3F1A">
        <w:rPr>
          <w:snapToGrid/>
        </w:rPr>
        <w:t>. Details of the</w:t>
      </w:r>
      <w:r w:rsidR="00DB7BDF" w:rsidRPr="008E3F1A">
        <w:rPr>
          <w:snapToGrid/>
        </w:rPr>
        <w:t xml:space="preserve"> </w:t>
      </w:r>
      <w:r w:rsidRPr="008E3F1A">
        <w:rPr>
          <w:snapToGrid/>
        </w:rPr>
        <w:t xml:space="preserve">trial presented in the submission are provided in </w:t>
      </w:r>
      <w:r w:rsidR="00AC0577" w:rsidRPr="008E3F1A">
        <w:rPr>
          <w:snapToGrid/>
        </w:rPr>
        <w:t xml:space="preserve">Table </w:t>
      </w:r>
      <w:r w:rsidR="00C00747" w:rsidRPr="008E3F1A">
        <w:rPr>
          <w:snapToGrid/>
        </w:rPr>
        <w:t>3</w:t>
      </w:r>
      <w:r w:rsidRPr="008E3F1A">
        <w:rPr>
          <w:snapToGrid/>
        </w:rPr>
        <w:t>.</w:t>
      </w:r>
    </w:p>
    <w:p w:rsidR="008E0D3C" w:rsidRPr="008E3F1A" w:rsidRDefault="008E0D3C" w:rsidP="002E4F02">
      <w:pPr>
        <w:pStyle w:val="TableFigureHeading"/>
        <w:rPr>
          <w:rStyle w:val="CommentReference"/>
          <w:b/>
          <w:szCs w:val="24"/>
        </w:rPr>
      </w:pPr>
      <w:r w:rsidRPr="008E3F1A">
        <w:rPr>
          <w:rStyle w:val="CommentReference"/>
          <w:b/>
          <w:szCs w:val="24"/>
        </w:rPr>
        <w:t xml:space="preserve">Table </w:t>
      </w:r>
      <w:r w:rsidR="00C00747" w:rsidRPr="008E3F1A">
        <w:rPr>
          <w:rStyle w:val="CommentReference"/>
          <w:b/>
          <w:szCs w:val="24"/>
        </w:rPr>
        <w:t>3</w:t>
      </w:r>
      <w:r w:rsidRPr="008E3F1A">
        <w:rPr>
          <w:rStyle w:val="CommentReference"/>
          <w:b/>
          <w:szCs w:val="24"/>
        </w:rPr>
        <w:t>:</w:t>
      </w:r>
      <w:r w:rsidR="00BC591F" w:rsidRPr="008E3F1A">
        <w:rPr>
          <w:rStyle w:val="CommentReference"/>
          <w:b/>
          <w:szCs w:val="24"/>
        </w:rPr>
        <w:t xml:space="preserve"> </w:t>
      </w:r>
      <w:r w:rsidRPr="008E3F1A">
        <w:rPr>
          <w:rStyle w:val="CommentReference"/>
          <w:b/>
          <w:szCs w:val="24"/>
        </w:rPr>
        <w:t>Trial</w:t>
      </w:r>
      <w:r w:rsidR="00B23642" w:rsidRPr="008E3F1A">
        <w:rPr>
          <w:rStyle w:val="CommentReference"/>
          <w:b/>
          <w:szCs w:val="24"/>
        </w:rPr>
        <w:t xml:space="preserve"> </w:t>
      </w:r>
      <w:r w:rsidRPr="008E3F1A">
        <w:rPr>
          <w:rStyle w:val="CommentReference"/>
          <w:b/>
          <w:szCs w:val="24"/>
        </w:rPr>
        <w:t>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DB7BDF" w:rsidRPr="008E3F1A" w:rsidTr="00A50809">
        <w:trPr>
          <w:tblHeader/>
        </w:trPr>
        <w:tc>
          <w:tcPr>
            <w:tcW w:w="796" w:type="pct"/>
            <w:vAlign w:val="center"/>
          </w:tcPr>
          <w:p w:rsidR="00DB7BDF" w:rsidRPr="008E3F1A" w:rsidRDefault="00DB7BDF" w:rsidP="00A50809">
            <w:pPr>
              <w:pStyle w:val="In-tableHeading"/>
              <w:rPr>
                <w:lang w:val="en-AU"/>
              </w:rPr>
            </w:pPr>
            <w:r w:rsidRPr="008E3F1A">
              <w:rPr>
                <w:lang w:val="en-AU"/>
              </w:rPr>
              <w:t>Trial ID</w:t>
            </w:r>
          </w:p>
        </w:tc>
        <w:tc>
          <w:tcPr>
            <w:tcW w:w="3027" w:type="pct"/>
            <w:vAlign w:val="center"/>
          </w:tcPr>
          <w:p w:rsidR="00DB7BDF" w:rsidRPr="008E3F1A" w:rsidRDefault="00DB7BDF" w:rsidP="00A50809">
            <w:pPr>
              <w:pStyle w:val="In-tableHeading"/>
              <w:rPr>
                <w:lang w:val="en-AU"/>
              </w:rPr>
            </w:pPr>
            <w:r w:rsidRPr="008E3F1A">
              <w:rPr>
                <w:lang w:val="en-AU"/>
              </w:rPr>
              <w:t>Protocol title/ Publication title</w:t>
            </w:r>
          </w:p>
        </w:tc>
        <w:tc>
          <w:tcPr>
            <w:tcW w:w="1177" w:type="pct"/>
            <w:vAlign w:val="center"/>
          </w:tcPr>
          <w:p w:rsidR="00DB7BDF" w:rsidRPr="008E3F1A" w:rsidRDefault="00DB7BDF" w:rsidP="00A50809">
            <w:pPr>
              <w:pStyle w:val="In-tableHeading"/>
              <w:rPr>
                <w:lang w:val="en-AU"/>
              </w:rPr>
            </w:pPr>
            <w:r w:rsidRPr="008E3F1A">
              <w:rPr>
                <w:lang w:val="en-AU"/>
              </w:rPr>
              <w:t>Publication citation</w:t>
            </w:r>
          </w:p>
        </w:tc>
      </w:tr>
      <w:tr w:rsidR="00DB7BDF" w:rsidRPr="008E3F1A" w:rsidTr="00A50809">
        <w:tc>
          <w:tcPr>
            <w:tcW w:w="796" w:type="pct"/>
            <w:tcBorders>
              <w:bottom w:val="nil"/>
            </w:tcBorders>
            <w:vAlign w:val="center"/>
          </w:tcPr>
          <w:p w:rsidR="00A50809" w:rsidRPr="008E3F1A" w:rsidRDefault="00A50809" w:rsidP="00A50809">
            <w:pPr>
              <w:pStyle w:val="TableText0"/>
            </w:pPr>
            <w:r w:rsidRPr="008E3F1A">
              <w:t>ECHELON-2</w:t>
            </w:r>
          </w:p>
          <w:p w:rsidR="00DB7BDF" w:rsidRPr="008E3F1A" w:rsidRDefault="00A50809" w:rsidP="00A50809">
            <w:pPr>
              <w:pStyle w:val="TableText0"/>
            </w:pPr>
            <w:r w:rsidRPr="008E3F1A">
              <w:t>(NCT01777152)</w:t>
            </w:r>
          </w:p>
        </w:tc>
        <w:tc>
          <w:tcPr>
            <w:tcW w:w="3027" w:type="pct"/>
            <w:tcBorders>
              <w:bottom w:val="nil"/>
            </w:tcBorders>
            <w:vAlign w:val="center"/>
          </w:tcPr>
          <w:p w:rsidR="00DB7BDF" w:rsidRPr="008E3F1A" w:rsidRDefault="00DB7BDF" w:rsidP="00A50809">
            <w:pPr>
              <w:pStyle w:val="TableText0"/>
              <w:rPr>
                <w:color w:val="000000" w:themeColor="text1"/>
                <w:szCs w:val="18"/>
              </w:rPr>
            </w:pPr>
            <w:r w:rsidRPr="008E3F1A">
              <w:rPr>
                <w:color w:val="000000" w:themeColor="text1"/>
                <w:szCs w:val="18"/>
              </w:rPr>
              <w:t>NCT01777152: ECHELON-2: A Comparison of Brentuximab Vedotin and CHP With Standard-of-care CHOP in the Treatment of Patients With CD30-positive Mature T-Cell Lymphomas.</w:t>
            </w:r>
          </w:p>
        </w:tc>
        <w:tc>
          <w:tcPr>
            <w:tcW w:w="1177" w:type="pct"/>
            <w:tcBorders>
              <w:bottom w:val="nil"/>
            </w:tcBorders>
            <w:vAlign w:val="center"/>
          </w:tcPr>
          <w:p w:rsidR="00DB7BDF" w:rsidRPr="008E3F1A" w:rsidRDefault="00DB7BDF" w:rsidP="00A50809">
            <w:pPr>
              <w:pStyle w:val="TableText0"/>
            </w:pPr>
            <w:r w:rsidRPr="008E3F1A">
              <w:t>15 October 2018</w:t>
            </w:r>
          </w:p>
        </w:tc>
      </w:tr>
      <w:tr w:rsidR="00DB7BDF" w:rsidRPr="008E3F1A" w:rsidTr="00A50809">
        <w:tc>
          <w:tcPr>
            <w:tcW w:w="796" w:type="pct"/>
            <w:tcBorders>
              <w:top w:val="nil"/>
              <w:bottom w:val="nil"/>
            </w:tcBorders>
            <w:vAlign w:val="center"/>
          </w:tcPr>
          <w:p w:rsidR="00DB7BDF" w:rsidRPr="008E3F1A" w:rsidRDefault="00DB7BDF" w:rsidP="00A50809">
            <w:pPr>
              <w:pStyle w:val="TableText0"/>
            </w:pPr>
          </w:p>
        </w:tc>
        <w:tc>
          <w:tcPr>
            <w:tcW w:w="3027" w:type="pct"/>
            <w:tcBorders>
              <w:top w:val="nil"/>
              <w:bottom w:val="nil"/>
            </w:tcBorders>
            <w:vAlign w:val="center"/>
          </w:tcPr>
          <w:p w:rsidR="00DB7BDF" w:rsidRPr="008E3F1A" w:rsidRDefault="00DB7BDF" w:rsidP="00A50809">
            <w:pPr>
              <w:pStyle w:val="TableText0"/>
              <w:rPr>
                <w:color w:val="000000" w:themeColor="text1"/>
                <w:szCs w:val="18"/>
              </w:rPr>
            </w:pPr>
            <w:r w:rsidRPr="008E3F1A">
              <w:rPr>
                <w:color w:val="000000" w:themeColor="text1"/>
                <w:szCs w:val="18"/>
              </w:rPr>
              <w:t xml:space="preserve">DRKS00005496: A Randomized, double-blind, placebo-controlled, phase 3 study of brentuximab vedotin and CHP </w:t>
            </w:r>
            <w:r w:rsidR="007E2EC5" w:rsidRPr="008E3F1A">
              <w:rPr>
                <w:color w:val="000000" w:themeColor="text1"/>
                <w:szCs w:val="18"/>
              </w:rPr>
              <w:t>(</w:t>
            </w:r>
            <w:r w:rsidRPr="008E3F1A">
              <w:rPr>
                <w:color w:val="000000" w:themeColor="text1"/>
                <w:szCs w:val="18"/>
              </w:rPr>
              <w:t>A+CHP) versus CHOP in the Frontline treatment of patients with CD30-positive Mature T-cell Lymphomas.</w:t>
            </w:r>
          </w:p>
        </w:tc>
        <w:tc>
          <w:tcPr>
            <w:tcW w:w="1177" w:type="pct"/>
            <w:tcBorders>
              <w:top w:val="nil"/>
              <w:bottom w:val="nil"/>
            </w:tcBorders>
            <w:vAlign w:val="center"/>
          </w:tcPr>
          <w:p w:rsidR="00DB7BDF" w:rsidRPr="008E3F1A" w:rsidRDefault="00DB7BDF" w:rsidP="00A50809">
            <w:pPr>
              <w:pStyle w:val="TableText0"/>
              <w:rPr>
                <w:szCs w:val="18"/>
              </w:rPr>
            </w:pPr>
            <w:r w:rsidRPr="008E3F1A">
              <w:rPr>
                <w:szCs w:val="18"/>
              </w:rPr>
              <w:t>15 October 2018</w:t>
            </w:r>
          </w:p>
        </w:tc>
      </w:tr>
      <w:tr w:rsidR="00DB7BDF" w:rsidRPr="008E3F1A" w:rsidTr="00A50809">
        <w:tc>
          <w:tcPr>
            <w:tcW w:w="796" w:type="pct"/>
            <w:tcBorders>
              <w:top w:val="nil"/>
              <w:bottom w:val="single" w:sz="4" w:space="0" w:color="auto"/>
            </w:tcBorders>
            <w:vAlign w:val="center"/>
          </w:tcPr>
          <w:p w:rsidR="00DB7BDF" w:rsidRPr="008E3F1A" w:rsidRDefault="00DB7BDF" w:rsidP="00A50809">
            <w:pPr>
              <w:pStyle w:val="TableText0"/>
            </w:pPr>
          </w:p>
        </w:tc>
        <w:tc>
          <w:tcPr>
            <w:tcW w:w="3027" w:type="pct"/>
            <w:tcBorders>
              <w:top w:val="nil"/>
              <w:bottom w:val="single" w:sz="4" w:space="0" w:color="auto"/>
            </w:tcBorders>
            <w:vAlign w:val="center"/>
          </w:tcPr>
          <w:p w:rsidR="00DB7BDF" w:rsidRPr="008E3F1A" w:rsidRDefault="00DB7BDF" w:rsidP="00A50809">
            <w:pPr>
              <w:pStyle w:val="TableText0"/>
              <w:rPr>
                <w:szCs w:val="18"/>
              </w:rPr>
            </w:pPr>
            <w:r w:rsidRPr="008E3F1A">
              <w:t>Horwitz, S.</w:t>
            </w:r>
            <w:r w:rsidRPr="008E3F1A">
              <w:rPr>
                <w:i/>
              </w:rPr>
              <w:t xml:space="preserve"> et al.</w:t>
            </w:r>
            <w:r w:rsidRPr="008E3F1A">
              <w:t xml:space="preserve"> Brentuximab vedotin with chemotherapy for CD30-positive peripheral T-cell lymphoma (ECHELON-2): a global, double-blind, randomised, phase 3 trial. doi:10.1016/S0140-6736(18)32984-2 (2019)</w:t>
            </w:r>
          </w:p>
        </w:tc>
        <w:tc>
          <w:tcPr>
            <w:tcW w:w="1177" w:type="pct"/>
            <w:tcBorders>
              <w:top w:val="nil"/>
              <w:bottom w:val="single" w:sz="4" w:space="0" w:color="auto"/>
            </w:tcBorders>
            <w:vAlign w:val="center"/>
          </w:tcPr>
          <w:p w:rsidR="00DB7BDF" w:rsidRPr="008E3F1A" w:rsidRDefault="00DB7BDF" w:rsidP="00A50809">
            <w:pPr>
              <w:pStyle w:val="TableText0"/>
              <w:rPr>
                <w:i/>
                <w:szCs w:val="18"/>
              </w:rPr>
            </w:pPr>
            <w:r w:rsidRPr="008E3F1A">
              <w:rPr>
                <w:i/>
              </w:rPr>
              <w:t>Lancet (London, England)</w:t>
            </w:r>
            <w:r w:rsidRPr="008E3F1A">
              <w:t xml:space="preserve"> 393, 229</w:t>
            </w:r>
            <w:r w:rsidRPr="008E3F1A">
              <w:rPr>
                <w:rFonts w:ascii="Cambria Math" w:hAnsi="Cambria Math" w:cs="Cambria Math"/>
              </w:rPr>
              <w:t>‐</w:t>
            </w:r>
            <w:r w:rsidRPr="008E3F1A">
              <w:t>240,</w:t>
            </w:r>
          </w:p>
        </w:tc>
      </w:tr>
    </w:tbl>
    <w:p w:rsidR="00DB7BDF" w:rsidRPr="008E3F1A" w:rsidRDefault="00DB7BDF" w:rsidP="00DB7BDF">
      <w:pPr>
        <w:pStyle w:val="TableFigureFooter"/>
        <w:rPr>
          <w:sz w:val="20"/>
        </w:rPr>
      </w:pPr>
      <w:r w:rsidRPr="008E3F1A">
        <w:t>Source: Table 2.2, p76 of the submission.</w:t>
      </w:r>
    </w:p>
    <w:p w:rsidR="00DB7BDF" w:rsidRPr="008E3F1A" w:rsidRDefault="00DB7BDF" w:rsidP="00DB7BDF">
      <w:pPr>
        <w:pStyle w:val="In-tableHeading"/>
        <w:rPr>
          <w:lang w:val="en-AU"/>
        </w:rPr>
      </w:pPr>
    </w:p>
    <w:p w:rsidR="007F1017" w:rsidRPr="008E3F1A" w:rsidRDefault="008F120A" w:rsidP="00EC5836">
      <w:pPr>
        <w:pStyle w:val="3-BodyText"/>
        <w:rPr>
          <w:color w:val="0066FF"/>
        </w:rPr>
      </w:pPr>
      <w:r w:rsidRPr="008E3F1A">
        <w:t xml:space="preserve">The key features of the direct randomised trial are summarised in </w:t>
      </w:r>
      <w:r w:rsidR="00AC0577" w:rsidRPr="008E3F1A">
        <w:t xml:space="preserve">Table </w:t>
      </w:r>
      <w:r w:rsidR="00C00747" w:rsidRPr="008E3F1A">
        <w:t>4</w:t>
      </w:r>
      <w:r w:rsidR="00AC0577" w:rsidRPr="008E3F1A">
        <w:t>.</w:t>
      </w:r>
    </w:p>
    <w:p w:rsidR="007F1017" w:rsidRPr="008E3F1A" w:rsidRDefault="007F1017" w:rsidP="00EC5836">
      <w:pPr>
        <w:pStyle w:val="TableFigureHeading"/>
        <w:rPr>
          <w:rStyle w:val="CommentReference"/>
          <w:b/>
          <w:szCs w:val="24"/>
        </w:rPr>
      </w:pPr>
      <w:r w:rsidRPr="008E3F1A">
        <w:rPr>
          <w:rStyle w:val="CommentReference"/>
          <w:b/>
          <w:szCs w:val="24"/>
        </w:rPr>
        <w:t xml:space="preserve">Table </w:t>
      </w:r>
      <w:r w:rsidR="00C00747" w:rsidRPr="008E3F1A">
        <w:rPr>
          <w:rStyle w:val="CommentReference"/>
          <w:b/>
          <w:szCs w:val="24"/>
        </w:rPr>
        <w:t>4</w:t>
      </w:r>
      <w:r w:rsidRPr="008E3F1A">
        <w:rPr>
          <w:rStyle w:val="CommentReference"/>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6"/>
        <w:gridCol w:w="840"/>
        <w:gridCol w:w="1410"/>
        <w:gridCol w:w="1120"/>
        <w:gridCol w:w="1546"/>
        <w:gridCol w:w="1122"/>
        <w:gridCol w:w="1693"/>
      </w:tblGrid>
      <w:tr w:rsidR="00B41614" w:rsidRPr="008E3F1A" w:rsidTr="001E34DF">
        <w:trPr>
          <w:cantSplit/>
          <w:tblHeader/>
        </w:trPr>
        <w:tc>
          <w:tcPr>
            <w:tcW w:w="713" w:type="pct"/>
            <w:shd w:val="clear" w:color="auto" w:fill="auto"/>
            <w:vAlign w:val="center"/>
          </w:tcPr>
          <w:p w:rsidR="007F1017" w:rsidRPr="008E3F1A" w:rsidRDefault="007F1017" w:rsidP="001E34DF">
            <w:pPr>
              <w:pStyle w:val="In-tableHeading"/>
              <w:rPr>
                <w:lang w:val="en-AU"/>
              </w:rPr>
            </w:pPr>
            <w:r w:rsidRPr="008E3F1A">
              <w:rPr>
                <w:lang w:val="en-AU"/>
              </w:rPr>
              <w:t>Trial</w:t>
            </w:r>
          </w:p>
        </w:tc>
        <w:tc>
          <w:tcPr>
            <w:tcW w:w="466" w:type="pct"/>
            <w:shd w:val="clear" w:color="auto" w:fill="auto"/>
            <w:vAlign w:val="center"/>
          </w:tcPr>
          <w:p w:rsidR="007F1017" w:rsidRPr="008E3F1A" w:rsidRDefault="007F1017" w:rsidP="00EC5836">
            <w:pPr>
              <w:pStyle w:val="In-tableHeading"/>
              <w:jc w:val="center"/>
              <w:rPr>
                <w:lang w:val="en-AU"/>
              </w:rPr>
            </w:pPr>
            <w:r w:rsidRPr="008E3F1A">
              <w:rPr>
                <w:lang w:val="en-AU"/>
              </w:rPr>
              <w:t>N</w:t>
            </w:r>
          </w:p>
        </w:tc>
        <w:tc>
          <w:tcPr>
            <w:tcW w:w="782" w:type="pct"/>
            <w:shd w:val="clear" w:color="auto" w:fill="auto"/>
            <w:vAlign w:val="center"/>
          </w:tcPr>
          <w:p w:rsidR="007F1017" w:rsidRPr="008E3F1A" w:rsidRDefault="007F1017" w:rsidP="00EC5836">
            <w:pPr>
              <w:pStyle w:val="In-tableHeading"/>
              <w:jc w:val="center"/>
              <w:rPr>
                <w:lang w:val="en-AU"/>
              </w:rPr>
            </w:pPr>
            <w:r w:rsidRPr="008E3F1A">
              <w:rPr>
                <w:lang w:val="en-AU"/>
              </w:rPr>
              <w:t>Design/ duration</w:t>
            </w:r>
          </w:p>
        </w:tc>
        <w:tc>
          <w:tcPr>
            <w:tcW w:w="621" w:type="pct"/>
            <w:shd w:val="clear" w:color="auto" w:fill="auto"/>
            <w:vAlign w:val="center"/>
          </w:tcPr>
          <w:p w:rsidR="007F1017" w:rsidRPr="008E3F1A" w:rsidRDefault="007F1017" w:rsidP="00EC5836">
            <w:pPr>
              <w:pStyle w:val="In-tableHeading"/>
              <w:jc w:val="center"/>
              <w:rPr>
                <w:lang w:val="en-AU"/>
              </w:rPr>
            </w:pPr>
            <w:r w:rsidRPr="008E3F1A">
              <w:rPr>
                <w:lang w:val="en-AU"/>
              </w:rPr>
              <w:t>Risk of bias</w:t>
            </w:r>
          </w:p>
        </w:tc>
        <w:tc>
          <w:tcPr>
            <w:tcW w:w="857" w:type="pct"/>
            <w:shd w:val="clear" w:color="auto" w:fill="auto"/>
            <w:vAlign w:val="center"/>
          </w:tcPr>
          <w:p w:rsidR="007F1017" w:rsidRPr="008E3F1A" w:rsidRDefault="007F1017" w:rsidP="00EC5836">
            <w:pPr>
              <w:pStyle w:val="In-tableHeading"/>
              <w:jc w:val="center"/>
              <w:rPr>
                <w:lang w:val="en-AU"/>
              </w:rPr>
            </w:pPr>
            <w:r w:rsidRPr="008E3F1A">
              <w:rPr>
                <w:lang w:val="en-AU"/>
              </w:rPr>
              <w:t>Patient population</w:t>
            </w:r>
          </w:p>
        </w:tc>
        <w:tc>
          <w:tcPr>
            <w:tcW w:w="622" w:type="pct"/>
            <w:shd w:val="clear" w:color="auto" w:fill="auto"/>
            <w:vAlign w:val="center"/>
          </w:tcPr>
          <w:p w:rsidR="007F1017" w:rsidRPr="008E3F1A" w:rsidRDefault="007F1017" w:rsidP="00EC5836">
            <w:pPr>
              <w:pStyle w:val="In-tableHeading"/>
              <w:jc w:val="center"/>
              <w:rPr>
                <w:lang w:val="en-AU"/>
              </w:rPr>
            </w:pPr>
            <w:r w:rsidRPr="008E3F1A">
              <w:rPr>
                <w:lang w:val="en-AU"/>
              </w:rPr>
              <w:t>Outcome(s)</w:t>
            </w:r>
          </w:p>
        </w:tc>
        <w:tc>
          <w:tcPr>
            <w:tcW w:w="939" w:type="pct"/>
            <w:shd w:val="clear" w:color="auto" w:fill="auto"/>
            <w:vAlign w:val="center"/>
          </w:tcPr>
          <w:p w:rsidR="007F1017" w:rsidRPr="008E3F1A" w:rsidRDefault="007F1017" w:rsidP="00EC5836">
            <w:pPr>
              <w:pStyle w:val="In-tableHeading"/>
              <w:jc w:val="center"/>
              <w:rPr>
                <w:lang w:val="en-AU"/>
              </w:rPr>
            </w:pPr>
            <w:r w:rsidRPr="008E3F1A">
              <w:rPr>
                <w:lang w:val="en-AU"/>
              </w:rPr>
              <w:t>Use in modelled evaluation</w:t>
            </w:r>
          </w:p>
        </w:tc>
      </w:tr>
      <w:tr w:rsidR="007F1017" w:rsidRPr="008E3F1A" w:rsidTr="00682BA6">
        <w:trPr>
          <w:cantSplit/>
        </w:trPr>
        <w:tc>
          <w:tcPr>
            <w:tcW w:w="5000" w:type="pct"/>
            <w:gridSpan w:val="7"/>
            <w:shd w:val="clear" w:color="auto" w:fill="auto"/>
            <w:vAlign w:val="center"/>
          </w:tcPr>
          <w:p w:rsidR="007F1017" w:rsidRPr="008E3F1A" w:rsidRDefault="00AC0577" w:rsidP="00EC5836">
            <w:pPr>
              <w:pStyle w:val="In-tableHeading"/>
              <w:rPr>
                <w:lang w:val="en-AU"/>
              </w:rPr>
            </w:pPr>
            <w:r w:rsidRPr="008E3F1A">
              <w:rPr>
                <w:lang w:val="en-AU"/>
              </w:rPr>
              <w:t>BV+CHP vs CHOP</w:t>
            </w:r>
          </w:p>
        </w:tc>
      </w:tr>
      <w:tr w:rsidR="00B41614" w:rsidRPr="008E3F1A" w:rsidTr="00682BA6">
        <w:trPr>
          <w:cantSplit/>
        </w:trPr>
        <w:tc>
          <w:tcPr>
            <w:tcW w:w="713" w:type="pct"/>
            <w:shd w:val="clear" w:color="auto" w:fill="auto"/>
            <w:vAlign w:val="center"/>
          </w:tcPr>
          <w:p w:rsidR="007F1017" w:rsidRPr="008E3F1A" w:rsidRDefault="00AC0577" w:rsidP="00EC5836">
            <w:pPr>
              <w:pStyle w:val="TableText0"/>
            </w:pPr>
            <w:r w:rsidRPr="008E3F1A">
              <w:t>ECHELON-2</w:t>
            </w:r>
          </w:p>
        </w:tc>
        <w:tc>
          <w:tcPr>
            <w:tcW w:w="466" w:type="pct"/>
            <w:shd w:val="clear" w:color="auto" w:fill="auto"/>
            <w:vAlign w:val="center"/>
          </w:tcPr>
          <w:p w:rsidR="007F1017" w:rsidRPr="008E3F1A" w:rsidRDefault="00AC0577" w:rsidP="00EC5836">
            <w:pPr>
              <w:pStyle w:val="TableText0"/>
              <w:jc w:val="center"/>
            </w:pPr>
            <w:r w:rsidRPr="008E3F1A">
              <w:t>452</w:t>
            </w:r>
          </w:p>
        </w:tc>
        <w:tc>
          <w:tcPr>
            <w:tcW w:w="782" w:type="pct"/>
            <w:shd w:val="clear" w:color="auto" w:fill="auto"/>
            <w:vAlign w:val="center"/>
          </w:tcPr>
          <w:p w:rsidR="007F1017" w:rsidRPr="008E3F1A" w:rsidRDefault="007F1017" w:rsidP="00EC5836">
            <w:pPr>
              <w:pStyle w:val="TableText0"/>
              <w:jc w:val="center"/>
            </w:pPr>
            <w:r w:rsidRPr="008E3F1A">
              <w:t>R, DB</w:t>
            </w:r>
          </w:p>
          <w:p w:rsidR="007F1017" w:rsidRPr="008E3F1A" w:rsidRDefault="00AF5076" w:rsidP="00EC5836">
            <w:pPr>
              <w:pStyle w:val="TableText0"/>
              <w:jc w:val="center"/>
            </w:pPr>
            <w:r w:rsidRPr="008E3F1A">
              <w:t>42</w:t>
            </w:r>
            <w:r w:rsidR="007F1017" w:rsidRPr="008E3F1A">
              <w:t xml:space="preserve"> mths</w:t>
            </w:r>
          </w:p>
        </w:tc>
        <w:tc>
          <w:tcPr>
            <w:tcW w:w="621" w:type="pct"/>
            <w:shd w:val="clear" w:color="auto" w:fill="auto"/>
            <w:vAlign w:val="center"/>
          </w:tcPr>
          <w:p w:rsidR="007F1017" w:rsidRPr="008E3F1A" w:rsidRDefault="007F1017" w:rsidP="00EC5836">
            <w:pPr>
              <w:pStyle w:val="TableText0"/>
              <w:jc w:val="center"/>
            </w:pPr>
            <w:r w:rsidRPr="008E3F1A">
              <w:t>Low</w:t>
            </w:r>
          </w:p>
        </w:tc>
        <w:tc>
          <w:tcPr>
            <w:tcW w:w="857" w:type="pct"/>
            <w:shd w:val="clear" w:color="auto" w:fill="auto"/>
            <w:vAlign w:val="center"/>
          </w:tcPr>
          <w:p w:rsidR="007F1017" w:rsidRPr="008E3F1A" w:rsidRDefault="00A008E0" w:rsidP="00EC5836">
            <w:pPr>
              <w:pStyle w:val="TableText0"/>
              <w:jc w:val="center"/>
            </w:pPr>
            <w:r w:rsidRPr="008E3F1A">
              <w:t>Previously untreated CD30</w:t>
            </w:r>
            <w:r w:rsidR="006A6406" w:rsidRPr="008E3F1A">
              <w:t xml:space="preserve"> </w:t>
            </w:r>
            <w:r w:rsidRPr="008E3F1A">
              <w:t>positive PTCL patients</w:t>
            </w:r>
          </w:p>
        </w:tc>
        <w:tc>
          <w:tcPr>
            <w:tcW w:w="622" w:type="pct"/>
            <w:shd w:val="clear" w:color="auto" w:fill="auto"/>
            <w:vAlign w:val="center"/>
          </w:tcPr>
          <w:p w:rsidR="00BD7474" w:rsidRPr="008E3F1A" w:rsidRDefault="00BD7474" w:rsidP="00EC5836">
            <w:pPr>
              <w:pStyle w:val="TableText0"/>
              <w:jc w:val="center"/>
            </w:pPr>
            <w:r w:rsidRPr="008E3F1A">
              <w:t>Primary endpoint:</w:t>
            </w:r>
            <w:r w:rsidR="007B3651" w:rsidRPr="008E3F1A">
              <w:t xml:space="preserve"> </w:t>
            </w:r>
            <w:r w:rsidR="0094413C" w:rsidRPr="008E3F1A">
              <w:t>PFS</w:t>
            </w:r>
          </w:p>
          <w:p w:rsidR="007F1017" w:rsidRPr="008E3F1A" w:rsidRDefault="00BD7474" w:rsidP="00EC5836">
            <w:pPr>
              <w:pStyle w:val="TableText0"/>
              <w:jc w:val="center"/>
            </w:pPr>
            <w:r w:rsidRPr="008E3F1A">
              <w:t>Secondary endpoint</w:t>
            </w:r>
            <w:r w:rsidR="001C3F6F" w:rsidRPr="008E3F1A">
              <w:t>s</w:t>
            </w:r>
            <w:r w:rsidRPr="008E3F1A">
              <w:t>:</w:t>
            </w:r>
            <w:r w:rsidR="007B3651" w:rsidRPr="008E3F1A">
              <w:t xml:space="preserve"> PFS </w:t>
            </w:r>
            <w:r w:rsidR="0042682F" w:rsidRPr="008E3F1A">
              <w:t>for patients with sALCL,</w:t>
            </w:r>
            <w:r w:rsidRPr="008E3F1A">
              <w:t xml:space="preserve"> ORR, OS, </w:t>
            </w:r>
            <w:r w:rsidR="0042682F" w:rsidRPr="008E3F1A">
              <w:t>safety; PRO</w:t>
            </w:r>
            <w:r w:rsidR="004F2DE0" w:rsidRPr="008E3F1A">
              <w:t>s:</w:t>
            </w:r>
            <w:r w:rsidR="0042682F" w:rsidRPr="008E3F1A">
              <w:t xml:space="preserve"> (QLQ</w:t>
            </w:r>
            <w:r w:rsidR="004F2DE0" w:rsidRPr="008E3F1A">
              <w:t>-C30, EQ5D-3L, FACT/GOG-NTX)</w:t>
            </w:r>
          </w:p>
        </w:tc>
        <w:tc>
          <w:tcPr>
            <w:tcW w:w="939" w:type="pct"/>
            <w:shd w:val="clear" w:color="auto" w:fill="auto"/>
            <w:vAlign w:val="center"/>
          </w:tcPr>
          <w:p w:rsidR="007F1017" w:rsidRPr="008E3F1A" w:rsidRDefault="004F2DE0" w:rsidP="00EC5836">
            <w:pPr>
              <w:pStyle w:val="TableText0"/>
              <w:jc w:val="center"/>
            </w:pPr>
            <w:r w:rsidRPr="008E3F1A">
              <w:t xml:space="preserve">PFS, OS, </w:t>
            </w:r>
            <w:r w:rsidR="00787E9C" w:rsidRPr="008E3F1A">
              <w:t xml:space="preserve">EQ-5D-3L, </w:t>
            </w:r>
            <w:r w:rsidRPr="008E3F1A">
              <w:t>safety and PFS for patients with sALCL</w:t>
            </w:r>
          </w:p>
        </w:tc>
      </w:tr>
    </w:tbl>
    <w:p w:rsidR="00045017" w:rsidRPr="008E3F1A" w:rsidRDefault="00045017" w:rsidP="00EC5836">
      <w:pPr>
        <w:pStyle w:val="TableFigureFooter"/>
      </w:pPr>
      <w:r w:rsidRPr="008E3F1A">
        <w:t xml:space="preserve">Source: </w:t>
      </w:r>
      <w:r w:rsidR="007E3CF7" w:rsidRPr="008E3F1A">
        <w:t>compiled during evaluation.</w:t>
      </w:r>
    </w:p>
    <w:p w:rsidR="007E3CF7" w:rsidRPr="008E3F1A" w:rsidRDefault="007E3CF7" w:rsidP="007E3CF7">
      <w:pPr>
        <w:pStyle w:val="TableFigureFooter"/>
        <w:rPr>
          <w:lang w:eastAsia="en-US"/>
        </w:rPr>
      </w:pPr>
      <w:r w:rsidRPr="008E3F1A">
        <w:t xml:space="preserve">BV+CHP = brentuximab vedotin with cyclophosphamide, doxorubicin and prednisone; CHOP = cyclophosphamide, doxorubicin, vincristine and prednisone; CI=confidence interval; DB = double blind; </w:t>
      </w:r>
      <w:r w:rsidR="00B47F33" w:rsidRPr="008E3F1A">
        <w:t>EQ5D-3L = European Quality of Life 5-Dimension 3-level Questionnaire; FACT/GOG-NTX = Functional Assessment of Cancer Therapy/Gynaecologic Oncology Group – Neurotoxicity subscale</w:t>
      </w:r>
      <w:r w:rsidR="001456C6" w:rsidRPr="008E3F1A">
        <w:t>;</w:t>
      </w:r>
      <w:r w:rsidR="00B47F33" w:rsidRPr="008E3F1A">
        <w:t xml:space="preserve"> </w:t>
      </w:r>
      <w:r w:rsidRPr="008E3F1A">
        <w:t>ORR=objective response rate; OS=overall survival; PFS=progression free survival</w:t>
      </w:r>
      <w:r w:rsidR="00B47F33" w:rsidRPr="008E3F1A">
        <w:t>;</w:t>
      </w:r>
      <w:r w:rsidR="00E679BA" w:rsidRPr="008E3F1A">
        <w:t xml:space="preserve"> PRO = patient reported outcomes;  PTCL = peripheral T-cell lymphoma;</w:t>
      </w:r>
      <w:r w:rsidR="001456C6" w:rsidRPr="008E3F1A">
        <w:t xml:space="preserve"> QLQ-C30 = Quality of Life Questionnaire – Core 30;</w:t>
      </w:r>
      <w:r w:rsidR="00B47F33" w:rsidRPr="008E3F1A">
        <w:t xml:space="preserve"> R = randomised; </w:t>
      </w:r>
      <w:r w:rsidRPr="008E3F1A">
        <w:t>sALCL = systemic anaplastic large cell lymphoma.</w:t>
      </w:r>
    </w:p>
    <w:p w:rsidR="00620C25" w:rsidRPr="008E3F1A" w:rsidRDefault="00620C25" w:rsidP="00EC5836">
      <w:pPr>
        <w:pStyle w:val="TableFigureFooter"/>
      </w:pPr>
      <w:r w:rsidRPr="008E3F1A">
        <w:t xml:space="preserve"> </w:t>
      </w:r>
    </w:p>
    <w:p w:rsidR="00F62871" w:rsidRPr="008E3F1A" w:rsidRDefault="00A86C5C" w:rsidP="00EC5836">
      <w:pPr>
        <w:pStyle w:val="3-BodyText"/>
        <w:rPr>
          <w:iCs/>
          <w:color w:val="000000" w:themeColor="text1"/>
        </w:rPr>
      </w:pPr>
      <w:r w:rsidRPr="008E3F1A">
        <w:rPr>
          <w:iCs/>
          <w:color w:val="000000" w:themeColor="text1"/>
        </w:rPr>
        <w:t xml:space="preserve">Overall, ECHELON-2 had a low risk of bias. </w:t>
      </w:r>
    </w:p>
    <w:p w:rsidR="005C1AD8" w:rsidRPr="008E3F1A" w:rsidRDefault="005C47D6" w:rsidP="00EC5836">
      <w:pPr>
        <w:pStyle w:val="3-BodyText"/>
        <w:rPr>
          <w:iCs/>
          <w:color w:val="000000" w:themeColor="text1"/>
        </w:rPr>
      </w:pPr>
      <w:r w:rsidRPr="008E3F1A">
        <w:rPr>
          <w:iCs/>
          <w:snapToGrid/>
          <w:color w:val="000000" w:themeColor="text1"/>
        </w:rPr>
        <w:t xml:space="preserve">There were 70% of patients with a diagnosis of sALCL </w:t>
      </w:r>
      <w:r w:rsidR="00D254FF" w:rsidRPr="008E3F1A">
        <w:rPr>
          <w:iCs/>
          <w:snapToGrid/>
          <w:color w:val="000000" w:themeColor="text1"/>
        </w:rPr>
        <w:t>in ECHELON-2.</w:t>
      </w:r>
      <w:r w:rsidR="00A63BEB" w:rsidRPr="008E3F1A">
        <w:rPr>
          <w:iCs/>
          <w:snapToGrid/>
          <w:color w:val="000000" w:themeColor="text1"/>
        </w:rPr>
        <w:t xml:space="preserve"> </w:t>
      </w:r>
      <w:r w:rsidR="008B724F" w:rsidRPr="008E3F1A">
        <w:rPr>
          <w:iCs/>
        </w:rPr>
        <w:t>T</w:t>
      </w:r>
      <w:r w:rsidR="00A63BEB" w:rsidRPr="008E3F1A">
        <w:rPr>
          <w:iCs/>
        </w:rPr>
        <w:t>he preponderance of the sALCL subtype reflects a regulatory requirement incorporated into the trial rather than the underlying distribution of disease histology in PTCL</w:t>
      </w:r>
      <w:r w:rsidR="008606AD" w:rsidRPr="008E3F1A">
        <w:rPr>
          <w:iCs/>
        </w:rPr>
        <w:t xml:space="preserve"> (</w:t>
      </w:r>
      <w:r w:rsidR="002259B7" w:rsidRPr="008E3F1A">
        <w:rPr>
          <w:iCs/>
        </w:rPr>
        <w:t xml:space="preserve">in the financial estimates </w:t>
      </w:r>
      <w:r w:rsidR="008606AD" w:rsidRPr="008E3F1A">
        <w:rPr>
          <w:iCs/>
        </w:rPr>
        <w:t>the submission assumed that 17% of all diagnosed patients were sALCL but that these represented 70% of those utilising BV on the PBS)</w:t>
      </w:r>
      <w:r w:rsidR="00A63BEB" w:rsidRPr="008E3F1A">
        <w:rPr>
          <w:iCs/>
        </w:rPr>
        <w:t>.</w:t>
      </w:r>
      <w:r w:rsidR="00ED3FAB" w:rsidRPr="008E3F1A">
        <w:rPr>
          <w:iCs/>
        </w:rPr>
        <w:t xml:space="preserve"> </w:t>
      </w:r>
      <w:r w:rsidR="00306784" w:rsidRPr="008E3F1A">
        <w:rPr>
          <w:iCs/>
        </w:rPr>
        <w:t xml:space="preserve">The ESC </w:t>
      </w:r>
      <w:r w:rsidR="00306784" w:rsidRPr="008E3F1A">
        <w:rPr>
          <w:iCs/>
        </w:rPr>
        <w:lastRenderedPageBreak/>
        <w:t xml:space="preserve">considered that while </w:t>
      </w:r>
      <w:r w:rsidR="00ED7B1B" w:rsidRPr="008E3F1A">
        <w:rPr>
          <w:iCs/>
        </w:rPr>
        <w:t xml:space="preserve">the patient demographics and treatment characteristics reported in </w:t>
      </w:r>
      <w:r w:rsidR="00306784" w:rsidRPr="008E3F1A">
        <w:rPr>
          <w:iCs/>
        </w:rPr>
        <w:t xml:space="preserve">ECHELON-2 </w:t>
      </w:r>
      <w:r w:rsidR="00ED7B1B" w:rsidRPr="008E3F1A">
        <w:rPr>
          <w:iCs/>
        </w:rPr>
        <w:t xml:space="preserve">generally </w:t>
      </w:r>
      <w:r w:rsidR="00306784" w:rsidRPr="008E3F1A">
        <w:rPr>
          <w:iCs/>
        </w:rPr>
        <w:t>reflect the Australian setting the high proportion of sALCL patients may limit the applicability of the trial results to the proposed PBS population.</w:t>
      </w:r>
    </w:p>
    <w:p w:rsidR="00A63BEB" w:rsidRPr="008E3F1A" w:rsidRDefault="006D5D0A" w:rsidP="008B724F">
      <w:pPr>
        <w:pStyle w:val="3-BodyText"/>
        <w:rPr>
          <w:iCs/>
          <w:color w:val="000000" w:themeColor="text1"/>
        </w:rPr>
      </w:pPr>
      <w:r w:rsidRPr="008E3F1A">
        <w:rPr>
          <w:iCs/>
        </w:rPr>
        <w:t xml:space="preserve">Approximately </w:t>
      </w:r>
      <w:r w:rsidR="007A1FEB" w:rsidRPr="008E3F1A">
        <w:rPr>
          <w:iCs/>
        </w:rPr>
        <w:t>11</w:t>
      </w:r>
      <w:r w:rsidR="003B4F7E" w:rsidRPr="008E3F1A">
        <w:rPr>
          <w:iCs/>
        </w:rPr>
        <w:t>.5</w:t>
      </w:r>
      <w:r w:rsidRPr="008E3F1A">
        <w:rPr>
          <w:iCs/>
        </w:rPr>
        <w:t xml:space="preserve">% of patients in </w:t>
      </w:r>
      <w:r w:rsidR="004E2F9A" w:rsidRPr="008E3F1A">
        <w:rPr>
          <w:iCs/>
        </w:rPr>
        <w:t xml:space="preserve">the BV+CHP arm of </w:t>
      </w:r>
      <w:r w:rsidRPr="008E3F1A">
        <w:rPr>
          <w:iCs/>
        </w:rPr>
        <w:t xml:space="preserve">ECHELON-2 received BV </w:t>
      </w:r>
      <w:r w:rsidR="005F5C39" w:rsidRPr="008E3F1A">
        <w:rPr>
          <w:iCs/>
        </w:rPr>
        <w:t xml:space="preserve">monotherapy </w:t>
      </w:r>
      <w:r w:rsidRPr="008E3F1A">
        <w:rPr>
          <w:iCs/>
        </w:rPr>
        <w:t xml:space="preserve">therapy </w:t>
      </w:r>
      <w:r w:rsidR="004E2F9A" w:rsidRPr="008E3F1A">
        <w:rPr>
          <w:iCs/>
        </w:rPr>
        <w:t>as</w:t>
      </w:r>
      <w:r w:rsidRPr="008E3F1A">
        <w:rPr>
          <w:iCs/>
        </w:rPr>
        <w:t xml:space="preserve"> second-line</w:t>
      </w:r>
      <w:r w:rsidR="009157D7" w:rsidRPr="008E3F1A">
        <w:rPr>
          <w:iCs/>
        </w:rPr>
        <w:t xml:space="preserve">; </w:t>
      </w:r>
      <w:r w:rsidR="009D264C" w:rsidRPr="008E3F1A">
        <w:rPr>
          <w:iCs/>
        </w:rPr>
        <w:t xml:space="preserve">compared to </w:t>
      </w:r>
      <w:r w:rsidR="00BD01EA" w:rsidRPr="008E3F1A">
        <w:rPr>
          <w:iCs/>
        </w:rPr>
        <w:t>approximately 25%</w:t>
      </w:r>
      <w:r w:rsidR="002A5FBE" w:rsidRPr="008E3F1A">
        <w:rPr>
          <w:iCs/>
        </w:rPr>
        <w:t xml:space="preserve"> of</w:t>
      </w:r>
      <w:r w:rsidR="00BD01EA" w:rsidRPr="008E3F1A">
        <w:rPr>
          <w:iCs/>
        </w:rPr>
        <w:t xml:space="preserve"> </w:t>
      </w:r>
      <w:r w:rsidR="00B26B8B" w:rsidRPr="008E3F1A">
        <w:rPr>
          <w:iCs/>
        </w:rPr>
        <w:t>patients</w:t>
      </w:r>
      <w:r w:rsidR="00BD01EA" w:rsidRPr="008E3F1A">
        <w:rPr>
          <w:iCs/>
        </w:rPr>
        <w:t xml:space="preserve"> in </w:t>
      </w:r>
      <w:r w:rsidR="009D264C" w:rsidRPr="008E3F1A">
        <w:rPr>
          <w:iCs/>
        </w:rPr>
        <w:t xml:space="preserve">the </w:t>
      </w:r>
      <w:r w:rsidR="00BD01EA" w:rsidRPr="008E3F1A">
        <w:rPr>
          <w:iCs/>
        </w:rPr>
        <w:t>CHOP arm</w:t>
      </w:r>
      <w:r w:rsidRPr="008E3F1A">
        <w:rPr>
          <w:iCs/>
        </w:rPr>
        <w:t>.</w:t>
      </w:r>
      <w:r w:rsidR="00BD01EA" w:rsidRPr="008E3F1A">
        <w:rPr>
          <w:iCs/>
        </w:rPr>
        <w:t xml:space="preserve"> </w:t>
      </w:r>
      <w:r w:rsidR="00973082" w:rsidRPr="008E3F1A">
        <w:rPr>
          <w:iCs/>
        </w:rPr>
        <w:t xml:space="preserve">While the second-line use of BV is consistent with </w:t>
      </w:r>
      <w:r w:rsidR="009B1B3E" w:rsidRPr="008E3F1A">
        <w:rPr>
          <w:iCs/>
        </w:rPr>
        <w:t>the PBS listing for</w:t>
      </w:r>
      <w:r w:rsidR="00BD01EA" w:rsidRPr="008E3F1A">
        <w:rPr>
          <w:iCs/>
        </w:rPr>
        <w:t xml:space="preserve"> </w:t>
      </w:r>
      <w:r w:rsidR="00B26B8B" w:rsidRPr="008E3F1A">
        <w:rPr>
          <w:iCs/>
        </w:rPr>
        <w:t>BV monotherapy for the treatment of relapsed/refractory sALCL patients</w:t>
      </w:r>
      <w:r w:rsidR="00973082" w:rsidRPr="008E3F1A">
        <w:rPr>
          <w:iCs/>
        </w:rPr>
        <w:t>, there is the potential for the difference in the proportion of such use to have favoured the CHOP arm</w:t>
      </w:r>
      <w:r w:rsidR="00B26B8B" w:rsidRPr="008E3F1A">
        <w:rPr>
          <w:iCs/>
        </w:rPr>
        <w:t>.</w:t>
      </w:r>
    </w:p>
    <w:p w:rsidR="00146677" w:rsidRPr="008E3F1A" w:rsidRDefault="00B60939" w:rsidP="00EC5836">
      <w:pPr>
        <w:pStyle w:val="4-SubsectionHeading"/>
      </w:pPr>
      <w:bookmarkStart w:id="12" w:name="_Toc22897641"/>
      <w:bookmarkStart w:id="13" w:name="_Toc62055092"/>
      <w:r w:rsidRPr="008E3F1A">
        <w:t>Comparative effectiveness</w:t>
      </w:r>
      <w:bookmarkEnd w:id="12"/>
      <w:bookmarkEnd w:id="13"/>
    </w:p>
    <w:p w:rsidR="00821A41" w:rsidRPr="008E3F1A" w:rsidRDefault="009F07FA" w:rsidP="00821A41">
      <w:pPr>
        <w:pStyle w:val="3-BodyText"/>
        <w:rPr>
          <w:snapToGrid/>
          <w:color w:val="000000" w:themeColor="text1"/>
        </w:rPr>
      </w:pPr>
      <w:r w:rsidRPr="008E3F1A">
        <w:rPr>
          <w:snapToGrid/>
          <w:color w:val="000000" w:themeColor="text1"/>
        </w:rPr>
        <w:t xml:space="preserve">A summary of the PFS and OS results </w:t>
      </w:r>
      <w:r w:rsidR="0002022E" w:rsidRPr="008E3F1A">
        <w:rPr>
          <w:snapToGrid/>
          <w:color w:val="000000" w:themeColor="text1"/>
        </w:rPr>
        <w:t>is</w:t>
      </w:r>
      <w:r w:rsidRPr="008E3F1A">
        <w:rPr>
          <w:snapToGrid/>
          <w:color w:val="000000" w:themeColor="text1"/>
        </w:rPr>
        <w:t xml:space="preserve"> presented in Table </w:t>
      </w:r>
      <w:r w:rsidR="00C00747" w:rsidRPr="008E3F1A">
        <w:rPr>
          <w:snapToGrid/>
          <w:color w:val="000000" w:themeColor="text1"/>
        </w:rPr>
        <w:t>5</w:t>
      </w:r>
      <w:r w:rsidRPr="008E3F1A">
        <w:rPr>
          <w:snapToGrid/>
          <w:color w:val="000000" w:themeColor="text1"/>
        </w:rPr>
        <w:t xml:space="preserve">, with the corresponding Kaplan-Meier curves in Figure </w:t>
      </w:r>
      <w:r w:rsidR="00DD5DD7" w:rsidRPr="008E3F1A">
        <w:rPr>
          <w:snapToGrid/>
          <w:color w:val="000000" w:themeColor="text1"/>
        </w:rPr>
        <w:t xml:space="preserve">2 </w:t>
      </w:r>
      <w:r w:rsidR="004A6F2F" w:rsidRPr="008E3F1A">
        <w:rPr>
          <w:snapToGrid/>
          <w:color w:val="000000" w:themeColor="text1"/>
        </w:rPr>
        <w:t>to</w:t>
      </w:r>
      <w:r w:rsidRPr="008E3F1A">
        <w:rPr>
          <w:snapToGrid/>
          <w:color w:val="000000" w:themeColor="text1"/>
        </w:rPr>
        <w:t xml:space="preserve"> Figure </w:t>
      </w:r>
      <w:r w:rsidR="004A6F2F" w:rsidRPr="008E3F1A">
        <w:rPr>
          <w:snapToGrid/>
          <w:color w:val="000000" w:themeColor="text1"/>
        </w:rPr>
        <w:t>4</w:t>
      </w:r>
      <w:r w:rsidR="00973082" w:rsidRPr="008E3F1A">
        <w:rPr>
          <w:snapToGrid/>
          <w:color w:val="000000" w:themeColor="text1"/>
        </w:rPr>
        <w:t>, respectively</w:t>
      </w:r>
      <w:r w:rsidRPr="008E3F1A">
        <w:rPr>
          <w:snapToGrid/>
          <w:color w:val="000000" w:themeColor="text1"/>
        </w:rPr>
        <w:t xml:space="preserve">. </w:t>
      </w:r>
    </w:p>
    <w:p w:rsidR="00821A41" w:rsidRPr="008E3F1A" w:rsidRDefault="00821A41" w:rsidP="00221C62">
      <w:pPr>
        <w:pStyle w:val="3-BodyText"/>
        <w:rPr>
          <w:i/>
          <w:iCs/>
        </w:rPr>
      </w:pPr>
      <w:r w:rsidRPr="008E3F1A">
        <w:t>BV+CHP treatment was associated with a 29% reduction in the risk of progression, death or subsequent anti-cancer therapy (HR = 0.71; 95% CI: 0.54, 0.93, p-value = 0.0110)</w:t>
      </w:r>
      <w:r w:rsidR="00EA42A4" w:rsidRPr="008E3F1A">
        <w:t xml:space="preserve"> in the ITT population</w:t>
      </w:r>
      <w:r w:rsidRPr="008E3F1A">
        <w:t>, and a gain in median PFS of 27.4 months.</w:t>
      </w:r>
      <w:r w:rsidR="005E2D0A" w:rsidRPr="008E3F1A">
        <w:t xml:space="preserve"> </w:t>
      </w:r>
      <w:r w:rsidR="00221C62" w:rsidRPr="008E3F1A">
        <w:t xml:space="preserve">The PBAC noted </w:t>
      </w:r>
      <w:r w:rsidR="00221C62" w:rsidRPr="008E3F1A">
        <w:rPr>
          <w:rFonts w:ascii="Calibri" w:hAnsi="Calibri"/>
          <w:snapToGrid/>
          <w:color w:val="000000" w:themeColor="text1"/>
        </w:rPr>
        <w:t xml:space="preserve">the gain in PFS was robust to </w:t>
      </w:r>
      <w:r w:rsidR="00085A24" w:rsidRPr="008E3F1A">
        <w:rPr>
          <w:rFonts w:ascii="Calibri" w:hAnsi="Calibri"/>
          <w:snapToGrid/>
          <w:color w:val="000000" w:themeColor="text1"/>
        </w:rPr>
        <w:t>three sensitivity analysis</w:t>
      </w:r>
      <w:r w:rsidR="00221C62" w:rsidRPr="008E3F1A">
        <w:rPr>
          <w:rFonts w:ascii="Calibri" w:hAnsi="Calibri"/>
          <w:snapToGrid/>
          <w:color w:val="000000" w:themeColor="text1"/>
        </w:rPr>
        <w:t xml:space="preserve">: censoring of new anticancer therapy (HR = 0.75; 95%CI 0.56, 1.00, p-value = 0.0484); using EMA censoring guidelines </w:t>
      </w:r>
      <w:r w:rsidR="00085A24" w:rsidRPr="008E3F1A">
        <w:rPr>
          <w:rFonts w:ascii="Calibri" w:hAnsi="Calibri"/>
          <w:snapToGrid/>
          <w:color w:val="000000" w:themeColor="text1"/>
        </w:rPr>
        <w:t>(HR = 0.73; 95% CI 0.56, 0.95, p-value = 0.017); censoring for SCT/consolidative radiotherapy (HR = 0.71, 95% CI 0.53, 0.94</w:t>
      </w:r>
      <w:r w:rsidR="008D1AB5" w:rsidRPr="008E3F1A">
        <w:rPr>
          <w:rFonts w:ascii="Calibri" w:hAnsi="Calibri"/>
          <w:snapToGrid/>
          <w:color w:val="000000" w:themeColor="text1"/>
        </w:rPr>
        <w:t>, p-value = 0.0167</w:t>
      </w:r>
      <w:r w:rsidR="00085A24" w:rsidRPr="008E3F1A">
        <w:rPr>
          <w:rFonts w:ascii="Calibri" w:hAnsi="Calibri"/>
          <w:snapToGrid/>
          <w:color w:val="000000" w:themeColor="text1"/>
        </w:rPr>
        <w:t xml:space="preserve">). </w:t>
      </w:r>
    </w:p>
    <w:p w:rsidR="00666A4D" w:rsidRPr="008E3F1A" w:rsidRDefault="009F07FA" w:rsidP="00E8005C">
      <w:pPr>
        <w:pStyle w:val="3-BodyText"/>
        <w:rPr>
          <w:snapToGrid/>
          <w:color w:val="000000" w:themeColor="text1"/>
        </w:rPr>
      </w:pPr>
      <w:r w:rsidRPr="008E3F1A">
        <w:rPr>
          <w:iCs/>
          <w:color w:val="000000" w:themeColor="text1"/>
        </w:rPr>
        <w:t xml:space="preserve">The </w:t>
      </w:r>
      <w:r w:rsidR="00EA42A4" w:rsidRPr="008E3F1A">
        <w:rPr>
          <w:iCs/>
          <w:color w:val="000000" w:themeColor="text1"/>
        </w:rPr>
        <w:t xml:space="preserve">ITT population </w:t>
      </w:r>
      <w:r w:rsidRPr="008E3F1A">
        <w:rPr>
          <w:iCs/>
          <w:color w:val="000000" w:themeColor="text1"/>
        </w:rPr>
        <w:t xml:space="preserve">results demonstrated a statistically significant difference </w:t>
      </w:r>
      <w:r w:rsidR="005E2D0A" w:rsidRPr="008E3F1A">
        <w:rPr>
          <w:iCs/>
          <w:color w:val="000000" w:themeColor="text1"/>
        </w:rPr>
        <w:t xml:space="preserve">in </w:t>
      </w:r>
      <w:r w:rsidR="00973082" w:rsidRPr="008E3F1A">
        <w:rPr>
          <w:iCs/>
          <w:color w:val="000000" w:themeColor="text1"/>
        </w:rPr>
        <w:t>OS</w:t>
      </w:r>
      <w:r w:rsidRPr="008E3F1A">
        <w:rPr>
          <w:iCs/>
          <w:color w:val="000000" w:themeColor="text1"/>
        </w:rPr>
        <w:t xml:space="preserve"> in </w:t>
      </w:r>
      <w:r w:rsidR="00E746CB" w:rsidRPr="008E3F1A">
        <w:rPr>
          <w:iCs/>
          <w:color w:val="000000" w:themeColor="text1"/>
        </w:rPr>
        <w:t>favour</w:t>
      </w:r>
      <w:r w:rsidRPr="008E3F1A">
        <w:rPr>
          <w:iCs/>
          <w:color w:val="000000" w:themeColor="text1"/>
        </w:rPr>
        <w:t xml:space="preserve"> of BV+CHP. The median duration of follow-up for the trial was </w:t>
      </w:r>
      <w:r w:rsidR="001D24D9" w:rsidRPr="008E3F1A">
        <w:rPr>
          <w:iCs/>
          <w:color w:val="000000" w:themeColor="text1"/>
        </w:rPr>
        <w:t xml:space="preserve">42 </w:t>
      </w:r>
      <w:r w:rsidRPr="008E3F1A">
        <w:rPr>
          <w:iCs/>
          <w:color w:val="000000" w:themeColor="text1"/>
        </w:rPr>
        <w:t xml:space="preserve">months and the median OS in the </w:t>
      </w:r>
      <w:r w:rsidR="001D24D9" w:rsidRPr="008E3F1A">
        <w:rPr>
          <w:iCs/>
          <w:color w:val="000000" w:themeColor="text1"/>
        </w:rPr>
        <w:t xml:space="preserve">BV+CHP and CHOP arms </w:t>
      </w:r>
      <w:r w:rsidRPr="008E3F1A">
        <w:rPr>
          <w:iCs/>
          <w:color w:val="000000" w:themeColor="text1"/>
        </w:rPr>
        <w:t xml:space="preserve">was not reached, with only </w:t>
      </w:r>
      <w:r w:rsidR="00D6249D" w:rsidRPr="008E3F1A">
        <w:rPr>
          <w:iCs/>
          <w:color w:val="000000" w:themeColor="text1"/>
        </w:rPr>
        <w:t>23</w:t>
      </w:r>
      <w:r w:rsidRPr="008E3F1A">
        <w:rPr>
          <w:iCs/>
          <w:color w:val="000000" w:themeColor="text1"/>
        </w:rPr>
        <w:t>% (</w:t>
      </w:r>
      <w:r w:rsidR="00D6249D" w:rsidRPr="008E3F1A">
        <w:rPr>
          <w:iCs/>
          <w:color w:val="000000" w:themeColor="text1"/>
        </w:rPr>
        <w:t>BV+CHP</w:t>
      </w:r>
      <w:r w:rsidRPr="008E3F1A">
        <w:rPr>
          <w:iCs/>
          <w:color w:val="000000" w:themeColor="text1"/>
        </w:rPr>
        <w:t xml:space="preserve">) and </w:t>
      </w:r>
      <w:r w:rsidR="00D6249D" w:rsidRPr="008E3F1A">
        <w:rPr>
          <w:iCs/>
          <w:color w:val="000000" w:themeColor="text1"/>
        </w:rPr>
        <w:t>32</w:t>
      </w:r>
      <w:r w:rsidRPr="008E3F1A">
        <w:rPr>
          <w:iCs/>
          <w:color w:val="000000" w:themeColor="text1"/>
        </w:rPr>
        <w:t>% (</w:t>
      </w:r>
      <w:r w:rsidR="00D6249D" w:rsidRPr="008E3F1A">
        <w:rPr>
          <w:iCs/>
          <w:color w:val="000000" w:themeColor="text1"/>
        </w:rPr>
        <w:t>CHOP</w:t>
      </w:r>
      <w:r w:rsidRPr="008E3F1A">
        <w:rPr>
          <w:iCs/>
          <w:color w:val="000000" w:themeColor="text1"/>
        </w:rPr>
        <w:t xml:space="preserve">) of patients having experienced an event. </w:t>
      </w:r>
      <w:r w:rsidR="0021523A" w:rsidRPr="008E3F1A">
        <w:t>The PSCR argued that</w:t>
      </w:r>
      <w:r w:rsidR="00AD294A" w:rsidRPr="008E3F1A">
        <w:t xml:space="preserve"> despite a considerable median OS follow-up o</w:t>
      </w:r>
      <w:r w:rsidR="00B1726C" w:rsidRPr="008E3F1A">
        <w:t>f</w:t>
      </w:r>
      <w:r w:rsidR="00AD294A" w:rsidRPr="008E3F1A">
        <w:t xml:space="preserve"> 42 months the approximately parallel OS curves from 36 to 66 months suggest the median may not be reached for some time.</w:t>
      </w:r>
      <w:r w:rsidR="00892AD2" w:rsidRPr="008E3F1A">
        <w:t xml:space="preserve"> </w:t>
      </w:r>
      <w:r w:rsidR="003E7144" w:rsidRPr="008E3F1A">
        <w:t>T</w:t>
      </w:r>
      <w:r w:rsidR="00F42475" w:rsidRPr="008E3F1A">
        <w:t xml:space="preserve">he ESC considered that </w:t>
      </w:r>
      <w:r w:rsidR="00AD294A" w:rsidRPr="008E3F1A">
        <w:t>a clear plateau of the OS curves had not been reached by the end of the study.</w:t>
      </w:r>
      <w:r w:rsidR="00AD294A" w:rsidRPr="008E3F1A">
        <w:rPr>
          <w:i/>
        </w:rPr>
        <w:t xml:space="preserve"> </w:t>
      </w:r>
      <w:r w:rsidR="008C49F9" w:rsidRPr="008E3F1A">
        <w:t>The pre-PBAC response</w:t>
      </w:r>
      <w:r w:rsidR="00225A8E" w:rsidRPr="008E3F1A">
        <w:t xml:space="preserve"> stated that median OS had not been reached in either treatment arm in a landmark analysis conducted at 5 years follow-up (median follow-up:</w:t>
      </w:r>
      <w:r w:rsidR="003E7144" w:rsidRPr="008E3F1A">
        <w:t xml:space="preserve"> </w:t>
      </w:r>
      <w:r w:rsidR="00225A8E" w:rsidRPr="008E3F1A">
        <w:t>66.8 months). In addition, the pre-PBAC response stated that the survival curves had not converged over the additional 24 months of follow-up</w:t>
      </w:r>
      <w:r w:rsidR="008E3F1A">
        <w:t xml:space="preserve">. </w:t>
      </w:r>
    </w:p>
    <w:p w:rsidR="00AC46EB" w:rsidRPr="008E3F1A" w:rsidRDefault="000816E9" w:rsidP="00A659F6">
      <w:pPr>
        <w:numPr>
          <w:ilvl w:val="1"/>
          <w:numId w:val="1"/>
        </w:numPr>
        <w:spacing w:after="120"/>
        <w:rPr>
          <w:rFonts w:asciiTheme="minorHAnsi" w:hAnsiTheme="minorHAnsi"/>
          <w:i/>
          <w:iCs/>
          <w:snapToGrid w:val="0"/>
        </w:rPr>
      </w:pPr>
      <w:r w:rsidRPr="008E3F1A">
        <w:rPr>
          <w:rFonts w:asciiTheme="minorHAnsi" w:hAnsiTheme="minorHAnsi"/>
          <w:snapToGrid w:val="0"/>
        </w:rPr>
        <w:t>PFS for sALCL was a secondary endpoint in ECHELON-2</w:t>
      </w:r>
      <w:r w:rsidR="00AC46EB" w:rsidRPr="008E3F1A">
        <w:rPr>
          <w:rFonts w:asciiTheme="minorHAnsi" w:hAnsiTheme="minorHAnsi"/>
          <w:snapToGrid w:val="0"/>
        </w:rPr>
        <w:t xml:space="preserve"> with the results reported in Table 5</w:t>
      </w:r>
      <w:r w:rsidRPr="008E3F1A">
        <w:rPr>
          <w:rFonts w:asciiTheme="minorHAnsi" w:hAnsiTheme="minorHAnsi"/>
          <w:snapToGrid w:val="0"/>
        </w:rPr>
        <w:t xml:space="preserve">. </w:t>
      </w:r>
    </w:p>
    <w:p w:rsidR="00A659F6" w:rsidRPr="008E3F1A" w:rsidRDefault="000816E9" w:rsidP="00A659F6">
      <w:pPr>
        <w:numPr>
          <w:ilvl w:val="1"/>
          <w:numId w:val="1"/>
        </w:numPr>
        <w:spacing w:after="120"/>
        <w:rPr>
          <w:rFonts w:asciiTheme="minorHAnsi" w:hAnsiTheme="minorHAnsi"/>
          <w:i/>
          <w:iCs/>
          <w:snapToGrid w:val="0"/>
        </w:rPr>
      </w:pPr>
      <w:r w:rsidRPr="008E3F1A">
        <w:rPr>
          <w:rFonts w:asciiTheme="minorHAnsi" w:hAnsiTheme="minorHAnsi"/>
          <w:snapToGrid w:val="0"/>
        </w:rPr>
        <w:t xml:space="preserve">The </w:t>
      </w:r>
      <w:r w:rsidR="003E7144" w:rsidRPr="008E3F1A">
        <w:rPr>
          <w:rFonts w:asciiTheme="minorHAnsi" w:hAnsiTheme="minorHAnsi"/>
          <w:snapToGrid w:val="0"/>
        </w:rPr>
        <w:t xml:space="preserve">submission </w:t>
      </w:r>
      <w:r w:rsidRPr="008E3F1A">
        <w:rPr>
          <w:rFonts w:asciiTheme="minorHAnsi" w:hAnsiTheme="minorHAnsi"/>
          <w:snapToGrid w:val="0"/>
        </w:rPr>
        <w:t>noted that due to the rarity of individual subtypes, ECHELON-2 was not powered to detect differences in efficacy betw</w:t>
      </w:r>
      <w:r w:rsidR="00F55FE2" w:rsidRPr="008E3F1A">
        <w:rPr>
          <w:rFonts w:asciiTheme="minorHAnsi" w:hAnsiTheme="minorHAnsi"/>
          <w:snapToGrid w:val="0"/>
        </w:rPr>
        <w:t xml:space="preserve">een the treatment arms for the non-sALCL </w:t>
      </w:r>
      <w:r w:rsidRPr="008E3F1A">
        <w:rPr>
          <w:rFonts w:asciiTheme="minorHAnsi" w:hAnsiTheme="minorHAnsi"/>
          <w:snapToGrid w:val="0"/>
        </w:rPr>
        <w:t>sub</w:t>
      </w:r>
      <w:r w:rsidR="006B6EB2" w:rsidRPr="008E3F1A">
        <w:rPr>
          <w:rFonts w:asciiTheme="minorHAnsi" w:hAnsiTheme="minorHAnsi"/>
          <w:snapToGrid w:val="0"/>
        </w:rPr>
        <w:t>types</w:t>
      </w:r>
      <w:r w:rsidRPr="008E3F1A">
        <w:rPr>
          <w:rFonts w:asciiTheme="minorHAnsi" w:hAnsiTheme="minorHAnsi"/>
          <w:snapToGrid w:val="0"/>
        </w:rPr>
        <w:t xml:space="preserve">. The submission stated the small number of patients enrolled with some PTCL subtypes limits interpretation of these data. </w:t>
      </w:r>
      <w:r w:rsidRPr="008E3F1A">
        <w:rPr>
          <w:rFonts w:asciiTheme="minorHAnsi" w:hAnsiTheme="minorHAnsi"/>
          <w:iCs/>
          <w:snapToGrid w:val="0"/>
        </w:rPr>
        <w:t>Th</w:t>
      </w:r>
      <w:r w:rsidR="00ED7B1B" w:rsidRPr="008E3F1A">
        <w:rPr>
          <w:rFonts w:asciiTheme="minorHAnsi" w:hAnsiTheme="minorHAnsi"/>
          <w:iCs/>
          <w:snapToGrid w:val="0"/>
        </w:rPr>
        <w:t>e evaluation considered this</w:t>
      </w:r>
      <w:r w:rsidRPr="008E3F1A">
        <w:rPr>
          <w:rFonts w:asciiTheme="minorHAnsi" w:hAnsiTheme="minorHAnsi"/>
          <w:iCs/>
          <w:snapToGrid w:val="0"/>
        </w:rPr>
        <w:t xml:space="preserve"> was reasonable, as the subgroup analyses other than for sALCL were not prespecified in the trial.</w:t>
      </w:r>
      <w:r w:rsidR="000E626B" w:rsidRPr="008E3F1A">
        <w:rPr>
          <w:rFonts w:asciiTheme="minorHAnsi" w:hAnsiTheme="minorHAnsi"/>
          <w:i/>
          <w:iCs/>
          <w:snapToGrid w:val="0"/>
        </w:rPr>
        <w:t xml:space="preserve"> </w:t>
      </w:r>
    </w:p>
    <w:p w:rsidR="00E8005C" w:rsidRPr="008E3F1A" w:rsidRDefault="00964096" w:rsidP="00A659F6">
      <w:pPr>
        <w:numPr>
          <w:ilvl w:val="1"/>
          <w:numId w:val="1"/>
        </w:numPr>
        <w:spacing w:after="120"/>
        <w:rPr>
          <w:rFonts w:asciiTheme="minorHAnsi" w:hAnsiTheme="minorHAnsi"/>
          <w:iCs/>
          <w:snapToGrid w:val="0"/>
        </w:rPr>
      </w:pPr>
      <w:r w:rsidRPr="008E3F1A">
        <w:rPr>
          <w:rFonts w:asciiTheme="minorHAnsi" w:hAnsiTheme="minorHAnsi"/>
          <w:snapToGrid w:val="0"/>
        </w:rPr>
        <w:lastRenderedPageBreak/>
        <w:t xml:space="preserve">Although the </w:t>
      </w:r>
      <w:r w:rsidR="00A659F6" w:rsidRPr="008E3F1A">
        <w:rPr>
          <w:rFonts w:asciiTheme="minorHAnsi" w:hAnsiTheme="minorHAnsi"/>
          <w:snapToGrid w:val="0"/>
        </w:rPr>
        <w:t>number of non-</w:t>
      </w:r>
      <w:r w:rsidR="00A659F6" w:rsidRPr="008E3F1A">
        <w:rPr>
          <w:rFonts w:asciiTheme="minorHAnsi" w:hAnsiTheme="minorHAnsi"/>
          <w:iCs/>
          <w:snapToGrid w:val="0"/>
        </w:rPr>
        <w:t>sALCL patients</w:t>
      </w:r>
      <w:r w:rsidRPr="008E3F1A">
        <w:rPr>
          <w:rFonts w:asciiTheme="minorHAnsi" w:hAnsiTheme="minorHAnsi"/>
          <w:iCs/>
          <w:snapToGrid w:val="0"/>
        </w:rPr>
        <w:t xml:space="preserve"> </w:t>
      </w:r>
      <w:r w:rsidR="00A659F6" w:rsidRPr="008E3F1A">
        <w:rPr>
          <w:rFonts w:asciiTheme="minorHAnsi" w:hAnsiTheme="minorHAnsi"/>
          <w:iCs/>
          <w:snapToGrid w:val="0"/>
        </w:rPr>
        <w:t xml:space="preserve">in ECHELON-2 </w:t>
      </w:r>
      <w:r w:rsidRPr="008E3F1A">
        <w:rPr>
          <w:rFonts w:asciiTheme="minorHAnsi" w:hAnsiTheme="minorHAnsi"/>
          <w:iCs/>
          <w:snapToGrid w:val="0"/>
        </w:rPr>
        <w:t xml:space="preserve">is low the </w:t>
      </w:r>
      <w:r w:rsidR="00E62913" w:rsidRPr="008E3F1A">
        <w:rPr>
          <w:rFonts w:asciiTheme="minorHAnsi" w:hAnsiTheme="minorHAnsi"/>
          <w:iCs/>
          <w:snapToGrid w:val="0"/>
        </w:rPr>
        <w:t xml:space="preserve">results show a decrease in risk of progression and death, although not statistically significant. </w:t>
      </w:r>
      <w:r w:rsidR="00E8005C" w:rsidRPr="008E3F1A">
        <w:rPr>
          <w:rFonts w:asciiTheme="minorHAnsi" w:hAnsiTheme="minorHAnsi"/>
          <w:iCs/>
          <w:snapToGrid w:val="0"/>
        </w:rPr>
        <w:t>The ESC considered tha</w:t>
      </w:r>
      <w:r w:rsidR="0090712F" w:rsidRPr="008E3F1A">
        <w:rPr>
          <w:rFonts w:asciiTheme="minorHAnsi" w:hAnsiTheme="minorHAnsi"/>
          <w:iCs/>
          <w:snapToGrid w:val="0"/>
        </w:rPr>
        <w:t>t more mature data may assist</w:t>
      </w:r>
      <w:r w:rsidR="00E8005C" w:rsidRPr="008E3F1A">
        <w:rPr>
          <w:rFonts w:asciiTheme="minorHAnsi" w:hAnsiTheme="minorHAnsi"/>
          <w:iCs/>
          <w:snapToGrid w:val="0"/>
        </w:rPr>
        <w:t xml:space="preserve"> interpretation of the results reported for non-sALCL patients.</w:t>
      </w:r>
      <w:r w:rsidR="00484FAD" w:rsidRPr="008E3F1A">
        <w:rPr>
          <w:rFonts w:asciiTheme="minorHAnsi" w:hAnsiTheme="minorHAnsi"/>
          <w:iCs/>
          <w:snapToGrid w:val="0"/>
        </w:rPr>
        <w:t xml:space="preserve"> The pre-PBAC response argued the ECHELON-2</w:t>
      </w:r>
      <w:r w:rsidR="00484FAD" w:rsidRPr="008E3F1A">
        <w:rPr>
          <w:rStyle w:val="Strong"/>
        </w:rPr>
        <w:t xml:space="preserve"> OS point estimates favour treatment for non-ALCL overall, AITL, and PTCL-NOS, while PFS point estimates do so for overall non-ALCL and PTCL-NOS. In addition, the pre-PBAC response argued that durable responses were observed even at the lowest CD30 expression levels.</w:t>
      </w:r>
    </w:p>
    <w:p w:rsidR="000816E9" w:rsidRPr="008E3F1A" w:rsidRDefault="00E8005C" w:rsidP="00A659F6">
      <w:pPr>
        <w:numPr>
          <w:ilvl w:val="1"/>
          <w:numId w:val="1"/>
        </w:numPr>
        <w:spacing w:after="120"/>
        <w:rPr>
          <w:rFonts w:asciiTheme="minorHAnsi" w:hAnsiTheme="minorHAnsi"/>
          <w:iCs/>
          <w:snapToGrid w:val="0"/>
        </w:rPr>
      </w:pPr>
      <w:r w:rsidRPr="008E3F1A">
        <w:rPr>
          <w:rFonts w:asciiTheme="minorHAnsi" w:hAnsiTheme="minorHAnsi"/>
          <w:iCs/>
          <w:snapToGrid w:val="0"/>
        </w:rPr>
        <w:t>A</w:t>
      </w:r>
      <w:r w:rsidR="00E62913" w:rsidRPr="008E3F1A">
        <w:rPr>
          <w:rFonts w:asciiTheme="minorHAnsi" w:hAnsiTheme="minorHAnsi"/>
          <w:iCs/>
          <w:snapToGrid w:val="0"/>
        </w:rPr>
        <w:t>s</w:t>
      </w:r>
      <w:r w:rsidR="007C31FD" w:rsidRPr="008E3F1A">
        <w:rPr>
          <w:rFonts w:asciiTheme="minorHAnsi" w:hAnsiTheme="minorHAnsi"/>
          <w:iCs/>
          <w:snapToGrid w:val="0"/>
        </w:rPr>
        <w:t xml:space="preserve"> all patient</w:t>
      </w:r>
      <w:r w:rsidR="004F26FC" w:rsidRPr="008E3F1A">
        <w:rPr>
          <w:rFonts w:asciiTheme="minorHAnsi" w:hAnsiTheme="minorHAnsi"/>
          <w:iCs/>
          <w:snapToGrid w:val="0"/>
        </w:rPr>
        <w:t>s</w:t>
      </w:r>
      <w:r w:rsidR="007C31FD" w:rsidRPr="008E3F1A">
        <w:rPr>
          <w:rFonts w:asciiTheme="minorHAnsi" w:hAnsiTheme="minorHAnsi"/>
          <w:iCs/>
          <w:snapToGrid w:val="0"/>
        </w:rPr>
        <w:t xml:space="preserve"> in ECHELON-2 were CD30</w:t>
      </w:r>
      <w:r w:rsidR="006A6406" w:rsidRPr="008E3F1A">
        <w:rPr>
          <w:rFonts w:asciiTheme="minorHAnsi" w:hAnsiTheme="minorHAnsi"/>
          <w:iCs/>
          <w:snapToGrid w:val="0"/>
        </w:rPr>
        <w:t xml:space="preserve"> </w:t>
      </w:r>
      <w:r w:rsidR="007C31FD" w:rsidRPr="008E3F1A">
        <w:rPr>
          <w:rFonts w:asciiTheme="minorHAnsi" w:hAnsiTheme="minorHAnsi"/>
          <w:iCs/>
          <w:snapToGrid w:val="0"/>
        </w:rPr>
        <w:t xml:space="preserve">positive </w:t>
      </w:r>
      <w:r w:rsidR="00F42475" w:rsidRPr="008E3F1A">
        <w:rPr>
          <w:rFonts w:asciiTheme="minorHAnsi" w:hAnsiTheme="minorHAnsi"/>
          <w:iCs/>
          <w:snapToGrid w:val="0"/>
        </w:rPr>
        <w:t>the evaluation considered</w:t>
      </w:r>
      <w:r w:rsidR="00F42475" w:rsidRPr="008E3F1A">
        <w:rPr>
          <w:rFonts w:asciiTheme="minorHAnsi" w:hAnsiTheme="minorHAnsi"/>
          <w:i/>
          <w:iCs/>
          <w:snapToGrid w:val="0"/>
        </w:rPr>
        <w:t xml:space="preserve"> </w:t>
      </w:r>
      <w:r w:rsidR="00E62913" w:rsidRPr="008E3F1A">
        <w:rPr>
          <w:rFonts w:asciiTheme="minorHAnsi" w:hAnsiTheme="minorHAnsi"/>
          <w:iCs/>
          <w:snapToGrid w:val="0"/>
        </w:rPr>
        <w:t xml:space="preserve">there is no </w:t>
      </w:r>
      <w:r w:rsidR="00D50B79" w:rsidRPr="008E3F1A">
        <w:rPr>
          <w:rFonts w:asciiTheme="minorHAnsi" w:hAnsiTheme="minorHAnsi"/>
          <w:iCs/>
          <w:snapToGrid w:val="0"/>
        </w:rPr>
        <w:t>biologically plausible reason for BV+CHP not to be effective</w:t>
      </w:r>
      <w:r w:rsidR="00E62913" w:rsidRPr="008E3F1A">
        <w:rPr>
          <w:rFonts w:asciiTheme="minorHAnsi" w:hAnsiTheme="minorHAnsi"/>
          <w:iCs/>
          <w:snapToGrid w:val="0"/>
        </w:rPr>
        <w:t xml:space="preserve"> in </w:t>
      </w:r>
      <w:r w:rsidR="005E2D0A" w:rsidRPr="008E3F1A">
        <w:rPr>
          <w:rFonts w:asciiTheme="minorHAnsi" w:hAnsiTheme="minorHAnsi"/>
          <w:iCs/>
          <w:snapToGrid w:val="0"/>
        </w:rPr>
        <w:t>non-sALCL</w:t>
      </w:r>
      <w:r w:rsidR="00E62913" w:rsidRPr="008E3F1A">
        <w:rPr>
          <w:rFonts w:asciiTheme="minorHAnsi" w:hAnsiTheme="minorHAnsi"/>
          <w:iCs/>
          <w:snapToGrid w:val="0"/>
        </w:rPr>
        <w:t xml:space="preserve"> sub</w:t>
      </w:r>
      <w:r w:rsidR="006B6EB2" w:rsidRPr="008E3F1A">
        <w:rPr>
          <w:rFonts w:asciiTheme="minorHAnsi" w:hAnsiTheme="minorHAnsi"/>
          <w:iCs/>
          <w:snapToGrid w:val="0"/>
        </w:rPr>
        <w:t>types</w:t>
      </w:r>
      <w:r w:rsidR="00E62913" w:rsidRPr="008E3F1A">
        <w:rPr>
          <w:rFonts w:asciiTheme="minorHAnsi" w:hAnsiTheme="minorHAnsi"/>
          <w:iCs/>
          <w:snapToGrid w:val="0"/>
        </w:rPr>
        <w:t>.</w:t>
      </w:r>
      <w:r w:rsidR="0021523A" w:rsidRPr="008E3F1A">
        <w:rPr>
          <w:rFonts w:asciiTheme="minorHAnsi" w:hAnsiTheme="minorHAnsi"/>
          <w:iCs/>
          <w:snapToGrid w:val="0"/>
        </w:rPr>
        <w:t xml:space="preserve"> </w:t>
      </w:r>
    </w:p>
    <w:p w:rsidR="00EF0171" w:rsidRPr="008E3F1A" w:rsidRDefault="00EF0171" w:rsidP="00D86231">
      <w:pPr>
        <w:pStyle w:val="TableFigureHeading"/>
      </w:pPr>
      <w:r w:rsidRPr="008E3F1A">
        <w:t xml:space="preserve">Table </w:t>
      </w:r>
      <w:r w:rsidR="00C00747" w:rsidRPr="008E3F1A">
        <w:t>5</w:t>
      </w:r>
      <w:r w:rsidRPr="008E3F1A">
        <w:t xml:space="preserve">: Results of </w:t>
      </w:r>
      <w:r w:rsidR="00E96081" w:rsidRPr="008E3F1A">
        <w:t>PFS and OS</w:t>
      </w:r>
      <w:r w:rsidRPr="008E3F1A">
        <w:t xml:space="preserve"> </w:t>
      </w:r>
      <w:r w:rsidR="00D410EF" w:rsidRPr="008E3F1A">
        <w:t xml:space="preserve">in </w:t>
      </w:r>
      <w:r w:rsidRPr="008E3F1A">
        <w:t xml:space="preserve">the </w:t>
      </w:r>
      <w:r w:rsidR="00E96081" w:rsidRPr="008E3F1A">
        <w:t>ECHELON-2</w:t>
      </w:r>
      <w:r w:rsidRPr="008E3F1A">
        <w:t xml:space="preserve"> </w:t>
      </w:r>
      <w:r w:rsidR="00D410EF" w:rsidRPr="008E3F1A">
        <w:t>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2"/>
        <w:gridCol w:w="854"/>
        <w:gridCol w:w="1134"/>
        <w:gridCol w:w="1134"/>
        <w:gridCol w:w="1417"/>
        <w:gridCol w:w="992"/>
        <w:gridCol w:w="1134"/>
        <w:gridCol w:w="1080"/>
      </w:tblGrid>
      <w:tr w:rsidR="009057BA" w:rsidRPr="008E3F1A" w:rsidTr="008D1AB5">
        <w:trPr>
          <w:cantSplit/>
          <w:tblHeader/>
        </w:trPr>
        <w:tc>
          <w:tcPr>
            <w:tcW w:w="705" w:type="pct"/>
            <w:vAlign w:val="center"/>
          </w:tcPr>
          <w:p w:rsidR="009057BA" w:rsidRPr="008E3F1A" w:rsidRDefault="009057BA" w:rsidP="001E34DF">
            <w:pPr>
              <w:pStyle w:val="In-tableHeading"/>
              <w:rPr>
                <w:lang w:val="en-AU"/>
              </w:rPr>
            </w:pPr>
            <w:r w:rsidRPr="008E3F1A">
              <w:rPr>
                <w:lang w:val="en-AU"/>
              </w:rPr>
              <w:t>ECHELON-2</w:t>
            </w:r>
          </w:p>
        </w:tc>
        <w:tc>
          <w:tcPr>
            <w:tcW w:w="1102" w:type="pct"/>
            <w:gridSpan w:val="2"/>
            <w:vAlign w:val="center"/>
          </w:tcPr>
          <w:p w:rsidR="009057BA" w:rsidRPr="008E3F1A" w:rsidRDefault="009057BA" w:rsidP="00D86231">
            <w:pPr>
              <w:pStyle w:val="In-tableHeading"/>
              <w:jc w:val="center"/>
              <w:rPr>
                <w:lang w:val="en-AU"/>
              </w:rPr>
            </w:pPr>
            <w:r w:rsidRPr="008E3F1A">
              <w:rPr>
                <w:lang w:val="en-AU"/>
              </w:rPr>
              <w:t>Proposed medicine</w:t>
            </w:r>
          </w:p>
        </w:tc>
        <w:tc>
          <w:tcPr>
            <w:tcW w:w="1415" w:type="pct"/>
            <w:gridSpan w:val="2"/>
            <w:vAlign w:val="center"/>
          </w:tcPr>
          <w:p w:rsidR="009057BA" w:rsidRPr="008E3F1A" w:rsidRDefault="009057BA" w:rsidP="00D86231">
            <w:pPr>
              <w:pStyle w:val="In-tableHeading"/>
              <w:jc w:val="center"/>
              <w:rPr>
                <w:lang w:val="en-AU"/>
              </w:rPr>
            </w:pPr>
            <w:r w:rsidRPr="008E3F1A">
              <w:rPr>
                <w:lang w:val="en-AU"/>
              </w:rPr>
              <w:t>Main comparator</w:t>
            </w:r>
          </w:p>
        </w:tc>
        <w:tc>
          <w:tcPr>
            <w:tcW w:w="550" w:type="pct"/>
            <w:vMerge w:val="restart"/>
            <w:vAlign w:val="center"/>
          </w:tcPr>
          <w:p w:rsidR="009057BA" w:rsidRPr="008E3F1A" w:rsidRDefault="009057BA" w:rsidP="00D86231">
            <w:pPr>
              <w:pStyle w:val="In-tableHeading"/>
              <w:jc w:val="center"/>
              <w:rPr>
                <w:lang w:val="en-AU"/>
              </w:rPr>
            </w:pPr>
            <w:r w:rsidRPr="008E3F1A">
              <w:rPr>
                <w:lang w:val="en-AU"/>
              </w:rPr>
              <w:t>Difference in median</w:t>
            </w:r>
          </w:p>
        </w:tc>
        <w:tc>
          <w:tcPr>
            <w:tcW w:w="629" w:type="pct"/>
            <w:vMerge w:val="restart"/>
            <w:vAlign w:val="center"/>
          </w:tcPr>
          <w:p w:rsidR="009057BA" w:rsidRPr="008E3F1A" w:rsidRDefault="009057BA" w:rsidP="00D86231">
            <w:pPr>
              <w:pStyle w:val="In-tableHeading"/>
              <w:jc w:val="center"/>
              <w:rPr>
                <w:lang w:val="en-AU"/>
              </w:rPr>
            </w:pPr>
            <w:r w:rsidRPr="008E3F1A">
              <w:rPr>
                <w:lang w:val="en-AU"/>
              </w:rPr>
              <w:t>Hazard ratio (95% CI)</w:t>
            </w:r>
          </w:p>
        </w:tc>
        <w:tc>
          <w:tcPr>
            <w:tcW w:w="600" w:type="pct"/>
            <w:vMerge w:val="restart"/>
            <w:vAlign w:val="center"/>
          </w:tcPr>
          <w:p w:rsidR="009057BA" w:rsidRPr="008E3F1A" w:rsidRDefault="009057BA" w:rsidP="009057BA">
            <w:pPr>
              <w:pStyle w:val="In-tableHeading"/>
              <w:jc w:val="center"/>
              <w:rPr>
                <w:bCs/>
                <w:szCs w:val="20"/>
                <w:lang w:val="en-AU"/>
              </w:rPr>
            </w:pPr>
            <w:r w:rsidRPr="008E3F1A">
              <w:rPr>
                <w:bCs/>
                <w:szCs w:val="20"/>
                <w:lang w:val="en-AU"/>
              </w:rPr>
              <w:t>P value</w:t>
            </w:r>
          </w:p>
          <w:p w:rsidR="009057BA" w:rsidRPr="008E3F1A" w:rsidRDefault="009057BA" w:rsidP="009057BA">
            <w:pPr>
              <w:pStyle w:val="TableText0"/>
              <w:jc w:val="center"/>
              <w:rPr>
                <w:b/>
                <w:szCs w:val="20"/>
              </w:rPr>
            </w:pPr>
            <w:r w:rsidRPr="008E3F1A">
              <w:rPr>
                <w:b/>
                <w:szCs w:val="20"/>
              </w:rPr>
              <w:t>(log rank test)</w:t>
            </w:r>
          </w:p>
        </w:tc>
      </w:tr>
      <w:tr w:rsidR="009057BA" w:rsidRPr="008E3F1A" w:rsidTr="008D1AB5">
        <w:trPr>
          <w:cantSplit/>
        </w:trPr>
        <w:tc>
          <w:tcPr>
            <w:tcW w:w="705" w:type="pct"/>
            <w:vAlign w:val="center"/>
          </w:tcPr>
          <w:p w:rsidR="009057BA" w:rsidRPr="008E3F1A" w:rsidRDefault="009057BA" w:rsidP="00D86231">
            <w:pPr>
              <w:pStyle w:val="TableText0"/>
            </w:pPr>
            <w:r w:rsidRPr="008E3F1A">
              <w:t>Outcomes</w:t>
            </w:r>
          </w:p>
        </w:tc>
        <w:tc>
          <w:tcPr>
            <w:tcW w:w="473" w:type="pct"/>
            <w:vAlign w:val="center"/>
          </w:tcPr>
          <w:p w:rsidR="009057BA" w:rsidRPr="008E3F1A" w:rsidRDefault="009057BA" w:rsidP="00D86231">
            <w:pPr>
              <w:pStyle w:val="TableText0"/>
              <w:jc w:val="center"/>
            </w:pPr>
            <w:r w:rsidRPr="008E3F1A">
              <w:t>n with event / N (%)</w:t>
            </w:r>
          </w:p>
        </w:tc>
        <w:tc>
          <w:tcPr>
            <w:tcW w:w="629" w:type="pct"/>
            <w:vAlign w:val="center"/>
          </w:tcPr>
          <w:p w:rsidR="009057BA" w:rsidRPr="008E3F1A" w:rsidRDefault="009057BA" w:rsidP="00D86231">
            <w:pPr>
              <w:pStyle w:val="TableText0"/>
              <w:jc w:val="center"/>
            </w:pPr>
            <w:r w:rsidRPr="008E3F1A">
              <w:t>Median time to event (95% CI)</w:t>
            </w:r>
          </w:p>
        </w:tc>
        <w:tc>
          <w:tcPr>
            <w:tcW w:w="629" w:type="pct"/>
            <w:vAlign w:val="center"/>
          </w:tcPr>
          <w:p w:rsidR="009057BA" w:rsidRPr="008E3F1A" w:rsidRDefault="009057BA" w:rsidP="00D86231">
            <w:pPr>
              <w:pStyle w:val="TableText0"/>
              <w:jc w:val="center"/>
            </w:pPr>
            <w:r w:rsidRPr="008E3F1A">
              <w:t>n with event / N (%)</w:t>
            </w:r>
          </w:p>
        </w:tc>
        <w:tc>
          <w:tcPr>
            <w:tcW w:w="786" w:type="pct"/>
            <w:vAlign w:val="center"/>
          </w:tcPr>
          <w:p w:rsidR="009057BA" w:rsidRPr="008E3F1A" w:rsidRDefault="009057BA" w:rsidP="00D86231">
            <w:pPr>
              <w:pStyle w:val="TableText0"/>
              <w:jc w:val="center"/>
            </w:pPr>
            <w:r w:rsidRPr="008E3F1A">
              <w:t>Median time to event (95% CI)</w:t>
            </w:r>
          </w:p>
        </w:tc>
        <w:tc>
          <w:tcPr>
            <w:tcW w:w="550" w:type="pct"/>
            <w:vMerge/>
            <w:vAlign w:val="center"/>
          </w:tcPr>
          <w:p w:rsidR="009057BA" w:rsidRPr="008E3F1A" w:rsidRDefault="009057BA" w:rsidP="00D86231">
            <w:pPr>
              <w:pStyle w:val="TableText0"/>
              <w:jc w:val="center"/>
            </w:pPr>
          </w:p>
        </w:tc>
        <w:tc>
          <w:tcPr>
            <w:tcW w:w="629" w:type="pct"/>
            <w:vMerge/>
            <w:vAlign w:val="center"/>
          </w:tcPr>
          <w:p w:rsidR="009057BA" w:rsidRPr="008E3F1A" w:rsidRDefault="009057BA" w:rsidP="00D86231">
            <w:pPr>
              <w:pStyle w:val="TableText0"/>
              <w:jc w:val="center"/>
            </w:pPr>
          </w:p>
        </w:tc>
        <w:tc>
          <w:tcPr>
            <w:tcW w:w="600" w:type="pct"/>
            <w:vMerge/>
          </w:tcPr>
          <w:p w:rsidR="009057BA" w:rsidRPr="008E3F1A" w:rsidRDefault="009057BA" w:rsidP="009057BA">
            <w:pPr>
              <w:pStyle w:val="TableText0"/>
              <w:jc w:val="center"/>
              <w:rPr>
                <w:bCs w:val="0"/>
                <w:szCs w:val="20"/>
              </w:rPr>
            </w:pPr>
          </w:p>
        </w:tc>
      </w:tr>
      <w:tr w:rsidR="000816E9" w:rsidRPr="008E3F1A" w:rsidTr="008D1AB5">
        <w:trPr>
          <w:cantSplit/>
        </w:trPr>
        <w:tc>
          <w:tcPr>
            <w:tcW w:w="705" w:type="pct"/>
            <w:vAlign w:val="center"/>
          </w:tcPr>
          <w:p w:rsidR="000816E9" w:rsidRPr="008E3F1A" w:rsidRDefault="000816E9" w:rsidP="00D86231">
            <w:pPr>
              <w:pStyle w:val="TableText0"/>
            </w:pPr>
            <w:r w:rsidRPr="008E3F1A">
              <w:t>ITT population</w:t>
            </w:r>
          </w:p>
        </w:tc>
        <w:tc>
          <w:tcPr>
            <w:tcW w:w="473" w:type="pct"/>
            <w:vAlign w:val="center"/>
          </w:tcPr>
          <w:p w:rsidR="000816E9" w:rsidRPr="008E3F1A" w:rsidRDefault="000816E9" w:rsidP="00D86231">
            <w:pPr>
              <w:pStyle w:val="TableText0"/>
              <w:jc w:val="center"/>
            </w:pPr>
          </w:p>
        </w:tc>
        <w:tc>
          <w:tcPr>
            <w:tcW w:w="629" w:type="pct"/>
            <w:vAlign w:val="center"/>
          </w:tcPr>
          <w:p w:rsidR="000816E9" w:rsidRPr="008E3F1A" w:rsidRDefault="000816E9" w:rsidP="00D86231">
            <w:pPr>
              <w:pStyle w:val="TableText0"/>
              <w:jc w:val="center"/>
            </w:pPr>
          </w:p>
        </w:tc>
        <w:tc>
          <w:tcPr>
            <w:tcW w:w="629" w:type="pct"/>
            <w:vAlign w:val="center"/>
          </w:tcPr>
          <w:p w:rsidR="000816E9" w:rsidRPr="008E3F1A" w:rsidRDefault="000816E9" w:rsidP="00D86231">
            <w:pPr>
              <w:pStyle w:val="TableText0"/>
              <w:jc w:val="center"/>
            </w:pPr>
          </w:p>
        </w:tc>
        <w:tc>
          <w:tcPr>
            <w:tcW w:w="786" w:type="pct"/>
            <w:vAlign w:val="center"/>
          </w:tcPr>
          <w:p w:rsidR="000816E9" w:rsidRPr="008E3F1A" w:rsidRDefault="000816E9" w:rsidP="00D86231">
            <w:pPr>
              <w:pStyle w:val="TableText0"/>
              <w:jc w:val="center"/>
            </w:pPr>
          </w:p>
        </w:tc>
        <w:tc>
          <w:tcPr>
            <w:tcW w:w="550" w:type="pct"/>
            <w:vAlign w:val="center"/>
          </w:tcPr>
          <w:p w:rsidR="000816E9" w:rsidRPr="008E3F1A" w:rsidRDefault="000816E9" w:rsidP="00D86231">
            <w:pPr>
              <w:pStyle w:val="TableText0"/>
              <w:jc w:val="center"/>
            </w:pPr>
          </w:p>
        </w:tc>
        <w:tc>
          <w:tcPr>
            <w:tcW w:w="629" w:type="pct"/>
            <w:vAlign w:val="center"/>
          </w:tcPr>
          <w:p w:rsidR="000816E9" w:rsidRPr="008E3F1A" w:rsidRDefault="000816E9" w:rsidP="00D86231">
            <w:pPr>
              <w:pStyle w:val="TableText0"/>
              <w:jc w:val="center"/>
            </w:pPr>
          </w:p>
        </w:tc>
        <w:tc>
          <w:tcPr>
            <w:tcW w:w="600" w:type="pct"/>
          </w:tcPr>
          <w:p w:rsidR="000816E9" w:rsidRPr="008E3F1A" w:rsidRDefault="000816E9" w:rsidP="009057BA">
            <w:pPr>
              <w:pStyle w:val="TableText0"/>
              <w:jc w:val="center"/>
              <w:rPr>
                <w:bCs w:val="0"/>
                <w:szCs w:val="20"/>
              </w:rPr>
            </w:pPr>
          </w:p>
        </w:tc>
      </w:tr>
      <w:tr w:rsidR="009057BA" w:rsidRPr="008E3F1A" w:rsidTr="008D1AB5">
        <w:trPr>
          <w:cantSplit/>
        </w:trPr>
        <w:tc>
          <w:tcPr>
            <w:tcW w:w="705" w:type="pct"/>
            <w:vAlign w:val="center"/>
          </w:tcPr>
          <w:p w:rsidR="009057BA" w:rsidRPr="008E3F1A" w:rsidRDefault="009057BA" w:rsidP="00D86231">
            <w:pPr>
              <w:pStyle w:val="TableText0"/>
            </w:pPr>
            <w:r w:rsidRPr="008E3F1A">
              <w:t>PFS</w:t>
            </w:r>
          </w:p>
        </w:tc>
        <w:tc>
          <w:tcPr>
            <w:tcW w:w="473" w:type="pct"/>
            <w:vAlign w:val="center"/>
          </w:tcPr>
          <w:p w:rsidR="009057BA" w:rsidRPr="008E3F1A" w:rsidRDefault="009057BA" w:rsidP="00D86231">
            <w:pPr>
              <w:pStyle w:val="TableText0"/>
              <w:jc w:val="center"/>
            </w:pPr>
            <w:r w:rsidRPr="008E3F1A">
              <w:t>95/226 (42)</w:t>
            </w:r>
          </w:p>
        </w:tc>
        <w:tc>
          <w:tcPr>
            <w:tcW w:w="629" w:type="pct"/>
            <w:vAlign w:val="center"/>
          </w:tcPr>
          <w:p w:rsidR="009057BA" w:rsidRPr="008E3F1A" w:rsidRDefault="009057BA" w:rsidP="00D86231">
            <w:pPr>
              <w:pStyle w:val="TableText0"/>
              <w:jc w:val="center"/>
            </w:pPr>
            <w:r w:rsidRPr="008E3F1A">
              <w:rPr>
                <w:szCs w:val="20"/>
              </w:rPr>
              <w:t>48.20 months (35.15, -)</w:t>
            </w:r>
          </w:p>
        </w:tc>
        <w:tc>
          <w:tcPr>
            <w:tcW w:w="629" w:type="pct"/>
            <w:vAlign w:val="center"/>
          </w:tcPr>
          <w:p w:rsidR="009057BA" w:rsidRPr="008E3F1A" w:rsidRDefault="009057BA" w:rsidP="00D86231">
            <w:pPr>
              <w:pStyle w:val="TableText0"/>
              <w:jc w:val="center"/>
            </w:pPr>
            <w:r w:rsidRPr="008E3F1A">
              <w:rPr>
                <w:szCs w:val="20"/>
              </w:rPr>
              <w:t>124/226 (55)</w:t>
            </w:r>
          </w:p>
        </w:tc>
        <w:tc>
          <w:tcPr>
            <w:tcW w:w="786" w:type="pct"/>
            <w:vAlign w:val="center"/>
          </w:tcPr>
          <w:p w:rsidR="009057BA" w:rsidRPr="008E3F1A" w:rsidRDefault="009057BA" w:rsidP="00D86231">
            <w:pPr>
              <w:pStyle w:val="TableText0"/>
              <w:jc w:val="center"/>
            </w:pPr>
            <w:r w:rsidRPr="008E3F1A">
              <w:rPr>
                <w:szCs w:val="20"/>
              </w:rPr>
              <w:t>20.80 months (12.68,47.57)</w:t>
            </w:r>
          </w:p>
        </w:tc>
        <w:tc>
          <w:tcPr>
            <w:tcW w:w="550" w:type="pct"/>
            <w:vAlign w:val="center"/>
          </w:tcPr>
          <w:p w:rsidR="009057BA" w:rsidRPr="008E3F1A" w:rsidRDefault="009057BA" w:rsidP="00D86231">
            <w:pPr>
              <w:pStyle w:val="TableText0"/>
              <w:jc w:val="center"/>
            </w:pPr>
            <w:r w:rsidRPr="008E3F1A">
              <w:t>27.4 months</w:t>
            </w:r>
          </w:p>
        </w:tc>
        <w:tc>
          <w:tcPr>
            <w:tcW w:w="629" w:type="pct"/>
            <w:vAlign w:val="center"/>
          </w:tcPr>
          <w:p w:rsidR="003E72C8" w:rsidRPr="008E3F1A" w:rsidRDefault="009057BA" w:rsidP="008B724F">
            <w:pPr>
              <w:spacing w:line="240" w:lineRule="exact"/>
              <w:jc w:val="center"/>
              <w:rPr>
                <w:rFonts w:ascii="Arial Narrow" w:hAnsi="Arial Narrow"/>
                <w:b/>
                <w:bCs/>
                <w:sz w:val="20"/>
                <w:szCs w:val="20"/>
              </w:rPr>
            </w:pPr>
            <w:r w:rsidRPr="008E3F1A">
              <w:rPr>
                <w:rFonts w:ascii="Arial Narrow" w:hAnsi="Arial Narrow"/>
                <w:b/>
                <w:bCs/>
                <w:sz w:val="20"/>
                <w:szCs w:val="20"/>
              </w:rPr>
              <w:t>0.71</w:t>
            </w:r>
            <w:r w:rsidRPr="008E3F1A">
              <w:rPr>
                <w:rFonts w:ascii="Arial Narrow" w:hAnsi="Arial Narrow"/>
                <w:b/>
                <w:bCs/>
                <w:sz w:val="20"/>
                <w:szCs w:val="20"/>
                <w:vertAlign w:val="superscript"/>
              </w:rPr>
              <w:t>a</w:t>
            </w:r>
            <w:r w:rsidRPr="008E3F1A">
              <w:rPr>
                <w:rFonts w:ascii="Arial Narrow" w:hAnsi="Arial Narrow"/>
                <w:b/>
                <w:bCs/>
                <w:sz w:val="20"/>
                <w:szCs w:val="20"/>
              </w:rPr>
              <w:t xml:space="preserve"> </w:t>
            </w:r>
          </w:p>
          <w:p w:rsidR="009057BA" w:rsidRPr="008E3F1A" w:rsidRDefault="009057BA" w:rsidP="008B724F">
            <w:pPr>
              <w:spacing w:line="240" w:lineRule="exact"/>
              <w:jc w:val="center"/>
            </w:pPr>
            <w:r w:rsidRPr="008E3F1A">
              <w:rPr>
                <w:rFonts w:ascii="Arial Narrow" w:hAnsi="Arial Narrow"/>
                <w:b/>
                <w:bCs/>
                <w:sz w:val="20"/>
                <w:szCs w:val="20"/>
              </w:rPr>
              <w:t>(0.54, 0.93)</w:t>
            </w:r>
          </w:p>
        </w:tc>
        <w:tc>
          <w:tcPr>
            <w:tcW w:w="600" w:type="pct"/>
          </w:tcPr>
          <w:p w:rsidR="009057BA" w:rsidRPr="008E3F1A" w:rsidRDefault="009057BA" w:rsidP="008B724F">
            <w:pPr>
              <w:spacing w:line="240" w:lineRule="exact"/>
              <w:jc w:val="center"/>
              <w:rPr>
                <w:rFonts w:ascii="Arial Narrow" w:hAnsi="Arial Narrow"/>
                <w:sz w:val="20"/>
                <w:szCs w:val="20"/>
              </w:rPr>
            </w:pPr>
            <w:r w:rsidRPr="008E3F1A">
              <w:rPr>
                <w:rFonts w:ascii="Arial Narrow" w:hAnsi="Arial Narrow"/>
                <w:sz w:val="20"/>
                <w:szCs w:val="20"/>
              </w:rPr>
              <w:t>0.0110</w:t>
            </w:r>
          </w:p>
        </w:tc>
      </w:tr>
      <w:tr w:rsidR="009057BA" w:rsidRPr="008E3F1A" w:rsidTr="008D1AB5">
        <w:trPr>
          <w:cantSplit/>
        </w:trPr>
        <w:tc>
          <w:tcPr>
            <w:tcW w:w="705" w:type="pct"/>
            <w:vAlign w:val="center"/>
          </w:tcPr>
          <w:p w:rsidR="009057BA" w:rsidRPr="008E3F1A" w:rsidRDefault="009057BA" w:rsidP="00D86231">
            <w:pPr>
              <w:pStyle w:val="TableText0"/>
            </w:pPr>
            <w:r w:rsidRPr="008E3F1A">
              <w:t>OS</w:t>
            </w:r>
          </w:p>
        </w:tc>
        <w:tc>
          <w:tcPr>
            <w:tcW w:w="473" w:type="pct"/>
            <w:vAlign w:val="center"/>
          </w:tcPr>
          <w:p w:rsidR="009057BA" w:rsidRPr="008E3F1A" w:rsidRDefault="009057BA" w:rsidP="00D86231">
            <w:pPr>
              <w:pStyle w:val="TableText0"/>
              <w:jc w:val="center"/>
            </w:pPr>
            <w:r w:rsidRPr="008E3F1A">
              <w:t>51/226 (23)</w:t>
            </w:r>
          </w:p>
        </w:tc>
        <w:tc>
          <w:tcPr>
            <w:tcW w:w="629" w:type="pct"/>
            <w:vAlign w:val="center"/>
          </w:tcPr>
          <w:p w:rsidR="009057BA" w:rsidRPr="008E3F1A" w:rsidRDefault="009057BA" w:rsidP="00D86231">
            <w:pPr>
              <w:pStyle w:val="TableText0"/>
              <w:jc w:val="center"/>
            </w:pPr>
            <w:r w:rsidRPr="008E3F1A">
              <w:t>NE</w:t>
            </w:r>
          </w:p>
        </w:tc>
        <w:tc>
          <w:tcPr>
            <w:tcW w:w="629" w:type="pct"/>
            <w:vAlign w:val="center"/>
          </w:tcPr>
          <w:p w:rsidR="009057BA" w:rsidRPr="008E3F1A" w:rsidRDefault="009057BA" w:rsidP="00D86231">
            <w:pPr>
              <w:pStyle w:val="TableText0"/>
              <w:jc w:val="center"/>
            </w:pPr>
            <w:r w:rsidRPr="008E3F1A">
              <w:t>73/226 (32)</w:t>
            </w:r>
          </w:p>
        </w:tc>
        <w:tc>
          <w:tcPr>
            <w:tcW w:w="786" w:type="pct"/>
            <w:vAlign w:val="center"/>
          </w:tcPr>
          <w:p w:rsidR="009057BA" w:rsidRPr="008E3F1A" w:rsidRDefault="009057BA" w:rsidP="00D86231">
            <w:pPr>
              <w:pStyle w:val="TableText0"/>
              <w:jc w:val="center"/>
            </w:pPr>
            <w:r w:rsidRPr="008E3F1A">
              <w:t>NE (54.2; NE)</w:t>
            </w:r>
          </w:p>
        </w:tc>
        <w:tc>
          <w:tcPr>
            <w:tcW w:w="550" w:type="pct"/>
            <w:vAlign w:val="center"/>
          </w:tcPr>
          <w:p w:rsidR="009057BA" w:rsidRPr="008E3F1A" w:rsidRDefault="009057BA" w:rsidP="00D86231">
            <w:pPr>
              <w:pStyle w:val="TableText0"/>
              <w:jc w:val="center"/>
            </w:pPr>
            <w:r w:rsidRPr="008E3F1A">
              <w:t>NE</w:t>
            </w:r>
          </w:p>
        </w:tc>
        <w:tc>
          <w:tcPr>
            <w:tcW w:w="629" w:type="pct"/>
            <w:vAlign w:val="center"/>
          </w:tcPr>
          <w:p w:rsidR="003E72C8" w:rsidRPr="008E3F1A" w:rsidRDefault="009057BA" w:rsidP="00D86231">
            <w:pPr>
              <w:pStyle w:val="TableText0"/>
              <w:jc w:val="center"/>
              <w:rPr>
                <w:b/>
              </w:rPr>
            </w:pPr>
            <w:r w:rsidRPr="008E3F1A">
              <w:rPr>
                <w:b/>
              </w:rPr>
              <w:t>0.66</w:t>
            </w:r>
            <w:r w:rsidRPr="008E3F1A">
              <w:rPr>
                <w:b/>
                <w:vertAlign w:val="superscript"/>
              </w:rPr>
              <w:t>a</w:t>
            </w:r>
            <w:r w:rsidRPr="008E3F1A">
              <w:rPr>
                <w:b/>
              </w:rPr>
              <w:t xml:space="preserve"> </w:t>
            </w:r>
          </w:p>
          <w:p w:rsidR="009057BA" w:rsidRPr="008E3F1A" w:rsidRDefault="009057BA" w:rsidP="00D86231">
            <w:pPr>
              <w:pStyle w:val="TableText0"/>
              <w:jc w:val="center"/>
              <w:rPr>
                <w:b/>
              </w:rPr>
            </w:pPr>
            <w:r w:rsidRPr="008E3F1A">
              <w:rPr>
                <w:b/>
              </w:rPr>
              <w:t>(0.46, 0.95)</w:t>
            </w:r>
          </w:p>
        </w:tc>
        <w:tc>
          <w:tcPr>
            <w:tcW w:w="600" w:type="pct"/>
          </w:tcPr>
          <w:p w:rsidR="009057BA" w:rsidRPr="008E3F1A" w:rsidRDefault="009057BA" w:rsidP="00D86231">
            <w:pPr>
              <w:pStyle w:val="TableText0"/>
              <w:jc w:val="center"/>
              <w:rPr>
                <w:bCs w:val="0"/>
                <w:szCs w:val="20"/>
              </w:rPr>
            </w:pPr>
            <w:r w:rsidRPr="008E3F1A">
              <w:rPr>
                <w:bCs w:val="0"/>
                <w:szCs w:val="20"/>
              </w:rPr>
              <w:t>0.0244</w:t>
            </w:r>
          </w:p>
        </w:tc>
      </w:tr>
      <w:tr w:rsidR="007B3AC8" w:rsidRPr="008E3F1A" w:rsidTr="00047743">
        <w:trPr>
          <w:cantSplit/>
        </w:trPr>
        <w:tc>
          <w:tcPr>
            <w:tcW w:w="5000" w:type="pct"/>
            <w:gridSpan w:val="8"/>
            <w:vAlign w:val="center"/>
          </w:tcPr>
          <w:p w:rsidR="007B3AC8" w:rsidRPr="008E3F1A" w:rsidRDefault="007B3AC8" w:rsidP="007B3AC8">
            <w:pPr>
              <w:pStyle w:val="TableText0"/>
              <w:rPr>
                <w:bCs w:val="0"/>
                <w:szCs w:val="20"/>
              </w:rPr>
            </w:pPr>
            <w:r w:rsidRPr="008E3F1A">
              <w:t xml:space="preserve">sALCL </w:t>
            </w:r>
            <w:r w:rsidR="00AE0563" w:rsidRPr="008E3F1A">
              <w:t>patients</w:t>
            </w:r>
          </w:p>
        </w:tc>
      </w:tr>
      <w:tr w:rsidR="000816E9" w:rsidRPr="008E3F1A" w:rsidTr="008D1AB5">
        <w:trPr>
          <w:cantSplit/>
        </w:trPr>
        <w:tc>
          <w:tcPr>
            <w:tcW w:w="705" w:type="pct"/>
            <w:vAlign w:val="center"/>
          </w:tcPr>
          <w:p w:rsidR="000816E9" w:rsidRPr="008E3F1A" w:rsidRDefault="000816E9" w:rsidP="00D86231">
            <w:pPr>
              <w:pStyle w:val="TableText0"/>
            </w:pPr>
            <w:r w:rsidRPr="008E3F1A">
              <w:t>PFS</w:t>
            </w:r>
            <w:r w:rsidR="007B406B" w:rsidRPr="008E3F1A">
              <w:t xml:space="preserve"> according to IRF Centrally Confirmed </w:t>
            </w:r>
            <w:r w:rsidR="00E8339F" w:rsidRPr="008E3F1A">
              <w:t>Patients</w:t>
            </w:r>
          </w:p>
        </w:tc>
        <w:tc>
          <w:tcPr>
            <w:tcW w:w="473" w:type="pct"/>
            <w:vAlign w:val="center"/>
          </w:tcPr>
          <w:p w:rsidR="000816E9" w:rsidRPr="008E3F1A" w:rsidRDefault="00BA0DFD" w:rsidP="00D86231">
            <w:pPr>
              <w:pStyle w:val="TableText0"/>
              <w:jc w:val="center"/>
            </w:pPr>
            <w:r w:rsidRPr="008E3F1A">
              <w:t>56/163</w:t>
            </w:r>
            <w:r w:rsidR="002D7967" w:rsidRPr="008E3F1A">
              <w:t xml:space="preserve"> (34)</w:t>
            </w:r>
          </w:p>
        </w:tc>
        <w:tc>
          <w:tcPr>
            <w:tcW w:w="629" w:type="pct"/>
            <w:vAlign w:val="center"/>
          </w:tcPr>
          <w:p w:rsidR="000816E9" w:rsidRPr="008E3F1A" w:rsidRDefault="00BA0DFD" w:rsidP="00D86231">
            <w:pPr>
              <w:pStyle w:val="TableText0"/>
              <w:jc w:val="center"/>
            </w:pPr>
            <w:r w:rsidRPr="008E3F1A">
              <w:t>55.66</w:t>
            </w:r>
          </w:p>
        </w:tc>
        <w:tc>
          <w:tcPr>
            <w:tcW w:w="629" w:type="pct"/>
            <w:vAlign w:val="center"/>
          </w:tcPr>
          <w:p w:rsidR="000816E9" w:rsidRPr="008E3F1A" w:rsidRDefault="00BA0DFD" w:rsidP="00D86231">
            <w:pPr>
              <w:pStyle w:val="TableText0"/>
              <w:jc w:val="center"/>
            </w:pPr>
            <w:r w:rsidRPr="008E3F1A">
              <w:t>73/151</w:t>
            </w:r>
            <w:r w:rsidR="002D7967" w:rsidRPr="008E3F1A">
              <w:t xml:space="preserve"> (48)</w:t>
            </w:r>
          </w:p>
        </w:tc>
        <w:tc>
          <w:tcPr>
            <w:tcW w:w="786" w:type="pct"/>
            <w:vAlign w:val="center"/>
          </w:tcPr>
          <w:p w:rsidR="000816E9" w:rsidRPr="008E3F1A" w:rsidRDefault="00BA0DFD" w:rsidP="00D86231">
            <w:pPr>
              <w:pStyle w:val="TableText0"/>
              <w:jc w:val="center"/>
            </w:pPr>
            <w:r w:rsidRPr="008E3F1A">
              <w:t>54.18</w:t>
            </w:r>
          </w:p>
        </w:tc>
        <w:tc>
          <w:tcPr>
            <w:tcW w:w="550" w:type="pct"/>
            <w:vAlign w:val="center"/>
          </w:tcPr>
          <w:p w:rsidR="000816E9" w:rsidRPr="008E3F1A" w:rsidRDefault="00281A69" w:rsidP="00D86231">
            <w:pPr>
              <w:pStyle w:val="TableText0"/>
              <w:jc w:val="center"/>
            </w:pPr>
            <w:r w:rsidRPr="008E3F1A">
              <w:t>1.48</w:t>
            </w:r>
          </w:p>
        </w:tc>
        <w:tc>
          <w:tcPr>
            <w:tcW w:w="629" w:type="pct"/>
            <w:vAlign w:val="center"/>
          </w:tcPr>
          <w:p w:rsidR="000816E9" w:rsidRPr="008E3F1A" w:rsidRDefault="00281A69" w:rsidP="00D86231">
            <w:pPr>
              <w:pStyle w:val="TableText0"/>
              <w:jc w:val="center"/>
              <w:rPr>
                <w:b/>
              </w:rPr>
            </w:pPr>
            <w:r w:rsidRPr="008E3F1A">
              <w:rPr>
                <w:b/>
              </w:rPr>
              <w:t xml:space="preserve">0.59 </w:t>
            </w:r>
            <w:r w:rsidRPr="008E3F1A">
              <w:rPr>
                <w:b/>
                <w:vertAlign w:val="superscript"/>
              </w:rPr>
              <w:t>a</w:t>
            </w:r>
            <w:r w:rsidRPr="008E3F1A">
              <w:rPr>
                <w:b/>
              </w:rPr>
              <w:t xml:space="preserve"> (0.42,0.84)</w:t>
            </w:r>
          </w:p>
        </w:tc>
        <w:tc>
          <w:tcPr>
            <w:tcW w:w="600" w:type="pct"/>
            <w:vAlign w:val="center"/>
          </w:tcPr>
          <w:p w:rsidR="000816E9" w:rsidRPr="008E3F1A" w:rsidRDefault="00281A69" w:rsidP="00281A69">
            <w:pPr>
              <w:pStyle w:val="TableText0"/>
              <w:jc w:val="center"/>
              <w:rPr>
                <w:bCs w:val="0"/>
                <w:szCs w:val="20"/>
              </w:rPr>
            </w:pPr>
            <w:r w:rsidRPr="008E3F1A">
              <w:rPr>
                <w:bCs w:val="0"/>
                <w:szCs w:val="20"/>
              </w:rPr>
              <w:t>0.0031</w:t>
            </w:r>
          </w:p>
        </w:tc>
      </w:tr>
      <w:tr w:rsidR="008F3607" w:rsidRPr="008E3F1A" w:rsidTr="008D1AB5">
        <w:trPr>
          <w:cantSplit/>
        </w:trPr>
        <w:tc>
          <w:tcPr>
            <w:tcW w:w="705" w:type="pct"/>
            <w:vAlign w:val="center"/>
          </w:tcPr>
          <w:p w:rsidR="008F3607" w:rsidRPr="008E3F1A" w:rsidRDefault="008F3607" w:rsidP="00D86231">
            <w:pPr>
              <w:pStyle w:val="TableText0"/>
            </w:pPr>
            <w:r w:rsidRPr="008E3F1A">
              <w:t>OS</w:t>
            </w:r>
          </w:p>
        </w:tc>
        <w:tc>
          <w:tcPr>
            <w:tcW w:w="473" w:type="pct"/>
            <w:vAlign w:val="center"/>
          </w:tcPr>
          <w:p w:rsidR="008F3607" w:rsidRPr="008E3F1A" w:rsidRDefault="0008641F" w:rsidP="00D86231">
            <w:pPr>
              <w:pStyle w:val="TableText0"/>
              <w:jc w:val="center"/>
            </w:pPr>
            <w:r w:rsidRPr="008E3F1A">
              <w:t>29/162</w:t>
            </w:r>
            <w:r w:rsidR="003C36DF" w:rsidRPr="008E3F1A">
              <w:t xml:space="preserve"> (18)</w:t>
            </w:r>
          </w:p>
        </w:tc>
        <w:tc>
          <w:tcPr>
            <w:tcW w:w="629" w:type="pct"/>
            <w:vAlign w:val="center"/>
          </w:tcPr>
          <w:p w:rsidR="008F3607" w:rsidRPr="008E3F1A" w:rsidRDefault="0008641F" w:rsidP="00D86231">
            <w:pPr>
              <w:pStyle w:val="TableText0"/>
              <w:jc w:val="center"/>
            </w:pPr>
            <w:r w:rsidRPr="008E3F1A">
              <w:t>NR</w:t>
            </w:r>
          </w:p>
        </w:tc>
        <w:tc>
          <w:tcPr>
            <w:tcW w:w="629" w:type="pct"/>
            <w:vAlign w:val="center"/>
          </w:tcPr>
          <w:p w:rsidR="008F3607" w:rsidRPr="008E3F1A" w:rsidRDefault="0008641F" w:rsidP="00D86231">
            <w:pPr>
              <w:pStyle w:val="TableText0"/>
              <w:jc w:val="center"/>
            </w:pPr>
            <w:r w:rsidRPr="008E3F1A">
              <w:t>44/154</w:t>
            </w:r>
            <w:r w:rsidR="00365F5D" w:rsidRPr="008E3F1A">
              <w:t xml:space="preserve"> (29)</w:t>
            </w:r>
          </w:p>
        </w:tc>
        <w:tc>
          <w:tcPr>
            <w:tcW w:w="786" w:type="pct"/>
            <w:vAlign w:val="center"/>
          </w:tcPr>
          <w:p w:rsidR="008F3607" w:rsidRPr="008E3F1A" w:rsidRDefault="0008641F" w:rsidP="00D86231">
            <w:pPr>
              <w:pStyle w:val="TableText0"/>
              <w:jc w:val="center"/>
            </w:pPr>
            <w:r w:rsidRPr="008E3F1A">
              <w:t>NR</w:t>
            </w:r>
          </w:p>
        </w:tc>
        <w:tc>
          <w:tcPr>
            <w:tcW w:w="550" w:type="pct"/>
            <w:vAlign w:val="center"/>
          </w:tcPr>
          <w:p w:rsidR="008F3607" w:rsidRPr="008E3F1A" w:rsidRDefault="0008641F" w:rsidP="00D86231">
            <w:pPr>
              <w:pStyle w:val="TableText0"/>
              <w:jc w:val="center"/>
            </w:pPr>
            <w:r w:rsidRPr="008E3F1A">
              <w:t>NE</w:t>
            </w:r>
          </w:p>
        </w:tc>
        <w:tc>
          <w:tcPr>
            <w:tcW w:w="629" w:type="pct"/>
            <w:vAlign w:val="center"/>
          </w:tcPr>
          <w:p w:rsidR="00A30DD4" w:rsidRPr="008E3F1A" w:rsidRDefault="00A0211A" w:rsidP="00D86231">
            <w:pPr>
              <w:pStyle w:val="TableText0"/>
              <w:jc w:val="center"/>
              <w:rPr>
                <w:b/>
              </w:rPr>
            </w:pPr>
            <w:r w:rsidRPr="008E3F1A">
              <w:rPr>
                <w:b/>
              </w:rPr>
              <w:t xml:space="preserve"> </w:t>
            </w:r>
            <w:r w:rsidR="00A30DD4" w:rsidRPr="008E3F1A">
              <w:rPr>
                <w:b/>
              </w:rPr>
              <w:t xml:space="preserve">0.54 </w:t>
            </w:r>
          </w:p>
          <w:p w:rsidR="008F3607" w:rsidRPr="008E3F1A" w:rsidRDefault="00A30DD4" w:rsidP="00D86231">
            <w:pPr>
              <w:pStyle w:val="TableText0"/>
              <w:jc w:val="center"/>
              <w:rPr>
                <w:b/>
              </w:rPr>
            </w:pPr>
            <w:r w:rsidRPr="008E3F1A">
              <w:rPr>
                <w:b/>
              </w:rPr>
              <w:t>(0.34, 0.87)</w:t>
            </w:r>
          </w:p>
        </w:tc>
        <w:tc>
          <w:tcPr>
            <w:tcW w:w="600" w:type="pct"/>
            <w:vAlign w:val="center"/>
          </w:tcPr>
          <w:p w:rsidR="008F3607" w:rsidRPr="008E3F1A" w:rsidRDefault="00C75C4D" w:rsidP="00281A69">
            <w:pPr>
              <w:pStyle w:val="TableText0"/>
              <w:jc w:val="center"/>
              <w:rPr>
                <w:bCs w:val="0"/>
                <w:szCs w:val="20"/>
              </w:rPr>
            </w:pPr>
            <w:r w:rsidRPr="008E3F1A">
              <w:rPr>
                <w:bCs w:val="0"/>
                <w:szCs w:val="20"/>
              </w:rPr>
              <w:t>NR</w:t>
            </w:r>
          </w:p>
        </w:tc>
      </w:tr>
      <w:tr w:rsidR="00B74F0D" w:rsidRPr="008E3F1A" w:rsidTr="00047743">
        <w:trPr>
          <w:cantSplit/>
        </w:trPr>
        <w:tc>
          <w:tcPr>
            <w:tcW w:w="5000" w:type="pct"/>
            <w:gridSpan w:val="8"/>
            <w:vAlign w:val="center"/>
          </w:tcPr>
          <w:p w:rsidR="00B74F0D" w:rsidRPr="008E3F1A" w:rsidRDefault="00B74F0D" w:rsidP="00B74F0D">
            <w:pPr>
              <w:pStyle w:val="TableText0"/>
              <w:rPr>
                <w:bCs w:val="0"/>
                <w:szCs w:val="20"/>
              </w:rPr>
            </w:pPr>
            <w:r w:rsidRPr="008E3F1A">
              <w:t>Non-sALCL patients</w:t>
            </w:r>
          </w:p>
        </w:tc>
      </w:tr>
      <w:tr w:rsidR="005B46E8" w:rsidRPr="008E3F1A" w:rsidTr="008D1AB5">
        <w:trPr>
          <w:cantSplit/>
        </w:trPr>
        <w:tc>
          <w:tcPr>
            <w:tcW w:w="705" w:type="pct"/>
            <w:vAlign w:val="center"/>
          </w:tcPr>
          <w:p w:rsidR="005B46E8" w:rsidRPr="008E3F1A" w:rsidRDefault="00B74F0D" w:rsidP="00D86231">
            <w:pPr>
              <w:pStyle w:val="TableText0"/>
            </w:pPr>
            <w:r w:rsidRPr="008E3F1A">
              <w:t>PFS</w:t>
            </w:r>
          </w:p>
        </w:tc>
        <w:tc>
          <w:tcPr>
            <w:tcW w:w="473" w:type="pct"/>
            <w:vAlign w:val="center"/>
          </w:tcPr>
          <w:p w:rsidR="005B46E8" w:rsidRPr="008E3F1A" w:rsidRDefault="00365F5D" w:rsidP="00D86231">
            <w:pPr>
              <w:pStyle w:val="TableText0"/>
              <w:jc w:val="center"/>
            </w:pPr>
            <w:r w:rsidRPr="008E3F1A">
              <w:t>40/64</w:t>
            </w:r>
            <w:r w:rsidR="00C75C4D" w:rsidRPr="008E3F1A">
              <w:t xml:space="preserve"> (67)</w:t>
            </w:r>
          </w:p>
        </w:tc>
        <w:tc>
          <w:tcPr>
            <w:tcW w:w="629" w:type="pct"/>
            <w:vAlign w:val="center"/>
          </w:tcPr>
          <w:p w:rsidR="005B46E8" w:rsidRPr="008E3F1A" w:rsidRDefault="00C75C4D" w:rsidP="00D86231">
            <w:pPr>
              <w:pStyle w:val="TableText0"/>
              <w:jc w:val="center"/>
            </w:pPr>
            <w:r w:rsidRPr="008E3F1A">
              <w:t>NR</w:t>
            </w:r>
          </w:p>
        </w:tc>
        <w:tc>
          <w:tcPr>
            <w:tcW w:w="629" w:type="pct"/>
            <w:vAlign w:val="center"/>
          </w:tcPr>
          <w:p w:rsidR="005B46E8" w:rsidRPr="008E3F1A" w:rsidRDefault="00365F5D" w:rsidP="00D86231">
            <w:pPr>
              <w:pStyle w:val="TableText0"/>
              <w:jc w:val="center"/>
            </w:pPr>
            <w:r w:rsidRPr="008E3F1A">
              <w:t>48/72</w:t>
            </w:r>
            <w:r w:rsidR="00C75C4D" w:rsidRPr="008E3F1A">
              <w:t xml:space="preserve"> (67)</w:t>
            </w:r>
          </w:p>
        </w:tc>
        <w:tc>
          <w:tcPr>
            <w:tcW w:w="786" w:type="pct"/>
            <w:vAlign w:val="center"/>
          </w:tcPr>
          <w:p w:rsidR="005B46E8" w:rsidRPr="008E3F1A" w:rsidRDefault="00C75C4D" w:rsidP="00D86231">
            <w:pPr>
              <w:pStyle w:val="TableText0"/>
              <w:jc w:val="center"/>
            </w:pPr>
            <w:r w:rsidRPr="008E3F1A">
              <w:t>NR</w:t>
            </w:r>
          </w:p>
        </w:tc>
        <w:tc>
          <w:tcPr>
            <w:tcW w:w="550" w:type="pct"/>
            <w:vAlign w:val="center"/>
          </w:tcPr>
          <w:p w:rsidR="005B46E8" w:rsidRPr="008E3F1A" w:rsidRDefault="00C75C4D" w:rsidP="00D86231">
            <w:pPr>
              <w:pStyle w:val="TableText0"/>
              <w:jc w:val="center"/>
            </w:pPr>
            <w:r w:rsidRPr="008E3F1A">
              <w:t>NE</w:t>
            </w:r>
          </w:p>
        </w:tc>
        <w:tc>
          <w:tcPr>
            <w:tcW w:w="629" w:type="pct"/>
            <w:vAlign w:val="center"/>
          </w:tcPr>
          <w:p w:rsidR="00C75C4D" w:rsidRPr="008E3F1A" w:rsidRDefault="00365F5D" w:rsidP="00D86231">
            <w:pPr>
              <w:pStyle w:val="TableText0"/>
              <w:jc w:val="center"/>
              <w:rPr>
                <w:bCs w:val="0"/>
              </w:rPr>
            </w:pPr>
            <w:r w:rsidRPr="008E3F1A">
              <w:rPr>
                <w:bCs w:val="0"/>
              </w:rPr>
              <w:t xml:space="preserve">0.96 </w:t>
            </w:r>
          </w:p>
          <w:p w:rsidR="005B46E8" w:rsidRPr="008E3F1A" w:rsidRDefault="00365F5D" w:rsidP="00D86231">
            <w:pPr>
              <w:pStyle w:val="TableText0"/>
              <w:jc w:val="center"/>
              <w:rPr>
                <w:bCs w:val="0"/>
              </w:rPr>
            </w:pPr>
            <w:r w:rsidRPr="008E3F1A">
              <w:rPr>
                <w:bCs w:val="0"/>
              </w:rPr>
              <w:t>(0.62, 1.46)</w:t>
            </w:r>
          </w:p>
        </w:tc>
        <w:tc>
          <w:tcPr>
            <w:tcW w:w="600" w:type="pct"/>
            <w:vAlign w:val="center"/>
          </w:tcPr>
          <w:p w:rsidR="005B46E8" w:rsidRPr="008E3F1A" w:rsidRDefault="00C75C4D" w:rsidP="00281A69">
            <w:pPr>
              <w:pStyle w:val="TableText0"/>
              <w:jc w:val="center"/>
              <w:rPr>
                <w:bCs w:val="0"/>
                <w:szCs w:val="20"/>
              </w:rPr>
            </w:pPr>
            <w:r w:rsidRPr="008E3F1A">
              <w:rPr>
                <w:bCs w:val="0"/>
                <w:szCs w:val="20"/>
              </w:rPr>
              <w:t>NR</w:t>
            </w:r>
          </w:p>
        </w:tc>
      </w:tr>
      <w:tr w:rsidR="00A30DD4" w:rsidRPr="008E3F1A" w:rsidTr="008D1AB5">
        <w:trPr>
          <w:cantSplit/>
        </w:trPr>
        <w:tc>
          <w:tcPr>
            <w:tcW w:w="705" w:type="pct"/>
            <w:vAlign w:val="center"/>
          </w:tcPr>
          <w:p w:rsidR="00A30DD4" w:rsidRPr="008E3F1A" w:rsidRDefault="00A30DD4" w:rsidP="00D86231">
            <w:pPr>
              <w:pStyle w:val="TableText0"/>
            </w:pPr>
            <w:r w:rsidRPr="008E3F1A">
              <w:t>OS</w:t>
            </w:r>
          </w:p>
        </w:tc>
        <w:tc>
          <w:tcPr>
            <w:tcW w:w="473" w:type="pct"/>
            <w:vAlign w:val="center"/>
          </w:tcPr>
          <w:p w:rsidR="00A30DD4" w:rsidRPr="008E3F1A" w:rsidRDefault="00AA4551" w:rsidP="00D86231">
            <w:pPr>
              <w:pStyle w:val="TableText0"/>
              <w:jc w:val="center"/>
            </w:pPr>
            <w:r w:rsidRPr="008E3F1A">
              <w:t>22/64</w:t>
            </w:r>
            <w:r w:rsidR="000F6A32" w:rsidRPr="008E3F1A">
              <w:t xml:space="preserve"> (35)</w:t>
            </w:r>
          </w:p>
        </w:tc>
        <w:tc>
          <w:tcPr>
            <w:tcW w:w="629" w:type="pct"/>
            <w:vAlign w:val="center"/>
          </w:tcPr>
          <w:p w:rsidR="00A30DD4" w:rsidRPr="008E3F1A" w:rsidRDefault="00AA4551" w:rsidP="00D86231">
            <w:pPr>
              <w:pStyle w:val="TableText0"/>
              <w:jc w:val="center"/>
            </w:pPr>
            <w:r w:rsidRPr="008E3F1A">
              <w:t>NR</w:t>
            </w:r>
          </w:p>
        </w:tc>
        <w:tc>
          <w:tcPr>
            <w:tcW w:w="629" w:type="pct"/>
            <w:vAlign w:val="center"/>
          </w:tcPr>
          <w:p w:rsidR="00A30DD4" w:rsidRPr="008E3F1A" w:rsidRDefault="00AA4551" w:rsidP="00D86231">
            <w:pPr>
              <w:pStyle w:val="TableText0"/>
              <w:jc w:val="center"/>
            </w:pPr>
            <w:r w:rsidRPr="008E3F1A">
              <w:t>29/72</w:t>
            </w:r>
            <w:r w:rsidR="000F6A32" w:rsidRPr="008E3F1A">
              <w:t xml:space="preserve"> (40)</w:t>
            </w:r>
          </w:p>
        </w:tc>
        <w:tc>
          <w:tcPr>
            <w:tcW w:w="786" w:type="pct"/>
            <w:vAlign w:val="center"/>
          </w:tcPr>
          <w:p w:rsidR="00A30DD4" w:rsidRPr="008E3F1A" w:rsidRDefault="00AA4551" w:rsidP="00D86231">
            <w:pPr>
              <w:pStyle w:val="TableText0"/>
              <w:jc w:val="center"/>
            </w:pPr>
            <w:r w:rsidRPr="008E3F1A">
              <w:t>NR</w:t>
            </w:r>
          </w:p>
        </w:tc>
        <w:tc>
          <w:tcPr>
            <w:tcW w:w="550" w:type="pct"/>
            <w:vAlign w:val="center"/>
          </w:tcPr>
          <w:p w:rsidR="00A30DD4" w:rsidRPr="008E3F1A" w:rsidRDefault="00AA4551" w:rsidP="00D86231">
            <w:pPr>
              <w:pStyle w:val="TableText0"/>
              <w:jc w:val="center"/>
            </w:pPr>
            <w:r w:rsidRPr="008E3F1A">
              <w:t>NE</w:t>
            </w:r>
          </w:p>
        </w:tc>
        <w:tc>
          <w:tcPr>
            <w:tcW w:w="629" w:type="pct"/>
            <w:vAlign w:val="center"/>
          </w:tcPr>
          <w:p w:rsidR="00964096" w:rsidRPr="008E3F1A" w:rsidRDefault="00AA4551" w:rsidP="00D86231">
            <w:pPr>
              <w:pStyle w:val="TableText0"/>
              <w:jc w:val="center"/>
              <w:rPr>
                <w:bCs w:val="0"/>
              </w:rPr>
            </w:pPr>
            <w:r w:rsidRPr="008E3F1A">
              <w:rPr>
                <w:bCs w:val="0"/>
              </w:rPr>
              <w:t xml:space="preserve">0.82 </w:t>
            </w:r>
          </w:p>
          <w:p w:rsidR="00A30DD4" w:rsidRPr="008E3F1A" w:rsidRDefault="00AA4551" w:rsidP="00D86231">
            <w:pPr>
              <w:pStyle w:val="TableText0"/>
              <w:jc w:val="center"/>
              <w:rPr>
                <w:bCs w:val="0"/>
              </w:rPr>
            </w:pPr>
            <w:r w:rsidRPr="008E3F1A">
              <w:rPr>
                <w:bCs w:val="0"/>
              </w:rPr>
              <w:t>(0.47, 1.45)</w:t>
            </w:r>
          </w:p>
        </w:tc>
        <w:tc>
          <w:tcPr>
            <w:tcW w:w="600" w:type="pct"/>
            <w:vAlign w:val="center"/>
          </w:tcPr>
          <w:p w:rsidR="00A30DD4" w:rsidRPr="008E3F1A" w:rsidRDefault="00AA4551" w:rsidP="00281A69">
            <w:pPr>
              <w:pStyle w:val="TableText0"/>
              <w:jc w:val="center"/>
              <w:rPr>
                <w:bCs w:val="0"/>
                <w:szCs w:val="20"/>
              </w:rPr>
            </w:pPr>
            <w:r w:rsidRPr="008E3F1A">
              <w:rPr>
                <w:bCs w:val="0"/>
                <w:szCs w:val="20"/>
              </w:rPr>
              <w:t>NR</w:t>
            </w:r>
          </w:p>
        </w:tc>
      </w:tr>
    </w:tbl>
    <w:p w:rsidR="00EF0171" w:rsidRPr="008E3F1A" w:rsidRDefault="00EF0171" w:rsidP="002672AE">
      <w:pPr>
        <w:pStyle w:val="TableFigureFooter"/>
        <w:spacing w:after="0"/>
      </w:pPr>
      <w:r w:rsidRPr="008E3F1A">
        <w:t xml:space="preserve">Source: </w:t>
      </w:r>
      <w:r w:rsidR="00835204" w:rsidRPr="008E3F1A">
        <w:t xml:space="preserve">Table 2-12, p123, </w:t>
      </w:r>
      <w:r w:rsidR="008005B2" w:rsidRPr="008E3F1A">
        <w:t>Table 2.14, p99 of the submission; Table 14.2.4.1, p556</w:t>
      </w:r>
      <w:r w:rsidR="00632F41" w:rsidRPr="008E3F1A">
        <w:t xml:space="preserve"> and 456</w:t>
      </w:r>
      <w:r w:rsidR="008005B2" w:rsidRPr="008E3F1A">
        <w:t xml:space="preserve"> of the ECHELO</w:t>
      </w:r>
      <w:r w:rsidR="0005391B" w:rsidRPr="008E3F1A">
        <w:t>N</w:t>
      </w:r>
      <w:r w:rsidR="008005B2" w:rsidRPr="008E3F1A">
        <w:t xml:space="preserve">-2 – sgn35-014 </w:t>
      </w:r>
      <w:r w:rsidR="00CC3A59" w:rsidRPr="008E3F1A">
        <w:t>–</w:t>
      </w:r>
      <w:r w:rsidR="008005B2" w:rsidRPr="008E3F1A">
        <w:t xml:space="preserve"> Suppleme</w:t>
      </w:r>
      <w:r w:rsidR="00CC3A59" w:rsidRPr="008E3F1A">
        <w:t>nt tables.</w:t>
      </w:r>
    </w:p>
    <w:p w:rsidR="009715A8" w:rsidRPr="008E3F1A" w:rsidRDefault="00CD66AB" w:rsidP="009715A8">
      <w:pPr>
        <w:pStyle w:val="TableFooter"/>
        <w:rPr>
          <w:rFonts w:eastAsia="Calibri"/>
          <w:bCs/>
          <w:szCs w:val="18"/>
        </w:rPr>
      </w:pPr>
      <w:r w:rsidRPr="008E3F1A">
        <w:rPr>
          <w:color w:val="000000" w:themeColor="text1"/>
          <w:szCs w:val="18"/>
        </w:rPr>
        <w:t xml:space="preserve">ALK= </w:t>
      </w:r>
      <w:r w:rsidRPr="008E3F1A">
        <w:rPr>
          <w:szCs w:val="18"/>
        </w:rPr>
        <w:t xml:space="preserve">anaplastic lymphoma kinase; </w:t>
      </w:r>
      <w:r w:rsidR="009715A8" w:rsidRPr="008E3F1A">
        <w:rPr>
          <w:szCs w:val="18"/>
        </w:rPr>
        <w:t>BV = brentuximab vedotin; BV+CHP = brentuximab vedotin with cyclophosphamide, doxorubicin and prednisone; CHOP = cyclophosphamide, doxorubicin, vincristine and prednisone;</w:t>
      </w:r>
      <w:r w:rsidR="00662B60" w:rsidRPr="008E3F1A">
        <w:rPr>
          <w:szCs w:val="18"/>
        </w:rPr>
        <w:t xml:space="preserve"> CI=confidence interval;</w:t>
      </w:r>
      <w:r w:rsidR="009715A8" w:rsidRPr="008E3F1A">
        <w:rPr>
          <w:szCs w:val="18"/>
        </w:rPr>
        <w:t xml:space="preserve"> HR = hazard ratio; </w:t>
      </w:r>
      <w:r w:rsidR="00662B60" w:rsidRPr="008E3F1A">
        <w:rPr>
          <w:color w:val="000000" w:themeColor="text1"/>
          <w:szCs w:val="18"/>
        </w:rPr>
        <w:t xml:space="preserve">IPI = </w:t>
      </w:r>
      <w:r w:rsidR="00662B60" w:rsidRPr="008E3F1A">
        <w:rPr>
          <w:szCs w:val="18"/>
        </w:rPr>
        <w:t>International Prognostic Indicator</w:t>
      </w:r>
      <w:r w:rsidR="000816E9" w:rsidRPr="008E3F1A">
        <w:rPr>
          <w:szCs w:val="18"/>
        </w:rPr>
        <w:t>;</w:t>
      </w:r>
      <w:r w:rsidR="00AA4551" w:rsidRPr="008E3F1A">
        <w:rPr>
          <w:szCs w:val="18"/>
        </w:rPr>
        <w:t xml:space="preserve"> </w:t>
      </w:r>
      <w:r w:rsidR="000816E9" w:rsidRPr="008E3F1A">
        <w:rPr>
          <w:szCs w:val="18"/>
        </w:rPr>
        <w:t xml:space="preserve"> ITT = intention to treat;</w:t>
      </w:r>
      <w:r w:rsidR="00662B60" w:rsidRPr="008E3F1A">
        <w:rPr>
          <w:szCs w:val="18"/>
        </w:rPr>
        <w:t xml:space="preserve"> </w:t>
      </w:r>
      <w:r w:rsidR="009715A8" w:rsidRPr="008E3F1A">
        <w:rPr>
          <w:rFonts w:eastAsia="Calibri"/>
          <w:bCs/>
          <w:szCs w:val="18"/>
        </w:rPr>
        <w:t>n = number of participants reporting data; N = total participants in group;</w:t>
      </w:r>
      <w:r w:rsidR="009715A8" w:rsidRPr="008E3F1A">
        <w:rPr>
          <w:bCs/>
          <w:szCs w:val="18"/>
        </w:rPr>
        <w:t xml:space="preserve"> </w:t>
      </w:r>
      <w:r w:rsidR="002672AE" w:rsidRPr="008E3F1A">
        <w:rPr>
          <w:bCs/>
          <w:szCs w:val="18"/>
        </w:rPr>
        <w:t xml:space="preserve">NE = not estimable; </w:t>
      </w:r>
      <w:r w:rsidR="00AA4551" w:rsidRPr="008E3F1A">
        <w:rPr>
          <w:bCs/>
          <w:szCs w:val="18"/>
        </w:rPr>
        <w:t xml:space="preserve">NR =  not reported; </w:t>
      </w:r>
      <w:r w:rsidR="009715A8" w:rsidRPr="008E3F1A">
        <w:rPr>
          <w:bCs/>
          <w:szCs w:val="18"/>
        </w:rPr>
        <w:t>OS = overall survival; PFS =progression free survival</w:t>
      </w:r>
      <w:r w:rsidRPr="008E3F1A">
        <w:rPr>
          <w:bCs/>
          <w:szCs w:val="18"/>
        </w:rPr>
        <w:t xml:space="preserve">; </w:t>
      </w:r>
      <w:r w:rsidRPr="008E3F1A">
        <w:rPr>
          <w:color w:val="000000" w:themeColor="text1"/>
          <w:szCs w:val="18"/>
        </w:rPr>
        <w:t xml:space="preserve">sALCL = systemic </w:t>
      </w:r>
      <w:r w:rsidRPr="008E3F1A">
        <w:rPr>
          <w:szCs w:val="18"/>
        </w:rPr>
        <w:t>anaplastic large cell lymphoma</w:t>
      </w:r>
      <w:r w:rsidR="00662B60" w:rsidRPr="008E3F1A">
        <w:rPr>
          <w:szCs w:val="18"/>
        </w:rPr>
        <w:t>.</w:t>
      </w:r>
    </w:p>
    <w:p w:rsidR="00DB1CCE" w:rsidRPr="008E3F1A" w:rsidRDefault="007C1C94" w:rsidP="00DB1CCE">
      <w:pPr>
        <w:pStyle w:val="TableFigureFooter"/>
      </w:pPr>
      <w:r w:rsidRPr="008E3F1A">
        <w:t>Note:</w:t>
      </w:r>
      <w:r w:rsidR="0005391B" w:rsidRPr="008E3F1A">
        <w:t xml:space="preserve"> </w:t>
      </w:r>
      <w:r w:rsidR="0005391B" w:rsidRPr="008E3F1A">
        <w:rPr>
          <w:rFonts w:eastAsia="Calibri"/>
          <w:szCs w:val="18"/>
        </w:rPr>
        <w:t>Bold indicates statistically significant difference.</w:t>
      </w:r>
      <w:r w:rsidR="00DB1CCE" w:rsidRPr="008E3F1A">
        <w:t xml:space="preserve"> </w:t>
      </w:r>
      <w:bookmarkStart w:id="14" w:name="_Hlk61859595"/>
      <w:r w:rsidR="00DB1CCE" w:rsidRPr="008E3F1A">
        <w:t xml:space="preserve">a = From stratified log-rank test with stratification factors (ALK-positive sALCL: Yes/No and IPI score: 0-1/2-3/4-5) at randomization. OS rate is estimated using Kaplan-Meier methods and 95% </w:t>
      </w:r>
      <w:r w:rsidR="003373CB" w:rsidRPr="008E3F1A">
        <w:t>CI</w:t>
      </w:r>
      <w:r w:rsidR="00DB1CCE" w:rsidRPr="008E3F1A">
        <w:t xml:space="preserve"> is calculated using the complementary log-log transformation method (Collett, 1994).</w:t>
      </w:r>
      <w:bookmarkEnd w:id="14"/>
    </w:p>
    <w:p w:rsidR="00C8164E" w:rsidRPr="008E3F1A" w:rsidRDefault="00C8164E" w:rsidP="00C8164E">
      <w:pPr>
        <w:pStyle w:val="TableFigureHeading"/>
        <w:rPr>
          <w:lang w:eastAsia="en-US"/>
        </w:rPr>
      </w:pPr>
      <w:r w:rsidRPr="008E3F1A">
        <w:rPr>
          <w:lang w:eastAsia="en-US"/>
        </w:rPr>
        <w:lastRenderedPageBreak/>
        <w:t xml:space="preserve">Figure </w:t>
      </w:r>
      <w:r w:rsidR="00DD5DD7" w:rsidRPr="008E3F1A">
        <w:rPr>
          <w:lang w:eastAsia="en-US"/>
        </w:rPr>
        <w:t>2</w:t>
      </w:r>
      <w:r w:rsidRPr="008E3F1A">
        <w:rPr>
          <w:lang w:eastAsia="en-US"/>
        </w:rPr>
        <w:t>: Kaplan-Meier curve PFS, ECHELON-2</w:t>
      </w:r>
    </w:p>
    <w:p w:rsidR="006600C1" w:rsidRPr="008E3F1A" w:rsidRDefault="006600C1" w:rsidP="006600C1">
      <w:pPr>
        <w:pStyle w:val="In-tableHeading"/>
        <w:rPr>
          <w:lang w:val="en-AU" w:eastAsia="en-US"/>
        </w:rPr>
      </w:pPr>
      <w:r w:rsidRPr="008E3F1A">
        <w:rPr>
          <w:noProof/>
          <w:lang w:val="en-AU"/>
        </w:rPr>
        <w:drawing>
          <wp:inline distT="0" distB="0" distL="0" distR="0" wp14:anchorId="33D34957" wp14:editId="3B02A17B">
            <wp:extent cx="5755005" cy="2974975"/>
            <wp:effectExtent l="0" t="0" r="0" b="0"/>
            <wp:docPr id="9" name="Picture 9" title="Figure 2: Kaplan-Meier curve PFS, ECHELO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5005" cy="2974975"/>
                    </a:xfrm>
                    <a:prstGeom prst="rect">
                      <a:avLst/>
                    </a:prstGeom>
                    <a:noFill/>
                  </pic:spPr>
                </pic:pic>
              </a:graphicData>
            </a:graphic>
          </wp:inline>
        </w:drawing>
      </w:r>
    </w:p>
    <w:p w:rsidR="00C8164E" w:rsidRPr="008E3F1A" w:rsidRDefault="00C8164E" w:rsidP="00C8164E">
      <w:pPr>
        <w:rPr>
          <w:rFonts w:ascii="Arial Narrow" w:hAnsi="Arial Narrow"/>
          <w:color w:val="000000" w:themeColor="text1"/>
          <w:sz w:val="18"/>
          <w:szCs w:val="18"/>
        </w:rPr>
      </w:pPr>
      <w:r w:rsidRPr="008E3F1A">
        <w:rPr>
          <w:rFonts w:ascii="Arial Narrow" w:hAnsi="Arial Narrow"/>
          <w:color w:val="000000" w:themeColor="text1"/>
          <w:sz w:val="18"/>
          <w:szCs w:val="18"/>
        </w:rPr>
        <w:t>Source: Figure 2-4, p100 of the submission.</w:t>
      </w:r>
    </w:p>
    <w:p w:rsidR="00C8164E" w:rsidRPr="008E3F1A" w:rsidRDefault="00C8164E" w:rsidP="008D1AB5">
      <w:pPr>
        <w:rPr>
          <w:rFonts w:ascii="Arial Narrow" w:hAnsi="Arial Narrow"/>
          <w:color w:val="000000" w:themeColor="text1"/>
          <w:sz w:val="18"/>
          <w:szCs w:val="18"/>
        </w:rPr>
      </w:pPr>
      <w:r w:rsidRPr="008E3F1A">
        <w:rPr>
          <w:rFonts w:ascii="Arial Narrow" w:hAnsi="Arial Narrow"/>
          <w:color w:val="000000" w:themeColor="text1"/>
          <w:sz w:val="18"/>
          <w:szCs w:val="18"/>
        </w:rPr>
        <w:t>A+CHP = brentuximab vedotin with cyclophosphamide, doxorubicin and prednisone; CHOP = cyclophosphamide, doxorubicin, vincristine and prednisone; HR = hazard ratio; CI=confidence interval; IRF = independent review facility; ITT=intention-to-treat; PFS = progression free survival</w:t>
      </w:r>
      <w:r w:rsidR="008D1AB5" w:rsidRPr="008E3F1A">
        <w:rPr>
          <w:rFonts w:ascii="Arial Narrow" w:hAnsi="Arial Narrow"/>
          <w:snapToGrid w:val="0"/>
          <w:sz w:val="18"/>
          <w:szCs w:val="22"/>
        </w:rPr>
        <w:t xml:space="preserve">. </w:t>
      </w:r>
      <w:r w:rsidRPr="008E3F1A">
        <w:rPr>
          <w:rFonts w:ascii="Arial Narrow" w:hAnsi="Arial Narrow"/>
          <w:color w:val="000000" w:themeColor="text1"/>
          <w:sz w:val="18"/>
          <w:szCs w:val="18"/>
        </w:rPr>
        <w:t>Note: * Computed from log-rank test using stratification factors (ALK-positive sALCL: Yes/No and IPI score: 0</w:t>
      </w:r>
      <w:r w:rsidR="0094778F" w:rsidRPr="008E3F1A">
        <w:rPr>
          <w:rFonts w:ascii="Arial Narrow" w:hAnsi="Arial Narrow"/>
          <w:color w:val="000000" w:themeColor="text1"/>
          <w:sz w:val="18"/>
          <w:szCs w:val="18"/>
        </w:rPr>
        <w:t>-</w:t>
      </w:r>
      <w:r w:rsidRPr="008E3F1A">
        <w:rPr>
          <w:rFonts w:ascii="Arial Narrow" w:hAnsi="Arial Narrow"/>
          <w:color w:val="000000" w:themeColor="text1"/>
          <w:sz w:val="18"/>
          <w:szCs w:val="18"/>
        </w:rPr>
        <w:t>1/2</w:t>
      </w:r>
      <w:r w:rsidR="0094778F" w:rsidRPr="008E3F1A">
        <w:rPr>
          <w:rFonts w:ascii="Arial Narrow" w:hAnsi="Arial Narrow"/>
          <w:color w:val="000000" w:themeColor="text1"/>
          <w:sz w:val="18"/>
          <w:szCs w:val="18"/>
        </w:rPr>
        <w:t>-</w:t>
      </w:r>
      <w:r w:rsidRPr="008E3F1A">
        <w:rPr>
          <w:rFonts w:ascii="Arial Narrow" w:hAnsi="Arial Narrow"/>
          <w:color w:val="000000" w:themeColor="text1"/>
          <w:sz w:val="18"/>
          <w:szCs w:val="18"/>
        </w:rPr>
        <w:t>3/4</w:t>
      </w:r>
      <w:r w:rsidR="0094778F" w:rsidRPr="008E3F1A">
        <w:rPr>
          <w:rFonts w:ascii="Arial Narrow" w:hAnsi="Arial Narrow"/>
          <w:color w:val="000000" w:themeColor="text1"/>
          <w:sz w:val="18"/>
          <w:szCs w:val="18"/>
        </w:rPr>
        <w:t>-</w:t>
      </w:r>
      <w:r w:rsidRPr="008E3F1A">
        <w:rPr>
          <w:rFonts w:ascii="Arial Narrow" w:hAnsi="Arial Narrow"/>
          <w:color w:val="000000" w:themeColor="text1"/>
          <w:sz w:val="18"/>
          <w:szCs w:val="18"/>
        </w:rPr>
        <w:t>5) at randomisation.</w:t>
      </w:r>
    </w:p>
    <w:p w:rsidR="008D1AB5" w:rsidRPr="008E3F1A" w:rsidRDefault="008D1AB5" w:rsidP="008D1AB5">
      <w:pPr>
        <w:rPr>
          <w:rFonts w:ascii="Arial Narrow" w:hAnsi="Arial Narrow"/>
          <w:snapToGrid w:val="0"/>
          <w:sz w:val="18"/>
          <w:szCs w:val="22"/>
        </w:rPr>
      </w:pPr>
    </w:p>
    <w:p w:rsidR="00176E2F" w:rsidRPr="008E3F1A" w:rsidRDefault="00C8164E" w:rsidP="00176E2F">
      <w:pPr>
        <w:pStyle w:val="TableFigureHeading"/>
        <w:rPr>
          <w:lang w:eastAsia="en-US"/>
        </w:rPr>
      </w:pPr>
      <w:r w:rsidRPr="008E3F1A">
        <w:rPr>
          <w:lang w:eastAsia="en-US"/>
        </w:rPr>
        <w:t xml:space="preserve">Figure </w:t>
      </w:r>
      <w:r w:rsidR="00DD5DD7" w:rsidRPr="008E3F1A">
        <w:rPr>
          <w:lang w:eastAsia="en-US"/>
        </w:rPr>
        <w:t>3</w:t>
      </w:r>
      <w:r w:rsidRPr="008E3F1A">
        <w:rPr>
          <w:lang w:eastAsia="en-US"/>
        </w:rPr>
        <w:t xml:space="preserve">: </w:t>
      </w:r>
      <w:r w:rsidR="00176E2F" w:rsidRPr="008E3F1A">
        <w:rPr>
          <w:lang w:eastAsia="en-US"/>
        </w:rPr>
        <w:t>Kaplan-Meier curve OS, ECHELON-2</w:t>
      </w:r>
    </w:p>
    <w:p w:rsidR="00C8164E" w:rsidRPr="008E3F1A" w:rsidRDefault="00C8164E" w:rsidP="00176E2F">
      <w:pPr>
        <w:pStyle w:val="TableFigureHeading"/>
        <w:rPr>
          <w:rFonts w:ascii="Times New Roman" w:hAnsi="Times New Roman" w:cs="Times New Roman"/>
          <w:b w:val="0"/>
          <w:bCs w:val="0"/>
          <w:color w:val="000000"/>
          <w:lang w:eastAsia="en-US"/>
        </w:rPr>
      </w:pPr>
      <w:r w:rsidRPr="008E3F1A">
        <w:rPr>
          <w:noProof/>
          <w:color w:val="000000" w:themeColor="text1"/>
        </w:rPr>
        <w:drawing>
          <wp:inline distT="0" distB="0" distL="0" distR="0" wp14:anchorId="660442C6" wp14:editId="7536AC0D">
            <wp:extent cx="5847451" cy="3120660"/>
            <wp:effectExtent l="19050" t="19050" r="20320" b="22860"/>
            <wp:docPr id="238" name="Picture 238" title="Figure 3: Kaplan-Meier curve OS, ECHELO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6311" cy="3173420"/>
                    </a:xfrm>
                    <a:prstGeom prst="rect">
                      <a:avLst/>
                    </a:prstGeom>
                    <a:ln>
                      <a:solidFill>
                        <a:schemeClr val="tx1"/>
                      </a:solidFill>
                    </a:ln>
                  </pic:spPr>
                </pic:pic>
              </a:graphicData>
            </a:graphic>
          </wp:inline>
        </w:drawing>
      </w:r>
    </w:p>
    <w:p w:rsidR="00C8164E" w:rsidRPr="008E3F1A" w:rsidRDefault="00C8164E" w:rsidP="00C8164E">
      <w:pPr>
        <w:rPr>
          <w:rFonts w:ascii="Arial Narrow" w:hAnsi="Arial Narrow"/>
          <w:color w:val="000000" w:themeColor="text1"/>
          <w:sz w:val="18"/>
          <w:szCs w:val="18"/>
        </w:rPr>
      </w:pPr>
      <w:r w:rsidRPr="008E3F1A">
        <w:rPr>
          <w:rFonts w:ascii="Arial Narrow" w:hAnsi="Arial Narrow"/>
          <w:color w:val="000000" w:themeColor="text1"/>
          <w:sz w:val="18"/>
          <w:szCs w:val="18"/>
        </w:rPr>
        <w:t xml:space="preserve">Source: Figure 2-6, p105 of the submission. </w:t>
      </w:r>
    </w:p>
    <w:p w:rsidR="00C8164E" w:rsidRPr="008E3F1A" w:rsidRDefault="00C8164E" w:rsidP="008D1AB5">
      <w:pPr>
        <w:rPr>
          <w:rFonts w:ascii="Arial Narrow" w:hAnsi="Arial Narrow"/>
          <w:snapToGrid w:val="0"/>
          <w:sz w:val="18"/>
          <w:szCs w:val="22"/>
        </w:rPr>
      </w:pPr>
      <w:r w:rsidRPr="008E3F1A">
        <w:rPr>
          <w:rFonts w:ascii="Arial Narrow" w:hAnsi="Arial Narrow"/>
          <w:color w:val="000000" w:themeColor="text1"/>
          <w:sz w:val="18"/>
          <w:szCs w:val="18"/>
        </w:rPr>
        <w:t>A+CHP = brentuximab vedotin with cyclophosphamide, doxorubicin and prednisone; CHOP = cyclophosphamide, doxorubicin, vincristine and prednisone; CI=confidence interval; HR = hazard ratio; ITT=intention-to-treat</w:t>
      </w:r>
      <w:r w:rsidR="008D1AB5" w:rsidRPr="008E3F1A">
        <w:rPr>
          <w:rFonts w:ascii="Arial Narrow" w:hAnsi="Arial Narrow"/>
          <w:snapToGrid w:val="0"/>
          <w:sz w:val="18"/>
          <w:szCs w:val="22"/>
        </w:rPr>
        <w:t xml:space="preserve">. </w:t>
      </w:r>
      <w:r w:rsidRPr="008E3F1A">
        <w:rPr>
          <w:rFonts w:ascii="Arial Narrow" w:hAnsi="Arial Narrow"/>
          <w:color w:val="000000" w:themeColor="text1"/>
          <w:sz w:val="18"/>
          <w:szCs w:val="18"/>
        </w:rPr>
        <w:t>Note: * Computed from log-rank test using stratification factors (ALK-positive sALCL: Yes/No and IPI score: 0-1/2-3/4-5) at randomisation</w:t>
      </w:r>
    </w:p>
    <w:p w:rsidR="004A6F2F" w:rsidRPr="008E3F1A" w:rsidRDefault="004A6F2F" w:rsidP="004A6F2F">
      <w:pPr>
        <w:pStyle w:val="TableFigureHeading"/>
        <w:rPr>
          <w:lang w:eastAsia="en-US"/>
        </w:rPr>
      </w:pPr>
      <w:r w:rsidRPr="008E3F1A">
        <w:rPr>
          <w:lang w:eastAsia="en-US"/>
        </w:rPr>
        <w:lastRenderedPageBreak/>
        <w:t>Figure 4: Kaplan-Meier curve PFS for sALCL, ECHELON-2</w:t>
      </w:r>
    </w:p>
    <w:p w:rsidR="004A6F2F" w:rsidRPr="008E3F1A" w:rsidRDefault="004A6F2F" w:rsidP="00C8164E">
      <w:pPr>
        <w:pStyle w:val="TableFigureFooter"/>
        <w:rPr>
          <w:lang w:eastAsia="en-US"/>
        </w:rPr>
      </w:pPr>
      <w:r w:rsidRPr="008E3F1A">
        <w:rPr>
          <w:noProof/>
        </w:rPr>
        <w:drawing>
          <wp:inline distT="0" distB="0" distL="0" distR="0" wp14:anchorId="1F06C32B" wp14:editId="523F3A0B">
            <wp:extent cx="6024427" cy="3333919"/>
            <wp:effectExtent l="0" t="0" r="0" b="0"/>
            <wp:docPr id="26" name="Picture 26" title="Figure 4: Kaplan-Meier curve PFS for sALCL, ECHELO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7456" cy="3341129"/>
                    </a:xfrm>
                    <a:prstGeom prst="rect">
                      <a:avLst/>
                    </a:prstGeom>
                    <a:noFill/>
                  </pic:spPr>
                </pic:pic>
              </a:graphicData>
            </a:graphic>
          </wp:inline>
        </w:drawing>
      </w:r>
    </w:p>
    <w:p w:rsidR="00AE0563" w:rsidRPr="008E3F1A" w:rsidRDefault="00AE0563" w:rsidP="00AE0563">
      <w:pPr>
        <w:pStyle w:val="TableFigureFooter"/>
        <w:rPr>
          <w:szCs w:val="18"/>
          <w:lang w:eastAsia="en-US"/>
        </w:rPr>
      </w:pPr>
      <w:r w:rsidRPr="008E3F1A">
        <w:rPr>
          <w:szCs w:val="18"/>
          <w:lang w:eastAsia="en-US"/>
        </w:rPr>
        <w:t xml:space="preserve">Source: Figure 2-19, p122 of the submission. </w:t>
      </w:r>
    </w:p>
    <w:p w:rsidR="00AE0563" w:rsidRPr="008E3F1A" w:rsidRDefault="00AE0563" w:rsidP="00AE0563">
      <w:pPr>
        <w:pStyle w:val="TableFigureFooter"/>
        <w:rPr>
          <w:szCs w:val="18"/>
          <w:lang w:eastAsia="en-US"/>
        </w:rPr>
      </w:pPr>
      <w:r w:rsidRPr="008E3F1A">
        <w:rPr>
          <w:szCs w:val="18"/>
          <w:lang w:eastAsia="en-US"/>
        </w:rPr>
        <w:t>A+CHP = brentuximab vedotin with cyclophosphamide, doxorubicin and prednisone; CHOP = cyclophosphamide, doxorubicin, vincristine and prednisone; CI=confidence interval; HR = hazard ratio; IRF = independent review facility; ITT=intention-to-treat.; sALCL =  systemic anaplastic large cell lymphoma.</w:t>
      </w:r>
    </w:p>
    <w:p w:rsidR="00B84DB0" w:rsidRPr="008E3F1A" w:rsidRDefault="00AE0563" w:rsidP="00AE0563">
      <w:pPr>
        <w:pStyle w:val="TableFigureFooter"/>
        <w:rPr>
          <w:szCs w:val="18"/>
          <w:lang w:eastAsia="en-US"/>
        </w:rPr>
      </w:pPr>
      <w:r w:rsidRPr="008E3F1A">
        <w:rPr>
          <w:szCs w:val="18"/>
          <w:lang w:eastAsia="en-US"/>
        </w:rPr>
        <w:t>Note:* Computed from log-rank test using stratification factors (ALK-positive sALCL: Yes/No and IPI score: 0–1/2–3/4–5) at randomisation.</w:t>
      </w:r>
    </w:p>
    <w:p w:rsidR="002259B7" w:rsidRPr="008E3F1A" w:rsidRDefault="002259B7" w:rsidP="002259B7">
      <w:pPr>
        <w:pStyle w:val="TableFigureFooter"/>
        <w:rPr>
          <w:rFonts w:asciiTheme="minorHAnsi" w:hAnsiTheme="minorHAnsi"/>
          <w:i/>
          <w:iCs/>
        </w:rPr>
      </w:pPr>
    </w:p>
    <w:p w:rsidR="00A924D9" w:rsidRPr="008E3F1A" w:rsidRDefault="00A924D9" w:rsidP="00A924D9">
      <w:pPr>
        <w:numPr>
          <w:ilvl w:val="1"/>
          <w:numId w:val="1"/>
        </w:numPr>
        <w:spacing w:after="120"/>
        <w:rPr>
          <w:rFonts w:asciiTheme="minorHAnsi" w:hAnsiTheme="minorHAnsi"/>
          <w:i/>
          <w:iCs/>
          <w:snapToGrid w:val="0"/>
        </w:rPr>
      </w:pPr>
      <w:r w:rsidRPr="008E3F1A">
        <w:rPr>
          <w:rFonts w:asciiTheme="minorHAnsi" w:hAnsiTheme="minorHAnsi"/>
          <w:snapToGrid w:val="0"/>
        </w:rPr>
        <w:t>A summary of the</w:t>
      </w:r>
      <w:r w:rsidR="005152CD" w:rsidRPr="008E3F1A">
        <w:rPr>
          <w:rFonts w:asciiTheme="minorHAnsi" w:hAnsiTheme="minorHAnsi"/>
          <w:snapToGrid w:val="0"/>
        </w:rPr>
        <w:t xml:space="preserve"> </w:t>
      </w:r>
      <w:r w:rsidR="000345E9" w:rsidRPr="008E3F1A">
        <w:rPr>
          <w:rFonts w:asciiTheme="minorHAnsi" w:hAnsiTheme="minorHAnsi"/>
          <w:snapToGrid w:val="0"/>
        </w:rPr>
        <w:t>objective rate of response (</w:t>
      </w:r>
      <w:r w:rsidRPr="008E3F1A">
        <w:rPr>
          <w:rFonts w:asciiTheme="minorHAnsi" w:hAnsiTheme="minorHAnsi"/>
          <w:snapToGrid w:val="0"/>
        </w:rPr>
        <w:t>ORR</w:t>
      </w:r>
      <w:r w:rsidR="000345E9" w:rsidRPr="008E3F1A">
        <w:rPr>
          <w:rFonts w:asciiTheme="minorHAnsi" w:hAnsiTheme="minorHAnsi"/>
          <w:snapToGrid w:val="0"/>
        </w:rPr>
        <w:t>)</w:t>
      </w:r>
      <w:r w:rsidRPr="008E3F1A">
        <w:rPr>
          <w:rFonts w:asciiTheme="minorHAnsi" w:hAnsiTheme="minorHAnsi"/>
          <w:snapToGrid w:val="0"/>
        </w:rPr>
        <w:t xml:space="preserve"> results </w:t>
      </w:r>
      <w:r w:rsidR="002259B7" w:rsidRPr="008E3F1A">
        <w:rPr>
          <w:rFonts w:asciiTheme="minorHAnsi" w:hAnsiTheme="minorHAnsi"/>
          <w:snapToGrid w:val="0"/>
        </w:rPr>
        <w:t xml:space="preserve">in the ITT population </w:t>
      </w:r>
      <w:r w:rsidRPr="008E3F1A">
        <w:rPr>
          <w:rFonts w:asciiTheme="minorHAnsi" w:hAnsiTheme="minorHAnsi"/>
          <w:snapToGrid w:val="0"/>
        </w:rPr>
        <w:t xml:space="preserve">is presented in Table </w:t>
      </w:r>
      <w:r w:rsidR="00C00747" w:rsidRPr="008E3F1A">
        <w:rPr>
          <w:rFonts w:asciiTheme="minorHAnsi" w:hAnsiTheme="minorHAnsi"/>
          <w:snapToGrid w:val="0"/>
        </w:rPr>
        <w:t>6</w:t>
      </w:r>
      <w:r w:rsidRPr="008E3F1A">
        <w:rPr>
          <w:rFonts w:asciiTheme="minorHAnsi" w:hAnsiTheme="minorHAnsi"/>
          <w:snapToGrid w:val="0"/>
        </w:rPr>
        <w:t xml:space="preserve">. The results demonstrated a statistically significant difference in ORR in favour of </w:t>
      </w:r>
      <w:r w:rsidR="00702609" w:rsidRPr="008E3F1A">
        <w:rPr>
          <w:rFonts w:asciiTheme="minorHAnsi" w:hAnsiTheme="minorHAnsi"/>
          <w:snapToGrid w:val="0"/>
        </w:rPr>
        <w:t>BV+CHP</w:t>
      </w:r>
      <w:r w:rsidRPr="008E3F1A">
        <w:rPr>
          <w:rFonts w:asciiTheme="minorHAnsi" w:hAnsiTheme="minorHAnsi"/>
          <w:snapToGrid w:val="0"/>
        </w:rPr>
        <w:t>. A</w:t>
      </w:r>
      <w:r w:rsidRPr="008E3F1A">
        <w:rPr>
          <w:rFonts w:asciiTheme="minorHAnsi" w:hAnsiTheme="minorHAnsi"/>
          <w:iCs/>
          <w:snapToGrid w:val="0"/>
        </w:rPr>
        <w:t xml:space="preserve"> higher proportion of patients achieved confirmed complete </w:t>
      </w:r>
      <w:r w:rsidR="005152CD" w:rsidRPr="008E3F1A">
        <w:rPr>
          <w:rFonts w:asciiTheme="minorHAnsi" w:hAnsiTheme="minorHAnsi"/>
          <w:iCs/>
          <w:snapToGrid w:val="0"/>
        </w:rPr>
        <w:t>remission</w:t>
      </w:r>
      <w:r w:rsidRPr="008E3F1A">
        <w:rPr>
          <w:rFonts w:asciiTheme="minorHAnsi" w:hAnsiTheme="minorHAnsi"/>
          <w:iCs/>
          <w:snapToGrid w:val="0"/>
        </w:rPr>
        <w:t xml:space="preserve"> (CR</w:t>
      </w:r>
      <w:r w:rsidR="007C1E2A" w:rsidRPr="008E3F1A">
        <w:rPr>
          <w:rFonts w:asciiTheme="minorHAnsi" w:hAnsiTheme="minorHAnsi"/>
          <w:iCs/>
          <w:snapToGrid w:val="0"/>
        </w:rPr>
        <w:t xml:space="preserve">) in the BV+CHP arm (68%) compared to the CHOP arm (56%), while the rate of </w:t>
      </w:r>
      <w:r w:rsidRPr="008E3F1A">
        <w:rPr>
          <w:rFonts w:asciiTheme="minorHAnsi" w:hAnsiTheme="minorHAnsi"/>
          <w:iCs/>
          <w:snapToGrid w:val="0"/>
        </w:rPr>
        <w:t xml:space="preserve">partial </w:t>
      </w:r>
      <w:r w:rsidR="005152CD" w:rsidRPr="008E3F1A">
        <w:rPr>
          <w:rFonts w:asciiTheme="minorHAnsi" w:hAnsiTheme="minorHAnsi"/>
          <w:iCs/>
          <w:snapToGrid w:val="0"/>
        </w:rPr>
        <w:t>remission</w:t>
      </w:r>
      <w:r w:rsidRPr="008E3F1A">
        <w:rPr>
          <w:rFonts w:asciiTheme="minorHAnsi" w:hAnsiTheme="minorHAnsi"/>
          <w:iCs/>
          <w:snapToGrid w:val="0"/>
        </w:rPr>
        <w:t xml:space="preserve"> (PR) </w:t>
      </w:r>
      <w:r w:rsidR="007C1E2A" w:rsidRPr="008E3F1A">
        <w:rPr>
          <w:rFonts w:asciiTheme="minorHAnsi" w:hAnsiTheme="minorHAnsi"/>
          <w:iCs/>
          <w:snapToGrid w:val="0"/>
        </w:rPr>
        <w:t>was similar across the two arms</w:t>
      </w:r>
      <w:r w:rsidR="008453E7" w:rsidRPr="008E3F1A">
        <w:rPr>
          <w:rFonts w:asciiTheme="minorHAnsi" w:hAnsiTheme="minorHAnsi"/>
          <w:iCs/>
          <w:snapToGrid w:val="0"/>
        </w:rPr>
        <w:t xml:space="preserve"> </w:t>
      </w:r>
      <w:r w:rsidRPr="008E3F1A">
        <w:rPr>
          <w:rFonts w:asciiTheme="minorHAnsi" w:hAnsiTheme="minorHAnsi"/>
          <w:iCs/>
          <w:snapToGrid w:val="0"/>
        </w:rPr>
        <w:t>(</w:t>
      </w:r>
      <w:r w:rsidR="008453E7" w:rsidRPr="008E3F1A">
        <w:rPr>
          <w:rFonts w:asciiTheme="minorHAnsi" w:hAnsiTheme="minorHAnsi"/>
          <w:iCs/>
          <w:snapToGrid w:val="0"/>
        </w:rPr>
        <w:t>P</w:t>
      </w:r>
      <w:r w:rsidRPr="008E3F1A">
        <w:rPr>
          <w:rFonts w:asciiTheme="minorHAnsi" w:hAnsiTheme="minorHAnsi"/>
          <w:iCs/>
          <w:snapToGrid w:val="0"/>
        </w:rPr>
        <w:t xml:space="preserve">R: </w:t>
      </w:r>
      <w:r w:rsidR="008453E7" w:rsidRPr="008E3F1A">
        <w:rPr>
          <w:rFonts w:asciiTheme="minorHAnsi" w:hAnsiTheme="minorHAnsi"/>
          <w:iCs/>
          <w:snapToGrid w:val="0"/>
        </w:rPr>
        <w:t>15</w:t>
      </w:r>
      <w:r w:rsidR="00441C59" w:rsidRPr="008E3F1A">
        <w:rPr>
          <w:rFonts w:asciiTheme="minorHAnsi" w:hAnsiTheme="minorHAnsi"/>
          <w:iCs/>
          <w:snapToGrid w:val="0"/>
        </w:rPr>
        <w:t>%</w:t>
      </w:r>
      <w:r w:rsidRPr="008E3F1A">
        <w:rPr>
          <w:rFonts w:asciiTheme="minorHAnsi" w:hAnsiTheme="minorHAnsi"/>
          <w:iCs/>
          <w:snapToGrid w:val="0"/>
        </w:rPr>
        <w:t xml:space="preserve"> vs. </w:t>
      </w:r>
      <w:r w:rsidR="008453E7" w:rsidRPr="008E3F1A">
        <w:rPr>
          <w:rFonts w:asciiTheme="minorHAnsi" w:hAnsiTheme="minorHAnsi"/>
          <w:iCs/>
          <w:snapToGrid w:val="0"/>
        </w:rPr>
        <w:t>1</w:t>
      </w:r>
      <w:r w:rsidR="00441C59" w:rsidRPr="008E3F1A">
        <w:rPr>
          <w:rFonts w:asciiTheme="minorHAnsi" w:hAnsiTheme="minorHAnsi"/>
          <w:iCs/>
          <w:snapToGrid w:val="0"/>
        </w:rPr>
        <w:t>6</w:t>
      </w:r>
      <w:r w:rsidRPr="008E3F1A">
        <w:rPr>
          <w:rFonts w:asciiTheme="minorHAnsi" w:hAnsiTheme="minorHAnsi"/>
          <w:iCs/>
          <w:snapToGrid w:val="0"/>
        </w:rPr>
        <w:t>%</w:t>
      </w:r>
      <w:r w:rsidR="008453E7" w:rsidRPr="008E3F1A">
        <w:rPr>
          <w:rFonts w:asciiTheme="minorHAnsi" w:hAnsiTheme="minorHAnsi"/>
          <w:iCs/>
          <w:snapToGrid w:val="0"/>
        </w:rPr>
        <w:t>)</w:t>
      </w:r>
      <w:r w:rsidR="002259B7" w:rsidRPr="008E3F1A">
        <w:rPr>
          <w:rFonts w:asciiTheme="minorHAnsi" w:hAnsiTheme="minorHAnsi"/>
          <w:iCs/>
          <w:snapToGrid w:val="0"/>
        </w:rPr>
        <w:t>.</w:t>
      </w:r>
    </w:p>
    <w:p w:rsidR="00A924D9" w:rsidRPr="008E3F1A" w:rsidRDefault="00A924D9" w:rsidP="00A924D9">
      <w:pPr>
        <w:keepNext/>
        <w:jc w:val="left"/>
        <w:rPr>
          <w:rFonts w:ascii="Arial Narrow" w:eastAsiaTheme="majorEastAsia" w:hAnsi="Arial Narrow" w:cstheme="majorBidi"/>
          <w:b/>
          <w:bCs/>
          <w:sz w:val="20"/>
        </w:rPr>
      </w:pPr>
      <w:r w:rsidRPr="008E3F1A">
        <w:rPr>
          <w:rFonts w:ascii="Arial Narrow" w:eastAsiaTheme="majorEastAsia" w:hAnsi="Arial Narrow" w:cstheme="majorBidi"/>
          <w:b/>
          <w:bCs/>
          <w:sz w:val="20"/>
        </w:rPr>
        <w:t xml:space="preserve">Table </w:t>
      </w:r>
      <w:r w:rsidR="00C00747" w:rsidRPr="008E3F1A">
        <w:rPr>
          <w:rFonts w:ascii="Arial Narrow" w:eastAsiaTheme="majorEastAsia" w:hAnsi="Arial Narrow" w:cstheme="majorBidi"/>
          <w:b/>
          <w:bCs/>
          <w:sz w:val="20"/>
        </w:rPr>
        <w:t>6</w:t>
      </w:r>
      <w:r w:rsidRPr="008E3F1A">
        <w:rPr>
          <w:rFonts w:ascii="Arial Narrow" w:eastAsiaTheme="majorEastAsia" w:hAnsi="Arial Narrow" w:cstheme="majorBidi"/>
          <w:b/>
          <w:bCs/>
          <w:sz w:val="20"/>
        </w:rPr>
        <w:t xml:space="preserve">: Results of objective response rate, </w:t>
      </w:r>
      <w:r w:rsidR="005C36FD" w:rsidRPr="008E3F1A">
        <w:rPr>
          <w:rFonts w:ascii="Arial Narrow" w:eastAsiaTheme="majorEastAsia" w:hAnsi="Arial Narrow" w:cstheme="majorBidi"/>
          <w:b/>
          <w:bCs/>
          <w:sz w:val="20"/>
        </w:rPr>
        <w:t>ECHELON-2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
        <w:gridCol w:w="1562"/>
        <w:gridCol w:w="1645"/>
        <w:gridCol w:w="1616"/>
        <w:gridCol w:w="1585"/>
        <w:gridCol w:w="1585"/>
      </w:tblGrid>
      <w:tr w:rsidR="00A924D9" w:rsidRPr="008E3F1A" w:rsidTr="00A50809">
        <w:trPr>
          <w:tblHeader/>
        </w:trPr>
        <w:tc>
          <w:tcPr>
            <w:tcW w:w="568" w:type="pct"/>
            <w:vMerge w:val="restart"/>
            <w:vAlign w:val="center"/>
          </w:tcPr>
          <w:p w:rsidR="00A924D9" w:rsidRPr="008E3F1A" w:rsidRDefault="00A924D9" w:rsidP="00A924D9">
            <w:pPr>
              <w:keepNext/>
              <w:jc w:val="left"/>
              <w:rPr>
                <w:rFonts w:ascii="Arial Narrow" w:eastAsiaTheme="majorEastAsia" w:hAnsi="Arial Narrow" w:cs="Times New Roman"/>
                <w:b/>
                <w:sz w:val="20"/>
                <w:szCs w:val="20"/>
              </w:rPr>
            </w:pPr>
            <w:r w:rsidRPr="008E3F1A">
              <w:rPr>
                <w:rFonts w:ascii="Arial Narrow" w:eastAsiaTheme="majorEastAsia" w:hAnsi="Arial Narrow" w:cs="Times New Roman"/>
                <w:b/>
                <w:sz w:val="20"/>
                <w:szCs w:val="20"/>
              </w:rPr>
              <w:t>Outcome</w:t>
            </w:r>
          </w:p>
        </w:tc>
        <w:tc>
          <w:tcPr>
            <w:tcW w:w="866" w:type="pct"/>
            <w:vAlign w:val="center"/>
          </w:tcPr>
          <w:p w:rsidR="00A924D9" w:rsidRPr="008E3F1A" w:rsidRDefault="005C36FD" w:rsidP="00A924D9">
            <w:pPr>
              <w:keepNext/>
              <w:jc w:val="center"/>
              <w:rPr>
                <w:rFonts w:ascii="Arial Narrow" w:eastAsiaTheme="majorEastAsia" w:hAnsi="Arial Narrow" w:cs="Calibri"/>
                <w:b/>
                <w:bCs/>
                <w:sz w:val="20"/>
                <w:szCs w:val="20"/>
                <w:lang w:eastAsia="zh-CN"/>
              </w:rPr>
            </w:pPr>
            <w:r w:rsidRPr="008E3F1A">
              <w:rPr>
                <w:rFonts w:ascii="Arial Narrow" w:eastAsiaTheme="majorEastAsia" w:hAnsi="Arial Narrow" w:cs="Calibri"/>
                <w:b/>
                <w:bCs/>
                <w:sz w:val="20"/>
                <w:szCs w:val="20"/>
                <w:lang w:eastAsia="zh-CN"/>
              </w:rPr>
              <w:t xml:space="preserve">BV+CHP </w:t>
            </w:r>
          </w:p>
          <w:p w:rsidR="005C36FD" w:rsidRPr="008E3F1A" w:rsidRDefault="005C36FD" w:rsidP="00A924D9">
            <w:pPr>
              <w:keepNext/>
              <w:jc w:val="center"/>
              <w:rPr>
                <w:rFonts w:ascii="Arial Narrow" w:eastAsiaTheme="majorEastAsia" w:hAnsi="Arial Narrow" w:cs="Times New Roman"/>
                <w:b/>
                <w:bCs/>
                <w:sz w:val="20"/>
                <w:szCs w:val="20"/>
              </w:rPr>
            </w:pPr>
            <w:r w:rsidRPr="008E3F1A">
              <w:rPr>
                <w:rFonts w:ascii="Arial Narrow" w:eastAsiaTheme="majorEastAsia" w:hAnsi="Arial Narrow" w:cs="Calibri"/>
                <w:b/>
                <w:bCs/>
                <w:sz w:val="20"/>
                <w:szCs w:val="20"/>
                <w:lang w:eastAsia="zh-CN"/>
              </w:rPr>
              <w:t>N=226</w:t>
            </w:r>
          </w:p>
        </w:tc>
        <w:tc>
          <w:tcPr>
            <w:tcW w:w="912" w:type="pct"/>
            <w:vAlign w:val="center"/>
          </w:tcPr>
          <w:p w:rsidR="00A924D9" w:rsidRPr="008E3F1A" w:rsidRDefault="005C36FD" w:rsidP="00A924D9">
            <w:pPr>
              <w:keepNext/>
              <w:jc w:val="center"/>
              <w:rPr>
                <w:rFonts w:ascii="Arial Narrow" w:eastAsiaTheme="majorEastAsia" w:hAnsi="Arial Narrow" w:cs="Times New Roman"/>
                <w:b/>
                <w:bCs/>
                <w:sz w:val="20"/>
                <w:szCs w:val="20"/>
              </w:rPr>
            </w:pPr>
            <w:r w:rsidRPr="008E3F1A">
              <w:rPr>
                <w:rFonts w:ascii="Arial Narrow" w:eastAsiaTheme="majorEastAsia" w:hAnsi="Arial Narrow" w:cs="Calibri"/>
                <w:b/>
                <w:bCs/>
                <w:sz w:val="20"/>
                <w:szCs w:val="20"/>
                <w:lang w:eastAsia="zh-CN"/>
              </w:rPr>
              <w:t>CHOP (N=226)</w:t>
            </w:r>
          </w:p>
        </w:tc>
        <w:tc>
          <w:tcPr>
            <w:tcW w:w="896" w:type="pct"/>
            <w:vMerge w:val="restart"/>
            <w:vAlign w:val="center"/>
          </w:tcPr>
          <w:p w:rsidR="00A924D9" w:rsidRPr="008E3F1A" w:rsidRDefault="00A924D9" w:rsidP="00A924D9">
            <w:pPr>
              <w:keepNext/>
              <w:jc w:val="center"/>
              <w:rPr>
                <w:rFonts w:ascii="Arial Narrow" w:eastAsiaTheme="majorEastAsia" w:hAnsi="Arial Narrow" w:cs="Times New Roman"/>
                <w:b/>
                <w:sz w:val="20"/>
                <w:szCs w:val="20"/>
              </w:rPr>
            </w:pPr>
            <w:r w:rsidRPr="008E3F1A">
              <w:rPr>
                <w:rFonts w:ascii="Arial Narrow" w:eastAsiaTheme="majorEastAsia" w:hAnsi="Arial Narrow" w:cs="Times New Roman"/>
                <w:b/>
                <w:sz w:val="20"/>
                <w:szCs w:val="20"/>
              </w:rPr>
              <w:t>Odds ratio</w:t>
            </w:r>
          </w:p>
          <w:p w:rsidR="00A924D9" w:rsidRPr="008E3F1A" w:rsidRDefault="00A924D9" w:rsidP="00A924D9">
            <w:pPr>
              <w:keepNext/>
              <w:jc w:val="center"/>
              <w:rPr>
                <w:rFonts w:ascii="Arial Narrow" w:eastAsiaTheme="majorEastAsia" w:hAnsi="Arial Narrow" w:cs="Times New Roman"/>
                <w:b/>
                <w:sz w:val="20"/>
                <w:szCs w:val="20"/>
              </w:rPr>
            </w:pPr>
            <w:r w:rsidRPr="008E3F1A">
              <w:rPr>
                <w:rFonts w:ascii="Arial Narrow" w:eastAsiaTheme="majorEastAsia" w:hAnsi="Arial Narrow" w:cs="Times New Roman"/>
                <w:b/>
                <w:sz w:val="20"/>
                <w:szCs w:val="20"/>
              </w:rPr>
              <w:t>(95% CI)</w:t>
            </w:r>
          </w:p>
        </w:tc>
        <w:tc>
          <w:tcPr>
            <w:tcW w:w="879" w:type="pct"/>
            <w:vMerge w:val="restart"/>
            <w:vAlign w:val="center"/>
          </w:tcPr>
          <w:p w:rsidR="00A924D9" w:rsidRPr="008E3F1A" w:rsidRDefault="00A924D9" w:rsidP="00A924D9">
            <w:pPr>
              <w:keepNext/>
              <w:jc w:val="center"/>
              <w:rPr>
                <w:rFonts w:ascii="Arial Narrow" w:eastAsiaTheme="majorEastAsia" w:hAnsi="Arial Narrow" w:cs="Times New Roman"/>
                <w:b/>
                <w:sz w:val="20"/>
                <w:szCs w:val="20"/>
              </w:rPr>
            </w:pPr>
            <w:r w:rsidRPr="008E3F1A">
              <w:rPr>
                <w:rFonts w:ascii="Arial Narrow" w:eastAsiaTheme="majorEastAsia" w:hAnsi="Arial Narrow" w:cs="Times New Roman"/>
                <w:b/>
                <w:sz w:val="20"/>
                <w:szCs w:val="20"/>
              </w:rPr>
              <w:t>Risk difference (95% CI)</w:t>
            </w:r>
          </w:p>
        </w:tc>
        <w:tc>
          <w:tcPr>
            <w:tcW w:w="879" w:type="pct"/>
            <w:vMerge w:val="restart"/>
            <w:vAlign w:val="center"/>
          </w:tcPr>
          <w:p w:rsidR="00A924D9" w:rsidRPr="008E3F1A" w:rsidRDefault="00A924D9" w:rsidP="00A924D9">
            <w:pPr>
              <w:keepNext/>
              <w:jc w:val="center"/>
              <w:rPr>
                <w:rFonts w:ascii="Arial Narrow" w:eastAsiaTheme="majorEastAsia" w:hAnsi="Arial Narrow" w:cs="Times New Roman"/>
                <w:b/>
                <w:sz w:val="20"/>
                <w:szCs w:val="20"/>
              </w:rPr>
            </w:pPr>
            <w:r w:rsidRPr="008E3F1A">
              <w:rPr>
                <w:rFonts w:ascii="Arial Narrow" w:eastAsiaTheme="majorEastAsia" w:hAnsi="Arial Narrow" w:cs="Times New Roman"/>
                <w:b/>
                <w:sz w:val="20"/>
                <w:szCs w:val="20"/>
              </w:rPr>
              <w:t>P value</w:t>
            </w:r>
          </w:p>
        </w:tc>
      </w:tr>
      <w:tr w:rsidR="00A924D9" w:rsidRPr="008E3F1A" w:rsidTr="00A50809">
        <w:trPr>
          <w:tblHeader/>
        </w:trPr>
        <w:tc>
          <w:tcPr>
            <w:tcW w:w="568" w:type="pct"/>
            <w:vMerge/>
            <w:vAlign w:val="center"/>
          </w:tcPr>
          <w:p w:rsidR="00A924D9" w:rsidRPr="008E3F1A" w:rsidRDefault="00A924D9" w:rsidP="00A924D9">
            <w:pPr>
              <w:keepNext/>
              <w:jc w:val="left"/>
              <w:rPr>
                <w:rFonts w:ascii="Arial Narrow" w:eastAsiaTheme="majorEastAsia" w:hAnsi="Arial Narrow" w:cs="Times New Roman"/>
                <w:b/>
                <w:sz w:val="20"/>
                <w:szCs w:val="20"/>
              </w:rPr>
            </w:pPr>
          </w:p>
        </w:tc>
        <w:tc>
          <w:tcPr>
            <w:tcW w:w="866" w:type="pct"/>
            <w:vAlign w:val="center"/>
          </w:tcPr>
          <w:p w:rsidR="00A924D9" w:rsidRPr="008E3F1A" w:rsidRDefault="00A924D9" w:rsidP="00A924D9">
            <w:pPr>
              <w:keepNext/>
              <w:jc w:val="center"/>
              <w:rPr>
                <w:rFonts w:ascii="Arial Narrow" w:eastAsiaTheme="majorEastAsia" w:hAnsi="Arial Narrow" w:cs="Calibri"/>
                <w:b/>
                <w:bCs/>
                <w:sz w:val="20"/>
                <w:szCs w:val="20"/>
                <w:lang w:eastAsia="zh-CN"/>
              </w:rPr>
            </w:pPr>
            <w:r w:rsidRPr="008E3F1A">
              <w:rPr>
                <w:rFonts w:ascii="Arial Narrow" w:eastAsiaTheme="majorEastAsia" w:hAnsi="Arial Narrow" w:cs="Calibri"/>
                <w:b/>
                <w:bCs/>
                <w:sz w:val="20"/>
                <w:szCs w:val="20"/>
                <w:lang w:eastAsia="zh-CN"/>
              </w:rPr>
              <w:t>n (%)</w:t>
            </w:r>
          </w:p>
          <w:p w:rsidR="00A924D9" w:rsidRPr="008E3F1A" w:rsidRDefault="00A924D9" w:rsidP="00A924D9">
            <w:pPr>
              <w:keepNext/>
              <w:jc w:val="center"/>
              <w:rPr>
                <w:rFonts w:ascii="Arial Narrow" w:eastAsiaTheme="majorEastAsia" w:hAnsi="Arial Narrow" w:cs="Calibri"/>
                <w:b/>
                <w:bCs/>
                <w:sz w:val="20"/>
                <w:szCs w:val="20"/>
                <w:lang w:eastAsia="zh-CN"/>
              </w:rPr>
            </w:pPr>
            <w:r w:rsidRPr="008E3F1A">
              <w:rPr>
                <w:rFonts w:ascii="Arial Narrow" w:eastAsiaTheme="majorEastAsia" w:hAnsi="Arial Narrow" w:cs="Calibri"/>
                <w:b/>
                <w:bCs/>
                <w:sz w:val="20"/>
                <w:szCs w:val="20"/>
                <w:lang w:eastAsia="zh-CN"/>
              </w:rPr>
              <w:t>(95% CI)</w:t>
            </w:r>
          </w:p>
        </w:tc>
        <w:tc>
          <w:tcPr>
            <w:tcW w:w="912" w:type="pct"/>
            <w:vAlign w:val="center"/>
          </w:tcPr>
          <w:p w:rsidR="00A924D9" w:rsidRPr="008E3F1A" w:rsidRDefault="00A924D9" w:rsidP="00A924D9">
            <w:pPr>
              <w:keepNext/>
              <w:jc w:val="center"/>
              <w:rPr>
                <w:rFonts w:ascii="Arial Narrow" w:eastAsiaTheme="majorEastAsia" w:hAnsi="Arial Narrow" w:cs="Calibri"/>
                <w:b/>
                <w:bCs/>
                <w:sz w:val="20"/>
                <w:szCs w:val="20"/>
                <w:lang w:eastAsia="zh-CN"/>
              </w:rPr>
            </w:pPr>
            <w:r w:rsidRPr="008E3F1A">
              <w:rPr>
                <w:rFonts w:ascii="Arial Narrow" w:eastAsiaTheme="majorEastAsia" w:hAnsi="Arial Narrow" w:cs="Calibri"/>
                <w:b/>
                <w:bCs/>
                <w:sz w:val="20"/>
                <w:szCs w:val="20"/>
                <w:lang w:eastAsia="zh-CN"/>
              </w:rPr>
              <w:t>n (%)</w:t>
            </w:r>
          </w:p>
          <w:p w:rsidR="00A924D9" w:rsidRPr="008E3F1A" w:rsidRDefault="00A924D9" w:rsidP="00A924D9">
            <w:pPr>
              <w:keepNext/>
              <w:jc w:val="center"/>
              <w:rPr>
                <w:rFonts w:ascii="Arial Narrow" w:eastAsiaTheme="majorEastAsia" w:hAnsi="Arial Narrow" w:cs="Calibri"/>
                <w:b/>
                <w:bCs/>
                <w:sz w:val="20"/>
                <w:szCs w:val="20"/>
                <w:lang w:eastAsia="zh-CN"/>
              </w:rPr>
            </w:pPr>
            <w:r w:rsidRPr="008E3F1A">
              <w:rPr>
                <w:rFonts w:ascii="Arial Narrow" w:eastAsiaTheme="majorEastAsia" w:hAnsi="Arial Narrow" w:cs="Calibri"/>
                <w:b/>
                <w:bCs/>
                <w:sz w:val="20"/>
                <w:szCs w:val="20"/>
                <w:lang w:eastAsia="zh-CN"/>
              </w:rPr>
              <w:t>(95% CI)</w:t>
            </w:r>
          </w:p>
        </w:tc>
        <w:tc>
          <w:tcPr>
            <w:tcW w:w="896" w:type="pct"/>
            <w:vMerge/>
            <w:vAlign w:val="center"/>
          </w:tcPr>
          <w:p w:rsidR="00A924D9" w:rsidRPr="008E3F1A" w:rsidRDefault="00A924D9" w:rsidP="00A924D9">
            <w:pPr>
              <w:keepNext/>
              <w:jc w:val="center"/>
              <w:rPr>
                <w:rFonts w:ascii="Arial Narrow" w:eastAsiaTheme="majorEastAsia" w:hAnsi="Arial Narrow" w:cs="Times New Roman"/>
                <w:b/>
                <w:sz w:val="20"/>
                <w:szCs w:val="20"/>
              </w:rPr>
            </w:pPr>
          </w:p>
        </w:tc>
        <w:tc>
          <w:tcPr>
            <w:tcW w:w="879" w:type="pct"/>
            <w:vMerge/>
            <w:vAlign w:val="center"/>
          </w:tcPr>
          <w:p w:rsidR="00A924D9" w:rsidRPr="008E3F1A" w:rsidRDefault="00A924D9" w:rsidP="00A924D9">
            <w:pPr>
              <w:keepNext/>
              <w:jc w:val="center"/>
              <w:rPr>
                <w:rFonts w:ascii="Arial Narrow" w:eastAsiaTheme="majorEastAsia" w:hAnsi="Arial Narrow" w:cs="Times New Roman"/>
                <w:b/>
                <w:sz w:val="20"/>
                <w:szCs w:val="20"/>
              </w:rPr>
            </w:pPr>
          </w:p>
        </w:tc>
        <w:tc>
          <w:tcPr>
            <w:tcW w:w="879" w:type="pct"/>
            <w:vMerge/>
          </w:tcPr>
          <w:p w:rsidR="00A924D9" w:rsidRPr="008E3F1A" w:rsidRDefault="00A924D9" w:rsidP="00A924D9">
            <w:pPr>
              <w:keepNext/>
              <w:jc w:val="center"/>
              <w:rPr>
                <w:rFonts w:ascii="Arial Narrow" w:eastAsiaTheme="majorEastAsia" w:hAnsi="Arial Narrow" w:cs="Times New Roman"/>
                <w:b/>
                <w:sz w:val="20"/>
                <w:szCs w:val="20"/>
              </w:rPr>
            </w:pPr>
          </w:p>
        </w:tc>
      </w:tr>
      <w:tr w:rsidR="005E1E03" w:rsidRPr="008E3F1A" w:rsidTr="00A50809">
        <w:tc>
          <w:tcPr>
            <w:tcW w:w="568" w:type="pct"/>
            <w:vAlign w:val="center"/>
          </w:tcPr>
          <w:p w:rsidR="005E1E03" w:rsidRPr="008E3F1A" w:rsidRDefault="005E1E03" w:rsidP="005E1E03">
            <w:pPr>
              <w:keepNext/>
              <w:jc w:val="left"/>
              <w:rPr>
                <w:rFonts w:ascii="Arial Narrow" w:eastAsiaTheme="majorEastAsia" w:hAnsi="Arial Narrow" w:cstheme="majorBidi"/>
                <w:bCs/>
                <w:sz w:val="20"/>
                <w:szCs w:val="20"/>
              </w:rPr>
            </w:pPr>
            <w:r w:rsidRPr="008E3F1A">
              <w:rPr>
                <w:rFonts w:ascii="Arial Narrow" w:eastAsiaTheme="majorEastAsia" w:hAnsi="Arial Narrow" w:cstheme="majorBidi"/>
                <w:bCs/>
                <w:sz w:val="20"/>
                <w:szCs w:val="20"/>
              </w:rPr>
              <w:t>CR</w:t>
            </w:r>
          </w:p>
        </w:tc>
        <w:tc>
          <w:tcPr>
            <w:tcW w:w="866" w:type="pct"/>
          </w:tcPr>
          <w:p w:rsidR="005E1E03" w:rsidRPr="008E3F1A" w:rsidRDefault="005E1E03" w:rsidP="005E1E03">
            <w:pPr>
              <w:keepNext/>
              <w:jc w:val="center"/>
              <w:rPr>
                <w:rFonts w:ascii="Arial Narrow" w:eastAsiaTheme="majorEastAsia" w:hAnsi="Arial Narrow" w:cstheme="majorBidi"/>
                <w:bCs/>
                <w:sz w:val="20"/>
                <w:szCs w:val="20"/>
              </w:rPr>
            </w:pPr>
            <w:r w:rsidRPr="008E3F1A">
              <w:rPr>
                <w:rFonts w:ascii="Arial Narrow" w:hAnsi="Arial Narrow"/>
                <w:color w:val="000000" w:themeColor="text1"/>
                <w:sz w:val="20"/>
                <w:szCs w:val="20"/>
              </w:rPr>
              <w:t>153 (68)</w:t>
            </w:r>
          </w:p>
        </w:tc>
        <w:tc>
          <w:tcPr>
            <w:tcW w:w="912" w:type="pct"/>
          </w:tcPr>
          <w:p w:rsidR="005E1E03" w:rsidRPr="008E3F1A" w:rsidRDefault="005E1E03" w:rsidP="005E1E03">
            <w:pPr>
              <w:keepNext/>
              <w:jc w:val="center"/>
              <w:rPr>
                <w:rFonts w:ascii="Arial Narrow" w:eastAsiaTheme="majorEastAsia" w:hAnsi="Arial Narrow" w:cstheme="majorBidi"/>
                <w:bCs/>
                <w:sz w:val="20"/>
                <w:szCs w:val="20"/>
              </w:rPr>
            </w:pPr>
            <w:r w:rsidRPr="008E3F1A">
              <w:rPr>
                <w:rFonts w:ascii="Arial Narrow" w:hAnsi="Arial Narrow"/>
                <w:color w:val="000000" w:themeColor="text1"/>
                <w:sz w:val="20"/>
                <w:szCs w:val="20"/>
              </w:rPr>
              <w:t>126 (56)</w:t>
            </w:r>
          </w:p>
        </w:tc>
        <w:tc>
          <w:tcPr>
            <w:tcW w:w="896" w:type="pct"/>
          </w:tcPr>
          <w:p w:rsidR="005E1E03" w:rsidRPr="008E3F1A" w:rsidRDefault="00FF0D12" w:rsidP="00FF0D12">
            <w:pPr>
              <w:jc w:val="center"/>
              <w:rPr>
                <w:rFonts w:ascii="Arial Narrow" w:hAnsi="Arial Narrow" w:cs="Times New Roman"/>
                <w:b/>
                <w:bCs/>
                <w:iCs/>
                <w:sz w:val="20"/>
                <w:szCs w:val="20"/>
              </w:rPr>
            </w:pPr>
            <w:r w:rsidRPr="008E3F1A">
              <w:rPr>
                <w:rFonts w:ascii="Arial Narrow" w:hAnsi="Arial Narrow"/>
                <w:b/>
                <w:bCs/>
                <w:iCs/>
                <w:sz w:val="20"/>
                <w:szCs w:val="20"/>
              </w:rPr>
              <w:t xml:space="preserve">1.66 </w:t>
            </w:r>
            <w:r w:rsidR="002925CA" w:rsidRPr="008E3F1A">
              <w:rPr>
                <w:rFonts w:ascii="Arial Narrow" w:hAnsi="Arial Narrow"/>
                <w:b/>
                <w:bCs/>
                <w:iCs/>
                <w:sz w:val="20"/>
                <w:szCs w:val="20"/>
              </w:rPr>
              <w:t>(</w:t>
            </w:r>
            <w:r w:rsidRPr="008E3F1A">
              <w:rPr>
                <w:rFonts w:ascii="Arial Narrow" w:hAnsi="Arial Narrow"/>
                <w:b/>
                <w:bCs/>
                <w:iCs/>
                <w:sz w:val="20"/>
                <w:szCs w:val="20"/>
              </w:rPr>
              <w:t>1.13, 2.44</w:t>
            </w:r>
            <w:r w:rsidR="002925CA" w:rsidRPr="008E3F1A">
              <w:rPr>
                <w:rFonts w:ascii="Arial Narrow" w:hAnsi="Arial Narrow"/>
                <w:b/>
                <w:bCs/>
                <w:iCs/>
                <w:sz w:val="20"/>
                <w:szCs w:val="20"/>
              </w:rPr>
              <w:t>)</w:t>
            </w:r>
            <w:r w:rsidR="002259B7" w:rsidRPr="008E3F1A">
              <w:rPr>
                <w:rFonts w:ascii="Arial Narrow" w:hAnsi="Arial Narrow"/>
                <w:b/>
                <w:bCs/>
                <w:iCs/>
                <w:sz w:val="20"/>
                <w:szCs w:val="20"/>
              </w:rPr>
              <w:t>*</w:t>
            </w:r>
          </w:p>
        </w:tc>
        <w:tc>
          <w:tcPr>
            <w:tcW w:w="879" w:type="pct"/>
          </w:tcPr>
          <w:p w:rsidR="005E1E03" w:rsidRPr="008E3F1A" w:rsidRDefault="002925CA" w:rsidP="002925CA">
            <w:pPr>
              <w:jc w:val="center"/>
              <w:rPr>
                <w:rFonts w:ascii="Arial Narrow" w:hAnsi="Arial Narrow"/>
                <w:b/>
                <w:bCs/>
                <w:color w:val="000000" w:themeColor="text1"/>
                <w:sz w:val="20"/>
                <w:szCs w:val="20"/>
              </w:rPr>
            </w:pPr>
            <w:r w:rsidRPr="008E3F1A">
              <w:rPr>
                <w:rFonts w:ascii="Arial Narrow" w:hAnsi="Arial Narrow"/>
                <w:b/>
                <w:bCs/>
                <w:color w:val="000000" w:themeColor="text1"/>
                <w:sz w:val="20"/>
                <w:szCs w:val="20"/>
              </w:rPr>
              <w:t>11.9 (3.1, 20.8)</w:t>
            </w:r>
          </w:p>
        </w:tc>
        <w:tc>
          <w:tcPr>
            <w:tcW w:w="879" w:type="pct"/>
            <w:vAlign w:val="center"/>
          </w:tcPr>
          <w:p w:rsidR="005E1E03" w:rsidRPr="008E3F1A" w:rsidRDefault="002925CA" w:rsidP="005E1E03">
            <w:pPr>
              <w:spacing w:before="20" w:after="20"/>
              <w:jc w:val="center"/>
              <w:rPr>
                <w:rFonts w:ascii="Arial Narrow" w:hAnsi="Arial Narrow" w:cs="Calibri"/>
                <w:b/>
                <w:sz w:val="20"/>
                <w:szCs w:val="20"/>
                <w:lang w:eastAsia="zh-CN"/>
              </w:rPr>
            </w:pPr>
            <w:r w:rsidRPr="008E3F1A">
              <w:rPr>
                <w:rFonts w:ascii="Arial Narrow" w:hAnsi="Arial Narrow"/>
                <w:color w:val="000000" w:themeColor="text1"/>
                <w:sz w:val="20"/>
                <w:szCs w:val="20"/>
              </w:rPr>
              <w:t>0.0066</w:t>
            </w:r>
          </w:p>
        </w:tc>
      </w:tr>
      <w:tr w:rsidR="007E68E8" w:rsidRPr="008E3F1A" w:rsidTr="00A50809">
        <w:tc>
          <w:tcPr>
            <w:tcW w:w="568" w:type="pct"/>
            <w:vAlign w:val="center"/>
          </w:tcPr>
          <w:p w:rsidR="007E68E8" w:rsidRPr="008E3F1A" w:rsidRDefault="007E68E8" w:rsidP="007E68E8">
            <w:pPr>
              <w:keepNext/>
              <w:jc w:val="left"/>
              <w:rPr>
                <w:rFonts w:ascii="Arial Narrow" w:eastAsiaTheme="majorEastAsia" w:hAnsi="Arial Narrow" w:cstheme="majorBidi"/>
                <w:bCs/>
                <w:sz w:val="20"/>
                <w:szCs w:val="20"/>
                <w:vertAlign w:val="superscript"/>
              </w:rPr>
            </w:pPr>
            <w:r w:rsidRPr="008E3F1A">
              <w:rPr>
                <w:rFonts w:ascii="Arial Narrow" w:eastAsiaTheme="majorEastAsia" w:hAnsi="Arial Narrow" w:cstheme="majorBidi"/>
                <w:bCs/>
                <w:sz w:val="20"/>
                <w:szCs w:val="20"/>
              </w:rPr>
              <w:t>ORR</w:t>
            </w:r>
          </w:p>
        </w:tc>
        <w:tc>
          <w:tcPr>
            <w:tcW w:w="866" w:type="pct"/>
          </w:tcPr>
          <w:p w:rsidR="007E68E8" w:rsidRPr="008E3F1A" w:rsidRDefault="007E68E8" w:rsidP="007E68E8">
            <w:pPr>
              <w:keepNext/>
              <w:jc w:val="center"/>
              <w:rPr>
                <w:rFonts w:ascii="Arial Narrow" w:eastAsiaTheme="majorEastAsia" w:hAnsi="Arial Narrow" w:cstheme="majorBidi"/>
                <w:bCs/>
                <w:sz w:val="20"/>
                <w:szCs w:val="20"/>
              </w:rPr>
            </w:pPr>
            <w:r w:rsidRPr="008E3F1A">
              <w:rPr>
                <w:rFonts w:ascii="Arial Narrow" w:hAnsi="Arial Narrow"/>
                <w:color w:val="000000" w:themeColor="text1"/>
                <w:sz w:val="20"/>
                <w:szCs w:val="20"/>
              </w:rPr>
              <w:t>188 (83)</w:t>
            </w:r>
          </w:p>
        </w:tc>
        <w:tc>
          <w:tcPr>
            <w:tcW w:w="912" w:type="pct"/>
          </w:tcPr>
          <w:p w:rsidR="007E68E8" w:rsidRPr="008E3F1A" w:rsidRDefault="007E68E8" w:rsidP="007E68E8">
            <w:pPr>
              <w:keepNext/>
              <w:jc w:val="center"/>
              <w:rPr>
                <w:rFonts w:ascii="Arial Narrow" w:eastAsiaTheme="majorEastAsia" w:hAnsi="Arial Narrow" w:cstheme="majorBidi"/>
                <w:bCs/>
                <w:sz w:val="20"/>
                <w:szCs w:val="20"/>
              </w:rPr>
            </w:pPr>
            <w:r w:rsidRPr="008E3F1A">
              <w:rPr>
                <w:rFonts w:ascii="Arial Narrow" w:hAnsi="Arial Narrow"/>
                <w:color w:val="000000" w:themeColor="text1"/>
                <w:sz w:val="20"/>
                <w:szCs w:val="20"/>
              </w:rPr>
              <w:t>163 (72)</w:t>
            </w:r>
          </w:p>
        </w:tc>
        <w:tc>
          <w:tcPr>
            <w:tcW w:w="896" w:type="pct"/>
          </w:tcPr>
          <w:p w:rsidR="007E68E8" w:rsidRPr="008E3F1A" w:rsidRDefault="001101E3" w:rsidP="001101E3">
            <w:pPr>
              <w:jc w:val="center"/>
              <w:rPr>
                <w:rFonts w:ascii="Arial Narrow" w:hAnsi="Arial Narrow" w:cs="Times New Roman"/>
                <w:b/>
                <w:bCs/>
                <w:iCs/>
                <w:sz w:val="20"/>
                <w:szCs w:val="20"/>
              </w:rPr>
            </w:pPr>
            <w:r w:rsidRPr="008E3F1A">
              <w:rPr>
                <w:rFonts w:ascii="Arial Narrow" w:hAnsi="Arial Narrow"/>
                <w:b/>
                <w:bCs/>
                <w:iCs/>
                <w:sz w:val="20"/>
                <w:szCs w:val="20"/>
              </w:rPr>
              <w:t xml:space="preserve">1.91 </w:t>
            </w:r>
            <w:r w:rsidR="002925CA" w:rsidRPr="008E3F1A">
              <w:rPr>
                <w:rFonts w:ascii="Arial Narrow" w:hAnsi="Arial Narrow"/>
                <w:b/>
                <w:bCs/>
                <w:iCs/>
                <w:sz w:val="20"/>
                <w:szCs w:val="20"/>
              </w:rPr>
              <w:t>(</w:t>
            </w:r>
            <w:r w:rsidRPr="008E3F1A">
              <w:rPr>
                <w:rFonts w:ascii="Arial Narrow" w:hAnsi="Arial Narrow"/>
                <w:b/>
                <w:bCs/>
                <w:iCs/>
                <w:sz w:val="20"/>
                <w:szCs w:val="20"/>
              </w:rPr>
              <w:t>1.21, 3.01</w:t>
            </w:r>
            <w:r w:rsidR="002925CA" w:rsidRPr="008E3F1A">
              <w:rPr>
                <w:rFonts w:ascii="Arial Narrow" w:hAnsi="Arial Narrow"/>
                <w:b/>
                <w:bCs/>
                <w:iCs/>
                <w:sz w:val="20"/>
                <w:szCs w:val="20"/>
              </w:rPr>
              <w:t>)</w:t>
            </w:r>
            <w:r w:rsidR="002259B7" w:rsidRPr="008E3F1A">
              <w:rPr>
                <w:rFonts w:ascii="Arial Narrow" w:hAnsi="Arial Narrow"/>
                <w:b/>
                <w:bCs/>
                <w:iCs/>
                <w:sz w:val="20"/>
                <w:szCs w:val="20"/>
              </w:rPr>
              <w:t>*</w:t>
            </w:r>
          </w:p>
        </w:tc>
        <w:tc>
          <w:tcPr>
            <w:tcW w:w="879" w:type="pct"/>
          </w:tcPr>
          <w:p w:rsidR="00AE325C" w:rsidRPr="008E3F1A" w:rsidRDefault="00AE325C" w:rsidP="002925CA">
            <w:pPr>
              <w:jc w:val="center"/>
              <w:rPr>
                <w:rFonts w:ascii="Arial Narrow" w:hAnsi="Arial Narrow"/>
                <w:b/>
                <w:bCs/>
                <w:color w:val="000000" w:themeColor="text1"/>
                <w:sz w:val="20"/>
                <w:szCs w:val="20"/>
              </w:rPr>
            </w:pPr>
            <w:r w:rsidRPr="008E3F1A">
              <w:rPr>
                <w:rFonts w:ascii="Arial Narrow" w:hAnsi="Arial Narrow"/>
                <w:b/>
                <w:bCs/>
                <w:color w:val="000000" w:themeColor="text1"/>
                <w:sz w:val="20"/>
                <w:szCs w:val="20"/>
              </w:rPr>
              <w:t>11.1 (3.4, 18.7)</w:t>
            </w:r>
          </w:p>
        </w:tc>
        <w:tc>
          <w:tcPr>
            <w:tcW w:w="879" w:type="pct"/>
            <w:vAlign w:val="center"/>
          </w:tcPr>
          <w:p w:rsidR="007E68E8" w:rsidRPr="008E3F1A" w:rsidRDefault="002925CA" w:rsidP="002925CA">
            <w:pPr>
              <w:keepNext/>
              <w:jc w:val="center"/>
              <w:rPr>
                <w:rFonts w:ascii="Arial Narrow" w:eastAsiaTheme="majorEastAsia" w:hAnsi="Arial Narrow" w:cstheme="majorBidi"/>
                <w:b/>
                <w:sz w:val="20"/>
                <w:szCs w:val="20"/>
              </w:rPr>
            </w:pPr>
            <w:r w:rsidRPr="008E3F1A">
              <w:rPr>
                <w:rFonts w:ascii="Arial Narrow" w:hAnsi="Arial Narrow"/>
                <w:color w:val="000000" w:themeColor="text1"/>
                <w:sz w:val="20"/>
                <w:szCs w:val="20"/>
              </w:rPr>
              <w:t>0.0032</w:t>
            </w:r>
          </w:p>
        </w:tc>
      </w:tr>
    </w:tbl>
    <w:p w:rsidR="00AF44BE" w:rsidRPr="008E3F1A" w:rsidRDefault="00AF44BE" w:rsidP="00AF44BE">
      <w:pPr>
        <w:rPr>
          <w:rFonts w:ascii="Arial Narrow" w:hAnsi="Arial Narrow"/>
          <w:color w:val="000000" w:themeColor="text1"/>
          <w:sz w:val="18"/>
          <w:szCs w:val="18"/>
        </w:rPr>
      </w:pPr>
      <w:r w:rsidRPr="008E3F1A">
        <w:rPr>
          <w:rFonts w:ascii="Arial Narrow" w:hAnsi="Arial Narrow"/>
          <w:color w:val="000000" w:themeColor="text1"/>
          <w:sz w:val="18"/>
          <w:szCs w:val="18"/>
        </w:rPr>
        <w:t>Source: Table 2.15, p103 of the submission</w:t>
      </w:r>
      <w:r w:rsidR="002925CA" w:rsidRPr="008E3F1A">
        <w:rPr>
          <w:rFonts w:ascii="Arial Narrow" w:hAnsi="Arial Narrow"/>
          <w:color w:val="000000" w:themeColor="text1"/>
          <w:sz w:val="18"/>
          <w:szCs w:val="18"/>
        </w:rPr>
        <w:t xml:space="preserve"> </w:t>
      </w:r>
    </w:p>
    <w:p w:rsidR="00E82E81" w:rsidRPr="008E3F1A" w:rsidRDefault="00E82E81" w:rsidP="00E82E81">
      <w:pPr>
        <w:rPr>
          <w:rFonts w:ascii="Arial Narrow" w:hAnsi="Arial Narrow"/>
          <w:color w:val="000000" w:themeColor="text1"/>
          <w:sz w:val="18"/>
          <w:szCs w:val="18"/>
        </w:rPr>
      </w:pPr>
      <w:r w:rsidRPr="008E3F1A">
        <w:rPr>
          <w:rFonts w:ascii="Arial Narrow" w:hAnsi="Arial Narrow"/>
          <w:color w:val="000000" w:themeColor="text1"/>
          <w:sz w:val="18"/>
          <w:szCs w:val="18"/>
        </w:rPr>
        <w:t xml:space="preserve">BV+CHP = brentuximab vedotin with cyclophosphamide, doxorubicin and prednisone; CHOP = cyclophosphamide, doxorubicin, vincristine and prednisone; CI=confidence interval; </w:t>
      </w:r>
      <w:r w:rsidR="006D272D" w:rsidRPr="008E3F1A">
        <w:rPr>
          <w:rFonts w:ascii="Arial Narrow" w:hAnsi="Arial Narrow"/>
          <w:color w:val="000000" w:themeColor="text1"/>
          <w:sz w:val="18"/>
          <w:szCs w:val="18"/>
        </w:rPr>
        <w:t xml:space="preserve">CR = complete remission; </w:t>
      </w:r>
      <w:r w:rsidRPr="008E3F1A">
        <w:rPr>
          <w:rFonts w:ascii="Arial Narrow" w:hAnsi="Arial Narrow"/>
          <w:color w:val="000000" w:themeColor="text1"/>
          <w:sz w:val="18"/>
          <w:szCs w:val="18"/>
        </w:rPr>
        <w:t>ORR = objective rate of response.</w:t>
      </w:r>
    </w:p>
    <w:p w:rsidR="00A924D9" w:rsidRPr="008E3F1A" w:rsidRDefault="00E82E81" w:rsidP="001F3589">
      <w:pPr>
        <w:rPr>
          <w:rFonts w:ascii="Arial Narrow" w:hAnsi="Arial Narrow" w:cs="Times New Roman"/>
          <w:bCs/>
          <w:iCs/>
          <w:snapToGrid w:val="0"/>
          <w:color w:val="000000"/>
          <w:sz w:val="18"/>
          <w:szCs w:val="18"/>
          <w:lang w:eastAsia="en-US"/>
        </w:rPr>
      </w:pPr>
      <w:r w:rsidRPr="008E3F1A">
        <w:rPr>
          <w:rFonts w:ascii="Arial Narrow" w:hAnsi="Arial Narrow"/>
          <w:color w:val="000000" w:themeColor="text1"/>
          <w:sz w:val="18"/>
          <w:szCs w:val="18"/>
        </w:rPr>
        <w:t>Note</w:t>
      </w:r>
      <w:r w:rsidR="001F3589" w:rsidRPr="008E3F1A">
        <w:rPr>
          <w:rFonts w:ascii="Arial Narrow" w:hAnsi="Arial Narrow"/>
          <w:color w:val="000000" w:themeColor="text1"/>
          <w:sz w:val="18"/>
          <w:szCs w:val="18"/>
        </w:rPr>
        <w:t xml:space="preserve">: </w:t>
      </w:r>
      <w:r w:rsidR="00A924D9" w:rsidRPr="008E3F1A">
        <w:rPr>
          <w:rFonts w:ascii="Arial Narrow" w:hAnsi="Arial Narrow" w:cs="Times New Roman"/>
          <w:iCs/>
          <w:snapToGrid w:val="0"/>
          <w:color w:val="000000"/>
          <w:sz w:val="18"/>
          <w:szCs w:val="18"/>
          <w:lang w:eastAsia="en-US"/>
        </w:rPr>
        <w:t>Bold</w:t>
      </w:r>
      <w:r w:rsidR="00A924D9" w:rsidRPr="008E3F1A">
        <w:rPr>
          <w:rFonts w:ascii="Arial Narrow" w:hAnsi="Arial Narrow" w:cs="Times New Roman"/>
          <w:bCs/>
          <w:iCs/>
          <w:snapToGrid w:val="0"/>
          <w:color w:val="000000"/>
          <w:sz w:val="18"/>
          <w:szCs w:val="18"/>
          <w:lang w:eastAsia="en-US"/>
        </w:rPr>
        <w:t xml:space="preserve"> indicates statistically significant difference</w:t>
      </w:r>
      <w:r w:rsidR="006D272D" w:rsidRPr="008E3F1A">
        <w:rPr>
          <w:rFonts w:ascii="Arial Narrow" w:hAnsi="Arial Narrow" w:cs="Times New Roman"/>
          <w:bCs/>
          <w:iCs/>
          <w:snapToGrid w:val="0"/>
          <w:color w:val="000000"/>
          <w:sz w:val="18"/>
          <w:szCs w:val="18"/>
          <w:lang w:eastAsia="en-US"/>
        </w:rPr>
        <w:t>.</w:t>
      </w:r>
    </w:p>
    <w:p w:rsidR="002259B7" w:rsidRPr="008E3F1A" w:rsidRDefault="002259B7" w:rsidP="001F3589">
      <w:pPr>
        <w:rPr>
          <w:rFonts w:ascii="Arial Narrow" w:hAnsi="Arial Narrow" w:cs="Times New Roman"/>
          <w:iCs/>
          <w:snapToGrid w:val="0"/>
          <w:color w:val="000000"/>
          <w:sz w:val="18"/>
          <w:szCs w:val="18"/>
          <w:lang w:eastAsia="en-US"/>
        </w:rPr>
      </w:pPr>
      <w:r w:rsidRPr="008E3F1A">
        <w:rPr>
          <w:rFonts w:ascii="Arial Narrow" w:hAnsi="Arial Narrow" w:cs="Times New Roman"/>
          <w:iCs/>
          <w:snapToGrid w:val="0"/>
          <w:color w:val="000000"/>
          <w:sz w:val="18"/>
          <w:szCs w:val="18"/>
          <w:lang w:eastAsia="en-US"/>
        </w:rPr>
        <w:t>*Values estimated during evaluation using ReviewManager 5.3 software</w:t>
      </w:r>
    </w:p>
    <w:p w:rsidR="006D272D" w:rsidRPr="008E3F1A" w:rsidRDefault="006D272D" w:rsidP="001F3589">
      <w:pPr>
        <w:rPr>
          <w:rFonts w:ascii="Arial Narrow" w:hAnsi="Arial Narrow" w:cs="Times New Roman"/>
          <w:bCs/>
          <w:iCs/>
          <w:snapToGrid w:val="0"/>
          <w:color w:val="000000"/>
          <w:sz w:val="18"/>
          <w:szCs w:val="18"/>
          <w:lang w:eastAsia="en-US"/>
        </w:rPr>
      </w:pPr>
    </w:p>
    <w:p w:rsidR="002259B7" w:rsidRPr="008E3F1A" w:rsidRDefault="002259B7" w:rsidP="009057BA">
      <w:pPr>
        <w:numPr>
          <w:ilvl w:val="1"/>
          <w:numId w:val="1"/>
        </w:numPr>
        <w:spacing w:after="120"/>
        <w:rPr>
          <w:lang w:eastAsia="en-US"/>
        </w:rPr>
      </w:pPr>
      <w:r w:rsidRPr="008E3F1A">
        <w:rPr>
          <w:lang w:eastAsia="en-US"/>
        </w:rPr>
        <w:t>The PSCR stated that in the BV+CHP arm, 10.2% (23/226)</w:t>
      </w:r>
      <w:r w:rsidR="00A61B38" w:rsidRPr="008E3F1A">
        <w:rPr>
          <w:lang w:eastAsia="en-US"/>
        </w:rPr>
        <w:t xml:space="preserve"> of patients</w:t>
      </w:r>
      <w:r w:rsidRPr="008E3F1A">
        <w:rPr>
          <w:lang w:eastAsia="en-US"/>
        </w:rPr>
        <w:t xml:space="preserve"> received a BV-containing regimen in a later line, of which 17 (74%) were sALCL subtype. </w:t>
      </w:r>
      <w:r w:rsidR="0006676E" w:rsidRPr="008E3F1A">
        <w:rPr>
          <w:lang w:eastAsia="en-US"/>
        </w:rPr>
        <w:t>For patients receiving a BV-containing regimen in a</w:t>
      </w:r>
      <w:r w:rsidR="00EF3BDB" w:rsidRPr="008E3F1A">
        <w:rPr>
          <w:lang w:eastAsia="en-US"/>
        </w:rPr>
        <w:t xml:space="preserve"> later line of therapy, 87% </w:t>
      </w:r>
      <w:r w:rsidR="0006676E" w:rsidRPr="008E3F1A">
        <w:rPr>
          <w:lang w:eastAsia="en-US"/>
        </w:rPr>
        <w:t xml:space="preserve">achieved an objective </w:t>
      </w:r>
      <w:r w:rsidR="0006676E" w:rsidRPr="008E3F1A">
        <w:rPr>
          <w:lang w:eastAsia="en-US"/>
        </w:rPr>
        <w:lastRenderedPageBreak/>
        <w:t xml:space="preserve">response to front-line treatment, and the median time from front-line BV treatment to retreatment was 12.3 months (range: 3, 50). The PSCR also stated that overall, 57% (13/23) </w:t>
      </w:r>
      <w:r w:rsidR="00A61B38" w:rsidRPr="008E3F1A">
        <w:rPr>
          <w:lang w:eastAsia="en-US"/>
        </w:rPr>
        <w:t xml:space="preserve">of patients </w:t>
      </w:r>
      <w:r w:rsidR="0006676E" w:rsidRPr="008E3F1A">
        <w:rPr>
          <w:lang w:eastAsia="en-US"/>
        </w:rPr>
        <w:t xml:space="preserve">achieved an objective response </w:t>
      </w:r>
      <w:r w:rsidR="0090712F" w:rsidRPr="008E3F1A">
        <w:rPr>
          <w:lang w:eastAsia="en-US"/>
        </w:rPr>
        <w:t>(per investigator) following re</w:t>
      </w:r>
      <w:r w:rsidR="0006676E" w:rsidRPr="008E3F1A">
        <w:rPr>
          <w:lang w:eastAsia="en-US"/>
        </w:rPr>
        <w:t>treatment with BV. The ESC agreed with PSCR that</w:t>
      </w:r>
      <w:r w:rsidR="00EF3BDB" w:rsidRPr="008E3F1A">
        <w:rPr>
          <w:lang w:eastAsia="en-US"/>
        </w:rPr>
        <w:t>,</w:t>
      </w:r>
      <w:r w:rsidR="0006676E" w:rsidRPr="008E3F1A">
        <w:rPr>
          <w:lang w:eastAsia="en-US"/>
        </w:rPr>
        <w:t xml:space="preserve"> while limited</w:t>
      </w:r>
      <w:r w:rsidR="00EF3BDB" w:rsidRPr="008E3F1A">
        <w:rPr>
          <w:lang w:eastAsia="en-US"/>
        </w:rPr>
        <w:t>,</w:t>
      </w:r>
      <w:r w:rsidR="0006676E" w:rsidRPr="008E3F1A">
        <w:rPr>
          <w:lang w:eastAsia="en-US"/>
        </w:rPr>
        <w:t xml:space="preserve"> the</w:t>
      </w:r>
      <w:r w:rsidR="00EF3BDB" w:rsidRPr="008E3F1A">
        <w:rPr>
          <w:lang w:eastAsia="en-US"/>
        </w:rPr>
        <w:t xml:space="preserve"> data presented </w:t>
      </w:r>
      <w:r w:rsidR="0006676E" w:rsidRPr="008E3F1A">
        <w:rPr>
          <w:lang w:eastAsia="en-US"/>
        </w:rPr>
        <w:t xml:space="preserve">indicated </w:t>
      </w:r>
      <w:r w:rsidR="00EF3BDB" w:rsidRPr="008E3F1A">
        <w:rPr>
          <w:lang w:eastAsia="en-US"/>
        </w:rPr>
        <w:t xml:space="preserve">that </w:t>
      </w:r>
      <w:r w:rsidR="007063F1" w:rsidRPr="008E3F1A">
        <w:rPr>
          <w:lang w:eastAsia="en-US"/>
        </w:rPr>
        <w:t xml:space="preserve">BV monotherapy for </w:t>
      </w:r>
      <w:r w:rsidR="00EF1D26" w:rsidRPr="008E3F1A">
        <w:rPr>
          <w:lang w:eastAsia="en-US"/>
        </w:rPr>
        <w:t xml:space="preserve">relapsed/refractory sALCL </w:t>
      </w:r>
      <w:r w:rsidR="00EF3BDB" w:rsidRPr="008E3F1A">
        <w:rPr>
          <w:lang w:eastAsia="en-US"/>
        </w:rPr>
        <w:t>may be a viable treatment option for patients who achieve a response to front-line BV containing therapy.</w:t>
      </w:r>
    </w:p>
    <w:p w:rsidR="00E220DB" w:rsidRPr="008E3F1A" w:rsidRDefault="004C7F02" w:rsidP="009057BA">
      <w:pPr>
        <w:numPr>
          <w:ilvl w:val="1"/>
          <w:numId w:val="1"/>
        </w:numPr>
        <w:spacing w:after="120"/>
        <w:rPr>
          <w:lang w:eastAsia="en-US"/>
        </w:rPr>
      </w:pPr>
      <w:r w:rsidRPr="008E3F1A">
        <w:rPr>
          <w:rFonts w:asciiTheme="minorHAnsi" w:hAnsiTheme="minorHAnsi"/>
          <w:snapToGrid w:val="0"/>
        </w:rPr>
        <w:t>Patient</w:t>
      </w:r>
      <w:r w:rsidR="00DA1854" w:rsidRPr="008E3F1A">
        <w:rPr>
          <w:rFonts w:asciiTheme="minorHAnsi" w:hAnsiTheme="minorHAnsi"/>
          <w:snapToGrid w:val="0"/>
        </w:rPr>
        <w:t xml:space="preserve"> </w:t>
      </w:r>
      <w:r w:rsidRPr="008E3F1A">
        <w:rPr>
          <w:rFonts w:asciiTheme="minorHAnsi" w:hAnsiTheme="minorHAnsi"/>
          <w:snapToGrid w:val="0"/>
        </w:rPr>
        <w:t>r</w:t>
      </w:r>
      <w:r w:rsidR="00DA1854" w:rsidRPr="008E3F1A">
        <w:rPr>
          <w:rFonts w:asciiTheme="minorHAnsi" w:hAnsiTheme="minorHAnsi"/>
          <w:snapToGrid w:val="0"/>
        </w:rPr>
        <w:t>eported</w:t>
      </w:r>
      <w:r w:rsidRPr="008E3F1A">
        <w:rPr>
          <w:rFonts w:asciiTheme="minorHAnsi" w:hAnsiTheme="minorHAnsi"/>
          <w:snapToGrid w:val="0"/>
        </w:rPr>
        <w:t xml:space="preserve"> </w:t>
      </w:r>
      <w:r w:rsidR="00DA1854" w:rsidRPr="008E3F1A">
        <w:rPr>
          <w:rFonts w:asciiTheme="minorHAnsi" w:hAnsiTheme="minorHAnsi"/>
          <w:snapToGrid w:val="0"/>
        </w:rPr>
        <w:t>outcome</w:t>
      </w:r>
      <w:r w:rsidR="009057BA" w:rsidRPr="008E3F1A">
        <w:rPr>
          <w:rFonts w:asciiTheme="minorHAnsi" w:hAnsiTheme="minorHAnsi"/>
          <w:snapToGrid w:val="0"/>
        </w:rPr>
        <w:t>s</w:t>
      </w:r>
      <w:r w:rsidR="00DA1854" w:rsidRPr="008E3F1A">
        <w:rPr>
          <w:rFonts w:asciiTheme="minorHAnsi" w:hAnsiTheme="minorHAnsi"/>
          <w:snapToGrid w:val="0"/>
        </w:rPr>
        <w:t xml:space="preserve"> </w:t>
      </w:r>
      <w:r w:rsidR="002259B7" w:rsidRPr="008E3F1A">
        <w:rPr>
          <w:rFonts w:asciiTheme="minorHAnsi" w:hAnsiTheme="minorHAnsi"/>
          <w:snapToGrid w:val="0"/>
        </w:rPr>
        <w:t xml:space="preserve">in the ITT population </w:t>
      </w:r>
      <w:r w:rsidR="00DA1854" w:rsidRPr="008E3F1A">
        <w:rPr>
          <w:rFonts w:asciiTheme="minorHAnsi" w:hAnsiTheme="minorHAnsi"/>
          <w:snapToGrid w:val="0"/>
        </w:rPr>
        <w:t xml:space="preserve">were </w:t>
      </w:r>
      <w:r w:rsidRPr="008E3F1A">
        <w:rPr>
          <w:rFonts w:asciiTheme="minorHAnsi" w:hAnsiTheme="minorHAnsi"/>
          <w:snapToGrid w:val="0"/>
        </w:rPr>
        <w:t xml:space="preserve">presented in ECHELON-2 </w:t>
      </w:r>
      <w:r w:rsidR="00CC3DD1" w:rsidRPr="008E3F1A">
        <w:rPr>
          <w:rFonts w:asciiTheme="minorHAnsi" w:hAnsiTheme="minorHAnsi"/>
          <w:snapToGrid w:val="0"/>
        </w:rPr>
        <w:t>using</w:t>
      </w:r>
      <w:r w:rsidRPr="008E3F1A">
        <w:rPr>
          <w:rFonts w:asciiTheme="minorHAnsi" w:hAnsiTheme="minorHAnsi"/>
          <w:snapToGrid w:val="0"/>
        </w:rPr>
        <w:t xml:space="preserve"> three </w:t>
      </w:r>
      <w:r w:rsidR="007B131D" w:rsidRPr="008E3F1A">
        <w:t>health-related quality of life (HRQoL) measures:</w:t>
      </w:r>
      <w:r w:rsidR="0089575F" w:rsidRPr="008E3F1A">
        <w:t xml:space="preserve"> European Organisation for Research and Treatment of Cancer</w:t>
      </w:r>
      <w:r w:rsidR="00203AE2" w:rsidRPr="008E3F1A">
        <w:t xml:space="preserve"> </w:t>
      </w:r>
      <w:r w:rsidR="0089575F" w:rsidRPr="008E3F1A">
        <w:t>Quality of Life Questionnaire – Core 30 (</w:t>
      </w:r>
      <w:r w:rsidR="00E72269" w:rsidRPr="008E3F1A">
        <w:t>EORTC QLQ-C30</w:t>
      </w:r>
      <w:r w:rsidR="0089575F" w:rsidRPr="008E3F1A">
        <w:t>)</w:t>
      </w:r>
      <w:r w:rsidR="00E72269" w:rsidRPr="008E3F1A">
        <w:t>,</w:t>
      </w:r>
      <w:r w:rsidR="0089575F" w:rsidRPr="008E3F1A">
        <w:t xml:space="preserve"> the</w:t>
      </w:r>
      <w:r w:rsidR="00E72269" w:rsidRPr="008E3F1A">
        <w:t xml:space="preserve"> </w:t>
      </w:r>
      <w:r w:rsidR="002C2694" w:rsidRPr="008E3F1A">
        <w:t>European Quality of Life 5-Dimension Questionnaire (</w:t>
      </w:r>
      <w:r w:rsidR="00E72269" w:rsidRPr="008E3F1A">
        <w:t>EQ-5D-3L</w:t>
      </w:r>
      <w:r w:rsidR="002C2694" w:rsidRPr="008E3F1A">
        <w:t>)</w:t>
      </w:r>
      <w:r w:rsidR="00E72269" w:rsidRPr="008E3F1A">
        <w:t xml:space="preserve"> and</w:t>
      </w:r>
      <w:r w:rsidR="00203AE2" w:rsidRPr="008E3F1A">
        <w:t xml:space="preserve"> Functional Assessment of Cancer Therapy/Gynaecologic Oncology Group – Neurotoxicity subscale</w:t>
      </w:r>
      <w:r w:rsidR="001177AD" w:rsidRPr="008E3F1A">
        <w:t xml:space="preserve"> </w:t>
      </w:r>
      <w:r w:rsidR="00203AE2" w:rsidRPr="008E3F1A">
        <w:t>(</w:t>
      </w:r>
      <w:r w:rsidR="001177AD" w:rsidRPr="008E3F1A">
        <w:t>FACT/GOG-NTX</w:t>
      </w:r>
      <w:r w:rsidR="00203AE2" w:rsidRPr="008E3F1A">
        <w:t>)</w:t>
      </w:r>
      <w:r w:rsidR="000532E3" w:rsidRPr="008E3F1A">
        <w:rPr>
          <w:rFonts w:asciiTheme="minorHAnsi" w:hAnsiTheme="minorHAnsi"/>
          <w:i/>
          <w:iCs/>
          <w:snapToGrid w:val="0"/>
        </w:rPr>
        <w:t>.</w:t>
      </w:r>
      <w:r w:rsidR="00CC3DD1" w:rsidRPr="008E3F1A">
        <w:rPr>
          <w:rFonts w:asciiTheme="minorHAnsi" w:hAnsiTheme="minorHAnsi"/>
          <w:i/>
          <w:iCs/>
          <w:snapToGrid w:val="0"/>
        </w:rPr>
        <w:t xml:space="preserve"> </w:t>
      </w:r>
      <w:r w:rsidR="00CC3DD1" w:rsidRPr="008E3F1A">
        <w:rPr>
          <w:rFonts w:asciiTheme="minorHAnsi" w:hAnsiTheme="minorHAnsi"/>
          <w:iCs/>
          <w:snapToGrid w:val="0"/>
        </w:rPr>
        <w:t>The scores from the three instruments appear</w:t>
      </w:r>
      <w:r w:rsidR="00A61B38" w:rsidRPr="008E3F1A">
        <w:rPr>
          <w:rFonts w:asciiTheme="minorHAnsi" w:hAnsiTheme="minorHAnsi"/>
          <w:iCs/>
          <w:snapToGrid w:val="0"/>
        </w:rPr>
        <w:t>ed</w:t>
      </w:r>
      <w:r w:rsidR="00CC3DD1" w:rsidRPr="008E3F1A">
        <w:rPr>
          <w:rFonts w:asciiTheme="minorHAnsi" w:hAnsiTheme="minorHAnsi"/>
          <w:iCs/>
          <w:snapToGrid w:val="0"/>
        </w:rPr>
        <w:t xml:space="preserve"> to follow a similar trend with the mean score improving and being maintained during follow-up</w:t>
      </w:r>
      <w:r w:rsidR="009057BA" w:rsidRPr="008E3F1A">
        <w:rPr>
          <w:rFonts w:asciiTheme="minorHAnsi" w:hAnsiTheme="minorHAnsi"/>
          <w:iCs/>
          <w:snapToGrid w:val="0"/>
        </w:rPr>
        <w:t xml:space="preserve"> for both treatment arms</w:t>
      </w:r>
      <w:r w:rsidR="00CC3DD1" w:rsidRPr="008E3F1A">
        <w:rPr>
          <w:rFonts w:asciiTheme="minorHAnsi" w:hAnsiTheme="minorHAnsi"/>
          <w:iCs/>
          <w:snapToGrid w:val="0"/>
        </w:rPr>
        <w:t>. The submission used the scores derived from the EQ-5D-3L instrument for utility values for the health states in the modelled economic evaluation.</w:t>
      </w:r>
    </w:p>
    <w:p w:rsidR="00B60939" w:rsidRPr="008E3F1A" w:rsidRDefault="00B60939" w:rsidP="00D86231">
      <w:pPr>
        <w:pStyle w:val="4-SubsectionHeading"/>
      </w:pPr>
      <w:bookmarkStart w:id="15" w:name="_Toc22897642"/>
      <w:bookmarkStart w:id="16" w:name="_Toc62055093"/>
      <w:r w:rsidRPr="008E3F1A">
        <w:t>Comparative harms</w:t>
      </w:r>
      <w:bookmarkEnd w:id="15"/>
      <w:bookmarkEnd w:id="16"/>
    </w:p>
    <w:p w:rsidR="00402C19" w:rsidRPr="008E3F1A" w:rsidRDefault="001F3392" w:rsidP="00D86231">
      <w:pPr>
        <w:pStyle w:val="3-BodyText"/>
        <w:rPr>
          <w:color w:val="000000" w:themeColor="text1"/>
        </w:rPr>
      </w:pPr>
      <w:r w:rsidRPr="008E3F1A">
        <w:rPr>
          <w:color w:val="000000" w:themeColor="text1"/>
        </w:rPr>
        <w:t xml:space="preserve">A summary of the </w:t>
      </w:r>
      <w:r w:rsidR="00402C19" w:rsidRPr="008E3F1A">
        <w:rPr>
          <w:color w:val="000000" w:themeColor="text1"/>
        </w:rPr>
        <w:t xml:space="preserve">key adverse events </w:t>
      </w:r>
      <w:r w:rsidR="000907D4" w:rsidRPr="008E3F1A">
        <w:rPr>
          <w:color w:val="000000" w:themeColor="text1"/>
        </w:rPr>
        <w:t>(</w:t>
      </w:r>
      <w:r w:rsidR="00402C19" w:rsidRPr="008E3F1A">
        <w:rPr>
          <w:color w:val="000000" w:themeColor="text1"/>
        </w:rPr>
        <w:t xml:space="preserve">AE) data is presented in Table </w:t>
      </w:r>
      <w:r w:rsidR="00C00747" w:rsidRPr="008E3F1A">
        <w:rPr>
          <w:color w:val="000000" w:themeColor="text1"/>
        </w:rPr>
        <w:t>7</w:t>
      </w:r>
      <w:r w:rsidR="00402C19" w:rsidRPr="008E3F1A">
        <w:rPr>
          <w:color w:val="000000" w:themeColor="text1"/>
        </w:rPr>
        <w:t>.</w:t>
      </w:r>
      <w:r w:rsidR="006E340A" w:rsidRPr="008E3F1A">
        <w:rPr>
          <w:color w:val="000000" w:themeColor="text1"/>
        </w:rPr>
        <w:t xml:space="preserve"> </w:t>
      </w:r>
      <w:r w:rsidR="006E340A" w:rsidRPr="008E3F1A">
        <w:t xml:space="preserve">Overall, the </w:t>
      </w:r>
      <w:r w:rsidR="00973082" w:rsidRPr="008E3F1A">
        <w:t xml:space="preserve">occurrence of the </w:t>
      </w:r>
      <w:r w:rsidR="006E340A" w:rsidRPr="008E3F1A">
        <w:t xml:space="preserve">majority of key AEs </w:t>
      </w:r>
      <w:r w:rsidR="00973082" w:rsidRPr="008E3F1A">
        <w:t xml:space="preserve">was </w:t>
      </w:r>
      <w:r w:rsidR="006E340A" w:rsidRPr="008E3F1A">
        <w:t>not statistically significantly different between BV+CHP and CHOP</w:t>
      </w:r>
      <w:r w:rsidR="002409A8" w:rsidRPr="008E3F1A">
        <w:t>.</w:t>
      </w:r>
      <w:r w:rsidR="00973082" w:rsidRPr="008E3F1A">
        <w:t xml:space="preserve"> </w:t>
      </w:r>
      <w:r w:rsidR="002409A8" w:rsidRPr="008E3F1A">
        <w:t>T</w:t>
      </w:r>
      <w:r w:rsidR="006E340A" w:rsidRPr="008E3F1A">
        <w:t xml:space="preserve">he exception </w:t>
      </w:r>
      <w:r w:rsidR="002409A8" w:rsidRPr="008E3F1A">
        <w:t>was</w:t>
      </w:r>
      <w:r w:rsidR="006E340A" w:rsidRPr="008E3F1A">
        <w:t xml:space="preserve"> </w:t>
      </w:r>
      <w:r w:rsidR="00857531" w:rsidRPr="008E3F1A">
        <w:t>AEs resulting in dose de</w:t>
      </w:r>
      <w:r w:rsidR="0051342F" w:rsidRPr="008E3F1A">
        <w:t>lay</w:t>
      </w:r>
      <w:r w:rsidR="009057BA" w:rsidRPr="008E3F1A">
        <w:t>,</w:t>
      </w:r>
      <w:r w:rsidR="0051342F" w:rsidRPr="008E3F1A">
        <w:t xml:space="preserve"> with </w:t>
      </w:r>
      <w:r w:rsidR="009057BA" w:rsidRPr="008E3F1A">
        <w:t xml:space="preserve">a higher incidence of such events for </w:t>
      </w:r>
      <w:r w:rsidR="0051342F" w:rsidRPr="008E3F1A">
        <w:t xml:space="preserve">BV+CHP </w:t>
      </w:r>
      <w:r w:rsidR="00190A8A" w:rsidRPr="008E3F1A">
        <w:t>(</w:t>
      </w:r>
      <w:r w:rsidR="00973082" w:rsidRPr="008E3F1A">
        <w:t xml:space="preserve">RR = </w:t>
      </w:r>
      <w:r w:rsidR="0051342F" w:rsidRPr="008E3F1A">
        <w:t>2.14</w:t>
      </w:r>
      <w:r w:rsidR="00973082" w:rsidRPr="008E3F1A">
        <w:t>;</w:t>
      </w:r>
      <w:r w:rsidR="0051342F" w:rsidRPr="008E3F1A">
        <w:t xml:space="preserve"> </w:t>
      </w:r>
      <w:r w:rsidR="000907D4" w:rsidRPr="008E3F1A">
        <w:t>95% CI: 1.42, 3.22).</w:t>
      </w:r>
    </w:p>
    <w:p w:rsidR="00B26B3E" w:rsidRPr="008E3F1A" w:rsidRDefault="00B26B3E" w:rsidP="00D86231">
      <w:pPr>
        <w:pStyle w:val="3-BodyText"/>
        <w:rPr>
          <w:color w:val="000000" w:themeColor="text1"/>
        </w:rPr>
      </w:pPr>
      <w:r w:rsidRPr="008E3F1A">
        <w:rPr>
          <w:color w:val="000000" w:themeColor="text1"/>
        </w:rPr>
        <w:t xml:space="preserve">The submission stated that the most commonly occurring </w:t>
      </w:r>
      <w:r w:rsidR="00190A8A" w:rsidRPr="008E3F1A">
        <w:rPr>
          <w:color w:val="000000" w:themeColor="text1"/>
        </w:rPr>
        <w:t>treatment emergen</w:t>
      </w:r>
      <w:r w:rsidR="00973082" w:rsidRPr="008E3F1A">
        <w:rPr>
          <w:color w:val="000000" w:themeColor="text1"/>
        </w:rPr>
        <w:t xml:space="preserve">t </w:t>
      </w:r>
      <w:r w:rsidR="00190A8A" w:rsidRPr="008E3F1A">
        <w:rPr>
          <w:color w:val="000000" w:themeColor="text1"/>
        </w:rPr>
        <w:t>adverse events (</w:t>
      </w:r>
      <w:r w:rsidRPr="008E3F1A">
        <w:rPr>
          <w:color w:val="000000" w:themeColor="text1"/>
        </w:rPr>
        <w:t>TEAEs</w:t>
      </w:r>
      <w:r w:rsidR="00190A8A" w:rsidRPr="008E3F1A">
        <w:rPr>
          <w:color w:val="000000" w:themeColor="text1"/>
        </w:rPr>
        <w:t>)</w:t>
      </w:r>
      <w:r w:rsidR="00973082" w:rsidRPr="008E3F1A">
        <w:rPr>
          <w:color w:val="000000" w:themeColor="text1"/>
        </w:rPr>
        <w:t xml:space="preserve"> were</w:t>
      </w:r>
      <w:r w:rsidRPr="008E3F1A">
        <w:rPr>
          <w:color w:val="000000" w:themeColor="text1"/>
        </w:rPr>
        <w:t xml:space="preserve"> gastrointestinal symptoms (nausea, diarrhoea, vomiting), pyrexia (not related to neutropenia), asthenia and decreased weight </w:t>
      </w:r>
      <w:r w:rsidR="00973082" w:rsidRPr="008E3F1A">
        <w:rPr>
          <w:color w:val="000000" w:themeColor="text1"/>
        </w:rPr>
        <w:t xml:space="preserve">which </w:t>
      </w:r>
      <w:r w:rsidRPr="008E3F1A">
        <w:rPr>
          <w:color w:val="000000" w:themeColor="text1"/>
        </w:rPr>
        <w:t xml:space="preserve">appeared to occur more frequently in the BV+CHP arm. </w:t>
      </w:r>
      <w:r w:rsidRPr="008E3F1A">
        <w:rPr>
          <w:iCs/>
          <w:color w:val="000000" w:themeColor="text1"/>
        </w:rPr>
        <w:t>However, as estimated during the evaluation, only diarrhoea (RD = 0.18; 95% CI: 0.10, 0.26) and vomiting (RD = 0.08; 95% CI: 0.01, 0.16) showed a statistically significant difference between the two treatment arms. The</w:t>
      </w:r>
      <w:r w:rsidR="00973082" w:rsidRPr="008E3F1A">
        <w:rPr>
          <w:iCs/>
          <w:color w:val="000000" w:themeColor="text1"/>
        </w:rPr>
        <w:t xml:space="preserve"> submission presented </w:t>
      </w:r>
      <w:r w:rsidRPr="008E3F1A">
        <w:rPr>
          <w:iCs/>
          <w:color w:val="000000" w:themeColor="text1"/>
        </w:rPr>
        <w:t xml:space="preserve">results </w:t>
      </w:r>
      <w:r w:rsidR="00973082" w:rsidRPr="008E3F1A">
        <w:rPr>
          <w:iCs/>
          <w:color w:val="000000" w:themeColor="text1"/>
        </w:rPr>
        <w:t>for the occurrence of ‘BV or vincristine-related AEs’. T</w:t>
      </w:r>
      <w:r w:rsidRPr="008E3F1A">
        <w:rPr>
          <w:iCs/>
          <w:color w:val="000000" w:themeColor="text1"/>
        </w:rPr>
        <w:t xml:space="preserve">he most frequently occurring </w:t>
      </w:r>
      <w:r w:rsidR="00973082" w:rsidRPr="008E3F1A">
        <w:rPr>
          <w:iCs/>
          <w:color w:val="000000" w:themeColor="text1"/>
        </w:rPr>
        <w:t xml:space="preserve">of these </w:t>
      </w:r>
      <w:r w:rsidRPr="008E3F1A">
        <w:rPr>
          <w:iCs/>
          <w:color w:val="000000" w:themeColor="text1"/>
        </w:rPr>
        <w:t>AEs reported for ≥ 10% of patients showed that only diarrhoea (RD = 0.09; 95% CI: 0.03, 0.15) was statistically significantly different in the BV+CHP arm compared to CHOP.</w:t>
      </w:r>
      <w:r w:rsidR="00D93559" w:rsidRPr="008E3F1A">
        <w:rPr>
          <w:iCs/>
          <w:color w:val="000000" w:themeColor="text1"/>
        </w:rPr>
        <w:t xml:space="preserve"> </w:t>
      </w:r>
      <w:r w:rsidR="00084A78" w:rsidRPr="008E3F1A">
        <w:rPr>
          <w:iCs/>
          <w:color w:val="000000" w:themeColor="text1"/>
        </w:rPr>
        <w:t xml:space="preserve">The </w:t>
      </w:r>
      <w:r w:rsidR="00ED503E" w:rsidRPr="008E3F1A">
        <w:rPr>
          <w:iCs/>
          <w:color w:val="000000" w:themeColor="text1"/>
        </w:rPr>
        <w:t>submission</w:t>
      </w:r>
      <w:r w:rsidR="00084A78" w:rsidRPr="008E3F1A">
        <w:rPr>
          <w:iCs/>
          <w:color w:val="000000" w:themeColor="text1"/>
        </w:rPr>
        <w:t xml:space="preserve"> reported that</w:t>
      </w:r>
      <w:r w:rsidR="00F22E25" w:rsidRPr="008E3F1A">
        <w:rPr>
          <w:iCs/>
          <w:color w:val="000000" w:themeColor="text1"/>
        </w:rPr>
        <w:t xml:space="preserve"> </w:t>
      </w:r>
      <w:r w:rsidR="009057BA" w:rsidRPr="008E3F1A">
        <w:rPr>
          <w:iCs/>
          <w:color w:val="000000" w:themeColor="text1"/>
        </w:rPr>
        <w:t xml:space="preserve">a </w:t>
      </w:r>
      <w:r w:rsidR="00F22E25" w:rsidRPr="008E3F1A">
        <w:rPr>
          <w:iCs/>
          <w:color w:val="000000" w:themeColor="text1"/>
        </w:rPr>
        <w:t>statistically significant difference in</w:t>
      </w:r>
      <w:r w:rsidR="00084A78" w:rsidRPr="008E3F1A">
        <w:rPr>
          <w:iCs/>
          <w:color w:val="000000" w:themeColor="text1"/>
        </w:rPr>
        <w:t xml:space="preserve"> Grade 3 or higher AEs occurring in </w:t>
      </w:r>
      <w:r w:rsidR="00084A78" w:rsidRPr="008E3F1A">
        <w:rPr>
          <w:rFonts w:cstheme="minorHAnsi"/>
          <w:iCs/>
          <w:color w:val="000000" w:themeColor="text1"/>
        </w:rPr>
        <w:t>≥</w:t>
      </w:r>
      <w:r w:rsidR="00084A78" w:rsidRPr="008E3F1A">
        <w:rPr>
          <w:iCs/>
          <w:color w:val="000000" w:themeColor="text1"/>
        </w:rPr>
        <w:t xml:space="preserve"> 2% of </w:t>
      </w:r>
      <w:r w:rsidR="00ED503E" w:rsidRPr="008E3F1A">
        <w:rPr>
          <w:iCs/>
          <w:color w:val="000000" w:themeColor="text1"/>
        </w:rPr>
        <w:t>patients</w:t>
      </w:r>
      <w:r w:rsidR="00084A78" w:rsidRPr="008E3F1A">
        <w:rPr>
          <w:iCs/>
          <w:color w:val="000000" w:themeColor="text1"/>
        </w:rPr>
        <w:t xml:space="preserve"> was on</w:t>
      </w:r>
      <w:r w:rsidR="00F22E25" w:rsidRPr="008E3F1A">
        <w:rPr>
          <w:iCs/>
          <w:color w:val="000000" w:themeColor="text1"/>
        </w:rPr>
        <w:t>ly reported for</w:t>
      </w:r>
      <w:r w:rsidR="00084A78" w:rsidRPr="008E3F1A">
        <w:rPr>
          <w:iCs/>
          <w:color w:val="000000" w:themeColor="text1"/>
        </w:rPr>
        <w:t xml:space="preserve"> </w:t>
      </w:r>
      <w:r w:rsidR="00ED503E" w:rsidRPr="008E3F1A">
        <w:rPr>
          <w:iCs/>
          <w:color w:val="000000" w:themeColor="text1"/>
        </w:rPr>
        <w:t>diarrhoea</w:t>
      </w:r>
      <w:r w:rsidR="006C2A2C" w:rsidRPr="008E3F1A">
        <w:rPr>
          <w:iCs/>
          <w:color w:val="000000" w:themeColor="text1"/>
        </w:rPr>
        <w:t xml:space="preserve"> (RD = 0.05; 95%CI</w:t>
      </w:r>
      <w:r w:rsidR="00ED503E" w:rsidRPr="008E3F1A">
        <w:rPr>
          <w:iCs/>
          <w:color w:val="000000" w:themeColor="text1"/>
        </w:rPr>
        <w:t xml:space="preserve">: </w:t>
      </w:r>
      <w:r w:rsidR="006C2A2C" w:rsidRPr="008E3F1A">
        <w:rPr>
          <w:iCs/>
          <w:color w:val="000000" w:themeColor="text1"/>
        </w:rPr>
        <w:t>0.02, 0.08)</w:t>
      </w:r>
      <w:r w:rsidR="00ED503E" w:rsidRPr="008E3F1A">
        <w:rPr>
          <w:iCs/>
          <w:color w:val="000000" w:themeColor="text1"/>
        </w:rPr>
        <w:t>.</w:t>
      </w:r>
    </w:p>
    <w:p w:rsidR="008D5536" w:rsidRPr="008E3F1A" w:rsidRDefault="008D5536" w:rsidP="00D86231">
      <w:pPr>
        <w:pStyle w:val="3-BodyText"/>
        <w:rPr>
          <w:color w:val="000000" w:themeColor="text1"/>
        </w:rPr>
      </w:pPr>
      <w:r w:rsidRPr="008E3F1A">
        <w:rPr>
          <w:color w:val="000000" w:themeColor="text1"/>
        </w:rPr>
        <w:t>The submission stated that Grade 3 or higher AEs occurring in ≥ 10% of patients (neutropenia, febrile neutropenia and anaemia) were consistent in incidence and severity between the treatment arms.</w:t>
      </w:r>
    </w:p>
    <w:p w:rsidR="0099292D" w:rsidRPr="008E3F1A" w:rsidRDefault="0099292D" w:rsidP="00A50809">
      <w:pPr>
        <w:pStyle w:val="3-BodyText"/>
        <w:rPr>
          <w:color w:val="000000" w:themeColor="text1"/>
        </w:rPr>
      </w:pPr>
      <w:r w:rsidRPr="008E3F1A">
        <w:rPr>
          <w:color w:val="000000" w:themeColor="text1"/>
        </w:rPr>
        <w:t xml:space="preserve">The submission stated that peripheral sensory neuropathy and peripheral motor neuropathy were the most common causes of dose reductions in both treatment arms of ECHELON-2 (5% and 2%, respectively, in the BV+CHP arm and 2% and 4% in the CHOP arm, respectively). Peripheral neuropathy led to treatment discontinuations in </w:t>
      </w:r>
      <w:r w:rsidRPr="008E3F1A">
        <w:rPr>
          <w:color w:val="000000" w:themeColor="text1"/>
        </w:rPr>
        <w:lastRenderedPageBreak/>
        <w:t>three patients (1%) in the BV+CHP arm and five patients (2%) in the CHOP arm. The submission stated that the peripheral neuropathy observed with BV+CHP was manageable with dose modifications without a clinically meaningful impact on the overall dose intensity and appeared largely reversible within the observation period.</w:t>
      </w:r>
    </w:p>
    <w:p w:rsidR="0099292D" w:rsidRPr="008E3F1A" w:rsidRDefault="00EB6975" w:rsidP="002C7FEE">
      <w:pPr>
        <w:pStyle w:val="3-BodyText"/>
        <w:rPr>
          <w:color w:val="000000" w:themeColor="text1"/>
        </w:rPr>
      </w:pPr>
      <w:r w:rsidRPr="008E3F1A">
        <w:rPr>
          <w:color w:val="000000" w:themeColor="text1"/>
        </w:rPr>
        <w:t xml:space="preserve">The </w:t>
      </w:r>
      <w:r w:rsidR="0099292D" w:rsidRPr="008E3F1A">
        <w:rPr>
          <w:color w:val="000000" w:themeColor="text1"/>
        </w:rPr>
        <w:t xml:space="preserve">submission stated that both BV+CHP and CHOP had similar rates of treatment-emergent neutropenia (38% vs 38%, respectively), febrile neutropenia (18% vs 15%, respectively) and infections (52% vs 45%, respectively). Primary prophylaxis with G-CSF was administered to 75 (34%) patients in the BV+CHP treatment arm and 61 (27%) patients in the CHOP arm. Grade 3 febrile neutropenia was observed in 36/41 (88%) patients on BV+CHP and in 26/33 (79%) on CHOP. One fatal (Grade 5) event was reported in the CHOP treatment arm. </w:t>
      </w:r>
    </w:p>
    <w:p w:rsidR="00B97652" w:rsidRPr="008E3F1A" w:rsidRDefault="00B97652" w:rsidP="00EB6975">
      <w:pPr>
        <w:pStyle w:val="3-BodyText"/>
        <w:rPr>
          <w:color w:val="000000" w:themeColor="text1"/>
        </w:rPr>
      </w:pPr>
      <w:r w:rsidRPr="008E3F1A">
        <w:rPr>
          <w:color w:val="000000" w:themeColor="text1"/>
        </w:rPr>
        <w:t>The submission stated that Grade 3 and above anaemia occurred in 30 (13%) BV+CHP patients and 23 (10%) CHOP patients. However, there was only one SAE of anaemia in each arm, both of which resulted in discontinuation.</w:t>
      </w:r>
    </w:p>
    <w:p w:rsidR="00B60939" w:rsidRPr="008E3F1A" w:rsidRDefault="00173565" w:rsidP="00D86231">
      <w:pPr>
        <w:pStyle w:val="TableFigureHeading"/>
        <w:rPr>
          <w:rStyle w:val="CommentReference"/>
          <w:b/>
          <w:szCs w:val="24"/>
        </w:rPr>
      </w:pPr>
      <w:r w:rsidRPr="008E3F1A">
        <w:rPr>
          <w:rStyle w:val="CommentReference"/>
          <w:b/>
          <w:szCs w:val="24"/>
        </w:rPr>
        <w:t xml:space="preserve">Table </w:t>
      </w:r>
      <w:r w:rsidR="00C00747" w:rsidRPr="008E3F1A">
        <w:rPr>
          <w:rStyle w:val="CommentReference"/>
          <w:b/>
          <w:szCs w:val="24"/>
        </w:rPr>
        <w:t>7</w:t>
      </w:r>
      <w:r w:rsidR="005D26B4" w:rsidRPr="008E3F1A">
        <w:rPr>
          <w:rStyle w:val="CommentReference"/>
          <w:b/>
          <w:szCs w:val="24"/>
        </w:rPr>
        <w:t>:</w:t>
      </w:r>
      <w:r w:rsidR="00BC591F" w:rsidRPr="008E3F1A">
        <w:rPr>
          <w:rStyle w:val="CommentReference"/>
          <w:b/>
          <w:szCs w:val="24"/>
        </w:rPr>
        <w:t xml:space="preserve"> </w:t>
      </w:r>
      <w:r w:rsidR="005D26B4" w:rsidRPr="008E3F1A">
        <w:rPr>
          <w:rStyle w:val="CommentReference"/>
          <w:b/>
          <w:szCs w:val="24"/>
        </w:rPr>
        <w:t xml:space="preserve">Summary of key adverse events in </w:t>
      </w:r>
      <w:r w:rsidR="000907D4" w:rsidRPr="008E3F1A">
        <w:rPr>
          <w:rStyle w:val="CommentReference"/>
          <w:b/>
          <w:szCs w:val="24"/>
        </w:rPr>
        <w:t>ECHELON-2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9"/>
        <w:gridCol w:w="1791"/>
        <w:gridCol w:w="1793"/>
        <w:gridCol w:w="1784"/>
        <w:gridCol w:w="1780"/>
      </w:tblGrid>
      <w:tr w:rsidR="001A0CFF" w:rsidRPr="008E3F1A" w:rsidTr="001A0CFF">
        <w:trPr>
          <w:cantSplit/>
          <w:tblHeader/>
        </w:trPr>
        <w:tc>
          <w:tcPr>
            <w:tcW w:w="1036" w:type="pct"/>
            <w:vAlign w:val="center"/>
          </w:tcPr>
          <w:p w:rsidR="001A0CFF" w:rsidRPr="008E3F1A" w:rsidRDefault="001A0CFF" w:rsidP="009057BA">
            <w:pPr>
              <w:pStyle w:val="In-tableHeading"/>
              <w:keepNext w:val="0"/>
              <w:widowControl w:val="0"/>
              <w:rPr>
                <w:lang w:val="en-AU"/>
              </w:rPr>
            </w:pPr>
            <w:r w:rsidRPr="008E3F1A">
              <w:rPr>
                <w:lang w:val="en-AU"/>
              </w:rPr>
              <w:t>Trial ID</w:t>
            </w:r>
          </w:p>
        </w:tc>
        <w:tc>
          <w:tcPr>
            <w:tcW w:w="993" w:type="pct"/>
            <w:vAlign w:val="center"/>
          </w:tcPr>
          <w:p w:rsidR="001A0CFF" w:rsidRPr="008E3F1A" w:rsidRDefault="001A0CFF" w:rsidP="009057BA">
            <w:pPr>
              <w:pStyle w:val="In-tableHeading"/>
              <w:keepNext w:val="0"/>
              <w:widowControl w:val="0"/>
              <w:jc w:val="center"/>
              <w:rPr>
                <w:lang w:val="en-AU"/>
              </w:rPr>
            </w:pPr>
            <w:r w:rsidRPr="008E3F1A">
              <w:rPr>
                <w:lang w:val="en-AU"/>
              </w:rPr>
              <w:t>BV+CHP</w:t>
            </w:r>
          </w:p>
          <w:p w:rsidR="001A0CFF" w:rsidRPr="008E3F1A" w:rsidRDefault="001A0CFF" w:rsidP="009057BA">
            <w:pPr>
              <w:pStyle w:val="In-tableHeading"/>
              <w:keepNext w:val="0"/>
              <w:widowControl w:val="0"/>
              <w:jc w:val="center"/>
              <w:rPr>
                <w:lang w:val="en-AU"/>
              </w:rPr>
            </w:pPr>
            <w:r w:rsidRPr="008E3F1A">
              <w:rPr>
                <w:lang w:val="en-AU"/>
              </w:rPr>
              <w:t>n with event/N (%)</w:t>
            </w:r>
          </w:p>
        </w:tc>
        <w:tc>
          <w:tcPr>
            <w:tcW w:w="994" w:type="pct"/>
            <w:vAlign w:val="center"/>
          </w:tcPr>
          <w:p w:rsidR="001A0CFF" w:rsidRPr="008E3F1A" w:rsidRDefault="001A0CFF" w:rsidP="009057BA">
            <w:pPr>
              <w:pStyle w:val="In-tableHeading"/>
              <w:keepNext w:val="0"/>
              <w:widowControl w:val="0"/>
              <w:jc w:val="center"/>
              <w:rPr>
                <w:lang w:val="en-AU"/>
              </w:rPr>
            </w:pPr>
            <w:r w:rsidRPr="008E3F1A">
              <w:rPr>
                <w:lang w:val="en-AU"/>
              </w:rPr>
              <w:t>CHOP</w:t>
            </w:r>
          </w:p>
          <w:p w:rsidR="001A0CFF" w:rsidRPr="008E3F1A" w:rsidRDefault="001A0CFF" w:rsidP="009057BA">
            <w:pPr>
              <w:pStyle w:val="In-tableHeading"/>
              <w:keepNext w:val="0"/>
              <w:widowControl w:val="0"/>
              <w:jc w:val="center"/>
              <w:rPr>
                <w:lang w:val="en-AU"/>
              </w:rPr>
            </w:pPr>
            <w:r w:rsidRPr="008E3F1A">
              <w:rPr>
                <w:lang w:val="en-AU"/>
              </w:rPr>
              <w:t>n with event/N (%)</w:t>
            </w:r>
          </w:p>
        </w:tc>
        <w:tc>
          <w:tcPr>
            <w:tcW w:w="989" w:type="pct"/>
            <w:vAlign w:val="center"/>
          </w:tcPr>
          <w:p w:rsidR="001A0CFF" w:rsidRPr="008E3F1A" w:rsidRDefault="001A0CFF" w:rsidP="009057BA">
            <w:pPr>
              <w:pStyle w:val="In-tableHeading"/>
              <w:keepNext w:val="0"/>
              <w:widowControl w:val="0"/>
              <w:jc w:val="center"/>
              <w:rPr>
                <w:lang w:val="en-AU"/>
              </w:rPr>
            </w:pPr>
            <w:r w:rsidRPr="008E3F1A">
              <w:rPr>
                <w:lang w:val="en-AU"/>
              </w:rPr>
              <w:t>RD</w:t>
            </w:r>
            <w:r w:rsidR="00D917AF" w:rsidRPr="008E3F1A">
              <w:rPr>
                <w:lang w:val="en-AU"/>
              </w:rPr>
              <w:t xml:space="preserve"> </w:t>
            </w:r>
            <w:r w:rsidRPr="008E3F1A">
              <w:rPr>
                <w:lang w:val="en-AU"/>
              </w:rPr>
              <w:t>(95% CI)</w:t>
            </w:r>
          </w:p>
        </w:tc>
        <w:tc>
          <w:tcPr>
            <w:tcW w:w="987" w:type="pct"/>
            <w:vAlign w:val="center"/>
          </w:tcPr>
          <w:p w:rsidR="001A0CFF" w:rsidRPr="008E3F1A" w:rsidRDefault="001A0CFF" w:rsidP="009057BA">
            <w:pPr>
              <w:pStyle w:val="In-tableHeading"/>
              <w:keepNext w:val="0"/>
              <w:widowControl w:val="0"/>
              <w:jc w:val="center"/>
              <w:rPr>
                <w:lang w:val="en-AU"/>
              </w:rPr>
            </w:pPr>
            <w:r w:rsidRPr="008E3F1A">
              <w:rPr>
                <w:lang w:val="en-AU"/>
              </w:rPr>
              <w:t>RR (95% CI)</w:t>
            </w:r>
          </w:p>
        </w:tc>
      </w:tr>
      <w:tr w:rsidR="00104643" w:rsidRPr="008E3F1A" w:rsidTr="00A50809">
        <w:trPr>
          <w:cantSplit/>
        </w:trPr>
        <w:tc>
          <w:tcPr>
            <w:tcW w:w="1036" w:type="pct"/>
          </w:tcPr>
          <w:p w:rsidR="00104643" w:rsidRPr="008E3F1A" w:rsidRDefault="00104643" w:rsidP="009057BA">
            <w:pPr>
              <w:pStyle w:val="TableText0"/>
              <w:keepNext w:val="0"/>
              <w:widowControl w:val="0"/>
            </w:pPr>
            <w:r w:rsidRPr="008E3F1A">
              <w:t>Patients with any TEAE</w:t>
            </w:r>
          </w:p>
        </w:tc>
        <w:tc>
          <w:tcPr>
            <w:tcW w:w="993" w:type="pct"/>
          </w:tcPr>
          <w:p w:rsidR="00104643" w:rsidRPr="008E3F1A" w:rsidRDefault="00104643" w:rsidP="009057BA">
            <w:pPr>
              <w:pStyle w:val="TableText0"/>
              <w:keepNext w:val="0"/>
              <w:widowControl w:val="0"/>
              <w:jc w:val="center"/>
            </w:pPr>
            <w:r w:rsidRPr="008E3F1A">
              <w:t>221</w:t>
            </w:r>
            <w:r w:rsidR="00FB270E" w:rsidRPr="008E3F1A">
              <w:t>/22</w:t>
            </w:r>
            <w:r w:rsidR="007E3D24" w:rsidRPr="008E3F1A">
              <w:t>3</w:t>
            </w:r>
            <w:r w:rsidRPr="008E3F1A">
              <w:t xml:space="preserve"> (99)</w:t>
            </w:r>
          </w:p>
        </w:tc>
        <w:tc>
          <w:tcPr>
            <w:tcW w:w="994" w:type="pct"/>
          </w:tcPr>
          <w:p w:rsidR="00104643" w:rsidRPr="008E3F1A" w:rsidRDefault="00104643" w:rsidP="009057BA">
            <w:pPr>
              <w:pStyle w:val="TableText0"/>
              <w:keepNext w:val="0"/>
              <w:widowControl w:val="0"/>
              <w:jc w:val="center"/>
            </w:pPr>
            <w:r w:rsidRPr="008E3F1A">
              <w:t>221</w:t>
            </w:r>
            <w:r w:rsidR="007E3D24" w:rsidRPr="008E3F1A">
              <w:t>/226</w:t>
            </w:r>
            <w:r w:rsidRPr="008E3F1A">
              <w:t xml:space="preserve"> (98)</w:t>
            </w:r>
          </w:p>
        </w:tc>
        <w:tc>
          <w:tcPr>
            <w:tcW w:w="989" w:type="pct"/>
          </w:tcPr>
          <w:p w:rsidR="00104643" w:rsidRPr="008E3F1A" w:rsidRDefault="00104643" w:rsidP="009057BA">
            <w:pPr>
              <w:pStyle w:val="TableText0"/>
              <w:keepNext w:val="0"/>
              <w:widowControl w:val="0"/>
              <w:jc w:val="center"/>
            </w:pPr>
            <w:r w:rsidRPr="008E3F1A">
              <w:t>0.01 (-0.01, 0.04)</w:t>
            </w:r>
          </w:p>
        </w:tc>
        <w:tc>
          <w:tcPr>
            <w:tcW w:w="987" w:type="pct"/>
          </w:tcPr>
          <w:p w:rsidR="00104643" w:rsidRPr="008E3F1A" w:rsidRDefault="00104643" w:rsidP="009057BA">
            <w:pPr>
              <w:pStyle w:val="TableText0"/>
              <w:keepNext w:val="0"/>
              <w:widowControl w:val="0"/>
              <w:jc w:val="center"/>
            </w:pPr>
            <w:r w:rsidRPr="008E3F1A">
              <w:t>1.01 (0.99, 1.04)</w:t>
            </w:r>
          </w:p>
        </w:tc>
      </w:tr>
      <w:tr w:rsidR="00104643" w:rsidRPr="008E3F1A" w:rsidTr="00A50809">
        <w:trPr>
          <w:cantSplit/>
        </w:trPr>
        <w:tc>
          <w:tcPr>
            <w:tcW w:w="1036" w:type="pct"/>
          </w:tcPr>
          <w:p w:rsidR="00104643" w:rsidRPr="008E3F1A" w:rsidRDefault="00104643" w:rsidP="009057BA">
            <w:pPr>
              <w:pStyle w:val="TableText0"/>
              <w:keepNext w:val="0"/>
              <w:widowControl w:val="0"/>
            </w:pPr>
            <w:r w:rsidRPr="008E3F1A">
              <w:t>Patients with any BV or vincristine-related event</w:t>
            </w:r>
          </w:p>
        </w:tc>
        <w:tc>
          <w:tcPr>
            <w:tcW w:w="993" w:type="pct"/>
          </w:tcPr>
          <w:p w:rsidR="00104643" w:rsidRPr="008E3F1A" w:rsidRDefault="00104643" w:rsidP="009057BA">
            <w:pPr>
              <w:pStyle w:val="TableText0"/>
              <w:keepNext w:val="0"/>
              <w:widowControl w:val="0"/>
              <w:jc w:val="center"/>
            </w:pPr>
            <w:r w:rsidRPr="008E3F1A">
              <w:t>201</w:t>
            </w:r>
            <w:r w:rsidR="007E3D24" w:rsidRPr="008E3F1A">
              <w:t>/223</w:t>
            </w:r>
            <w:r w:rsidRPr="008E3F1A">
              <w:t xml:space="preserve"> (90)</w:t>
            </w:r>
          </w:p>
        </w:tc>
        <w:tc>
          <w:tcPr>
            <w:tcW w:w="994" w:type="pct"/>
          </w:tcPr>
          <w:p w:rsidR="00104643" w:rsidRPr="008E3F1A" w:rsidRDefault="00104643" w:rsidP="009057BA">
            <w:pPr>
              <w:pStyle w:val="TableText0"/>
              <w:keepNext w:val="0"/>
              <w:widowControl w:val="0"/>
              <w:jc w:val="center"/>
            </w:pPr>
            <w:r w:rsidRPr="008E3F1A">
              <w:t>193</w:t>
            </w:r>
            <w:r w:rsidR="007E3D24" w:rsidRPr="008E3F1A">
              <w:t>/226</w:t>
            </w:r>
            <w:r w:rsidRPr="008E3F1A">
              <w:t xml:space="preserve"> (85)</w:t>
            </w:r>
          </w:p>
        </w:tc>
        <w:tc>
          <w:tcPr>
            <w:tcW w:w="989" w:type="pct"/>
          </w:tcPr>
          <w:p w:rsidR="00104643" w:rsidRPr="008E3F1A" w:rsidRDefault="00104643" w:rsidP="009057BA">
            <w:pPr>
              <w:pStyle w:val="TableText0"/>
              <w:keepNext w:val="0"/>
              <w:widowControl w:val="0"/>
              <w:jc w:val="center"/>
            </w:pPr>
            <w:r w:rsidRPr="008E3F1A">
              <w:t>0.05 (-0.01, 0.11)</w:t>
            </w:r>
          </w:p>
        </w:tc>
        <w:tc>
          <w:tcPr>
            <w:tcW w:w="987" w:type="pct"/>
          </w:tcPr>
          <w:p w:rsidR="00104643" w:rsidRPr="008E3F1A" w:rsidRDefault="00104643" w:rsidP="009057BA">
            <w:pPr>
              <w:pStyle w:val="TableText0"/>
              <w:keepNext w:val="0"/>
              <w:widowControl w:val="0"/>
              <w:jc w:val="center"/>
            </w:pPr>
            <w:r w:rsidRPr="008E3F1A">
              <w:t>1.06 (0.98, 1.13)</w:t>
            </w:r>
          </w:p>
        </w:tc>
      </w:tr>
      <w:tr w:rsidR="00104643" w:rsidRPr="008E3F1A" w:rsidTr="00A50809">
        <w:trPr>
          <w:cantSplit/>
        </w:trPr>
        <w:tc>
          <w:tcPr>
            <w:tcW w:w="1036" w:type="pct"/>
          </w:tcPr>
          <w:p w:rsidR="00104643" w:rsidRPr="008E3F1A" w:rsidRDefault="00104643" w:rsidP="009057BA">
            <w:pPr>
              <w:pStyle w:val="TableText0"/>
              <w:keepNext w:val="0"/>
              <w:widowControl w:val="0"/>
            </w:pPr>
            <w:r w:rsidRPr="008E3F1A">
              <w:t>Patients with any CHP treatment-related event</w:t>
            </w:r>
          </w:p>
        </w:tc>
        <w:tc>
          <w:tcPr>
            <w:tcW w:w="993" w:type="pct"/>
          </w:tcPr>
          <w:p w:rsidR="00104643" w:rsidRPr="008E3F1A" w:rsidRDefault="00104643" w:rsidP="009057BA">
            <w:pPr>
              <w:pStyle w:val="TableText0"/>
              <w:keepNext w:val="0"/>
              <w:widowControl w:val="0"/>
              <w:jc w:val="center"/>
            </w:pPr>
            <w:r w:rsidRPr="008E3F1A">
              <w:t>198</w:t>
            </w:r>
            <w:r w:rsidR="007E3D24" w:rsidRPr="008E3F1A">
              <w:t>/223</w:t>
            </w:r>
            <w:r w:rsidRPr="008E3F1A">
              <w:t xml:space="preserve"> (89)</w:t>
            </w:r>
          </w:p>
        </w:tc>
        <w:tc>
          <w:tcPr>
            <w:tcW w:w="994" w:type="pct"/>
          </w:tcPr>
          <w:p w:rsidR="00104643" w:rsidRPr="008E3F1A" w:rsidRDefault="00104643" w:rsidP="009057BA">
            <w:pPr>
              <w:pStyle w:val="TableText0"/>
              <w:keepNext w:val="0"/>
              <w:widowControl w:val="0"/>
              <w:jc w:val="center"/>
            </w:pPr>
            <w:r w:rsidRPr="008E3F1A">
              <w:t>205</w:t>
            </w:r>
            <w:r w:rsidR="007E3D24" w:rsidRPr="008E3F1A">
              <w:t>/226</w:t>
            </w:r>
            <w:r w:rsidRPr="008E3F1A">
              <w:t xml:space="preserve"> (91)</w:t>
            </w:r>
          </w:p>
        </w:tc>
        <w:tc>
          <w:tcPr>
            <w:tcW w:w="989" w:type="pct"/>
          </w:tcPr>
          <w:p w:rsidR="00104643" w:rsidRPr="008E3F1A" w:rsidRDefault="00104643" w:rsidP="009057BA">
            <w:pPr>
              <w:pStyle w:val="TableText0"/>
              <w:keepNext w:val="0"/>
              <w:widowControl w:val="0"/>
              <w:jc w:val="center"/>
            </w:pPr>
            <w:r w:rsidRPr="008E3F1A">
              <w:t>-0.02 (-0.08, 0.04)</w:t>
            </w:r>
          </w:p>
        </w:tc>
        <w:tc>
          <w:tcPr>
            <w:tcW w:w="987" w:type="pct"/>
          </w:tcPr>
          <w:p w:rsidR="00104643" w:rsidRPr="008E3F1A" w:rsidRDefault="00104643" w:rsidP="009057BA">
            <w:pPr>
              <w:pStyle w:val="TableText0"/>
              <w:keepNext w:val="0"/>
              <w:widowControl w:val="0"/>
              <w:jc w:val="center"/>
            </w:pPr>
            <w:r w:rsidRPr="008E3F1A">
              <w:t>0.98 (0.92, 1.04)</w:t>
            </w:r>
          </w:p>
        </w:tc>
      </w:tr>
      <w:tr w:rsidR="00104643" w:rsidRPr="008E3F1A" w:rsidTr="00A50809">
        <w:trPr>
          <w:cantSplit/>
        </w:trPr>
        <w:tc>
          <w:tcPr>
            <w:tcW w:w="1036" w:type="pct"/>
          </w:tcPr>
          <w:p w:rsidR="00104643" w:rsidRPr="008E3F1A" w:rsidRDefault="00104643" w:rsidP="009057BA">
            <w:pPr>
              <w:pStyle w:val="TableText0"/>
              <w:keepNext w:val="0"/>
              <w:widowControl w:val="0"/>
            </w:pPr>
            <w:r w:rsidRPr="008E3F1A">
              <w:t>Patients with any Grade 3 or higher TEAE</w:t>
            </w:r>
          </w:p>
        </w:tc>
        <w:tc>
          <w:tcPr>
            <w:tcW w:w="993" w:type="pct"/>
          </w:tcPr>
          <w:p w:rsidR="00104643" w:rsidRPr="008E3F1A" w:rsidRDefault="00104643" w:rsidP="009057BA">
            <w:pPr>
              <w:pStyle w:val="TableText0"/>
              <w:keepNext w:val="0"/>
              <w:widowControl w:val="0"/>
              <w:jc w:val="center"/>
            </w:pPr>
            <w:r w:rsidRPr="008E3F1A">
              <w:t>147</w:t>
            </w:r>
            <w:r w:rsidR="007E3D24" w:rsidRPr="008E3F1A">
              <w:t>/223</w:t>
            </w:r>
            <w:r w:rsidRPr="008E3F1A">
              <w:t xml:space="preserve"> (66)</w:t>
            </w:r>
          </w:p>
        </w:tc>
        <w:tc>
          <w:tcPr>
            <w:tcW w:w="994" w:type="pct"/>
          </w:tcPr>
          <w:p w:rsidR="00104643" w:rsidRPr="008E3F1A" w:rsidRDefault="00104643" w:rsidP="009057BA">
            <w:pPr>
              <w:pStyle w:val="TableText0"/>
              <w:keepNext w:val="0"/>
              <w:widowControl w:val="0"/>
              <w:jc w:val="center"/>
            </w:pPr>
            <w:r w:rsidRPr="008E3F1A">
              <w:t>146</w:t>
            </w:r>
            <w:r w:rsidR="007E3D24" w:rsidRPr="008E3F1A">
              <w:t>/226</w:t>
            </w:r>
            <w:r w:rsidRPr="008E3F1A">
              <w:t xml:space="preserve"> (65)</w:t>
            </w:r>
          </w:p>
        </w:tc>
        <w:tc>
          <w:tcPr>
            <w:tcW w:w="989" w:type="pct"/>
          </w:tcPr>
          <w:p w:rsidR="00104643" w:rsidRPr="008E3F1A" w:rsidRDefault="00104643" w:rsidP="009057BA">
            <w:pPr>
              <w:pStyle w:val="TableText0"/>
              <w:keepNext w:val="0"/>
              <w:widowControl w:val="0"/>
              <w:jc w:val="center"/>
            </w:pPr>
            <w:r w:rsidRPr="008E3F1A">
              <w:t>0.01 (-0.07, 0.10)</w:t>
            </w:r>
          </w:p>
        </w:tc>
        <w:tc>
          <w:tcPr>
            <w:tcW w:w="987" w:type="pct"/>
          </w:tcPr>
          <w:p w:rsidR="00104643" w:rsidRPr="008E3F1A" w:rsidRDefault="00104643" w:rsidP="009057BA">
            <w:pPr>
              <w:pStyle w:val="TableText0"/>
              <w:keepNext w:val="0"/>
              <w:widowControl w:val="0"/>
              <w:jc w:val="center"/>
            </w:pPr>
            <w:r w:rsidRPr="008E3F1A">
              <w:t>1.02 (0.89, 1.17)</w:t>
            </w:r>
          </w:p>
        </w:tc>
      </w:tr>
      <w:tr w:rsidR="00104643" w:rsidRPr="008E3F1A" w:rsidTr="00A50809">
        <w:trPr>
          <w:cantSplit/>
        </w:trPr>
        <w:tc>
          <w:tcPr>
            <w:tcW w:w="1036" w:type="pct"/>
          </w:tcPr>
          <w:p w:rsidR="00104643" w:rsidRPr="008E3F1A" w:rsidRDefault="00104643" w:rsidP="009057BA">
            <w:pPr>
              <w:pStyle w:val="TableText0"/>
              <w:keepNext w:val="0"/>
              <w:widowControl w:val="0"/>
            </w:pPr>
            <w:r w:rsidRPr="008E3F1A">
              <w:t>Patients with any Grade 3 or higher BV or vincristine-related event</w:t>
            </w:r>
          </w:p>
        </w:tc>
        <w:tc>
          <w:tcPr>
            <w:tcW w:w="993" w:type="pct"/>
          </w:tcPr>
          <w:p w:rsidR="00104643" w:rsidRPr="008E3F1A" w:rsidRDefault="00104643" w:rsidP="009057BA">
            <w:pPr>
              <w:pStyle w:val="TableText0"/>
              <w:keepNext w:val="0"/>
              <w:widowControl w:val="0"/>
              <w:jc w:val="center"/>
            </w:pPr>
            <w:r w:rsidRPr="008E3F1A">
              <w:t>116</w:t>
            </w:r>
            <w:r w:rsidR="007E3D24" w:rsidRPr="008E3F1A">
              <w:t>/223</w:t>
            </w:r>
            <w:r w:rsidRPr="008E3F1A">
              <w:t xml:space="preserve"> (52)</w:t>
            </w:r>
          </w:p>
        </w:tc>
        <w:tc>
          <w:tcPr>
            <w:tcW w:w="994" w:type="pct"/>
          </w:tcPr>
          <w:p w:rsidR="00104643" w:rsidRPr="008E3F1A" w:rsidRDefault="00104643" w:rsidP="009057BA">
            <w:pPr>
              <w:pStyle w:val="TableText0"/>
              <w:keepNext w:val="0"/>
              <w:widowControl w:val="0"/>
              <w:jc w:val="center"/>
            </w:pPr>
            <w:r w:rsidRPr="008E3F1A">
              <w:t>104</w:t>
            </w:r>
            <w:r w:rsidR="007E3D24" w:rsidRPr="008E3F1A">
              <w:t>/226</w:t>
            </w:r>
            <w:r w:rsidRPr="008E3F1A">
              <w:t xml:space="preserve"> (46)</w:t>
            </w:r>
          </w:p>
        </w:tc>
        <w:tc>
          <w:tcPr>
            <w:tcW w:w="989" w:type="pct"/>
          </w:tcPr>
          <w:p w:rsidR="00104643" w:rsidRPr="008E3F1A" w:rsidRDefault="00104643" w:rsidP="009057BA">
            <w:pPr>
              <w:pStyle w:val="TableText0"/>
              <w:keepNext w:val="0"/>
              <w:widowControl w:val="0"/>
              <w:jc w:val="center"/>
            </w:pPr>
            <w:r w:rsidRPr="008E3F1A">
              <w:t>0.06 (-0.03, 0.15)</w:t>
            </w:r>
          </w:p>
        </w:tc>
        <w:tc>
          <w:tcPr>
            <w:tcW w:w="987" w:type="pct"/>
          </w:tcPr>
          <w:p w:rsidR="00104643" w:rsidRPr="008E3F1A" w:rsidRDefault="00104643" w:rsidP="009057BA">
            <w:pPr>
              <w:pStyle w:val="TableText0"/>
              <w:keepNext w:val="0"/>
              <w:widowControl w:val="0"/>
              <w:jc w:val="center"/>
            </w:pPr>
            <w:r w:rsidRPr="008E3F1A">
              <w:t>1.13 (0.94, 1.37)</w:t>
            </w:r>
          </w:p>
        </w:tc>
      </w:tr>
      <w:tr w:rsidR="00104643" w:rsidRPr="008E3F1A" w:rsidTr="00A50809">
        <w:trPr>
          <w:cantSplit/>
        </w:trPr>
        <w:tc>
          <w:tcPr>
            <w:tcW w:w="1036" w:type="pct"/>
          </w:tcPr>
          <w:p w:rsidR="00104643" w:rsidRPr="008E3F1A" w:rsidRDefault="00104643" w:rsidP="009057BA">
            <w:pPr>
              <w:pStyle w:val="TableText0"/>
              <w:keepNext w:val="0"/>
              <w:widowControl w:val="0"/>
            </w:pPr>
            <w:r w:rsidRPr="008E3F1A">
              <w:t>Patients with any SAE</w:t>
            </w:r>
          </w:p>
        </w:tc>
        <w:tc>
          <w:tcPr>
            <w:tcW w:w="993" w:type="pct"/>
          </w:tcPr>
          <w:p w:rsidR="00104643" w:rsidRPr="008E3F1A" w:rsidRDefault="00104643" w:rsidP="009057BA">
            <w:pPr>
              <w:pStyle w:val="TableText0"/>
              <w:keepNext w:val="0"/>
              <w:widowControl w:val="0"/>
              <w:jc w:val="center"/>
            </w:pPr>
            <w:r w:rsidRPr="008E3F1A">
              <w:t>87</w:t>
            </w:r>
            <w:r w:rsidR="007E3D24" w:rsidRPr="008E3F1A">
              <w:t>/223</w:t>
            </w:r>
            <w:r w:rsidRPr="008E3F1A">
              <w:t xml:space="preserve"> (39)</w:t>
            </w:r>
          </w:p>
        </w:tc>
        <w:tc>
          <w:tcPr>
            <w:tcW w:w="994" w:type="pct"/>
          </w:tcPr>
          <w:p w:rsidR="00104643" w:rsidRPr="008E3F1A" w:rsidRDefault="00104643" w:rsidP="009057BA">
            <w:pPr>
              <w:pStyle w:val="TableText0"/>
              <w:keepNext w:val="0"/>
              <w:widowControl w:val="0"/>
              <w:jc w:val="center"/>
            </w:pPr>
            <w:r w:rsidRPr="008E3F1A">
              <w:t>87</w:t>
            </w:r>
            <w:r w:rsidR="007E3D24" w:rsidRPr="008E3F1A">
              <w:t>/226</w:t>
            </w:r>
            <w:r w:rsidRPr="008E3F1A">
              <w:t xml:space="preserve"> (38)</w:t>
            </w:r>
          </w:p>
        </w:tc>
        <w:tc>
          <w:tcPr>
            <w:tcW w:w="989" w:type="pct"/>
          </w:tcPr>
          <w:p w:rsidR="00104643" w:rsidRPr="008E3F1A" w:rsidRDefault="00104643" w:rsidP="009057BA">
            <w:pPr>
              <w:pStyle w:val="TableText0"/>
              <w:keepNext w:val="0"/>
              <w:widowControl w:val="0"/>
              <w:jc w:val="center"/>
            </w:pPr>
            <w:r w:rsidRPr="008E3F1A">
              <w:t>0.01 (-0.08, 0.10)</w:t>
            </w:r>
          </w:p>
        </w:tc>
        <w:tc>
          <w:tcPr>
            <w:tcW w:w="987" w:type="pct"/>
          </w:tcPr>
          <w:p w:rsidR="00104643" w:rsidRPr="008E3F1A" w:rsidRDefault="00104643" w:rsidP="009057BA">
            <w:pPr>
              <w:pStyle w:val="TableText0"/>
              <w:keepNext w:val="0"/>
              <w:widowControl w:val="0"/>
              <w:jc w:val="center"/>
            </w:pPr>
            <w:r w:rsidRPr="008E3F1A">
              <w:t>1.01 (0.80, 1.28)</w:t>
            </w:r>
          </w:p>
        </w:tc>
      </w:tr>
      <w:tr w:rsidR="00104643" w:rsidRPr="008E3F1A" w:rsidTr="00A50809">
        <w:trPr>
          <w:cantSplit/>
        </w:trPr>
        <w:tc>
          <w:tcPr>
            <w:tcW w:w="1036" w:type="pct"/>
          </w:tcPr>
          <w:p w:rsidR="00104643" w:rsidRPr="008E3F1A" w:rsidRDefault="00104643" w:rsidP="009057BA">
            <w:pPr>
              <w:pStyle w:val="TableText0"/>
              <w:keepNext w:val="0"/>
              <w:widowControl w:val="0"/>
            </w:pPr>
            <w:r w:rsidRPr="008E3F1A">
              <w:t>Patients with any BV or vincristine-related SAE</w:t>
            </w:r>
          </w:p>
        </w:tc>
        <w:tc>
          <w:tcPr>
            <w:tcW w:w="993" w:type="pct"/>
          </w:tcPr>
          <w:p w:rsidR="00104643" w:rsidRPr="008E3F1A" w:rsidRDefault="00104643" w:rsidP="009057BA">
            <w:pPr>
              <w:pStyle w:val="TableText0"/>
              <w:keepNext w:val="0"/>
              <w:widowControl w:val="0"/>
              <w:jc w:val="center"/>
            </w:pPr>
            <w:r w:rsidRPr="008E3F1A">
              <w:t>58</w:t>
            </w:r>
            <w:r w:rsidR="007E3D24" w:rsidRPr="008E3F1A">
              <w:t>/223</w:t>
            </w:r>
            <w:r w:rsidRPr="008E3F1A">
              <w:t xml:space="preserve"> (26)</w:t>
            </w:r>
          </w:p>
        </w:tc>
        <w:tc>
          <w:tcPr>
            <w:tcW w:w="994" w:type="pct"/>
          </w:tcPr>
          <w:p w:rsidR="00104643" w:rsidRPr="008E3F1A" w:rsidRDefault="00104643" w:rsidP="009057BA">
            <w:pPr>
              <w:pStyle w:val="TableText0"/>
              <w:keepNext w:val="0"/>
              <w:widowControl w:val="0"/>
              <w:jc w:val="center"/>
            </w:pPr>
            <w:r w:rsidRPr="008E3F1A">
              <w:t>45</w:t>
            </w:r>
            <w:r w:rsidR="007E3D24" w:rsidRPr="008E3F1A">
              <w:t>/226</w:t>
            </w:r>
            <w:r w:rsidRPr="008E3F1A">
              <w:t xml:space="preserve"> (20)</w:t>
            </w:r>
          </w:p>
        </w:tc>
        <w:tc>
          <w:tcPr>
            <w:tcW w:w="989" w:type="pct"/>
          </w:tcPr>
          <w:p w:rsidR="00104643" w:rsidRPr="008E3F1A" w:rsidRDefault="00104643" w:rsidP="009057BA">
            <w:pPr>
              <w:pStyle w:val="TableText0"/>
              <w:keepNext w:val="0"/>
              <w:widowControl w:val="0"/>
              <w:jc w:val="center"/>
            </w:pPr>
            <w:r w:rsidRPr="008E3F1A">
              <w:t>0.06 (-0.02, 0.14)</w:t>
            </w:r>
          </w:p>
        </w:tc>
        <w:tc>
          <w:tcPr>
            <w:tcW w:w="987" w:type="pct"/>
          </w:tcPr>
          <w:p w:rsidR="00104643" w:rsidRPr="008E3F1A" w:rsidRDefault="00104643" w:rsidP="009057BA">
            <w:pPr>
              <w:pStyle w:val="TableText0"/>
              <w:keepNext w:val="0"/>
              <w:widowControl w:val="0"/>
              <w:jc w:val="center"/>
            </w:pPr>
            <w:r w:rsidRPr="008E3F1A">
              <w:t>1.31 (0.93, 1.84)</w:t>
            </w:r>
          </w:p>
        </w:tc>
      </w:tr>
      <w:tr w:rsidR="00104643" w:rsidRPr="008E3F1A" w:rsidTr="00A50809">
        <w:trPr>
          <w:cantSplit/>
        </w:trPr>
        <w:tc>
          <w:tcPr>
            <w:tcW w:w="1036" w:type="pct"/>
          </w:tcPr>
          <w:p w:rsidR="00104643" w:rsidRPr="008E3F1A" w:rsidRDefault="00104643" w:rsidP="009057BA">
            <w:pPr>
              <w:pStyle w:val="TableText0"/>
              <w:keepNext w:val="0"/>
              <w:widowControl w:val="0"/>
            </w:pPr>
            <w:r w:rsidRPr="008E3F1A">
              <w:t>Patients with any CHP treatment-related SAE</w:t>
            </w:r>
          </w:p>
        </w:tc>
        <w:tc>
          <w:tcPr>
            <w:tcW w:w="993" w:type="pct"/>
          </w:tcPr>
          <w:p w:rsidR="00104643" w:rsidRPr="008E3F1A" w:rsidRDefault="00104643" w:rsidP="009057BA">
            <w:pPr>
              <w:pStyle w:val="TableText0"/>
              <w:keepNext w:val="0"/>
              <w:widowControl w:val="0"/>
              <w:jc w:val="center"/>
            </w:pPr>
            <w:r w:rsidRPr="008E3F1A">
              <w:t>62</w:t>
            </w:r>
            <w:r w:rsidR="007E3D24" w:rsidRPr="008E3F1A">
              <w:t>/223</w:t>
            </w:r>
            <w:r w:rsidRPr="008E3F1A">
              <w:t xml:space="preserve"> (28)</w:t>
            </w:r>
          </w:p>
        </w:tc>
        <w:tc>
          <w:tcPr>
            <w:tcW w:w="994" w:type="pct"/>
          </w:tcPr>
          <w:p w:rsidR="00104643" w:rsidRPr="008E3F1A" w:rsidRDefault="00104643" w:rsidP="009057BA">
            <w:pPr>
              <w:pStyle w:val="TableText0"/>
              <w:keepNext w:val="0"/>
              <w:widowControl w:val="0"/>
              <w:jc w:val="center"/>
            </w:pPr>
            <w:r w:rsidRPr="008E3F1A">
              <w:t>53</w:t>
            </w:r>
            <w:r w:rsidR="007E3D24" w:rsidRPr="008E3F1A">
              <w:t>/226</w:t>
            </w:r>
            <w:r w:rsidRPr="008E3F1A">
              <w:t xml:space="preserve"> (23)</w:t>
            </w:r>
          </w:p>
        </w:tc>
        <w:tc>
          <w:tcPr>
            <w:tcW w:w="989" w:type="pct"/>
          </w:tcPr>
          <w:p w:rsidR="00104643" w:rsidRPr="008E3F1A" w:rsidRDefault="00104643" w:rsidP="009057BA">
            <w:pPr>
              <w:pStyle w:val="TableText0"/>
              <w:keepNext w:val="0"/>
              <w:widowControl w:val="0"/>
              <w:jc w:val="center"/>
            </w:pPr>
            <w:r w:rsidRPr="008E3F1A">
              <w:t>0.04 (-0.04, 0.12)</w:t>
            </w:r>
          </w:p>
        </w:tc>
        <w:tc>
          <w:tcPr>
            <w:tcW w:w="987" w:type="pct"/>
          </w:tcPr>
          <w:p w:rsidR="00104643" w:rsidRPr="008E3F1A" w:rsidRDefault="00104643" w:rsidP="009057BA">
            <w:pPr>
              <w:pStyle w:val="TableText0"/>
              <w:keepNext w:val="0"/>
              <w:widowControl w:val="0"/>
              <w:jc w:val="center"/>
            </w:pPr>
            <w:r w:rsidRPr="008E3F1A">
              <w:t>1.19 (0.86, 1.63)</w:t>
            </w:r>
          </w:p>
        </w:tc>
      </w:tr>
      <w:tr w:rsidR="00104643" w:rsidRPr="008E3F1A" w:rsidTr="00A50809">
        <w:trPr>
          <w:cantSplit/>
        </w:trPr>
        <w:tc>
          <w:tcPr>
            <w:tcW w:w="1036" w:type="pct"/>
          </w:tcPr>
          <w:p w:rsidR="00104643" w:rsidRPr="008E3F1A" w:rsidRDefault="00104643" w:rsidP="009057BA">
            <w:pPr>
              <w:pStyle w:val="TableText0"/>
              <w:keepNext w:val="0"/>
              <w:widowControl w:val="0"/>
            </w:pPr>
            <w:r w:rsidRPr="008E3F1A">
              <w:t>Patients who discontinued treatment due to AE</w:t>
            </w:r>
          </w:p>
        </w:tc>
        <w:tc>
          <w:tcPr>
            <w:tcW w:w="993" w:type="pct"/>
          </w:tcPr>
          <w:p w:rsidR="00104643" w:rsidRPr="008E3F1A" w:rsidRDefault="00104643" w:rsidP="009057BA">
            <w:pPr>
              <w:pStyle w:val="TableText0"/>
              <w:keepNext w:val="0"/>
              <w:widowControl w:val="0"/>
              <w:jc w:val="center"/>
            </w:pPr>
            <w:r w:rsidRPr="008E3F1A">
              <w:t>14</w:t>
            </w:r>
            <w:r w:rsidR="00AD294A" w:rsidRPr="008E3F1A">
              <w:t>/</w:t>
            </w:r>
            <w:r w:rsidR="007E3D24" w:rsidRPr="008E3F1A">
              <w:t>223</w:t>
            </w:r>
            <w:r w:rsidRPr="008E3F1A">
              <w:t xml:space="preserve"> (6)</w:t>
            </w:r>
          </w:p>
        </w:tc>
        <w:tc>
          <w:tcPr>
            <w:tcW w:w="994" w:type="pct"/>
          </w:tcPr>
          <w:p w:rsidR="00104643" w:rsidRPr="008E3F1A" w:rsidRDefault="00104643" w:rsidP="009057BA">
            <w:pPr>
              <w:pStyle w:val="TableText0"/>
              <w:keepNext w:val="0"/>
              <w:widowControl w:val="0"/>
              <w:jc w:val="center"/>
            </w:pPr>
            <w:r w:rsidRPr="008E3F1A">
              <w:t>15</w:t>
            </w:r>
            <w:r w:rsidR="007E3D24" w:rsidRPr="008E3F1A">
              <w:t>/226</w:t>
            </w:r>
            <w:r w:rsidRPr="008E3F1A">
              <w:t xml:space="preserve"> (7)</w:t>
            </w:r>
          </w:p>
        </w:tc>
        <w:tc>
          <w:tcPr>
            <w:tcW w:w="989" w:type="pct"/>
          </w:tcPr>
          <w:p w:rsidR="00104643" w:rsidRPr="008E3F1A" w:rsidRDefault="00104643" w:rsidP="009057BA">
            <w:pPr>
              <w:pStyle w:val="TableText0"/>
              <w:keepNext w:val="0"/>
              <w:widowControl w:val="0"/>
              <w:jc w:val="center"/>
            </w:pPr>
            <w:r w:rsidRPr="008E3F1A">
              <w:t>-0.00</w:t>
            </w:r>
            <w:r w:rsidR="009D6EB8" w:rsidRPr="008E3F1A">
              <w:t xml:space="preserve"> </w:t>
            </w:r>
            <w:r w:rsidRPr="008E3F1A">
              <w:t>(-0.05, 0.04)</w:t>
            </w:r>
          </w:p>
        </w:tc>
        <w:tc>
          <w:tcPr>
            <w:tcW w:w="987" w:type="pct"/>
          </w:tcPr>
          <w:p w:rsidR="00104643" w:rsidRPr="008E3F1A" w:rsidRDefault="00104643" w:rsidP="009057BA">
            <w:pPr>
              <w:pStyle w:val="TableText0"/>
              <w:keepNext w:val="0"/>
              <w:widowControl w:val="0"/>
              <w:jc w:val="center"/>
            </w:pPr>
            <w:r w:rsidRPr="008E3F1A">
              <w:t>0.95 (0.47, 1.91)</w:t>
            </w:r>
          </w:p>
        </w:tc>
      </w:tr>
    </w:tbl>
    <w:p w:rsidR="009A0C3A" w:rsidRPr="008E3F1A" w:rsidRDefault="009A0C3A" w:rsidP="009A0C3A">
      <w:pPr>
        <w:rPr>
          <w:rFonts w:ascii="Arial Narrow" w:hAnsi="Arial Narrow"/>
          <w:sz w:val="18"/>
          <w:szCs w:val="18"/>
        </w:rPr>
      </w:pPr>
      <w:bookmarkStart w:id="17" w:name="_Toc22897643"/>
      <w:r w:rsidRPr="008E3F1A">
        <w:rPr>
          <w:rFonts w:ascii="Arial Narrow" w:hAnsi="Arial Narrow"/>
          <w:sz w:val="18"/>
          <w:szCs w:val="18"/>
        </w:rPr>
        <w:t xml:space="preserve">Source: Table 2.18, p 111 of the submission. </w:t>
      </w:r>
    </w:p>
    <w:p w:rsidR="009A0C3A" w:rsidRPr="008E3F1A" w:rsidRDefault="009A0C3A" w:rsidP="009A0C3A">
      <w:pPr>
        <w:pStyle w:val="TableFigureFooter"/>
        <w:rPr>
          <w:rFonts w:eastAsia="Calibri"/>
        </w:rPr>
      </w:pPr>
      <w:r w:rsidRPr="008E3F1A">
        <w:rPr>
          <w:color w:val="000000" w:themeColor="text1"/>
          <w:szCs w:val="18"/>
        </w:rPr>
        <w:t>AE =adverse events; BV+CHP = brentuximab vedotin with cyclophosphamide, doxorubicin and prednisone; CHOP = cyclophosphamide, doxorubicin, vincristine and prednisone;</w:t>
      </w:r>
      <w:r w:rsidRPr="008E3F1A">
        <w:rPr>
          <w:rFonts w:eastAsia="Calibri"/>
        </w:rPr>
        <w:t xml:space="preserve"> CI = confidence interval; n = number of participants reporting data; N = total participants in group; RD = risk difference; RR = relative risk; SAE = serious adverse events; TEAE = treatment emerging adverse events. </w:t>
      </w:r>
    </w:p>
    <w:p w:rsidR="00412CF6" w:rsidRPr="008E3F1A" w:rsidRDefault="00412CF6" w:rsidP="009A0C3A">
      <w:pPr>
        <w:pStyle w:val="TableFigureFooter"/>
        <w:rPr>
          <w:rFonts w:eastAsia="Calibri"/>
        </w:rPr>
      </w:pPr>
    </w:p>
    <w:p w:rsidR="00412CF6" w:rsidRPr="008E3F1A" w:rsidRDefault="00D31125" w:rsidP="00412CF6">
      <w:pPr>
        <w:pStyle w:val="3-BodyText"/>
        <w:rPr>
          <w:iCs/>
          <w:color w:val="000000" w:themeColor="text1"/>
        </w:rPr>
      </w:pPr>
      <w:r w:rsidRPr="008E3F1A">
        <w:rPr>
          <w:iCs/>
          <w:snapToGrid/>
          <w:color w:val="000000" w:themeColor="text1"/>
        </w:rPr>
        <w:t>Based on the T</w:t>
      </w:r>
      <w:r w:rsidR="005E2D0A" w:rsidRPr="008E3F1A">
        <w:rPr>
          <w:iCs/>
          <w:snapToGrid/>
          <w:color w:val="000000" w:themeColor="text1"/>
        </w:rPr>
        <w:t>E</w:t>
      </w:r>
      <w:r w:rsidRPr="008E3F1A">
        <w:rPr>
          <w:iCs/>
          <w:snapToGrid/>
          <w:color w:val="000000" w:themeColor="text1"/>
        </w:rPr>
        <w:t>A</w:t>
      </w:r>
      <w:r w:rsidR="005E2D0A" w:rsidRPr="008E3F1A">
        <w:rPr>
          <w:iCs/>
          <w:snapToGrid/>
          <w:color w:val="000000" w:themeColor="text1"/>
        </w:rPr>
        <w:t>E</w:t>
      </w:r>
      <w:r w:rsidRPr="008E3F1A">
        <w:rPr>
          <w:iCs/>
          <w:snapToGrid/>
          <w:color w:val="000000" w:themeColor="text1"/>
        </w:rPr>
        <w:t xml:space="preserve"> reported for 10% of patient with sALCL in the BV+CHP arm the rates of adverse events were similar to those in ITT population, including the statistically </w:t>
      </w:r>
      <w:r w:rsidRPr="008E3F1A">
        <w:rPr>
          <w:iCs/>
          <w:snapToGrid/>
          <w:color w:val="000000" w:themeColor="text1"/>
        </w:rPr>
        <w:lastRenderedPageBreak/>
        <w:t>significant risk of diarrhoea</w:t>
      </w:r>
      <w:r w:rsidR="00EF18D3" w:rsidRPr="008E3F1A">
        <w:rPr>
          <w:iCs/>
          <w:snapToGrid/>
          <w:color w:val="000000" w:themeColor="text1"/>
        </w:rPr>
        <w:t xml:space="preserve"> (RD = 0.12; 95%CI:0.02, 0.22)</w:t>
      </w:r>
      <w:r w:rsidRPr="008E3F1A">
        <w:rPr>
          <w:iCs/>
          <w:snapToGrid/>
          <w:color w:val="000000" w:themeColor="text1"/>
        </w:rPr>
        <w:t xml:space="preserve">. </w:t>
      </w:r>
      <w:r w:rsidR="00EF18D3" w:rsidRPr="008E3F1A">
        <w:rPr>
          <w:iCs/>
          <w:snapToGrid/>
          <w:color w:val="000000" w:themeColor="text1"/>
        </w:rPr>
        <w:t>Additionally,</w:t>
      </w:r>
      <w:r w:rsidRPr="008E3F1A">
        <w:rPr>
          <w:iCs/>
          <w:snapToGrid/>
          <w:color w:val="000000" w:themeColor="text1"/>
        </w:rPr>
        <w:t xml:space="preserve"> there was a statistically significantly higher rate of weight decrease in BV+CHP patients compared to CHOP</w:t>
      </w:r>
      <w:r w:rsidR="00151AD7" w:rsidRPr="008E3F1A">
        <w:rPr>
          <w:iCs/>
          <w:snapToGrid/>
          <w:color w:val="000000" w:themeColor="text1"/>
        </w:rPr>
        <w:t xml:space="preserve"> </w:t>
      </w:r>
      <w:r w:rsidR="00A561EF" w:rsidRPr="008E3F1A">
        <w:rPr>
          <w:iCs/>
          <w:snapToGrid/>
          <w:color w:val="000000" w:themeColor="text1"/>
        </w:rPr>
        <w:t>(</w:t>
      </w:r>
      <w:r w:rsidR="00151AD7" w:rsidRPr="008E3F1A">
        <w:rPr>
          <w:iCs/>
          <w:snapToGrid/>
          <w:color w:val="000000" w:themeColor="text1"/>
        </w:rPr>
        <w:t>RD</w:t>
      </w:r>
      <w:r w:rsidR="00A561EF" w:rsidRPr="008E3F1A">
        <w:rPr>
          <w:iCs/>
          <w:snapToGrid/>
          <w:color w:val="000000" w:themeColor="text1"/>
        </w:rPr>
        <w:t xml:space="preserve"> = </w:t>
      </w:r>
      <w:r w:rsidR="006125F6" w:rsidRPr="008E3F1A">
        <w:rPr>
          <w:iCs/>
          <w:snapToGrid/>
          <w:color w:val="000000" w:themeColor="text1"/>
        </w:rPr>
        <w:t>0.07; 95%CI:0.01, 0.13)</w:t>
      </w:r>
      <w:r w:rsidRPr="008E3F1A">
        <w:rPr>
          <w:iCs/>
          <w:snapToGrid/>
          <w:color w:val="000000" w:themeColor="text1"/>
        </w:rPr>
        <w:t>.</w:t>
      </w:r>
    </w:p>
    <w:p w:rsidR="00412CF6" w:rsidRPr="008E3F1A" w:rsidRDefault="00412CF6" w:rsidP="009A0C3A">
      <w:pPr>
        <w:pStyle w:val="TableFigureFooter"/>
        <w:rPr>
          <w:rFonts w:eastAsia="Calibri"/>
        </w:rPr>
      </w:pPr>
    </w:p>
    <w:p w:rsidR="007F1017" w:rsidRPr="008E3F1A" w:rsidRDefault="007F1017" w:rsidP="00D86231">
      <w:pPr>
        <w:pStyle w:val="4-SubsectionHeading"/>
      </w:pPr>
      <w:bookmarkStart w:id="18" w:name="_Toc62055094"/>
      <w:r w:rsidRPr="008E3F1A">
        <w:t>Benefits/harms</w:t>
      </w:r>
      <w:bookmarkEnd w:id="17"/>
      <w:bookmarkEnd w:id="18"/>
    </w:p>
    <w:p w:rsidR="002E1071" w:rsidRPr="008E3F1A" w:rsidRDefault="002E0CB1" w:rsidP="00D2155B">
      <w:pPr>
        <w:pStyle w:val="3-BodyText"/>
        <w:rPr>
          <w:color w:val="000000" w:themeColor="text1"/>
        </w:rPr>
      </w:pPr>
      <w:r w:rsidRPr="008E3F1A">
        <w:rPr>
          <w:snapToGrid/>
          <w:color w:val="000000" w:themeColor="text1"/>
        </w:rPr>
        <w:t xml:space="preserve">A summary of the comparative benefits and harms for BV+CHP versus CHOP </w:t>
      </w:r>
      <w:r w:rsidR="00763C27" w:rsidRPr="008E3F1A">
        <w:rPr>
          <w:snapToGrid/>
          <w:color w:val="000000" w:themeColor="text1"/>
        </w:rPr>
        <w:t>is</w:t>
      </w:r>
      <w:r w:rsidRPr="008E3F1A">
        <w:rPr>
          <w:snapToGrid/>
          <w:color w:val="000000" w:themeColor="text1"/>
        </w:rPr>
        <w:t xml:space="preserve"> presented in Table </w:t>
      </w:r>
      <w:r w:rsidR="00C00747" w:rsidRPr="008E3F1A">
        <w:rPr>
          <w:snapToGrid/>
          <w:color w:val="000000" w:themeColor="text1"/>
        </w:rPr>
        <w:t>8</w:t>
      </w:r>
      <w:r w:rsidRPr="008E3F1A">
        <w:rPr>
          <w:snapToGrid/>
          <w:color w:val="000000" w:themeColor="text1"/>
        </w:rPr>
        <w:t>.</w:t>
      </w:r>
      <w:r w:rsidR="00763C27" w:rsidRPr="008E3F1A">
        <w:rPr>
          <w:snapToGrid/>
          <w:color w:val="000000" w:themeColor="text1"/>
        </w:rPr>
        <w:t xml:space="preserve"> </w:t>
      </w:r>
    </w:p>
    <w:p w:rsidR="00B62715" w:rsidRPr="008E3F1A" w:rsidRDefault="00B62715" w:rsidP="00D2155B">
      <w:pPr>
        <w:pStyle w:val="TableFigureHeading"/>
        <w:rPr>
          <w:rStyle w:val="CommentReference"/>
          <w:b/>
          <w:szCs w:val="24"/>
        </w:rPr>
      </w:pPr>
      <w:r w:rsidRPr="008E3F1A">
        <w:rPr>
          <w:rStyle w:val="CommentReference"/>
          <w:b/>
          <w:szCs w:val="24"/>
        </w:rPr>
        <w:t xml:space="preserve">Table </w:t>
      </w:r>
      <w:r w:rsidR="00C00747" w:rsidRPr="008E3F1A">
        <w:rPr>
          <w:rStyle w:val="CommentReference"/>
          <w:b/>
          <w:szCs w:val="24"/>
        </w:rPr>
        <w:t>8</w:t>
      </w:r>
      <w:r w:rsidRPr="008E3F1A">
        <w:rPr>
          <w:rStyle w:val="CommentReference"/>
          <w:b/>
          <w:szCs w:val="24"/>
        </w:rPr>
        <w:t xml:space="preserve">: Summary of comparative benefits and harms for </w:t>
      </w:r>
      <w:r w:rsidR="007E3D24" w:rsidRPr="008E3F1A">
        <w:rPr>
          <w:rStyle w:val="CommentReference"/>
          <w:b/>
          <w:szCs w:val="24"/>
        </w:rPr>
        <w:t>BV+CHP</w:t>
      </w:r>
      <w:r w:rsidRPr="008E3F1A">
        <w:rPr>
          <w:rStyle w:val="CommentReference"/>
          <w:b/>
          <w:szCs w:val="24"/>
        </w:rPr>
        <w:t xml:space="preserve"> and </w:t>
      </w:r>
      <w:r w:rsidR="007E3D24" w:rsidRPr="008E3F1A">
        <w:rPr>
          <w:rStyle w:val="CommentReference"/>
          <w:b/>
          <w:szCs w:val="24"/>
        </w:rPr>
        <w:t>CHOP</w:t>
      </w:r>
    </w:p>
    <w:tbl>
      <w:tblPr>
        <w:tblW w:w="5000" w:type="pct"/>
        <w:tblLayout w:type="fixed"/>
        <w:tblCellMar>
          <w:left w:w="28" w:type="dxa"/>
          <w:right w:w="28" w:type="dxa"/>
        </w:tblCellMar>
        <w:tblLook w:val="04A0" w:firstRow="1" w:lastRow="0" w:firstColumn="1" w:lastColumn="0" w:noHBand="0" w:noVBand="1"/>
      </w:tblPr>
      <w:tblGrid>
        <w:gridCol w:w="9017"/>
      </w:tblGrid>
      <w:tr w:rsidR="00B62715" w:rsidRPr="008E3F1A" w:rsidTr="006B35E6">
        <w:trPr>
          <w:cantSplit/>
        </w:trPr>
        <w:tc>
          <w:tcPr>
            <w:tcW w:w="5000" w:type="pct"/>
            <w:tcBorders>
              <w:top w:val="single" w:sz="4" w:space="0" w:color="auto"/>
              <w:left w:val="single" w:sz="4" w:space="0" w:color="auto"/>
              <w:bottom w:val="double" w:sz="4" w:space="0" w:color="auto"/>
              <w:right w:val="single" w:sz="4" w:space="0" w:color="auto"/>
            </w:tcBorders>
            <w:shd w:val="clear" w:color="auto" w:fill="auto"/>
            <w:vAlign w:val="center"/>
          </w:tcPr>
          <w:p w:rsidR="00B62715" w:rsidRPr="008E3F1A" w:rsidRDefault="00B62715" w:rsidP="00D2155B">
            <w:pPr>
              <w:pStyle w:val="In-tableHeading"/>
              <w:rPr>
                <w:lang w:val="en-AU"/>
              </w:rPr>
            </w:pPr>
            <w:r w:rsidRPr="008E3F1A">
              <w:rPr>
                <w:lang w:val="en-AU"/>
              </w:rPr>
              <w:t>Benefits</w:t>
            </w:r>
          </w:p>
        </w:tc>
      </w:tr>
    </w:tbl>
    <w:tbl>
      <w:tblPr>
        <w:tblStyle w:val="TableGrid"/>
        <w:tblW w:w="5000" w:type="pct"/>
        <w:tblLayout w:type="fixed"/>
        <w:tblCellMar>
          <w:left w:w="28" w:type="dxa"/>
          <w:right w:w="28" w:type="dxa"/>
        </w:tblCellMar>
        <w:tblLook w:val="04A0" w:firstRow="1" w:lastRow="0" w:firstColumn="1" w:lastColumn="0" w:noHBand="0" w:noVBand="1"/>
        <w:tblCaption w:val="Table 8: Summary of comparative benefits and harms for BV+CHP and CHOP"/>
      </w:tblPr>
      <w:tblGrid>
        <w:gridCol w:w="2464"/>
        <w:gridCol w:w="1446"/>
        <w:gridCol w:w="1515"/>
        <w:gridCol w:w="2007"/>
        <w:gridCol w:w="1585"/>
      </w:tblGrid>
      <w:tr w:rsidR="00330DAA" w:rsidRPr="008E3F1A" w:rsidTr="001C19FB">
        <w:trPr>
          <w:trHeight w:val="20"/>
          <w:tblHeader/>
        </w:trPr>
        <w:tc>
          <w:tcPr>
            <w:tcW w:w="5000" w:type="pct"/>
            <w:gridSpan w:val="5"/>
            <w:shd w:val="clear" w:color="auto" w:fill="auto"/>
          </w:tcPr>
          <w:p w:rsidR="00330DAA" w:rsidRPr="008E3F1A" w:rsidRDefault="00330DAA" w:rsidP="00D2155B">
            <w:pPr>
              <w:pStyle w:val="In-tableHeading"/>
              <w:rPr>
                <w:lang w:val="en-AU"/>
              </w:rPr>
            </w:pPr>
            <w:r w:rsidRPr="008E3F1A">
              <w:rPr>
                <w:lang w:val="en-AU"/>
              </w:rPr>
              <w:t xml:space="preserve">Progression free survival (median duration of follow up </w:t>
            </w:r>
            <w:r w:rsidR="007E3D24" w:rsidRPr="008E3F1A">
              <w:rPr>
                <w:lang w:val="en-AU"/>
              </w:rPr>
              <w:t xml:space="preserve">42 </w:t>
            </w:r>
            <w:r w:rsidRPr="008E3F1A">
              <w:rPr>
                <w:lang w:val="en-AU"/>
              </w:rPr>
              <w:t>months)</w:t>
            </w:r>
          </w:p>
        </w:tc>
      </w:tr>
      <w:tr w:rsidR="00330DAA" w:rsidRPr="008E3F1A" w:rsidTr="006B35E6">
        <w:trPr>
          <w:trHeight w:val="20"/>
        </w:trPr>
        <w:tc>
          <w:tcPr>
            <w:tcW w:w="1366" w:type="pct"/>
            <w:tcBorders>
              <w:bottom w:val="single" w:sz="4" w:space="0" w:color="auto"/>
            </w:tcBorders>
            <w:shd w:val="clear" w:color="auto" w:fill="auto"/>
          </w:tcPr>
          <w:p w:rsidR="00330DAA" w:rsidRPr="008E3F1A" w:rsidRDefault="00330DAA" w:rsidP="00D2155B">
            <w:pPr>
              <w:pStyle w:val="In-tableHeading"/>
              <w:rPr>
                <w:lang w:val="en-AU"/>
              </w:rPr>
            </w:pPr>
            <w:r w:rsidRPr="008E3F1A">
              <w:rPr>
                <w:lang w:val="en-AU"/>
              </w:rPr>
              <w:t>Event</w:t>
            </w:r>
          </w:p>
        </w:tc>
        <w:tc>
          <w:tcPr>
            <w:tcW w:w="802" w:type="pct"/>
            <w:tcBorders>
              <w:bottom w:val="single" w:sz="4" w:space="0" w:color="auto"/>
            </w:tcBorders>
            <w:shd w:val="clear" w:color="auto" w:fill="auto"/>
          </w:tcPr>
          <w:p w:rsidR="00330DAA" w:rsidRPr="008E3F1A" w:rsidRDefault="007E7A75" w:rsidP="002672AE">
            <w:pPr>
              <w:pStyle w:val="In-tableHeading"/>
              <w:jc w:val="center"/>
              <w:rPr>
                <w:lang w:val="en-AU"/>
              </w:rPr>
            </w:pPr>
            <w:r w:rsidRPr="008E3F1A">
              <w:rPr>
                <w:lang w:val="en-AU"/>
              </w:rPr>
              <w:t>BV+CHP</w:t>
            </w:r>
          </w:p>
        </w:tc>
        <w:tc>
          <w:tcPr>
            <w:tcW w:w="840" w:type="pct"/>
            <w:tcBorders>
              <w:bottom w:val="single" w:sz="4" w:space="0" w:color="auto"/>
            </w:tcBorders>
            <w:shd w:val="clear" w:color="auto" w:fill="auto"/>
          </w:tcPr>
          <w:p w:rsidR="00330DAA" w:rsidRPr="008E3F1A" w:rsidRDefault="007E7A75" w:rsidP="002672AE">
            <w:pPr>
              <w:pStyle w:val="In-tableHeading"/>
              <w:jc w:val="center"/>
              <w:rPr>
                <w:lang w:val="en-AU"/>
              </w:rPr>
            </w:pPr>
            <w:r w:rsidRPr="008E3F1A">
              <w:rPr>
                <w:lang w:val="en-AU"/>
              </w:rPr>
              <w:t>CHOP</w:t>
            </w:r>
          </w:p>
        </w:tc>
        <w:tc>
          <w:tcPr>
            <w:tcW w:w="1113" w:type="pct"/>
            <w:tcBorders>
              <w:bottom w:val="single" w:sz="4" w:space="0" w:color="auto"/>
            </w:tcBorders>
            <w:shd w:val="clear" w:color="auto" w:fill="auto"/>
          </w:tcPr>
          <w:p w:rsidR="00330DAA" w:rsidRPr="008E3F1A" w:rsidRDefault="00330DAA" w:rsidP="00D2155B">
            <w:pPr>
              <w:pStyle w:val="In-tableHeading"/>
              <w:jc w:val="center"/>
              <w:rPr>
                <w:rFonts w:asciiTheme="minorHAnsi" w:hAnsiTheme="minorHAnsi"/>
                <w:lang w:val="en-AU"/>
              </w:rPr>
            </w:pPr>
            <w:r w:rsidRPr="008E3F1A">
              <w:rPr>
                <w:lang w:val="en-AU"/>
              </w:rPr>
              <w:t>Absolute Difference</w:t>
            </w:r>
          </w:p>
        </w:tc>
        <w:tc>
          <w:tcPr>
            <w:tcW w:w="879" w:type="pct"/>
            <w:tcBorders>
              <w:bottom w:val="single" w:sz="4" w:space="0" w:color="auto"/>
            </w:tcBorders>
            <w:shd w:val="clear" w:color="auto" w:fill="auto"/>
          </w:tcPr>
          <w:p w:rsidR="00330DAA" w:rsidRPr="008E3F1A" w:rsidRDefault="00330DAA" w:rsidP="00D2155B">
            <w:pPr>
              <w:pStyle w:val="In-tableHeading"/>
              <w:jc w:val="center"/>
              <w:rPr>
                <w:lang w:val="en-AU"/>
              </w:rPr>
            </w:pPr>
            <w:r w:rsidRPr="008E3F1A">
              <w:rPr>
                <w:lang w:val="en-AU"/>
              </w:rPr>
              <w:t>HR (95% CI)</w:t>
            </w:r>
          </w:p>
        </w:tc>
      </w:tr>
      <w:tr w:rsidR="00330DAA" w:rsidRPr="008E3F1A" w:rsidTr="006B35E6">
        <w:trPr>
          <w:trHeight w:val="20"/>
        </w:trPr>
        <w:tc>
          <w:tcPr>
            <w:tcW w:w="1366" w:type="pct"/>
            <w:tcBorders>
              <w:bottom w:val="single" w:sz="4" w:space="0" w:color="auto"/>
              <w:right w:val="single" w:sz="4" w:space="0" w:color="auto"/>
            </w:tcBorders>
            <w:shd w:val="clear" w:color="auto" w:fill="auto"/>
          </w:tcPr>
          <w:p w:rsidR="00330DAA" w:rsidRPr="008E3F1A" w:rsidRDefault="00330DAA" w:rsidP="00816361">
            <w:pPr>
              <w:pStyle w:val="TableText0"/>
              <w:keepLines/>
              <w:widowControl w:val="0"/>
            </w:pPr>
            <w:r w:rsidRPr="008E3F1A">
              <w:t>Progressed, n (%)</w:t>
            </w:r>
          </w:p>
        </w:tc>
        <w:tc>
          <w:tcPr>
            <w:tcW w:w="802" w:type="pct"/>
            <w:tcBorders>
              <w:left w:val="single" w:sz="4" w:space="0" w:color="auto"/>
              <w:bottom w:val="single" w:sz="4" w:space="0" w:color="auto"/>
              <w:right w:val="single" w:sz="4" w:space="0" w:color="auto"/>
            </w:tcBorders>
            <w:shd w:val="clear" w:color="auto" w:fill="auto"/>
          </w:tcPr>
          <w:p w:rsidR="00330DAA" w:rsidRPr="008E3F1A" w:rsidRDefault="000056DA" w:rsidP="00816361">
            <w:pPr>
              <w:pStyle w:val="TableText0"/>
              <w:keepLines/>
              <w:widowControl w:val="0"/>
              <w:jc w:val="center"/>
            </w:pPr>
            <w:r w:rsidRPr="008E3F1A">
              <w:t>95/226 (42)</w:t>
            </w:r>
          </w:p>
        </w:tc>
        <w:tc>
          <w:tcPr>
            <w:tcW w:w="840" w:type="pct"/>
            <w:tcBorders>
              <w:left w:val="single" w:sz="4" w:space="0" w:color="auto"/>
              <w:bottom w:val="single" w:sz="4" w:space="0" w:color="auto"/>
              <w:right w:val="single" w:sz="4" w:space="0" w:color="auto"/>
            </w:tcBorders>
            <w:shd w:val="clear" w:color="auto" w:fill="auto"/>
          </w:tcPr>
          <w:p w:rsidR="00330DAA" w:rsidRPr="008E3F1A" w:rsidRDefault="000056DA" w:rsidP="00816361">
            <w:pPr>
              <w:pStyle w:val="TableText0"/>
              <w:keepLines/>
              <w:widowControl w:val="0"/>
              <w:jc w:val="center"/>
            </w:pPr>
            <w:r w:rsidRPr="008E3F1A">
              <w:rPr>
                <w:szCs w:val="20"/>
              </w:rPr>
              <w:t>124/226 (55)</w:t>
            </w:r>
          </w:p>
        </w:tc>
        <w:tc>
          <w:tcPr>
            <w:tcW w:w="1113" w:type="pct"/>
            <w:tcBorders>
              <w:left w:val="single" w:sz="4" w:space="0" w:color="auto"/>
              <w:bottom w:val="single" w:sz="4" w:space="0" w:color="auto"/>
              <w:right w:val="single" w:sz="4" w:space="0" w:color="auto"/>
            </w:tcBorders>
            <w:shd w:val="clear" w:color="auto" w:fill="auto"/>
          </w:tcPr>
          <w:p w:rsidR="00330DAA" w:rsidRPr="008E3F1A" w:rsidRDefault="000056DA" w:rsidP="00816361">
            <w:pPr>
              <w:pStyle w:val="TableText0"/>
              <w:keepLines/>
              <w:widowControl w:val="0"/>
              <w:jc w:val="center"/>
            </w:pPr>
            <w:r w:rsidRPr="008E3F1A">
              <w:t>-</w:t>
            </w:r>
          </w:p>
        </w:tc>
        <w:tc>
          <w:tcPr>
            <w:tcW w:w="879" w:type="pct"/>
            <w:tcBorders>
              <w:left w:val="single" w:sz="4" w:space="0" w:color="auto"/>
              <w:bottom w:val="nil"/>
            </w:tcBorders>
            <w:shd w:val="clear" w:color="auto" w:fill="auto"/>
          </w:tcPr>
          <w:p w:rsidR="00330DAA" w:rsidRPr="008E3F1A" w:rsidRDefault="00330DAA" w:rsidP="00816361">
            <w:pPr>
              <w:pStyle w:val="TableText0"/>
              <w:keepLines/>
              <w:widowControl w:val="0"/>
              <w:jc w:val="center"/>
            </w:pPr>
          </w:p>
        </w:tc>
      </w:tr>
      <w:tr w:rsidR="00330DAA" w:rsidRPr="008E3F1A" w:rsidTr="006B35E6">
        <w:trPr>
          <w:trHeight w:val="20"/>
        </w:trPr>
        <w:tc>
          <w:tcPr>
            <w:tcW w:w="1366" w:type="pct"/>
            <w:tcBorders>
              <w:bottom w:val="single" w:sz="4" w:space="0" w:color="auto"/>
              <w:right w:val="single" w:sz="4" w:space="0" w:color="auto"/>
            </w:tcBorders>
            <w:shd w:val="clear" w:color="auto" w:fill="auto"/>
          </w:tcPr>
          <w:p w:rsidR="00330DAA" w:rsidRPr="008E3F1A" w:rsidRDefault="00330DAA" w:rsidP="00816361">
            <w:pPr>
              <w:pStyle w:val="TableText0"/>
              <w:keepLines/>
              <w:widowControl w:val="0"/>
            </w:pPr>
            <w:r w:rsidRPr="008E3F1A">
              <w:t>Median PFS, months (95% CI)</w:t>
            </w:r>
          </w:p>
        </w:tc>
        <w:tc>
          <w:tcPr>
            <w:tcW w:w="802" w:type="pct"/>
            <w:tcBorders>
              <w:left w:val="single" w:sz="4" w:space="0" w:color="auto"/>
              <w:bottom w:val="single" w:sz="4" w:space="0" w:color="auto"/>
              <w:right w:val="single" w:sz="4" w:space="0" w:color="auto"/>
            </w:tcBorders>
            <w:shd w:val="clear" w:color="auto" w:fill="auto"/>
          </w:tcPr>
          <w:p w:rsidR="00330DAA" w:rsidRPr="008E3F1A" w:rsidRDefault="001371DC" w:rsidP="00816361">
            <w:pPr>
              <w:pStyle w:val="TableText0"/>
              <w:keepLines/>
              <w:widowControl w:val="0"/>
              <w:jc w:val="center"/>
              <w:rPr>
                <w:rFonts w:cs="Times New Roman"/>
                <w:szCs w:val="20"/>
              </w:rPr>
            </w:pPr>
            <w:r w:rsidRPr="008E3F1A">
              <w:rPr>
                <w:szCs w:val="20"/>
              </w:rPr>
              <w:t>48.20 months (35.15, -)</w:t>
            </w:r>
          </w:p>
        </w:tc>
        <w:tc>
          <w:tcPr>
            <w:tcW w:w="840" w:type="pct"/>
            <w:tcBorders>
              <w:left w:val="single" w:sz="4" w:space="0" w:color="auto"/>
              <w:bottom w:val="single" w:sz="4" w:space="0" w:color="auto"/>
              <w:right w:val="single" w:sz="4" w:space="0" w:color="auto"/>
            </w:tcBorders>
            <w:shd w:val="clear" w:color="auto" w:fill="auto"/>
          </w:tcPr>
          <w:p w:rsidR="00330DAA" w:rsidRPr="008E3F1A" w:rsidRDefault="001371DC" w:rsidP="00816361">
            <w:pPr>
              <w:pStyle w:val="TableText0"/>
              <w:keepLines/>
              <w:widowControl w:val="0"/>
              <w:jc w:val="center"/>
              <w:rPr>
                <w:rFonts w:cs="Times New Roman"/>
                <w:szCs w:val="20"/>
              </w:rPr>
            </w:pPr>
            <w:r w:rsidRPr="008E3F1A">
              <w:rPr>
                <w:szCs w:val="20"/>
              </w:rPr>
              <w:t>20.80 months (12.68,47.57)</w:t>
            </w:r>
          </w:p>
        </w:tc>
        <w:tc>
          <w:tcPr>
            <w:tcW w:w="1113" w:type="pct"/>
            <w:tcBorders>
              <w:left w:val="single" w:sz="4" w:space="0" w:color="auto"/>
              <w:bottom w:val="single" w:sz="4" w:space="0" w:color="auto"/>
              <w:right w:val="single" w:sz="4" w:space="0" w:color="auto"/>
            </w:tcBorders>
            <w:shd w:val="clear" w:color="auto" w:fill="auto"/>
          </w:tcPr>
          <w:p w:rsidR="00330DAA" w:rsidRPr="008E3F1A" w:rsidRDefault="001371DC" w:rsidP="00816361">
            <w:pPr>
              <w:pStyle w:val="TableText0"/>
              <w:keepLines/>
              <w:widowControl w:val="0"/>
              <w:jc w:val="center"/>
            </w:pPr>
            <w:r w:rsidRPr="008E3F1A">
              <w:t>27.4 months</w:t>
            </w:r>
          </w:p>
        </w:tc>
        <w:tc>
          <w:tcPr>
            <w:tcW w:w="879" w:type="pct"/>
            <w:tcBorders>
              <w:top w:val="nil"/>
              <w:left w:val="single" w:sz="4" w:space="0" w:color="auto"/>
              <w:bottom w:val="nil"/>
            </w:tcBorders>
            <w:shd w:val="clear" w:color="auto" w:fill="auto"/>
          </w:tcPr>
          <w:p w:rsidR="00330DAA" w:rsidRPr="008E3F1A" w:rsidRDefault="00330DAA" w:rsidP="00816361">
            <w:pPr>
              <w:pStyle w:val="TableText0"/>
              <w:keepLines/>
              <w:widowControl w:val="0"/>
              <w:jc w:val="center"/>
              <w:rPr>
                <w:szCs w:val="20"/>
              </w:rPr>
            </w:pPr>
          </w:p>
        </w:tc>
      </w:tr>
      <w:tr w:rsidR="00D8265E" w:rsidRPr="008E3F1A" w:rsidTr="00B67144">
        <w:trPr>
          <w:trHeight w:val="20"/>
        </w:trPr>
        <w:tc>
          <w:tcPr>
            <w:tcW w:w="1366" w:type="pct"/>
            <w:tcBorders>
              <w:top w:val="single" w:sz="4" w:space="0" w:color="auto"/>
              <w:bottom w:val="single" w:sz="4" w:space="0" w:color="auto"/>
              <w:right w:val="single" w:sz="4" w:space="0" w:color="auto"/>
            </w:tcBorders>
            <w:shd w:val="clear" w:color="auto" w:fill="auto"/>
          </w:tcPr>
          <w:p w:rsidR="00D8265E" w:rsidRPr="008E3F1A" w:rsidRDefault="00D8265E" w:rsidP="00D8265E">
            <w:pPr>
              <w:pStyle w:val="TableText0"/>
              <w:keepLines/>
              <w:widowControl w:val="0"/>
            </w:pPr>
            <w:r w:rsidRPr="008E3F1A">
              <w:t>% not progressed at 6 months (95% CI)</w:t>
            </w: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D8265E" w:rsidRPr="008E3F1A" w:rsidRDefault="00D8265E" w:rsidP="00D8265E">
            <w:pPr>
              <w:pStyle w:val="TableText0"/>
              <w:keepLines/>
              <w:widowControl w:val="0"/>
              <w:jc w:val="center"/>
              <w:rPr>
                <w:szCs w:val="20"/>
              </w:rPr>
            </w:pPr>
            <w:r w:rsidRPr="008E3F1A">
              <w:rPr>
                <w:szCs w:val="20"/>
              </w:rPr>
              <w:t>82.1% (76.4, 86.6)</w:t>
            </w:r>
          </w:p>
        </w:tc>
        <w:tc>
          <w:tcPr>
            <w:tcW w:w="840" w:type="pct"/>
            <w:tcBorders>
              <w:top w:val="single" w:sz="4" w:space="0" w:color="auto"/>
              <w:left w:val="single" w:sz="4" w:space="0" w:color="auto"/>
              <w:bottom w:val="single" w:sz="4" w:space="0" w:color="auto"/>
              <w:right w:val="single" w:sz="4" w:space="0" w:color="auto"/>
            </w:tcBorders>
            <w:shd w:val="clear" w:color="auto" w:fill="auto"/>
          </w:tcPr>
          <w:p w:rsidR="00D8265E" w:rsidRPr="008E3F1A" w:rsidRDefault="00D8265E" w:rsidP="00D8265E">
            <w:pPr>
              <w:pStyle w:val="TableText0"/>
              <w:keepLines/>
              <w:widowControl w:val="0"/>
              <w:jc w:val="center"/>
              <w:rPr>
                <w:szCs w:val="20"/>
              </w:rPr>
            </w:pPr>
            <w:r w:rsidRPr="008E3F1A">
              <w:rPr>
                <w:szCs w:val="20"/>
              </w:rPr>
              <w:t>70.8% (64.3, 76.3)</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D8265E" w:rsidRPr="008E3F1A" w:rsidRDefault="002A59B0" w:rsidP="00B67144">
            <w:pPr>
              <w:pStyle w:val="TableText0"/>
              <w:keepLines/>
              <w:widowControl w:val="0"/>
              <w:jc w:val="center"/>
            </w:pPr>
            <w:r w:rsidRPr="008E3F1A">
              <w:t>11.3</w:t>
            </w:r>
            <w:r w:rsidR="00D8265E" w:rsidRPr="008E3F1A">
              <w:t>%</w:t>
            </w:r>
          </w:p>
        </w:tc>
        <w:tc>
          <w:tcPr>
            <w:tcW w:w="879" w:type="pct"/>
            <w:tcBorders>
              <w:top w:val="nil"/>
              <w:left w:val="single" w:sz="4" w:space="0" w:color="auto"/>
              <w:bottom w:val="nil"/>
            </w:tcBorders>
            <w:shd w:val="clear" w:color="auto" w:fill="auto"/>
          </w:tcPr>
          <w:p w:rsidR="00D8265E" w:rsidRPr="008E3F1A" w:rsidRDefault="00D8265E" w:rsidP="00D8265E">
            <w:pPr>
              <w:pStyle w:val="TableText0"/>
              <w:keepLines/>
              <w:widowControl w:val="0"/>
              <w:jc w:val="center"/>
            </w:pPr>
          </w:p>
        </w:tc>
      </w:tr>
      <w:tr w:rsidR="00B67144" w:rsidRPr="008E3F1A" w:rsidTr="00B67144">
        <w:trPr>
          <w:trHeight w:val="20"/>
        </w:trPr>
        <w:tc>
          <w:tcPr>
            <w:tcW w:w="1366" w:type="pct"/>
            <w:tcBorders>
              <w:top w:val="single" w:sz="4" w:space="0" w:color="auto"/>
              <w:bottom w:val="single" w:sz="4" w:space="0" w:color="auto"/>
              <w:right w:val="single" w:sz="4" w:space="0" w:color="auto"/>
            </w:tcBorders>
            <w:shd w:val="clear" w:color="auto" w:fill="auto"/>
          </w:tcPr>
          <w:p w:rsidR="00B67144" w:rsidRPr="008E3F1A" w:rsidRDefault="00B67144" w:rsidP="00B67144">
            <w:pPr>
              <w:pStyle w:val="TableText0"/>
              <w:keepLines/>
              <w:widowControl w:val="0"/>
            </w:pPr>
            <w:r w:rsidRPr="008E3F1A">
              <w:t>% not progressed at 12 months (95% CI)</w:t>
            </w: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B67144" w:rsidRPr="008E3F1A" w:rsidRDefault="00B67144" w:rsidP="00B67144">
            <w:pPr>
              <w:pStyle w:val="TableText0"/>
              <w:keepLines/>
              <w:widowControl w:val="0"/>
              <w:jc w:val="center"/>
              <w:rPr>
                <w:szCs w:val="20"/>
              </w:rPr>
            </w:pPr>
            <w:r w:rsidRPr="008E3F1A">
              <w:rPr>
                <w:szCs w:val="20"/>
              </w:rPr>
              <w:t>71.7% (65.1, 77.2)</w:t>
            </w:r>
          </w:p>
        </w:tc>
        <w:tc>
          <w:tcPr>
            <w:tcW w:w="840" w:type="pct"/>
            <w:tcBorders>
              <w:top w:val="single" w:sz="4" w:space="0" w:color="auto"/>
              <w:left w:val="single" w:sz="4" w:space="0" w:color="auto"/>
              <w:bottom w:val="single" w:sz="4" w:space="0" w:color="auto"/>
              <w:right w:val="single" w:sz="4" w:space="0" w:color="auto"/>
            </w:tcBorders>
            <w:shd w:val="clear" w:color="auto" w:fill="auto"/>
          </w:tcPr>
          <w:p w:rsidR="00B67144" w:rsidRPr="008E3F1A" w:rsidRDefault="00B67144" w:rsidP="00B67144">
            <w:pPr>
              <w:pStyle w:val="TableText0"/>
              <w:keepLines/>
              <w:widowControl w:val="0"/>
              <w:jc w:val="center"/>
              <w:rPr>
                <w:szCs w:val="20"/>
              </w:rPr>
            </w:pPr>
            <w:r w:rsidRPr="008E3F1A">
              <w:rPr>
                <w:szCs w:val="20"/>
              </w:rPr>
              <w:t>58.2% (51.4, 64.3)</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B67144" w:rsidRPr="008E3F1A" w:rsidRDefault="00B67144" w:rsidP="00B67144">
            <w:pPr>
              <w:pStyle w:val="TableText0"/>
              <w:keepLines/>
              <w:widowControl w:val="0"/>
              <w:jc w:val="center"/>
            </w:pPr>
            <w:r w:rsidRPr="008E3F1A">
              <w:t>13.5%</w:t>
            </w:r>
          </w:p>
        </w:tc>
        <w:tc>
          <w:tcPr>
            <w:tcW w:w="879" w:type="pct"/>
            <w:tcBorders>
              <w:top w:val="nil"/>
              <w:left w:val="single" w:sz="4" w:space="0" w:color="auto"/>
              <w:bottom w:val="nil"/>
            </w:tcBorders>
            <w:shd w:val="clear" w:color="auto" w:fill="auto"/>
          </w:tcPr>
          <w:p w:rsidR="00B67144" w:rsidRPr="008E3F1A" w:rsidRDefault="00B67144" w:rsidP="00B67144">
            <w:pPr>
              <w:spacing w:line="240" w:lineRule="exact"/>
              <w:jc w:val="center"/>
              <w:rPr>
                <w:rFonts w:ascii="Arial Narrow" w:hAnsi="Arial Narrow"/>
                <w:b/>
                <w:bCs/>
                <w:sz w:val="20"/>
                <w:szCs w:val="20"/>
              </w:rPr>
            </w:pPr>
            <w:r w:rsidRPr="008E3F1A">
              <w:rPr>
                <w:rFonts w:ascii="Arial Narrow" w:hAnsi="Arial Narrow"/>
                <w:b/>
                <w:bCs/>
                <w:sz w:val="20"/>
                <w:szCs w:val="20"/>
              </w:rPr>
              <w:t>0.71</w:t>
            </w:r>
            <w:r w:rsidRPr="008E3F1A">
              <w:rPr>
                <w:rFonts w:ascii="Arial Narrow" w:hAnsi="Arial Narrow"/>
                <w:b/>
                <w:bCs/>
                <w:sz w:val="20"/>
                <w:szCs w:val="20"/>
                <w:vertAlign w:val="superscript"/>
              </w:rPr>
              <w:t>a</w:t>
            </w:r>
            <w:r w:rsidRPr="008E3F1A">
              <w:rPr>
                <w:rFonts w:ascii="Arial Narrow" w:hAnsi="Arial Narrow"/>
                <w:b/>
                <w:bCs/>
                <w:sz w:val="20"/>
                <w:szCs w:val="20"/>
              </w:rPr>
              <w:t xml:space="preserve"> (0.54, 0.93)</w:t>
            </w:r>
          </w:p>
          <w:p w:rsidR="00B67144" w:rsidRPr="008E3F1A" w:rsidRDefault="00B67144" w:rsidP="00B67144">
            <w:pPr>
              <w:pStyle w:val="TableText0"/>
              <w:keepLines/>
              <w:widowControl w:val="0"/>
              <w:jc w:val="center"/>
            </w:pPr>
            <w:r w:rsidRPr="008E3F1A">
              <w:rPr>
                <w:szCs w:val="20"/>
              </w:rPr>
              <w:t>P=0.0110</w:t>
            </w:r>
          </w:p>
        </w:tc>
      </w:tr>
      <w:tr w:rsidR="00B67144" w:rsidRPr="008E3F1A" w:rsidTr="00B67144">
        <w:trPr>
          <w:trHeight w:val="20"/>
        </w:trPr>
        <w:tc>
          <w:tcPr>
            <w:tcW w:w="1366" w:type="pct"/>
            <w:tcBorders>
              <w:top w:val="single" w:sz="4" w:space="0" w:color="auto"/>
              <w:bottom w:val="single" w:sz="4" w:space="0" w:color="auto"/>
              <w:right w:val="single" w:sz="4" w:space="0" w:color="auto"/>
            </w:tcBorders>
            <w:shd w:val="clear" w:color="auto" w:fill="auto"/>
          </w:tcPr>
          <w:p w:rsidR="00B67144" w:rsidRPr="008E3F1A" w:rsidRDefault="00B67144" w:rsidP="00B67144">
            <w:pPr>
              <w:pStyle w:val="TableText0"/>
              <w:keepLines/>
              <w:widowControl w:val="0"/>
            </w:pPr>
            <w:r w:rsidRPr="008E3F1A">
              <w:t>% not progressed at 24 months (95% CI)</w:t>
            </w: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B67144" w:rsidRPr="008E3F1A" w:rsidRDefault="00B67144" w:rsidP="00B67144">
            <w:pPr>
              <w:pStyle w:val="TableText0"/>
              <w:keepLines/>
              <w:widowControl w:val="0"/>
              <w:jc w:val="center"/>
              <w:rPr>
                <w:szCs w:val="20"/>
              </w:rPr>
            </w:pPr>
            <w:r w:rsidRPr="008E3F1A">
              <w:rPr>
                <w:szCs w:val="20"/>
              </w:rPr>
              <w:t>61.4% (54.4, 67.6)</w:t>
            </w:r>
          </w:p>
        </w:tc>
        <w:tc>
          <w:tcPr>
            <w:tcW w:w="840" w:type="pct"/>
            <w:tcBorders>
              <w:top w:val="single" w:sz="4" w:space="0" w:color="auto"/>
              <w:left w:val="single" w:sz="4" w:space="0" w:color="auto"/>
              <w:bottom w:val="single" w:sz="4" w:space="0" w:color="auto"/>
              <w:right w:val="single" w:sz="4" w:space="0" w:color="auto"/>
            </w:tcBorders>
            <w:shd w:val="clear" w:color="auto" w:fill="auto"/>
          </w:tcPr>
          <w:p w:rsidR="00B67144" w:rsidRPr="008E3F1A" w:rsidRDefault="00B67144" w:rsidP="00B67144">
            <w:pPr>
              <w:pStyle w:val="TableText0"/>
              <w:keepLines/>
              <w:widowControl w:val="0"/>
              <w:jc w:val="center"/>
              <w:rPr>
                <w:szCs w:val="20"/>
              </w:rPr>
            </w:pPr>
            <w:r w:rsidRPr="008E3F1A">
              <w:rPr>
                <w:szCs w:val="20"/>
              </w:rPr>
              <w:t>47.4% (40.6, 53.8)</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B67144" w:rsidRPr="008E3F1A" w:rsidRDefault="00B67144" w:rsidP="00B67144">
            <w:pPr>
              <w:pStyle w:val="TableText0"/>
              <w:keepLines/>
              <w:widowControl w:val="0"/>
              <w:jc w:val="center"/>
            </w:pPr>
            <w:r w:rsidRPr="008E3F1A">
              <w:t>14.0</w:t>
            </w:r>
            <w:r w:rsidR="00664428" w:rsidRPr="008E3F1A">
              <w:t>%</w:t>
            </w:r>
          </w:p>
        </w:tc>
        <w:tc>
          <w:tcPr>
            <w:tcW w:w="879" w:type="pct"/>
            <w:tcBorders>
              <w:top w:val="nil"/>
              <w:left w:val="single" w:sz="4" w:space="0" w:color="auto"/>
              <w:bottom w:val="nil"/>
            </w:tcBorders>
            <w:shd w:val="clear" w:color="auto" w:fill="auto"/>
          </w:tcPr>
          <w:p w:rsidR="00B67144" w:rsidRPr="008E3F1A" w:rsidRDefault="00B67144" w:rsidP="00B67144">
            <w:pPr>
              <w:pStyle w:val="TableText0"/>
              <w:keepLines/>
              <w:widowControl w:val="0"/>
              <w:jc w:val="center"/>
            </w:pPr>
          </w:p>
        </w:tc>
      </w:tr>
      <w:tr w:rsidR="00B67144" w:rsidRPr="008E3F1A" w:rsidTr="00B67144">
        <w:trPr>
          <w:trHeight w:val="20"/>
        </w:trPr>
        <w:tc>
          <w:tcPr>
            <w:tcW w:w="1366" w:type="pct"/>
            <w:tcBorders>
              <w:top w:val="single" w:sz="4" w:space="0" w:color="auto"/>
              <w:bottom w:val="single" w:sz="4" w:space="0" w:color="auto"/>
              <w:right w:val="single" w:sz="4" w:space="0" w:color="auto"/>
            </w:tcBorders>
            <w:shd w:val="clear" w:color="auto" w:fill="auto"/>
          </w:tcPr>
          <w:p w:rsidR="00B67144" w:rsidRPr="008E3F1A" w:rsidRDefault="00B67144" w:rsidP="00B67144">
            <w:pPr>
              <w:pStyle w:val="TableText0"/>
              <w:keepLines/>
              <w:widowControl w:val="0"/>
            </w:pPr>
            <w:r w:rsidRPr="008E3F1A">
              <w:t>% not progressed at 36 months (95% CI)</w:t>
            </w: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B67144" w:rsidRPr="008E3F1A" w:rsidRDefault="00B67144" w:rsidP="00B67144">
            <w:pPr>
              <w:pStyle w:val="TableText0"/>
              <w:keepLines/>
              <w:widowControl w:val="0"/>
              <w:jc w:val="center"/>
              <w:rPr>
                <w:szCs w:val="20"/>
              </w:rPr>
            </w:pPr>
            <w:r w:rsidRPr="008E3F1A">
              <w:rPr>
                <w:szCs w:val="20"/>
              </w:rPr>
              <w:t>57.1% (49.9, 63.7)</w:t>
            </w:r>
          </w:p>
        </w:tc>
        <w:tc>
          <w:tcPr>
            <w:tcW w:w="840" w:type="pct"/>
            <w:tcBorders>
              <w:top w:val="single" w:sz="4" w:space="0" w:color="auto"/>
              <w:left w:val="single" w:sz="4" w:space="0" w:color="auto"/>
              <w:bottom w:val="single" w:sz="4" w:space="0" w:color="auto"/>
              <w:right w:val="single" w:sz="4" w:space="0" w:color="auto"/>
            </w:tcBorders>
            <w:shd w:val="clear" w:color="auto" w:fill="auto"/>
          </w:tcPr>
          <w:p w:rsidR="00B67144" w:rsidRPr="008E3F1A" w:rsidRDefault="00B67144" w:rsidP="00B67144">
            <w:pPr>
              <w:pStyle w:val="TableText0"/>
              <w:keepLines/>
              <w:widowControl w:val="0"/>
              <w:jc w:val="center"/>
              <w:rPr>
                <w:szCs w:val="20"/>
              </w:rPr>
            </w:pPr>
            <w:r w:rsidRPr="008E3F1A">
              <w:rPr>
                <w:szCs w:val="20"/>
              </w:rPr>
              <w:t>44.4% (37.6, 50.9)</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B67144" w:rsidRPr="008E3F1A" w:rsidRDefault="00B67144" w:rsidP="00B67144">
            <w:pPr>
              <w:pStyle w:val="TableText0"/>
              <w:keepLines/>
              <w:widowControl w:val="0"/>
              <w:jc w:val="center"/>
              <w:rPr>
                <w:rFonts w:cs="Times New Roman"/>
                <w:szCs w:val="20"/>
              </w:rPr>
            </w:pPr>
            <w:r w:rsidRPr="008E3F1A">
              <w:rPr>
                <w:rFonts w:cs="Times New Roman"/>
                <w:szCs w:val="20"/>
              </w:rPr>
              <w:t>12.7%</w:t>
            </w:r>
          </w:p>
        </w:tc>
        <w:tc>
          <w:tcPr>
            <w:tcW w:w="879" w:type="pct"/>
            <w:tcBorders>
              <w:top w:val="nil"/>
              <w:left w:val="single" w:sz="4" w:space="0" w:color="auto"/>
              <w:bottom w:val="single" w:sz="4" w:space="0" w:color="auto"/>
            </w:tcBorders>
            <w:shd w:val="clear" w:color="auto" w:fill="auto"/>
          </w:tcPr>
          <w:p w:rsidR="00B67144" w:rsidRPr="008E3F1A" w:rsidRDefault="00B67144" w:rsidP="00B67144">
            <w:pPr>
              <w:pStyle w:val="TableText0"/>
              <w:keepLines/>
              <w:widowControl w:val="0"/>
              <w:jc w:val="center"/>
            </w:pPr>
          </w:p>
        </w:tc>
      </w:tr>
      <w:tr w:rsidR="00B67144" w:rsidRPr="008E3F1A" w:rsidTr="006B35E6">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rsidR="00B67144" w:rsidRPr="008E3F1A" w:rsidRDefault="00B67144" w:rsidP="00B67144">
            <w:pPr>
              <w:pStyle w:val="In-tableHeading"/>
              <w:rPr>
                <w:lang w:val="en-AU"/>
              </w:rPr>
            </w:pPr>
            <w:r w:rsidRPr="008E3F1A">
              <w:rPr>
                <w:lang w:val="en-AU"/>
              </w:rPr>
              <w:t xml:space="preserve">Overall survival (median duration of follow up </w:t>
            </w:r>
            <w:r w:rsidR="007E3D24" w:rsidRPr="008E3F1A">
              <w:rPr>
                <w:lang w:val="en-AU"/>
              </w:rPr>
              <w:t>42</w:t>
            </w:r>
            <w:r w:rsidRPr="008E3F1A">
              <w:rPr>
                <w:lang w:val="en-AU"/>
              </w:rPr>
              <w:t xml:space="preserve"> months)</w:t>
            </w:r>
          </w:p>
        </w:tc>
      </w:tr>
      <w:tr w:rsidR="00B67144" w:rsidRPr="008E3F1A" w:rsidTr="006B35E6">
        <w:trPr>
          <w:trHeight w:val="20"/>
        </w:trPr>
        <w:tc>
          <w:tcPr>
            <w:tcW w:w="1366" w:type="pct"/>
            <w:tcBorders>
              <w:top w:val="single" w:sz="4" w:space="0" w:color="auto"/>
              <w:left w:val="single" w:sz="4" w:space="0" w:color="auto"/>
              <w:bottom w:val="single" w:sz="4" w:space="0" w:color="auto"/>
              <w:right w:val="single" w:sz="4" w:space="0" w:color="auto"/>
            </w:tcBorders>
            <w:shd w:val="clear" w:color="auto" w:fill="auto"/>
          </w:tcPr>
          <w:p w:rsidR="00B67144" w:rsidRPr="008E3F1A" w:rsidRDefault="00B67144" w:rsidP="00B67144">
            <w:pPr>
              <w:pStyle w:val="TableText0"/>
              <w:keepLines/>
              <w:widowControl w:val="0"/>
            </w:pPr>
            <w:r w:rsidRPr="008E3F1A">
              <w:t xml:space="preserve">Deaths, n/N (%) </w:t>
            </w: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B67144" w:rsidRPr="008E3F1A" w:rsidRDefault="00B67144" w:rsidP="00B67144">
            <w:pPr>
              <w:pStyle w:val="TableText0"/>
              <w:keepLines/>
              <w:widowControl w:val="0"/>
              <w:jc w:val="center"/>
            </w:pPr>
            <w:r w:rsidRPr="008E3F1A">
              <w:rPr>
                <w:rFonts w:cs="Times New Roman"/>
                <w:szCs w:val="20"/>
              </w:rPr>
              <w:t>51/226 (23%)</w:t>
            </w:r>
          </w:p>
        </w:tc>
        <w:tc>
          <w:tcPr>
            <w:tcW w:w="840" w:type="pct"/>
            <w:tcBorders>
              <w:top w:val="single" w:sz="4" w:space="0" w:color="auto"/>
              <w:left w:val="single" w:sz="4" w:space="0" w:color="auto"/>
              <w:bottom w:val="single" w:sz="4" w:space="0" w:color="auto"/>
              <w:right w:val="single" w:sz="4" w:space="0" w:color="auto"/>
            </w:tcBorders>
            <w:shd w:val="clear" w:color="auto" w:fill="auto"/>
          </w:tcPr>
          <w:p w:rsidR="00B67144" w:rsidRPr="008E3F1A" w:rsidRDefault="00B67144" w:rsidP="00B67144">
            <w:pPr>
              <w:pStyle w:val="TableText0"/>
              <w:keepLines/>
              <w:widowControl w:val="0"/>
              <w:jc w:val="center"/>
            </w:pPr>
            <w:r w:rsidRPr="008E3F1A">
              <w:rPr>
                <w:rFonts w:cs="Times New Roman"/>
                <w:szCs w:val="20"/>
              </w:rPr>
              <w:t>73/226 (32%)</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67144" w:rsidRPr="008E3F1A" w:rsidRDefault="00B67144" w:rsidP="00B67144">
            <w:pPr>
              <w:pStyle w:val="TableText0"/>
              <w:keepLines/>
              <w:widowControl w:val="0"/>
              <w:jc w:val="center"/>
            </w:pPr>
            <w:r w:rsidRPr="008E3F1A">
              <w:t>-</w:t>
            </w:r>
          </w:p>
        </w:tc>
        <w:tc>
          <w:tcPr>
            <w:tcW w:w="879" w:type="pct"/>
            <w:tcBorders>
              <w:top w:val="single" w:sz="4" w:space="0" w:color="auto"/>
              <w:left w:val="single" w:sz="4" w:space="0" w:color="auto"/>
              <w:bottom w:val="nil"/>
              <w:right w:val="single" w:sz="4" w:space="0" w:color="auto"/>
            </w:tcBorders>
            <w:shd w:val="clear" w:color="auto" w:fill="auto"/>
          </w:tcPr>
          <w:p w:rsidR="00B67144" w:rsidRPr="008E3F1A" w:rsidRDefault="00B67144" w:rsidP="00B67144">
            <w:pPr>
              <w:pStyle w:val="TableText0"/>
              <w:keepLines/>
              <w:widowControl w:val="0"/>
              <w:jc w:val="center"/>
            </w:pPr>
          </w:p>
        </w:tc>
      </w:tr>
      <w:tr w:rsidR="00B67144" w:rsidRPr="008E3F1A" w:rsidTr="006B35E6">
        <w:trPr>
          <w:trHeight w:val="20"/>
        </w:trPr>
        <w:tc>
          <w:tcPr>
            <w:tcW w:w="1366" w:type="pct"/>
            <w:tcBorders>
              <w:top w:val="single" w:sz="4" w:space="0" w:color="auto"/>
              <w:left w:val="single" w:sz="4" w:space="0" w:color="auto"/>
              <w:bottom w:val="single" w:sz="4" w:space="0" w:color="auto"/>
              <w:right w:val="single" w:sz="4" w:space="0" w:color="auto"/>
            </w:tcBorders>
            <w:shd w:val="clear" w:color="auto" w:fill="auto"/>
          </w:tcPr>
          <w:p w:rsidR="00B67144" w:rsidRPr="008E3F1A" w:rsidRDefault="00B67144" w:rsidP="00B67144">
            <w:pPr>
              <w:pStyle w:val="TableText0"/>
              <w:keepLines/>
              <w:widowControl w:val="0"/>
            </w:pPr>
            <w:r w:rsidRPr="008E3F1A">
              <w:t>Median OS, months (95% CI)</w:t>
            </w: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B67144" w:rsidRPr="008E3F1A" w:rsidRDefault="00B67144" w:rsidP="00B67144">
            <w:pPr>
              <w:pStyle w:val="TableText0"/>
              <w:keepLines/>
              <w:widowControl w:val="0"/>
              <w:jc w:val="center"/>
              <w:rPr>
                <w:rFonts w:cs="Times New Roman"/>
                <w:szCs w:val="20"/>
              </w:rPr>
            </w:pPr>
            <w:r w:rsidRPr="008E3F1A">
              <w:rPr>
                <w:rFonts w:cs="Times New Roman"/>
                <w:szCs w:val="20"/>
              </w:rPr>
              <w:t>NE</w:t>
            </w:r>
          </w:p>
        </w:tc>
        <w:tc>
          <w:tcPr>
            <w:tcW w:w="840" w:type="pct"/>
            <w:tcBorders>
              <w:top w:val="single" w:sz="4" w:space="0" w:color="auto"/>
              <w:left w:val="single" w:sz="4" w:space="0" w:color="auto"/>
              <w:bottom w:val="single" w:sz="4" w:space="0" w:color="auto"/>
              <w:right w:val="single" w:sz="4" w:space="0" w:color="auto"/>
            </w:tcBorders>
            <w:shd w:val="clear" w:color="auto" w:fill="auto"/>
          </w:tcPr>
          <w:p w:rsidR="00B67144" w:rsidRPr="008E3F1A" w:rsidRDefault="00B67144" w:rsidP="00B67144">
            <w:pPr>
              <w:pStyle w:val="TableText0"/>
              <w:keepLines/>
              <w:widowControl w:val="0"/>
              <w:jc w:val="center"/>
              <w:rPr>
                <w:rFonts w:cs="Times New Roman"/>
                <w:szCs w:val="20"/>
              </w:rPr>
            </w:pPr>
            <w:r w:rsidRPr="008E3F1A">
              <w:t>NE (54.2; NE)</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67144" w:rsidRPr="008E3F1A" w:rsidRDefault="00B67144" w:rsidP="00B67144">
            <w:pPr>
              <w:pStyle w:val="TableText0"/>
              <w:keepLines/>
              <w:widowControl w:val="0"/>
              <w:jc w:val="center"/>
            </w:pPr>
            <w:r w:rsidRPr="008E3F1A">
              <w:t>NE</w:t>
            </w:r>
          </w:p>
        </w:tc>
        <w:tc>
          <w:tcPr>
            <w:tcW w:w="879" w:type="pct"/>
            <w:tcBorders>
              <w:top w:val="nil"/>
              <w:left w:val="single" w:sz="4" w:space="0" w:color="auto"/>
              <w:bottom w:val="nil"/>
              <w:right w:val="single" w:sz="4" w:space="0" w:color="auto"/>
            </w:tcBorders>
            <w:shd w:val="clear" w:color="auto" w:fill="auto"/>
          </w:tcPr>
          <w:p w:rsidR="00B67144" w:rsidRPr="008E3F1A" w:rsidRDefault="00B67144" w:rsidP="00B67144">
            <w:pPr>
              <w:pStyle w:val="TableText0"/>
              <w:keepLines/>
              <w:widowControl w:val="0"/>
              <w:jc w:val="center"/>
              <w:rPr>
                <w:szCs w:val="20"/>
              </w:rPr>
            </w:pPr>
          </w:p>
        </w:tc>
      </w:tr>
      <w:tr w:rsidR="00B67144" w:rsidRPr="008E3F1A" w:rsidTr="00B67144">
        <w:trPr>
          <w:trHeight w:val="20"/>
        </w:trPr>
        <w:tc>
          <w:tcPr>
            <w:tcW w:w="1366" w:type="pct"/>
            <w:tcBorders>
              <w:top w:val="single" w:sz="4" w:space="0" w:color="auto"/>
              <w:left w:val="single" w:sz="4" w:space="0" w:color="auto"/>
              <w:bottom w:val="single" w:sz="4" w:space="0" w:color="auto"/>
              <w:right w:val="single" w:sz="4" w:space="0" w:color="auto"/>
            </w:tcBorders>
            <w:shd w:val="clear" w:color="auto" w:fill="auto"/>
          </w:tcPr>
          <w:p w:rsidR="00B67144" w:rsidRPr="008E3F1A" w:rsidRDefault="00B67144" w:rsidP="00B67144">
            <w:pPr>
              <w:pStyle w:val="TableText0"/>
              <w:keepLines/>
              <w:widowControl w:val="0"/>
            </w:pPr>
            <w:r w:rsidRPr="008E3F1A">
              <w:t xml:space="preserve">% Alive at 6 months (95% CI) </w:t>
            </w: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B67144" w:rsidRPr="008E3F1A" w:rsidRDefault="00B67144" w:rsidP="00B67144">
            <w:pPr>
              <w:pStyle w:val="TableText0"/>
              <w:keepLines/>
              <w:widowControl w:val="0"/>
              <w:jc w:val="center"/>
            </w:pPr>
            <w:r w:rsidRPr="008E3F1A">
              <w:rPr>
                <w:szCs w:val="20"/>
              </w:rPr>
              <w:t>93.7% (89.6, 96.2)</w:t>
            </w:r>
          </w:p>
        </w:tc>
        <w:tc>
          <w:tcPr>
            <w:tcW w:w="840" w:type="pct"/>
            <w:tcBorders>
              <w:top w:val="single" w:sz="4" w:space="0" w:color="auto"/>
              <w:left w:val="single" w:sz="4" w:space="0" w:color="auto"/>
              <w:bottom w:val="single" w:sz="4" w:space="0" w:color="auto"/>
              <w:right w:val="single" w:sz="4" w:space="0" w:color="auto"/>
            </w:tcBorders>
            <w:shd w:val="clear" w:color="auto" w:fill="auto"/>
          </w:tcPr>
          <w:p w:rsidR="00B67144" w:rsidRPr="008E3F1A" w:rsidRDefault="00B67144" w:rsidP="00B67144">
            <w:pPr>
              <w:pStyle w:val="TableText0"/>
              <w:keepLines/>
              <w:widowControl w:val="0"/>
              <w:jc w:val="center"/>
              <w:rPr>
                <w:szCs w:val="20"/>
              </w:rPr>
            </w:pPr>
            <w:r w:rsidRPr="008E3F1A">
              <w:rPr>
                <w:szCs w:val="20"/>
              </w:rPr>
              <w:t>89.2% (84.4, 92.7)</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B67144" w:rsidRPr="008E3F1A" w:rsidRDefault="00B67144" w:rsidP="00B67144">
            <w:pPr>
              <w:pStyle w:val="TableText0"/>
              <w:keepLines/>
              <w:widowControl w:val="0"/>
              <w:jc w:val="center"/>
            </w:pPr>
            <w:r w:rsidRPr="008E3F1A">
              <w:t>4.5%</w:t>
            </w:r>
          </w:p>
        </w:tc>
        <w:tc>
          <w:tcPr>
            <w:tcW w:w="879" w:type="pct"/>
            <w:tcBorders>
              <w:top w:val="nil"/>
              <w:left w:val="single" w:sz="4" w:space="0" w:color="auto"/>
              <w:bottom w:val="nil"/>
              <w:right w:val="single" w:sz="4" w:space="0" w:color="auto"/>
            </w:tcBorders>
            <w:shd w:val="clear" w:color="auto" w:fill="auto"/>
          </w:tcPr>
          <w:p w:rsidR="00B67144" w:rsidRPr="008E3F1A" w:rsidRDefault="00B67144" w:rsidP="00B67144">
            <w:pPr>
              <w:pStyle w:val="TableText0"/>
              <w:keepLines/>
              <w:widowControl w:val="0"/>
              <w:jc w:val="center"/>
            </w:pPr>
          </w:p>
        </w:tc>
      </w:tr>
      <w:tr w:rsidR="00B67144" w:rsidRPr="008E3F1A" w:rsidTr="00B67144">
        <w:trPr>
          <w:trHeight w:val="20"/>
        </w:trPr>
        <w:tc>
          <w:tcPr>
            <w:tcW w:w="1366" w:type="pct"/>
            <w:tcBorders>
              <w:top w:val="single" w:sz="4" w:space="0" w:color="auto"/>
              <w:left w:val="single" w:sz="4" w:space="0" w:color="auto"/>
              <w:bottom w:val="single" w:sz="4" w:space="0" w:color="auto"/>
              <w:right w:val="single" w:sz="4" w:space="0" w:color="auto"/>
            </w:tcBorders>
            <w:shd w:val="clear" w:color="auto" w:fill="auto"/>
          </w:tcPr>
          <w:p w:rsidR="00B67144" w:rsidRPr="008E3F1A" w:rsidRDefault="00B67144" w:rsidP="00B67144">
            <w:pPr>
              <w:pStyle w:val="TableText0"/>
              <w:keepLines/>
              <w:widowControl w:val="0"/>
            </w:pPr>
            <w:r w:rsidRPr="008E3F1A">
              <w:t>% Alive at 12 months (95% CI)</w:t>
            </w: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B67144" w:rsidRPr="008E3F1A" w:rsidRDefault="00B67144" w:rsidP="00B67144">
            <w:pPr>
              <w:pStyle w:val="TableText0"/>
              <w:keepLines/>
              <w:widowControl w:val="0"/>
              <w:jc w:val="center"/>
              <w:rPr>
                <w:szCs w:val="20"/>
              </w:rPr>
            </w:pPr>
            <w:r w:rsidRPr="008E3F1A">
              <w:rPr>
                <w:szCs w:val="20"/>
              </w:rPr>
              <w:t>87.8% (82.8, 91.5)</w:t>
            </w:r>
          </w:p>
        </w:tc>
        <w:tc>
          <w:tcPr>
            <w:tcW w:w="840" w:type="pct"/>
            <w:tcBorders>
              <w:top w:val="single" w:sz="4" w:space="0" w:color="auto"/>
              <w:left w:val="single" w:sz="4" w:space="0" w:color="auto"/>
              <w:bottom w:val="single" w:sz="4" w:space="0" w:color="auto"/>
              <w:right w:val="single" w:sz="4" w:space="0" w:color="auto"/>
            </w:tcBorders>
            <w:shd w:val="clear" w:color="auto" w:fill="auto"/>
          </w:tcPr>
          <w:p w:rsidR="00B67144" w:rsidRPr="008E3F1A" w:rsidRDefault="00B67144" w:rsidP="00B67144">
            <w:pPr>
              <w:pStyle w:val="TableText0"/>
              <w:keepLines/>
              <w:widowControl w:val="0"/>
              <w:jc w:val="center"/>
              <w:rPr>
                <w:szCs w:val="20"/>
              </w:rPr>
            </w:pPr>
            <w:r w:rsidRPr="008E3F1A">
              <w:rPr>
                <w:szCs w:val="20"/>
              </w:rPr>
              <w:t>82.4% (6.7, 86.8)</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B67144" w:rsidRPr="008E3F1A" w:rsidRDefault="00B67144" w:rsidP="00B67144">
            <w:pPr>
              <w:pStyle w:val="TableText0"/>
              <w:keepLines/>
              <w:widowControl w:val="0"/>
              <w:jc w:val="center"/>
            </w:pPr>
            <w:r w:rsidRPr="008E3F1A">
              <w:t>5.4%</w:t>
            </w:r>
          </w:p>
        </w:tc>
        <w:tc>
          <w:tcPr>
            <w:tcW w:w="879" w:type="pct"/>
            <w:tcBorders>
              <w:top w:val="nil"/>
              <w:left w:val="single" w:sz="4" w:space="0" w:color="auto"/>
              <w:bottom w:val="nil"/>
              <w:right w:val="single" w:sz="4" w:space="0" w:color="auto"/>
            </w:tcBorders>
            <w:shd w:val="clear" w:color="auto" w:fill="auto"/>
          </w:tcPr>
          <w:p w:rsidR="00B67144" w:rsidRPr="008E3F1A" w:rsidRDefault="00B67144" w:rsidP="00B67144">
            <w:pPr>
              <w:pStyle w:val="TableText0"/>
              <w:keepLines/>
              <w:widowControl w:val="0"/>
              <w:jc w:val="center"/>
              <w:rPr>
                <w:b/>
              </w:rPr>
            </w:pPr>
            <w:r w:rsidRPr="008E3F1A">
              <w:rPr>
                <w:b/>
              </w:rPr>
              <w:t>0.66</w:t>
            </w:r>
            <w:r w:rsidRPr="008E3F1A">
              <w:rPr>
                <w:b/>
                <w:vertAlign w:val="superscript"/>
              </w:rPr>
              <w:t>a</w:t>
            </w:r>
            <w:r w:rsidRPr="008E3F1A">
              <w:rPr>
                <w:b/>
              </w:rPr>
              <w:t xml:space="preserve"> (0.46, 0.95)</w:t>
            </w:r>
          </w:p>
          <w:p w:rsidR="00B67144" w:rsidRPr="008E3F1A" w:rsidRDefault="00B67144" w:rsidP="00B67144">
            <w:pPr>
              <w:pStyle w:val="TableText0"/>
              <w:keepLines/>
              <w:widowControl w:val="0"/>
              <w:jc w:val="center"/>
            </w:pPr>
            <w:r w:rsidRPr="008E3F1A">
              <w:rPr>
                <w:szCs w:val="20"/>
              </w:rPr>
              <w:t>P=0.0244</w:t>
            </w:r>
          </w:p>
        </w:tc>
      </w:tr>
      <w:tr w:rsidR="00B67144" w:rsidRPr="008E3F1A" w:rsidTr="00B67144">
        <w:trPr>
          <w:trHeight w:val="20"/>
        </w:trPr>
        <w:tc>
          <w:tcPr>
            <w:tcW w:w="1366" w:type="pct"/>
            <w:tcBorders>
              <w:top w:val="single" w:sz="4" w:space="0" w:color="auto"/>
              <w:left w:val="single" w:sz="4" w:space="0" w:color="auto"/>
              <w:bottom w:val="single" w:sz="4" w:space="0" w:color="auto"/>
              <w:right w:val="single" w:sz="4" w:space="0" w:color="auto"/>
            </w:tcBorders>
            <w:shd w:val="clear" w:color="auto" w:fill="auto"/>
          </w:tcPr>
          <w:p w:rsidR="00B67144" w:rsidRPr="008E3F1A" w:rsidRDefault="00B67144" w:rsidP="00B67144">
            <w:pPr>
              <w:pStyle w:val="TableText0"/>
              <w:keepLines/>
              <w:widowControl w:val="0"/>
            </w:pPr>
            <w:r w:rsidRPr="008E3F1A">
              <w:t>% Alive at 24 months (95% CI)</w:t>
            </w: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B67144" w:rsidRPr="008E3F1A" w:rsidRDefault="00B67144" w:rsidP="00B67144">
            <w:pPr>
              <w:pStyle w:val="TableText0"/>
              <w:keepLines/>
              <w:widowControl w:val="0"/>
              <w:jc w:val="center"/>
              <w:rPr>
                <w:szCs w:val="20"/>
              </w:rPr>
            </w:pPr>
            <w:r w:rsidRPr="008E3F1A">
              <w:rPr>
                <w:szCs w:val="20"/>
              </w:rPr>
              <w:t>80.8% (75.0,85.5)</w:t>
            </w:r>
          </w:p>
        </w:tc>
        <w:tc>
          <w:tcPr>
            <w:tcW w:w="840" w:type="pct"/>
            <w:tcBorders>
              <w:top w:val="single" w:sz="4" w:space="0" w:color="auto"/>
              <w:left w:val="single" w:sz="4" w:space="0" w:color="auto"/>
              <w:bottom w:val="single" w:sz="4" w:space="0" w:color="auto"/>
              <w:right w:val="single" w:sz="4" w:space="0" w:color="auto"/>
            </w:tcBorders>
            <w:shd w:val="clear" w:color="auto" w:fill="auto"/>
          </w:tcPr>
          <w:p w:rsidR="00B67144" w:rsidRPr="008E3F1A" w:rsidRDefault="00B67144" w:rsidP="00B67144">
            <w:pPr>
              <w:pStyle w:val="TableText0"/>
              <w:keepLines/>
              <w:widowControl w:val="0"/>
              <w:jc w:val="center"/>
              <w:rPr>
                <w:szCs w:val="20"/>
              </w:rPr>
            </w:pPr>
            <w:r w:rsidRPr="008E3F1A">
              <w:rPr>
                <w:szCs w:val="20"/>
              </w:rPr>
              <w:t>72.6% (66.2,78.0)</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B67144" w:rsidRPr="008E3F1A" w:rsidRDefault="00B67144" w:rsidP="00B67144">
            <w:pPr>
              <w:pStyle w:val="TableText0"/>
              <w:keepLines/>
              <w:widowControl w:val="0"/>
              <w:jc w:val="center"/>
            </w:pPr>
            <w:r w:rsidRPr="008E3F1A">
              <w:t>8.2%</w:t>
            </w:r>
          </w:p>
        </w:tc>
        <w:tc>
          <w:tcPr>
            <w:tcW w:w="879" w:type="pct"/>
            <w:tcBorders>
              <w:top w:val="nil"/>
              <w:left w:val="single" w:sz="4" w:space="0" w:color="auto"/>
              <w:bottom w:val="nil"/>
              <w:right w:val="single" w:sz="4" w:space="0" w:color="auto"/>
            </w:tcBorders>
            <w:shd w:val="clear" w:color="auto" w:fill="auto"/>
          </w:tcPr>
          <w:p w:rsidR="00B67144" w:rsidRPr="008E3F1A" w:rsidRDefault="00B67144" w:rsidP="00B67144">
            <w:pPr>
              <w:pStyle w:val="TableText0"/>
              <w:keepLines/>
              <w:widowControl w:val="0"/>
              <w:jc w:val="center"/>
            </w:pPr>
          </w:p>
        </w:tc>
      </w:tr>
      <w:tr w:rsidR="00B67144" w:rsidRPr="008E3F1A" w:rsidTr="00B67144">
        <w:trPr>
          <w:trHeight w:val="20"/>
        </w:trPr>
        <w:tc>
          <w:tcPr>
            <w:tcW w:w="1366" w:type="pct"/>
            <w:tcBorders>
              <w:top w:val="single" w:sz="4" w:space="0" w:color="auto"/>
              <w:left w:val="single" w:sz="4" w:space="0" w:color="auto"/>
              <w:bottom w:val="single" w:sz="4" w:space="0" w:color="auto"/>
              <w:right w:val="single" w:sz="4" w:space="0" w:color="auto"/>
            </w:tcBorders>
            <w:shd w:val="clear" w:color="auto" w:fill="auto"/>
          </w:tcPr>
          <w:p w:rsidR="00B67144" w:rsidRPr="008E3F1A" w:rsidRDefault="00B67144" w:rsidP="00B67144">
            <w:pPr>
              <w:pStyle w:val="TableText0"/>
              <w:keepLines/>
              <w:widowControl w:val="0"/>
            </w:pPr>
            <w:r w:rsidRPr="008E3F1A">
              <w:t>% Alive at 36 months (95% CI)</w:t>
            </w: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B67144" w:rsidRPr="008E3F1A" w:rsidRDefault="00B67144" w:rsidP="00B67144">
            <w:pPr>
              <w:pStyle w:val="TableText0"/>
              <w:keepLines/>
              <w:widowControl w:val="0"/>
              <w:jc w:val="center"/>
              <w:rPr>
                <w:szCs w:val="20"/>
              </w:rPr>
            </w:pPr>
            <w:r w:rsidRPr="008E3F1A">
              <w:rPr>
                <w:szCs w:val="20"/>
              </w:rPr>
              <w:t>76.8% (70.4,82.0)</w:t>
            </w:r>
          </w:p>
        </w:tc>
        <w:tc>
          <w:tcPr>
            <w:tcW w:w="840" w:type="pct"/>
            <w:tcBorders>
              <w:top w:val="single" w:sz="4" w:space="0" w:color="auto"/>
              <w:left w:val="single" w:sz="4" w:space="0" w:color="auto"/>
              <w:bottom w:val="single" w:sz="4" w:space="0" w:color="auto"/>
              <w:right w:val="single" w:sz="4" w:space="0" w:color="auto"/>
            </w:tcBorders>
            <w:shd w:val="clear" w:color="auto" w:fill="auto"/>
          </w:tcPr>
          <w:p w:rsidR="00B67144" w:rsidRPr="008E3F1A" w:rsidRDefault="00B67144" w:rsidP="00B67144">
            <w:pPr>
              <w:pStyle w:val="TableText0"/>
              <w:keepLines/>
              <w:widowControl w:val="0"/>
              <w:jc w:val="center"/>
              <w:rPr>
                <w:szCs w:val="20"/>
              </w:rPr>
            </w:pPr>
            <w:r w:rsidRPr="008E3F1A">
              <w:rPr>
                <w:szCs w:val="20"/>
              </w:rPr>
              <w:t>69.1% (62.3,74.9)</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B67144" w:rsidRPr="008E3F1A" w:rsidRDefault="00B67144" w:rsidP="00B67144">
            <w:pPr>
              <w:pStyle w:val="TableText0"/>
              <w:keepLines/>
              <w:widowControl w:val="0"/>
              <w:jc w:val="center"/>
            </w:pPr>
            <w:r w:rsidRPr="008E3F1A">
              <w:t>7.7%</w:t>
            </w:r>
          </w:p>
        </w:tc>
        <w:tc>
          <w:tcPr>
            <w:tcW w:w="879" w:type="pct"/>
            <w:tcBorders>
              <w:top w:val="nil"/>
              <w:left w:val="single" w:sz="4" w:space="0" w:color="auto"/>
              <w:bottom w:val="nil"/>
              <w:right w:val="single" w:sz="4" w:space="0" w:color="auto"/>
            </w:tcBorders>
            <w:shd w:val="clear" w:color="auto" w:fill="auto"/>
          </w:tcPr>
          <w:p w:rsidR="00B67144" w:rsidRPr="008E3F1A" w:rsidRDefault="00B67144" w:rsidP="00B67144">
            <w:pPr>
              <w:pStyle w:val="TableText0"/>
              <w:keepLines/>
              <w:widowControl w:val="0"/>
              <w:jc w:val="center"/>
            </w:pPr>
          </w:p>
        </w:tc>
      </w:tr>
      <w:tr w:rsidR="00B67144" w:rsidRPr="008E3F1A" w:rsidTr="00B67144">
        <w:trPr>
          <w:trHeight w:val="20"/>
        </w:trPr>
        <w:tc>
          <w:tcPr>
            <w:tcW w:w="1366" w:type="pct"/>
            <w:tcBorders>
              <w:top w:val="single" w:sz="4" w:space="0" w:color="auto"/>
              <w:left w:val="single" w:sz="4" w:space="0" w:color="auto"/>
              <w:bottom w:val="double" w:sz="4" w:space="0" w:color="auto"/>
              <w:right w:val="single" w:sz="4" w:space="0" w:color="auto"/>
            </w:tcBorders>
            <w:shd w:val="clear" w:color="auto" w:fill="auto"/>
          </w:tcPr>
          <w:p w:rsidR="00B67144" w:rsidRPr="008E3F1A" w:rsidRDefault="00B67144" w:rsidP="00B67144">
            <w:pPr>
              <w:pStyle w:val="TableText0"/>
              <w:keepLines/>
              <w:widowControl w:val="0"/>
            </w:pPr>
            <w:r w:rsidRPr="008E3F1A">
              <w:t>% Alive at 48 months (95% CI)</w:t>
            </w:r>
          </w:p>
        </w:tc>
        <w:tc>
          <w:tcPr>
            <w:tcW w:w="802" w:type="pct"/>
            <w:tcBorders>
              <w:top w:val="single" w:sz="4" w:space="0" w:color="auto"/>
              <w:left w:val="single" w:sz="4" w:space="0" w:color="auto"/>
              <w:bottom w:val="double" w:sz="4" w:space="0" w:color="auto"/>
              <w:right w:val="single" w:sz="4" w:space="0" w:color="auto"/>
            </w:tcBorders>
            <w:shd w:val="clear" w:color="auto" w:fill="auto"/>
          </w:tcPr>
          <w:p w:rsidR="00B67144" w:rsidRPr="008E3F1A" w:rsidRDefault="00B67144" w:rsidP="00B67144">
            <w:pPr>
              <w:pStyle w:val="TableText0"/>
              <w:keepLines/>
              <w:widowControl w:val="0"/>
              <w:jc w:val="center"/>
              <w:rPr>
                <w:szCs w:val="20"/>
              </w:rPr>
            </w:pPr>
            <w:r w:rsidRPr="008E3F1A">
              <w:rPr>
                <w:szCs w:val="20"/>
              </w:rPr>
              <w:t>75.2% (68.5,80.6)</w:t>
            </w:r>
          </w:p>
        </w:tc>
        <w:tc>
          <w:tcPr>
            <w:tcW w:w="840" w:type="pct"/>
            <w:tcBorders>
              <w:top w:val="single" w:sz="4" w:space="0" w:color="auto"/>
              <w:left w:val="single" w:sz="4" w:space="0" w:color="auto"/>
              <w:bottom w:val="double" w:sz="4" w:space="0" w:color="auto"/>
              <w:right w:val="single" w:sz="4" w:space="0" w:color="auto"/>
            </w:tcBorders>
            <w:shd w:val="clear" w:color="auto" w:fill="auto"/>
          </w:tcPr>
          <w:p w:rsidR="00B67144" w:rsidRPr="008E3F1A" w:rsidRDefault="00B67144" w:rsidP="00B67144">
            <w:pPr>
              <w:pStyle w:val="TableText0"/>
              <w:keepLines/>
              <w:widowControl w:val="0"/>
              <w:jc w:val="center"/>
              <w:rPr>
                <w:szCs w:val="20"/>
              </w:rPr>
            </w:pPr>
            <w:r w:rsidRPr="008E3F1A">
              <w:rPr>
                <w:szCs w:val="20"/>
              </w:rPr>
              <w:t>64.6% (57.2,71.2)</w:t>
            </w:r>
          </w:p>
        </w:tc>
        <w:tc>
          <w:tcPr>
            <w:tcW w:w="1113" w:type="pct"/>
            <w:tcBorders>
              <w:top w:val="single" w:sz="4" w:space="0" w:color="auto"/>
              <w:left w:val="single" w:sz="4" w:space="0" w:color="auto"/>
              <w:bottom w:val="double" w:sz="4" w:space="0" w:color="auto"/>
              <w:right w:val="single" w:sz="4" w:space="0" w:color="auto"/>
            </w:tcBorders>
            <w:shd w:val="clear" w:color="auto" w:fill="auto"/>
            <w:vAlign w:val="center"/>
          </w:tcPr>
          <w:p w:rsidR="00B67144" w:rsidRPr="008E3F1A" w:rsidRDefault="00B67144" w:rsidP="00B67144">
            <w:pPr>
              <w:pStyle w:val="TableText0"/>
              <w:keepLines/>
              <w:widowControl w:val="0"/>
              <w:jc w:val="center"/>
            </w:pPr>
            <w:r w:rsidRPr="008E3F1A">
              <w:t>10.6%</w:t>
            </w:r>
          </w:p>
        </w:tc>
        <w:tc>
          <w:tcPr>
            <w:tcW w:w="879" w:type="pct"/>
            <w:tcBorders>
              <w:top w:val="nil"/>
              <w:left w:val="single" w:sz="4" w:space="0" w:color="auto"/>
              <w:bottom w:val="double" w:sz="4" w:space="0" w:color="auto"/>
              <w:right w:val="single" w:sz="4" w:space="0" w:color="auto"/>
            </w:tcBorders>
            <w:shd w:val="clear" w:color="auto" w:fill="auto"/>
          </w:tcPr>
          <w:p w:rsidR="00B67144" w:rsidRPr="008E3F1A" w:rsidRDefault="00B67144" w:rsidP="00B67144">
            <w:pPr>
              <w:pStyle w:val="TableText0"/>
              <w:keepLines/>
              <w:widowControl w:val="0"/>
              <w:jc w:val="center"/>
            </w:pPr>
          </w:p>
        </w:tc>
      </w:tr>
    </w:tbl>
    <w:tbl>
      <w:tblPr>
        <w:tblW w:w="5000" w:type="pct"/>
        <w:tblLayout w:type="fixed"/>
        <w:tblCellMar>
          <w:left w:w="28" w:type="dxa"/>
          <w:right w:w="28" w:type="dxa"/>
        </w:tblCellMar>
        <w:tblLook w:val="04A0" w:firstRow="1" w:lastRow="0" w:firstColumn="1" w:lastColumn="0" w:noHBand="0" w:noVBand="1"/>
      </w:tblPr>
      <w:tblGrid>
        <w:gridCol w:w="1155"/>
        <w:gridCol w:w="1134"/>
        <w:gridCol w:w="1284"/>
        <w:gridCol w:w="1555"/>
        <w:gridCol w:w="1133"/>
        <w:gridCol w:w="1362"/>
        <w:gridCol w:w="1394"/>
      </w:tblGrid>
      <w:tr w:rsidR="0099451E" w:rsidRPr="008E3F1A" w:rsidTr="003D1DE4">
        <w:tc>
          <w:tcPr>
            <w:tcW w:w="5000" w:type="pct"/>
            <w:gridSpan w:val="7"/>
            <w:tcBorders>
              <w:top w:val="double" w:sz="4" w:space="0" w:color="auto"/>
              <w:left w:val="single" w:sz="4" w:space="0" w:color="auto"/>
              <w:bottom w:val="single" w:sz="4" w:space="0" w:color="auto"/>
              <w:right w:val="single" w:sz="4" w:space="0" w:color="auto"/>
            </w:tcBorders>
            <w:shd w:val="clear" w:color="auto" w:fill="auto"/>
            <w:vAlign w:val="center"/>
          </w:tcPr>
          <w:p w:rsidR="0099451E" w:rsidRPr="008E3F1A" w:rsidRDefault="0099451E" w:rsidP="00D2155B">
            <w:pPr>
              <w:pStyle w:val="In-tableHeading"/>
              <w:rPr>
                <w:szCs w:val="20"/>
                <w:lang w:val="en-AU"/>
              </w:rPr>
            </w:pPr>
            <w:r w:rsidRPr="008E3F1A">
              <w:rPr>
                <w:szCs w:val="20"/>
                <w:lang w:val="en-AU"/>
              </w:rPr>
              <w:t xml:space="preserve">Harms </w:t>
            </w:r>
          </w:p>
        </w:tc>
      </w:tr>
      <w:tr w:rsidR="00943F59" w:rsidRPr="008E3F1A" w:rsidTr="00620C25">
        <w:trPr>
          <w:trHeight w:val="70"/>
        </w:trPr>
        <w:tc>
          <w:tcPr>
            <w:tcW w:w="63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43F59" w:rsidRPr="008E3F1A" w:rsidRDefault="00943F59" w:rsidP="00943F59">
            <w:pPr>
              <w:pStyle w:val="In-tableHeading"/>
              <w:rPr>
                <w:szCs w:val="20"/>
                <w:lang w:val="en-AU"/>
              </w:rPr>
            </w:pPr>
          </w:p>
        </w:tc>
        <w:tc>
          <w:tcPr>
            <w:tcW w:w="629" w:type="pct"/>
            <w:vMerge w:val="restart"/>
            <w:tcBorders>
              <w:top w:val="single" w:sz="4" w:space="0" w:color="auto"/>
              <w:left w:val="single" w:sz="4" w:space="0" w:color="auto"/>
              <w:bottom w:val="single" w:sz="4" w:space="0" w:color="auto"/>
              <w:right w:val="single" w:sz="4" w:space="0" w:color="auto"/>
            </w:tcBorders>
            <w:vAlign w:val="center"/>
          </w:tcPr>
          <w:p w:rsidR="00943F59" w:rsidRPr="008E3F1A" w:rsidRDefault="00943F59" w:rsidP="00943F59">
            <w:pPr>
              <w:pStyle w:val="In-tableHeading"/>
              <w:jc w:val="center"/>
              <w:rPr>
                <w:szCs w:val="20"/>
                <w:lang w:val="en-AU"/>
              </w:rPr>
            </w:pPr>
            <w:r w:rsidRPr="008E3F1A">
              <w:rPr>
                <w:szCs w:val="20"/>
                <w:lang w:val="en-AU"/>
              </w:rPr>
              <w:t>BV+CHP</w:t>
            </w:r>
          </w:p>
          <w:p w:rsidR="00943F59" w:rsidRPr="008E3F1A" w:rsidRDefault="00943F59" w:rsidP="00943F59">
            <w:pPr>
              <w:pStyle w:val="In-tableHeading"/>
              <w:jc w:val="center"/>
              <w:rPr>
                <w:szCs w:val="20"/>
                <w:lang w:val="en-AU"/>
              </w:rPr>
            </w:pPr>
            <w:r w:rsidRPr="008E3F1A">
              <w:rPr>
                <w:szCs w:val="20"/>
                <w:lang w:val="en-AU"/>
              </w:rPr>
              <w:t>n/N</w:t>
            </w:r>
          </w:p>
        </w:tc>
        <w:tc>
          <w:tcPr>
            <w:tcW w:w="712" w:type="pct"/>
            <w:vMerge w:val="restart"/>
            <w:tcBorders>
              <w:top w:val="single" w:sz="4" w:space="0" w:color="auto"/>
              <w:left w:val="single" w:sz="4" w:space="0" w:color="auto"/>
              <w:bottom w:val="single" w:sz="4" w:space="0" w:color="auto"/>
              <w:right w:val="single" w:sz="4" w:space="0" w:color="auto"/>
            </w:tcBorders>
            <w:vAlign w:val="center"/>
          </w:tcPr>
          <w:p w:rsidR="00943F59" w:rsidRPr="008E3F1A" w:rsidRDefault="00943F59" w:rsidP="00943F59">
            <w:pPr>
              <w:pStyle w:val="In-tableHeading"/>
              <w:jc w:val="center"/>
              <w:rPr>
                <w:szCs w:val="20"/>
                <w:lang w:val="en-AU"/>
              </w:rPr>
            </w:pPr>
            <w:r w:rsidRPr="008E3F1A">
              <w:rPr>
                <w:szCs w:val="20"/>
                <w:lang w:val="en-AU"/>
              </w:rPr>
              <w:t>CHOP</w:t>
            </w:r>
          </w:p>
          <w:p w:rsidR="00943F59" w:rsidRPr="008E3F1A" w:rsidRDefault="00943F59" w:rsidP="00943F59">
            <w:pPr>
              <w:pStyle w:val="In-tableHeading"/>
              <w:jc w:val="center"/>
              <w:rPr>
                <w:szCs w:val="20"/>
                <w:lang w:val="en-AU"/>
              </w:rPr>
            </w:pPr>
            <w:r w:rsidRPr="008E3F1A">
              <w:rPr>
                <w:szCs w:val="20"/>
                <w:lang w:val="en-AU"/>
              </w:rPr>
              <w:t>n/N</w:t>
            </w:r>
          </w:p>
        </w:tc>
        <w:tc>
          <w:tcPr>
            <w:tcW w:w="862" w:type="pct"/>
            <w:vMerge w:val="restart"/>
            <w:tcBorders>
              <w:top w:val="single" w:sz="4" w:space="0" w:color="auto"/>
              <w:left w:val="single" w:sz="4" w:space="0" w:color="auto"/>
              <w:bottom w:val="single" w:sz="4" w:space="0" w:color="auto"/>
              <w:right w:val="single" w:sz="4" w:space="0" w:color="auto"/>
            </w:tcBorders>
            <w:vAlign w:val="center"/>
          </w:tcPr>
          <w:p w:rsidR="00943F59" w:rsidRPr="008E3F1A" w:rsidRDefault="00943F59" w:rsidP="00943F59">
            <w:pPr>
              <w:pStyle w:val="In-tableHeading"/>
              <w:jc w:val="center"/>
              <w:rPr>
                <w:szCs w:val="20"/>
                <w:lang w:val="en-AU"/>
              </w:rPr>
            </w:pPr>
            <w:r w:rsidRPr="008E3F1A">
              <w:rPr>
                <w:szCs w:val="20"/>
                <w:lang w:val="en-AU"/>
              </w:rPr>
              <w:t>RR</w:t>
            </w:r>
          </w:p>
          <w:p w:rsidR="00943F59" w:rsidRPr="008E3F1A" w:rsidRDefault="00943F59" w:rsidP="00943F59">
            <w:pPr>
              <w:pStyle w:val="In-tableHeading"/>
              <w:jc w:val="center"/>
              <w:rPr>
                <w:szCs w:val="20"/>
                <w:lang w:val="en-AU"/>
              </w:rPr>
            </w:pPr>
            <w:r w:rsidRPr="008E3F1A">
              <w:rPr>
                <w:szCs w:val="20"/>
                <w:lang w:val="en-AU"/>
              </w:rPr>
              <w:t>(95% CI)</w:t>
            </w:r>
          </w:p>
        </w:tc>
        <w:tc>
          <w:tcPr>
            <w:tcW w:w="1383" w:type="pct"/>
            <w:gridSpan w:val="2"/>
            <w:tcBorders>
              <w:top w:val="single" w:sz="4" w:space="0" w:color="auto"/>
              <w:left w:val="single" w:sz="4" w:space="0" w:color="auto"/>
              <w:bottom w:val="single" w:sz="4" w:space="0" w:color="auto"/>
              <w:right w:val="single" w:sz="4" w:space="0" w:color="auto"/>
            </w:tcBorders>
            <w:vAlign w:val="center"/>
          </w:tcPr>
          <w:p w:rsidR="00943F59" w:rsidRPr="008E3F1A" w:rsidRDefault="00943F59" w:rsidP="00943F59">
            <w:pPr>
              <w:pStyle w:val="In-tableHeading"/>
              <w:jc w:val="center"/>
              <w:rPr>
                <w:szCs w:val="20"/>
                <w:lang w:val="en-AU"/>
              </w:rPr>
            </w:pPr>
            <w:r w:rsidRPr="008E3F1A">
              <w:rPr>
                <w:szCs w:val="20"/>
                <w:lang w:val="en-AU"/>
              </w:rPr>
              <w:t>Event rate/100 patients*</w:t>
            </w:r>
          </w:p>
        </w:tc>
        <w:tc>
          <w:tcPr>
            <w:tcW w:w="776" w:type="pct"/>
            <w:vMerge w:val="restart"/>
            <w:tcBorders>
              <w:top w:val="single" w:sz="4" w:space="0" w:color="auto"/>
              <w:left w:val="single" w:sz="4" w:space="0" w:color="auto"/>
              <w:bottom w:val="single" w:sz="4" w:space="0" w:color="auto"/>
              <w:right w:val="single" w:sz="4" w:space="0" w:color="auto"/>
            </w:tcBorders>
            <w:vAlign w:val="center"/>
          </w:tcPr>
          <w:p w:rsidR="00943F59" w:rsidRPr="008E3F1A" w:rsidRDefault="00943F59" w:rsidP="00943F59">
            <w:pPr>
              <w:pStyle w:val="In-tableHeading"/>
              <w:jc w:val="center"/>
              <w:rPr>
                <w:szCs w:val="20"/>
                <w:lang w:val="en-AU"/>
              </w:rPr>
            </w:pPr>
            <w:r w:rsidRPr="008E3F1A">
              <w:rPr>
                <w:szCs w:val="20"/>
                <w:lang w:val="en-AU"/>
              </w:rPr>
              <w:t>RD</w:t>
            </w:r>
          </w:p>
          <w:p w:rsidR="00943F59" w:rsidRPr="008E3F1A" w:rsidRDefault="00943F59" w:rsidP="00943F59">
            <w:pPr>
              <w:pStyle w:val="In-tableHeading"/>
              <w:jc w:val="center"/>
              <w:rPr>
                <w:szCs w:val="20"/>
                <w:lang w:val="en-AU"/>
              </w:rPr>
            </w:pPr>
            <w:r w:rsidRPr="008E3F1A">
              <w:rPr>
                <w:szCs w:val="20"/>
                <w:lang w:val="en-AU"/>
              </w:rPr>
              <w:t>(95% CI)</w:t>
            </w:r>
          </w:p>
        </w:tc>
      </w:tr>
      <w:tr w:rsidR="0094424A" w:rsidRPr="008E3F1A" w:rsidTr="00620C25">
        <w:trPr>
          <w:trHeight w:val="390"/>
        </w:trPr>
        <w:tc>
          <w:tcPr>
            <w:tcW w:w="638" w:type="pct"/>
            <w:vMerge/>
            <w:tcBorders>
              <w:top w:val="single" w:sz="4" w:space="0" w:color="auto"/>
              <w:left w:val="single" w:sz="4" w:space="0" w:color="auto"/>
              <w:bottom w:val="single" w:sz="4" w:space="0" w:color="auto"/>
              <w:right w:val="single" w:sz="4" w:space="0" w:color="auto"/>
            </w:tcBorders>
            <w:shd w:val="clear" w:color="auto" w:fill="auto"/>
            <w:vAlign w:val="center"/>
          </w:tcPr>
          <w:p w:rsidR="0094424A" w:rsidRPr="008E3F1A" w:rsidRDefault="0094424A" w:rsidP="0094424A">
            <w:pPr>
              <w:pStyle w:val="In-tableHeading"/>
              <w:rPr>
                <w:szCs w:val="20"/>
                <w:lang w:val="en-AU"/>
              </w:rPr>
            </w:pPr>
          </w:p>
        </w:tc>
        <w:tc>
          <w:tcPr>
            <w:tcW w:w="629" w:type="pct"/>
            <w:vMerge/>
            <w:tcBorders>
              <w:top w:val="single" w:sz="4" w:space="0" w:color="auto"/>
              <w:left w:val="single" w:sz="4" w:space="0" w:color="auto"/>
              <w:bottom w:val="single" w:sz="4" w:space="0" w:color="auto"/>
              <w:right w:val="single" w:sz="4" w:space="0" w:color="auto"/>
            </w:tcBorders>
            <w:vAlign w:val="center"/>
          </w:tcPr>
          <w:p w:rsidR="0094424A" w:rsidRPr="008E3F1A" w:rsidRDefault="0094424A" w:rsidP="0094424A">
            <w:pPr>
              <w:pStyle w:val="In-tableHeading"/>
              <w:rPr>
                <w:szCs w:val="20"/>
                <w:lang w:val="en-AU"/>
              </w:rPr>
            </w:pPr>
          </w:p>
        </w:tc>
        <w:tc>
          <w:tcPr>
            <w:tcW w:w="712" w:type="pct"/>
            <w:vMerge/>
            <w:tcBorders>
              <w:top w:val="single" w:sz="4" w:space="0" w:color="auto"/>
              <w:left w:val="single" w:sz="4" w:space="0" w:color="auto"/>
              <w:bottom w:val="single" w:sz="4" w:space="0" w:color="auto"/>
              <w:right w:val="single" w:sz="4" w:space="0" w:color="auto"/>
            </w:tcBorders>
            <w:vAlign w:val="center"/>
          </w:tcPr>
          <w:p w:rsidR="0094424A" w:rsidRPr="008E3F1A" w:rsidRDefault="0094424A" w:rsidP="0094424A">
            <w:pPr>
              <w:pStyle w:val="In-tableHeading"/>
              <w:rPr>
                <w:szCs w:val="20"/>
                <w:lang w:val="en-AU"/>
              </w:rPr>
            </w:pPr>
          </w:p>
        </w:tc>
        <w:tc>
          <w:tcPr>
            <w:tcW w:w="862" w:type="pct"/>
            <w:vMerge/>
            <w:tcBorders>
              <w:top w:val="single" w:sz="4" w:space="0" w:color="auto"/>
              <w:left w:val="single" w:sz="4" w:space="0" w:color="auto"/>
              <w:bottom w:val="single" w:sz="4" w:space="0" w:color="auto"/>
              <w:right w:val="single" w:sz="4" w:space="0" w:color="auto"/>
            </w:tcBorders>
            <w:vAlign w:val="center"/>
          </w:tcPr>
          <w:p w:rsidR="0094424A" w:rsidRPr="008E3F1A" w:rsidRDefault="0094424A" w:rsidP="0094424A">
            <w:pPr>
              <w:pStyle w:val="In-tableHeading"/>
              <w:rPr>
                <w:szCs w:val="20"/>
                <w:lang w:val="en-AU"/>
              </w:rPr>
            </w:pPr>
          </w:p>
        </w:tc>
        <w:tc>
          <w:tcPr>
            <w:tcW w:w="628" w:type="pct"/>
            <w:tcBorders>
              <w:top w:val="single" w:sz="4" w:space="0" w:color="auto"/>
              <w:left w:val="single" w:sz="4" w:space="0" w:color="auto"/>
              <w:bottom w:val="single" w:sz="4" w:space="0" w:color="auto"/>
              <w:right w:val="single" w:sz="4" w:space="0" w:color="auto"/>
            </w:tcBorders>
            <w:vAlign w:val="center"/>
          </w:tcPr>
          <w:p w:rsidR="0094424A" w:rsidRPr="008E3F1A" w:rsidRDefault="0094424A" w:rsidP="0094424A">
            <w:pPr>
              <w:pStyle w:val="In-tableHeading"/>
              <w:jc w:val="center"/>
              <w:rPr>
                <w:szCs w:val="20"/>
                <w:lang w:val="en-AU"/>
              </w:rPr>
            </w:pPr>
            <w:r w:rsidRPr="008E3F1A">
              <w:rPr>
                <w:szCs w:val="20"/>
                <w:lang w:val="en-AU"/>
              </w:rPr>
              <w:t>BV+CHP</w:t>
            </w:r>
          </w:p>
        </w:tc>
        <w:tc>
          <w:tcPr>
            <w:tcW w:w="755" w:type="pct"/>
            <w:tcBorders>
              <w:top w:val="single" w:sz="4" w:space="0" w:color="auto"/>
              <w:left w:val="single" w:sz="4" w:space="0" w:color="auto"/>
              <w:bottom w:val="single" w:sz="4" w:space="0" w:color="auto"/>
              <w:right w:val="single" w:sz="4" w:space="0" w:color="auto"/>
            </w:tcBorders>
            <w:vAlign w:val="center"/>
          </w:tcPr>
          <w:p w:rsidR="0094424A" w:rsidRPr="008E3F1A" w:rsidRDefault="0094424A" w:rsidP="0094424A">
            <w:pPr>
              <w:pStyle w:val="In-tableHeading"/>
              <w:jc w:val="center"/>
              <w:rPr>
                <w:szCs w:val="20"/>
                <w:lang w:val="en-AU"/>
              </w:rPr>
            </w:pPr>
            <w:r w:rsidRPr="008E3F1A">
              <w:rPr>
                <w:szCs w:val="20"/>
                <w:lang w:val="en-AU"/>
              </w:rPr>
              <w:t>CHOP</w:t>
            </w:r>
          </w:p>
        </w:tc>
        <w:tc>
          <w:tcPr>
            <w:tcW w:w="776" w:type="pct"/>
            <w:vMerge/>
            <w:tcBorders>
              <w:top w:val="single" w:sz="4" w:space="0" w:color="auto"/>
              <w:left w:val="single" w:sz="4" w:space="0" w:color="auto"/>
              <w:bottom w:val="single" w:sz="4" w:space="0" w:color="auto"/>
              <w:right w:val="single" w:sz="4" w:space="0" w:color="auto"/>
            </w:tcBorders>
            <w:vAlign w:val="center"/>
          </w:tcPr>
          <w:p w:rsidR="0094424A" w:rsidRPr="008E3F1A" w:rsidRDefault="0094424A" w:rsidP="0094424A">
            <w:pPr>
              <w:pStyle w:val="In-tableHeading"/>
              <w:rPr>
                <w:szCs w:val="20"/>
                <w:lang w:val="en-AU"/>
              </w:rPr>
            </w:pPr>
          </w:p>
        </w:tc>
      </w:tr>
      <w:tr w:rsidR="00BE20B2" w:rsidRPr="008E3F1A" w:rsidTr="00BE20B2">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BE20B2" w:rsidRPr="008E3F1A" w:rsidRDefault="00E93CF3" w:rsidP="00BE20B2">
            <w:pPr>
              <w:pStyle w:val="TableText0"/>
              <w:rPr>
                <w:szCs w:val="20"/>
              </w:rPr>
            </w:pPr>
            <w:r w:rsidRPr="008E3F1A">
              <w:rPr>
                <w:szCs w:val="20"/>
              </w:rPr>
              <w:t xml:space="preserve">The most frequently reported TEAEs in </w:t>
            </w:r>
            <w:r w:rsidR="008340EA" w:rsidRPr="008E3F1A">
              <w:rPr>
                <w:szCs w:val="20"/>
              </w:rPr>
              <w:t>≥</w:t>
            </w:r>
            <w:r w:rsidRPr="008E3F1A">
              <w:rPr>
                <w:szCs w:val="20"/>
              </w:rPr>
              <w:t>10% or more (by preferred term) of patients in the BV+CHP and CHOP</w:t>
            </w:r>
          </w:p>
        </w:tc>
      </w:tr>
      <w:tr w:rsidR="00BE20B2" w:rsidRPr="008E3F1A" w:rsidTr="005F5328">
        <w:tc>
          <w:tcPr>
            <w:tcW w:w="641" w:type="pct"/>
            <w:tcBorders>
              <w:top w:val="single" w:sz="4" w:space="0" w:color="auto"/>
              <w:left w:val="single" w:sz="4" w:space="0" w:color="auto"/>
              <w:bottom w:val="single" w:sz="4" w:space="0" w:color="auto"/>
              <w:right w:val="single" w:sz="4" w:space="0" w:color="auto"/>
            </w:tcBorders>
            <w:shd w:val="clear" w:color="auto" w:fill="auto"/>
          </w:tcPr>
          <w:p w:rsidR="00BE20B2" w:rsidRPr="008E3F1A" w:rsidRDefault="00E93CF3" w:rsidP="00BE20B2">
            <w:pPr>
              <w:pStyle w:val="TableText0"/>
              <w:rPr>
                <w:szCs w:val="20"/>
              </w:rPr>
            </w:pPr>
            <w:r w:rsidRPr="008E3F1A">
              <w:rPr>
                <w:szCs w:val="20"/>
              </w:rPr>
              <w:t>Diarrhoea</w:t>
            </w:r>
          </w:p>
        </w:tc>
        <w:tc>
          <w:tcPr>
            <w:tcW w:w="629" w:type="pct"/>
            <w:tcBorders>
              <w:top w:val="single" w:sz="4" w:space="0" w:color="auto"/>
              <w:left w:val="single" w:sz="4" w:space="0" w:color="auto"/>
              <w:bottom w:val="single" w:sz="4" w:space="0" w:color="auto"/>
              <w:right w:val="single" w:sz="4" w:space="0" w:color="auto"/>
            </w:tcBorders>
            <w:vAlign w:val="center"/>
          </w:tcPr>
          <w:p w:rsidR="00BE20B2" w:rsidRPr="008E3F1A" w:rsidRDefault="00E93CF3" w:rsidP="005F5328">
            <w:pPr>
              <w:pStyle w:val="TableText0"/>
              <w:jc w:val="center"/>
              <w:rPr>
                <w:szCs w:val="20"/>
              </w:rPr>
            </w:pPr>
            <w:r w:rsidRPr="008E3F1A">
              <w:rPr>
                <w:szCs w:val="20"/>
              </w:rPr>
              <w:t>85/223</w:t>
            </w:r>
          </w:p>
        </w:tc>
        <w:tc>
          <w:tcPr>
            <w:tcW w:w="708" w:type="pct"/>
            <w:tcBorders>
              <w:top w:val="single" w:sz="4" w:space="0" w:color="auto"/>
              <w:left w:val="single" w:sz="4" w:space="0" w:color="auto"/>
              <w:bottom w:val="single" w:sz="4" w:space="0" w:color="auto"/>
              <w:right w:val="single" w:sz="4" w:space="0" w:color="auto"/>
            </w:tcBorders>
            <w:vAlign w:val="center"/>
          </w:tcPr>
          <w:p w:rsidR="00BE20B2" w:rsidRPr="008E3F1A" w:rsidRDefault="00E93CF3" w:rsidP="005F5328">
            <w:pPr>
              <w:pStyle w:val="TableText0"/>
              <w:jc w:val="center"/>
              <w:rPr>
                <w:szCs w:val="20"/>
              </w:rPr>
            </w:pPr>
            <w:r w:rsidRPr="008E3F1A">
              <w:rPr>
                <w:szCs w:val="20"/>
              </w:rPr>
              <w:t>46/226</w:t>
            </w:r>
          </w:p>
        </w:tc>
        <w:tc>
          <w:tcPr>
            <w:tcW w:w="862" w:type="pct"/>
            <w:tcBorders>
              <w:top w:val="single" w:sz="4" w:space="0" w:color="auto"/>
              <w:left w:val="single" w:sz="4" w:space="0" w:color="auto"/>
              <w:bottom w:val="single" w:sz="4" w:space="0" w:color="auto"/>
              <w:right w:val="single" w:sz="4" w:space="0" w:color="auto"/>
            </w:tcBorders>
            <w:vAlign w:val="center"/>
          </w:tcPr>
          <w:p w:rsidR="00BE20B2" w:rsidRPr="008E3F1A" w:rsidRDefault="00A37644" w:rsidP="00BE20B2">
            <w:pPr>
              <w:jc w:val="center"/>
              <w:rPr>
                <w:rFonts w:ascii="Arial Narrow" w:hAnsi="Arial Narrow"/>
                <w:b/>
                <w:bCs/>
                <w:iCs/>
                <w:sz w:val="20"/>
                <w:szCs w:val="20"/>
              </w:rPr>
            </w:pPr>
            <w:r w:rsidRPr="008E3F1A">
              <w:rPr>
                <w:rFonts w:ascii="Arial Narrow" w:hAnsi="Arial Narrow"/>
                <w:b/>
                <w:bCs/>
                <w:iCs/>
                <w:sz w:val="20"/>
                <w:szCs w:val="20"/>
              </w:rPr>
              <w:t>1.87 (1.38, 2.55)</w:t>
            </w:r>
          </w:p>
        </w:tc>
        <w:tc>
          <w:tcPr>
            <w:tcW w:w="628" w:type="pct"/>
            <w:tcBorders>
              <w:top w:val="single" w:sz="4" w:space="0" w:color="auto"/>
              <w:left w:val="single" w:sz="4" w:space="0" w:color="auto"/>
              <w:bottom w:val="single" w:sz="4" w:space="0" w:color="auto"/>
              <w:right w:val="single" w:sz="4" w:space="0" w:color="auto"/>
            </w:tcBorders>
            <w:vAlign w:val="center"/>
          </w:tcPr>
          <w:p w:rsidR="00BE20B2" w:rsidRPr="008E3F1A" w:rsidRDefault="00E3488E" w:rsidP="00BE20B2">
            <w:pPr>
              <w:pStyle w:val="TableText0"/>
              <w:jc w:val="center"/>
              <w:rPr>
                <w:iCs/>
                <w:szCs w:val="20"/>
              </w:rPr>
            </w:pPr>
            <w:r w:rsidRPr="008E3F1A">
              <w:rPr>
                <w:iCs/>
                <w:szCs w:val="20"/>
              </w:rPr>
              <w:t>38.1</w:t>
            </w:r>
          </w:p>
        </w:tc>
        <w:tc>
          <w:tcPr>
            <w:tcW w:w="755" w:type="pct"/>
            <w:tcBorders>
              <w:top w:val="single" w:sz="4" w:space="0" w:color="auto"/>
              <w:left w:val="single" w:sz="4" w:space="0" w:color="auto"/>
              <w:bottom w:val="single" w:sz="4" w:space="0" w:color="auto"/>
              <w:right w:val="single" w:sz="4" w:space="0" w:color="auto"/>
            </w:tcBorders>
            <w:vAlign w:val="center"/>
          </w:tcPr>
          <w:p w:rsidR="00BE20B2" w:rsidRPr="008E3F1A" w:rsidRDefault="00E3488E" w:rsidP="00BE20B2">
            <w:pPr>
              <w:pStyle w:val="TableText0"/>
              <w:jc w:val="center"/>
              <w:rPr>
                <w:iCs/>
                <w:szCs w:val="20"/>
              </w:rPr>
            </w:pPr>
            <w:r w:rsidRPr="008E3F1A">
              <w:rPr>
                <w:iCs/>
                <w:szCs w:val="20"/>
              </w:rPr>
              <w:t>20.4</w:t>
            </w:r>
          </w:p>
        </w:tc>
        <w:tc>
          <w:tcPr>
            <w:tcW w:w="776" w:type="pct"/>
            <w:tcBorders>
              <w:top w:val="single" w:sz="4" w:space="0" w:color="auto"/>
              <w:left w:val="single" w:sz="4" w:space="0" w:color="auto"/>
              <w:bottom w:val="single" w:sz="4" w:space="0" w:color="auto"/>
              <w:right w:val="single" w:sz="4" w:space="0" w:color="auto"/>
            </w:tcBorders>
            <w:vAlign w:val="center"/>
          </w:tcPr>
          <w:p w:rsidR="00BE20B2" w:rsidRPr="008E3F1A" w:rsidRDefault="005B10A1" w:rsidP="00BE20B2">
            <w:pPr>
              <w:pStyle w:val="TableText0"/>
              <w:jc w:val="center"/>
              <w:rPr>
                <w:b/>
                <w:bCs w:val="0"/>
                <w:iCs/>
                <w:szCs w:val="20"/>
              </w:rPr>
            </w:pPr>
            <w:r w:rsidRPr="008E3F1A">
              <w:rPr>
                <w:b/>
                <w:bCs w:val="0"/>
                <w:iCs/>
                <w:szCs w:val="20"/>
              </w:rPr>
              <w:t>0.18 (0.10, 0.26)</w:t>
            </w:r>
          </w:p>
        </w:tc>
      </w:tr>
      <w:tr w:rsidR="00F30A71" w:rsidRPr="008E3F1A" w:rsidTr="00A50809">
        <w:tc>
          <w:tcPr>
            <w:tcW w:w="641" w:type="pct"/>
            <w:tcBorders>
              <w:top w:val="single" w:sz="4" w:space="0" w:color="auto"/>
              <w:left w:val="single" w:sz="4" w:space="0" w:color="auto"/>
              <w:bottom w:val="single" w:sz="4" w:space="0" w:color="auto"/>
              <w:right w:val="single" w:sz="4" w:space="0" w:color="auto"/>
            </w:tcBorders>
            <w:shd w:val="clear" w:color="auto" w:fill="auto"/>
          </w:tcPr>
          <w:p w:rsidR="00F30A71" w:rsidRPr="008E3F1A" w:rsidRDefault="005B10A1" w:rsidP="005B10A1">
            <w:pPr>
              <w:pStyle w:val="TableText0"/>
              <w:rPr>
                <w:szCs w:val="20"/>
              </w:rPr>
            </w:pPr>
            <w:r w:rsidRPr="008E3F1A">
              <w:rPr>
                <w:szCs w:val="20"/>
              </w:rPr>
              <w:t>Vomiting</w:t>
            </w:r>
          </w:p>
        </w:tc>
        <w:tc>
          <w:tcPr>
            <w:tcW w:w="629" w:type="pct"/>
            <w:tcBorders>
              <w:top w:val="single" w:sz="4" w:space="0" w:color="auto"/>
              <w:left w:val="single" w:sz="4" w:space="0" w:color="auto"/>
              <w:bottom w:val="single" w:sz="4" w:space="0" w:color="auto"/>
              <w:right w:val="single" w:sz="4" w:space="0" w:color="auto"/>
            </w:tcBorders>
          </w:tcPr>
          <w:p w:rsidR="00F30A71" w:rsidRPr="008E3F1A" w:rsidRDefault="00CD6DD6" w:rsidP="00BE20B2">
            <w:pPr>
              <w:pStyle w:val="TableText0"/>
              <w:jc w:val="center"/>
              <w:rPr>
                <w:szCs w:val="20"/>
              </w:rPr>
            </w:pPr>
            <w:r w:rsidRPr="008E3F1A">
              <w:rPr>
                <w:szCs w:val="20"/>
              </w:rPr>
              <w:t>57/223</w:t>
            </w:r>
          </w:p>
        </w:tc>
        <w:tc>
          <w:tcPr>
            <w:tcW w:w="708" w:type="pct"/>
            <w:tcBorders>
              <w:top w:val="single" w:sz="4" w:space="0" w:color="auto"/>
              <w:left w:val="single" w:sz="4" w:space="0" w:color="auto"/>
              <w:bottom w:val="single" w:sz="4" w:space="0" w:color="auto"/>
              <w:right w:val="single" w:sz="4" w:space="0" w:color="auto"/>
            </w:tcBorders>
          </w:tcPr>
          <w:p w:rsidR="00F30A71" w:rsidRPr="008E3F1A" w:rsidRDefault="00CD6DD6" w:rsidP="00BE20B2">
            <w:pPr>
              <w:pStyle w:val="TableText0"/>
              <w:jc w:val="center"/>
              <w:rPr>
                <w:szCs w:val="20"/>
              </w:rPr>
            </w:pPr>
            <w:r w:rsidRPr="008E3F1A">
              <w:rPr>
                <w:szCs w:val="20"/>
              </w:rPr>
              <w:t>39/226</w:t>
            </w:r>
          </w:p>
        </w:tc>
        <w:tc>
          <w:tcPr>
            <w:tcW w:w="862" w:type="pct"/>
            <w:tcBorders>
              <w:top w:val="single" w:sz="4" w:space="0" w:color="auto"/>
              <w:left w:val="single" w:sz="4" w:space="0" w:color="auto"/>
              <w:bottom w:val="single" w:sz="4" w:space="0" w:color="auto"/>
              <w:right w:val="single" w:sz="4" w:space="0" w:color="auto"/>
            </w:tcBorders>
            <w:vAlign w:val="center"/>
          </w:tcPr>
          <w:p w:rsidR="00F30A71" w:rsidRPr="008E3F1A" w:rsidRDefault="00CD6DD6" w:rsidP="00BE20B2">
            <w:pPr>
              <w:jc w:val="center"/>
              <w:rPr>
                <w:rFonts w:ascii="Arial Narrow" w:hAnsi="Arial Narrow"/>
                <w:b/>
                <w:bCs/>
                <w:iCs/>
                <w:sz w:val="20"/>
                <w:szCs w:val="20"/>
              </w:rPr>
            </w:pPr>
            <w:r w:rsidRPr="008E3F1A">
              <w:rPr>
                <w:rFonts w:ascii="Arial Narrow" w:hAnsi="Arial Narrow"/>
                <w:b/>
                <w:bCs/>
                <w:iCs/>
                <w:sz w:val="20"/>
                <w:szCs w:val="20"/>
              </w:rPr>
              <w:t>1.48 (1.03, 2.13)</w:t>
            </w:r>
          </w:p>
        </w:tc>
        <w:tc>
          <w:tcPr>
            <w:tcW w:w="628" w:type="pct"/>
            <w:tcBorders>
              <w:top w:val="single" w:sz="4" w:space="0" w:color="auto"/>
              <w:left w:val="single" w:sz="4" w:space="0" w:color="auto"/>
              <w:bottom w:val="single" w:sz="4" w:space="0" w:color="auto"/>
              <w:right w:val="single" w:sz="4" w:space="0" w:color="auto"/>
            </w:tcBorders>
            <w:vAlign w:val="center"/>
          </w:tcPr>
          <w:p w:rsidR="00F30A71" w:rsidRPr="008E3F1A" w:rsidRDefault="00AD663F" w:rsidP="00BE20B2">
            <w:pPr>
              <w:pStyle w:val="TableText0"/>
              <w:jc w:val="center"/>
              <w:rPr>
                <w:iCs/>
                <w:szCs w:val="20"/>
              </w:rPr>
            </w:pPr>
            <w:r w:rsidRPr="008E3F1A">
              <w:rPr>
                <w:iCs/>
                <w:szCs w:val="20"/>
              </w:rPr>
              <w:t>25.6</w:t>
            </w:r>
          </w:p>
        </w:tc>
        <w:tc>
          <w:tcPr>
            <w:tcW w:w="755" w:type="pct"/>
            <w:tcBorders>
              <w:top w:val="single" w:sz="4" w:space="0" w:color="auto"/>
              <w:left w:val="single" w:sz="4" w:space="0" w:color="auto"/>
              <w:bottom w:val="single" w:sz="4" w:space="0" w:color="auto"/>
              <w:right w:val="single" w:sz="4" w:space="0" w:color="auto"/>
            </w:tcBorders>
            <w:vAlign w:val="center"/>
          </w:tcPr>
          <w:p w:rsidR="00F30A71" w:rsidRPr="008E3F1A" w:rsidRDefault="00AD663F" w:rsidP="00BE20B2">
            <w:pPr>
              <w:pStyle w:val="TableText0"/>
              <w:jc w:val="center"/>
              <w:rPr>
                <w:iCs/>
                <w:szCs w:val="20"/>
              </w:rPr>
            </w:pPr>
            <w:r w:rsidRPr="008E3F1A">
              <w:rPr>
                <w:iCs/>
                <w:szCs w:val="20"/>
              </w:rPr>
              <w:t>17.3</w:t>
            </w:r>
          </w:p>
        </w:tc>
        <w:tc>
          <w:tcPr>
            <w:tcW w:w="776" w:type="pct"/>
            <w:tcBorders>
              <w:top w:val="single" w:sz="4" w:space="0" w:color="auto"/>
              <w:left w:val="single" w:sz="4" w:space="0" w:color="auto"/>
              <w:bottom w:val="single" w:sz="4" w:space="0" w:color="auto"/>
              <w:right w:val="single" w:sz="4" w:space="0" w:color="auto"/>
            </w:tcBorders>
            <w:vAlign w:val="center"/>
          </w:tcPr>
          <w:p w:rsidR="00F30A71" w:rsidRPr="008E3F1A" w:rsidRDefault="00CD6DD6" w:rsidP="005F5328">
            <w:pPr>
              <w:jc w:val="center"/>
              <w:rPr>
                <w:rFonts w:ascii="Arial Narrow" w:hAnsi="Arial Narrow" w:cs="Times New Roman"/>
                <w:b/>
                <w:iCs/>
                <w:sz w:val="20"/>
                <w:szCs w:val="20"/>
              </w:rPr>
            </w:pPr>
            <w:r w:rsidRPr="008E3F1A">
              <w:rPr>
                <w:rFonts w:ascii="Arial Narrow" w:hAnsi="Arial Narrow" w:cs="Times New Roman"/>
                <w:b/>
                <w:iCs/>
                <w:sz w:val="20"/>
                <w:szCs w:val="20"/>
              </w:rPr>
              <w:t>0.08 (0.01, 0.16)</w:t>
            </w:r>
          </w:p>
        </w:tc>
      </w:tr>
      <w:tr w:rsidR="00B02038" w:rsidRPr="008E3F1A" w:rsidTr="00B02038">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B02038" w:rsidRPr="008E3F1A" w:rsidRDefault="00B02038" w:rsidP="00B02038">
            <w:pPr>
              <w:jc w:val="left"/>
              <w:rPr>
                <w:rFonts w:ascii="Arial Narrow" w:hAnsi="Arial Narrow" w:cs="Times New Roman"/>
                <w:sz w:val="20"/>
                <w:szCs w:val="20"/>
              </w:rPr>
            </w:pPr>
            <w:r w:rsidRPr="008E3F1A">
              <w:rPr>
                <w:rFonts w:ascii="Arial Narrow" w:hAnsi="Arial Narrow"/>
                <w:sz w:val="20"/>
                <w:szCs w:val="20"/>
              </w:rPr>
              <w:t>Grade 3 or higher AEs occurring in ≥ 2% of patients</w:t>
            </w:r>
          </w:p>
        </w:tc>
      </w:tr>
      <w:tr w:rsidR="00B02038" w:rsidRPr="008E3F1A" w:rsidTr="00A50809">
        <w:tc>
          <w:tcPr>
            <w:tcW w:w="641" w:type="pct"/>
            <w:tcBorders>
              <w:top w:val="single" w:sz="4" w:space="0" w:color="auto"/>
              <w:left w:val="single" w:sz="4" w:space="0" w:color="auto"/>
              <w:bottom w:val="single" w:sz="4" w:space="0" w:color="auto"/>
              <w:right w:val="single" w:sz="4" w:space="0" w:color="auto"/>
            </w:tcBorders>
            <w:shd w:val="clear" w:color="auto" w:fill="auto"/>
          </w:tcPr>
          <w:p w:rsidR="00B02038" w:rsidRPr="008E3F1A" w:rsidRDefault="00B02038" w:rsidP="00B02038">
            <w:pPr>
              <w:pStyle w:val="TableText0"/>
              <w:rPr>
                <w:szCs w:val="20"/>
              </w:rPr>
            </w:pPr>
            <w:r w:rsidRPr="008E3F1A">
              <w:rPr>
                <w:szCs w:val="20"/>
              </w:rPr>
              <w:t>Diarrhoea</w:t>
            </w:r>
          </w:p>
        </w:tc>
        <w:tc>
          <w:tcPr>
            <w:tcW w:w="629" w:type="pct"/>
            <w:tcBorders>
              <w:top w:val="single" w:sz="4" w:space="0" w:color="auto"/>
              <w:left w:val="single" w:sz="4" w:space="0" w:color="auto"/>
              <w:bottom w:val="single" w:sz="4" w:space="0" w:color="auto"/>
              <w:right w:val="single" w:sz="4" w:space="0" w:color="auto"/>
            </w:tcBorders>
          </w:tcPr>
          <w:p w:rsidR="00B02038" w:rsidRPr="008E3F1A" w:rsidRDefault="00B02038" w:rsidP="00B02038">
            <w:pPr>
              <w:pStyle w:val="TableText0"/>
              <w:jc w:val="center"/>
              <w:rPr>
                <w:szCs w:val="20"/>
              </w:rPr>
            </w:pPr>
            <w:r w:rsidRPr="008E3F1A">
              <w:rPr>
                <w:szCs w:val="20"/>
              </w:rPr>
              <w:t>13/223</w:t>
            </w:r>
          </w:p>
        </w:tc>
        <w:tc>
          <w:tcPr>
            <w:tcW w:w="708" w:type="pct"/>
            <w:tcBorders>
              <w:top w:val="single" w:sz="4" w:space="0" w:color="auto"/>
              <w:left w:val="single" w:sz="4" w:space="0" w:color="auto"/>
              <w:bottom w:val="single" w:sz="4" w:space="0" w:color="auto"/>
              <w:right w:val="single" w:sz="4" w:space="0" w:color="auto"/>
            </w:tcBorders>
          </w:tcPr>
          <w:p w:rsidR="00B02038" w:rsidRPr="008E3F1A" w:rsidRDefault="00B02038" w:rsidP="00B02038">
            <w:pPr>
              <w:pStyle w:val="TableText0"/>
              <w:jc w:val="center"/>
              <w:rPr>
                <w:szCs w:val="20"/>
              </w:rPr>
            </w:pPr>
            <w:r w:rsidRPr="008E3F1A">
              <w:rPr>
                <w:szCs w:val="20"/>
              </w:rPr>
              <w:t>2/226</w:t>
            </w:r>
          </w:p>
        </w:tc>
        <w:tc>
          <w:tcPr>
            <w:tcW w:w="862" w:type="pct"/>
            <w:tcBorders>
              <w:top w:val="single" w:sz="4" w:space="0" w:color="auto"/>
              <w:left w:val="single" w:sz="4" w:space="0" w:color="auto"/>
              <w:bottom w:val="single" w:sz="4" w:space="0" w:color="auto"/>
              <w:right w:val="single" w:sz="4" w:space="0" w:color="auto"/>
            </w:tcBorders>
            <w:vAlign w:val="center"/>
          </w:tcPr>
          <w:p w:rsidR="00B02038" w:rsidRPr="008E3F1A" w:rsidRDefault="00B02038" w:rsidP="00B238C8">
            <w:pPr>
              <w:pStyle w:val="TableText0"/>
              <w:jc w:val="center"/>
              <w:rPr>
                <w:rFonts w:cs="Times New Roman"/>
                <w:b/>
                <w:bCs w:val="0"/>
                <w:szCs w:val="20"/>
              </w:rPr>
            </w:pPr>
            <w:r w:rsidRPr="008E3F1A">
              <w:rPr>
                <w:b/>
                <w:bCs w:val="0"/>
                <w:szCs w:val="20"/>
              </w:rPr>
              <w:t>6.59 (1.5, 28.86)</w:t>
            </w:r>
          </w:p>
        </w:tc>
        <w:tc>
          <w:tcPr>
            <w:tcW w:w="628" w:type="pct"/>
            <w:tcBorders>
              <w:top w:val="single" w:sz="4" w:space="0" w:color="auto"/>
              <w:left w:val="single" w:sz="4" w:space="0" w:color="auto"/>
              <w:bottom w:val="single" w:sz="4" w:space="0" w:color="auto"/>
              <w:right w:val="single" w:sz="4" w:space="0" w:color="auto"/>
            </w:tcBorders>
            <w:vAlign w:val="center"/>
          </w:tcPr>
          <w:p w:rsidR="00B02038" w:rsidRPr="008E3F1A" w:rsidRDefault="00AD663F" w:rsidP="00B02038">
            <w:pPr>
              <w:pStyle w:val="TableText0"/>
              <w:jc w:val="center"/>
              <w:rPr>
                <w:iCs/>
                <w:szCs w:val="20"/>
              </w:rPr>
            </w:pPr>
            <w:r w:rsidRPr="008E3F1A">
              <w:rPr>
                <w:iCs/>
                <w:szCs w:val="20"/>
              </w:rPr>
              <w:t>5.8</w:t>
            </w:r>
          </w:p>
        </w:tc>
        <w:tc>
          <w:tcPr>
            <w:tcW w:w="755" w:type="pct"/>
            <w:tcBorders>
              <w:top w:val="single" w:sz="4" w:space="0" w:color="auto"/>
              <w:left w:val="single" w:sz="4" w:space="0" w:color="auto"/>
              <w:bottom w:val="single" w:sz="4" w:space="0" w:color="auto"/>
              <w:right w:val="single" w:sz="4" w:space="0" w:color="auto"/>
            </w:tcBorders>
            <w:vAlign w:val="center"/>
          </w:tcPr>
          <w:p w:rsidR="00B02038" w:rsidRPr="008E3F1A" w:rsidRDefault="00AD663F" w:rsidP="00B02038">
            <w:pPr>
              <w:pStyle w:val="TableText0"/>
              <w:jc w:val="center"/>
              <w:rPr>
                <w:iCs/>
                <w:szCs w:val="20"/>
              </w:rPr>
            </w:pPr>
            <w:r w:rsidRPr="008E3F1A">
              <w:rPr>
                <w:iCs/>
                <w:szCs w:val="20"/>
              </w:rPr>
              <w:t>0.9</w:t>
            </w:r>
          </w:p>
        </w:tc>
        <w:tc>
          <w:tcPr>
            <w:tcW w:w="776" w:type="pct"/>
            <w:tcBorders>
              <w:top w:val="single" w:sz="4" w:space="0" w:color="auto"/>
              <w:left w:val="single" w:sz="4" w:space="0" w:color="auto"/>
              <w:bottom w:val="single" w:sz="4" w:space="0" w:color="auto"/>
              <w:right w:val="single" w:sz="4" w:space="0" w:color="auto"/>
            </w:tcBorders>
            <w:vAlign w:val="center"/>
          </w:tcPr>
          <w:p w:rsidR="00B02038" w:rsidRPr="008E3F1A" w:rsidRDefault="00B238C8" w:rsidP="00B02038">
            <w:pPr>
              <w:jc w:val="center"/>
              <w:rPr>
                <w:rFonts w:ascii="Arial Narrow" w:hAnsi="Arial Narrow" w:cs="Times New Roman"/>
                <w:b/>
                <w:bCs/>
                <w:iCs/>
                <w:sz w:val="20"/>
                <w:szCs w:val="20"/>
              </w:rPr>
            </w:pPr>
            <w:r w:rsidRPr="008E3F1A">
              <w:rPr>
                <w:rFonts w:ascii="Arial Narrow" w:hAnsi="Arial Narrow" w:cs="Times New Roman"/>
                <w:b/>
                <w:bCs/>
                <w:iCs/>
                <w:sz w:val="20"/>
                <w:szCs w:val="20"/>
              </w:rPr>
              <w:t>0.05 (0.02, 0.08)</w:t>
            </w:r>
          </w:p>
        </w:tc>
      </w:tr>
    </w:tbl>
    <w:p w:rsidR="0094424A" w:rsidRPr="008E3F1A" w:rsidRDefault="004B0AC9" w:rsidP="000F1C75">
      <w:pPr>
        <w:pStyle w:val="TableFigureFooter"/>
        <w:spacing w:after="0"/>
      </w:pPr>
      <w:r w:rsidRPr="008E3F1A">
        <w:t xml:space="preserve">Source: Table 2.14, p99 </w:t>
      </w:r>
      <w:r w:rsidR="000F1C75" w:rsidRPr="008E3F1A">
        <w:t xml:space="preserve">and </w:t>
      </w:r>
      <w:r w:rsidR="000F1C75" w:rsidRPr="008E3F1A">
        <w:rPr>
          <w:color w:val="000000" w:themeColor="text1"/>
          <w:szCs w:val="18"/>
        </w:rPr>
        <w:t>Table 2.23, p114</w:t>
      </w:r>
      <w:r w:rsidR="005F137A" w:rsidRPr="008E3F1A">
        <w:rPr>
          <w:color w:val="000000" w:themeColor="text1"/>
          <w:szCs w:val="18"/>
        </w:rPr>
        <w:t xml:space="preserve"> </w:t>
      </w:r>
      <w:r w:rsidRPr="008E3F1A">
        <w:t>of the submission; Table 14.2.4.1, p556 of the ECHELON-2 – sgn35-014 – Supplement tables</w:t>
      </w:r>
      <w:r w:rsidR="000F1C75" w:rsidRPr="008E3F1A">
        <w:rPr>
          <w:color w:val="000000" w:themeColor="text1"/>
          <w:szCs w:val="18"/>
        </w:rPr>
        <w:t>.</w:t>
      </w:r>
    </w:p>
    <w:p w:rsidR="00620C25" w:rsidRPr="008E3F1A" w:rsidRDefault="007E3D24" w:rsidP="0094424A">
      <w:pPr>
        <w:rPr>
          <w:rFonts w:ascii="Arial Narrow" w:hAnsi="Arial Narrow"/>
          <w:sz w:val="18"/>
          <w:szCs w:val="18"/>
        </w:rPr>
      </w:pPr>
      <w:r w:rsidRPr="008E3F1A">
        <w:rPr>
          <w:rFonts w:ascii="Arial Narrow" w:hAnsi="Arial Narrow"/>
          <w:color w:val="000000" w:themeColor="text1"/>
          <w:sz w:val="18"/>
          <w:szCs w:val="18"/>
        </w:rPr>
        <w:t xml:space="preserve">AE = adverse events; </w:t>
      </w:r>
      <w:r w:rsidR="0094424A" w:rsidRPr="008E3F1A">
        <w:rPr>
          <w:rFonts w:ascii="Arial Narrow" w:hAnsi="Arial Narrow"/>
          <w:color w:val="000000" w:themeColor="text1"/>
          <w:sz w:val="18"/>
          <w:szCs w:val="18"/>
        </w:rPr>
        <w:t>BV+CHP = brentuximab vedotin with cyclophosphamide, doxorubicin and prednisone; CHOP = cyclophosphamide, doxorubicin, vincristine and prednisone; CI = confidence interval;</w:t>
      </w:r>
      <w:r w:rsidR="00202343" w:rsidRPr="008E3F1A">
        <w:rPr>
          <w:rFonts w:ascii="Arial Narrow" w:hAnsi="Arial Narrow"/>
          <w:color w:val="000000" w:themeColor="text1"/>
          <w:sz w:val="18"/>
          <w:szCs w:val="18"/>
        </w:rPr>
        <w:t xml:space="preserve"> NE = not evaluable;</w:t>
      </w:r>
      <w:r w:rsidRPr="008E3F1A">
        <w:rPr>
          <w:rFonts w:ascii="Arial Narrow" w:hAnsi="Arial Narrow"/>
          <w:color w:val="000000" w:themeColor="text1"/>
          <w:sz w:val="18"/>
          <w:szCs w:val="18"/>
        </w:rPr>
        <w:t xml:space="preserve"> OS = overall survival;</w:t>
      </w:r>
      <w:r w:rsidR="008B6528" w:rsidRPr="008E3F1A">
        <w:rPr>
          <w:rFonts w:ascii="Arial Narrow" w:hAnsi="Arial Narrow"/>
          <w:color w:val="000000" w:themeColor="text1"/>
          <w:sz w:val="18"/>
          <w:szCs w:val="18"/>
        </w:rPr>
        <w:t xml:space="preserve"> p =p-value;</w:t>
      </w:r>
      <w:r w:rsidR="0094424A" w:rsidRPr="008E3F1A">
        <w:rPr>
          <w:rFonts w:ascii="Arial Narrow" w:hAnsi="Arial Narrow"/>
          <w:color w:val="000000" w:themeColor="text1"/>
          <w:sz w:val="18"/>
          <w:szCs w:val="18"/>
        </w:rPr>
        <w:t xml:space="preserve"> </w:t>
      </w:r>
      <w:r w:rsidR="00620C25" w:rsidRPr="008E3F1A">
        <w:rPr>
          <w:rFonts w:ascii="Arial Narrow" w:hAnsi="Arial Narrow"/>
          <w:sz w:val="18"/>
          <w:szCs w:val="18"/>
        </w:rPr>
        <w:t>RD = risk difference; RR = risk ratio</w:t>
      </w:r>
      <w:r w:rsidR="00E4570D" w:rsidRPr="008E3F1A">
        <w:rPr>
          <w:rFonts w:ascii="Arial Narrow" w:hAnsi="Arial Narrow"/>
          <w:sz w:val="18"/>
          <w:szCs w:val="18"/>
        </w:rPr>
        <w:t>.</w:t>
      </w:r>
    </w:p>
    <w:p w:rsidR="00B62715" w:rsidRPr="008E3F1A" w:rsidRDefault="00E4570D" w:rsidP="00E4570D">
      <w:pPr>
        <w:rPr>
          <w:rFonts w:ascii="Arial Narrow" w:hAnsi="Arial Narrow"/>
          <w:sz w:val="18"/>
          <w:szCs w:val="18"/>
        </w:rPr>
      </w:pPr>
      <w:r w:rsidRPr="008E3F1A">
        <w:rPr>
          <w:rFonts w:ascii="Arial Narrow" w:hAnsi="Arial Narrow"/>
          <w:sz w:val="18"/>
          <w:szCs w:val="18"/>
        </w:rPr>
        <w:t>Note:</w:t>
      </w:r>
      <w:r w:rsidR="005B50C3" w:rsidRPr="008E3F1A">
        <w:rPr>
          <w:rFonts w:ascii="Arial Narrow" w:hAnsi="Arial Narrow"/>
          <w:sz w:val="18"/>
          <w:szCs w:val="18"/>
        </w:rPr>
        <w:t>*</w:t>
      </w:r>
      <w:r w:rsidR="00B62715" w:rsidRPr="008E3F1A">
        <w:rPr>
          <w:rFonts w:ascii="Arial Narrow" w:hAnsi="Arial Narrow"/>
          <w:sz w:val="18"/>
          <w:szCs w:val="18"/>
        </w:rPr>
        <w:t xml:space="preserve">Median duration of follow-up: </w:t>
      </w:r>
      <w:r w:rsidR="0094424A" w:rsidRPr="008E3F1A">
        <w:rPr>
          <w:rFonts w:ascii="Arial Narrow" w:hAnsi="Arial Narrow"/>
          <w:sz w:val="18"/>
          <w:szCs w:val="18"/>
        </w:rPr>
        <w:t>42 months</w:t>
      </w:r>
      <w:r w:rsidR="00A3157B" w:rsidRPr="008E3F1A">
        <w:rPr>
          <w:rFonts w:ascii="Arial Narrow" w:hAnsi="Arial Narrow"/>
          <w:sz w:val="18"/>
          <w:szCs w:val="18"/>
        </w:rPr>
        <w:t>. Bold indicates statistical significance.</w:t>
      </w:r>
    </w:p>
    <w:p w:rsidR="00E4570D" w:rsidRPr="008E3F1A" w:rsidRDefault="00E4570D" w:rsidP="00E4570D">
      <w:pPr>
        <w:rPr>
          <w:rFonts w:ascii="Arial Narrow" w:hAnsi="Arial Narrow"/>
          <w:sz w:val="18"/>
          <w:szCs w:val="18"/>
        </w:rPr>
      </w:pPr>
      <w:r w:rsidRPr="008E3F1A">
        <w:rPr>
          <w:rFonts w:ascii="Arial Narrow" w:hAnsi="Arial Narrow"/>
          <w:sz w:val="18"/>
          <w:szCs w:val="18"/>
        </w:rPr>
        <w:t>a = From stratified log-rank test with stratification factors (ALK-positive sALCL: Yes/No and IPI score: 0-1/2-3/4-5) at randomization. OS rate is estimated using Kaplan-Meier methods and 95% CI is calculated using the complementary log-log transformation method (Collett, 1994).</w:t>
      </w:r>
    </w:p>
    <w:p w:rsidR="00E4570D" w:rsidRPr="008E3F1A" w:rsidRDefault="00E4570D" w:rsidP="00E4570D">
      <w:pPr>
        <w:rPr>
          <w:rFonts w:ascii="Arial Narrow" w:hAnsi="Arial Narrow"/>
          <w:sz w:val="18"/>
          <w:szCs w:val="18"/>
        </w:rPr>
      </w:pPr>
    </w:p>
    <w:p w:rsidR="002441D2" w:rsidRPr="008E3F1A" w:rsidRDefault="002441D2" w:rsidP="00E9094A">
      <w:pPr>
        <w:pStyle w:val="3-BodyText"/>
      </w:pPr>
      <w:r w:rsidRPr="008E3F1A">
        <w:lastRenderedPageBreak/>
        <w:t>On the basis of direct</w:t>
      </w:r>
      <w:r w:rsidR="00585E81" w:rsidRPr="008E3F1A">
        <w:t xml:space="preserve"> </w:t>
      </w:r>
      <w:r w:rsidRPr="008E3F1A">
        <w:t xml:space="preserve">evidence presented by the submission, for every 100 patients treated with </w:t>
      </w:r>
      <w:r w:rsidR="00CD2597" w:rsidRPr="008E3F1A">
        <w:t>BV+CHP</w:t>
      </w:r>
      <w:r w:rsidRPr="008E3F1A">
        <w:t xml:space="preserve"> in comparison </w:t>
      </w:r>
      <w:r w:rsidR="006D68FB" w:rsidRPr="008E3F1A">
        <w:t>with</w:t>
      </w:r>
      <w:r w:rsidRPr="008E3F1A">
        <w:t xml:space="preserve"> </w:t>
      </w:r>
      <w:r w:rsidR="00CD2597" w:rsidRPr="008E3F1A">
        <w:t>CHOP</w:t>
      </w:r>
      <w:r w:rsidRPr="008E3F1A">
        <w:t>:</w:t>
      </w:r>
    </w:p>
    <w:p w:rsidR="00BC15A7" w:rsidRPr="008E3F1A" w:rsidRDefault="002441D2" w:rsidP="00BA026D">
      <w:pPr>
        <w:pStyle w:val="ListParagraph"/>
        <w:numPr>
          <w:ilvl w:val="0"/>
          <w:numId w:val="8"/>
        </w:numPr>
        <w:ind w:left="1134"/>
      </w:pPr>
      <w:r w:rsidRPr="008E3F1A">
        <w:t xml:space="preserve">Approximately </w:t>
      </w:r>
      <w:r w:rsidR="002C7FEE" w:rsidRPr="008E3F1A">
        <w:t xml:space="preserve">14 </w:t>
      </w:r>
      <w:r w:rsidR="00C41768" w:rsidRPr="008E3F1A">
        <w:t>additional</w:t>
      </w:r>
      <w:r w:rsidRPr="008E3F1A">
        <w:t xml:space="preserve"> patients </w:t>
      </w:r>
      <w:r w:rsidR="00C41768" w:rsidRPr="008E3F1A">
        <w:t xml:space="preserve">will </w:t>
      </w:r>
      <w:r w:rsidR="00BC15A7" w:rsidRPr="008E3F1A">
        <w:t>be alive or free from disease progression at 12 months,</w:t>
      </w:r>
    </w:p>
    <w:p w:rsidR="00157538" w:rsidRPr="008E3F1A" w:rsidRDefault="00157538" w:rsidP="00BA026D">
      <w:pPr>
        <w:pStyle w:val="ListParagraph"/>
        <w:numPr>
          <w:ilvl w:val="0"/>
          <w:numId w:val="8"/>
        </w:numPr>
        <w:ind w:left="1134"/>
      </w:pPr>
      <w:r w:rsidRPr="008E3F1A">
        <w:t>Approximately</w:t>
      </w:r>
      <w:r w:rsidR="00BC15A7" w:rsidRPr="008E3F1A">
        <w:t xml:space="preserve"> 5 </w:t>
      </w:r>
      <w:r w:rsidRPr="008E3F1A">
        <w:t>additional</w:t>
      </w:r>
      <w:r w:rsidR="00BC15A7" w:rsidRPr="008E3F1A">
        <w:t xml:space="preserve"> patients will be alive </w:t>
      </w:r>
      <w:r w:rsidRPr="008E3F1A">
        <w:t>at 12 months.</w:t>
      </w:r>
    </w:p>
    <w:p w:rsidR="00FC1884" w:rsidRPr="008E3F1A" w:rsidRDefault="00157538" w:rsidP="009057BA">
      <w:pPr>
        <w:pStyle w:val="3-BodyText"/>
        <w:numPr>
          <w:ilvl w:val="0"/>
          <w:numId w:val="0"/>
        </w:numPr>
        <w:ind w:left="1418" w:hanging="720"/>
      </w:pPr>
      <w:r w:rsidRPr="008E3F1A">
        <w:t>Over a median duration of follow-up of 42 months:</w:t>
      </w:r>
    </w:p>
    <w:p w:rsidR="00FC1884" w:rsidRPr="008E3F1A" w:rsidRDefault="00FC1884" w:rsidP="00BA026D">
      <w:pPr>
        <w:pStyle w:val="ListParagraph"/>
        <w:numPr>
          <w:ilvl w:val="0"/>
          <w:numId w:val="8"/>
        </w:numPr>
        <w:ind w:left="1134"/>
      </w:pPr>
      <w:r w:rsidRPr="008E3F1A">
        <w:t xml:space="preserve">Approximately </w:t>
      </w:r>
      <w:r w:rsidR="00962BBB" w:rsidRPr="008E3F1A">
        <w:t>18</w:t>
      </w:r>
      <w:r w:rsidRPr="008E3F1A">
        <w:t xml:space="preserve"> additional patients would </w:t>
      </w:r>
      <w:r w:rsidR="00B01E69" w:rsidRPr="008E3F1A">
        <w:t xml:space="preserve">experience </w:t>
      </w:r>
      <w:r w:rsidR="00A7280D" w:rsidRPr="008E3F1A">
        <w:t>diarrhoea</w:t>
      </w:r>
      <w:r w:rsidR="009057BA" w:rsidRPr="008E3F1A">
        <w:t xml:space="preserve"> of any grade, and 5 additional patients would experience Grade 3 diarrhoea</w:t>
      </w:r>
      <w:r w:rsidR="005324EC" w:rsidRPr="008E3F1A">
        <w:t>.</w:t>
      </w:r>
    </w:p>
    <w:p w:rsidR="003813AD" w:rsidRPr="008E3F1A" w:rsidRDefault="003813AD" w:rsidP="00BA026D">
      <w:pPr>
        <w:pStyle w:val="ListParagraph"/>
        <w:numPr>
          <w:ilvl w:val="0"/>
          <w:numId w:val="8"/>
        </w:numPr>
        <w:ind w:left="1134"/>
      </w:pPr>
      <w:r w:rsidRPr="008E3F1A">
        <w:t xml:space="preserve">Approximately </w:t>
      </w:r>
      <w:r w:rsidR="001F653B" w:rsidRPr="008E3F1A">
        <w:t xml:space="preserve">8 </w:t>
      </w:r>
      <w:r w:rsidRPr="008E3F1A">
        <w:t>additional patient</w:t>
      </w:r>
      <w:r w:rsidR="001F653B" w:rsidRPr="008E3F1A">
        <w:t>s</w:t>
      </w:r>
      <w:r w:rsidRPr="008E3F1A">
        <w:t xml:space="preserve"> would experience </w:t>
      </w:r>
      <w:r w:rsidR="001F653B" w:rsidRPr="008E3F1A">
        <w:t>vomiting.</w:t>
      </w:r>
    </w:p>
    <w:p w:rsidR="00B60939" w:rsidRPr="008E3F1A" w:rsidRDefault="00B60939" w:rsidP="00E9094A">
      <w:pPr>
        <w:pStyle w:val="4-SubsectionHeading"/>
      </w:pPr>
      <w:bookmarkStart w:id="19" w:name="_Toc22897644"/>
      <w:bookmarkStart w:id="20" w:name="_Toc62055095"/>
      <w:r w:rsidRPr="008E3F1A">
        <w:t>Clinical claim</w:t>
      </w:r>
      <w:bookmarkEnd w:id="19"/>
      <w:bookmarkEnd w:id="20"/>
    </w:p>
    <w:p w:rsidR="000F7109" w:rsidRPr="008E3F1A" w:rsidRDefault="005F7588" w:rsidP="00E9094A">
      <w:pPr>
        <w:pStyle w:val="3-BodyText"/>
        <w:rPr>
          <w:rFonts w:eastAsia="Calibri"/>
        </w:rPr>
      </w:pPr>
      <w:r w:rsidRPr="008E3F1A">
        <w:rPr>
          <w:rFonts w:eastAsia="Calibri"/>
        </w:rPr>
        <w:t>The submission described</w:t>
      </w:r>
      <w:r w:rsidR="00E50FF0" w:rsidRPr="008E3F1A">
        <w:rPr>
          <w:rFonts w:eastAsia="Calibri"/>
        </w:rPr>
        <w:t xml:space="preserve"> BV+CHP </w:t>
      </w:r>
      <w:r w:rsidRPr="008E3F1A">
        <w:rPr>
          <w:rFonts w:eastAsia="Calibri"/>
        </w:rPr>
        <w:t xml:space="preserve">as superior in terms of effectiveness compared to </w:t>
      </w:r>
      <w:r w:rsidR="00E50FF0" w:rsidRPr="008E3F1A">
        <w:rPr>
          <w:rFonts w:eastAsia="Calibri"/>
        </w:rPr>
        <w:t>CHOP</w:t>
      </w:r>
      <w:r w:rsidRPr="008E3F1A">
        <w:rPr>
          <w:rFonts w:eastAsia="Calibri"/>
        </w:rPr>
        <w:t xml:space="preserve">. </w:t>
      </w:r>
      <w:r w:rsidR="0062028A" w:rsidRPr="008E3F1A">
        <w:rPr>
          <w:rFonts w:eastAsia="Calibri"/>
        </w:rPr>
        <w:t xml:space="preserve">The ESC agreed with the evaluation that </w:t>
      </w:r>
      <w:r w:rsidR="0062028A" w:rsidRPr="008E3F1A">
        <w:rPr>
          <w:rFonts w:eastAsia="Calibri"/>
          <w:iCs/>
        </w:rPr>
        <w:t>t</w:t>
      </w:r>
      <w:r w:rsidRPr="008E3F1A">
        <w:rPr>
          <w:rFonts w:eastAsia="Calibri"/>
          <w:iCs/>
        </w:rPr>
        <w:t>his claim</w:t>
      </w:r>
      <w:r w:rsidRPr="008E3F1A">
        <w:rPr>
          <w:rFonts w:eastAsia="Calibri"/>
        </w:rPr>
        <w:t xml:space="preserve"> </w:t>
      </w:r>
      <w:r w:rsidR="000F7109" w:rsidRPr="008E3F1A">
        <w:rPr>
          <w:rFonts w:eastAsia="Calibri"/>
        </w:rPr>
        <w:t>was adequately</w:t>
      </w:r>
      <w:r w:rsidR="007C70FF" w:rsidRPr="008E3F1A">
        <w:rPr>
          <w:rFonts w:eastAsia="Calibri"/>
        </w:rPr>
        <w:t xml:space="preserve"> supported</w:t>
      </w:r>
      <w:r w:rsidR="004E29F8" w:rsidRPr="008E3F1A">
        <w:rPr>
          <w:rFonts w:eastAsia="Calibri"/>
        </w:rPr>
        <w:t xml:space="preserve"> showing a longer duration of PFS. However</w:t>
      </w:r>
      <w:r w:rsidR="000F7109" w:rsidRPr="008E3F1A">
        <w:rPr>
          <w:rFonts w:eastAsia="Calibri"/>
        </w:rPr>
        <w:t>, w</w:t>
      </w:r>
      <w:r w:rsidR="000F7109" w:rsidRPr="008E3F1A">
        <w:t>hile the available data show a benefit for BV+CHP with respect to OS, these data are immature.</w:t>
      </w:r>
      <w:r w:rsidR="007C70FF" w:rsidRPr="008E3F1A">
        <w:rPr>
          <w:rFonts w:eastAsia="Calibri"/>
        </w:rPr>
        <w:t xml:space="preserve"> </w:t>
      </w:r>
    </w:p>
    <w:p w:rsidR="00004AF8" w:rsidRPr="008E3F1A" w:rsidRDefault="0020556D" w:rsidP="00E9094A">
      <w:pPr>
        <w:pStyle w:val="3-BodyText"/>
        <w:rPr>
          <w:rFonts w:eastAsia="Calibri"/>
          <w:iCs/>
        </w:rPr>
      </w:pPr>
      <w:r w:rsidRPr="008E3F1A">
        <w:rPr>
          <w:rFonts w:eastAsia="Calibri"/>
          <w:iCs/>
        </w:rPr>
        <w:t xml:space="preserve">The submission stated that </w:t>
      </w:r>
      <w:r w:rsidR="00E518B1" w:rsidRPr="008E3F1A">
        <w:rPr>
          <w:rFonts w:eastAsia="Calibri"/>
          <w:iCs/>
        </w:rPr>
        <w:t>a significant treatment benefit for BV+CHP in PFS and OS was observed for the sALCL subgroup</w:t>
      </w:r>
      <w:r w:rsidR="00A475A9" w:rsidRPr="008E3F1A">
        <w:rPr>
          <w:rFonts w:eastAsia="Calibri"/>
          <w:iCs/>
        </w:rPr>
        <w:t>.</w:t>
      </w:r>
      <w:r w:rsidR="00051FC9" w:rsidRPr="008E3F1A">
        <w:rPr>
          <w:rFonts w:eastAsia="Calibri"/>
          <w:iCs/>
        </w:rPr>
        <w:t xml:space="preserve"> The submission noted that the p</w:t>
      </w:r>
      <w:r w:rsidR="00A475A9" w:rsidRPr="008E3F1A">
        <w:rPr>
          <w:rFonts w:eastAsia="Calibri"/>
          <w:iCs/>
        </w:rPr>
        <w:t xml:space="preserve">oint </w:t>
      </w:r>
      <w:r w:rsidR="00051FC9" w:rsidRPr="008E3F1A">
        <w:rPr>
          <w:rFonts w:eastAsia="Calibri"/>
          <w:iCs/>
        </w:rPr>
        <w:t>estimates</w:t>
      </w:r>
      <w:r w:rsidR="00A475A9" w:rsidRPr="008E3F1A">
        <w:rPr>
          <w:rFonts w:eastAsia="Calibri"/>
          <w:iCs/>
        </w:rPr>
        <w:t xml:space="preserve"> for PFS and OS favoured BV+CHP </w:t>
      </w:r>
      <w:r w:rsidR="00051FC9" w:rsidRPr="008E3F1A">
        <w:rPr>
          <w:rFonts w:eastAsia="Calibri"/>
          <w:iCs/>
        </w:rPr>
        <w:t>treatment</w:t>
      </w:r>
      <w:r w:rsidR="00A475A9" w:rsidRPr="008E3F1A">
        <w:rPr>
          <w:rFonts w:eastAsia="Calibri"/>
          <w:iCs/>
        </w:rPr>
        <w:t xml:space="preserve"> for all other non-ALCL subtypes, with the exception of PFS in AITL.</w:t>
      </w:r>
      <w:r w:rsidR="00051FC9" w:rsidRPr="008E3F1A">
        <w:rPr>
          <w:rFonts w:eastAsia="Calibri"/>
          <w:iCs/>
        </w:rPr>
        <w:t xml:space="preserve"> </w:t>
      </w:r>
      <w:r w:rsidR="003D263F" w:rsidRPr="008E3F1A">
        <w:rPr>
          <w:rFonts w:eastAsia="Calibri"/>
          <w:iCs/>
        </w:rPr>
        <w:t>The submission also state</w:t>
      </w:r>
      <w:r w:rsidR="005E2D0A" w:rsidRPr="008E3F1A">
        <w:rPr>
          <w:rFonts w:eastAsia="Calibri"/>
          <w:iCs/>
        </w:rPr>
        <w:t>d</w:t>
      </w:r>
      <w:r w:rsidR="003D263F" w:rsidRPr="008E3F1A">
        <w:rPr>
          <w:rFonts w:eastAsia="Calibri"/>
          <w:iCs/>
        </w:rPr>
        <w:t xml:space="preserve"> that the small number of non-sALCL patients enrolled</w:t>
      </w:r>
      <w:r w:rsidR="006A0FA0" w:rsidRPr="008E3F1A">
        <w:rPr>
          <w:rFonts w:eastAsia="Calibri"/>
          <w:iCs/>
        </w:rPr>
        <w:t xml:space="preserve"> in</w:t>
      </w:r>
      <w:r w:rsidR="003D263F" w:rsidRPr="008E3F1A">
        <w:rPr>
          <w:rFonts w:eastAsia="Calibri"/>
          <w:iCs/>
        </w:rPr>
        <w:t xml:space="preserve"> ECHELON-2 limits interpretation of the treatment benefit for BV+CHP in this setting.</w:t>
      </w:r>
      <w:r w:rsidR="0062028A" w:rsidRPr="008E3F1A">
        <w:rPr>
          <w:rFonts w:eastAsia="Calibri"/>
          <w:iCs/>
        </w:rPr>
        <w:t xml:space="preserve"> </w:t>
      </w:r>
      <w:r w:rsidR="0062028A" w:rsidRPr="008E3F1A">
        <w:rPr>
          <w:rStyle w:val="Strong"/>
        </w:rPr>
        <w:t xml:space="preserve">The PSCR stated that individual PTCL subtypes are rare and difficult </w:t>
      </w:r>
      <w:r w:rsidR="00AF230E" w:rsidRPr="008E3F1A">
        <w:rPr>
          <w:rStyle w:val="Strong"/>
        </w:rPr>
        <w:t xml:space="preserve">to </w:t>
      </w:r>
      <w:r w:rsidR="0062028A" w:rsidRPr="008E3F1A">
        <w:rPr>
          <w:rStyle w:val="Strong"/>
        </w:rPr>
        <w:t xml:space="preserve">study in their own right in controlled clinical trials. </w:t>
      </w:r>
      <w:r w:rsidR="00E8005C" w:rsidRPr="008E3F1A">
        <w:rPr>
          <w:iCs/>
        </w:rPr>
        <w:t xml:space="preserve">The ESC </w:t>
      </w:r>
      <w:r w:rsidR="00D80EBC" w:rsidRPr="008E3F1A">
        <w:rPr>
          <w:iCs/>
        </w:rPr>
        <w:t xml:space="preserve">noted the OS and PFS point estimates reported for non-ALCL patients and </w:t>
      </w:r>
      <w:r w:rsidR="00E8005C" w:rsidRPr="008E3F1A">
        <w:rPr>
          <w:iCs/>
        </w:rPr>
        <w:t>considered that more mature data may assist in interpretation of the</w:t>
      </w:r>
      <w:r w:rsidR="00D80EBC" w:rsidRPr="008E3F1A">
        <w:rPr>
          <w:iCs/>
        </w:rPr>
        <w:t xml:space="preserve"> results reported</w:t>
      </w:r>
      <w:r w:rsidR="00E8005C" w:rsidRPr="008E3F1A">
        <w:rPr>
          <w:iCs/>
        </w:rPr>
        <w:t>.</w:t>
      </w:r>
      <w:r w:rsidR="00E80539" w:rsidRPr="008E3F1A">
        <w:rPr>
          <w:iCs/>
        </w:rPr>
        <w:t xml:space="preserve"> The PBAC considered that while more mature data may assist in further interpretation of the results there was no biologically plausible reason for BV+CHP not to be effective in CD30 positive non-sALCL subtypes</w:t>
      </w:r>
      <w:r w:rsidR="008E3F1A">
        <w:rPr>
          <w:iCs/>
        </w:rPr>
        <w:t xml:space="preserve">. </w:t>
      </w:r>
      <w:r w:rsidR="00E80539" w:rsidRPr="008E3F1A">
        <w:rPr>
          <w:iCs/>
        </w:rPr>
        <w:t xml:space="preserve"> </w:t>
      </w:r>
    </w:p>
    <w:p w:rsidR="005F7588" w:rsidRPr="008E3F1A" w:rsidRDefault="005F7588" w:rsidP="00E9094A">
      <w:pPr>
        <w:pStyle w:val="3-BodyText"/>
        <w:rPr>
          <w:rFonts w:eastAsia="Calibri"/>
        </w:rPr>
      </w:pPr>
      <w:r w:rsidRPr="008E3F1A">
        <w:rPr>
          <w:rFonts w:eastAsia="Calibri"/>
        </w:rPr>
        <w:t xml:space="preserve">The submission described </w:t>
      </w:r>
      <w:r w:rsidR="000F7109" w:rsidRPr="008E3F1A">
        <w:rPr>
          <w:rFonts w:eastAsia="Calibri"/>
        </w:rPr>
        <w:t xml:space="preserve">BV+CHP </w:t>
      </w:r>
      <w:r w:rsidRPr="008E3F1A">
        <w:rPr>
          <w:rFonts w:eastAsia="Calibri"/>
        </w:rPr>
        <w:t>as non-inferior</w:t>
      </w:r>
      <w:r w:rsidR="000F7109" w:rsidRPr="008E3F1A">
        <w:rPr>
          <w:rFonts w:eastAsia="Calibri"/>
        </w:rPr>
        <w:t xml:space="preserve"> </w:t>
      </w:r>
      <w:r w:rsidRPr="008E3F1A">
        <w:rPr>
          <w:rFonts w:eastAsia="Calibri"/>
        </w:rPr>
        <w:t>in term</w:t>
      </w:r>
      <w:r w:rsidR="00156F8F" w:rsidRPr="008E3F1A">
        <w:rPr>
          <w:rFonts w:eastAsia="Calibri"/>
        </w:rPr>
        <w:t>s</w:t>
      </w:r>
      <w:r w:rsidRPr="008E3F1A">
        <w:rPr>
          <w:rFonts w:eastAsia="Calibri"/>
        </w:rPr>
        <w:t xml:space="preserve"> of safety</w:t>
      </w:r>
      <w:r w:rsidR="005532A9" w:rsidRPr="008E3F1A">
        <w:rPr>
          <w:rFonts w:eastAsia="Calibri"/>
        </w:rPr>
        <w:t xml:space="preserve">, with </w:t>
      </w:r>
      <w:r w:rsidR="009057BA" w:rsidRPr="008E3F1A">
        <w:rPr>
          <w:rFonts w:eastAsia="Calibri"/>
        </w:rPr>
        <w:t xml:space="preserve">a </w:t>
      </w:r>
      <w:r w:rsidR="005532A9" w:rsidRPr="008E3F1A">
        <w:rPr>
          <w:rFonts w:eastAsia="Calibri"/>
        </w:rPr>
        <w:t>manageable safety</w:t>
      </w:r>
      <w:r w:rsidR="0035590C" w:rsidRPr="008E3F1A">
        <w:rPr>
          <w:rFonts w:eastAsia="Calibri"/>
        </w:rPr>
        <w:t xml:space="preserve"> and tolerability profile,</w:t>
      </w:r>
      <w:r w:rsidRPr="008E3F1A">
        <w:rPr>
          <w:rFonts w:eastAsia="Calibri"/>
        </w:rPr>
        <w:t xml:space="preserve"> compared to </w:t>
      </w:r>
      <w:r w:rsidR="000F7109" w:rsidRPr="008E3F1A">
        <w:rPr>
          <w:rFonts w:eastAsia="Calibri"/>
        </w:rPr>
        <w:t>CHOP</w:t>
      </w:r>
      <w:r w:rsidRPr="008E3F1A">
        <w:rPr>
          <w:rFonts w:eastAsia="Calibri"/>
        </w:rPr>
        <w:t xml:space="preserve">. </w:t>
      </w:r>
      <w:r w:rsidR="0062028A" w:rsidRPr="008E3F1A">
        <w:rPr>
          <w:rFonts w:eastAsia="Calibri"/>
        </w:rPr>
        <w:t>The ESC agreed with the evaluation that</w:t>
      </w:r>
      <w:r w:rsidR="0062028A" w:rsidRPr="008E3F1A">
        <w:rPr>
          <w:rFonts w:eastAsia="Calibri"/>
          <w:i/>
        </w:rPr>
        <w:t xml:space="preserve"> </w:t>
      </w:r>
      <w:r w:rsidR="0062028A" w:rsidRPr="008E3F1A">
        <w:rPr>
          <w:rFonts w:eastAsia="Calibri"/>
        </w:rPr>
        <w:t>t</w:t>
      </w:r>
      <w:r w:rsidRPr="008E3F1A">
        <w:rPr>
          <w:rFonts w:eastAsia="Calibri"/>
        </w:rPr>
        <w:t>his claim was adequately supporte</w:t>
      </w:r>
      <w:r w:rsidR="000F7109" w:rsidRPr="008E3F1A">
        <w:rPr>
          <w:rFonts w:eastAsia="Calibri"/>
        </w:rPr>
        <w:t>d</w:t>
      </w:r>
      <w:r w:rsidR="00CB1173" w:rsidRPr="008E3F1A">
        <w:rPr>
          <w:rFonts w:eastAsia="Calibri"/>
        </w:rPr>
        <w:t xml:space="preserve"> by the clinical data</w:t>
      </w:r>
      <w:r w:rsidR="007C70FF" w:rsidRPr="008E3F1A">
        <w:rPr>
          <w:rFonts w:eastAsia="Calibri"/>
        </w:rPr>
        <w:t xml:space="preserve">. </w:t>
      </w:r>
      <w:r w:rsidR="00AB65E6" w:rsidRPr="008E3F1A">
        <w:rPr>
          <w:rFonts w:eastAsia="Calibri"/>
        </w:rPr>
        <w:t>Additionally, data on HRQoL demonstrate no significant difference in the quality of life experienced between treatment groups over the course of the study.</w:t>
      </w:r>
    </w:p>
    <w:p w:rsidR="002E3104" w:rsidRPr="008E3F1A" w:rsidRDefault="002E3104" w:rsidP="00E9094A">
      <w:pPr>
        <w:pStyle w:val="3-BodyText"/>
        <w:rPr>
          <w:rFonts w:eastAsia="Calibri"/>
        </w:rPr>
      </w:pPr>
      <w:r w:rsidRPr="008E3F1A">
        <w:rPr>
          <w:rFonts w:eastAsia="Calibri"/>
        </w:rPr>
        <w:t xml:space="preserve">The submission </w:t>
      </w:r>
      <w:r w:rsidR="002F5904" w:rsidRPr="008E3F1A">
        <w:rPr>
          <w:rFonts w:eastAsia="Calibri"/>
        </w:rPr>
        <w:t xml:space="preserve">argued </w:t>
      </w:r>
      <w:r w:rsidR="00A4798B" w:rsidRPr="008E3F1A">
        <w:rPr>
          <w:rFonts w:eastAsia="Calibri"/>
        </w:rPr>
        <w:t>that the AE profile</w:t>
      </w:r>
      <w:r w:rsidR="00427388" w:rsidRPr="008E3F1A">
        <w:rPr>
          <w:rFonts w:eastAsia="Calibri"/>
        </w:rPr>
        <w:t xml:space="preserve"> observed for sALCL subtype does not differ from that of the overall population.</w:t>
      </w:r>
      <w:r w:rsidR="00D31125" w:rsidRPr="008E3F1A">
        <w:rPr>
          <w:rFonts w:eastAsia="Calibri"/>
        </w:rPr>
        <w:t xml:space="preserve"> </w:t>
      </w:r>
      <w:r w:rsidR="0062028A" w:rsidRPr="008E3F1A">
        <w:rPr>
          <w:rFonts w:eastAsia="Calibri"/>
        </w:rPr>
        <w:t>The ESC considered this was</w:t>
      </w:r>
      <w:r w:rsidR="00D31125" w:rsidRPr="008E3F1A">
        <w:rPr>
          <w:rFonts w:eastAsia="Calibri"/>
          <w:iCs/>
        </w:rPr>
        <w:t xml:space="preserve"> reasonable.</w:t>
      </w:r>
    </w:p>
    <w:p w:rsidR="00BA026D" w:rsidRPr="008E3F1A" w:rsidRDefault="00BA026D" w:rsidP="00BA026D">
      <w:pPr>
        <w:pStyle w:val="ListParagraph"/>
        <w:numPr>
          <w:ilvl w:val="1"/>
          <w:numId w:val="1"/>
        </w:numPr>
        <w:spacing w:after="160"/>
      </w:pPr>
      <w:r w:rsidRPr="008E3F1A">
        <w:t>The PBAC considered that the claim of superior comparative effectiveness was reasonable.</w:t>
      </w:r>
    </w:p>
    <w:p w:rsidR="00BA026D" w:rsidRPr="008E3F1A" w:rsidRDefault="00BA026D" w:rsidP="00BA026D">
      <w:pPr>
        <w:pStyle w:val="ListParagraph"/>
        <w:numPr>
          <w:ilvl w:val="1"/>
          <w:numId w:val="1"/>
        </w:numPr>
        <w:spacing w:after="160"/>
      </w:pPr>
      <w:r w:rsidRPr="008E3F1A">
        <w:t>The PBAC considered that the claim of non-inferior comparative safety was reasonable.</w:t>
      </w:r>
    </w:p>
    <w:p w:rsidR="00B60939" w:rsidRPr="008E3F1A" w:rsidRDefault="00B60939" w:rsidP="00E9094A">
      <w:pPr>
        <w:pStyle w:val="4-SubsectionHeading"/>
      </w:pPr>
      <w:bookmarkStart w:id="21" w:name="_Toc22897645"/>
      <w:bookmarkStart w:id="22" w:name="_Toc62055096"/>
      <w:r w:rsidRPr="008E3F1A">
        <w:lastRenderedPageBreak/>
        <w:t>Economic analysis</w:t>
      </w:r>
      <w:bookmarkEnd w:id="21"/>
      <w:bookmarkEnd w:id="22"/>
      <w:r w:rsidR="00491B3A" w:rsidRPr="008E3F1A">
        <w:t xml:space="preserve"> </w:t>
      </w:r>
    </w:p>
    <w:p w:rsidR="00275C5A" w:rsidRPr="008E3F1A" w:rsidRDefault="00CC1FF0" w:rsidP="00E4570D">
      <w:pPr>
        <w:pStyle w:val="3-BodyText"/>
        <w:rPr>
          <w:color w:val="0066FF"/>
        </w:rPr>
      </w:pPr>
      <w:r w:rsidRPr="008E3F1A">
        <w:t xml:space="preserve">The submission presented a stepped economic evaluation based on evidence from ECHELON-2 and implemented a modelled cost-utility analysis for BV+CHP versus CHOP. The model structure and rationale are summarised in Table </w:t>
      </w:r>
      <w:r w:rsidR="00C00747" w:rsidRPr="008E3F1A">
        <w:t>9</w:t>
      </w:r>
      <w:r w:rsidRPr="008E3F1A">
        <w:t xml:space="preserve">. </w:t>
      </w:r>
      <w:r w:rsidR="00597C3B" w:rsidRPr="008E3F1A">
        <w:t>The submission also presented results of the economic model for sALCL patient</w:t>
      </w:r>
      <w:r w:rsidR="00A83A75" w:rsidRPr="008E3F1A">
        <w:t xml:space="preserve">s based on the </w:t>
      </w:r>
      <w:r w:rsidR="005E2D0A" w:rsidRPr="008E3F1A">
        <w:t xml:space="preserve">data from </w:t>
      </w:r>
      <w:r w:rsidR="00A83A75" w:rsidRPr="008E3F1A">
        <w:t>ECHELON-2.</w:t>
      </w:r>
    </w:p>
    <w:p w:rsidR="00275C5A" w:rsidRPr="008E3F1A" w:rsidRDefault="00275C5A" w:rsidP="00641FB3">
      <w:pPr>
        <w:pStyle w:val="TableFigureHeading"/>
        <w:rPr>
          <w:rStyle w:val="CommentReference"/>
          <w:b/>
          <w:szCs w:val="24"/>
        </w:rPr>
      </w:pPr>
      <w:r w:rsidRPr="008E3F1A">
        <w:rPr>
          <w:rStyle w:val="CommentReference"/>
          <w:b/>
          <w:szCs w:val="24"/>
        </w:rPr>
        <w:t xml:space="preserve">Table </w:t>
      </w:r>
      <w:r w:rsidR="00C00747" w:rsidRPr="008E3F1A">
        <w:rPr>
          <w:rStyle w:val="CommentReference"/>
          <w:b/>
          <w:szCs w:val="24"/>
        </w:rPr>
        <w:t>9</w:t>
      </w:r>
      <w:r w:rsidRPr="008E3F1A">
        <w:rPr>
          <w:rStyle w:val="CommentReference"/>
          <w:b/>
          <w:szCs w:val="24"/>
        </w:rPr>
        <w:t>: Summary of model structure</w:t>
      </w:r>
      <w:r w:rsidR="00184B0E" w:rsidRPr="008E3F1A">
        <w:rPr>
          <w:rStyle w:val="CommentReference"/>
          <w:b/>
          <w:szCs w:val="24"/>
        </w:rPr>
        <w:t>, key inputs</w:t>
      </w:r>
      <w:r w:rsidRPr="008E3F1A">
        <w:rPr>
          <w:rStyle w:val="CommentReference"/>
          <w:b/>
          <w:szCs w:val="24"/>
        </w:rPr>
        <w:t xml:space="preserv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406"/>
        <w:gridCol w:w="6611"/>
      </w:tblGrid>
      <w:tr w:rsidR="00275C5A" w:rsidRPr="008E3F1A" w:rsidTr="00A3157B">
        <w:trPr>
          <w:tblHeader/>
        </w:trPr>
        <w:tc>
          <w:tcPr>
            <w:tcW w:w="1334" w:type="pct"/>
            <w:shd w:val="clear" w:color="auto" w:fill="auto"/>
            <w:vAlign w:val="center"/>
          </w:tcPr>
          <w:p w:rsidR="00275C5A" w:rsidRPr="008E3F1A" w:rsidRDefault="00275C5A" w:rsidP="00641FB3">
            <w:pPr>
              <w:pStyle w:val="In-tableHeading"/>
              <w:rPr>
                <w:lang w:val="en-AU"/>
              </w:rPr>
            </w:pPr>
            <w:r w:rsidRPr="008E3F1A">
              <w:rPr>
                <w:lang w:val="en-AU"/>
              </w:rPr>
              <w:t>Component</w:t>
            </w:r>
          </w:p>
        </w:tc>
        <w:tc>
          <w:tcPr>
            <w:tcW w:w="3666" w:type="pct"/>
            <w:shd w:val="clear" w:color="auto" w:fill="auto"/>
            <w:vAlign w:val="center"/>
          </w:tcPr>
          <w:p w:rsidR="00275C5A" w:rsidRPr="008E3F1A" w:rsidRDefault="00275C5A" w:rsidP="00641FB3">
            <w:pPr>
              <w:pStyle w:val="In-tableHeading"/>
              <w:rPr>
                <w:lang w:val="en-AU"/>
              </w:rPr>
            </w:pPr>
            <w:r w:rsidRPr="008E3F1A">
              <w:rPr>
                <w:lang w:val="en-AU"/>
              </w:rPr>
              <w:t>Summary</w:t>
            </w:r>
          </w:p>
        </w:tc>
      </w:tr>
      <w:tr w:rsidR="000A6039" w:rsidRPr="008E3F1A" w:rsidTr="00A3157B">
        <w:tc>
          <w:tcPr>
            <w:tcW w:w="1334" w:type="pct"/>
            <w:shd w:val="clear" w:color="auto" w:fill="auto"/>
            <w:vAlign w:val="center"/>
          </w:tcPr>
          <w:p w:rsidR="000A6039" w:rsidRPr="008E3F1A" w:rsidRDefault="000A6039" w:rsidP="00BB00B3">
            <w:pPr>
              <w:pStyle w:val="TableText0"/>
            </w:pPr>
            <w:r w:rsidRPr="008E3F1A">
              <w:t>Treatments</w:t>
            </w:r>
          </w:p>
        </w:tc>
        <w:tc>
          <w:tcPr>
            <w:tcW w:w="3666" w:type="pct"/>
            <w:shd w:val="clear" w:color="auto" w:fill="auto"/>
            <w:vAlign w:val="center"/>
          </w:tcPr>
          <w:p w:rsidR="000A6039" w:rsidRPr="008E3F1A" w:rsidRDefault="00CC1FF0" w:rsidP="00BB00B3">
            <w:pPr>
              <w:pStyle w:val="TableText0"/>
            </w:pPr>
            <w:r w:rsidRPr="008E3F1A">
              <w:t>BV+CHP vs CHOP</w:t>
            </w:r>
          </w:p>
        </w:tc>
      </w:tr>
      <w:tr w:rsidR="00275C5A" w:rsidRPr="008E3F1A" w:rsidTr="00A3157B">
        <w:tc>
          <w:tcPr>
            <w:tcW w:w="1334" w:type="pct"/>
            <w:shd w:val="clear" w:color="auto" w:fill="auto"/>
            <w:vAlign w:val="center"/>
          </w:tcPr>
          <w:p w:rsidR="00275C5A" w:rsidRPr="008E3F1A" w:rsidRDefault="00275C5A" w:rsidP="00BB00B3">
            <w:pPr>
              <w:pStyle w:val="TableText0"/>
            </w:pPr>
            <w:r w:rsidRPr="008E3F1A">
              <w:t>Time horizon</w:t>
            </w:r>
          </w:p>
        </w:tc>
        <w:tc>
          <w:tcPr>
            <w:tcW w:w="3666" w:type="pct"/>
            <w:shd w:val="clear" w:color="auto" w:fill="auto"/>
            <w:vAlign w:val="center"/>
          </w:tcPr>
          <w:p w:rsidR="00275C5A" w:rsidRPr="008E3F1A" w:rsidRDefault="00CC1FF0" w:rsidP="00BB00B3">
            <w:pPr>
              <w:pStyle w:val="TableText0"/>
            </w:pPr>
            <w:r w:rsidRPr="008E3F1A">
              <w:t>45</w:t>
            </w:r>
            <w:r w:rsidR="00275C5A" w:rsidRPr="008E3F1A">
              <w:t xml:space="preserve"> years in the model base case versus </w:t>
            </w:r>
            <w:r w:rsidRPr="008E3F1A">
              <w:t>42 months</w:t>
            </w:r>
            <w:r w:rsidR="00275C5A" w:rsidRPr="008E3F1A">
              <w:t xml:space="preserve"> in trial</w:t>
            </w:r>
          </w:p>
        </w:tc>
      </w:tr>
      <w:tr w:rsidR="00E6106C" w:rsidRPr="008E3F1A" w:rsidTr="00A3157B">
        <w:tc>
          <w:tcPr>
            <w:tcW w:w="1334" w:type="pct"/>
            <w:shd w:val="clear" w:color="auto" w:fill="auto"/>
            <w:vAlign w:val="center"/>
          </w:tcPr>
          <w:p w:rsidR="00E6106C" w:rsidRPr="008E3F1A" w:rsidRDefault="00E6106C" w:rsidP="00E6106C">
            <w:pPr>
              <w:pStyle w:val="TableText0"/>
            </w:pPr>
            <w:r w:rsidRPr="008E3F1A">
              <w:t>Outcomes</w:t>
            </w:r>
          </w:p>
        </w:tc>
        <w:tc>
          <w:tcPr>
            <w:tcW w:w="3666" w:type="pct"/>
            <w:shd w:val="clear" w:color="auto" w:fill="auto"/>
            <w:vAlign w:val="center"/>
          </w:tcPr>
          <w:p w:rsidR="00E6106C" w:rsidRPr="008E3F1A" w:rsidRDefault="00E6106C" w:rsidP="00E6106C">
            <w:pPr>
              <w:pStyle w:val="TableText0"/>
            </w:pPr>
            <w:r w:rsidRPr="008E3F1A">
              <w:t xml:space="preserve">Life-years gained (LYG) and quality-adjusted life-years (QALY) gained </w:t>
            </w:r>
          </w:p>
        </w:tc>
      </w:tr>
      <w:tr w:rsidR="00E6106C" w:rsidRPr="008E3F1A" w:rsidTr="00A3157B">
        <w:tc>
          <w:tcPr>
            <w:tcW w:w="1334" w:type="pct"/>
            <w:shd w:val="clear" w:color="auto" w:fill="auto"/>
            <w:vAlign w:val="center"/>
          </w:tcPr>
          <w:p w:rsidR="00E6106C" w:rsidRPr="008E3F1A" w:rsidRDefault="00E6106C" w:rsidP="00E6106C">
            <w:pPr>
              <w:pStyle w:val="TableText0"/>
            </w:pPr>
            <w:r w:rsidRPr="008E3F1A">
              <w:t>Methods to generate results</w:t>
            </w:r>
          </w:p>
        </w:tc>
        <w:tc>
          <w:tcPr>
            <w:tcW w:w="3666" w:type="pct"/>
            <w:shd w:val="clear" w:color="auto" w:fill="auto"/>
            <w:vAlign w:val="center"/>
          </w:tcPr>
          <w:p w:rsidR="00E6106C" w:rsidRPr="008E3F1A" w:rsidRDefault="00E6106C" w:rsidP="00E6106C">
            <w:pPr>
              <w:pStyle w:val="TableText0"/>
            </w:pPr>
            <w:r w:rsidRPr="008E3F1A">
              <w:t>Partitioned-survival cohort analysis (area under the curve)</w:t>
            </w:r>
          </w:p>
        </w:tc>
      </w:tr>
      <w:tr w:rsidR="00275C5A" w:rsidRPr="008E3F1A" w:rsidTr="00A3157B">
        <w:tc>
          <w:tcPr>
            <w:tcW w:w="1334" w:type="pct"/>
            <w:shd w:val="clear" w:color="auto" w:fill="auto"/>
            <w:vAlign w:val="center"/>
          </w:tcPr>
          <w:p w:rsidR="00275C5A" w:rsidRPr="008E3F1A" w:rsidRDefault="00275C5A" w:rsidP="00BB00B3">
            <w:pPr>
              <w:pStyle w:val="TableText0"/>
            </w:pPr>
            <w:r w:rsidRPr="008E3F1A">
              <w:t>Health states</w:t>
            </w:r>
          </w:p>
        </w:tc>
        <w:tc>
          <w:tcPr>
            <w:tcW w:w="3666" w:type="pct"/>
            <w:shd w:val="clear" w:color="auto" w:fill="auto"/>
            <w:vAlign w:val="center"/>
          </w:tcPr>
          <w:p w:rsidR="00275C5A" w:rsidRPr="008E3F1A" w:rsidRDefault="001D7A91" w:rsidP="00BB00B3">
            <w:pPr>
              <w:pStyle w:val="TableText0"/>
            </w:pPr>
            <w:r w:rsidRPr="008E3F1A">
              <w:t>Three: progression-free disease, progressive disease and death.</w:t>
            </w:r>
          </w:p>
        </w:tc>
      </w:tr>
      <w:tr w:rsidR="00275C5A" w:rsidRPr="008E3F1A" w:rsidTr="00A3157B">
        <w:tc>
          <w:tcPr>
            <w:tcW w:w="1334" w:type="pct"/>
            <w:shd w:val="clear" w:color="auto" w:fill="auto"/>
            <w:vAlign w:val="center"/>
          </w:tcPr>
          <w:p w:rsidR="00275C5A" w:rsidRPr="008E3F1A" w:rsidRDefault="00275C5A" w:rsidP="00BB00B3">
            <w:pPr>
              <w:pStyle w:val="TableText0"/>
            </w:pPr>
            <w:r w:rsidRPr="008E3F1A">
              <w:t>Cycle length</w:t>
            </w:r>
          </w:p>
        </w:tc>
        <w:tc>
          <w:tcPr>
            <w:tcW w:w="3666" w:type="pct"/>
            <w:shd w:val="clear" w:color="auto" w:fill="auto"/>
            <w:vAlign w:val="center"/>
          </w:tcPr>
          <w:p w:rsidR="00275C5A" w:rsidRPr="008E3F1A" w:rsidRDefault="001D7A91" w:rsidP="00BB00B3">
            <w:pPr>
              <w:pStyle w:val="TableText0"/>
            </w:pPr>
            <w:r w:rsidRPr="008E3F1A">
              <w:t>21 days</w:t>
            </w:r>
          </w:p>
        </w:tc>
      </w:tr>
      <w:tr w:rsidR="00275C5A" w:rsidRPr="008E3F1A" w:rsidTr="00A3157B">
        <w:tc>
          <w:tcPr>
            <w:tcW w:w="1334" w:type="pct"/>
            <w:shd w:val="clear" w:color="auto" w:fill="auto"/>
            <w:vAlign w:val="center"/>
          </w:tcPr>
          <w:p w:rsidR="00081E63" w:rsidRPr="008E3F1A" w:rsidRDefault="00081E63" w:rsidP="00BB00B3">
            <w:pPr>
              <w:pStyle w:val="TableText0"/>
            </w:pPr>
            <w:r w:rsidRPr="008E3F1A">
              <w:t xml:space="preserve">Allocation to health states </w:t>
            </w:r>
          </w:p>
        </w:tc>
        <w:tc>
          <w:tcPr>
            <w:tcW w:w="3666" w:type="pct"/>
            <w:shd w:val="clear" w:color="auto" w:fill="auto"/>
            <w:vAlign w:val="center"/>
          </w:tcPr>
          <w:p w:rsidR="00275C5A" w:rsidRPr="008E3F1A" w:rsidRDefault="003503D9" w:rsidP="00BB00B3">
            <w:pPr>
              <w:pStyle w:val="TableText0"/>
            </w:pPr>
            <w:r w:rsidRPr="008E3F1A">
              <w:t xml:space="preserve">Health state allocation over time determined by PFS and OS curves from ECHELON-2. </w:t>
            </w:r>
          </w:p>
        </w:tc>
      </w:tr>
      <w:tr w:rsidR="00501854" w:rsidRPr="008E3F1A" w:rsidTr="00A3157B">
        <w:tc>
          <w:tcPr>
            <w:tcW w:w="1334" w:type="pct"/>
            <w:shd w:val="clear" w:color="auto" w:fill="auto"/>
            <w:vAlign w:val="center"/>
          </w:tcPr>
          <w:p w:rsidR="00501854" w:rsidRPr="008E3F1A" w:rsidRDefault="00501854" w:rsidP="00BB00B3">
            <w:pPr>
              <w:pStyle w:val="TableText0"/>
            </w:pPr>
            <w:r w:rsidRPr="008E3F1A">
              <w:t>Extrapolation method</w:t>
            </w:r>
          </w:p>
        </w:tc>
        <w:tc>
          <w:tcPr>
            <w:tcW w:w="3666" w:type="pct"/>
            <w:shd w:val="clear" w:color="auto" w:fill="auto"/>
            <w:vAlign w:val="center"/>
          </w:tcPr>
          <w:p w:rsidR="00D533EC" w:rsidRPr="008E3F1A" w:rsidRDefault="005E2D0A" w:rsidP="00BB00B3">
            <w:pPr>
              <w:pStyle w:val="TableText0"/>
            </w:pPr>
            <w:r w:rsidRPr="008E3F1A">
              <w:t xml:space="preserve">The model applied an extrapolation, based on all </w:t>
            </w:r>
            <w:r w:rsidR="00D700C6" w:rsidRPr="008E3F1A">
              <w:t xml:space="preserve">available KM data, from </w:t>
            </w:r>
            <w:r w:rsidRPr="008E3F1A">
              <w:t xml:space="preserve">the </w:t>
            </w:r>
            <w:r w:rsidR="00DF241D" w:rsidRPr="008E3F1A">
              <w:t xml:space="preserve">start of the </w:t>
            </w:r>
            <w:r w:rsidRPr="008E3F1A">
              <w:t xml:space="preserve">analysis </w:t>
            </w:r>
            <w:r w:rsidR="00DF241D" w:rsidRPr="008E3F1A">
              <w:t xml:space="preserve">period. </w:t>
            </w:r>
            <w:r w:rsidRPr="008E3F1A">
              <w:t>T</w:t>
            </w:r>
            <w:r w:rsidR="000378FC" w:rsidRPr="008E3F1A">
              <w:t xml:space="preserve">he model was fitted to each treatment arm with a </w:t>
            </w:r>
            <w:r w:rsidR="007F6AED" w:rsidRPr="008E3F1A">
              <w:t>log-normal</w:t>
            </w:r>
            <w:r w:rsidR="000378FC" w:rsidRPr="008E3F1A">
              <w:t xml:space="preserve"> distribution selected as base case for OS</w:t>
            </w:r>
            <w:r w:rsidR="00E83402" w:rsidRPr="008E3F1A">
              <w:t xml:space="preserve"> and </w:t>
            </w:r>
            <w:r w:rsidR="007F6AED" w:rsidRPr="008E3F1A">
              <w:t>gamma</w:t>
            </w:r>
            <w:r w:rsidR="000378FC" w:rsidRPr="008E3F1A">
              <w:t xml:space="preserve"> selected for PFS</w:t>
            </w:r>
            <w:r w:rsidR="007F6AED" w:rsidRPr="008E3F1A">
              <w:t>.</w:t>
            </w:r>
            <w:r w:rsidR="000378FC" w:rsidRPr="008E3F1A">
              <w:t xml:space="preserve"> </w:t>
            </w:r>
            <w:r w:rsidR="00E83402" w:rsidRPr="008E3F1A">
              <w:t>T</w:t>
            </w:r>
            <w:r w:rsidR="000378FC" w:rsidRPr="008E3F1A">
              <w:t xml:space="preserve">he same distributions </w:t>
            </w:r>
            <w:r w:rsidR="00E83402" w:rsidRPr="008E3F1A">
              <w:t xml:space="preserve">were </w:t>
            </w:r>
            <w:r w:rsidR="000378FC" w:rsidRPr="008E3F1A">
              <w:t xml:space="preserve">applied to </w:t>
            </w:r>
            <w:r w:rsidR="00E83402" w:rsidRPr="008E3F1A">
              <w:t>both treatment</w:t>
            </w:r>
            <w:r w:rsidR="000378FC" w:rsidRPr="008E3F1A">
              <w:t xml:space="preserve"> arm</w:t>
            </w:r>
            <w:r w:rsidR="00E83402" w:rsidRPr="008E3F1A">
              <w:t>s</w:t>
            </w:r>
            <w:r w:rsidR="000378FC" w:rsidRPr="008E3F1A">
              <w:t>.</w:t>
            </w:r>
          </w:p>
        </w:tc>
      </w:tr>
      <w:tr w:rsidR="00501854" w:rsidRPr="008E3F1A" w:rsidTr="00A3157B">
        <w:tc>
          <w:tcPr>
            <w:tcW w:w="1334" w:type="pct"/>
            <w:shd w:val="clear" w:color="auto" w:fill="auto"/>
            <w:vAlign w:val="center"/>
          </w:tcPr>
          <w:p w:rsidR="00501854" w:rsidRPr="008E3F1A" w:rsidRDefault="00DD0F78" w:rsidP="00BB00B3">
            <w:pPr>
              <w:pStyle w:val="TableText0"/>
            </w:pPr>
            <w:r w:rsidRPr="008E3F1A">
              <w:t>Health related quality of life</w:t>
            </w:r>
          </w:p>
        </w:tc>
        <w:tc>
          <w:tcPr>
            <w:tcW w:w="3666" w:type="pct"/>
            <w:shd w:val="clear" w:color="auto" w:fill="auto"/>
            <w:vAlign w:val="center"/>
          </w:tcPr>
          <w:p w:rsidR="00067D6C" w:rsidRPr="008E3F1A" w:rsidRDefault="00067D6C" w:rsidP="00067D6C">
            <w:pPr>
              <w:pStyle w:val="TableText0"/>
            </w:pPr>
            <w:r w:rsidRPr="008E3F1A">
              <w:t>Calculated from EQ-5D data collected in the ECHELON-2.</w:t>
            </w:r>
          </w:p>
          <w:p w:rsidR="001F4081" w:rsidRPr="008E3F1A" w:rsidRDefault="00067D6C" w:rsidP="00067D6C">
            <w:pPr>
              <w:pStyle w:val="TableText0"/>
            </w:pPr>
            <w:r w:rsidRPr="008E3F1A">
              <w:t>The</w:t>
            </w:r>
            <w:r w:rsidR="001F4081" w:rsidRPr="008E3F1A">
              <w:t xml:space="preserve"> utility value</w:t>
            </w:r>
            <w:r w:rsidRPr="008E3F1A">
              <w:t>s</w:t>
            </w:r>
            <w:r w:rsidR="001F4081" w:rsidRPr="008E3F1A">
              <w:t xml:space="preserve"> applied</w:t>
            </w:r>
            <w:r w:rsidRPr="008E3F1A">
              <w:t xml:space="preserve">: </w:t>
            </w:r>
            <w:r w:rsidR="001F4081" w:rsidRPr="008E3F1A">
              <w:t>Progression-free = 0.</w:t>
            </w:r>
            <w:r w:rsidR="00445829" w:rsidRPr="008E3F1A">
              <w:t>79</w:t>
            </w:r>
            <w:r w:rsidR="001F4081" w:rsidRPr="008E3F1A">
              <w:t>; Progressed = 0.7</w:t>
            </w:r>
            <w:r w:rsidR="00445829" w:rsidRPr="008E3F1A">
              <w:t>68</w:t>
            </w:r>
          </w:p>
        </w:tc>
      </w:tr>
      <w:tr w:rsidR="00501854" w:rsidRPr="008E3F1A" w:rsidTr="00A3157B">
        <w:tc>
          <w:tcPr>
            <w:tcW w:w="1334" w:type="pct"/>
            <w:shd w:val="clear" w:color="auto" w:fill="auto"/>
            <w:vAlign w:val="center"/>
          </w:tcPr>
          <w:p w:rsidR="00DD0F78" w:rsidRPr="008E3F1A" w:rsidRDefault="00023DAB" w:rsidP="00BB00B3">
            <w:pPr>
              <w:pStyle w:val="TableText0"/>
            </w:pPr>
            <w:r w:rsidRPr="008E3F1A">
              <w:t>Post-progression cost</w:t>
            </w:r>
            <w:r w:rsidR="00DD0F78" w:rsidRPr="008E3F1A">
              <w:t xml:space="preserve"> </w:t>
            </w:r>
          </w:p>
        </w:tc>
        <w:tc>
          <w:tcPr>
            <w:tcW w:w="3666" w:type="pct"/>
            <w:shd w:val="clear" w:color="auto" w:fill="auto"/>
            <w:vAlign w:val="center"/>
          </w:tcPr>
          <w:p w:rsidR="00501854" w:rsidRPr="008E3F1A" w:rsidRDefault="00023DAB" w:rsidP="00BB00B3">
            <w:pPr>
              <w:pStyle w:val="TableText0"/>
            </w:pPr>
            <w:r w:rsidRPr="008E3F1A">
              <w:t>Cost</w:t>
            </w:r>
            <w:r w:rsidR="00491C69" w:rsidRPr="008E3F1A">
              <w:t xml:space="preserve">s for </w:t>
            </w:r>
            <w:r w:rsidR="00E3627C" w:rsidRPr="008E3F1A">
              <w:t>consolidative chemotherapy, radiotherapy and stem cell transplant were included</w:t>
            </w:r>
            <w:r w:rsidR="00B56D41" w:rsidRPr="008E3F1A">
              <w:t xml:space="preserve"> </w:t>
            </w:r>
            <w:r w:rsidR="00E3627C" w:rsidRPr="008E3F1A">
              <w:t>in the base case model. The evidence was based on ECHELON-2.</w:t>
            </w:r>
          </w:p>
        </w:tc>
      </w:tr>
    </w:tbl>
    <w:p w:rsidR="00750282" w:rsidRPr="008E3F1A" w:rsidRDefault="00750282" w:rsidP="00750282">
      <w:pPr>
        <w:pStyle w:val="TableFigureFooter"/>
      </w:pPr>
      <w:r w:rsidRPr="008E3F1A">
        <w:t>Source: Table 3.1. p136 of the submission and data compiled during evaluation</w:t>
      </w:r>
    </w:p>
    <w:p w:rsidR="003270E4" w:rsidRPr="008E3F1A" w:rsidRDefault="00750282" w:rsidP="00750282">
      <w:pPr>
        <w:pStyle w:val="TableFigureFooter"/>
      </w:pPr>
      <w:r w:rsidRPr="008E3F1A">
        <w:t>BV+CHP = brentuximab vedotin with cyclophosphamide, doxorubicin and prednisone; CHOP = cyclophosphamide, doxorubicin, vincristine and prednisone;</w:t>
      </w:r>
      <w:r w:rsidR="007E3D24" w:rsidRPr="008E3F1A">
        <w:t xml:space="preserve"> KM = Kaplan Meier;</w:t>
      </w:r>
      <w:r w:rsidRPr="008E3F1A">
        <w:t xml:space="preserve"> OS = overall survival; PFS =progression free survival</w:t>
      </w:r>
      <w:r w:rsidR="00A83BBD" w:rsidRPr="008E3F1A">
        <w:t xml:space="preserve"> </w:t>
      </w:r>
      <w:r w:rsidRPr="008E3F1A">
        <w:t xml:space="preserve">QALY = </w:t>
      </w:r>
      <w:r w:rsidR="00A3157B" w:rsidRPr="008E3F1A">
        <w:t>q</w:t>
      </w:r>
      <w:r w:rsidRPr="008E3F1A">
        <w:t>uality-adjusted life year.</w:t>
      </w:r>
      <w:r w:rsidR="003270E4" w:rsidRPr="008E3F1A">
        <w:t xml:space="preserve"> </w:t>
      </w:r>
    </w:p>
    <w:p w:rsidR="00393B1C" w:rsidRPr="008E3F1A" w:rsidRDefault="00101E2A" w:rsidP="00CE5999">
      <w:pPr>
        <w:pStyle w:val="3-BodyText"/>
        <w:rPr>
          <w:color w:val="000000" w:themeColor="text1"/>
        </w:rPr>
      </w:pPr>
      <w:r w:rsidRPr="008E3F1A">
        <w:rPr>
          <w:color w:val="000000" w:themeColor="text1"/>
        </w:rPr>
        <w:t xml:space="preserve">The </w:t>
      </w:r>
      <w:r w:rsidR="00AC25B5" w:rsidRPr="008E3F1A">
        <w:rPr>
          <w:color w:val="000000" w:themeColor="text1"/>
        </w:rPr>
        <w:t>submission</w:t>
      </w:r>
      <w:r w:rsidR="00F45285" w:rsidRPr="008E3F1A">
        <w:rPr>
          <w:color w:val="000000" w:themeColor="text1"/>
        </w:rPr>
        <w:t xml:space="preserve"> utility values for </w:t>
      </w:r>
      <w:r w:rsidR="00FD6114" w:rsidRPr="008E3F1A">
        <w:rPr>
          <w:color w:val="000000" w:themeColor="text1"/>
        </w:rPr>
        <w:t>progression</w:t>
      </w:r>
      <w:r w:rsidR="00F45285" w:rsidRPr="008E3F1A">
        <w:rPr>
          <w:color w:val="000000" w:themeColor="text1"/>
        </w:rPr>
        <w:t xml:space="preserve"> free</w:t>
      </w:r>
      <w:r w:rsidR="00BA6C25" w:rsidRPr="008E3F1A">
        <w:rPr>
          <w:color w:val="000000" w:themeColor="text1"/>
        </w:rPr>
        <w:t xml:space="preserve"> health </w:t>
      </w:r>
      <w:r w:rsidR="006363D0" w:rsidRPr="008E3F1A">
        <w:rPr>
          <w:color w:val="000000" w:themeColor="text1"/>
        </w:rPr>
        <w:t>state</w:t>
      </w:r>
      <w:r w:rsidR="00BA6C25" w:rsidRPr="008E3F1A">
        <w:rPr>
          <w:color w:val="000000" w:themeColor="text1"/>
        </w:rPr>
        <w:t xml:space="preserve"> w</w:t>
      </w:r>
      <w:r w:rsidR="00061014" w:rsidRPr="008E3F1A">
        <w:rPr>
          <w:color w:val="000000" w:themeColor="text1"/>
        </w:rPr>
        <w:t>ere</w:t>
      </w:r>
      <w:r w:rsidR="00367473" w:rsidRPr="008E3F1A">
        <w:rPr>
          <w:color w:val="000000" w:themeColor="text1"/>
        </w:rPr>
        <w:t xml:space="preserve"> estimated by </w:t>
      </w:r>
      <w:r w:rsidR="005F7637" w:rsidRPr="008E3F1A">
        <w:rPr>
          <w:color w:val="000000" w:themeColor="text1"/>
        </w:rPr>
        <w:t>using a line</w:t>
      </w:r>
      <w:r w:rsidR="00412502" w:rsidRPr="008E3F1A">
        <w:rPr>
          <w:color w:val="000000" w:themeColor="text1"/>
        </w:rPr>
        <w:t>a</w:t>
      </w:r>
      <w:r w:rsidR="005F7637" w:rsidRPr="008E3F1A">
        <w:rPr>
          <w:color w:val="000000" w:themeColor="text1"/>
        </w:rPr>
        <w:t>r predict</w:t>
      </w:r>
      <w:r w:rsidR="00AD54AA" w:rsidRPr="008E3F1A">
        <w:rPr>
          <w:color w:val="000000" w:themeColor="text1"/>
        </w:rPr>
        <w:t>ion</w:t>
      </w:r>
      <w:r w:rsidR="005F7637" w:rsidRPr="008E3F1A">
        <w:rPr>
          <w:color w:val="000000" w:themeColor="text1"/>
        </w:rPr>
        <w:t xml:space="preserve"> model with the baseline EQ5</w:t>
      </w:r>
      <w:r w:rsidR="00E16EA3" w:rsidRPr="008E3F1A">
        <w:rPr>
          <w:color w:val="000000" w:themeColor="text1"/>
        </w:rPr>
        <w:t>D</w:t>
      </w:r>
      <w:r w:rsidR="005F7637" w:rsidRPr="008E3F1A">
        <w:rPr>
          <w:color w:val="000000" w:themeColor="text1"/>
        </w:rPr>
        <w:t xml:space="preserve"> of 0.679. The </w:t>
      </w:r>
      <w:r w:rsidR="004A7934" w:rsidRPr="008E3F1A">
        <w:rPr>
          <w:color w:val="000000" w:themeColor="text1"/>
        </w:rPr>
        <w:t xml:space="preserve">utility for PD health state was estimated by adding post-progression decrement to the utility of PFS. The </w:t>
      </w:r>
      <w:r w:rsidR="00E16EA3" w:rsidRPr="008E3F1A">
        <w:rPr>
          <w:color w:val="000000" w:themeColor="text1"/>
        </w:rPr>
        <w:t>submission</w:t>
      </w:r>
      <w:r w:rsidRPr="008E3F1A">
        <w:rPr>
          <w:color w:val="000000" w:themeColor="text1"/>
        </w:rPr>
        <w:t xml:space="preserve"> presented a </w:t>
      </w:r>
      <w:r w:rsidR="00AC25B5" w:rsidRPr="008E3F1A">
        <w:rPr>
          <w:color w:val="000000" w:themeColor="text1"/>
        </w:rPr>
        <w:t>sensitivity</w:t>
      </w:r>
      <w:r w:rsidRPr="008E3F1A">
        <w:rPr>
          <w:color w:val="000000" w:themeColor="text1"/>
        </w:rPr>
        <w:t xml:space="preserve"> analysis using</w:t>
      </w:r>
      <w:r w:rsidR="00E16EA3" w:rsidRPr="008E3F1A">
        <w:rPr>
          <w:color w:val="000000" w:themeColor="text1"/>
        </w:rPr>
        <w:t xml:space="preserve"> </w:t>
      </w:r>
      <w:r w:rsidR="00FA35B1" w:rsidRPr="008E3F1A">
        <w:rPr>
          <w:color w:val="000000" w:themeColor="text1"/>
        </w:rPr>
        <w:t xml:space="preserve">a </w:t>
      </w:r>
      <w:r w:rsidR="002530F2" w:rsidRPr="008E3F1A">
        <w:rPr>
          <w:color w:val="000000" w:themeColor="text1"/>
        </w:rPr>
        <w:t xml:space="preserve">utility </w:t>
      </w:r>
      <w:r w:rsidR="00B762E9" w:rsidRPr="008E3F1A">
        <w:rPr>
          <w:color w:val="000000" w:themeColor="text1"/>
        </w:rPr>
        <w:t>value</w:t>
      </w:r>
      <w:r w:rsidR="002530F2" w:rsidRPr="008E3F1A">
        <w:rPr>
          <w:color w:val="000000" w:themeColor="text1"/>
        </w:rPr>
        <w:t xml:space="preserve"> for PD health state of</w:t>
      </w:r>
      <w:r w:rsidR="00E16EA3" w:rsidRPr="008E3F1A">
        <w:rPr>
          <w:color w:val="000000" w:themeColor="text1"/>
        </w:rPr>
        <w:t xml:space="preserve"> </w:t>
      </w:r>
      <w:r w:rsidR="001B05D4" w:rsidRPr="008E3F1A">
        <w:rPr>
          <w:color w:val="000000" w:themeColor="text1"/>
        </w:rPr>
        <w:t>0.670 based on</w:t>
      </w:r>
      <w:r w:rsidR="00AC25B5" w:rsidRPr="008E3F1A">
        <w:rPr>
          <w:color w:val="000000" w:themeColor="text1"/>
        </w:rPr>
        <w:t xml:space="preserve"> Swinburn et. </w:t>
      </w:r>
      <w:r w:rsidR="001B05D4" w:rsidRPr="008E3F1A">
        <w:rPr>
          <w:color w:val="000000" w:themeColor="text1"/>
        </w:rPr>
        <w:t>al</w:t>
      </w:r>
      <w:r w:rsidR="00AC25B5" w:rsidRPr="008E3F1A">
        <w:rPr>
          <w:color w:val="000000" w:themeColor="text1"/>
        </w:rPr>
        <w:t>., (2015)</w:t>
      </w:r>
      <w:r w:rsidR="001B05D4" w:rsidRPr="008E3F1A">
        <w:rPr>
          <w:color w:val="000000" w:themeColor="text1"/>
        </w:rPr>
        <w:t xml:space="preserve">, which showed that </w:t>
      </w:r>
      <w:r w:rsidR="009B10DB" w:rsidRPr="008E3F1A">
        <w:rPr>
          <w:color w:val="000000" w:themeColor="text1"/>
        </w:rPr>
        <w:t>the ICER was not sensitive</w:t>
      </w:r>
      <w:r w:rsidR="007F5E36" w:rsidRPr="008E3F1A">
        <w:rPr>
          <w:color w:val="000000" w:themeColor="text1"/>
        </w:rPr>
        <w:t xml:space="preserve"> to a lower value.</w:t>
      </w:r>
      <w:r w:rsidR="004A62C6" w:rsidRPr="008E3F1A">
        <w:rPr>
          <w:color w:val="000000" w:themeColor="text1"/>
        </w:rPr>
        <w:t xml:space="preserve"> The ESC considered the approach taken and the utilities reported were appropriate. </w:t>
      </w:r>
    </w:p>
    <w:p w:rsidR="00CE5999" w:rsidRPr="008E3F1A" w:rsidRDefault="00B64E5D" w:rsidP="00423216">
      <w:pPr>
        <w:pStyle w:val="3-BodyText"/>
      </w:pPr>
      <w:r w:rsidRPr="008E3F1A">
        <w:t xml:space="preserve">The submission </w:t>
      </w:r>
      <w:r w:rsidR="00134E8C" w:rsidRPr="008E3F1A">
        <w:t>used</w:t>
      </w:r>
      <w:r w:rsidRPr="008E3F1A">
        <w:t xml:space="preserve"> extrapolat</w:t>
      </w:r>
      <w:r w:rsidR="00CE5999" w:rsidRPr="008E3F1A">
        <w:t xml:space="preserve">ed PFS and OS curves </w:t>
      </w:r>
      <w:r w:rsidR="00C32BAD" w:rsidRPr="008E3F1A">
        <w:t xml:space="preserve">(presented in Figure </w:t>
      </w:r>
      <w:r w:rsidR="00AE0563" w:rsidRPr="008E3F1A">
        <w:t>5</w:t>
      </w:r>
      <w:r w:rsidR="00C32BAD" w:rsidRPr="008E3F1A">
        <w:t xml:space="preserve">) </w:t>
      </w:r>
      <w:r w:rsidR="00CE5999" w:rsidRPr="008E3F1A">
        <w:t xml:space="preserve">from the start of the time horizon. This was not appropriate since the first 42 months of KM </w:t>
      </w:r>
      <w:r w:rsidR="00D44FD2" w:rsidRPr="008E3F1A">
        <w:t>data from</w:t>
      </w:r>
      <w:r w:rsidR="00CE5999" w:rsidRPr="008E3F1A">
        <w:t xml:space="preserve"> ECHELON-2 should have been used in the model. </w:t>
      </w:r>
      <w:r w:rsidR="00A81E28" w:rsidRPr="008E3F1A">
        <w:t xml:space="preserve">A sensitivity analysis was conducted during </w:t>
      </w:r>
      <w:r w:rsidR="002C7FEE" w:rsidRPr="008E3F1A">
        <w:t xml:space="preserve">the </w:t>
      </w:r>
      <w:r w:rsidR="00A81E28" w:rsidRPr="008E3F1A">
        <w:t xml:space="preserve">evaluation </w:t>
      </w:r>
      <w:r w:rsidR="002C7FEE" w:rsidRPr="008E3F1A">
        <w:t xml:space="preserve">which </w:t>
      </w:r>
      <w:r w:rsidR="00A838FE" w:rsidRPr="008E3F1A">
        <w:t>appl</w:t>
      </w:r>
      <w:r w:rsidR="002C7FEE" w:rsidRPr="008E3F1A">
        <w:t xml:space="preserve">ied </w:t>
      </w:r>
      <w:r w:rsidR="00A838FE" w:rsidRPr="008E3F1A">
        <w:t>the extrapolation</w:t>
      </w:r>
      <w:r w:rsidR="004D18F0" w:rsidRPr="008E3F1A">
        <w:t xml:space="preserve"> of PFS and OS curves</w:t>
      </w:r>
      <w:r w:rsidR="00A838FE" w:rsidRPr="008E3F1A">
        <w:t xml:space="preserve"> from the median follow-up of 42 months</w:t>
      </w:r>
      <w:r w:rsidR="002C7FEE" w:rsidRPr="008E3F1A">
        <w:t xml:space="preserve"> (with the KM data prior to that point)</w:t>
      </w:r>
      <w:r w:rsidR="00CD225A" w:rsidRPr="008E3F1A">
        <w:t xml:space="preserve">, the effect on the ICER was moderate, increasing to </w:t>
      </w:r>
      <w:r w:rsidR="00423216" w:rsidRPr="00423216">
        <w:rPr>
          <w:iCs/>
          <w:color w:val="000000" w:themeColor="text1"/>
        </w:rPr>
        <w:t>$35,000 to &lt; $45,000</w:t>
      </w:r>
      <w:r w:rsidR="00423216">
        <w:rPr>
          <w:iCs/>
          <w:color w:val="000000" w:themeColor="text1"/>
        </w:rPr>
        <w:t xml:space="preserve"> </w:t>
      </w:r>
      <w:r w:rsidR="00393B1C" w:rsidRPr="008E3F1A">
        <w:t>per QALY gained.</w:t>
      </w:r>
      <w:r w:rsidR="00A81E28" w:rsidRPr="008E3F1A">
        <w:t xml:space="preserve"> </w:t>
      </w:r>
    </w:p>
    <w:p w:rsidR="00942FD1" w:rsidRPr="008E3F1A" w:rsidRDefault="00AC2B04" w:rsidP="002227FC">
      <w:pPr>
        <w:pStyle w:val="3-BodyText"/>
        <w:keepNext/>
        <w:numPr>
          <w:ilvl w:val="0"/>
          <w:numId w:val="0"/>
        </w:numPr>
        <w:spacing w:after="0"/>
        <w:rPr>
          <w:rFonts w:ascii="Arial Narrow" w:hAnsi="Arial Narrow"/>
          <w:b/>
          <w:bCs/>
          <w:color w:val="000000" w:themeColor="text1"/>
          <w:sz w:val="20"/>
          <w:szCs w:val="20"/>
        </w:rPr>
      </w:pPr>
      <w:r w:rsidRPr="008E3F1A">
        <w:rPr>
          <w:rFonts w:ascii="Arial Narrow" w:hAnsi="Arial Narrow"/>
          <w:b/>
          <w:bCs/>
          <w:color w:val="000000" w:themeColor="text1"/>
          <w:sz w:val="20"/>
          <w:szCs w:val="20"/>
        </w:rPr>
        <w:lastRenderedPageBreak/>
        <w:t xml:space="preserve">Figure </w:t>
      </w:r>
      <w:r w:rsidR="00AE0563" w:rsidRPr="008E3F1A">
        <w:rPr>
          <w:rFonts w:ascii="Arial Narrow" w:hAnsi="Arial Narrow"/>
          <w:b/>
          <w:bCs/>
          <w:color w:val="000000" w:themeColor="text1"/>
          <w:sz w:val="20"/>
          <w:szCs w:val="20"/>
        </w:rPr>
        <w:t>5</w:t>
      </w:r>
      <w:r w:rsidR="002227FC" w:rsidRPr="008E3F1A">
        <w:rPr>
          <w:rFonts w:ascii="Arial Narrow" w:hAnsi="Arial Narrow"/>
          <w:b/>
          <w:bCs/>
          <w:color w:val="000000" w:themeColor="text1"/>
          <w:sz w:val="20"/>
          <w:szCs w:val="20"/>
        </w:rPr>
        <w:t>: Parametric extrapolations for BV+CHP and CHOP arms for OS and PFS presented in the submission.</w:t>
      </w:r>
    </w:p>
    <w:p w:rsidR="00DB3014" w:rsidRPr="008E3F1A" w:rsidRDefault="00DB3014" w:rsidP="002227FC">
      <w:pPr>
        <w:pStyle w:val="3-BodyText"/>
        <w:keepNext/>
        <w:numPr>
          <w:ilvl w:val="0"/>
          <w:numId w:val="0"/>
        </w:numPr>
        <w:spacing w:after="0"/>
        <w:rPr>
          <w:rFonts w:ascii="Arial Narrow" w:hAnsi="Arial Narrow"/>
          <w:b/>
          <w:bCs/>
          <w:color w:val="000000" w:themeColor="text1"/>
          <w:sz w:val="20"/>
          <w:szCs w:val="20"/>
        </w:rPr>
      </w:pPr>
      <w:r w:rsidRPr="008E3F1A">
        <w:rPr>
          <w:rFonts w:ascii="Arial Narrow" w:hAnsi="Arial Narrow"/>
          <w:b/>
          <w:bCs/>
          <w:noProof/>
          <w:color w:val="000000" w:themeColor="text1"/>
          <w:sz w:val="20"/>
          <w:szCs w:val="20"/>
        </w:rPr>
        <w:drawing>
          <wp:inline distT="0" distB="0" distL="0" distR="0" wp14:anchorId="5FF2BA81" wp14:editId="31FFF0E5">
            <wp:extent cx="4737100" cy="3511550"/>
            <wp:effectExtent l="0" t="0" r="6350" b="0"/>
            <wp:docPr id="23" name="Picture 23" title="Figure 5: Parametric extrapolations for BV+CHP and CHOP arms for OS and PFS presented in the 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37100" cy="3511550"/>
                    </a:xfrm>
                    <a:prstGeom prst="rect">
                      <a:avLst/>
                    </a:prstGeom>
                    <a:noFill/>
                  </pic:spPr>
                </pic:pic>
              </a:graphicData>
            </a:graphic>
          </wp:inline>
        </w:drawing>
      </w:r>
    </w:p>
    <w:p w:rsidR="00DB3014" w:rsidRPr="008E3F1A" w:rsidRDefault="00E43685" w:rsidP="002227FC">
      <w:pPr>
        <w:pStyle w:val="3-BodyText"/>
        <w:keepNext/>
        <w:numPr>
          <w:ilvl w:val="0"/>
          <w:numId w:val="0"/>
        </w:numPr>
        <w:spacing w:after="0"/>
        <w:rPr>
          <w:rFonts w:ascii="Arial Narrow" w:hAnsi="Arial Narrow"/>
          <w:b/>
          <w:bCs/>
          <w:color w:val="000000" w:themeColor="text1"/>
          <w:sz w:val="20"/>
          <w:szCs w:val="20"/>
        </w:rPr>
      </w:pPr>
      <w:r w:rsidRPr="008E3F1A">
        <w:rPr>
          <w:rFonts w:ascii="Arial Narrow" w:hAnsi="Arial Narrow"/>
          <w:b/>
          <w:bCs/>
          <w:noProof/>
          <w:color w:val="000000" w:themeColor="text1"/>
          <w:sz w:val="20"/>
          <w:szCs w:val="20"/>
        </w:rPr>
        <w:drawing>
          <wp:inline distT="0" distB="0" distL="0" distR="0" wp14:anchorId="202E7961" wp14:editId="416C4021">
            <wp:extent cx="4785995" cy="3474720"/>
            <wp:effectExtent l="0" t="0" r="0" b="0"/>
            <wp:docPr id="25" name="Picture 25" title="Figure 5: Parametric extrapolations for BV+CHP and CHOP arms for OS and PFS presented in the 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85995" cy="3474720"/>
                    </a:xfrm>
                    <a:prstGeom prst="rect">
                      <a:avLst/>
                    </a:prstGeom>
                    <a:noFill/>
                  </pic:spPr>
                </pic:pic>
              </a:graphicData>
            </a:graphic>
          </wp:inline>
        </w:drawing>
      </w:r>
    </w:p>
    <w:p w:rsidR="00DB3014" w:rsidRPr="008E3F1A" w:rsidRDefault="00DB3014" w:rsidP="002227FC">
      <w:pPr>
        <w:pStyle w:val="3-BodyText"/>
        <w:keepNext/>
        <w:numPr>
          <w:ilvl w:val="0"/>
          <w:numId w:val="0"/>
        </w:numPr>
        <w:spacing w:after="0"/>
        <w:rPr>
          <w:rFonts w:ascii="Arial Narrow" w:hAnsi="Arial Narrow"/>
          <w:b/>
          <w:bCs/>
          <w:color w:val="000000" w:themeColor="text1"/>
          <w:sz w:val="20"/>
          <w:szCs w:val="20"/>
        </w:rPr>
      </w:pPr>
    </w:p>
    <w:p w:rsidR="00DB3014" w:rsidRPr="008E3F1A" w:rsidRDefault="00DB3014" w:rsidP="002227FC">
      <w:pPr>
        <w:pStyle w:val="3-BodyText"/>
        <w:keepNext/>
        <w:numPr>
          <w:ilvl w:val="0"/>
          <w:numId w:val="0"/>
        </w:numPr>
        <w:spacing w:after="0"/>
        <w:rPr>
          <w:rFonts w:ascii="Arial Narrow" w:hAnsi="Arial Narrow"/>
          <w:b/>
          <w:bCs/>
          <w:color w:val="000000" w:themeColor="text1"/>
          <w:sz w:val="20"/>
          <w:szCs w:val="20"/>
        </w:rPr>
      </w:pPr>
    </w:p>
    <w:p w:rsidR="00DF5BBC" w:rsidRPr="008E3F1A" w:rsidRDefault="00DF5BBC" w:rsidP="00DF5BBC">
      <w:pPr>
        <w:rPr>
          <w:iCs/>
          <w:sz w:val="18"/>
          <w:szCs w:val="18"/>
        </w:rPr>
      </w:pPr>
      <w:r w:rsidRPr="008E3F1A">
        <w:rPr>
          <w:iCs/>
          <w:sz w:val="18"/>
          <w:szCs w:val="18"/>
        </w:rPr>
        <w:t>Source:</w:t>
      </w:r>
      <w:r w:rsidR="00CF4F57" w:rsidRPr="008E3F1A">
        <w:rPr>
          <w:iCs/>
          <w:sz w:val="18"/>
          <w:szCs w:val="18"/>
        </w:rPr>
        <w:t xml:space="preserve">  </w:t>
      </w:r>
      <w:r w:rsidR="0010733D" w:rsidRPr="008E3F1A">
        <w:rPr>
          <w:iCs/>
          <w:sz w:val="18"/>
          <w:szCs w:val="18"/>
        </w:rPr>
        <w:t xml:space="preserve">Attachment 14 - ADCETRIS PTCL Financial Model.xlsx, worksheet: </w:t>
      </w:r>
      <w:r w:rsidR="000434B3" w:rsidRPr="008E3F1A">
        <w:rPr>
          <w:iCs/>
          <w:sz w:val="18"/>
          <w:szCs w:val="18"/>
        </w:rPr>
        <w:t>Key results</w:t>
      </w:r>
      <w:r w:rsidRPr="008E3F1A">
        <w:rPr>
          <w:iCs/>
          <w:sz w:val="18"/>
          <w:szCs w:val="18"/>
        </w:rPr>
        <w:t xml:space="preserve"> of the submission.</w:t>
      </w:r>
    </w:p>
    <w:p w:rsidR="000A438D" w:rsidRPr="008E3F1A" w:rsidRDefault="000434B3" w:rsidP="000A438D">
      <w:pPr>
        <w:rPr>
          <w:iCs/>
          <w:sz w:val="18"/>
          <w:szCs w:val="18"/>
        </w:rPr>
      </w:pPr>
      <w:r w:rsidRPr="008E3F1A">
        <w:rPr>
          <w:iCs/>
          <w:sz w:val="18"/>
          <w:szCs w:val="18"/>
        </w:rPr>
        <w:t>A</w:t>
      </w:r>
      <w:r w:rsidR="00DF5BBC" w:rsidRPr="008E3F1A">
        <w:rPr>
          <w:iCs/>
          <w:sz w:val="18"/>
          <w:szCs w:val="18"/>
        </w:rPr>
        <w:t>+CHP = brentuximab vedotin with cyclophosphamide, doxorubicin and prednisone;</w:t>
      </w:r>
      <w:r w:rsidRPr="008E3F1A">
        <w:rPr>
          <w:iCs/>
          <w:sz w:val="18"/>
          <w:szCs w:val="18"/>
        </w:rPr>
        <w:t xml:space="preserve"> CHOP = cyclophosphamide, doxorubicin, prednisone and vincristine</w:t>
      </w:r>
      <w:r w:rsidR="00DF5BBC" w:rsidRPr="008E3F1A">
        <w:rPr>
          <w:iCs/>
          <w:sz w:val="18"/>
          <w:szCs w:val="18"/>
        </w:rPr>
        <w:t xml:space="preserve">; </w:t>
      </w:r>
      <w:r w:rsidRPr="008E3F1A">
        <w:rPr>
          <w:iCs/>
          <w:sz w:val="18"/>
          <w:szCs w:val="18"/>
        </w:rPr>
        <w:t xml:space="preserve">K=M = Kaplan Meier; </w:t>
      </w:r>
      <w:r w:rsidR="00DF5BBC" w:rsidRPr="008E3F1A">
        <w:rPr>
          <w:iCs/>
          <w:sz w:val="18"/>
          <w:szCs w:val="18"/>
        </w:rPr>
        <w:t>OS = overall survival</w:t>
      </w:r>
      <w:r w:rsidRPr="008E3F1A">
        <w:rPr>
          <w:iCs/>
          <w:sz w:val="18"/>
          <w:szCs w:val="18"/>
        </w:rPr>
        <w:t>; PFS = progression free survival.</w:t>
      </w:r>
    </w:p>
    <w:p w:rsidR="00AC2B04" w:rsidRPr="008E3F1A" w:rsidRDefault="00AC2B04" w:rsidP="00AC2B04">
      <w:pPr>
        <w:pStyle w:val="3-BodyText"/>
        <w:numPr>
          <w:ilvl w:val="0"/>
          <w:numId w:val="0"/>
        </w:numPr>
        <w:rPr>
          <w:color w:val="000000" w:themeColor="text1"/>
        </w:rPr>
      </w:pPr>
    </w:p>
    <w:p w:rsidR="00F51C73" w:rsidRPr="008E3F1A" w:rsidRDefault="004B537A" w:rsidP="00BB00B3">
      <w:pPr>
        <w:pStyle w:val="3-BodyText"/>
        <w:rPr>
          <w:iCs/>
          <w:color w:val="000000" w:themeColor="text1"/>
        </w:rPr>
      </w:pPr>
      <w:r w:rsidRPr="008E3F1A">
        <w:rPr>
          <w:color w:val="000000" w:themeColor="text1"/>
        </w:rPr>
        <w:lastRenderedPageBreak/>
        <w:t xml:space="preserve">The </w:t>
      </w:r>
      <w:r w:rsidR="00720A01" w:rsidRPr="008E3F1A">
        <w:rPr>
          <w:color w:val="000000" w:themeColor="text1"/>
        </w:rPr>
        <w:t>post</w:t>
      </w:r>
      <w:r w:rsidR="00A62E6E" w:rsidRPr="008E3F1A">
        <w:rPr>
          <w:color w:val="000000" w:themeColor="text1"/>
        </w:rPr>
        <w:t>-</w:t>
      </w:r>
      <w:r w:rsidR="00720A01" w:rsidRPr="008E3F1A">
        <w:rPr>
          <w:color w:val="000000" w:themeColor="text1"/>
        </w:rPr>
        <w:t xml:space="preserve">progression costs included </w:t>
      </w:r>
      <w:r w:rsidR="00523E55" w:rsidRPr="008E3F1A">
        <w:rPr>
          <w:color w:val="000000" w:themeColor="text1"/>
        </w:rPr>
        <w:t>treatment</w:t>
      </w:r>
      <w:r w:rsidR="00720A01" w:rsidRPr="008E3F1A">
        <w:rPr>
          <w:color w:val="000000" w:themeColor="text1"/>
        </w:rPr>
        <w:t xml:space="preserve"> with BV monotherapy</w:t>
      </w:r>
      <w:r w:rsidR="00007E84" w:rsidRPr="008E3F1A">
        <w:rPr>
          <w:color w:val="000000" w:themeColor="text1"/>
        </w:rPr>
        <w:t xml:space="preserve"> </w:t>
      </w:r>
      <w:r w:rsidR="009E77C7" w:rsidRPr="008E3F1A">
        <w:rPr>
          <w:color w:val="000000" w:themeColor="text1"/>
        </w:rPr>
        <w:t>in the second</w:t>
      </w:r>
      <w:r w:rsidR="00EF3BDB" w:rsidRPr="008E3F1A">
        <w:rPr>
          <w:color w:val="000000" w:themeColor="text1"/>
        </w:rPr>
        <w:t>-</w:t>
      </w:r>
      <w:r w:rsidR="009E77C7" w:rsidRPr="008E3F1A">
        <w:rPr>
          <w:color w:val="000000" w:themeColor="text1"/>
        </w:rPr>
        <w:t xml:space="preserve">line in both arms. </w:t>
      </w:r>
      <w:r w:rsidR="00720A01" w:rsidRPr="008E3F1A">
        <w:rPr>
          <w:iCs/>
          <w:color w:val="000000" w:themeColor="text1"/>
        </w:rPr>
        <w:t xml:space="preserve">This </w:t>
      </w:r>
      <w:r w:rsidR="00A62E6E" w:rsidRPr="008E3F1A">
        <w:rPr>
          <w:iCs/>
          <w:color w:val="000000" w:themeColor="text1"/>
        </w:rPr>
        <w:t>is consistent with the current PBS listing for</w:t>
      </w:r>
      <w:r w:rsidR="00626546" w:rsidRPr="008E3F1A">
        <w:rPr>
          <w:iCs/>
          <w:color w:val="000000" w:themeColor="text1"/>
        </w:rPr>
        <w:t xml:space="preserve"> relapsed/refractory</w:t>
      </w:r>
      <w:r w:rsidR="00A62E6E" w:rsidRPr="008E3F1A">
        <w:rPr>
          <w:iCs/>
          <w:color w:val="000000" w:themeColor="text1"/>
        </w:rPr>
        <w:t xml:space="preserve"> sALCL patients.</w:t>
      </w:r>
    </w:p>
    <w:p w:rsidR="00464DC2" w:rsidRPr="008E3F1A" w:rsidRDefault="00C9061E" w:rsidP="00BB00B3">
      <w:pPr>
        <w:pStyle w:val="3-BodyText"/>
        <w:rPr>
          <w:iCs/>
          <w:color w:val="000000" w:themeColor="text1"/>
        </w:rPr>
      </w:pPr>
      <w:r w:rsidRPr="008E3F1A">
        <w:rPr>
          <w:iCs/>
          <w:color w:val="000000" w:themeColor="text1"/>
        </w:rPr>
        <w:t xml:space="preserve">The model did not </w:t>
      </w:r>
      <w:r w:rsidR="002F7F27" w:rsidRPr="008E3F1A">
        <w:rPr>
          <w:iCs/>
          <w:color w:val="000000" w:themeColor="text1"/>
        </w:rPr>
        <w:t xml:space="preserve">incorporate </w:t>
      </w:r>
      <w:r w:rsidR="00296088" w:rsidRPr="008E3F1A">
        <w:rPr>
          <w:iCs/>
          <w:color w:val="000000" w:themeColor="text1"/>
        </w:rPr>
        <w:t>convergence</w:t>
      </w:r>
      <w:r w:rsidR="002F7F27" w:rsidRPr="008E3F1A">
        <w:rPr>
          <w:iCs/>
          <w:color w:val="000000" w:themeColor="text1"/>
        </w:rPr>
        <w:t xml:space="preserve"> of the extrapolated curves and assumed that the </w:t>
      </w:r>
      <w:r w:rsidR="00296088" w:rsidRPr="008E3F1A">
        <w:rPr>
          <w:iCs/>
          <w:color w:val="000000" w:themeColor="text1"/>
        </w:rPr>
        <w:t>treatment</w:t>
      </w:r>
      <w:r w:rsidR="002F7F27" w:rsidRPr="008E3F1A">
        <w:rPr>
          <w:iCs/>
          <w:color w:val="000000" w:themeColor="text1"/>
        </w:rPr>
        <w:t xml:space="preserve"> effect for BV+CHP</w:t>
      </w:r>
      <w:r w:rsidR="00296088" w:rsidRPr="008E3F1A">
        <w:rPr>
          <w:iCs/>
          <w:color w:val="000000" w:themeColor="text1"/>
        </w:rPr>
        <w:t xml:space="preserve"> relative to CHOP was ongoing.</w:t>
      </w:r>
      <w:r w:rsidR="00662B78" w:rsidRPr="008E3F1A">
        <w:rPr>
          <w:iCs/>
          <w:color w:val="000000" w:themeColor="text1"/>
        </w:rPr>
        <w:t xml:space="preserve"> </w:t>
      </w:r>
      <w:r w:rsidR="000D57C2" w:rsidRPr="008E3F1A">
        <w:rPr>
          <w:iCs/>
          <w:color w:val="000000" w:themeColor="text1"/>
        </w:rPr>
        <w:t xml:space="preserve">A </w:t>
      </w:r>
      <w:r w:rsidR="00441956" w:rsidRPr="008E3F1A">
        <w:rPr>
          <w:iCs/>
          <w:color w:val="000000" w:themeColor="text1"/>
        </w:rPr>
        <w:t>sensitivity</w:t>
      </w:r>
      <w:r w:rsidR="00BA1382" w:rsidRPr="008E3F1A">
        <w:rPr>
          <w:iCs/>
          <w:color w:val="000000" w:themeColor="text1"/>
        </w:rPr>
        <w:t xml:space="preserve"> analysis </w:t>
      </w:r>
      <w:r w:rsidR="000D57C2" w:rsidRPr="008E3F1A">
        <w:rPr>
          <w:iCs/>
          <w:color w:val="000000" w:themeColor="text1"/>
        </w:rPr>
        <w:t xml:space="preserve">conducted during evaluation by assuming convergence of OS BV+CHP </w:t>
      </w:r>
      <w:r w:rsidR="00441956" w:rsidRPr="008E3F1A">
        <w:rPr>
          <w:iCs/>
          <w:color w:val="000000" w:themeColor="text1"/>
        </w:rPr>
        <w:t xml:space="preserve">curve from 60 months </w:t>
      </w:r>
      <w:r w:rsidR="00114C4E" w:rsidRPr="008E3F1A">
        <w:rPr>
          <w:iCs/>
          <w:color w:val="000000" w:themeColor="text1"/>
        </w:rPr>
        <w:t>t</w:t>
      </w:r>
      <w:r w:rsidR="00441956" w:rsidRPr="008E3F1A">
        <w:rPr>
          <w:iCs/>
          <w:color w:val="000000" w:themeColor="text1"/>
        </w:rPr>
        <w:t xml:space="preserve">o 120 months (with no difference in OS assumed thereafter) showed that the ICER was sensitive to the convergence </w:t>
      </w:r>
      <w:r w:rsidR="008A7FA9" w:rsidRPr="008E3F1A">
        <w:rPr>
          <w:iCs/>
          <w:color w:val="000000" w:themeColor="text1"/>
        </w:rPr>
        <w:t>of curves, favouring BV+CHP</w:t>
      </w:r>
      <w:r w:rsidR="00441956" w:rsidRPr="008E3F1A">
        <w:rPr>
          <w:iCs/>
          <w:color w:val="000000" w:themeColor="text1"/>
        </w:rPr>
        <w:t>.</w:t>
      </w:r>
      <w:r w:rsidR="00464DC2" w:rsidRPr="008E3F1A">
        <w:rPr>
          <w:iCs/>
          <w:color w:val="000000" w:themeColor="text1"/>
        </w:rPr>
        <w:t xml:space="preserve"> The PSCR stated the sponsor was able approximate the convergence of the curves from 5 years to 10 years applied by the evaluator using a linear decrement in the BV+CHP arm (</w:t>
      </w:r>
      <w:r w:rsidR="00994EAC" w:rsidRPr="008E3F1A">
        <w:rPr>
          <w:iCs/>
          <w:color w:val="000000" w:themeColor="text1"/>
        </w:rPr>
        <w:t xml:space="preserve">see </w:t>
      </w:r>
      <w:r w:rsidR="00464DC2" w:rsidRPr="008E3F1A">
        <w:rPr>
          <w:iCs/>
          <w:color w:val="000000" w:themeColor="text1"/>
        </w:rPr>
        <w:t xml:space="preserve">Figure 6). The PSCR argued that the approach proposed by the evaluators seemed implausible given the relatively steep survival risk post 5 years needed to achieve convergence. </w:t>
      </w:r>
      <w:r w:rsidR="00666A4D" w:rsidRPr="008E3F1A">
        <w:rPr>
          <w:color w:val="000000" w:themeColor="text1"/>
        </w:rPr>
        <w:t xml:space="preserve">The PSCR proposed a new sensitivity analysis with convergence of the BV+CHP OS curve from year 5 to year 20 (see Figure 7). The ESC </w:t>
      </w:r>
      <w:r w:rsidR="006D41A1" w:rsidRPr="008E3F1A">
        <w:rPr>
          <w:color w:val="000000" w:themeColor="text1"/>
        </w:rPr>
        <w:t>considered</w:t>
      </w:r>
      <w:r w:rsidR="00666A4D" w:rsidRPr="008E3F1A">
        <w:rPr>
          <w:color w:val="000000" w:themeColor="text1"/>
        </w:rPr>
        <w:t xml:space="preserve"> that convergence of the BV+CHP OS curves was appropriate given the immaturity of the OS data in EC</w:t>
      </w:r>
      <w:r w:rsidR="003E5557" w:rsidRPr="008E3F1A">
        <w:rPr>
          <w:color w:val="000000" w:themeColor="text1"/>
        </w:rPr>
        <w:t>HELON-2 (see paragraph 6.</w:t>
      </w:r>
      <w:r w:rsidR="00FA35B1" w:rsidRPr="008E3F1A">
        <w:rPr>
          <w:color w:val="000000" w:themeColor="text1"/>
        </w:rPr>
        <w:t>11</w:t>
      </w:r>
      <w:r w:rsidR="003E5557" w:rsidRPr="008E3F1A">
        <w:rPr>
          <w:color w:val="000000" w:themeColor="text1"/>
        </w:rPr>
        <w:t>)</w:t>
      </w:r>
      <w:r w:rsidR="00666A4D" w:rsidRPr="008E3F1A">
        <w:rPr>
          <w:color w:val="000000" w:themeColor="text1"/>
        </w:rPr>
        <w:t xml:space="preserve"> and </w:t>
      </w:r>
      <w:r w:rsidR="006D41A1" w:rsidRPr="008E3F1A">
        <w:rPr>
          <w:color w:val="000000" w:themeColor="text1"/>
        </w:rPr>
        <w:t>advised</w:t>
      </w:r>
      <w:r w:rsidR="00666A4D" w:rsidRPr="008E3F1A">
        <w:rPr>
          <w:color w:val="000000" w:themeColor="text1"/>
        </w:rPr>
        <w:t xml:space="preserve"> that </w:t>
      </w:r>
      <w:r w:rsidR="002F5904" w:rsidRPr="008E3F1A">
        <w:rPr>
          <w:color w:val="000000" w:themeColor="text1"/>
        </w:rPr>
        <w:t>convergence</w:t>
      </w:r>
      <w:r w:rsidR="00666A4D" w:rsidRPr="008E3F1A">
        <w:rPr>
          <w:color w:val="000000" w:themeColor="text1"/>
        </w:rPr>
        <w:t xml:space="preserve"> from year 5 to year </w:t>
      </w:r>
      <w:r w:rsidR="004C430C" w:rsidRPr="008E3F1A">
        <w:rPr>
          <w:color w:val="000000" w:themeColor="text1"/>
        </w:rPr>
        <w:t>15</w:t>
      </w:r>
      <w:r w:rsidR="002F5904" w:rsidRPr="008E3F1A">
        <w:rPr>
          <w:color w:val="000000" w:themeColor="text1"/>
        </w:rPr>
        <w:t xml:space="preserve"> may be reasonable</w:t>
      </w:r>
      <w:r w:rsidR="004C430C" w:rsidRPr="008E3F1A">
        <w:rPr>
          <w:color w:val="000000" w:themeColor="text1"/>
        </w:rPr>
        <w:t xml:space="preserve"> given the median age of pat</w:t>
      </w:r>
      <w:r w:rsidR="00AD54AA" w:rsidRPr="008E3F1A">
        <w:rPr>
          <w:color w:val="000000" w:themeColor="text1"/>
        </w:rPr>
        <w:t xml:space="preserve">ients </w:t>
      </w:r>
      <w:r w:rsidR="004C430C" w:rsidRPr="008E3F1A">
        <w:rPr>
          <w:color w:val="000000" w:themeColor="text1"/>
        </w:rPr>
        <w:t>in the trial</w:t>
      </w:r>
      <w:r w:rsidR="00AD54AA" w:rsidRPr="008E3F1A">
        <w:rPr>
          <w:color w:val="000000" w:themeColor="text1"/>
        </w:rPr>
        <w:t xml:space="preserve"> (see paragraph 6.</w:t>
      </w:r>
      <w:r w:rsidR="00FA35B1" w:rsidRPr="008E3F1A">
        <w:rPr>
          <w:color w:val="000000" w:themeColor="text1"/>
        </w:rPr>
        <w:t>40</w:t>
      </w:r>
      <w:r w:rsidR="00AD54AA" w:rsidRPr="008E3F1A">
        <w:rPr>
          <w:color w:val="000000" w:themeColor="text1"/>
        </w:rPr>
        <w:t>)</w:t>
      </w:r>
      <w:r w:rsidR="004C430C" w:rsidRPr="008E3F1A">
        <w:rPr>
          <w:color w:val="000000" w:themeColor="text1"/>
        </w:rPr>
        <w:t xml:space="preserve"> and the aggressive nature of </w:t>
      </w:r>
      <w:r w:rsidR="00CD421B" w:rsidRPr="008E3F1A">
        <w:rPr>
          <w:color w:val="000000" w:themeColor="text1"/>
        </w:rPr>
        <w:t>the disease</w:t>
      </w:r>
      <w:r w:rsidR="00666A4D" w:rsidRPr="008E3F1A">
        <w:rPr>
          <w:color w:val="000000" w:themeColor="text1"/>
        </w:rPr>
        <w:t>.</w:t>
      </w:r>
    </w:p>
    <w:p w:rsidR="00464DC2" w:rsidRPr="008E3F1A" w:rsidRDefault="00464DC2" w:rsidP="00464DC2">
      <w:pPr>
        <w:pStyle w:val="TableHeadingRow"/>
        <w:jc w:val="left"/>
        <w:rPr>
          <w:rFonts w:ascii="Arial Narrow" w:hAnsi="Arial Narrow" w:cs="Arial"/>
          <w:bCs/>
          <w:snapToGrid w:val="0"/>
          <w:color w:val="000000" w:themeColor="text1"/>
          <w:lang w:eastAsia="en-AU"/>
        </w:rPr>
      </w:pPr>
      <w:r w:rsidRPr="008E3F1A">
        <w:rPr>
          <w:rFonts w:ascii="Arial Narrow" w:hAnsi="Arial Narrow" w:cs="Arial"/>
          <w:bCs/>
          <w:snapToGrid w:val="0"/>
          <w:color w:val="000000" w:themeColor="text1"/>
          <w:lang w:eastAsia="en-AU"/>
        </w:rPr>
        <w:t>Figure 6. Convergence of OS from Year 5 to Year 10</w:t>
      </w:r>
    </w:p>
    <w:p w:rsidR="00C9061E" w:rsidRPr="008E3F1A" w:rsidRDefault="00464DC2" w:rsidP="00464DC2">
      <w:pPr>
        <w:pStyle w:val="TableHeadingRow"/>
        <w:jc w:val="left"/>
      </w:pPr>
      <w:r w:rsidRPr="008E3F1A">
        <w:rPr>
          <w:noProof/>
          <w:lang w:eastAsia="en-AU"/>
        </w:rPr>
        <w:drawing>
          <wp:inline distT="0" distB="0" distL="0" distR="0" wp14:anchorId="52F3FE4D" wp14:editId="756FA1A4">
            <wp:extent cx="5261653" cy="2775098"/>
            <wp:effectExtent l="0" t="0" r="0" b="6350"/>
            <wp:docPr id="1" name="Picture 1" title="Figure 6. Convergence of OS from Year 5 to Year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35322" cy="2972179"/>
                    </a:xfrm>
                    <a:prstGeom prst="rect">
                      <a:avLst/>
                    </a:prstGeom>
                  </pic:spPr>
                </pic:pic>
              </a:graphicData>
            </a:graphic>
          </wp:inline>
        </w:drawing>
      </w:r>
      <w:r w:rsidRPr="008E3F1A">
        <w:t xml:space="preserve">  </w:t>
      </w:r>
    </w:p>
    <w:p w:rsidR="00464DC2" w:rsidRPr="008E3F1A" w:rsidRDefault="00464DC2" w:rsidP="00464DC2">
      <w:pPr>
        <w:pStyle w:val="TableHeadingRow"/>
        <w:jc w:val="left"/>
        <w:rPr>
          <w:rFonts w:cs="Arial"/>
          <w:b w:val="0"/>
          <w:iCs/>
          <w:sz w:val="18"/>
          <w:szCs w:val="18"/>
          <w:lang w:eastAsia="en-AU"/>
        </w:rPr>
      </w:pPr>
      <w:r w:rsidRPr="008E3F1A">
        <w:rPr>
          <w:rFonts w:cs="Arial"/>
          <w:b w:val="0"/>
          <w:iCs/>
          <w:sz w:val="18"/>
          <w:szCs w:val="18"/>
          <w:lang w:eastAsia="en-AU"/>
        </w:rPr>
        <w:t>Source: Figure 2, p3, PSCR</w:t>
      </w:r>
    </w:p>
    <w:p w:rsidR="00464DC2" w:rsidRPr="008E3F1A" w:rsidRDefault="00464DC2" w:rsidP="00464DC2">
      <w:pPr>
        <w:pStyle w:val="TableHeadingRow"/>
        <w:jc w:val="left"/>
        <w:rPr>
          <w:rFonts w:cs="Arial"/>
          <w:b w:val="0"/>
          <w:iCs/>
          <w:sz w:val="18"/>
          <w:szCs w:val="18"/>
          <w:lang w:eastAsia="en-AU"/>
        </w:rPr>
      </w:pPr>
      <w:r w:rsidRPr="008E3F1A">
        <w:rPr>
          <w:rFonts w:cs="Arial"/>
          <w:b w:val="0"/>
          <w:iCs/>
          <w:sz w:val="18"/>
          <w:szCs w:val="18"/>
          <w:lang w:eastAsia="en-AU"/>
        </w:rPr>
        <w:t xml:space="preserve"> </w:t>
      </w:r>
    </w:p>
    <w:p w:rsidR="001034A3" w:rsidRPr="008E3F1A" w:rsidRDefault="001034A3" w:rsidP="00666A4D">
      <w:pPr>
        <w:pStyle w:val="3-BodyText"/>
        <w:numPr>
          <w:ilvl w:val="0"/>
          <w:numId w:val="0"/>
        </w:numPr>
        <w:rPr>
          <w:i/>
          <w:color w:val="000000" w:themeColor="text1"/>
        </w:rPr>
      </w:pPr>
    </w:p>
    <w:p w:rsidR="00994EAC" w:rsidRPr="008E3F1A" w:rsidRDefault="00994EAC" w:rsidP="00994EAC">
      <w:pPr>
        <w:pStyle w:val="TableHeadingRow"/>
        <w:jc w:val="left"/>
        <w:rPr>
          <w:rFonts w:ascii="Arial Narrow" w:hAnsi="Arial Narrow" w:cs="Arial"/>
          <w:bCs/>
          <w:snapToGrid w:val="0"/>
          <w:color w:val="000000" w:themeColor="text1"/>
          <w:lang w:eastAsia="en-AU"/>
        </w:rPr>
      </w:pPr>
      <w:r w:rsidRPr="008E3F1A">
        <w:rPr>
          <w:rFonts w:ascii="Arial Narrow" w:hAnsi="Arial Narrow" w:cs="Arial"/>
          <w:bCs/>
          <w:snapToGrid w:val="0"/>
          <w:color w:val="000000" w:themeColor="text1"/>
          <w:lang w:eastAsia="en-AU"/>
        </w:rPr>
        <w:lastRenderedPageBreak/>
        <w:t>Figure 7. Convergence of OS from Year 5 to Year 20</w:t>
      </w:r>
    </w:p>
    <w:p w:rsidR="00994EAC" w:rsidRPr="008E3F1A" w:rsidRDefault="00994EAC" w:rsidP="00994EAC">
      <w:pPr>
        <w:pStyle w:val="3-BodyText"/>
        <w:numPr>
          <w:ilvl w:val="0"/>
          <w:numId w:val="0"/>
        </w:numPr>
        <w:rPr>
          <w:i/>
          <w:color w:val="000000" w:themeColor="text1"/>
        </w:rPr>
      </w:pPr>
      <w:r w:rsidRPr="008E3F1A">
        <w:rPr>
          <w:noProof/>
        </w:rPr>
        <w:drawing>
          <wp:inline distT="0" distB="0" distL="0" distR="0" wp14:anchorId="0388A468" wp14:editId="6F7AB3AF">
            <wp:extent cx="5732145" cy="2838634"/>
            <wp:effectExtent l="0" t="0" r="1905" b="0"/>
            <wp:docPr id="8" name="Picture 8" title="Figure 7. Convergence of OS from Year 5 to Year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2145" cy="2838634"/>
                    </a:xfrm>
                    <a:prstGeom prst="rect">
                      <a:avLst/>
                    </a:prstGeom>
                  </pic:spPr>
                </pic:pic>
              </a:graphicData>
            </a:graphic>
          </wp:inline>
        </w:drawing>
      </w:r>
    </w:p>
    <w:p w:rsidR="00994EAC" w:rsidRPr="008E3F1A" w:rsidRDefault="00994EAC" w:rsidP="00994EAC">
      <w:pPr>
        <w:pStyle w:val="3-BodyText"/>
        <w:numPr>
          <w:ilvl w:val="0"/>
          <w:numId w:val="0"/>
        </w:numPr>
        <w:rPr>
          <w:rFonts w:ascii="Calibri" w:hAnsi="Calibri"/>
          <w:iCs/>
          <w:snapToGrid/>
          <w:sz w:val="18"/>
          <w:szCs w:val="18"/>
        </w:rPr>
      </w:pPr>
      <w:r w:rsidRPr="008E3F1A">
        <w:rPr>
          <w:rFonts w:ascii="Calibri" w:hAnsi="Calibri"/>
          <w:iCs/>
          <w:snapToGrid/>
          <w:sz w:val="18"/>
          <w:szCs w:val="18"/>
        </w:rPr>
        <w:t>Source: Figure 3, p4, PSCR</w:t>
      </w:r>
    </w:p>
    <w:p w:rsidR="00994EAC" w:rsidRPr="008E3F1A" w:rsidRDefault="00994EAC" w:rsidP="00994EAC">
      <w:pPr>
        <w:pStyle w:val="3-BodyText"/>
        <w:numPr>
          <w:ilvl w:val="0"/>
          <w:numId w:val="0"/>
        </w:numPr>
        <w:rPr>
          <w:rFonts w:ascii="Calibri" w:hAnsi="Calibri"/>
          <w:i/>
          <w:iCs/>
          <w:snapToGrid/>
          <w:sz w:val="18"/>
          <w:szCs w:val="18"/>
        </w:rPr>
      </w:pPr>
    </w:p>
    <w:p w:rsidR="00F41B08" w:rsidRPr="008E3F1A" w:rsidRDefault="00F436E3" w:rsidP="00613368">
      <w:pPr>
        <w:pStyle w:val="3-BodyText"/>
        <w:rPr>
          <w:color w:val="000000" w:themeColor="text1"/>
        </w:rPr>
      </w:pPr>
      <w:r w:rsidRPr="008E3F1A">
        <w:rPr>
          <w:color w:val="000000" w:themeColor="text1"/>
        </w:rPr>
        <w:t xml:space="preserve">For each </w:t>
      </w:r>
      <w:r w:rsidR="00CD4DFE" w:rsidRPr="008E3F1A">
        <w:rPr>
          <w:color w:val="000000" w:themeColor="text1"/>
        </w:rPr>
        <w:t>treatment</w:t>
      </w:r>
      <w:r w:rsidRPr="008E3F1A">
        <w:rPr>
          <w:color w:val="000000" w:themeColor="text1"/>
        </w:rPr>
        <w:t xml:space="preserve"> arm, PFS and OS w</w:t>
      </w:r>
      <w:r w:rsidR="00CD4DFE" w:rsidRPr="008E3F1A">
        <w:rPr>
          <w:color w:val="000000" w:themeColor="text1"/>
        </w:rPr>
        <w:t>e</w:t>
      </w:r>
      <w:r w:rsidRPr="008E3F1A">
        <w:rPr>
          <w:color w:val="000000" w:themeColor="text1"/>
        </w:rPr>
        <w:t>re extrapolated out to 45 years</w:t>
      </w:r>
      <w:r w:rsidR="00CD4DFE" w:rsidRPr="008E3F1A">
        <w:rPr>
          <w:color w:val="000000" w:themeColor="text1"/>
        </w:rPr>
        <w:t>. The submission justified the 45</w:t>
      </w:r>
      <w:r w:rsidR="00323BCE" w:rsidRPr="008E3F1A">
        <w:rPr>
          <w:color w:val="000000" w:themeColor="text1"/>
        </w:rPr>
        <w:t xml:space="preserve"> </w:t>
      </w:r>
      <w:r w:rsidR="00CD4DFE" w:rsidRPr="008E3F1A">
        <w:rPr>
          <w:color w:val="000000" w:themeColor="text1"/>
        </w:rPr>
        <w:t>year time horizon for the base case</w:t>
      </w:r>
      <w:r w:rsidR="00DF0E01" w:rsidRPr="008E3F1A">
        <w:rPr>
          <w:color w:val="000000" w:themeColor="text1"/>
        </w:rPr>
        <w:t xml:space="preserve"> on the</w:t>
      </w:r>
      <w:r w:rsidR="00613368" w:rsidRPr="008E3F1A">
        <w:rPr>
          <w:color w:val="000000" w:themeColor="text1"/>
        </w:rPr>
        <w:t xml:space="preserve"> following</w:t>
      </w:r>
      <w:r w:rsidR="00DF0E01" w:rsidRPr="008E3F1A">
        <w:rPr>
          <w:color w:val="000000" w:themeColor="text1"/>
        </w:rPr>
        <w:t xml:space="preserve"> basis</w:t>
      </w:r>
      <w:r w:rsidR="00613368" w:rsidRPr="008E3F1A">
        <w:rPr>
          <w:color w:val="000000" w:themeColor="text1"/>
        </w:rPr>
        <w:t>:</w:t>
      </w:r>
    </w:p>
    <w:p w:rsidR="00F41B08" w:rsidRPr="008E3F1A" w:rsidRDefault="00C07D03" w:rsidP="002C7FEE">
      <w:pPr>
        <w:pStyle w:val="3-BodyText"/>
        <w:numPr>
          <w:ilvl w:val="0"/>
          <w:numId w:val="3"/>
        </w:numPr>
        <w:ind w:left="1134"/>
        <w:rPr>
          <w:color w:val="000000" w:themeColor="text1"/>
        </w:rPr>
      </w:pPr>
      <w:r w:rsidRPr="008E3F1A">
        <w:rPr>
          <w:color w:val="000000" w:themeColor="text1"/>
        </w:rPr>
        <w:t xml:space="preserve">BV being associated with improved survival </w:t>
      </w:r>
      <w:r w:rsidR="004D65BA" w:rsidRPr="008E3F1A">
        <w:rPr>
          <w:color w:val="000000" w:themeColor="text1"/>
        </w:rPr>
        <w:t>and</w:t>
      </w:r>
      <w:r w:rsidRPr="008E3F1A">
        <w:rPr>
          <w:color w:val="000000" w:themeColor="text1"/>
        </w:rPr>
        <w:t xml:space="preserve"> quality of life over the lifetime of the individual</w:t>
      </w:r>
      <w:r w:rsidR="00613368" w:rsidRPr="008E3F1A">
        <w:rPr>
          <w:color w:val="000000" w:themeColor="text1"/>
        </w:rPr>
        <w:t xml:space="preserve">. </w:t>
      </w:r>
    </w:p>
    <w:p w:rsidR="00613368" w:rsidRPr="008E3F1A" w:rsidRDefault="00613368" w:rsidP="002C7FEE">
      <w:pPr>
        <w:pStyle w:val="3-BodyText"/>
        <w:numPr>
          <w:ilvl w:val="0"/>
          <w:numId w:val="3"/>
        </w:numPr>
        <w:ind w:left="1134"/>
        <w:rPr>
          <w:color w:val="000000" w:themeColor="text1"/>
        </w:rPr>
      </w:pPr>
      <w:r w:rsidRPr="008E3F1A">
        <w:rPr>
          <w:color w:val="000000" w:themeColor="text1"/>
        </w:rPr>
        <w:t xml:space="preserve">At the 42-month follow-up point of ECHELON-2, 76% of patients in the BV treatment arm were still alive, of which 52% remained progression-free. </w:t>
      </w:r>
      <w:r w:rsidRPr="008E3F1A">
        <w:rPr>
          <w:iCs/>
          <w:color w:val="000000" w:themeColor="text1"/>
        </w:rPr>
        <w:t>The submission did not justify why it believed extrapolation to a lifetime horizon was justified on the basis of these data from ECHELON-2.</w:t>
      </w:r>
    </w:p>
    <w:p w:rsidR="003E5557" w:rsidRPr="008E3F1A" w:rsidRDefault="002F6B75" w:rsidP="00D003A2">
      <w:pPr>
        <w:pStyle w:val="3-BodyText"/>
        <w:numPr>
          <w:ilvl w:val="0"/>
          <w:numId w:val="3"/>
        </w:numPr>
        <w:ind w:left="1134"/>
        <w:rPr>
          <w:color w:val="000000" w:themeColor="text1"/>
        </w:rPr>
      </w:pPr>
      <w:r w:rsidRPr="008E3F1A">
        <w:rPr>
          <w:color w:val="000000" w:themeColor="text1"/>
        </w:rPr>
        <w:t>T</w:t>
      </w:r>
      <w:r w:rsidR="00056D58" w:rsidRPr="008E3F1A">
        <w:rPr>
          <w:color w:val="000000" w:themeColor="text1"/>
        </w:rPr>
        <w:t xml:space="preserve">wo published economic models from </w:t>
      </w:r>
      <w:r w:rsidRPr="008E3F1A">
        <w:rPr>
          <w:color w:val="000000" w:themeColor="text1"/>
        </w:rPr>
        <w:t xml:space="preserve">the </w:t>
      </w:r>
      <w:r w:rsidR="00056D58" w:rsidRPr="008E3F1A">
        <w:rPr>
          <w:color w:val="000000" w:themeColor="text1"/>
        </w:rPr>
        <w:t xml:space="preserve">US and Canada </w:t>
      </w:r>
      <w:r w:rsidRPr="008E3F1A">
        <w:rPr>
          <w:color w:val="000000" w:themeColor="text1"/>
        </w:rPr>
        <w:t xml:space="preserve">which </w:t>
      </w:r>
      <w:r w:rsidR="00056D58" w:rsidRPr="008E3F1A">
        <w:rPr>
          <w:color w:val="000000" w:themeColor="text1"/>
        </w:rPr>
        <w:t>use</w:t>
      </w:r>
      <w:r w:rsidRPr="008E3F1A">
        <w:rPr>
          <w:color w:val="000000" w:themeColor="text1"/>
        </w:rPr>
        <w:t>d</w:t>
      </w:r>
      <w:r w:rsidR="00056D58" w:rsidRPr="008E3F1A">
        <w:rPr>
          <w:color w:val="000000" w:themeColor="text1"/>
        </w:rPr>
        <w:t xml:space="preserve"> similar time horizons (life-time horizons).</w:t>
      </w:r>
    </w:p>
    <w:p w:rsidR="00256200" w:rsidRPr="008E3F1A" w:rsidRDefault="00256200" w:rsidP="00256200">
      <w:pPr>
        <w:pStyle w:val="3-BodyText"/>
        <w:rPr>
          <w:color w:val="000000" w:themeColor="text1"/>
        </w:rPr>
      </w:pPr>
      <w:r w:rsidRPr="008E3F1A">
        <w:rPr>
          <w:color w:val="000000" w:themeColor="text1"/>
        </w:rPr>
        <w:t xml:space="preserve">The submission incorporated additional aspects of survival into the model by including increased mortality associated with PTCL and adjusting survival for background mortality based on the Australian population. </w:t>
      </w:r>
      <w:r w:rsidRPr="008E3F1A">
        <w:rPr>
          <w:iCs/>
          <w:color w:val="000000" w:themeColor="text1"/>
        </w:rPr>
        <w:t>Application of these factors resulted in the estimated proportion of patients alive at 45 years, the end of the model time horizon, decreasing from approximately 40% (log-normal extrapolation) in the BV+CHP arm and 20% (log-normal extrapolation) in the CHOP arm to 2% and 1%, respectively. While the end result of the proportion of patients alive might be reasonable, it relies on the application of external adjustment factors that do not reflect the treatment effects of BV+CHP or its comparator.</w:t>
      </w:r>
      <w:r w:rsidRPr="008E3F1A">
        <w:rPr>
          <w:color w:val="000000" w:themeColor="text1"/>
        </w:rPr>
        <w:t xml:space="preserve"> </w:t>
      </w:r>
      <w:r w:rsidR="009641F1" w:rsidRPr="008E3F1A">
        <w:rPr>
          <w:color w:val="000000" w:themeColor="text1"/>
        </w:rPr>
        <w:t xml:space="preserve">The ESC noted that the median age of patients in ECHELON-2 was 58 years </w:t>
      </w:r>
      <w:r w:rsidR="00C45170" w:rsidRPr="008E3F1A">
        <w:rPr>
          <w:color w:val="000000" w:themeColor="text1"/>
        </w:rPr>
        <w:t xml:space="preserve">and with the 45 year time horizon the median age patient would be followed to 103 years. </w:t>
      </w:r>
      <w:r w:rsidR="009641F1" w:rsidRPr="008E3F1A">
        <w:rPr>
          <w:color w:val="000000" w:themeColor="text1"/>
        </w:rPr>
        <w:t xml:space="preserve">The ESC considered that this </w:t>
      </w:r>
      <w:r w:rsidR="009641F1" w:rsidRPr="008E3F1A">
        <w:rPr>
          <w:color w:val="000000" w:themeColor="text1"/>
        </w:rPr>
        <w:lastRenderedPageBreak/>
        <w:t xml:space="preserve">is </w:t>
      </w:r>
      <w:r w:rsidR="009641F1" w:rsidRPr="008E3F1A">
        <w:rPr>
          <w:iCs/>
          <w:color w:val="000000" w:themeColor="text1"/>
        </w:rPr>
        <w:t>not justified in the setting of CD30</w:t>
      </w:r>
      <w:r w:rsidR="006A6406" w:rsidRPr="008E3F1A">
        <w:rPr>
          <w:iCs/>
          <w:color w:val="000000" w:themeColor="text1"/>
        </w:rPr>
        <w:t xml:space="preserve"> </w:t>
      </w:r>
      <w:r w:rsidR="009641F1" w:rsidRPr="008E3F1A">
        <w:rPr>
          <w:iCs/>
          <w:color w:val="000000" w:themeColor="text1"/>
        </w:rPr>
        <w:t>positive PTCL, which, as an aggressive lymphoid neoplasm, often presents in the advanced stages.</w:t>
      </w:r>
      <w:r w:rsidR="00323BCE" w:rsidRPr="008E3F1A">
        <w:rPr>
          <w:iCs/>
          <w:color w:val="000000" w:themeColor="text1"/>
        </w:rPr>
        <w:t xml:space="preserve"> </w:t>
      </w:r>
    </w:p>
    <w:p w:rsidR="00B63EE7" w:rsidRPr="008E3F1A" w:rsidRDefault="0006498D" w:rsidP="00423216">
      <w:pPr>
        <w:pStyle w:val="3-BodyText"/>
      </w:pPr>
      <w:r w:rsidRPr="008E3F1A">
        <w:t>Univariate sensitivity analyses presented in the submission show the impact on the ICER for time horizons of 3.5, 10, 20 and 30 years</w:t>
      </w:r>
      <w:r w:rsidR="002F6B75" w:rsidRPr="008E3F1A">
        <w:t xml:space="preserve"> (see </w:t>
      </w:r>
      <w:r w:rsidRPr="008E3F1A">
        <w:t>Figure </w:t>
      </w:r>
      <w:r w:rsidR="00994EAC" w:rsidRPr="008E3F1A">
        <w:t>8</w:t>
      </w:r>
      <w:r w:rsidR="002F6B75" w:rsidRPr="008E3F1A">
        <w:t>)</w:t>
      </w:r>
      <w:r w:rsidRPr="008E3F1A">
        <w:t>. Th</w:t>
      </w:r>
      <w:r w:rsidR="002F6B75" w:rsidRPr="008E3F1A">
        <w:t>e</w:t>
      </w:r>
      <w:r w:rsidRPr="008E3F1A">
        <w:t>s</w:t>
      </w:r>
      <w:r w:rsidR="002F6B75" w:rsidRPr="008E3F1A">
        <w:t>e analyses</w:t>
      </w:r>
      <w:r w:rsidRPr="008E3F1A">
        <w:t xml:space="preserve"> show that the ICER becomes relatively stable at approximately twenty years. Approximately 5.84/7.96 (73%) of the QALYs gained and </w:t>
      </w:r>
      <w:r w:rsidR="00423216">
        <w:rPr>
          <w:color w:val="000000" w:themeColor="text1"/>
        </w:rPr>
        <w:t>$5,000 to &lt; $15,000</w:t>
      </w:r>
      <w:r w:rsidRPr="008E3F1A">
        <w:t>/</w:t>
      </w:r>
      <w:r w:rsidR="00423216" w:rsidRPr="00423216">
        <w:t>$135,000 to &lt; $155,000</w:t>
      </w:r>
      <w:r w:rsidR="00423216">
        <w:t xml:space="preserve"> </w:t>
      </w:r>
      <w:r w:rsidRPr="008E3F1A">
        <w:t xml:space="preserve">(8.9%) of the costs incurred in the BV+CHP arm were accumulated over the extrapolation period (from 42 months to 45 years). For the CHOP arm, 4.53/6.48 (69.9%) of the QALYs gained and </w:t>
      </w:r>
      <w:r w:rsidR="00423216">
        <w:rPr>
          <w:color w:val="000000" w:themeColor="text1"/>
        </w:rPr>
        <w:t>$5,000 to &lt; $15,000</w:t>
      </w:r>
      <w:r w:rsidRPr="008E3F1A">
        <w:t>/</w:t>
      </w:r>
      <w:r w:rsidR="00423216" w:rsidRPr="00423216">
        <w:t xml:space="preserve">$95,000 to &lt; $115,000 </w:t>
      </w:r>
      <w:r w:rsidRPr="008E3F1A">
        <w:t>(14.7%) of the costs incurred were accumulated over the extrapolation period.</w:t>
      </w:r>
      <w:r w:rsidR="00233211" w:rsidRPr="008E3F1A">
        <w:t xml:space="preserve"> </w:t>
      </w:r>
      <w:r w:rsidR="00596F0C" w:rsidRPr="008E3F1A">
        <w:t>The ESC considered that, given the potential immaturity of the OS data (median not yet reached at 42 months), the</w:t>
      </w:r>
      <w:r w:rsidR="00E67289" w:rsidRPr="008E3F1A">
        <w:t xml:space="preserve"> use of a shorter time horizon wa</w:t>
      </w:r>
      <w:r w:rsidR="00596F0C" w:rsidRPr="008E3F1A">
        <w:t xml:space="preserve">s more </w:t>
      </w:r>
      <w:r w:rsidR="007D4FB2" w:rsidRPr="008E3F1A">
        <w:t>appropriate</w:t>
      </w:r>
      <w:r w:rsidR="00596F0C" w:rsidRPr="008E3F1A">
        <w:t xml:space="preserve"> than a 45</w:t>
      </w:r>
      <w:r w:rsidR="00323BCE" w:rsidRPr="008E3F1A">
        <w:t xml:space="preserve"> </w:t>
      </w:r>
      <w:r w:rsidR="00596F0C" w:rsidRPr="008E3F1A">
        <w:t xml:space="preserve">year </w:t>
      </w:r>
      <w:r w:rsidR="002B4726" w:rsidRPr="008E3F1A">
        <w:t xml:space="preserve">time </w:t>
      </w:r>
      <w:r w:rsidR="00596F0C" w:rsidRPr="008E3F1A">
        <w:t xml:space="preserve">horizon. </w:t>
      </w:r>
    </w:p>
    <w:p w:rsidR="00F44B77" w:rsidRPr="008E3F1A" w:rsidRDefault="00F44B77" w:rsidP="00F44B77">
      <w:pPr>
        <w:keepNext/>
        <w:rPr>
          <w:rFonts w:ascii="Arial Narrow" w:hAnsi="Arial Narrow"/>
          <w:b/>
          <w:bCs/>
          <w:sz w:val="20"/>
          <w:szCs w:val="20"/>
        </w:rPr>
      </w:pPr>
      <w:r w:rsidRPr="008E3F1A">
        <w:rPr>
          <w:rFonts w:ascii="Arial Narrow" w:hAnsi="Arial Narrow"/>
          <w:b/>
          <w:bCs/>
          <w:sz w:val="20"/>
          <w:szCs w:val="20"/>
        </w:rPr>
        <w:t xml:space="preserve">Figure </w:t>
      </w:r>
      <w:r w:rsidR="00994EAC" w:rsidRPr="008E3F1A">
        <w:rPr>
          <w:rFonts w:ascii="Arial Narrow" w:hAnsi="Arial Narrow"/>
          <w:b/>
          <w:bCs/>
          <w:sz w:val="20"/>
          <w:szCs w:val="20"/>
        </w:rPr>
        <w:t>8</w:t>
      </w:r>
      <w:r w:rsidRPr="008E3F1A">
        <w:rPr>
          <w:rFonts w:ascii="Arial Narrow" w:hAnsi="Arial Narrow"/>
          <w:b/>
          <w:bCs/>
          <w:sz w:val="20"/>
          <w:szCs w:val="20"/>
        </w:rPr>
        <w:t>: ICER and time horizon, BV+CHP vs CHOP</w:t>
      </w:r>
    </w:p>
    <w:p w:rsidR="00F44B77" w:rsidRPr="008E3F1A" w:rsidRDefault="00F44B77" w:rsidP="00F44B77">
      <w:r w:rsidRPr="008E3F1A">
        <w:rPr>
          <w:noProof/>
        </w:rPr>
        <w:drawing>
          <wp:inline distT="0" distB="0" distL="0" distR="0" wp14:anchorId="72596ECB" wp14:editId="6BFC6385">
            <wp:extent cx="4584700" cy="2755900"/>
            <wp:effectExtent l="0" t="0" r="6350" b="6350"/>
            <wp:docPr id="240" name="Picture 240" title="Figure 8: ICER and time horizon, BV+CHP vs CH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F44B77" w:rsidRPr="008E3F1A" w:rsidRDefault="00F44B77" w:rsidP="00F44B77">
      <w:pPr>
        <w:pStyle w:val="TableFigureFooter"/>
      </w:pPr>
      <w:r w:rsidRPr="008E3F1A">
        <w:t>Source: compiled during evaluation using results in sensitivity analysis of Section 3 in the submission.</w:t>
      </w:r>
    </w:p>
    <w:p w:rsidR="00F44B77" w:rsidRPr="008E3F1A" w:rsidRDefault="00F44B77" w:rsidP="00CA51FA">
      <w:pPr>
        <w:pStyle w:val="TableFigureFooter"/>
      </w:pPr>
      <w:r w:rsidRPr="008E3F1A">
        <w:t>ICER = incremental cost-effectiveness ratio; QALY = quality adjusted life years.</w:t>
      </w:r>
    </w:p>
    <w:p w:rsidR="00275C5A" w:rsidRPr="008E3F1A" w:rsidRDefault="009B1A63" w:rsidP="001C2515">
      <w:pPr>
        <w:pStyle w:val="3-BodyText"/>
      </w:pPr>
      <w:r w:rsidRPr="008E3F1A">
        <w:t xml:space="preserve">A summary of key drivers of the economic model is shown in Table </w:t>
      </w:r>
      <w:r w:rsidR="00C00747" w:rsidRPr="008E3F1A">
        <w:t>10</w:t>
      </w:r>
      <w:r w:rsidRPr="008E3F1A">
        <w:t xml:space="preserve">. </w:t>
      </w:r>
      <w:r w:rsidRPr="008E3F1A">
        <w:rPr>
          <w:iCs/>
        </w:rPr>
        <w:t xml:space="preserve">The key relevant drivers with an impact on the ICER of more than 10% included the time horizon, </w:t>
      </w:r>
      <w:r w:rsidR="00AF6E64" w:rsidRPr="008E3F1A">
        <w:rPr>
          <w:iCs/>
        </w:rPr>
        <w:t xml:space="preserve">the treatment effect, </w:t>
      </w:r>
      <w:r w:rsidRPr="008E3F1A">
        <w:rPr>
          <w:iCs/>
        </w:rPr>
        <w:t xml:space="preserve">the </w:t>
      </w:r>
      <w:r w:rsidR="00425CE1" w:rsidRPr="008E3F1A">
        <w:rPr>
          <w:iCs/>
        </w:rPr>
        <w:t>use of extrapolation curve</w:t>
      </w:r>
      <w:r w:rsidR="00CA51FA" w:rsidRPr="008E3F1A">
        <w:rPr>
          <w:iCs/>
        </w:rPr>
        <w:t>s</w:t>
      </w:r>
      <w:r w:rsidR="00425CE1" w:rsidRPr="008E3F1A">
        <w:rPr>
          <w:iCs/>
        </w:rPr>
        <w:t xml:space="preserve"> from the start of the time period, patient time on treatment</w:t>
      </w:r>
      <w:r w:rsidR="00341167" w:rsidRPr="008E3F1A">
        <w:rPr>
          <w:iCs/>
        </w:rPr>
        <w:t xml:space="preserve">, and assumption of </w:t>
      </w:r>
      <w:r w:rsidR="0075704D" w:rsidRPr="008E3F1A">
        <w:rPr>
          <w:iCs/>
        </w:rPr>
        <w:t>treatment with BV regiment in second-line</w:t>
      </w:r>
      <w:r w:rsidR="00425CE1" w:rsidRPr="008E3F1A">
        <w:rPr>
          <w:iCs/>
        </w:rPr>
        <w:t>.</w:t>
      </w:r>
    </w:p>
    <w:p w:rsidR="00D110BD" w:rsidRPr="008E3F1A" w:rsidRDefault="00D110BD" w:rsidP="00BB00B3">
      <w:pPr>
        <w:pStyle w:val="TableFigureHeading"/>
        <w:rPr>
          <w:rStyle w:val="CommentReference"/>
          <w:b/>
          <w:szCs w:val="24"/>
        </w:rPr>
      </w:pPr>
      <w:r w:rsidRPr="008E3F1A">
        <w:rPr>
          <w:rStyle w:val="CommentReference"/>
          <w:b/>
          <w:szCs w:val="24"/>
        </w:rPr>
        <w:lastRenderedPageBreak/>
        <w:t xml:space="preserve">Table </w:t>
      </w:r>
      <w:r w:rsidR="00C00747" w:rsidRPr="008E3F1A">
        <w:rPr>
          <w:rStyle w:val="CommentReference"/>
          <w:b/>
          <w:szCs w:val="24"/>
        </w:rPr>
        <w:t>10</w:t>
      </w:r>
      <w:r w:rsidRPr="008E3F1A">
        <w:rPr>
          <w:rStyle w:val="CommentReference"/>
          <w:b/>
          <w:szCs w:val="24"/>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3120"/>
        <w:gridCol w:w="4768"/>
      </w:tblGrid>
      <w:tr w:rsidR="00537182" w:rsidRPr="008E3F1A" w:rsidTr="00CA51FA">
        <w:trPr>
          <w:tblHeader/>
        </w:trPr>
        <w:tc>
          <w:tcPr>
            <w:tcW w:w="626" w:type="pct"/>
            <w:shd w:val="clear" w:color="auto" w:fill="auto"/>
            <w:vAlign w:val="center"/>
          </w:tcPr>
          <w:p w:rsidR="00D110BD" w:rsidRPr="008E3F1A" w:rsidRDefault="00D110BD" w:rsidP="00BB00B3">
            <w:pPr>
              <w:pStyle w:val="In-tableHeading"/>
              <w:jc w:val="center"/>
              <w:rPr>
                <w:lang w:val="en-AU"/>
              </w:rPr>
            </w:pPr>
            <w:r w:rsidRPr="008E3F1A">
              <w:rPr>
                <w:lang w:val="en-AU"/>
              </w:rPr>
              <w:t>Description</w:t>
            </w:r>
          </w:p>
        </w:tc>
        <w:tc>
          <w:tcPr>
            <w:tcW w:w="1730" w:type="pct"/>
            <w:shd w:val="clear" w:color="auto" w:fill="auto"/>
            <w:vAlign w:val="center"/>
          </w:tcPr>
          <w:p w:rsidR="00D110BD" w:rsidRPr="008E3F1A" w:rsidRDefault="00D110BD" w:rsidP="000A7453">
            <w:pPr>
              <w:pStyle w:val="In-tableHeading"/>
              <w:jc w:val="center"/>
              <w:rPr>
                <w:lang w:val="en-AU"/>
              </w:rPr>
            </w:pPr>
            <w:r w:rsidRPr="008E3F1A">
              <w:rPr>
                <w:lang w:val="en-AU"/>
              </w:rPr>
              <w:t>Method/Value</w:t>
            </w:r>
          </w:p>
        </w:tc>
        <w:tc>
          <w:tcPr>
            <w:tcW w:w="2644" w:type="pct"/>
            <w:shd w:val="clear" w:color="auto" w:fill="auto"/>
            <w:vAlign w:val="center"/>
          </w:tcPr>
          <w:p w:rsidR="00D110BD" w:rsidRPr="008E3F1A" w:rsidRDefault="00D110BD" w:rsidP="000A7453">
            <w:pPr>
              <w:pStyle w:val="In-tableHeading"/>
              <w:jc w:val="center"/>
              <w:rPr>
                <w:lang w:val="en-AU"/>
              </w:rPr>
            </w:pPr>
            <w:r w:rsidRPr="008E3F1A">
              <w:rPr>
                <w:lang w:val="en-AU"/>
              </w:rPr>
              <w:t>Impact</w:t>
            </w:r>
          </w:p>
          <w:p w:rsidR="00490B17" w:rsidRPr="008E3F1A" w:rsidRDefault="00490B17" w:rsidP="000A7453">
            <w:pPr>
              <w:pStyle w:val="In-tableHeading"/>
              <w:jc w:val="center"/>
              <w:rPr>
                <w:lang w:val="en-AU"/>
              </w:rPr>
            </w:pPr>
            <w:r w:rsidRPr="008E3F1A">
              <w:rPr>
                <w:rFonts w:cs="Arial"/>
                <w:szCs w:val="20"/>
                <w:lang w:val="en-AU"/>
              </w:rPr>
              <w:t xml:space="preserve">Base case: </w:t>
            </w:r>
            <w:r w:rsidR="00166EF0" w:rsidRPr="008E3F1A">
              <w:rPr>
                <w:bCs/>
                <w:szCs w:val="20"/>
                <w:lang w:val="en-AU"/>
              </w:rPr>
              <w:t>$</w:t>
            </w:r>
            <w:r w:rsidR="003F2520">
              <w:rPr>
                <w:bCs/>
                <w:noProof/>
                <w:color w:val="000000"/>
                <w:szCs w:val="20"/>
                <w:highlight w:val="black"/>
                <w:lang w:val="en-AU"/>
              </w:rPr>
              <w:t>'''''''''''''''</w:t>
            </w:r>
            <w:r w:rsidR="00423216">
              <w:rPr>
                <w:vertAlign w:val="superscript"/>
              </w:rPr>
              <w:t>1</w:t>
            </w:r>
            <w:r w:rsidRPr="008E3F1A">
              <w:rPr>
                <w:rFonts w:cs="Arial"/>
                <w:szCs w:val="20"/>
                <w:lang w:val="en-AU"/>
              </w:rPr>
              <w:t>/QALY gained</w:t>
            </w:r>
            <w:r w:rsidR="00354F64" w:rsidRPr="008E3F1A">
              <w:rPr>
                <w:rFonts w:cs="Arial"/>
                <w:color w:val="3366FF"/>
                <w:szCs w:val="20"/>
                <w:lang w:val="en-AU"/>
              </w:rPr>
              <w:t>.</w:t>
            </w:r>
          </w:p>
        </w:tc>
      </w:tr>
      <w:tr w:rsidR="00537182" w:rsidRPr="008E3F1A" w:rsidTr="00CA51FA">
        <w:tc>
          <w:tcPr>
            <w:tcW w:w="626" w:type="pct"/>
            <w:shd w:val="clear" w:color="auto" w:fill="auto"/>
            <w:vAlign w:val="center"/>
          </w:tcPr>
          <w:p w:rsidR="00D110BD" w:rsidRPr="008E3F1A" w:rsidRDefault="0069306B" w:rsidP="00BB00B3">
            <w:pPr>
              <w:pStyle w:val="TableText0"/>
              <w:jc w:val="center"/>
            </w:pPr>
            <w:r w:rsidRPr="008E3F1A">
              <w:t>Time horizon</w:t>
            </w:r>
          </w:p>
        </w:tc>
        <w:tc>
          <w:tcPr>
            <w:tcW w:w="1730" w:type="pct"/>
            <w:shd w:val="clear" w:color="auto" w:fill="auto"/>
            <w:vAlign w:val="center"/>
          </w:tcPr>
          <w:p w:rsidR="00D110BD" w:rsidRPr="00423216" w:rsidRDefault="009752AE" w:rsidP="00423216">
            <w:pPr>
              <w:pStyle w:val="TableText0"/>
              <w:rPr>
                <w:vertAlign w:val="superscript"/>
              </w:rPr>
            </w:pPr>
            <w:r w:rsidRPr="008E3F1A">
              <w:t>EC</w:t>
            </w:r>
            <w:r w:rsidR="002C7066" w:rsidRPr="008E3F1A">
              <w:t>H</w:t>
            </w:r>
            <w:r w:rsidRPr="008E3F1A">
              <w:t xml:space="preserve">ELON-2 data </w:t>
            </w:r>
            <w:r w:rsidR="002C7066" w:rsidRPr="008E3F1A">
              <w:t>extrapolated from 42 months to 45 years</w:t>
            </w:r>
          </w:p>
        </w:tc>
        <w:tc>
          <w:tcPr>
            <w:tcW w:w="2644" w:type="pct"/>
            <w:shd w:val="clear" w:color="auto" w:fill="auto"/>
            <w:vAlign w:val="center"/>
          </w:tcPr>
          <w:p w:rsidR="00D110BD" w:rsidRPr="008E3F1A" w:rsidRDefault="00537182" w:rsidP="008D743C">
            <w:pPr>
              <w:pStyle w:val="TableText0"/>
            </w:pPr>
            <w:r w:rsidRPr="008E3F1A">
              <w:t xml:space="preserve">High, favours </w:t>
            </w:r>
            <w:r w:rsidR="00675EAD" w:rsidRPr="008E3F1A">
              <w:t>BV+CHP</w:t>
            </w:r>
          </w:p>
          <w:p w:rsidR="000571AA" w:rsidRPr="008E3F1A" w:rsidRDefault="00466D1C" w:rsidP="008D743C">
            <w:pPr>
              <w:pStyle w:val="TableText0"/>
              <w:rPr>
                <w:szCs w:val="20"/>
              </w:rPr>
            </w:pPr>
            <w:r w:rsidRPr="008E3F1A">
              <w:t xml:space="preserve">ICER: </w:t>
            </w:r>
            <w:r w:rsidR="000571AA" w:rsidRPr="008E3F1A">
              <w:rPr>
                <w:szCs w:val="20"/>
              </w:rPr>
              <w:t>$</w:t>
            </w:r>
            <w:r w:rsidR="003F2520">
              <w:rPr>
                <w:noProof/>
                <w:color w:val="000000"/>
                <w:szCs w:val="20"/>
                <w:highlight w:val="black"/>
              </w:rPr>
              <w:t>''''''''''''''''''''</w:t>
            </w:r>
            <w:r w:rsidR="00423216">
              <w:rPr>
                <w:vertAlign w:val="superscript"/>
              </w:rPr>
              <w:t>2</w:t>
            </w:r>
            <w:r w:rsidR="000571AA" w:rsidRPr="008E3F1A">
              <w:rPr>
                <w:szCs w:val="20"/>
              </w:rPr>
              <w:t xml:space="preserve"> for 42 months trial base</w:t>
            </w:r>
            <w:r w:rsidR="00320ACC" w:rsidRPr="008E3F1A">
              <w:rPr>
                <w:szCs w:val="20"/>
              </w:rPr>
              <w:t>d.</w:t>
            </w:r>
          </w:p>
          <w:p w:rsidR="00320ACC" w:rsidRPr="008E3F1A" w:rsidRDefault="00320ACC" w:rsidP="008D743C">
            <w:pPr>
              <w:pStyle w:val="TableText0"/>
              <w:rPr>
                <w:szCs w:val="20"/>
              </w:rPr>
            </w:pPr>
            <w:r w:rsidRPr="008E3F1A">
              <w:rPr>
                <w:szCs w:val="20"/>
              </w:rPr>
              <w:t>ICER: $</w:t>
            </w:r>
            <w:r w:rsidR="003F2520">
              <w:rPr>
                <w:noProof/>
                <w:color w:val="000000"/>
                <w:szCs w:val="20"/>
                <w:highlight w:val="black"/>
              </w:rPr>
              <w:t>''''''''''''''''</w:t>
            </w:r>
            <w:r w:rsidR="00423216">
              <w:rPr>
                <w:vertAlign w:val="superscript"/>
              </w:rPr>
              <w:t>3</w:t>
            </w:r>
            <w:r w:rsidRPr="00423216">
              <w:rPr>
                <w:szCs w:val="20"/>
              </w:rPr>
              <w:t xml:space="preserve"> </w:t>
            </w:r>
            <w:r w:rsidRPr="008E3F1A">
              <w:rPr>
                <w:szCs w:val="20"/>
              </w:rPr>
              <w:t>for 10 years</w:t>
            </w:r>
          </w:p>
          <w:p w:rsidR="00320ACC" w:rsidRPr="008E3F1A" w:rsidRDefault="002A19AF" w:rsidP="008D743C">
            <w:pPr>
              <w:pStyle w:val="TableText0"/>
              <w:rPr>
                <w:szCs w:val="20"/>
              </w:rPr>
            </w:pPr>
            <w:r w:rsidRPr="008E3F1A">
              <w:rPr>
                <w:szCs w:val="20"/>
              </w:rPr>
              <w:t>I</w:t>
            </w:r>
            <w:r w:rsidR="00D16DE4" w:rsidRPr="008E3F1A">
              <w:rPr>
                <w:szCs w:val="20"/>
              </w:rPr>
              <w:t>C</w:t>
            </w:r>
            <w:r w:rsidRPr="008E3F1A">
              <w:rPr>
                <w:szCs w:val="20"/>
              </w:rPr>
              <w:t>ER: $</w:t>
            </w:r>
            <w:r w:rsidR="003F2520">
              <w:rPr>
                <w:noProof/>
                <w:color w:val="000000"/>
                <w:szCs w:val="20"/>
                <w:highlight w:val="black"/>
              </w:rPr>
              <w:t>''''''''''''''''</w:t>
            </w:r>
            <w:r w:rsidR="00423216">
              <w:rPr>
                <w:vertAlign w:val="superscript"/>
              </w:rPr>
              <w:t>4</w:t>
            </w:r>
            <w:r w:rsidRPr="00423216">
              <w:rPr>
                <w:szCs w:val="20"/>
              </w:rPr>
              <w:t xml:space="preserve"> </w:t>
            </w:r>
            <w:r w:rsidRPr="008E3F1A">
              <w:rPr>
                <w:szCs w:val="20"/>
              </w:rPr>
              <w:t>for 20 years</w:t>
            </w:r>
          </w:p>
        </w:tc>
      </w:tr>
      <w:tr w:rsidR="00617032" w:rsidRPr="008E3F1A" w:rsidTr="00CA51FA">
        <w:tc>
          <w:tcPr>
            <w:tcW w:w="626" w:type="pct"/>
            <w:shd w:val="clear" w:color="auto" w:fill="auto"/>
            <w:vAlign w:val="center"/>
          </w:tcPr>
          <w:p w:rsidR="00617032" w:rsidRPr="008E3F1A" w:rsidRDefault="00617032" w:rsidP="00617032">
            <w:pPr>
              <w:pStyle w:val="TableText0"/>
              <w:jc w:val="center"/>
            </w:pPr>
            <w:r w:rsidRPr="008E3F1A">
              <w:t>Treatment effect</w:t>
            </w:r>
          </w:p>
        </w:tc>
        <w:tc>
          <w:tcPr>
            <w:tcW w:w="1730" w:type="pct"/>
            <w:shd w:val="clear" w:color="auto" w:fill="auto"/>
            <w:vAlign w:val="center"/>
          </w:tcPr>
          <w:p w:rsidR="00617032" w:rsidRPr="008E3F1A" w:rsidRDefault="00617032" w:rsidP="00617032">
            <w:pPr>
              <w:pStyle w:val="TableText0"/>
            </w:pPr>
            <w:r w:rsidRPr="008E3F1A">
              <w:t>Ongoing treatment effect for BV+CHP compared with CHOP (no convergence)</w:t>
            </w:r>
          </w:p>
        </w:tc>
        <w:tc>
          <w:tcPr>
            <w:tcW w:w="2644" w:type="pct"/>
            <w:shd w:val="clear" w:color="auto" w:fill="auto"/>
            <w:vAlign w:val="center"/>
          </w:tcPr>
          <w:p w:rsidR="00617032" w:rsidRPr="008E3F1A" w:rsidRDefault="00617032" w:rsidP="00617032">
            <w:pPr>
              <w:pStyle w:val="TableText0"/>
            </w:pPr>
            <w:r w:rsidRPr="008E3F1A">
              <w:t>High, favours BV+CHP</w:t>
            </w:r>
          </w:p>
          <w:p w:rsidR="00617032" w:rsidRPr="008E3F1A" w:rsidRDefault="00617032" w:rsidP="00617032">
            <w:pPr>
              <w:pStyle w:val="TableText0"/>
            </w:pPr>
            <w:r w:rsidRPr="008E3F1A">
              <w:t>ICER: $</w:t>
            </w:r>
            <w:r w:rsidR="003F2520">
              <w:rPr>
                <w:noProof/>
                <w:color w:val="000000"/>
                <w:highlight w:val="black"/>
              </w:rPr>
              <w:t>'''''''''''''''''''</w:t>
            </w:r>
            <w:r w:rsidR="00423216">
              <w:rPr>
                <w:vertAlign w:val="superscript"/>
              </w:rPr>
              <w:t>5</w:t>
            </w:r>
            <w:r w:rsidRPr="008E3F1A">
              <w:t xml:space="preserve"> if convergence is included starting from 60 months to 120 months.</w:t>
            </w:r>
          </w:p>
        </w:tc>
      </w:tr>
      <w:tr w:rsidR="00537182" w:rsidRPr="008E3F1A" w:rsidTr="00CA51FA">
        <w:tc>
          <w:tcPr>
            <w:tcW w:w="626" w:type="pct"/>
            <w:shd w:val="clear" w:color="auto" w:fill="auto"/>
            <w:vAlign w:val="center"/>
          </w:tcPr>
          <w:p w:rsidR="00D110BD" w:rsidRPr="008E3F1A" w:rsidRDefault="00DB2DB3" w:rsidP="00BB00B3">
            <w:pPr>
              <w:pStyle w:val="TableText0"/>
              <w:jc w:val="center"/>
            </w:pPr>
            <w:r w:rsidRPr="008E3F1A">
              <w:t>Time on treatment</w:t>
            </w:r>
          </w:p>
        </w:tc>
        <w:tc>
          <w:tcPr>
            <w:tcW w:w="1730" w:type="pct"/>
            <w:shd w:val="clear" w:color="auto" w:fill="auto"/>
            <w:vAlign w:val="center"/>
          </w:tcPr>
          <w:p w:rsidR="00D110BD" w:rsidRPr="008E3F1A" w:rsidRDefault="00DB2DB3" w:rsidP="00BB00B3">
            <w:pPr>
              <w:pStyle w:val="TableText0"/>
            </w:pPr>
            <w:r w:rsidRPr="008E3F1A">
              <w:t xml:space="preserve">Applied ECHELON-2 based </w:t>
            </w:r>
            <w:r w:rsidR="004E25E6" w:rsidRPr="008E3F1A">
              <w:t>duration on treatment</w:t>
            </w:r>
            <w:r w:rsidR="00FA38D8" w:rsidRPr="008E3F1A">
              <w:t xml:space="preserve"> </w:t>
            </w:r>
            <w:r w:rsidR="009A668A" w:rsidRPr="008E3F1A">
              <w:t xml:space="preserve">across all administered </w:t>
            </w:r>
            <w:r w:rsidR="00E9615F" w:rsidRPr="008E3F1A">
              <w:t>treatment</w:t>
            </w:r>
            <w:r w:rsidR="009A668A" w:rsidRPr="008E3F1A">
              <w:t xml:space="preserve"> cycles</w:t>
            </w:r>
            <w:r w:rsidR="00BB541B" w:rsidRPr="008E3F1A">
              <w:t xml:space="preserve"> </w:t>
            </w:r>
          </w:p>
        </w:tc>
        <w:tc>
          <w:tcPr>
            <w:tcW w:w="2644" w:type="pct"/>
            <w:shd w:val="clear" w:color="auto" w:fill="auto"/>
            <w:vAlign w:val="center"/>
          </w:tcPr>
          <w:p w:rsidR="00D110BD" w:rsidRPr="008E3F1A" w:rsidRDefault="004E25E6" w:rsidP="00DB2DB3">
            <w:pPr>
              <w:pStyle w:val="TableText0"/>
            </w:pPr>
            <w:r w:rsidRPr="008E3F1A">
              <w:t>M</w:t>
            </w:r>
            <w:r w:rsidR="006E2EE1" w:rsidRPr="008E3F1A">
              <w:t>oderate</w:t>
            </w:r>
            <w:r w:rsidR="002A19AF" w:rsidRPr="008E3F1A">
              <w:t xml:space="preserve">, </w:t>
            </w:r>
            <w:r w:rsidR="00E746CB" w:rsidRPr="008E3F1A">
              <w:t>favours</w:t>
            </w:r>
            <w:r w:rsidR="002A19AF" w:rsidRPr="008E3F1A">
              <w:t xml:space="preserve"> </w:t>
            </w:r>
            <w:r w:rsidRPr="008E3F1A">
              <w:t>BV+CHP</w:t>
            </w:r>
          </w:p>
          <w:p w:rsidR="002A19AF" w:rsidRPr="008E3F1A" w:rsidRDefault="002A19AF" w:rsidP="00DB2DB3">
            <w:pPr>
              <w:pStyle w:val="TableText0"/>
            </w:pPr>
            <w:r w:rsidRPr="008E3F1A">
              <w:t xml:space="preserve">ICER: </w:t>
            </w:r>
            <w:r w:rsidR="00BB541B" w:rsidRPr="008E3F1A">
              <w:rPr>
                <w:szCs w:val="20"/>
              </w:rPr>
              <w:t>$</w:t>
            </w:r>
            <w:r w:rsidR="003F2520">
              <w:rPr>
                <w:noProof/>
                <w:color w:val="000000"/>
                <w:szCs w:val="20"/>
                <w:highlight w:val="black"/>
              </w:rPr>
              <w:t>'''''''''''''''''</w:t>
            </w:r>
            <w:r w:rsidR="00423216">
              <w:rPr>
                <w:vertAlign w:val="superscript"/>
              </w:rPr>
              <w:t>6</w:t>
            </w:r>
            <w:r w:rsidR="00BB541B" w:rsidRPr="008E3F1A">
              <w:rPr>
                <w:szCs w:val="20"/>
              </w:rPr>
              <w:t xml:space="preserve"> if all patient</w:t>
            </w:r>
            <w:r w:rsidR="00EF30B1" w:rsidRPr="008E3F1A">
              <w:rPr>
                <w:szCs w:val="20"/>
              </w:rPr>
              <w:t>s</w:t>
            </w:r>
            <w:r w:rsidR="00BB541B" w:rsidRPr="008E3F1A">
              <w:rPr>
                <w:szCs w:val="20"/>
              </w:rPr>
              <w:t xml:space="preserve"> received 8 cycles.</w:t>
            </w:r>
          </w:p>
        </w:tc>
      </w:tr>
      <w:tr w:rsidR="009D1B50" w:rsidRPr="008E3F1A" w:rsidTr="00467192">
        <w:tc>
          <w:tcPr>
            <w:tcW w:w="626" w:type="pct"/>
            <w:shd w:val="clear" w:color="auto" w:fill="auto"/>
            <w:vAlign w:val="center"/>
          </w:tcPr>
          <w:p w:rsidR="009D1B50" w:rsidRPr="008E3F1A" w:rsidRDefault="009D1B50" w:rsidP="009D1B50">
            <w:pPr>
              <w:pStyle w:val="TableText0"/>
              <w:jc w:val="center"/>
            </w:pPr>
            <w:r w:rsidRPr="008E3F1A">
              <w:t>Second-line treatment with BV regiment</w:t>
            </w:r>
          </w:p>
        </w:tc>
        <w:tc>
          <w:tcPr>
            <w:tcW w:w="1730" w:type="pct"/>
            <w:shd w:val="clear" w:color="auto" w:fill="auto"/>
          </w:tcPr>
          <w:p w:rsidR="009D1B50" w:rsidRPr="008E3F1A" w:rsidRDefault="009D1B50" w:rsidP="009D1B50">
            <w:pPr>
              <w:pStyle w:val="TableText0"/>
            </w:pPr>
            <w:r w:rsidRPr="008E3F1A">
              <w:rPr>
                <w:szCs w:val="20"/>
              </w:rPr>
              <w:t>Distribution of subsequent BV and salvage chemotherapies based on ECHELON-2, in BV+CHP arm 0.32, in CHOP arm 0.53</w:t>
            </w:r>
          </w:p>
        </w:tc>
        <w:tc>
          <w:tcPr>
            <w:tcW w:w="2644" w:type="pct"/>
            <w:shd w:val="clear" w:color="auto" w:fill="auto"/>
            <w:vAlign w:val="center"/>
          </w:tcPr>
          <w:p w:rsidR="009D1B50" w:rsidRPr="008E3F1A" w:rsidRDefault="009D1B50" w:rsidP="009D1B50">
            <w:pPr>
              <w:pStyle w:val="TableText0"/>
            </w:pPr>
            <w:r w:rsidRPr="008E3F1A">
              <w:t>M</w:t>
            </w:r>
            <w:r w:rsidR="006E2EE1" w:rsidRPr="008E3F1A">
              <w:t>oderate, favours CHOP</w:t>
            </w:r>
          </w:p>
          <w:p w:rsidR="006E2EE1" w:rsidRPr="008E3F1A" w:rsidRDefault="00341167" w:rsidP="009D1B50">
            <w:pPr>
              <w:pStyle w:val="TableText0"/>
            </w:pPr>
            <w:r w:rsidRPr="008E3F1A">
              <w:t>ICER: $</w:t>
            </w:r>
            <w:r w:rsidR="003F2520">
              <w:rPr>
                <w:noProof/>
                <w:color w:val="000000"/>
                <w:highlight w:val="black"/>
              </w:rPr>
              <w:t>''''''''''''''''</w:t>
            </w:r>
            <w:r w:rsidR="00423216">
              <w:rPr>
                <w:vertAlign w:val="superscript"/>
              </w:rPr>
              <w:t>7</w:t>
            </w:r>
            <w:r w:rsidRPr="008E3F1A">
              <w:t>, a</w:t>
            </w:r>
            <w:r w:rsidR="006E2EE1" w:rsidRPr="008E3F1A">
              <w:t xml:space="preserve">ssuming no BV treatment in BV+CHP arm, and </w:t>
            </w:r>
            <w:r w:rsidR="008606AD" w:rsidRPr="008E3F1A">
              <w:t xml:space="preserve">use in </w:t>
            </w:r>
            <w:r w:rsidRPr="008E3F1A">
              <w:t>56</w:t>
            </w:r>
            <w:r w:rsidR="008606AD" w:rsidRPr="008E3F1A">
              <w:t xml:space="preserve">% of patients </w:t>
            </w:r>
            <w:r w:rsidRPr="008E3F1A">
              <w:t>in CHOP arm</w:t>
            </w:r>
          </w:p>
        </w:tc>
      </w:tr>
      <w:tr w:rsidR="008606AD" w:rsidRPr="008E3F1A" w:rsidTr="00A72146">
        <w:tc>
          <w:tcPr>
            <w:tcW w:w="626" w:type="pct"/>
            <w:shd w:val="clear" w:color="auto" w:fill="auto"/>
            <w:vAlign w:val="center"/>
          </w:tcPr>
          <w:p w:rsidR="008606AD" w:rsidRPr="008E3F1A" w:rsidRDefault="008606AD" w:rsidP="00A72146">
            <w:pPr>
              <w:pStyle w:val="TableText0"/>
              <w:jc w:val="center"/>
            </w:pPr>
            <w:r w:rsidRPr="008E3F1A">
              <w:t>Extrapolation</w:t>
            </w:r>
          </w:p>
        </w:tc>
        <w:tc>
          <w:tcPr>
            <w:tcW w:w="1730" w:type="pct"/>
            <w:shd w:val="clear" w:color="auto" w:fill="auto"/>
            <w:vAlign w:val="center"/>
          </w:tcPr>
          <w:p w:rsidR="008606AD" w:rsidRPr="008E3F1A" w:rsidRDefault="008606AD" w:rsidP="00A72146">
            <w:pPr>
              <w:pStyle w:val="TableText0"/>
            </w:pPr>
            <w:r w:rsidRPr="008E3F1A">
              <w:t>Extrapolation applied from the start of the period</w:t>
            </w:r>
          </w:p>
        </w:tc>
        <w:tc>
          <w:tcPr>
            <w:tcW w:w="2644" w:type="pct"/>
            <w:shd w:val="clear" w:color="auto" w:fill="auto"/>
            <w:vAlign w:val="center"/>
          </w:tcPr>
          <w:p w:rsidR="008606AD" w:rsidRPr="008E3F1A" w:rsidRDefault="008606AD" w:rsidP="00A72146">
            <w:pPr>
              <w:pStyle w:val="TableText0"/>
            </w:pPr>
            <w:r w:rsidRPr="008E3F1A">
              <w:t>Moderate, favours BV+CHP</w:t>
            </w:r>
          </w:p>
          <w:p w:rsidR="008606AD" w:rsidRPr="008E3F1A" w:rsidRDefault="008606AD" w:rsidP="00A72146">
            <w:pPr>
              <w:pStyle w:val="TableText0"/>
            </w:pPr>
            <w:r w:rsidRPr="008E3F1A">
              <w:t>Use of extrapolation from the median follow-up of 42 months increased the ICER to $</w:t>
            </w:r>
            <w:r w:rsidR="003F2520">
              <w:rPr>
                <w:noProof/>
                <w:color w:val="000000"/>
                <w:highlight w:val="black"/>
              </w:rPr>
              <w:t>''''''''''''''''</w:t>
            </w:r>
            <w:r w:rsidR="00423216">
              <w:rPr>
                <w:vertAlign w:val="superscript"/>
              </w:rPr>
              <w:t>4</w:t>
            </w:r>
            <w:r w:rsidRPr="008E3F1A">
              <w:t xml:space="preserve">/QALY gained. </w:t>
            </w:r>
          </w:p>
        </w:tc>
      </w:tr>
    </w:tbl>
    <w:p w:rsidR="008B5AB4" w:rsidRPr="008E3F1A" w:rsidRDefault="008B5AB4" w:rsidP="008B5AB4">
      <w:pPr>
        <w:pStyle w:val="TableFigureFooter"/>
      </w:pPr>
      <w:r w:rsidRPr="008E3F1A">
        <w:t>Source: Table 3.57</w:t>
      </w:r>
      <w:r w:rsidR="00423216">
        <w:t xml:space="preserve"> </w:t>
      </w:r>
      <w:r w:rsidRPr="008E3F1A">
        <w:t>of the submission. Data in italics was estimated during evaluation based on the numbers provided in the submission.</w:t>
      </w:r>
    </w:p>
    <w:p w:rsidR="008B5AB4" w:rsidRDefault="008B5AB4" w:rsidP="008B5AB4">
      <w:pPr>
        <w:pStyle w:val="TableFigureFooter"/>
      </w:pPr>
      <w:r w:rsidRPr="008E3F1A">
        <w:t>BV+CHP= brentuximab vedotin, cyclophosphamide, doxorubicin and prednisone; BV= brentuximab vedotin</w:t>
      </w:r>
      <w:r w:rsidR="00A10B7D" w:rsidRPr="008E3F1A">
        <w:t>; ICER = incremental cost-effectiveness ratio.</w:t>
      </w:r>
    </w:p>
    <w:p w:rsidR="00423216" w:rsidRDefault="00423216" w:rsidP="008B5AB4">
      <w:pPr>
        <w:pStyle w:val="TableFigureFooter"/>
        <w:rPr>
          <w:i/>
        </w:rPr>
      </w:pPr>
      <w:r w:rsidRPr="009868C4">
        <w:rPr>
          <w:i/>
        </w:rPr>
        <w:t>The redacted values correspond to the following ranges</w:t>
      </w:r>
      <w:r>
        <w:rPr>
          <w:i/>
        </w:rPr>
        <w:t>:</w:t>
      </w:r>
    </w:p>
    <w:p w:rsidR="00423216" w:rsidRDefault="00423216" w:rsidP="008B5AB4">
      <w:pPr>
        <w:pStyle w:val="TableFigureFooter"/>
        <w:rPr>
          <w:i/>
        </w:rPr>
      </w:pPr>
      <w:r>
        <w:rPr>
          <w:i/>
          <w:vertAlign w:val="superscript"/>
        </w:rPr>
        <w:t xml:space="preserve">1 </w:t>
      </w:r>
      <w:r w:rsidRPr="00423216">
        <w:rPr>
          <w:i/>
        </w:rPr>
        <w:t>$25,000 to &lt; $35,000</w:t>
      </w:r>
    </w:p>
    <w:p w:rsidR="00423216" w:rsidRDefault="00423216" w:rsidP="008B5AB4">
      <w:pPr>
        <w:pStyle w:val="TableFigureFooter"/>
        <w:rPr>
          <w:i/>
        </w:rPr>
      </w:pPr>
      <w:r>
        <w:rPr>
          <w:i/>
          <w:vertAlign w:val="superscript"/>
        </w:rPr>
        <w:t xml:space="preserve">2 </w:t>
      </w:r>
      <w:r w:rsidRPr="00423216">
        <w:rPr>
          <w:i/>
        </w:rPr>
        <w:t>$255,000 to &lt; $355,000</w:t>
      </w:r>
    </w:p>
    <w:p w:rsidR="00423216" w:rsidRDefault="00423216" w:rsidP="008B5AB4">
      <w:pPr>
        <w:pStyle w:val="TableFigureFooter"/>
        <w:rPr>
          <w:i/>
        </w:rPr>
      </w:pPr>
      <w:r>
        <w:rPr>
          <w:i/>
          <w:vertAlign w:val="superscript"/>
        </w:rPr>
        <w:t xml:space="preserve">3 </w:t>
      </w:r>
      <w:r w:rsidRPr="00423216">
        <w:rPr>
          <w:i/>
        </w:rPr>
        <w:t>$75,000 to &lt; $95,000</w:t>
      </w:r>
    </w:p>
    <w:p w:rsidR="00423216" w:rsidRDefault="00423216" w:rsidP="008B5AB4">
      <w:pPr>
        <w:pStyle w:val="TableFigureFooter"/>
        <w:rPr>
          <w:i/>
        </w:rPr>
      </w:pPr>
      <w:r>
        <w:rPr>
          <w:i/>
          <w:vertAlign w:val="superscript"/>
        </w:rPr>
        <w:t xml:space="preserve">4 </w:t>
      </w:r>
      <w:r w:rsidRPr="00423216">
        <w:rPr>
          <w:i/>
        </w:rPr>
        <w:t>$35,000 to &lt; $45,000</w:t>
      </w:r>
    </w:p>
    <w:p w:rsidR="00423216" w:rsidRDefault="00423216" w:rsidP="008B5AB4">
      <w:pPr>
        <w:pStyle w:val="TableFigureFooter"/>
        <w:rPr>
          <w:i/>
        </w:rPr>
      </w:pPr>
      <w:r>
        <w:rPr>
          <w:i/>
          <w:vertAlign w:val="superscript"/>
        </w:rPr>
        <w:t xml:space="preserve">5 </w:t>
      </w:r>
      <w:r w:rsidRPr="00423216">
        <w:rPr>
          <w:i/>
        </w:rPr>
        <w:t>$95,000 to &lt; $115,000</w:t>
      </w:r>
    </w:p>
    <w:p w:rsidR="00423216" w:rsidRDefault="00423216" w:rsidP="008B5AB4">
      <w:pPr>
        <w:pStyle w:val="TableFigureFooter"/>
        <w:rPr>
          <w:i/>
        </w:rPr>
      </w:pPr>
      <w:r>
        <w:rPr>
          <w:i/>
          <w:vertAlign w:val="superscript"/>
        </w:rPr>
        <w:t xml:space="preserve">6 </w:t>
      </w:r>
      <w:r w:rsidRPr="00423216">
        <w:rPr>
          <w:i/>
        </w:rPr>
        <w:t>$45,000 to &lt; $55,000</w:t>
      </w:r>
    </w:p>
    <w:p w:rsidR="00423216" w:rsidRPr="00423216" w:rsidRDefault="00423216" w:rsidP="008B5AB4">
      <w:pPr>
        <w:pStyle w:val="TableFigureFooter"/>
        <w:rPr>
          <w:i/>
        </w:rPr>
      </w:pPr>
      <w:r>
        <w:rPr>
          <w:i/>
          <w:vertAlign w:val="superscript"/>
        </w:rPr>
        <w:t xml:space="preserve">7 </w:t>
      </w:r>
      <w:r w:rsidRPr="00423216">
        <w:rPr>
          <w:i/>
        </w:rPr>
        <w:t>$15,000 to &lt; $25,000</w:t>
      </w:r>
    </w:p>
    <w:p w:rsidR="008C5739" w:rsidRPr="008E3F1A" w:rsidRDefault="00370750" w:rsidP="002F6B75">
      <w:pPr>
        <w:pStyle w:val="3-BodyText"/>
      </w:pPr>
      <w:r w:rsidRPr="008E3F1A">
        <w:t xml:space="preserve">The </w:t>
      </w:r>
      <w:r w:rsidR="002F6B75" w:rsidRPr="008E3F1A">
        <w:t xml:space="preserve">results of the </w:t>
      </w:r>
      <w:r w:rsidRPr="008E3F1A">
        <w:t xml:space="preserve">stepped economic evaluation </w:t>
      </w:r>
      <w:r w:rsidR="002F6B75" w:rsidRPr="008E3F1A">
        <w:t xml:space="preserve">are </w:t>
      </w:r>
      <w:r w:rsidRPr="008E3F1A">
        <w:t>summarised in Table 1</w:t>
      </w:r>
      <w:r w:rsidR="00C00747" w:rsidRPr="008E3F1A">
        <w:t>1</w:t>
      </w:r>
      <w:r w:rsidR="002F6B75" w:rsidRPr="008E3F1A">
        <w:t xml:space="preserve">. </w:t>
      </w:r>
      <w:r w:rsidR="009B4DCF" w:rsidRPr="008E3F1A">
        <w:t xml:space="preserve">Step 1 was based on the ECHELON-2 time horizon (limiting the data to the 42 months of median follow-up in the trial) and incorporating an extrapolated parameterised function (Gamma for PFS and Log-normal for OS) as the basis of the model. The analysis included drug costs, concomitant medication cost and drug administration costs. </w:t>
      </w:r>
      <w:r w:rsidR="009B4DCF" w:rsidRPr="008E3F1A">
        <w:rPr>
          <w:iCs/>
        </w:rPr>
        <w:t>Step 1 was thus based on modelled data for the entirety of the time horizon and did not directly incorporate the ECHELON-2 KM data; this was not appropriate</w:t>
      </w:r>
      <w:r w:rsidR="002F6B75" w:rsidRPr="008E3F1A">
        <w:rPr>
          <w:iCs/>
        </w:rPr>
        <w:t>.</w:t>
      </w:r>
      <w:r w:rsidR="002F6B75" w:rsidRPr="008E3F1A">
        <w:t xml:space="preserve"> </w:t>
      </w:r>
      <w:r w:rsidR="009B4DCF" w:rsidRPr="008E3F1A">
        <w:t>Step 2 included additional costs within the trial-based time-horizon</w:t>
      </w:r>
      <w:r w:rsidR="002F6B75" w:rsidRPr="008E3F1A">
        <w:t>.</w:t>
      </w:r>
      <w:r w:rsidR="009B4DCF" w:rsidRPr="008E3F1A">
        <w:t xml:space="preserve"> Step 3 included the utility data to estimate quality adjusted life years</w:t>
      </w:r>
      <w:r w:rsidR="002F6B75" w:rsidRPr="008E3F1A">
        <w:t xml:space="preserve"> (QALYs)</w:t>
      </w:r>
      <w:r w:rsidR="009B4DCF" w:rsidRPr="008E3F1A">
        <w:t xml:space="preserve"> as well as various costs of subsequent BV and salvage chemotherapy</w:t>
      </w:r>
      <w:r w:rsidR="002F6B75" w:rsidRPr="008E3F1A">
        <w:t>.</w:t>
      </w:r>
      <w:r w:rsidR="007B646A" w:rsidRPr="008E3F1A">
        <w:t xml:space="preserve"> </w:t>
      </w:r>
      <w:r w:rsidR="009B4DCF" w:rsidRPr="008E3F1A">
        <w:t xml:space="preserve">Step 4 extrapolated the time horizon to 45 years, including utility increments post-SCT and disutility associated with treatment related AEs. </w:t>
      </w:r>
    </w:p>
    <w:p w:rsidR="00D110BD" w:rsidRPr="008E3F1A" w:rsidRDefault="005A373D" w:rsidP="00742EBB">
      <w:pPr>
        <w:pStyle w:val="TableFigureHeading"/>
        <w:keepLines/>
        <w:widowControl w:val="0"/>
      </w:pPr>
      <w:r w:rsidRPr="008E3F1A">
        <w:rPr>
          <w:rStyle w:val="CommentReference"/>
          <w:b/>
          <w:szCs w:val="24"/>
        </w:rPr>
        <w:lastRenderedPageBreak/>
        <w:t xml:space="preserve">Table </w:t>
      </w:r>
      <w:r w:rsidR="003D478F" w:rsidRPr="008E3F1A">
        <w:rPr>
          <w:rStyle w:val="CommentReference"/>
          <w:b/>
          <w:szCs w:val="24"/>
        </w:rPr>
        <w:t>1</w:t>
      </w:r>
      <w:r w:rsidR="00C00747" w:rsidRPr="008E3F1A">
        <w:rPr>
          <w:rStyle w:val="CommentReference"/>
          <w:b/>
          <w:szCs w:val="24"/>
        </w:rPr>
        <w:t>1</w:t>
      </w:r>
      <w:r w:rsidRPr="008E3F1A">
        <w:rPr>
          <w:rStyle w:val="CommentReference"/>
          <w:b/>
          <w:szCs w:val="24"/>
        </w:rPr>
        <w:t>: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7"/>
        <w:gridCol w:w="2451"/>
        <w:gridCol w:w="2298"/>
        <w:gridCol w:w="1511"/>
      </w:tblGrid>
      <w:tr w:rsidR="005A373D" w:rsidRPr="008E3F1A" w:rsidTr="006B35E6">
        <w:trPr>
          <w:cantSplit/>
          <w:tblHeader/>
        </w:trPr>
        <w:tc>
          <w:tcPr>
            <w:tcW w:w="1529" w:type="pct"/>
            <w:vAlign w:val="center"/>
          </w:tcPr>
          <w:p w:rsidR="005A373D" w:rsidRPr="008E3F1A" w:rsidRDefault="005A373D" w:rsidP="00742EBB">
            <w:pPr>
              <w:pStyle w:val="In-tableHeading"/>
              <w:keepLines/>
              <w:widowControl w:val="0"/>
              <w:rPr>
                <w:szCs w:val="20"/>
                <w:lang w:val="en-AU"/>
              </w:rPr>
            </w:pPr>
            <w:r w:rsidRPr="008E3F1A">
              <w:rPr>
                <w:szCs w:val="20"/>
                <w:lang w:val="en-AU"/>
              </w:rPr>
              <w:t>Step and component</w:t>
            </w:r>
          </w:p>
        </w:tc>
        <w:tc>
          <w:tcPr>
            <w:tcW w:w="1359" w:type="pct"/>
            <w:vAlign w:val="center"/>
          </w:tcPr>
          <w:p w:rsidR="005A373D" w:rsidRPr="008E3F1A" w:rsidRDefault="003E3925" w:rsidP="00742EBB">
            <w:pPr>
              <w:pStyle w:val="In-tableHeading"/>
              <w:keepLines/>
              <w:widowControl w:val="0"/>
              <w:jc w:val="center"/>
              <w:rPr>
                <w:szCs w:val="20"/>
                <w:lang w:val="en-AU"/>
              </w:rPr>
            </w:pPr>
            <w:r w:rsidRPr="008E3F1A">
              <w:rPr>
                <w:szCs w:val="20"/>
                <w:lang w:val="en-AU"/>
              </w:rPr>
              <w:t>BV+CHP</w:t>
            </w:r>
          </w:p>
        </w:tc>
        <w:tc>
          <w:tcPr>
            <w:tcW w:w="1274" w:type="pct"/>
            <w:vAlign w:val="center"/>
          </w:tcPr>
          <w:p w:rsidR="005A373D" w:rsidRPr="008E3F1A" w:rsidRDefault="003E3925" w:rsidP="00742EBB">
            <w:pPr>
              <w:pStyle w:val="In-tableHeading"/>
              <w:keepLines/>
              <w:widowControl w:val="0"/>
              <w:jc w:val="center"/>
              <w:rPr>
                <w:szCs w:val="20"/>
                <w:lang w:val="en-AU"/>
              </w:rPr>
            </w:pPr>
            <w:r w:rsidRPr="008E3F1A">
              <w:rPr>
                <w:szCs w:val="20"/>
                <w:lang w:val="en-AU"/>
              </w:rPr>
              <w:t>CHOP</w:t>
            </w:r>
          </w:p>
        </w:tc>
        <w:tc>
          <w:tcPr>
            <w:tcW w:w="838" w:type="pct"/>
            <w:vAlign w:val="center"/>
          </w:tcPr>
          <w:p w:rsidR="005A373D" w:rsidRPr="008E3F1A" w:rsidRDefault="005A373D" w:rsidP="00742EBB">
            <w:pPr>
              <w:pStyle w:val="In-tableHeading"/>
              <w:keepLines/>
              <w:widowControl w:val="0"/>
              <w:jc w:val="center"/>
              <w:rPr>
                <w:szCs w:val="20"/>
                <w:lang w:val="en-AU"/>
              </w:rPr>
            </w:pPr>
            <w:r w:rsidRPr="008E3F1A">
              <w:rPr>
                <w:szCs w:val="20"/>
                <w:lang w:val="en-AU"/>
              </w:rPr>
              <w:t>Increment</w:t>
            </w:r>
          </w:p>
        </w:tc>
      </w:tr>
      <w:tr w:rsidR="005A373D" w:rsidRPr="008E3F1A" w:rsidTr="006B35E6">
        <w:trPr>
          <w:cantSplit/>
        </w:trPr>
        <w:tc>
          <w:tcPr>
            <w:tcW w:w="5000" w:type="pct"/>
            <w:gridSpan w:val="4"/>
            <w:vAlign w:val="center"/>
          </w:tcPr>
          <w:p w:rsidR="005A373D" w:rsidRPr="008E3F1A" w:rsidRDefault="005A373D" w:rsidP="00742EBB">
            <w:pPr>
              <w:pStyle w:val="In-tableHeading"/>
              <w:keepLines/>
              <w:widowControl w:val="0"/>
              <w:rPr>
                <w:szCs w:val="20"/>
                <w:lang w:val="en-AU"/>
              </w:rPr>
            </w:pPr>
            <w:r w:rsidRPr="008E3F1A">
              <w:rPr>
                <w:szCs w:val="20"/>
                <w:lang w:val="en-AU"/>
              </w:rPr>
              <w:t xml:space="preserve">Step 1: </w:t>
            </w:r>
            <w:r w:rsidR="00AC3728" w:rsidRPr="008E3F1A">
              <w:rPr>
                <w:bCs/>
                <w:color w:val="000000" w:themeColor="text1"/>
                <w:szCs w:val="20"/>
                <w:lang w:val="en-AU"/>
              </w:rPr>
              <w:t>Trial setting ECHELON-2, time horizon 42 months, extrapolated OS and PFS from the start of the period, costs of treatment drugs and administration, and concomitant medication</w:t>
            </w:r>
          </w:p>
        </w:tc>
      </w:tr>
      <w:tr w:rsidR="0061275D" w:rsidRPr="008E3F1A" w:rsidTr="00586344">
        <w:trPr>
          <w:cantSplit/>
        </w:trPr>
        <w:tc>
          <w:tcPr>
            <w:tcW w:w="1529" w:type="pct"/>
            <w:vAlign w:val="center"/>
          </w:tcPr>
          <w:p w:rsidR="0061275D" w:rsidRPr="008E3F1A" w:rsidRDefault="0061275D" w:rsidP="00742EBB">
            <w:pPr>
              <w:pStyle w:val="TableText0"/>
              <w:keepLines/>
              <w:widowControl w:val="0"/>
              <w:rPr>
                <w:szCs w:val="20"/>
              </w:rPr>
            </w:pPr>
            <w:r w:rsidRPr="008E3F1A">
              <w:rPr>
                <w:szCs w:val="20"/>
              </w:rPr>
              <w:t>Costs</w:t>
            </w:r>
          </w:p>
        </w:tc>
        <w:tc>
          <w:tcPr>
            <w:tcW w:w="1359" w:type="pct"/>
          </w:tcPr>
          <w:p w:rsidR="0061275D" w:rsidRPr="008E3F1A" w:rsidRDefault="0061275D" w:rsidP="00742EBB">
            <w:pPr>
              <w:pStyle w:val="TableText0"/>
              <w:keepLines/>
              <w:widowControl w:val="0"/>
              <w:jc w:val="center"/>
              <w:rPr>
                <w:szCs w:val="20"/>
              </w:rPr>
            </w:pPr>
            <w:r w:rsidRPr="008E3F1A">
              <w:rPr>
                <w:color w:val="000000" w:themeColor="text1"/>
                <w:szCs w:val="20"/>
              </w:rPr>
              <w:t>$</w:t>
            </w:r>
            <w:r w:rsidR="003F2520">
              <w:rPr>
                <w:noProof/>
                <w:color w:val="000000"/>
                <w:szCs w:val="20"/>
                <w:highlight w:val="black"/>
              </w:rPr>
              <w:t>''''''''''''''''</w:t>
            </w:r>
          </w:p>
        </w:tc>
        <w:tc>
          <w:tcPr>
            <w:tcW w:w="1274" w:type="pct"/>
          </w:tcPr>
          <w:p w:rsidR="0061275D" w:rsidRPr="00423216" w:rsidRDefault="0061275D" w:rsidP="00423216">
            <w:pPr>
              <w:pStyle w:val="TableText0"/>
              <w:keepLines/>
              <w:widowControl w:val="0"/>
              <w:jc w:val="center"/>
              <w:rPr>
                <w:szCs w:val="20"/>
                <w:vertAlign w:val="superscript"/>
              </w:rPr>
            </w:pPr>
            <w:r w:rsidRPr="008E3F1A">
              <w:rPr>
                <w:color w:val="000000" w:themeColor="text1"/>
                <w:szCs w:val="20"/>
              </w:rPr>
              <w:t xml:space="preserve">$4,587 </w:t>
            </w:r>
          </w:p>
        </w:tc>
        <w:tc>
          <w:tcPr>
            <w:tcW w:w="838" w:type="pct"/>
            <w:vAlign w:val="center"/>
          </w:tcPr>
          <w:p w:rsidR="0061275D" w:rsidRPr="008E3F1A" w:rsidRDefault="0061275D" w:rsidP="00742EBB">
            <w:pPr>
              <w:pStyle w:val="TableText0"/>
              <w:keepLines/>
              <w:widowControl w:val="0"/>
              <w:jc w:val="center"/>
              <w:rPr>
                <w:szCs w:val="20"/>
              </w:rPr>
            </w:pPr>
            <w:r w:rsidRPr="008E3F1A">
              <w:rPr>
                <w:color w:val="000000" w:themeColor="text1"/>
                <w:szCs w:val="20"/>
              </w:rPr>
              <w:t>$</w:t>
            </w:r>
            <w:r w:rsidR="003F2520">
              <w:rPr>
                <w:noProof/>
                <w:color w:val="000000"/>
                <w:szCs w:val="20"/>
                <w:highlight w:val="black"/>
              </w:rPr>
              <w:t>'''''''''''''''''</w:t>
            </w:r>
          </w:p>
        </w:tc>
      </w:tr>
      <w:tr w:rsidR="005A373D" w:rsidRPr="008E3F1A" w:rsidTr="00586344">
        <w:trPr>
          <w:cantSplit/>
        </w:trPr>
        <w:tc>
          <w:tcPr>
            <w:tcW w:w="1529" w:type="pct"/>
            <w:vAlign w:val="center"/>
          </w:tcPr>
          <w:p w:rsidR="005A373D" w:rsidRPr="008E3F1A" w:rsidRDefault="003E3925" w:rsidP="00742EBB">
            <w:pPr>
              <w:pStyle w:val="TableText0"/>
              <w:keepLines/>
              <w:widowControl w:val="0"/>
              <w:rPr>
                <w:szCs w:val="20"/>
              </w:rPr>
            </w:pPr>
            <w:r w:rsidRPr="008E3F1A">
              <w:rPr>
                <w:szCs w:val="20"/>
              </w:rPr>
              <w:t>LY</w:t>
            </w:r>
          </w:p>
        </w:tc>
        <w:tc>
          <w:tcPr>
            <w:tcW w:w="1359" w:type="pct"/>
            <w:vAlign w:val="center"/>
          </w:tcPr>
          <w:p w:rsidR="005A373D" w:rsidRPr="008E3F1A" w:rsidRDefault="00051609" w:rsidP="00742EBB">
            <w:pPr>
              <w:pStyle w:val="TableText0"/>
              <w:keepLines/>
              <w:widowControl w:val="0"/>
              <w:jc w:val="center"/>
              <w:rPr>
                <w:szCs w:val="20"/>
              </w:rPr>
            </w:pPr>
            <w:r w:rsidRPr="008E3F1A">
              <w:rPr>
                <w:szCs w:val="20"/>
              </w:rPr>
              <w:t>2.9</w:t>
            </w:r>
            <w:r w:rsidR="00586344" w:rsidRPr="008E3F1A">
              <w:rPr>
                <w:szCs w:val="20"/>
              </w:rPr>
              <w:t>19</w:t>
            </w:r>
          </w:p>
        </w:tc>
        <w:tc>
          <w:tcPr>
            <w:tcW w:w="1274" w:type="pct"/>
            <w:vAlign w:val="center"/>
          </w:tcPr>
          <w:p w:rsidR="005A373D" w:rsidRPr="008E3F1A" w:rsidRDefault="00586344" w:rsidP="00742EBB">
            <w:pPr>
              <w:pStyle w:val="TableText0"/>
              <w:keepLines/>
              <w:widowControl w:val="0"/>
              <w:jc w:val="center"/>
              <w:rPr>
                <w:szCs w:val="20"/>
              </w:rPr>
            </w:pPr>
            <w:r w:rsidRPr="008E3F1A">
              <w:rPr>
                <w:szCs w:val="20"/>
              </w:rPr>
              <w:t>2.680</w:t>
            </w:r>
          </w:p>
        </w:tc>
        <w:tc>
          <w:tcPr>
            <w:tcW w:w="838" w:type="pct"/>
            <w:vAlign w:val="center"/>
          </w:tcPr>
          <w:p w:rsidR="005A373D" w:rsidRPr="008E3F1A" w:rsidRDefault="00586344" w:rsidP="00742EBB">
            <w:pPr>
              <w:pStyle w:val="TableText0"/>
              <w:keepLines/>
              <w:widowControl w:val="0"/>
              <w:jc w:val="center"/>
              <w:rPr>
                <w:szCs w:val="20"/>
              </w:rPr>
            </w:pPr>
            <w:r w:rsidRPr="008E3F1A">
              <w:rPr>
                <w:szCs w:val="20"/>
              </w:rPr>
              <w:t>0.240</w:t>
            </w:r>
          </w:p>
        </w:tc>
      </w:tr>
      <w:tr w:rsidR="005A373D" w:rsidRPr="008E3F1A" w:rsidTr="00586344">
        <w:trPr>
          <w:cantSplit/>
        </w:trPr>
        <w:tc>
          <w:tcPr>
            <w:tcW w:w="4162" w:type="pct"/>
            <w:gridSpan w:val="3"/>
            <w:vAlign w:val="center"/>
          </w:tcPr>
          <w:p w:rsidR="005A373D" w:rsidRPr="008E3F1A" w:rsidRDefault="005A373D" w:rsidP="00742EBB">
            <w:pPr>
              <w:pStyle w:val="TableText0"/>
              <w:keepLines/>
              <w:widowControl w:val="0"/>
              <w:rPr>
                <w:szCs w:val="20"/>
              </w:rPr>
            </w:pPr>
            <w:r w:rsidRPr="008E3F1A">
              <w:rPr>
                <w:szCs w:val="20"/>
              </w:rPr>
              <w:t xml:space="preserve">Incremental cost/extra </w:t>
            </w:r>
            <w:r w:rsidR="00C01EBC" w:rsidRPr="008E3F1A">
              <w:rPr>
                <w:szCs w:val="20"/>
              </w:rPr>
              <w:t xml:space="preserve">LY </w:t>
            </w:r>
            <w:r w:rsidRPr="008E3F1A">
              <w:rPr>
                <w:szCs w:val="20"/>
              </w:rPr>
              <w:t>gained</w:t>
            </w:r>
          </w:p>
        </w:tc>
        <w:tc>
          <w:tcPr>
            <w:tcW w:w="838" w:type="pct"/>
            <w:vAlign w:val="center"/>
          </w:tcPr>
          <w:p w:rsidR="005A373D" w:rsidRPr="008E3F1A" w:rsidRDefault="00252F02" w:rsidP="00742EBB">
            <w:pPr>
              <w:pStyle w:val="TableText0"/>
              <w:keepLines/>
              <w:widowControl w:val="0"/>
              <w:jc w:val="center"/>
              <w:rPr>
                <w:szCs w:val="20"/>
              </w:rPr>
            </w:pPr>
            <w:r w:rsidRPr="008E3F1A">
              <w:rPr>
                <w:color w:val="000000" w:themeColor="text1"/>
                <w:szCs w:val="20"/>
              </w:rPr>
              <w:t>$</w:t>
            </w:r>
            <w:r w:rsidR="003F2520">
              <w:rPr>
                <w:noProof/>
                <w:color w:val="000000"/>
                <w:szCs w:val="20"/>
                <w:highlight w:val="black"/>
              </w:rPr>
              <w:t>'''''''''''''''''''</w:t>
            </w:r>
            <w:r w:rsidR="00423216">
              <w:rPr>
                <w:color w:val="000000" w:themeColor="text1"/>
                <w:szCs w:val="20"/>
                <w:vertAlign w:val="superscript"/>
              </w:rPr>
              <w:t>1</w:t>
            </w:r>
          </w:p>
        </w:tc>
      </w:tr>
      <w:tr w:rsidR="00C935AA" w:rsidRPr="008E3F1A" w:rsidTr="00A50809">
        <w:trPr>
          <w:cantSplit/>
        </w:trPr>
        <w:tc>
          <w:tcPr>
            <w:tcW w:w="5000" w:type="pct"/>
            <w:gridSpan w:val="4"/>
          </w:tcPr>
          <w:p w:rsidR="00C935AA" w:rsidRPr="008E3F1A" w:rsidRDefault="00C935AA" w:rsidP="00742EBB">
            <w:pPr>
              <w:pStyle w:val="In-tableHeading"/>
              <w:keepLines/>
              <w:widowControl w:val="0"/>
              <w:rPr>
                <w:szCs w:val="20"/>
                <w:lang w:val="en-AU"/>
              </w:rPr>
            </w:pPr>
            <w:r w:rsidRPr="008E3F1A">
              <w:rPr>
                <w:color w:val="000000" w:themeColor="text1"/>
                <w:szCs w:val="20"/>
                <w:lang w:val="en-AU"/>
              </w:rPr>
              <w:t xml:space="preserve">Step 2: </w:t>
            </w:r>
            <w:r w:rsidRPr="008E3F1A">
              <w:rPr>
                <w:bCs/>
                <w:color w:val="000000" w:themeColor="text1"/>
                <w:szCs w:val="20"/>
                <w:lang w:val="en-AU"/>
              </w:rPr>
              <w:t>As in Step 1, plus cost of consolidative ASCT and AEs with frequency of ≥5%</w:t>
            </w:r>
          </w:p>
        </w:tc>
      </w:tr>
      <w:tr w:rsidR="00B0544E" w:rsidRPr="008E3F1A" w:rsidTr="00A50809">
        <w:trPr>
          <w:cantSplit/>
        </w:trPr>
        <w:tc>
          <w:tcPr>
            <w:tcW w:w="1529" w:type="pct"/>
            <w:vAlign w:val="center"/>
          </w:tcPr>
          <w:p w:rsidR="00B0544E" w:rsidRPr="008E3F1A" w:rsidRDefault="00B0544E" w:rsidP="00742EBB">
            <w:pPr>
              <w:pStyle w:val="TableText0"/>
              <w:keepLines/>
              <w:widowControl w:val="0"/>
              <w:rPr>
                <w:szCs w:val="20"/>
              </w:rPr>
            </w:pPr>
            <w:r w:rsidRPr="008E3F1A">
              <w:rPr>
                <w:szCs w:val="20"/>
              </w:rPr>
              <w:t>Costs</w:t>
            </w:r>
          </w:p>
        </w:tc>
        <w:tc>
          <w:tcPr>
            <w:tcW w:w="1359" w:type="pct"/>
          </w:tcPr>
          <w:p w:rsidR="00B0544E" w:rsidRPr="008E3F1A" w:rsidRDefault="00B0544E" w:rsidP="00742EBB">
            <w:pPr>
              <w:pStyle w:val="TableText0"/>
              <w:keepLines/>
              <w:widowControl w:val="0"/>
              <w:jc w:val="center"/>
              <w:rPr>
                <w:szCs w:val="20"/>
              </w:rPr>
            </w:pPr>
            <w:r w:rsidRPr="008E3F1A">
              <w:rPr>
                <w:color w:val="000000" w:themeColor="text1"/>
                <w:szCs w:val="20"/>
              </w:rPr>
              <w:t>$</w:t>
            </w:r>
            <w:r w:rsidR="003F2520">
              <w:rPr>
                <w:noProof/>
                <w:color w:val="000000"/>
                <w:szCs w:val="20"/>
                <w:highlight w:val="black"/>
              </w:rPr>
              <w:t>'''''''''''''''</w:t>
            </w:r>
          </w:p>
        </w:tc>
        <w:tc>
          <w:tcPr>
            <w:tcW w:w="1274" w:type="pct"/>
          </w:tcPr>
          <w:p w:rsidR="00B0544E" w:rsidRPr="008E3F1A" w:rsidRDefault="00B0544E" w:rsidP="00742EBB">
            <w:pPr>
              <w:pStyle w:val="TableText0"/>
              <w:keepLines/>
              <w:widowControl w:val="0"/>
              <w:jc w:val="center"/>
              <w:rPr>
                <w:szCs w:val="20"/>
              </w:rPr>
            </w:pPr>
            <w:r w:rsidRPr="008E3F1A">
              <w:rPr>
                <w:color w:val="000000" w:themeColor="text1"/>
                <w:szCs w:val="20"/>
              </w:rPr>
              <w:t xml:space="preserve">$23,334 </w:t>
            </w:r>
          </w:p>
        </w:tc>
        <w:tc>
          <w:tcPr>
            <w:tcW w:w="838" w:type="pct"/>
          </w:tcPr>
          <w:p w:rsidR="00B0544E" w:rsidRPr="008E3F1A" w:rsidRDefault="00B0544E" w:rsidP="00742EBB">
            <w:pPr>
              <w:pStyle w:val="TableText0"/>
              <w:keepLines/>
              <w:widowControl w:val="0"/>
              <w:jc w:val="center"/>
              <w:rPr>
                <w:szCs w:val="20"/>
              </w:rPr>
            </w:pPr>
            <w:r w:rsidRPr="008E3F1A">
              <w:rPr>
                <w:color w:val="000000" w:themeColor="text1"/>
                <w:szCs w:val="20"/>
              </w:rPr>
              <w:t>$</w:t>
            </w:r>
            <w:r w:rsidR="003F2520">
              <w:rPr>
                <w:noProof/>
                <w:color w:val="000000"/>
                <w:szCs w:val="20"/>
                <w:highlight w:val="black"/>
              </w:rPr>
              <w:t>'''''''''''''''''</w:t>
            </w:r>
          </w:p>
        </w:tc>
      </w:tr>
      <w:tr w:rsidR="00C935AA" w:rsidRPr="008E3F1A" w:rsidTr="006B35E6">
        <w:trPr>
          <w:cantSplit/>
        </w:trPr>
        <w:tc>
          <w:tcPr>
            <w:tcW w:w="1529" w:type="pct"/>
            <w:vAlign w:val="center"/>
          </w:tcPr>
          <w:p w:rsidR="00C935AA" w:rsidRPr="008E3F1A" w:rsidRDefault="003E3925" w:rsidP="00742EBB">
            <w:pPr>
              <w:pStyle w:val="TableText0"/>
              <w:keepLines/>
              <w:widowControl w:val="0"/>
              <w:rPr>
                <w:szCs w:val="20"/>
              </w:rPr>
            </w:pPr>
            <w:r w:rsidRPr="008E3F1A">
              <w:rPr>
                <w:szCs w:val="20"/>
              </w:rPr>
              <w:t>LY</w:t>
            </w:r>
          </w:p>
        </w:tc>
        <w:tc>
          <w:tcPr>
            <w:tcW w:w="1359" w:type="pct"/>
            <w:vAlign w:val="center"/>
          </w:tcPr>
          <w:p w:rsidR="00C935AA" w:rsidRPr="008E3F1A" w:rsidRDefault="003E4C3D" w:rsidP="00742EBB">
            <w:pPr>
              <w:pStyle w:val="TableText0"/>
              <w:keepLines/>
              <w:widowControl w:val="0"/>
              <w:jc w:val="center"/>
              <w:rPr>
                <w:szCs w:val="20"/>
              </w:rPr>
            </w:pPr>
            <w:r w:rsidRPr="008E3F1A">
              <w:rPr>
                <w:szCs w:val="20"/>
              </w:rPr>
              <w:t>2.91</w:t>
            </w:r>
            <w:r w:rsidR="00D404A8" w:rsidRPr="008E3F1A">
              <w:rPr>
                <w:szCs w:val="20"/>
              </w:rPr>
              <w:t>9</w:t>
            </w:r>
          </w:p>
        </w:tc>
        <w:tc>
          <w:tcPr>
            <w:tcW w:w="1274" w:type="pct"/>
            <w:vAlign w:val="center"/>
          </w:tcPr>
          <w:p w:rsidR="00C935AA" w:rsidRPr="008E3F1A" w:rsidRDefault="003E4C3D" w:rsidP="00742EBB">
            <w:pPr>
              <w:pStyle w:val="TableText0"/>
              <w:keepLines/>
              <w:widowControl w:val="0"/>
              <w:jc w:val="center"/>
              <w:rPr>
                <w:szCs w:val="20"/>
              </w:rPr>
            </w:pPr>
            <w:r w:rsidRPr="008E3F1A">
              <w:rPr>
                <w:szCs w:val="20"/>
              </w:rPr>
              <w:t>2.680</w:t>
            </w:r>
          </w:p>
        </w:tc>
        <w:tc>
          <w:tcPr>
            <w:tcW w:w="838" w:type="pct"/>
            <w:vAlign w:val="center"/>
          </w:tcPr>
          <w:p w:rsidR="00C935AA" w:rsidRPr="008E3F1A" w:rsidRDefault="003E4C3D" w:rsidP="00742EBB">
            <w:pPr>
              <w:pStyle w:val="TableText0"/>
              <w:keepLines/>
              <w:widowControl w:val="0"/>
              <w:jc w:val="center"/>
              <w:rPr>
                <w:szCs w:val="20"/>
              </w:rPr>
            </w:pPr>
            <w:r w:rsidRPr="008E3F1A">
              <w:rPr>
                <w:szCs w:val="20"/>
              </w:rPr>
              <w:t>0.240</w:t>
            </w:r>
          </w:p>
        </w:tc>
      </w:tr>
      <w:tr w:rsidR="00C935AA" w:rsidRPr="008E3F1A" w:rsidTr="00051609">
        <w:trPr>
          <w:cantSplit/>
        </w:trPr>
        <w:tc>
          <w:tcPr>
            <w:tcW w:w="4162" w:type="pct"/>
            <w:gridSpan w:val="3"/>
            <w:vAlign w:val="center"/>
          </w:tcPr>
          <w:p w:rsidR="00C935AA" w:rsidRPr="008E3F1A" w:rsidRDefault="00C935AA" w:rsidP="00742EBB">
            <w:pPr>
              <w:pStyle w:val="TableText0"/>
              <w:keepLines/>
              <w:widowControl w:val="0"/>
              <w:rPr>
                <w:szCs w:val="20"/>
              </w:rPr>
            </w:pPr>
            <w:r w:rsidRPr="008E3F1A">
              <w:rPr>
                <w:szCs w:val="20"/>
              </w:rPr>
              <w:t xml:space="preserve">Incremental cost/extra </w:t>
            </w:r>
            <w:r w:rsidR="00C01EBC" w:rsidRPr="008E3F1A">
              <w:rPr>
                <w:szCs w:val="20"/>
              </w:rPr>
              <w:t>LY</w:t>
            </w:r>
            <w:r w:rsidRPr="008E3F1A">
              <w:rPr>
                <w:szCs w:val="20"/>
              </w:rPr>
              <w:t xml:space="preserve"> gained</w:t>
            </w:r>
          </w:p>
        </w:tc>
        <w:tc>
          <w:tcPr>
            <w:tcW w:w="838" w:type="pct"/>
            <w:vAlign w:val="center"/>
          </w:tcPr>
          <w:p w:rsidR="00C935AA" w:rsidRPr="008E3F1A" w:rsidRDefault="00FA6721" w:rsidP="00742EBB">
            <w:pPr>
              <w:keepNext/>
              <w:keepLines/>
              <w:widowControl w:val="0"/>
              <w:jc w:val="center"/>
              <w:rPr>
                <w:rFonts w:ascii="Arial Narrow" w:hAnsi="Arial Narrow"/>
                <w:color w:val="000000" w:themeColor="text1"/>
                <w:sz w:val="20"/>
                <w:szCs w:val="20"/>
              </w:rPr>
            </w:pPr>
            <w:r w:rsidRPr="008E3F1A">
              <w:rPr>
                <w:rFonts w:ascii="Arial Narrow" w:hAnsi="Arial Narrow"/>
                <w:color w:val="000000" w:themeColor="text1"/>
                <w:sz w:val="20"/>
                <w:szCs w:val="20"/>
              </w:rPr>
              <w:t>$</w:t>
            </w:r>
            <w:r w:rsidR="003F2520">
              <w:rPr>
                <w:rFonts w:ascii="Arial Narrow" w:hAnsi="Arial Narrow"/>
                <w:noProof/>
                <w:color w:val="000000"/>
                <w:sz w:val="20"/>
                <w:szCs w:val="20"/>
                <w:highlight w:val="black"/>
              </w:rPr>
              <w:t>'''''''''''''''''''''</w:t>
            </w:r>
            <w:r w:rsidR="00423216">
              <w:rPr>
                <w:color w:val="000000" w:themeColor="text1"/>
                <w:szCs w:val="20"/>
                <w:vertAlign w:val="superscript"/>
              </w:rPr>
              <w:t>1</w:t>
            </w:r>
          </w:p>
        </w:tc>
      </w:tr>
      <w:tr w:rsidR="00C935AA" w:rsidRPr="008E3F1A" w:rsidTr="006B35E6">
        <w:trPr>
          <w:cantSplit/>
        </w:trPr>
        <w:tc>
          <w:tcPr>
            <w:tcW w:w="5000" w:type="pct"/>
            <w:gridSpan w:val="4"/>
            <w:vAlign w:val="center"/>
          </w:tcPr>
          <w:p w:rsidR="00C935AA" w:rsidRPr="008E3F1A" w:rsidRDefault="0063446C" w:rsidP="00742EBB">
            <w:pPr>
              <w:pStyle w:val="In-tableHeading"/>
              <w:keepLines/>
              <w:widowControl w:val="0"/>
              <w:rPr>
                <w:szCs w:val="20"/>
                <w:lang w:val="en-AU"/>
              </w:rPr>
            </w:pPr>
            <w:r w:rsidRPr="008E3F1A">
              <w:rPr>
                <w:bCs/>
                <w:color w:val="000000" w:themeColor="text1"/>
                <w:szCs w:val="20"/>
                <w:lang w:val="en-AU"/>
              </w:rPr>
              <w:t>Step 3:</w:t>
            </w:r>
            <w:r w:rsidRPr="008E3F1A">
              <w:rPr>
                <w:color w:val="000000" w:themeColor="text1"/>
                <w:szCs w:val="20"/>
                <w:lang w:val="en-AU"/>
              </w:rPr>
              <w:t xml:space="preserve"> Estimation of QALYs based on total LYs:</w:t>
            </w:r>
            <w:r w:rsidR="007B646A" w:rsidRPr="008E3F1A">
              <w:rPr>
                <w:color w:val="000000" w:themeColor="text1"/>
                <w:szCs w:val="20"/>
                <w:lang w:val="en-AU"/>
              </w:rPr>
              <w:t xml:space="preserve"> </w:t>
            </w:r>
            <w:r w:rsidRPr="008E3F1A">
              <w:rPr>
                <w:color w:val="000000" w:themeColor="text1"/>
                <w:szCs w:val="20"/>
                <w:lang w:val="en-AU"/>
              </w:rPr>
              <w:t xml:space="preserve">As in Step 2, plus trial-based utility and </w:t>
            </w:r>
            <w:r w:rsidR="002F6B75" w:rsidRPr="008E3F1A">
              <w:rPr>
                <w:color w:val="000000" w:themeColor="text1"/>
                <w:szCs w:val="20"/>
                <w:lang w:val="en-AU"/>
              </w:rPr>
              <w:t>age-</w:t>
            </w:r>
            <w:r w:rsidRPr="008E3F1A">
              <w:rPr>
                <w:color w:val="000000" w:themeColor="text1"/>
                <w:szCs w:val="20"/>
                <w:lang w:val="en-AU"/>
              </w:rPr>
              <w:t>related disutility, cost of subsequent BV and salvage chemotherapies</w:t>
            </w:r>
            <w:r w:rsidRPr="008E3F1A">
              <w:rPr>
                <w:color w:val="000000" w:themeColor="text1"/>
                <w:szCs w:val="20"/>
                <w:vertAlign w:val="superscript"/>
                <w:lang w:val="en-AU"/>
              </w:rPr>
              <w:t>a</w:t>
            </w:r>
          </w:p>
        </w:tc>
      </w:tr>
      <w:tr w:rsidR="001055FF" w:rsidRPr="008E3F1A" w:rsidTr="00A50809">
        <w:trPr>
          <w:cantSplit/>
        </w:trPr>
        <w:tc>
          <w:tcPr>
            <w:tcW w:w="1529" w:type="pct"/>
            <w:vAlign w:val="center"/>
          </w:tcPr>
          <w:p w:rsidR="001055FF" w:rsidRPr="008E3F1A" w:rsidRDefault="001055FF" w:rsidP="00742EBB">
            <w:pPr>
              <w:pStyle w:val="TableText0"/>
              <w:keepLines/>
              <w:widowControl w:val="0"/>
              <w:rPr>
                <w:szCs w:val="20"/>
              </w:rPr>
            </w:pPr>
            <w:r w:rsidRPr="008E3F1A">
              <w:rPr>
                <w:szCs w:val="20"/>
              </w:rPr>
              <w:t>Costs</w:t>
            </w:r>
          </w:p>
        </w:tc>
        <w:tc>
          <w:tcPr>
            <w:tcW w:w="1359" w:type="pct"/>
          </w:tcPr>
          <w:p w:rsidR="001055FF" w:rsidRPr="008E3F1A" w:rsidRDefault="001055FF" w:rsidP="00742EBB">
            <w:pPr>
              <w:pStyle w:val="TableText0"/>
              <w:keepLines/>
              <w:widowControl w:val="0"/>
              <w:jc w:val="center"/>
              <w:rPr>
                <w:szCs w:val="20"/>
              </w:rPr>
            </w:pPr>
            <w:r w:rsidRPr="008E3F1A">
              <w:rPr>
                <w:color w:val="000000" w:themeColor="text1"/>
                <w:szCs w:val="20"/>
              </w:rPr>
              <w:t>$</w:t>
            </w:r>
            <w:r w:rsidR="003F2520">
              <w:rPr>
                <w:noProof/>
                <w:color w:val="000000"/>
                <w:szCs w:val="20"/>
                <w:highlight w:val="black"/>
              </w:rPr>
              <w:t>'''''''''''''''''''</w:t>
            </w:r>
            <w:r w:rsidRPr="008E3F1A">
              <w:rPr>
                <w:color w:val="000000" w:themeColor="text1"/>
                <w:szCs w:val="20"/>
              </w:rPr>
              <w:t xml:space="preserve"> </w:t>
            </w:r>
          </w:p>
        </w:tc>
        <w:tc>
          <w:tcPr>
            <w:tcW w:w="1274" w:type="pct"/>
          </w:tcPr>
          <w:p w:rsidR="001055FF" w:rsidRPr="008E3F1A" w:rsidRDefault="001055FF" w:rsidP="00742EBB">
            <w:pPr>
              <w:pStyle w:val="TableText0"/>
              <w:keepLines/>
              <w:widowControl w:val="0"/>
              <w:jc w:val="center"/>
              <w:rPr>
                <w:szCs w:val="20"/>
              </w:rPr>
            </w:pPr>
            <w:r w:rsidRPr="008E3F1A">
              <w:rPr>
                <w:color w:val="000000" w:themeColor="text1"/>
                <w:szCs w:val="20"/>
              </w:rPr>
              <w:t xml:space="preserve">$61,578 </w:t>
            </w:r>
          </w:p>
        </w:tc>
        <w:tc>
          <w:tcPr>
            <w:tcW w:w="838" w:type="pct"/>
          </w:tcPr>
          <w:p w:rsidR="001055FF" w:rsidRPr="008E3F1A" w:rsidRDefault="001055FF" w:rsidP="00742EBB">
            <w:pPr>
              <w:pStyle w:val="TableText0"/>
              <w:keepLines/>
              <w:widowControl w:val="0"/>
              <w:jc w:val="center"/>
              <w:rPr>
                <w:szCs w:val="20"/>
              </w:rPr>
            </w:pPr>
            <w:r w:rsidRPr="008E3F1A">
              <w:rPr>
                <w:color w:val="000000" w:themeColor="text1"/>
                <w:szCs w:val="20"/>
              </w:rPr>
              <w:t>$</w:t>
            </w:r>
            <w:r w:rsidR="003F2520">
              <w:rPr>
                <w:noProof/>
                <w:color w:val="000000"/>
                <w:szCs w:val="20"/>
                <w:highlight w:val="black"/>
              </w:rPr>
              <w:t>''''''''''''''''''</w:t>
            </w:r>
          </w:p>
        </w:tc>
      </w:tr>
      <w:tr w:rsidR="00C935AA" w:rsidRPr="008E3F1A" w:rsidTr="006B35E6">
        <w:trPr>
          <w:cantSplit/>
        </w:trPr>
        <w:tc>
          <w:tcPr>
            <w:tcW w:w="1529" w:type="pct"/>
            <w:vAlign w:val="center"/>
          </w:tcPr>
          <w:p w:rsidR="00C935AA" w:rsidRPr="008E3F1A" w:rsidRDefault="007E2A1E" w:rsidP="00742EBB">
            <w:pPr>
              <w:pStyle w:val="TableText0"/>
              <w:keepLines/>
              <w:widowControl w:val="0"/>
              <w:rPr>
                <w:szCs w:val="20"/>
              </w:rPr>
            </w:pPr>
            <w:r w:rsidRPr="008E3F1A">
              <w:rPr>
                <w:szCs w:val="20"/>
              </w:rPr>
              <w:t>QALY</w:t>
            </w:r>
          </w:p>
        </w:tc>
        <w:tc>
          <w:tcPr>
            <w:tcW w:w="1359" w:type="pct"/>
            <w:vAlign w:val="center"/>
          </w:tcPr>
          <w:p w:rsidR="00C935AA" w:rsidRPr="008E3F1A" w:rsidRDefault="00EC2172" w:rsidP="00742EBB">
            <w:pPr>
              <w:pStyle w:val="TableText0"/>
              <w:keepLines/>
              <w:widowControl w:val="0"/>
              <w:jc w:val="center"/>
              <w:rPr>
                <w:szCs w:val="20"/>
              </w:rPr>
            </w:pPr>
            <w:r w:rsidRPr="008E3F1A">
              <w:rPr>
                <w:szCs w:val="20"/>
              </w:rPr>
              <w:t>2.285</w:t>
            </w:r>
          </w:p>
        </w:tc>
        <w:tc>
          <w:tcPr>
            <w:tcW w:w="1274" w:type="pct"/>
            <w:vAlign w:val="center"/>
          </w:tcPr>
          <w:p w:rsidR="00C935AA" w:rsidRPr="008E3F1A" w:rsidRDefault="00EC2172" w:rsidP="00742EBB">
            <w:pPr>
              <w:pStyle w:val="TableText0"/>
              <w:keepLines/>
              <w:widowControl w:val="0"/>
              <w:jc w:val="center"/>
              <w:rPr>
                <w:szCs w:val="20"/>
              </w:rPr>
            </w:pPr>
            <w:r w:rsidRPr="008E3F1A">
              <w:rPr>
                <w:szCs w:val="20"/>
              </w:rPr>
              <w:t>2.094</w:t>
            </w:r>
          </w:p>
        </w:tc>
        <w:tc>
          <w:tcPr>
            <w:tcW w:w="838" w:type="pct"/>
            <w:vAlign w:val="center"/>
          </w:tcPr>
          <w:p w:rsidR="00C935AA" w:rsidRPr="008E3F1A" w:rsidRDefault="00EC2172" w:rsidP="00742EBB">
            <w:pPr>
              <w:pStyle w:val="TableText0"/>
              <w:keepLines/>
              <w:widowControl w:val="0"/>
              <w:jc w:val="center"/>
              <w:rPr>
                <w:szCs w:val="20"/>
              </w:rPr>
            </w:pPr>
            <w:r w:rsidRPr="008E3F1A">
              <w:rPr>
                <w:szCs w:val="20"/>
              </w:rPr>
              <w:t>0.192</w:t>
            </w:r>
          </w:p>
        </w:tc>
      </w:tr>
      <w:tr w:rsidR="00C935AA" w:rsidRPr="008E3F1A" w:rsidTr="00051609">
        <w:trPr>
          <w:cantSplit/>
        </w:trPr>
        <w:tc>
          <w:tcPr>
            <w:tcW w:w="4162" w:type="pct"/>
            <w:gridSpan w:val="3"/>
            <w:vAlign w:val="center"/>
          </w:tcPr>
          <w:p w:rsidR="00C935AA" w:rsidRPr="008E3F1A" w:rsidRDefault="00C935AA" w:rsidP="00742EBB">
            <w:pPr>
              <w:pStyle w:val="TableText0"/>
              <w:keepLines/>
              <w:widowControl w:val="0"/>
              <w:rPr>
                <w:szCs w:val="20"/>
              </w:rPr>
            </w:pPr>
            <w:r w:rsidRPr="008E3F1A">
              <w:rPr>
                <w:szCs w:val="20"/>
              </w:rPr>
              <w:t xml:space="preserve">Incremental cost/extra </w:t>
            </w:r>
            <w:r w:rsidR="00C01EBC" w:rsidRPr="008E3F1A">
              <w:rPr>
                <w:szCs w:val="20"/>
              </w:rPr>
              <w:t>LY</w:t>
            </w:r>
            <w:r w:rsidRPr="008E3F1A">
              <w:rPr>
                <w:szCs w:val="20"/>
              </w:rPr>
              <w:t xml:space="preserve"> gained</w:t>
            </w:r>
          </w:p>
        </w:tc>
        <w:tc>
          <w:tcPr>
            <w:tcW w:w="838" w:type="pct"/>
            <w:vAlign w:val="center"/>
          </w:tcPr>
          <w:p w:rsidR="00C935AA" w:rsidRPr="008E3F1A" w:rsidRDefault="00800BEC" w:rsidP="00742EBB">
            <w:pPr>
              <w:keepNext/>
              <w:keepLines/>
              <w:widowControl w:val="0"/>
              <w:jc w:val="center"/>
              <w:rPr>
                <w:rFonts w:ascii="Arial Narrow" w:hAnsi="Arial Narrow"/>
                <w:color w:val="000000" w:themeColor="text1"/>
                <w:sz w:val="20"/>
                <w:szCs w:val="20"/>
              </w:rPr>
            </w:pPr>
            <w:r w:rsidRPr="008E3F1A">
              <w:rPr>
                <w:rFonts w:ascii="Arial Narrow" w:hAnsi="Arial Narrow"/>
                <w:color w:val="000000" w:themeColor="text1"/>
                <w:sz w:val="20"/>
                <w:szCs w:val="20"/>
              </w:rPr>
              <w:t>$</w:t>
            </w:r>
            <w:r w:rsidR="003F2520">
              <w:rPr>
                <w:rFonts w:ascii="Arial Narrow" w:hAnsi="Arial Narrow"/>
                <w:noProof/>
                <w:color w:val="000000"/>
                <w:sz w:val="20"/>
                <w:szCs w:val="20"/>
                <w:highlight w:val="black"/>
              </w:rPr>
              <w:t>''''''''''''''''''''</w:t>
            </w:r>
            <w:r w:rsidR="00423216">
              <w:rPr>
                <w:color w:val="000000" w:themeColor="text1"/>
                <w:szCs w:val="20"/>
                <w:vertAlign w:val="superscript"/>
              </w:rPr>
              <w:t>1</w:t>
            </w:r>
          </w:p>
        </w:tc>
      </w:tr>
      <w:tr w:rsidR="00C935AA" w:rsidRPr="008E3F1A" w:rsidTr="00C01EBC">
        <w:trPr>
          <w:cantSplit/>
        </w:trPr>
        <w:tc>
          <w:tcPr>
            <w:tcW w:w="5000" w:type="pct"/>
            <w:gridSpan w:val="4"/>
            <w:shd w:val="clear" w:color="auto" w:fill="auto"/>
            <w:vAlign w:val="center"/>
          </w:tcPr>
          <w:p w:rsidR="00C935AA" w:rsidRPr="008E3F1A" w:rsidRDefault="00C01EBC" w:rsidP="00742EBB">
            <w:pPr>
              <w:pStyle w:val="In-tableHeading"/>
              <w:keepLines/>
              <w:widowControl w:val="0"/>
              <w:rPr>
                <w:szCs w:val="20"/>
                <w:lang w:val="en-AU"/>
              </w:rPr>
            </w:pPr>
            <w:r w:rsidRPr="008E3F1A">
              <w:rPr>
                <w:szCs w:val="20"/>
                <w:lang w:val="en-AU"/>
              </w:rPr>
              <w:t xml:space="preserve">Base case </w:t>
            </w:r>
            <w:r w:rsidR="00C935AA" w:rsidRPr="008E3F1A">
              <w:rPr>
                <w:szCs w:val="20"/>
                <w:lang w:val="en-AU"/>
              </w:rPr>
              <w:t xml:space="preserve">Step </w:t>
            </w:r>
            <w:r w:rsidR="003149E1" w:rsidRPr="008E3F1A">
              <w:rPr>
                <w:szCs w:val="20"/>
                <w:lang w:val="en-AU"/>
              </w:rPr>
              <w:t>4</w:t>
            </w:r>
            <w:r w:rsidR="00C935AA" w:rsidRPr="008E3F1A">
              <w:rPr>
                <w:szCs w:val="20"/>
                <w:lang w:val="en-AU"/>
              </w:rPr>
              <w:t xml:space="preserve">: </w:t>
            </w:r>
            <w:r w:rsidR="003E3925" w:rsidRPr="008E3F1A">
              <w:rPr>
                <w:bCs/>
                <w:color w:val="000000" w:themeColor="text1"/>
                <w:szCs w:val="20"/>
                <w:lang w:val="en-AU"/>
              </w:rPr>
              <w:t xml:space="preserve">As in Step 3, plus cost associated with health states (PFS, PD and death), extrapolated parametric function </w:t>
            </w:r>
            <w:r w:rsidR="007E2A1E" w:rsidRPr="008E3F1A">
              <w:rPr>
                <w:bCs/>
                <w:color w:val="000000" w:themeColor="text1"/>
                <w:szCs w:val="20"/>
                <w:lang w:val="en-AU"/>
              </w:rPr>
              <w:t>(</w:t>
            </w:r>
            <w:r w:rsidR="003E3925" w:rsidRPr="008E3F1A">
              <w:rPr>
                <w:bCs/>
                <w:color w:val="000000" w:themeColor="text1"/>
                <w:szCs w:val="20"/>
                <w:lang w:val="en-AU"/>
              </w:rPr>
              <w:t>OS, PFS), include utility increment post-SCT and disutility associated with treatment related AEs, extrapolated costs and outcomes to a 45 years’ time horizon, discount cost and outcomes.</w:t>
            </w:r>
          </w:p>
        </w:tc>
      </w:tr>
      <w:tr w:rsidR="004C4E42" w:rsidRPr="008E3F1A" w:rsidTr="00C01EBC">
        <w:trPr>
          <w:cantSplit/>
        </w:trPr>
        <w:tc>
          <w:tcPr>
            <w:tcW w:w="1529" w:type="pct"/>
            <w:shd w:val="clear" w:color="auto" w:fill="auto"/>
            <w:vAlign w:val="center"/>
          </w:tcPr>
          <w:p w:rsidR="004C4E42" w:rsidRPr="008E3F1A" w:rsidRDefault="004C4E42" w:rsidP="00742EBB">
            <w:pPr>
              <w:pStyle w:val="TableText0"/>
              <w:keepLines/>
              <w:widowControl w:val="0"/>
              <w:rPr>
                <w:szCs w:val="20"/>
              </w:rPr>
            </w:pPr>
            <w:r w:rsidRPr="008E3F1A">
              <w:rPr>
                <w:szCs w:val="20"/>
              </w:rPr>
              <w:t>Costs</w:t>
            </w:r>
          </w:p>
        </w:tc>
        <w:tc>
          <w:tcPr>
            <w:tcW w:w="1359" w:type="pct"/>
            <w:shd w:val="clear" w:color="auto" w:fill="auto"/>
          </w:tcPr>
          <w:p w:rsidR="004C4E42" w:rsidRPr="008E3F1A" w:rsidRDefault="004C4E42" w:rsidP="00742EBB">
            <w:pPr>
              <w:pStyle w:val="TableText0"/>
              <w:keepLines/>
              <w:widowControl w:val="0"/>
              <w:jc w:val="center"/>
              <w:rPr>
                <w:szCs w:val="20"/>
              </w:rPr>
            </w:pPr>
            <w:r w:rsidRPr="008E3F1A">
              <w:rPr>
                <w:color w:val="000000" w:themeColor="text1"/>
                <w:szCs w:val="20"/>
              </w:rPr>
              <w:t>$</w:t>
            </w:r>
            <w:r w:rsidR="003F2520">
              <w:rPr>
                <w:noProof/>
                <w:color w:val="000000"/>
                <w:szCs w:val="20"/>
                <w:highlight w:val="black"/>
              </w:rPr>
              <w:t>'''''''''''''''''''</w:t>
            </w:r>
          </w:p>
        </w:tc>
        <w:tc>
          <w:tcPr>
            <w:tcW w:w="1274" w:type="pct"/>
            <w:shd w:val="clear" w:color="auto" w:fill="auto"/>
          </w:tcPr>
          <w:p w:rsidR="004C4E42" w:rsidRPr="008E3F1A" w:rsidRDefault="004C4E42" w:rsidP="00742EBB">
            <w:pPr>
              <w:pStyle w:val="TableText0"/>
              <w:keepLines/>
              <w:widowControl w:val="0"/>
              <w:jc w:val="center"/>
              <w:rPr>
                <w:szCs w:val="20"/>
              </w:rPr>
            </w:pPr>
            <w:r w:rsidRPr="008E3F1A">
              <w:rPr>
                <w:color w:val="000000" w:themeColor="text1"/>
                <w:szCs w:val="20"/>
              </w:rPr>
              <w:t>$96,708</w:t>
            </w:r>
          </w:p>
        </w:tc>
        <w:tc>
          <w:tcPr>
            <w:tcW w:w="838" w:type="pct"/>
            <w:shd w:val="clear" w:color="auto" w:fill="auto"/>
          </w:tcPr>
          <w:p w:rsidR="004C4E42" w:rsidRPr="008E3F1A" w:rsidRDefault="004C4E42" w:rsidP="00742EBB">
            <w:pPr>
              <w:pStyle w:val="TableText0"/>
              <w:keepLines/>
              <w:widowControl w:val="0"/>
              <w:jc w:val="center"/>
              <w:rPr>
                <w:szCs w:val="20"/>
              </w:rPr>
            </w:pPr>
            <w:r w:rsidRPr="008E3F1A">
              <w:rPr>
                <w:color w:val="000000" w:themeColor="text1"/>
                <w:szCs w:val="20"/>
              </w:rPr>
              <w:t>$</w:t>
            </w:r>
            <w:r w:rsidR="003F2520">
              <w:rPr>
                <w:noProof/>
                <w:color w:val="000000"/>
                <w:szCs w:val="20"/>
                <w:highlight w:val="black"/>
              </w:rPr>
              <w:t>''''''''''''''''</w:t>
            </w:r>
          </w:p>
        </w:tc>
      </w:tr>
      <w:tr w:rsidR="00C935AA" w:rsidRPr="008E3F1A" w:rsidTr="00C01EBC">
        <w:trPr>
          <w:cantSplit/>
        </w:trPr>
        <w:tc>
          <w:tcPr>
            <w:tcW w:w="1529" w:type="pct"/>
            <w:shd w:val="clear" w:color="auto" w:fill="auto"/>
            <w:vAlign w:val="center"/>
          </w:tcPr>
          <w:p w:rsidR="00C935AA" w:rsidRPr="008E3F1A" w:rsidRDefault="007E2A1E" w:rsidP="00742EBB">
            <w:pPr>
              <w:pStyle w:val="TableText0"/>
              <w:keepLines/>
              <w:widowControl w:val="0"/>
              <w:rPr>
                <w:szCs w:val="20"/>
              </w:rPr>
            </w:pPr>
            <w:r w:rsidRPr="008E3F1A">
              <w:rPr>
                <w:szCs w:val="20"/>
              </w:rPr>
              <w:t>QALY</w:t>
            </w:r>
          </w:p>
        </w:tc>
        <w:tc>
          <w:tcPr>
            <w:tcW w:w="1359" w:type="pct"/>
            <w:shd w:val="clear" w:color="auto" w:fill="auto"/>
            <w:vAlign w:val="center"/>
          </w:tcPr>
          <w:p w:rsidR="00C935AA" w:rsidRPr="008E3F1A" w:rsidRDefault="00EC2172" w:rsidP="00742EBB">
            <w:pPr>
              <w:pStyle w:val="TableText0"/>
              <w:keepLines/>
              <w:widowControl w:val="0"/>
              <w:jc w:val="center"/>
              <w:rPr>
                <w:szCs w:val="20"/>
              </w:rPr>
            </w:pPr>
            <w:r w:rsidRPr="008E3F1A">
              <w:rPr>
                <w:szCs w:val="20"/>
              </w:rPr>
              <w:t>7.961</w:t>
            </w:r>
          </w:p>
        </w:tc>
        <w:tc>
          <w:tcPr>
            <w:tcW w:w="1274" w:type="pct"/>
            <w:shd w:val="clear" w:color="auto" w:fill="auto"/>
            <w:vAlign w:val="center"/>
          </w:tcPr>
          <w:p w:rsidR="00C935AA" w:rsidRPr="008E3F1A" w:rsidRDefault="00EC2172" w:rsidP="00742EBB">
            <w:pPr>
              <w:pStyle w:val="TableText0"/>
              <w:keepLines/>
              <w:widowControl w:val="0"/>
              <w:jc w:val="center"/>
              <w:rPr>
                <w:szCs w:val="20"/>
              </w:rPr>
            </w:pPr>
            <w:r w:rsidRPr="008E3F1A">
              <w:rPr>
                <w:szCs w:val="20"/>
              </w:rPr>
              <w:t>6.478</w:t>
            </w:r>
          </w:p>
        </w:tc>
        <w:tc>
          <w:tcPr>
            <w:tcW w:w="838" w:type="pct"/>
            <w:shd w:val="clear" w:color="auto" w:fill="auto"/>
            <w:vAlign w:val="center"/>
          </w:tcPr>
          <w:p w:rsidR="00C935AA" w:rsidRPr="008E3F1A" w:rsidRDefault="00EC2172" w:rsidP="00742EBB">
            <w:pPr>
              <w:pStyle w:val="TableText0"/>
              <w:keepLines/>
              <w:widowControl w:val="0"/>
              <w:jc w:val="center"/>
              <w:rPr>
                <w:szCs w:val="20"/>
              </w:rPr>
            </w:pPr>
            <w:r w:rsidRPr="008E3F1A">
              <w:rPr>
                <w:szCs w:val="20"/>
              </w:rPr>
              <w:t>1.483</w:t>
            </w:r>
          </w:p>
        </w:tc>
      </w:tr>
      <w:tr w:rsidR="00C935AA" w:rsidRPr="008E3F1A" w:rsidTr="00051609">
        <w:trPr>
          <w:cantSplit/>
        </w:trPr>
        <w:tc>
          <w:tcPr>
            <w:tcW w:w="4162" w:type="pct"/>
            <w:gridSpan w:val="3"/>
            <w:shd w:val="clear" w:color="auto" w:fill="auto"/>
            <w:vAlign w:val="center"/>
          </w:tcPr>
          <w:p w:rsidR="00C935AA" w:rsidRPr="008E3F1A" w:rsidRDefault="00C935AA" w:rsidP="00742EBB">
            <w:pPr>
              <w:pStyle w:val="TableText0"/>
              <w:keepLines/>
              <w:widowControl w:val="0"/>
              <w:rPr>
                <w:szCs w:val="20"/>
              </w:rPr>
            </w:pPr>
            <w:r w:rsidRPr="008E3F1A">
              <w:rPr>
                <w:szCs w:val="20"/>
              </w:rPr>
              <w:t>Incremental cost/ext</w:t>
            </w:r>
            <w:r w:rsidR="00C01EBC" w:rsidRPr="008E3F1A">
              <w:rPr>
                <w:szCs w:val="20"/>
              </w:rPr>
              <w:t xml:space="preserve">ra QALY </w:t>
            </w:r>
            <w:r w:rsidRPr="008E3F1A">
              <w:rPr>
                <w:szCs w:val="20"/>
              </w:rPr>
              <w:t>gained</w:t>
            </w:r>
            <w:r w:rsidR="003D6889" w:rsidRPr="008E3F1A">
              <w:rPr>
                <w:szCs w:val="20"/>
                <w:vertAlign w:val="superscript"/>
              </w:rPr>
              <w:t>b</w:t>
            </w:r>
            <w:r w:rsidR="00BC7245" w:rsidRPr="008E3F1A">
              <w:rPr>
                <w:szCs w:val="20"/>
                <w:vertAlign w:val="superscript"/>
              </w:rPr>
              <w:t>, c</w:t>
            </w:r>
          </w:p>
        </w:tc>
        <w:tc>
          <w:tcPr>
            <w:tcW w:w="838" w:type="pct"/>
            <w:shd w:val="clear" w:color="auto" w:fill="auto"/>
            <w:vAlign w:val="center"/>
          </w:tcPr>
          <w:p w:rsidR="00C935AA" w:rsidRPr="008E3F1A" w:rsidRDefault="00BE0D90" w:rsidP="00742EBB">
            <w:pPr>
              <w:keepNext/>
              <w:keepLines/>
              <w:widowControl w:val="0"/>
              <w:jc w:val="center"/>
              <w:rPr>
                <w:rFonts w:ascii="Arial Narrow" w:hAnsi="Arial Narrow"/>
                <w:color w:val="000000" w:themeColor="text1"/>
                <w:sz w:val="20"/>
                <w:szCs w:val="20"/>
              </w:rPr>
            </w:pPr>
            <w:r w:rsidRPr="008E3F1A">
              <w:rPr>
                <w:rFonts w:ascii="Arial Narrow" w:hAnsi="Arial Narrow"/>
                <w:color w:val="000000" w:themeColor="text1"/>
                <w:sz w:val="20"/>
                <w:szCs w:val="20"/>
              </w:rPr>
              <w:t>$</w:t>
            </w:r>
            <w:r w:rsidR="003F2520">
              <w:rPr>
                <w:rFonts w:ascii="Arial Narrow" w:hAnsi="Arial Narrow"/>
                <w:noProof/>
                <w:color w:val="000000"/>
                <w:sz w:val="20"/>
                <w:szCs w:val="20"/>
                <w:highlight w:val="black"/>
              </w:rPr>
              <w:t>'''''''''''''''''</w:t>
            </w:r>
            <w:r w:rsidR="00423216">
              <w:rPr>
                <w:color w:val="000000" w:themeColor="text1"/>
                <w:szCs w:val="20"/>
                <w:vertAlign w:val="superscript"/>
              </w:rPr>
              <w:t>2</w:t>
            </w:r>
          </w:p>
        </w:tc>
      </w:tr>
    </w:tbl>
    <w:p w:rsidR="003D6889" w:rsidRPr="008E3F1A" w:rsidRDefault="003D6889" w:rsidP="00742EBB">
      <w:pPr>
        <w:pStyle w:val="TableFigureFooter"/>
        <w:keepNext/>
        <w:keepLines/>
        <w:widowControl w:val="0"/>
      </w:pPr>
      <w:r w:rsidRPr="008E3F1A">
        <w:t>Source: Table 3.49 of the submission.</w:t>
      </w:r>
    </w:p>
    <w:p w:rsidR="003D6889" w:rsidRPr="008E3F1A" w:rsidRDefault="003D6889" w:rsidP="00742EBB">
      <w:pPr>
        <w:pStyle w:val="TableFigureFooter"/>
        <w:keepNext/>
        <w:keepLines/>
        <w:widowControl w:val="0"/>
      </w:pPr>
      <w:r w:rsidRPr="008E3F1A">
        <w:t>AE = adverse events; ASCT = autologous stem cell transplant; BV+CHP= brentuximab vedotin, cyclophosphamide, doxorubicin and prednisone; CHOP= cyclophosphamide, doxorubicin, prednisone and vincristine; ITT = intention to treat; LY= Life-year; OS = overall survival PD = progressed disease; PFLY= Progression Free Life-year; PFS = progression free survival; QALY= Quality-Adjusted Life-year.</w:t>
      </w:r>
    </w:p>
    <w:p w:rsidR="003D6889" w:rsidRPr="008E3F1A" w:rsidRDefault="003D6889" w:rsidP="00742EBB">
      <w:pPr>
        <w:pStyle w:val="TableFigureFooter"/>
        <w:keepNext/>
        <w:keepLines/>
        <w:widowControl w:val="0"/>
      </w:pPr>
      <w:r w:rsidRPr="008E3F1A">
        <w:t>Note: a=does not include the cost of subsequent therapy and medical resource use costs associated with health states.</w:t>
      </w:r>
    </w:p>
    <w:p w:rsidR="005A373D" w:rsidRPr="008E3F1A" w:rsidRDefault="003D6889" w:rsidP="00742EBB">
      <w:pPr>
        <w:pStyle w:val="TableFigureFooter"/>
        <w:keepNext/>
        <w:keepLines/>
        <w:widowControl w:val="0"/>
      </w:pPr>
      <w:r w:rsidRPr="008E3F1A">
        <w:t>b= adjusting for updates in new MBS item 13950 used in the estimated cost the ICER was $</w:t>
      </w:r>
      <w:r w:rsidR="003F2520">
        <w:rPr>
          <w:noProof/>
          <w:color w:val="000000"/>
          <w:highlight w:val="black"/>
        </w:rPr>
        <w:t>''''''''''''''''''</w:t>
      </w:r>
      <w:r w:rsidR="00423216">
        <w:rPr>
          <w:color w:val="000000" w:themeColor="text1"/>
          <w:szCs w:val="20"/>
          <w:vertAlign w:val="superscript"/>
        </w:rPr>
        <w:t>2</w:t>
      </w:r>
      <w:r w:rsidRPr="008E3F1A">
        <w:t>.</w:t>
      </w:r>
    </w:p>
    <w:p w:rsidR="00BC7245" w:rsidRDefault="00BC7245" w:rsidP="00742EBB">
      <w:pPr>
        <w:pStyle w:val="TableFigureFooter"/>
        <w:keepNext/>
        <w:keepLines/>
        <w:widowControl w:val="0"/>
        <w:rPr>
          <w:rStyle w:val="CommentReference"/>
          <w:b w:val="0"/>
          <w:sz w:val="18"/>
          <w:szCs w:val="22"/>
        </w:rPr>
      </w:pPr>
      <w:r w:rsidRPr="008E3F1A">
        <w:rPr>
          <w:rStyle w:val="CommentReference"/>
          <w:b w:val="0"/>
          <w:sz w:val="18"/>
          <w:szCs w:val="22"/>
        </w:rPr>
        <w:t>c= the economic model had an error in the share of private/public hospital use applied (the proportions were swapped in estimating the per vial price); the correction of the proportions had a negligible impact on the ICER at $</w:t>
      </w:r>
      <w:r w:rsidR="003F2520">
        <w:rPr>
          <w:rStyle w:val="CommentReference"/>
          <w:b w:val="0"/>
          <w:noProof/>
          <w:color w:val="000000"/>
          <w:sz w:val="18"/>
          <w:szCs w:val="22"/>
          <w:highlight w:val="black"/>
        </w:rPr>
        <w:t>'''''''''''''''''</w:t>
      </w:r>
      <w:r w:rsidR="00423216">
        <w:rPr>
          <w:color w:val="000000" w:themeColor="text1"/>
          <w:szCs w:val="20"/>
          <w:vertAlign w:val="superscript"/>
        </w:rPr>
        <w:t>2</w:t>
      </w:r>
      <w:r w:rsidRPr="008E3F1A">
        <w:rPr>
          <w:rStyle w:val="CommentReference"/>
          <w:b w:val="0"/>
          <w:sz w:val="18"/>
          <w:szCs w:val="22"/>
        </w:rPr>
        <w:t xml:space="preserve"> per QALY gained.</w:t>
      </w:r>
    </w:p>
    <w:p w:rsidR="00423216" w:rsidRPr="009868C4" w:rsidRDefault="00423216" w:rsidP="00423216">
      <w:pPr>
        <w:pStyle w:val="TableFigureFooter"/>
        <w:spacing w:after="0"/>
        <w:contextualSpacing w:val="0"/>
      </w:pPr>
      <w:r w:rsidRPr="009868C4">
        <w:rPr>
          <w:i/>
        </w:rPr>
        <w:t>The redacted values correspond to the following ranges</w:t>
      </w:r>
      <w:r>
        <w:rPr>
          <w:i/>
        </w:rPr>
        <w:t xml:space="preserve">: </w:t>
      </w:r>
    </w:p>
    <w:p w:rsidR="00423216" w:rsidRDefault="00423216" w:rsidP="00742EBB">
      <w:pPr>
        <w:pStyle w:val="TableFigureFooter"/>
        <w:keepNext/>
        <w:keepLines/>
        <w:widowControl w:val="0"/>
        <w:rPr>
          <w:rStyle w:val="CommentReference"/>
          <w:b w:val="0"/>
          <w:i/>
          <w:sz w:val="18"/>
          <w:szCs w:val="22"/>
        </w:rPr>
      </w:pPr>
      <w:r>
        <w:rPr>
          <w:rStyle w:val="CommentReference"/>
          <w:b w:val="0"/>
          <w:i/>
          <w:sz w:val="18"/>
          <w:szCs w:val="22"/>
          <w:vertAlign w:val="superscript"/>
        </w:rPr>
        <w:t xml:space="preserve">1 </w:t>
      </w:r>
      <w:r w:rsidRPr="00423216">
        <w:rPr>
          <w:rStyle w:val="CommentReference"/>
          <w:b w:val="0"/>
          <w:i/>
          <w:sz w:val="18"/>
          <w:szCs w:val="22"/>
        </w:rPr>
        <w:t>$255,000 to &lt; $355,000</w:t>
      </w:r>
    </w:p>
    <w:p w:rsidR="00423216" w:rsidRPr="00423216" w:rsidRDefault="00423216" w:rsidP="00742EBB">
      <w:pPr>
        <w:pStyle w:val="TableFigureFooter"/>
        <w:keepNext/>
        <w:keepLines/>
        <w:widowControl w:val="0"/>
        <w:rPr>
          <w:rStyle w:val="CommentReference"/>
          <w:b w:val="0"/>
          <w:i/>
          <w:sz w:val="18"/>
          <w:szCs w:val="22"/>
        </w:rPr>
      </w:pPr>
      <w:r>
        <w:rPr>
          <w:rStyle w:val="CommentReference"/>
          <w:b w:val="0"/>
          <w:i/>
          <w:sz w:val="18"/>
          <w:szCs w:val="22"/>
          <w:vertAlign w:val="superscript"/>
        </w:rPr>
        <w:t xml:space="preserve">2 </w:t>
      </w:r>
      <w:r w:rsidRPr="00423216">
        <w:rPr>
          <w:rStyle w:val="CommentReference"/>
          <w:b w:val="0"/>
          <w:i/>
          <w:sz w:val="18"/>
          <w:szCs w:val="22"/>
        </w:rPr>
        <w:t>$25,000 to &lt; $35,000</w:t>
      </w:r>
    </w:p>
    <w:p w:rsidR="00B8636D" w:rsidRPr="008E3F1A" w:rsidRDefault="006529E4" w:rsidP="00423216">
      <w:pPr>
        <w:pStyle w:val="3-BodyText"/>
      </w:pPr>
      <w:r w:rsidRPr="008E3F1A">
        <w:t xml:space="preserve">The </w:t>
      </w:r>
      <w:r w:rsidR="00A50843" w:rsidRPr="008E3F1A">
        <w:t>estimated ICER presented by the submission</w:t>
      </w:r>
      <w:r w:rsidR="006307A5" w:rsidRPr="008E3F1A">
        <w:t xml:space="preserve"> for the sALCL patients in the sensitivity analysis</w:t>
      </w:r>
      <w:r w:rsidR="00A50843" w:rsidRPr="008E3F1A">
        <w:t xml:space="preserve"> </w:t>
      </w:r>
      <w:r w:rsidR="006307A5" w:rsidRPr="008E3F1A">
        <w:t>was similar to the</w:t>
      </w:r>
      <w:r w:rsidR="00017900" w:rsidRPr="008E3F1A">
        <w:t xml:space="preserve"> ICER in the ITT population, </w:t>
      </w:r>
      <w:r w:rsidR="008606AD" w:rsidRPr="008E3F1A">
        <w:t xml:space="preserve">with an ICER of </w:t>
      </w:r>
      <w:r w:rsidR="00423216" w:rsidRPr="00423216">
        <w:t>$35,000 to &lt; $45,000</w:t>
      </w:r>
      <w:r w:rsidR="00423216">
        <w:t xml:space="preserve"> </w:t>
      </w:r>
      <w:r w:rsidR="00D90D8F" w:rsidRPr="008E3F1A">
        <w:t>per</w:t>
      </w:r>
      <w:r w:rsidR="00004AF8" w:rsidRPr="008E3F1A">
        <w:t xml:space="preserve"> </w:t>
      </w:r>
      <w:r w:rsidR="00D90D8F" w:rsidRPr="008E3F1A">
        <w:t>QALY gained</w:t>
      </w:r>
      <w:r w:rsidR="00754FFA" w:rsidRPr="008E3F1A">
        <w:t>.</w:t>
      </w:r>
      <w:r w:rsidR="001E6BEE" w:rsidRPr="008E3F1A">
        <w:t xml:space="preserve"> The </w:t>
      </w:r>
      <w:r w:rsidR="0067712D" w:rsidRPr="008E3F1A">
        <w:t xml:space="preserve">analysis for </w:t>
      </w:r>
      <w:r w:rsidR="008606AD" w:rsidRPr="008E3F1A">
        <w:t xml:space="preserve">the </w:t>
      </w:r>
      <w:r w:rsidR="0067712D" w:rsidRPr="008E3F1A">
        <w:t>sALCL p</w:t>
      </w:r>
      <w:r w:rsidR="008606AD" w:rsidRPr="008E3F1A">
        <w:t xml:space="preserve">atients </w:t>
      </w:r>
      <w:r w:rsidR="0067712D" w:rsidRPr="008E3F1A">
        <w:t xml:space="preserve">was based on extrapolation of </w:t>
      </w:r>
      <w:r w:rsidR="008606AD" w:rsidRPr="008E3F1A">
        <w:t xml:space="preserve">the </w:t>
      </w:r>
      <w:r w:rsidR="0067712D" w:rsidRPr="008E3F1A">
        <w:t>PFS and OS KM curves for the sALCL population</w:t>
      </w:r>
      <w:r w:rsidR="00DD5101" w:rsidRPr="008E3F1A">
        <w:t xml:space="preserve"> </w:t>
      </w:r>
      <w:r w:rsidR="008606AD" w:rsidRPr="008E3F1A">
        <w:t>from</w:t>
      </w:r>
      <w:r w:rsidR="00DD5101" w:rsidRPr="008E3F1A">
        <w:t xml:space="preserve"> ECHELON-2. </w:t>
      </w:r>
      <w:r w:rsidR="00EA21F9" w:rsidRPr="008E3F1A">
        <w:t xml:space="preserve">The data for the sALCL population was also applied </w:t>
      </w:r>
      <w:r w:rsidR="008606AD" w:rsidRPr="008E3F1A">
        <w:t>for</w:t>
      </w:r>
      <w:r w:rsidR="00EA21F9" w:rsidRPr="008E3F1A">
        <w:t xml:space="preserve"> the </w:t>
      </w:r>
      <w:r w:rsidR="00B8636D" w:rsidRPr="008E3F1A">
        <w:t xml:space="preserve">proportion of patients per treatment cycle, </w:t>
      </w:r>
      <w:r w:rsidR="00303F6F" w:rsidRPr="008E3F1A">
        <w:t>proportion</w:t>
      </w:r>
      <w:r w:rsidR="00EA21F9" w:rsidRPr="008E3F1A">
        <w:t xml:space="preserve"> of </w:t>
      </w:r>
      <w:r w:rsidR="00303F6F" w:rsidRPr="008E3F1A">
        <w:t>patients</w:t>
      </w:r>
      <w:r w:rsidR="00EA21F9" w:rsidRPr="008E3F1A">
        <w:t xml:space="preserve"> receiving </w:t>
      </w:r>
      <w:r w:rsidR="00B8636D" w:rsidRPr="008E3F1A">
        <w:t xml:space="preserve">subsequent BV </w:t>
      </w:r>
      <w:r w:rsidR="00303F6F" w:rsidRPr="008E3F1A">
        <w:t>monotherapy</w:t>
      </w:r>
      <w:r w:rsidR="00B8636D" w:rsidRPr="008E3F1A">
        <w:t xml:space="preserve">, frequency of salvage chemo, proportion of patient receiving SCT and radiotherapy. </w:t>
      </w:r>
      <w:r w:rsidR="002C18B0" w:rsidRPr="008E3F1A">
        <w:t xml:space="preserve">The </w:t>
      </w:r>
      <w:r w:rsidR="00B8636D" w:rsidRPr="008E3F1A">
        <w:t>utilities, AEs rates</w:t>
      </w:r>
      <w:r w:rsidR="00303F6F" w:rsidRPr="008E3F1A">
        <w:t>, cost of medical resource use and concomitant medications</w:t>
      </w:r>
      <w:r w:rsidR="00B8636D" w:rsidRPr="008E3F1A">
        <w:t xml:space="preserve"> were based on </w:t>
      </w:r>
      <w:r w:rsidR="008606AD" w:rsidRPr="008E3F1A">
        <w:t xml:space="preserve">the </w:t>
      </w:r>
      <w:r w:rsidR="00B8636D" w:rsidRPr="008E3F1A">
        <w:t>ITT</w:t>
      </w:r>
      <w:r w:rsidR="00303F6F" w:rsidRPr="008E3F1A">
        <w:t xml:space="preserve"> population </w:t>
      </w:r>
      <w:r w:rsidR="008606AD" w:rsidRPr="008E3F1A">
        <w:t>from</w:t>
      </w:r>
      <w:r w:rsidR="00303F6F" w:rsidRPr="008E3F1A">
        <w:t xml:space="preserve"> ECHELON-2. </w:t>
      </w:r>
      <w:r w:rsidR="00AF230E" w:rsidRPr="008E3F1A">
        <w:t>The evaluation considered</w:t>
      </w:r>
      <w:r w:rsidR="00AF230E" w:rsidRPr="008E3F1A">
        <w:rPr>
          <w:i/>
        </w:rPr>
        <w:t xml:space="preserve"> </w:t>
      </w:r>
      <w:r w:rsidR="00AF230E" w:rsidRPr="008E3F1A">
        <w:rPr>
          <w:iCs/>
        </w:rPr>
        <w:t>t</w:t>
      </w:r>
      <w:r w:rsidR="00303F6F" w:rsidRPr="008E3F1A">
        <w:rPr>
          <w:iCs/>
        </w:rPr>
        <w:t>his seems reasonable.</w:t>
      </w:r>
    </w:p>
    <w:p w:rsidR="00A86E8B" w:rsidRPr="008E3F1A" w:rsidRDefault="00D23D11" w:rsidP="00BB732D">
      <w:pPr>
        <w:pStyle w:val="3-BodyText"/>
      </w:pPr>
      <w:r w:rsidRPr="008E3F1A">
        <w:t>The results of key univariate sensitivity analyses are summarised</w:t>
      </w:r>
      <w:r w:rsidR="00346098" w:rsidRPr="008E3F1A">
        <w:t xml:space="preserve"> in Table 1</w:t>
      </w:r>
      <w:r w:rsidR="00C00747" w:rsidRPr="008E3F1A">
        <w:t>2</w:t>
      </w:r>
      <w:r w:rsidR="00346098" w:rsidRPr="008E3F1A">
        <w:t>.</w:t>
      </w:r>
      <w:r w:rsidR="00D04E81" w:rsidRPr="008E3F1A">
        <w:t xml:space="preserve"> The results</w:t>
      </w:r>
      <w:r w:rsidR="00F32528" w:rsidRPr="008E3F1A">
        <w:t xml:space="preserve"> from these analyses show that the ICER was most sensitive to variations in the time horizon, </w:t>
      </w:r>
      <w:r w:rsidR="005F7C98" w:rsidRPr="008E3F1A">
        <w:t xml:space="preserve">the </w:t>
      </w:r>
      <w:r w:rsidR="00594516" w:rsidRPr="008E3F1A">
        <w:t xml:space="preserve">treatment duration and the </w:t>
      </w:r>
      <w:r w:rsidR="002F6B75" w:rsidRPr="008E3F1A">
        <w:t xml:space="preserve">assumed use </w:t>
      </w:r>
      <w:r w:rsidR="00594516" w:rsidRPr="008E3F1A">
        <w:t xml:space="preserve">of subsequent BV and </w:t>
      </w:r>
      <w:r w:rsidR="00207E02" w:rsidRPr="008E3F1A">
        <w:t>salvage chemotherapies.</w:t>
      </w:r>
      <w:r w:rsidR="008A7975" w:rsidRPr="008E3F1A">
        <w:t xml:space="preserve"> </w:t>
      </w:r>
      <w:r w:rsidR="008A7975" w:rsidRPr="008E3F1A">
        <w:rPr>
          <w:iCs/>
        </w:rPr>
        <w:t xml:space="preserve">An </w:t>
      </w:r>
      <w:r w:rsidR="00D41D1F" w:rsidRPr="008E3F1A">
        <w:rPr>
          <w:iCs/>
        </w:rPr>
        <w:t>additional</w:t>
      </w:r>
      <w:r w:rsidR="008A7975" w:rsidRPr="008E3F1A">
        <w:rPr>
          <w:iCs/>
        </w:rPr>
        <w:t xml:space="preserve"> </w:t>
      </w:r>
      <w:r w:rsidR="00D41D1F" w:rsidRPr="008E3F1A">
        <w:rPr>
          <w:iCs/>
        </w:rPr>
        <w:t>sensitivity</w:t>
      </w:r>
      <w:r w:rsidR="008A7975" w:rsidRPr="008E3F1A">
        <w:rPr>
          <w:iCs/>
        </w:rPr>
        <w:t xml:space="preserve"> analysis was conducted </w:t>
      </w:r>
      <w:r w:rsidR="00D41D1F" w:rsidRPr="008E3F1A">
        <w:rPr>
          <w:iCs/>
        </w:rPr>
        <w:t>during</w:t>
      </w:r>
      <w:r w:rsidR="008A7975" w:rsidRPr="008E3F1A">
        <w:rPr>
          <w:iCs/>
        </w:rPr>
        <w:t xml:space="preserve"> </w:t>
      </w:r>
      <w:r w:rsidR="002F6B75" w:rsidRPr="008E3F1A">
        <w:rPr>
          <w:iCs/>
        </w:rPr>
        <w:t xml:space="preserve">the </w:t>
      </w:r>
      <w:r w:rsidR="00D41D1F" w:rsidRPr="008E3F1A">
        <w:rPr>
          <w:iCs/>
        </w:rPr>
        <w:t>evaluation</w:t>
      </w:r>
      <w:r w:rsidR="008A7975" w:rsidRPr="008E3F1A">
        <w:rPr>
          <w:iCs/>
        </w:rPr>
        <w:t xml:space="preserve"> </w:t>
      </w:r>
      <w:r w:rsidR="00D41D1F" w:rsidRPr="008E3F1A">
        <w:rPr>
          <w:iCs/>
        </w:rPr>
        <w:t xml:space="preserve">to include the use of the </w:t>
      </w:r>
      <w:r w:rsidR="002F6B75" w:rsidRPr="008E3F1A">
        <w:rPr>
          <w:iCs/>
        </w:rPr>
        <w:t xml:space="preserve">KM data for the within trial period (up to 42 </w:t>
      </w:r>
      <w:r w:rsidR="002F6B75" w:rsidRPr="008E3F1A">
        <w:rPr>
          <w:iCs/>
        </w:rPr>
        <w:lastRenderedPageBreak/>
        <w:t xml:space="preserve">months and </w:t>
      </w:r>
      <w:r w:rsidR="00D41D1F" w:rsidRPr="008E3F1A">
        <w:rPr>
          <w:iCs/>
        </w:rPr>
        <w:t>extrapolated curve</w:t>
      </w:r>
      <w:r w:rsidR="002F6B75" w:rsidRPr="008E3F1A">
        <w:rPr>
          <w:iCs/>
        </w:rPr>
        <w:t>s thereafter).</w:t>
      </w:r>
      <w:r w:rsidR="006052A9" w:rsidRPr="008E3F1A">
        <w:rPr>
          <w:iCs/>
        </w:rPr>
        <w:t xml:space="preserve"> The ICER was </w:t>
      </w:r>
      <w:r w:rsidR="00A666FC" w:rsidRPr="008E3F1A">
        <w:rPr>
          <w:iCs/>
        </w:rPr>
        <w:t>moderate</w:t>
      </w:r>
      <w:r w:rsidR="00E67453" w:rsidRPr="008E3F1A">
        <w:rPr>
          <w:iCs/>
        </w:rPr>
        <w:t>ly</w:t>
      </w:r>
      <w:r w:rsidR="00A666FC" w:rsidRPr="008E3F1A">
        <w:rPr>
          <w:iCs/>
        </w:rPr>
        <w:t xml:space="preserve"> </w:t>
      </w:r>
      <w:r w:rsidR="006052A9" w:rsidRPr="008E3F1A">
        <w:rPr>
          <w:iCs/>
        </w:rPr>
        <w:t xml:space="preserve">sensitive to </w:t>
      </w:r>
      <w:r w:rsidR="002F6B75" w:rsidRPr="008E3F1A">
        <w:rPr>
          <w:iCs/>
        </w:rPr>
        <w:t>how the KM and modelled data were applied</w:t>
      </w:r>
      <w:r w:rsidR="006052A9" w:rsidRPr="008E3F1A">
        <w:rPr>
          <w:iCs/>
        </w:rPr>
        <w:t>.</w:t>
      </w:r>
    </w:p>
    <w:p w:rsidR="005F12BB" w:rsidRPr="008E3F1A" w:rsidRDefault="005F12BB" w:rsidP="00794AD9">
      <w:pPr>
        <w:pStyle w:val="3-BodyText"/>
        <w:keepNext/>
        <w:numPr>
          <w:ilvl w:val="0"/>
          <w:numId w:val="0"/>
        </w:numPr>
        <w:spacing w:after="0"/>
        <w:rPr>
          <w:rFonts w:ascii="Arial Narrow" w:hAnsi="Arial Narrow"/>
          <w:b/>
          <w:bCs/>
          <w:sz w:val="20"/>
          <w:szCs w:val="20"/>
        </w:rPr>
      </w:pPr>
      <w:r w:rsidRPr="008E3F1A">
        <w:rPr>
          <w:rFonts w:ascii="Arial Narrow" w:hAnsi="Arial Narrow"/>
          <w:b/>
          <w:bCs/>
          <w:sz w:val="20"/>
          <w:szCs w:val="20"/>
        </w:rPr>
        <w:t xml:space="preserve">Table </w:t>
      </w:r>
      <w:r w:rsidR="00B23642" w:rsidRPr="008E3F1A">
        <w:rPr>
          <w:rFonts w:ascii="Arial Narrow" w:hAnsi="Arial Narrow"/>
          <w:b/>
          <w:bCs/>
          <w:sz w:val="20"/>
          <w:szCs w:val="20"/>
        </w:rPr>
        <w:t>1</w:t>
      </w:r>
      <w:r w:rsidR="00C00747" w:rsidRPr="008E3F1A">
        <w:rPr>
          <w:rFonts w:ascii="Arial Narrow" w:hAnsi="Arial Narrow"/>
          <w:b/>
          <w:bCs/>
          <w:sz w:val="20"/>
          <w:szCs w:val="20"/>
        </w:rPr>
        <w:t>2</w:t>
      </w:r>
      <w:r w:rsidRPr="008E3F1A">
        <w:rPr>
          <w:rFonts w:ascii="Arial Narrow" w:hAnsi="Arial Narrow"/>
          <w:b/>
          <w:bCs/>
          <w:sz w:val="20"/>
          <w:szCs w:val="20"/>
        </w:rPr>
        <w:t xml:space="preserve">: Key results of sensitivity analyses (effective price </w:t>
      </w:r>
      <w:r w:rsidR="00794AD9" w:rsidRPr="008E3F1A">
        <w:rPr>
          <w:rFonts w:ascii="Arial Narrow" w:hAnsi="Arial Narrow"/>
          <w:b/>
          <w:bCs/>
          <w:sz w:val="20"/>
          <w:szCs w:val="20"/>
        </w:rPr>
        <w:t>BV+CHP</w:t>
      </w:r>
      <w:r w:rsidRPr="008E3F1A">
        <w:rPr>
          <w:rFonts w:ascii="Arial Narrow" w:hAnsi="Arial Narrow"/>
          <w:b/>
          <w:bCs/>
          <w:sz w:val="20"/>
          <w:szCs w:val="20"/>
        </w:rPr>
        <w:t>)</w:t>
      </w:r>
    </w:p>
    <w:tbl>
      <w:tblPr>
        <w:tblStyle w:val="TableGrid"/>
        <w:tblW w:w="5000" w:type="pct"/>
        <w:tblLook w:val="0600" w:firstRow="0" w:lastRow="0" w:firstColumn="0" w:lastColumn="0" w:noHBand="1" w:noVBand="1"/>
        <w:tblCaption w:val="Table 12: Key results of sensitivity analyses (effective price BV+CHP)"/>
      </w:tblPr>
      <w:tblGrid>
        <w:gridCol w:w="1695"/>
        <w:gridCol w:w="3262"/>
        <w:gridCol w:w="1416"/>
        <w:gridCol w:w="1277"/>
        <w:gridCol w:w="1367"/>
      </w:tblGrid>
      <w:tr w:rsidR="00DC05CE" w:rsidRPr="008E3F1A" w:rsidTr="008F3F3D">
        <w:trPr>
          <w:trHeight w:val="20"/>
          <w:tblHeader/>
        </w:trPr>
        <w:tc>
          <w:tcPr>
            <w:tcW w:w="940" w:type="pct"/>
            <w:vMerge w:val="restart"/>
            <w:shd w:val="clear" w:color="auto" w:fill="auto"/>
          </w:tcPr>
          <w:p w:rsidR="00DC05CE" w:rsidRPr="008E3F1A" w:rsidRDefault="00DC05CE" w:rsidP="00AB0024">
            <w:pPr>
              <w:keepNext/>
              <w:widowControl w:val="0"/>
              <w:jc w:val="left"/>
              <w:rPr>
                <w:rFonts w:ascii="Arial Narrow" w:hAnsi="Arial Narrow"/>
                <w:b/>
                <w:sz w:val="20"/>
                <w:szCs w:val="20"/>
              </w:rPr>
            </w:pPr>
            <w:r w:rsidRPr="008E3F1A">
              <w:rPr>
                <w:rFonts w:ascii="Arial Narrow" w:hAnsi="Arial Narrow"/>
                <w:b/>
                <w:sz w:val="20"/>
                <w:szCs w:val="20"/>
              </w:rPr>
              <w:t>Base Case setting</w:t>
            </w:r>
          </w:p>
        </w:tc>
        <w:tc>
          <w:tcPr>
            <w:tcW w:w="1809" w:type="pct"/>
            <w:vMerge w:val="restart"/>
            <w:shd w:val="clear" w:color="auto" w:fill="auto"/>
          </w:tcPr>
          <w:p w:rsidR="00DC05CE" w:rsidRPr="008E3F1A" w:rsidRDefault="00DC05CE" w:rsidP="00AB0024">
            <w:pPr>
              <w:keepNext/>
              <w:widowControl w:val="0"/>
              <w:jc w:val="left"/>
              <w:rPr>
                <w:rFonts w:ascii="Arial Narrow" w:hAnsi="Arial Narrow"/>
                <w:b/>
                <w:sz w:val="20"/>
                <w:szCs w:val="20"/>
              </w:rPr>
            </w:pPr>
            <w:r w:rsidRPr="008E3F1A">
              <w:rPr>
                <w:rFonts w:ascii="Arial Narrow" w:hAnsi="Arial Narrow"/>
                <w:b/>
                <w:sz w:val="20"/>
                <w:szCs w:val="20"/>
              </w:rPr>
              <w:t>Scenario Setting</w:t>
            </w:r>
          </w:p>
        </w:tc>
        <w:tc>
          <w:tcPr>
            <w:tcW w:w="1493" w:type="pct"/>
            <w:gridSpan w:val="2"/>
            <w:shd w:val="clear" w:color="auto" w:fill="auto"/>
          </w:tcPr>
          <w:p w:rsidR="00DC05CE" w:rsidRPr="008E3F1A" w:rsidRDefault="00DC05CE" w:rsidP="00AB0024">
            <w:pPr>
              <w:keepNext/>
              <w:widowControl w:val="0"/>
              <w:jc w:val="center"/>
              <w:rPr>
                <w:rFonts w:ascii="Arial Narrow" w:hAnsi="Arial Narrow"/>
                <w:b/>
                <w:sz w:val="20"/>
                <w:szCs w:val="20"/>
              </w:rPr>
            </w:pPr>
            <w:r w:rsidRPr="008E3F1A">
              <w:rPr>
                <w:rFonts w:ascii="Arial Narrow" w:hAnsi="Arial Narrow"/>
                <w:b/>
                <w:sz w:val="20"/>
                <w:szCs w:val="20"/>
              </w:rPr>
              <w:t>Incremental</w:t>
            </w:r>
          </w:p>
        </w:tc>
        <w:tc>
          <w:tcPr>
            <w:tcW w:w="758" w:type="pct"/>
            <w:vMerge w:val="restart"/>
            <w:shd w:val="clear" w:color="auto" w:fill="auto"/>
          </w:tcPr>
          <w:p w:rsidR="00DC05CE" w:rsidRPr="008E3F1A" w:rsidRDefault="00DC05CE" w:rsidP="00AB0024">
            <w:pPr>
              <w:keepNext/>
              <w:widowControl w:val="0"/>
              <w:jc w:val="center"/>
              <w:rPr>
                <w:rFonts w:ascii="Arial Narrow" w:hAnsi="Arial Narrow"/>
                <w:b/>
                <w:sz w:val="20"/>
                <w:szCs w:val="20"/>
              </w:rPr>
            </w:pPr>
            <w:r w:rsidRPr="008E3F1A">
              <w:rPr>
                <w:rFonts w:ascii="Arial Narrow" w:hAnsi="Arial Narrow"/>
                <w:b/>
                <w:sz w:val="20"/>
                <w:szCs w:val="20"/>
              </w:rPr>
              <w:t>ICER</w:t>
            </w:r>
          </w:p>
        </w:tc>
      </w:tr>
      <w:tr w:rsidR="00AB0024" w:rsidRPr="008E3F1A" w:rsidTr="008F3F3D">
        <w:trPr>
          <w:trHeight w:val="20"/>
          <w:tblHeader/>
        </w:trPr>
        <w:tc>
          <w:tcPr>
            <w:tcW w:w="940" w:type="pct"/>
            <w:vMerge/>
            <w:shd w:val="clear" w:color="auto" w:fill="auto"/>
          </w:tcPr>
          <w:p w:rsidR="00DC05CE" w:rsidRPr="008E3F1A" w:rsidRDefault="00DC05CE" w:rsidP="00AB0024">
            <w:pPr>
              <w:keepNext/>
              <w:widowControl w:val="0"/>
              <w:jc w:val="left"/>
              <w:rPr>
                <w:rFonts w:ascii="Arial Narrow" w:hAnsi="Arial Narrow"/>
                <w:b/>
                <w:sz w:val="20"/>
                <w:szCs w:val="20"/>
              </w:rPr>
            </w:pPr>
          </w:p>
        </w:tc>
        <w:tc>
          <w:tcPr>
            <w:tcW w:w="1809" w:type="pct"/>
            <w:vMerge/>
            <w:shd w:val="clear" w:color="auto" w:fill="auto"/>
          </w:tcPr>
          <w:p w:rsidR="00DC05CE" w:rsidRPr="008E3F1A" w:rsidRDefault="00DC05CE" w:rsidP="00AB0024">
            <w:pPr>
              <w:keepNext/>
              <w:widowControl w:val="0"/>
              <w:jc w:val="left"/>
              <w:rPr>
                <w:rFonts w:ascii="Arial Narrow" w:hAnsi="Arial Narrow"/>
                <w:b/>
                <w:sz w:val="20"/>
                <w:szCs w:val="20"/>
              </w:rPr>
            </w:pPr>
          </w:p>
        </w:tc>
        <w:tc>
          <w:tcPr>
            <w:tcW w:w="785" w:type="pct"/>
            <w:shd w:val="clear" w:color="auto" w:fill="auto"/>
          </w:tcPr>
          <w:p w:rsidR="00DC05CE" w:rsidRPr="008E3F1A" w:rsidRDefault="00DC05CE" w:rsidP="00AB0024">
            <w:pPr>
              <w:keepNext/>
              <w:widowControl w:val="0"/>
              <w:jc w:val="center"/>
              <w:rPr>
                <w:rFonts w:ascii="Arial Narrow" w:hAnsi="Arial Narrow"/>
                <w:b/>
                <w:sz w:val="20"/>
                <w:szCs w:val="20"/>
              </w:rPr>
            </w:pPr>
            <w:r w:rsidRPr="008E3F1A">
              <w:rPr>
                <w:rFonts w:ascii="Arial Narrow" w:hAnsi="Arial Narrow"/>
                <w:b/>
                <w:sz w:val="20"/>
                <w:szCs w:val="20"/>
              </w:rPr>
              <w:t>Costs</w:t>
            </w:r>
          </w:p>
        </w:tc>
        <w:tc>
          <w:tcPr>
            <w:tcW w:w="708" w:type="pct"/>
            <w:shd w:val="clear" w:color="auto" w:fill="auto"/>
          </w:tcPr>
          <w:p w:rsidR="00DC05CE" w:rsidRPr="008E3F1A" w:rsidRDefault="00DC05CE" w:rsidP="00AB0024">
            <w:pPr>
              <w:keepNext/>
              <w:widowControl w:val="0"/>
              <w:jc w:val="center"/>
              <w:rPr>
                <w:rFonts w:ascii="Arial Narrow" w:hAnsi="Arial Narrow"/>
                <w:b/>
                <w:sz w:val="20"/>
                <w:szCs w:val="20"/>
              </w:rPr>
            </w:pPr>
            <w:r w:rsidRPr="008E3F1A">
              <w:rPr>
                <w:rFonts w:ascii="Arial Narrow" w:hAnsi="Arial Narrow"/>
                <w:b/>
                <w:sz w:val="20"/>
                <w:szCs w:val="20"/>
              </w:rPr>
              <w:t>QALYs</w:t>
            </w:r>
          </w:p>
        </w:tc>
        <w:tc>
          <w:tcPr>
            <w:tcW w:w="758" w:type="pct"/>
            <w:vMerge/>
            <w:shd w:val="clear" w:color="auto" w:fill="auto"/>
          </w:tcPr>
          <w:p w:rsidR="00DC05CE" w:rsidRPr="008E3F1A" w:rsidRDefault="00DC05CE" w:rsidP="00AB0024">
            <w:pPr>
              <w:keepNext/>
              <w:widowControl w:val="0"/>
              <w:rPr>
                <w:rFonts w:ascii="Arial Narrow" w:hAnsi="Arial Narrow"/>
                <w:b/>
                <w:sz w:val="20"/>
                <w:szCs w:val="20"/>
              </w:rPr>
            </w:pPr>
          </w:p>
        </w:tc>
      </w:tr>
      <w:tr w:rsidR="00AB0024" w:rsidRPr="008E3F1A" w:rsidTr="008F3F3D">
        <w:trPr>
          <w:trHeight w:val="20"/>
          <w:tblHeader/>
        </w:trPr>
        <w:tc>
          <w:tcPr>
            <w:tcW w:w="940" w:type="pct"/>
            <w:shd w:val="clear" w:color="auto" w:fill="auto"/>
          </w:tcPr>
          <w:p w:rsidR="00DC05CE" w:rsidRPr="008E3F1A" w:rsidRDefault="00DC05CE" w:rsidP="00AB0024">
            <w:pPr>
              <w:keepNext/>
              <w:widowControl w:val="0"/>
              <w:jc w:val="left"/>
              <w:rPr>
                <w:rFonts w:ascii="Arial Narrow" w:hAnsi="Arial Narrow"/>
                <w:b/>
                <w:sz w:val="20"/>
                <w:szCs w:val="20"/>
              </w:rPr>
            </w:pPr>
            <w:r w:rsidRPr="008E3F1A">
              <w:rPr>
                <w:rFonts w:ascii="Arial Narrow" w:hAnsi="Arial Narrow"/>
                <w:b/>
                <w:sz w:val="20"/>
                <w:szCs w:val="20"/>
              </w:rPr>
              <w:t>Base case model</w:t>
            </w:r>
          </w:p>
        </w:tc>
        <w:tc>
          <w:tcPr>
            <w:tcW w:w="1809" w:type="pct"/>
            <w:shd w:val="clear" w:color="auto" w:fill="auto"/>
          </w:tcPr>
          <w:p w:rsidR="00DC05CE" w:rsidRPr="008E3F1A" w:rsidRDefault="00DC05CE" w:rsidP="00AB0024">
            <w:pPr>
              <w:keepNext/>
              <w:widowControl w:val="0"/>
              <w:jc w:val="left"/>
              <w:rPr>
                <w:rFonts w:ascii="Arial Narrow" w:hAnsi="Arial Narrow"/>
                <w:b/>
                <w:sz w:val="20"/>
                <w:szCs w:val="20"/>
              </w:rPr>
            </w:pPr>
          </w:p>
        </w:tc>
        <w:tc>
          <w:tcPr>
            <w:tcW w:w="785" w:type="pct"/>
            <w:shd w:val="clear" w:color="auto" w:fill="auto"/>
          </w:tcPr>
          <w:p w:rsidR="00DC05CE" w:rsidRPr="003F2520" w:rsidRDefault="00DC05CE" w:rsidP="00AB0024">
            <w:pPr>
              <w:keepNext/>
              <w:widowControl w:val="0"/>
              <w:jc w:val="center"/>
              <w:rPr>
                <w:rFonts w:ascii="Arial Narrow" w:hAnsi="Arial Narrow"/>
                <w:b/>
                <w:bCs/>
                <w:sz w:val="20"/>
                <w:szCs w:val="20"/>
              </w:rPr>
            </w:pPr>
            <w:r w:rsidRPr="00423216">
              <w:rPr>
                <w:rFonts w:ascii="Arial Narrow" w:hAnsi="Arial Narrow"/>
                <w:b/>
                <w:bCs/>
                <w:sz w:val="20"/>
                <w:szCs w:val="20"/>
              </w:rPr>
              <w:t>$</w:t>
            </w:r>
            <w:r w:rsidR="003F2520">
              <w:rPr>
                <w:rFonts w:ascii="Arial Narrow" w:hAnsi="Arial Narrow"/>
                <w:b/>
                <w:bCs/>
                <w:noProof/>
                <w:color w:val="000000"/>
                <w:sz w:val="20"/>
                <w:szCs w:val="20"/>
                <w:highlight w:val="black"/>
              </w:rPr>
              <w:t>'''''''''''''</w:t>
            </w:r>
          </w:p>
        </w:tc>
        <w:tc>
          <w:tcPr>
            <w:tcW w:w="708" w:type="pct"/>
            <w:shd w:val="clear" w:color="auto" w:fill="auto"/>
          </w:tcPr>
          <w:p w:rsidR="00DC05CE" w:rsidRPr="008E3F1A" w:rsidRDefault="00DC05CE" w:rsidP="00AB0024">
            <w:pPr>
              <w:keepNext/>
              <w:widowControl w:val="0"/>
              <w:jc w:val="center"/>
              <w:rPr>
                <w:rFonts w:ascii="Arial Narrow" w:hAnsi="Arial Narrow"/>
                <w:b/>
                <w:bCs/>
                <w:sz w:val="20"/>
                <w:szCs w:val="20"/>
              </w:rPr>
            </w:pPr>
            <w:r w:rsidRPr="008E3F1A">
              <w:rPr>
                <w:rFonts w:ascii="Arial Narrow" w:hAnsi="Arial Narrow"/>
                <w:b/>
                <w:bCs/>
                <w:sz w:val="20"/>
                <w:szCs w:val="20"/>
              </w:rPr>
              <w:t>1.48</w:t>
            </w:r>
          </w:p>
        </w:tc>
        <w:tc>
          <w:tcPr>
            <w:tcW w:w="758" w:type="pct"/>
            <w:shd w:val="clear" w:color="auto" w:fill="auto"/>
          </w:tcPr>
          <w:p w:rsidR="00DC05CE" w:rsidRPr="003F2520" w:rsidRDefault="00DC05CE" w:rsidP="00AB0024">
            <w:pPr>
              <w:keepNext/>
              <w:widowControl w:val="0"/>
              <w:jc w:val="center"/>
              <w:rPr>
                <w:rFonts w:ascii="Arial Narrow" w:hAnsi="Arial Narrow"/>
                <w:b/>
                <w:bCs/>
                <w:sz w:val="20"/>
                <w:szCs w:val="20"/>
              </w:rPr>
            </w:pPr>
            <w:r w:rsidRPr="00423216">
              <w:rPr>
                <w:rFonts w:ascii="Arial Narrow" w:hAnsi="Arial Narrow"/>
                <w:b/>
                <w:bCs/>
                <w:sz w:val="20"/>
                <w:szCs w:val="20"/>
              </w:rPr>
              <w:t>$</w:t>
            </w:r>
            <w:r w:rsidR="003F2520">
              <w:rPr>
                <w:rFonts w:ascii="Arial Narrow" w:hAnsi="Arial Narrow"/>
                <w:b/>
                <w:bCs/>
                <w:noProof/>
                <w:color w:val="000000"/>
                <w:sz w:val="20"/>
                <w:szCs w:val="20"/>
                <w:highlight w:val="black"/>
              </w:rPr>
              <w:t>'''''''''''''</w:t>
            </w:r>
            <w:r w:rsidR="003C4832">
              <w:rPr>
                <w:rFonts w:ascii="Arial Narrow" w:hAnsi="Arial Narrow"/>
                <w:bCs/>
                <w:sz w:val="20"/>
                <w:szCs w:val="20"/>
                <w:vertAlign w:val="superscript"/>
              </w:rPr>
              <w:t>1</w:t>
            </w:r>
          </w:p>
        </w:tc>
      </w:tr>
      <w:tr w:rsidR="00AB0024" w:rsidRPr="008E3F1A" w:rsidTr="008F3F3D">
        <w:trPr>
          <w:trHeight w:val="20"/>
        </w:trPr>
        <w:tc>
          <w:tcPr>
            <w:tcW w:w="940" w:type="pct"/>
            <w:shd w:val="clear" w:color="auto" w:fill="auto"/>
          </w:tcPr>
          <w:p w:rsidR="00AB0024" w:rsidRPr="008E3F1A" w:rsidRDefault="00AB0024" w:rsidP="00A50809">
            <w:pPr>
              <w:widowControl w:val="0"/>
              <w:jc w:val="left"/>
              <w:rPr>
                <w:rFonts w:ascii="Arial Narrow" w:hAnsi="Arial Narrow"/>
                <w:bCs/>
                <w:sz w:val="20"/>
                <w:szCs w:val="20"/>
              </w:rPr>
            </w:pPr>
            <w:r w:rsidRPr="008E3F1A">
              <w:rPr>
                <w:rFonts w:ascii="Arial Narrow" w:hAnsi="Arial Narrow"/>
                <w:bCs/>
                <w:sz w:val="20"/>
                <w:szCs w:val="20"/>
              </w:rPr>
              <w:t>ITT population</w:t>
            </w:r>
          </w:p>
        </w:tc>
        <w:tc>
          <w:tcPr>
            <w:tcW w:w="1809" w:type="pct"/>
            <w:shd w:val="clear" w:color="auto" w:fill="auto"/>
          </w:tcPr>
          <w:p w:rsidR="00AB0024" w:rsidRPr="008E3F1A" w:rsidRDefault="00AB0024" w:rsidP="00A50809">
            <w:pPr>
              <w:widowControl w:val="0"/>
              <w:jc w:val="left"/>
              <w:rPr>
                <w:rFonts w:ascii="Arial Narrow" w:hAnsi="Arial Narrow"/>
                <w:bCs/>
                <w:sz w:val="20"/>
                <w:szCs w:val="20"/>
              </w:rPr>
            </w:pPr>
            <w:r w:rsidRPr="008E3F1A">
              <w:rPr>
                <w:rFonts w:ascii="Arial Narrow" w:hAnsi="Arial Narrow"/>
                <w:bCs/>
                <w:sz w:val="20"/>
                <w:szCs w:val="20"/>
              </w:rPr>
              <w:t>sALCL population</w:t>
            </w:r>
          </w:p>
        </w:tc>
        <w:tc>
          <w:tcPr>
            <w:tcW w:w="785" w:type="pct"/>
            <w:shd w:val="clear" w:color="auto" w:fill="auto"/>
          </w:tcPr>
          <w:p w:rsidR="00AB0024" w:rsidRPr="003F2520" w:rsidRDefault="00AB0024" w:rsidP="00AB0024">
            <w:pPr>
              <w:widowControl w:val="0"/>
              <w:jc w:val="center"/>
              <w:rPr>
                <w:rFonts w:ascii="Arial Narrow" w:hAnsi="Arial Narrow"/>
                <w:bCs/>
                <w:sz w:val="20"/>
                <w:szCs w:val="20"/>
              </w:rPr>
            </w:pPr>
            <w:r w:rsidRPr="00423216">
              <w:rPr>
                <w:rFonts w:ascii="Arial Narrow" w:hAnsi="Arial Narrow"/>
                <w:bCs/>
                <w:sz w:val="20"/>
                <w:szCs w:val="20"/>
              </w:rPr>
              <w:t>$</w:t>
            </w:r>
            <w:r w:rsidR="003F2520">
              <w:rPr>
                <w:rFonts w:ascii="Arial Narrow" w:hAnsi="Arial Narrow"/>
                <w:bCs/>
                <w:noProof/>
                <w:color w:val="000000"/>
                <w:sz w:val="20"/>
                <w:szCs w:val="20"/>
                <w:highlight w:val="black"/>
              </w:rPr>
              <w:t>'''''''''''''''</w:t>
            </w:r>
          </w:p>
        </w:tc>
        <w:tc>
          <w:tcPr>
            <w:tcW w:w="708" w:type="pct"/>
            <w:shd w:val="clear" w:color="auto" w:fill="auto"/>
          </w:tcPr>
          <w:p w:rsidR="00AB0024" w:rsidRPr="003C4832" w:rsidRDefault="00AB0024" w:rsidP="003C4832">
            <w:pPr>
              <w:widowControl w:val="0"/>
              <w:jc w:val="center"/>
              <w:rPr>
                <w:rFonts w:ascii="Arial Narrow" w:hAnsi="Arial Narrow"/>
                <w:bCs/>
                <w:sz w:val="20"/>
                <w:szCs w:val="20"/>
                <w:vertAlign w:val="superscript"/>
              </w:rPr>
            </w:pPr>
            <w:r w:rsidRPr="008E3F1A">
              <w:rPr>
                <w:rFonts w:ascii="Arial Narrow" w:hAnsi="Arial Narrow"/>
                <w:bCs/>
                <w:sz w:val="20"/>
                <w:szCs w:val="20"/>
              </w:rPr>
              <w:t>1.37</w:t>
            </w:r>
          </w:p>
        </w:tc>
        <w:tc>
          <w:tcPr>
            <w:tcW w:w="758" w:type="pct"/>
            <w:shd w:val="clear" w:color="auto" w:fill="auto"/>
          </w:tcPr>
          <w:p w:rsidR="00AB0024" w:rsidRPr="003F2520" w:rsidRDefault="00AB0024" w:rsidP="00AB0024">
            <w:pPr>
              <w:widowControl w:val="0"/>
              <w:jc w:val="center"/>
              <w:rPr>
                <w:rFonts w:ascii="Arial Narrow" w:hAnsi="Arial Narrow"/>
                <w:bCs/>
                <w:sz w:val="20"/>
                <w:szCs w:val="20"/>
              </w:rPr>
            </w:pPr>
            <w:r w:rsidRPr="00423216">
              <w:rPr>
                <w:rFonts w:ascii="Arial Narrow" w:hAnsi="Arial Narrow"/>
                <w:bCs/>
                <w:sz w:val="20"/>
                <w:szCs w:val="20"/>
              </w:rPr>
              <w:t>$</w:t>
            </w:r>
            <w:r w:rsidR="003F2520">
              <w:rPr>
                <w:rFonts w:ascii="Arial Narrow" w:hAnsi="Arial Narrow"/>
                <w:bCs/>
                <w:noProof/>
                <w:color w:val="000000"/>
                <w:sz w:val="20"/>
                <w:szCs w:val="20"/>
                <w:highlight w:val="black"/>
              </w:rPr>
              <w:t>'''''''''''''''</w:t>
            </w:r>
            <w:r w:rsidR="003C4832">
              <w:rPr>
                <w:rFonts w:ascii="Arial Narrow" w:hAnsi="Arial Narrow"/>
                <w:bCs/>
                <w:sz w:val="20"/>
                <w:szCs w:val="20"/>
                <w:vertAlign w:val="superscript"/>
              </w:rPr>
              <w:t>2</w:t>
            </w:r>
          </w:p>
        </w:tc>
      </w:tr>
      <w:tr w:rsidR="008F3F3D" w:rsidRPr="008E3F1A" w:rsidTr="008F3F3D">
        <w:trPr>
          <w:trHeight w:val="20"/>
        </w:trPr>
        <w:tc>
          <w:tcPr>
            <w:tcW w:w="940" w:type="pct"/>
            <w:vMerge w:val="restart"/>
            <w:shd w:val="clear" w:color="auto" w:fill="auto"/>
          </w:tcPr>
          <w:p w:rsidR="00F651D5" w:rsidRPr="008E3F1A" w:rsidRDefault="00F651D5" w:rsidP="00A50809">
            <w:pPr>
              <w:widowControl w:val="0"/>
              <w:jc w:val="left"/>
              <w:rPr>
                <w:rFonts w:ascii="Arial Narrow" w:hAnsi="Arial Narrow"/>
                <w:color w:val="000000"/>
                <w:sz w:val="20"/>
                <w:szCs w:val="20"/>
              </w:rPr>
            </w:pPr>
            <w:r w:rsidRPr="008E3F1A">
              <w:rPr>
                <w:rFonts w:ascii="Arial Narrow" w:hAnsi="Arial Narrow"/>
                <w:color w:val="000000"/>
                <w:sz w:val="20"/>
                <w:szCs w:val="20"/>
              </w:rPr>
              <w:t>Time horizon: 45 years</w:t>
            </w:r>
          </w:p>
        </w:tc>
        <w:tc>
          <w:tcPr>
            <w:tcW w:w="1809" w:type="pct"/>
            <w:shd w:val="clear" w:color="auto" w:fill="auto"/>
          </w:tcPr>
          <w:p w:rsidR="00F651D5" w:rsidRPr="008E3F1A" w:rsidRDefault="00F651D5" w:rsidP="00A50809">
            <w:pPr>
              <w:widowControl w:val="0"/>
              <w:jc w:val="left"/>
              <w:rPr>
                <w:rFonts w:ascii="Arial Narrow" w:hAnsi="Arial Narrow"/>
                <w:color w:val="000000"/>
                <w:sz w:val="20"/>
                <w:szCs w:val="20"/>
              </w:rPr>
            </w:pPr>
            <w:r w:rsidRPr="008E3F1A">
              <w:rPr>
                <w:rFonts w:ascii="Arial Narrow" w:hAnsi="Arial Narrow"/>
                <w:color w:val="000000"/>
                <w:sz w:val="20"/>
                <w:szCs w:val="20"/>
              </w:rPr>
              <w:t>Time horizon: Trial based (3.5 years)</w:t>
            </w:r>
          </w:p>
        </w:tc>
        <w:tc>
          <w:tcPr>
            <w:tcW w:w="785" w:type="pct"/>
            <w:shd w:val="clear" w:color="auto" w:fill="auto"/>
          </w:tcPr>
          <w:p w:rsidR="00F651D5" w:rsidRPr="003F2520" w:rsidRDefault="00F651D5" w:rsidP="00A50809">
            <w:pPr>
              <w:widowControl w:val="0"/>
              <w:jc w:val="center"/>
              <w:rPr>
                <w:rFonts w:ascii="Arial Narrow" w:hAnsi="Arial Narrow"/>
                <w:sz w:val="20"/>
                <w:szCs w:val="20"/>
              </w:rPr>
            </w:pPr>
            <w:r w:rsidRPr="00423216">
              <w:rPr>
                <w:rFonts w:ascii="Arial Narrow" w:hAnsi="Arial Narrow"/>
                <w:bCs/>
                <w:sz w:val="20"/>
                <w:szCs w:val="20"/>
              </w:rPr>
              <w:t>$</w:t>
            </w:r>
            <w:r w:rsidR="003F2520">
              <w:rPr>
                <w:rFonts w:ascii="Arial Narrow" w:hAnsi="Arial Narrow"/>
                <w:noProof/>
                <w:color w:val="000000"/>
                <w:sz w:val="20"/>
                <w:szCs w:val="20"/>
                <w:highlight w:val="black"/>
              </w:rPr>
              <w:t>''''''''''''''''''</w:t>
            </w:r>
          </w:p>
        </w:tc>
        <w:tc>
          <w:tcPr>
            <w:tcW w:w="708" w:type="pct"/>
            <w:shd w:val="clear" w:color="auto" w:fill="auto"/>
          </w:tcPr>
          <w:p w:rsidR="00F651D5" w:rsidRPr="008E3F1A" w:rsidRDefault="00F651D5" w:rsidP="00A50809">
            <w:pPr>
              <w:widowControl w:val="0"/>
              <w:jc w:val="center"/>
              <w:rPr>
                <w:rFonts w:ascii="Arial Narrow" w:hAnsi="Arial Narrow"/>
                <w:sz w:val="20"/>
                <w:szCs w:val="20"/>
              </w:rPr>
            </w:pPr>
            <w:r w:rsidRPr="008E3F1A">
              <w:rPr>
                <w:rFonts w:ascii="Arial Narrow" w:hAnsi="Arial Narrow"/>
                <w:sz w:val="20"/>
                <w:szCs w:val="20"/>
              </w:rPr>
              <w:t>0.18</w:t>
            </w:r>
          </w:p>
        </w:tc>
        <w:tc>
          <w:tcPr>
            <w:tcW w:w="758" w:type="pct"/>
            <w:shd w:val="clear" w:color="auto" w:fill="auto"/>
          </w:tcPr>
          <w:p w:rsidR="00F651D5" w:rsidRPr="003F2520" w:rsidRDefault="00F651D5" w:rsidP="00A50809">
            <w:pPr>
              <w:widowControl w:val="0"/>
              <w:jc w:val="center"/>
              <w:rPr>
                <w:rFonts w:ascii="Arial Narrow" w:hAnsi="Arial Narrow"/>
                <w:sz w:val="20"/>
                <w:szCs w:val="20"/>
              </w:rPr>
            </w:pPr>
            <w:r w:rsidRPr="00423216">
              <w:rPr>
                <w:rFonts w:ascii="Arial Narrow" w:hAnsi="Arial Narrow"/>
                <w:bCs/>
                <w:sz w:val="20"/>
                <w:szCs w:val="20"/>
              </w:rPr>
              <w:t>$</w:t>
            </w:r>
            <w:r w:rsidR="003F2520">
              <w:rPr>
                <w:rFonts w:ascii="Arial Narrow" w:hAnsi="Arial Narrow"/>
                <w:noProof/>
                <w:color w:val="000000"/>
                <w:sz w:val="20"/>
                <w:szCs w:val="20"/>
                <w:highlight w:val="black"/>
              </w:rPr>
              <w:t>'''''''''''''''''''''</w:t>
            </w:r>
            <w:r w:rsidR="003C4832">
              <w:rPr>
                <w:rFonts w:ascii="Arial Narrow" w:hAnsi="Arial Narrow"/>
                <w:bCs/>
                <w:sz w:val="20"/>
                <w:szCs w:val="20"/>
                <w:vertAlign w:val="superscript"/>
              </w:rPr>
              <w:t>3</w:t>
            </w:r>
          </w:p>
        </w:tc>
      </w:tr>
      <w:tr w:rsidR="008F3F3D" w:rsidRPr="008E3F1A" w:rsidTr="008F3F3D">
        <w:trPr>
          <w:trHeight w:val="20"/>
        </w:trPr>
        <w:tc>
          <w:tcPr>
            <w:tcW w:w="940" w:type="pct"/>
            <w:vMerge/>
            <w:shd w:val="clear" w:color="auto" w:fill="auto"/>
          </w:tcPr>
          <w:p w:rsidR="00F651D5" w:rsidRPr="008E3F1A" w:rsidRDefault="00F651D5" w:rsidP="00A50809">
            <w:pPr>
              <w:widowControl w:val="0"/>
              <w:jc w:val="left"/>
              <w:rPr>
                <w:rFonts w:ascii="Arial Narrow" w:hAnsi="Arial Narrow"/>
                <w:bCs/>
                <w:sz w:val="20"/>
                <w:szCs w:val="20"/>
              </w:rPr>
            </w:pPr>
          </w:p>
        </w:tc>
        <w:tc>
          <w:tcPr>
            <w:tcW w:w="1809" w:type="pct"/>
            <w:shd w:val="clear" w:color="auto" w:fill="auto"/>
          </w:tcPr>
          <w:p w:rsidR="00F651D5" w:rsidRPr="008E3F1A" w:rsidRDefault="00F651D5" w:rsidP="00A50809">
            <w:pPr>
              <w:widowControl w:val="0"/>
              <w:jc w:val="left"/>
              <w:rPr>
                <w:rFonts w:ascii="Arial Narrow" w:hAnsi="Arial Narrow"/>
                <w:bCs/>
                <w:sz w:val="20"/>
                <w:szCs w:val="20"/>
              </w:rPr>
            </w:pPr>
            <w:r w:rsidRPr="008E3F1A">
              <w:rPr>
                <w:rFonts w:ascii="Arial Narrow" w:hAnsi="Arial Narrow"/>
                <w:color w:val="000000"/>
                <w:sz w:val="20"/>
                <w:szCs w:val="20"/>
              </w:rPr>
              <w:t>Time horizon: 10 years</w:t>
            </w:r>
          </w:p>
        </w:tc>
        <w:tc>
          <w:tcPr>
            <w:tcW w:w="785" w:type="pct"/>
            <w:shd w:val="clear" w:color="auto" w:fill="auto"/>
          </w:tcPr>
          <w:p w:rsidR="00F651D5" w:rsidRPr="003F2520" w:rsidRDefault="00F651D5" w:rsidP="00A50809">
            <w:pPr>
              <w:widowControl w:val="0"/>
              <w:jc w:val="center"/>
              <w:rPr>
                <w:rFonts w:ascii="Arial Narrow" w:hAnsi="Arial Narrow"/>
                <w:sz w:val="20"/>
                <w:szCs w:val="20"/>
              </w:rPr>
            </w:pPr>
            <w:r w:rsidRPr="00423216">
              <w:rPr>
                <w:rFonts w:ascii="Arial Narrow" w:hAnsi="Arial Narrow"/>
                <w:bCs/>
                <w:sz w:val="20"/>
                <w:szCs w:val="20"/>
              </w:rPr>
              <w:t>$</w:t>
            </w:r>
            <w:r w:rsidR="003F2520">
              <w:rPr>
                <w:rFonts w:ascii="Arial Narrow" w:hAnsi="Arial Narrow"/>
                <w:noProof/>
                <w:color w:val="000000"/>
                <w:sz w:val="20"/>
                <w:szCs w:val="20"/>
                <w:highlight w:val="black"/>
              </w:rPr>
              <w:t>''''''''''''''''</w:t>
            </w:r>
          </w:p>
        </w:tc>
        <w:tc>
          <w:tcPr>
            <w:tcW w:w="708" w:type="pct"/>
            <w:shd w:val="clear" w:color="auto" w:fill="auto"/>
          </w:tcPr>
          <w:p w:rsidR="00F651D5" w:rsidRPr="008E3F1A" w:rsidRDefault="00F651D5" w:rsidP="00A50809">
            <w:pPr>
              <w:widowControl w:val="0"/>
              <w:jc w:val="center"/>
              <w:rPr>
                <w:rFonts w:ascii="Arial Narrow" w:hAnsi="Arial Narrow"/>
                <w:sz w:val="20"/>
                <w:szCs w:val="20"/>
              </w:rPr>
            </w:pPr>
            <w:r w:rsidRPr="008E3F1A">
              <w:rPr>
                <w:rFonts w:ascii="Arial Narrow" w:hAnsi="Arial Narrow"/>
                <w:sz w:val="20"/>
                <w:szCs w:val="20"/>
              </w:rPr>
              <w:t>0.62</w:t>
            </w:r>
          </w:p>
        </w:tc>
        <w:tc>
          <w:tcPr>
            <w:tcW w:w="758" w:type="pct"/>
            <w:shd w:val="clear" w:color="auto" w:fill="auto"/>
          </w:tcPr>
          <w:p w:rsidR="00F651D5" w:rsidRPr="003F2520" w:rsidRDefault="00F651D5" w:rsidP="00A50809">
            <w:pPr>
              <w:widowControl w:val="0"/>
              <w:jc w:val="center"/>
              <w:rPr>
                <w:rFonts w:ascii="Arial Narrow" w:hAnsi="Arial Narrow"/>
                <w:sz w:val="20"/>
                <w:szCs w:val="20"/>
              </w:rPr>
            </w:pPr>
            <w:r w:rsidRPr="00423216">
              <w:rPr>
                <w:rFonts w:ascii="Arial Narrow" w:hAnsi="Arial Narrow"/>
                <w:bCs/>
                <w:sz w:val="20"/>
                <w:szCs w:val="20"/>
              </w:rPr>
              <w:t>$</w:t>
            </w:r>
            <w:r w:rsidR="003F2520">
              <w:rPr>
                <w:rFonts w:ascii="Arial Narrow" w:hAnsi="Arial Narrow"/>
                <w:noProof/>
                <w:color w:val="000000"/>
                <w:sz w:val="20"/>
                <w:szCs w:val="20"/>
                <w:highlight w:val="black"/>
              </w:rPr>
              <w:t>'''''''''''''''''</w:t>
            </w:r>
            <w:r w:rsidR="003C4832">
              <w:rPr>
                <w:rFonts w:ascii="Arial Narrow" w:hAnsi="Arial Narrow"/>
                <w:bCs/>
                <w:sz w:val="20"/>
                <w:szCs w:val="20"/>
                <w:vertAlign w:val="superscript"/>
              </w:rPr>
              <w:t>4</w:t>
            </w:r>
          </w:p>
        </w:tc>
      </w:tr>
      <w:tr w:rsidR="008F3F3D" w:rsidRPr="008E3F1A" w:rsidTr="008F3F3D">
        <w:trPr>
          <w:trHeight w:val="20"/>
        </w:trPr>
        <w:tc>
          <w:tcPr>
            <w:tcW w:w="940" w:type="pct"/>
            <w:vMerge/>
            <w:shd w:val="clear" w:color="auto" w:fill="auto"/>
          </w:tcPr>
          <w:p w:rsidR="00F651D5" w:rsidRPr="008E3F1A" w:rsidRDefault="00F651D5" w:rsidP="00A50809">
            <w:pPr>
              <w:widowControl w:val="0"/>
              <w:jc w:val="left"/>
              <w:rPr>
                <w:rFonts w:ascii="Arial Narrow" w:hAnsi="Arial Narrow"/>
                <w:bCs/>
                <w:sz w:val="20"/>
                <w:szCs w:val="20"/>
              </w:rPr>
            </w:pPr>
          </w:p>
        </w:tc>
        <w:tc>
          <w:tcPr>
            <w:tcW w:w="1809" w:type="pct"/>
            <w:shd w:val="clear" w:color="auto" w:fill="auto"/>
          </w:tcPr>
          <w:p w:rsidR="00F651D5" w:rsidRPr="008E3F1A" w:rsidRDefault="00F651D5" w:rsidP="00A50809">
            <w:pPr>
              <w:widowControl w:val="0"/>
              <w:jc w:val="left"/>
              <w:rPr>
                <w:rFonts w:ascii="Arial Narrow" w:hAnsi="Arial Narrow"/>
                <w:bCs/>
                <w:sz w:val="20"/>
                <w:szCs w:val="20"/>
              </w:rPr>
            </w:pPr>
            <w:r w:rsidRPr="008E3F1A">
              <w:rPr>
                <w:rFonts w:ascii="Arial Narrow" w:hAnsi="Arial Narrow"/>
                <w:color w:val="000000"/>
                <w:sz w:val="20"/>
                <w:szCs w:val="20"/>
              </w:rPr>
              <w:t>Time horizon: 20 years</w:t>
            </w:r>
          </w:p>
        </w:tc>
        <w:tc>
          <w:tcPr>
            <w:tcW w:w="785" w:type="pct"/>
            <w:shd w:val="clear" w:color="auto" w:fill="auto"/>
          </w:tcPr>
          <w:p w:rsidR="00F651D5" w:rsidRPr="003F2520" w:rsidRDefault="00F651D5" w:rsidP="00A50809">
            <w:pPr>
              <w:widowControl w:val="0"/>
              <w:jc w:val="center"/>
              <w:rPr>
                <w:rFonts w:ascii="Arial Narrow" w:hAnsi="Arial Narrow"/>
                <w:sz w:val="20"/>
                <w:szCs w:val="20"/>
              </w:rPr>
            </w:pPr>
            <w:r w:rsidRPr="00423216">
              <w:rPr>
                <w:rFonts w:ascii="Arial Narrow" w:hAnsi="Arial Narrow"/>
                <w:bCs/>
                <w:sz w:val="20"/>
                <w:szCs w:val="20"/>
              </w:rPr>
              <w:t>$</w:t>
            </w:r>
            <w:r w:rsidR="003F2520">
              <w:rPr>
                <w:rFonts w:ascii="Arial Narrow" w:hAnsi="Arial Narrow"/>
                <w:noProof/>
                <w:color w:val="000000"/>
                <w:sz w:val="20"/>
                <w:szCs w:val="20"/>
                <w:highlight w:val="black"/>
              </w:rPr>
              <w:t>''''''''''''''''</w:t>
            </w:r>
          </w:p>
        </w:tc>
        <w:tc>
          <w:tcPr>
            <w:tcW w:w="708" w:type="pct"/>
            <w:shd w:val="clear" w:color="auto" w:fill="auto"/>
          </w:tcPr>
          <w:p w:rsidR="00F651D5" w:rsidRPr="008E3F1A" w:rsidRDefault="00F651D5" w:rsidP="00A50809">
            <w:pPr>
              <w:widowControl w:val="0"/>
              <w:jc w:val="center"/>
              <w:rPr>
                <w:rFonts w:ascii="Arial Narrow" w:hAnsi="Arial Narrow"/>
                <w:sz w:val="20"/>
                <w:szCs w:val="20"/>
              </w:rPr>
            </w:pPr>
            <w:r w:rsidRPr="008E3F1A">
              <w:rPr>
                <w:rFonts w:ascii="Arial Narrow" w:hAnsi="Arial Narrow"/>
                <w:sz w:val="20"/>
                <w:szCs w:val="20"/>
              </w:rPr>
              <w:t>1.13</w:t>
            </w:r>
          </w:p>
        </w:tc>
        <w:tc>
          <w:tcPr>
            <w:tcW w:w="758" w:type="pct"/>
            <w:shd w:val="clear" w:color="auto" w:fill="auto"/>
          </w:tcPr>
          <w:p w:rsidR="00F651D5" w:rsidRPr="003F2520" w:rsidRDefault="00F651D5" w:rsidP="00A50809">
            <w:pPr>
              <w:widowControl w:val="0"/>
              <w:jc w:val="center"/>
              <w:rPr>
                <w:rFonts w:ascii="Arial Narrow" w:hAnsi="Arial Narrow"/>
                <w:sz w:val="20"/>
                <w:szCs w:val="20"/>
              </w:rPr>
            </w:pPr>
            <w:r w:rsidRPr="00423216">
              <w:rPr>
                <w:rFonts w:ascii="Arial Narrow" w:hAnsi="Arial Narrow"/>
                <w:bCs/>
                <w:sz w:val="20"/>
                <w:szCs w:val="20"/>
              </w:rPr>
              <w:t>$</w:t>
            </w:r>
            <w:r w:rsidR="003F2520">
              <w:rPr>
                <w:rFonts w:ascii="Arial Narrow" w:hAnsi="Arial Narrow"/>
                <w:noProof/>
                <w:color w:val="000000"/>
                <w:sz w:val="20"/>
                <w:szCs w:val="20"/>
                <w:highlight w:val="black"/>
              </w:rPr>
              <w:t>'''''''''''''''</w:t>
            </w:r>
            <w:r w:rsidR="003C4832">
              <w:rPr>
                <w:rFonts w:ascii="Arial Narrow" w:hAnsi="Arial Narrow"/>
                <w:bCs/>
                <w:sz w:val="20"/>
                <w:szCs w:val="20"/>
                <w:vertAlign w:val="superscript"/>
              </w:rPr>
              <w:t>2</w:t>
            </w:r>
          </w:p>
        </w:tc>
      </w:tr>
      <w:tr w:rsidR="00540130" w:rsidRPr="008E3F1A" w:rsidTr="008F3F3D">
        <w:trPr>
          <w:trHeight w:val="20"/>
        </w:trPr>
        <w:tc>
          <w:tcPr>
            <w:tcW w:w="940" w:type="pct"/>
            <w:vMerge/>
            <w:shd w:val="clear" w:color="auto" w:fill="auto"/>
          </w:tcPr>
          <w:p w:rsidR="00540130" w:rsidRPr="008E3F1A" w:rsidRDefault="00540130" w:rsidP="00540130">
            <w:pPr>
              <w:widowControl w:val="0"/>
              <w:jc w:val="left"/>
              <w:rPr>
                <w:rFonts w:ascii="Arial Narrow" w:hAnsi="Arial Narrow"/>
                <w:bCs/>
                <w:sz w:val="20"/>
                <w:szCs w:val="20"/>
              </w:rPr>
            </w:pPr>
          </w:p>
        </w:tc>
        <w:tc>
          <w:tcPr>
            <w:tcW w:w="1809" w:type="pct"/>
            <w:shd w:val="clear" w:color="auto" w:fill="auto"/>
          </w:tcPr>
          <w:p w:rsidR="00540130" w:rsidRPr="008E3F1A" w:rsidRDefault="00540130" w:rsidP="00540130">
            <w:pPr>
              <w:widowControl w:val="0"/>
              <w:jc w:val="left"/>
              <w:rPr>
                <w:rFonts w:ascii="Arial Narrow" w:hAnsi="Arial Narrow"/>
                <w:color w:val="000000"/>
                <w:sz w:val="20"/>
                <w:szCs w:val="20"/>
              </w:rPr>
            </w:pPr>
            <w:r w:rsidRPr="008E3F1A">
              <w:rPr>
                <w:rFonts w:ascii="Arial Narrow" w:hAnsi="Arial Narrow"/>
                <w:color w:val="000000"/>
                <w:sz w:val="20"/>
                <w:szCs w:val="20"/>
              </w:rPr>
              <w:t>Time horizon: 25 years</w:t>
            </w:r>
            <w:r w:rsidR="003D5557" w:rsidRPr="008E3F1A">
              <w:rPr>
                <w:rFonts w:ascii="Arial Narrow" w:hAnsi="Arial Narrow"/>
                <w:color w:val="000000"/>
                <w:sz w:val="20"/>
                <w:szCs w:val="20"/>
              </w:rPr>
              <w:t>**</w:t>
            </w:r>
          </w:p>
        </w:tc>
        <w:tc>
          <w:tcPr>
            <w:tcW w:w="785" w:type="pct"/>
            <w:shd w:val="clear" w:color="auto" w:fill="auto"/>
          </w:tcPr>
          <w:p w:rsidR="00540130" w:rsidRPr="003F2520" w:rsidRDefault="00540130" w:rsidP="00540130">
            <w:pPr>
              <w:widowControl w:val="0"/>
              <w:jc w:val="center"/>
              <w:rPr>
                <w:rFonts w:ascii="Arial Narrow" w:hAnsi="Arial Narrow"/>
                <w:color w:val="000000"/>
                <w:sz w:val="20"/>
                <w:szCs w:val="20"/>
              </w:rPr>
            </w:pPr>
            <w:r w:rsidRPr="00423216">
              <w:rPr>
                <w:rFonts w:ascii="Arial Narrow" w:hAnsi="Arial Narrow"/>
                <w:bCs/>
                <w:sz w:val="20"/>
                <w:szCs w:val="20"/>
              </w:rPr>
              <w:t>$</w:t>
            </w:r>
            <w:r w:rsidR="003F2520">
              <w:rPr>
                <w:rFonts w:ascii="Arial Narrow" w:hAnsi="Arial Narrow"/>
                <w:noProof/>
                <w:color w:val="000000"/>
                <w:sz w:val="20"/>
                <w:szCs w:val="20"/>
                <w:highlight w:val="black"/>
              </w:rPr>
              <w:t>'''''''''''''''</w:t>
            </w:r>
          </w:p>
        </w:tc>
        <w:tc>
          <w:tcPr>
            <w:tcW w:w="708" w:type="pct"/>
            <w:shd w:val="clear" w:color="auto" w:fill="auto"/>
          </w:tcPr>
          <w:p w:rsidR="00540130" w:rsidRPr="008E3F1A" w:rsidRDefault="00540130" w:rsidP="00540130">
            <w:pPr>
              <w:widowControl w:val="0"/>
              <w:jc w:val="center"/>
              <w:rPr>
                <w:rFonts w:ascii="Arial Narrow" w:hAnsi="Arial Narrow"/>
                <w:color w:val="000000"/>
                <w:sz w:val="20"/>
                <w:szCs w:val="20"/>
              </w:rPr>
            </w:pPr>
            <w:r w:rsidRPr="008E3F1A">
              <w:rPr>
                <w:rFonts w:ascii="Arial Narrow" w:hAnsi="Arial Narrow"/>
                <w:color w:val="000000"/>
                <w:sz w:val="20"/>
                <w:szCs w:val="20"/>
              </w:rPr>
              <w:t>1.30</w:t>
            </w:r>
          </w:p>
        </w:tc>
        <w:tc>
          <w:tcPr>
            <w:tcW w:w="758" w:type="pct"/>
            <w:shd w:val="clear" w:color="auto" w:fill="auto"/>
          </w:tcPr>
          <w:p w:rsidR="00540130" w:rsidRPr="003F2520" w:rsidRDefault="00540130" w:rsidP="00540130">
            <w:pPr>
              <w:widowControl w:val="0"/>
              <w:jc w:val="center"/>
              <w:rPr>
                <w:rFonts w:ascii="Arial Narrow" w:hAnsi="Arial Narrow"/>
                <w:color w:val="000000"/>
                <w:sz w:val="20"/>
                <w:szCs w:val="20"/>
              </w:rPr>
            </w:pPr>
            <w:r w:rsidRPr="00423216">
              <w:rPr>
                <w:rFonts w:ascii="Arial Narrow" w:hAnsi="Arial Narrow"/>
                <w:bCs/>
                <w:sz w:val="20"/>
                <w:szCs w:val="20"/>
              </w:rPr>
              <w:t>$</w:t>
            </w:r>
            <w:r w:rsidR="003F2520">
              <w:rPr>
                <w:rFonts w:ascii="Arial Narrow" w:hAnsi="Arial Narrow"/>
                <w:noProof/>
                <w:color w:val="000000"/>
                <w:sz w:val="20"/>
                <w:szCs w:val="20"/>
                <w:highlight w:val="black"/>
              </w:rPr>
              <w:t>'''''''''''''''</w:t>
            </w:r>
            <w:r w:rsidR="003C4832">
              <w:rPr>
                <w:rFonts w:ascii="Arial Narrow" w:hAnsi="Arial Narrow"/>
                <w:bCs/>
                <w:sz w:val="20"/>
                <w:szCs w:val="20"/>
                <w:vertAlign w:val="superscript"/>
              </w:rPr>
              <w:t>2</w:t>
            </w:r>
          </w:p>
        </w:tc>
      </w:tr>
      <w:tr w:rsidR="008F3F3D" w:rsidRPr="008E3F1A" w:rsidTr="008F3F3D">
        <w:trPr>
          <w:trHeight w:val="20"/>
        </w:trPr>
        <w:tc>
          <w:tcPr>
            <w:tcW w:w="940" w:type="pct"/>
            <w:vMerge/>
            <w:shd w:val="clear" w:color="auto" w:fill="auto"/>
          </w:tcPr>
          <w:p w:rsidR="00F651D5" w:rsidRPr="008E3F1A" w:rsidRDefault="00F651D5" w:rsidP="00A50809">
            <w:pPr>
              <w:widowControl w:val="0"/>
              <w:jc w:val="left"/>
              <w:rPr>
                <w:rFonts w:ascii="Arial Narrow" w:hAnsi="Arial Narrow"/>
                <w:bCs/>
                <w:sz w:val="20"/>
                <w:szCs w:val="20"/>
              </w:rPr>
            </w:pPr>
          </w:p>
        </w:tc>
        <w:tc>
          <w:tcPr>
            <w:tcW w:w="1809" w:type="pct"/>
            <w:shd w:val="clear" w:color="auto" w:fill="auto"/>
          </w:tcPr>
          <w:p w:rsidR="00F651D5" w:rsidRPr="008E3F1A" w:rsidRDefault="00F651D5" w:rsidP="00A50809">
            <w:pPr>
              <w:widowControl w:val="0"/>
              <w:jc w:val="left"/>
              <w:rPr>
                <w:rFonts w:ascii="Arial Narrow" w:hAnsi="Arial Narrow"/>
                <w:bCs/>
                <w:sz w:val="20"/>
                <w:szCs w:val="20"/>
              </w:rPr>
            </w:pPr>
            <w:r w:rsidRPr="008E3F1A">
              <w:rPr>
                <w:rFonts w:ascii="Arial Narrow" w:hAnsi="Arial Narrow"/>
                <w:color w:val="000000"/>
                <w:sz w:val="20"/>
                <w:szCs w:val="20"/>
              </w:rPr>
              <w:t>Time horizon: 30 years</w:t>
            </w:r>
          </w:p>
        </w:tc>
        <w:tc>
          <w:tcPr>
            <w:tcW w:w="785" w:type="pct"/>
            <w:shd w:val="clear" w:color="auto" w:fill="auto"/>
          </w:tcPr>
          <w:p w:rsidR="00F651D5" w:rsidRPr="003F2520" w:rsidRDefault="00F651D5" w:rsidP="00A50809">
            <w:pPr>
              <w:widowControl w:val="0"/>
              <w:jc w:val="center"/>
              <w:rPr>
                <w:rFonts w:ascii="Arial Narrow" w:hAnsi="Arial Narrow"/>
                <w:sz w:val="20"/>
                <w:szCs w:val="20"/>
              </w:rPr>
            </w:pPr>
            <w:r w:rsidRPr="00423216">
              <w:rPr>
                <w:rFonts w:ascii="Arial Narrow" w:hAnsi="Arial Narrow"/>
                <w:bCs/>
                <w:sz w:val="20"/>
                <w:szCs w:val="20"/>
              </w:rPr>
              <w:t>$</w:t>
            </w:r>
            <w:r w:rsidR="003F2520">
              <w:rPr>
                <w:rFonts w:ascii="Arial Narrow" w:hAnsi="Arial Narrow"/>
                <w:noProof/>
                <w:color w:val="000000"/>
                <w:sz w:val="20"/>
                <w:szCs w:val="20"/>
                <w:highlight w:val="black"/>
              </w:rPr>
              <w:t>''''''''''''''''</w:t>
            </w:r>
          </w:p>
        </w:tc>
        <w:tc>
          <w:tcPr>
            <w:tcW w:w="708" w:type="pct"/>
            <w:shd w:val="clear" w:color="auto" w:fill="auto"/>
          </w:tcPr>
          <w:p w:rsidR="00F651D5" w:rsidRPr="008E3F1A" w:rsidRDefault="00F651D5" w:rsidP="00A50809">
            <w:pPr>
              <w:widowControl w:val="0"/>
              <w:jc w:val="center"/>
              <w:rPr>
                <w:rFonts w:ascii="Arial Narrow" w:hAnsi="Arial Narrow"/>
                <w:sz w:val="20"/>
                <w:szCs w:val="20"/>
              </w:rPr>
            </w:pPr>
            <w:r w:rsidRPr="008E3F1A">
              <w:rPr>
                <w:rFonts w:ascii="Arial Narrow" w:hAnsi="Arial Narrow"/>
                <w:sz w:val="20"/>
                <w:szCs w:val="20"/>
              </w:rPr>
              <w:t>1.40</w:t>
            </w:r>
          </w:p>
        </w:tc>
        <w:tc>
          <w:tcPr>
            <w:tcW w:w="758" w:type="pct"/>
            <w:shd w:val="clear" w:color="auto" w:fill="auto"/>
          </w:tcPr>
          <w:p w:rsidR="00F651D5" w:rsidRPr="003F2520" w:rsidRDefault="00F651D5" w:rsidP="00A50809">
            <w:pPr>
              <w:widowControl w:val="0"/>
              <w:jc w:val="center"/>
              <w:rPr>
                <w:rFonts w:ascii="Arial Narrow" w:hAnsi="Arial Narrow"/>
                <w:sz w:val="20"/>
                <w:szCs w:val="20"/>
              </w:rPr>
            </w:pPr>
            <w:r w:rsidRPr="00423216">
              <w:rPr>
                <w:rFonts w:ascii="Arial Narrow" w:hAnsi="Arial Narrow"/>
                <w:bCs/>
                <w:sz w:val="20"/>
                <w:szCs w:val="20"/>
              </w:rPr>
              <w:t>$</w:t>
            </w:r>
            <w:r w:rsidR="003F2520">
              <w:rPr>
                <w:rFonts w:ascii="Arial Narrow" w:hAnsi="Arial Narrow"/>
                <w:noProof/>
                <w:color w:val="000000"/>
                <w:sz w:val="20"/>
                <w:szCs w:val="20"/>
                <w:highlight w:val="black"/>
              </w:rPr>
              <w:t>''''''''''''''''</w:t>
            </w:r>
            <w:r w:rsidR="003C4832">
              <w:rPr>
                <w:rFonts w:ascii="Arial Narrow" w:hAnsi="Arial Narrow"/>
                <w:bCs/>
                <w:sz w:val="20"/>
                <w:szCs w:val="20"/>
                <w:vertAlign w:val="superscript"/>
              </w:rPr>
              <w:t>1</w:t>
            </w:r>
          </w:p>
        </w:tc>
      </w:tr>
      <w:tr w:rsidR="008F3F3D" w:rsidRPr="008E3F1A" w:rsidTr="008F3F3D">
        <w:trPr>
          <w:trHeight w:val="20"/>
        </w:trPr>
        <w:tc>
          <w:tcPr>
            <w:tcW w:w="940" w:type="pct"/>
            <w:vMerge w:val="restart"/>
            <w:shd w:val="clear" w:color="auto" w:fill="auto"/>
          </w:tcPr>
          <w:p w:rsidR="00DC05CE" w:rsidRPr="008E3F1A" w:rsidRDefault="00DC05CE" w:rsidP="00A50809">
            <w:pPr>
              <w:widowControl w:val="0"/>
              <w:jc w:val="left"/>
              <w:rPr>
                <w:rFonts w:ascii="Arial Narrow" w:hAnsi="Arial Narrow"/>
                <w:bCs/>
                <w:sz w:val="20"/>
                <w:szCs w:val="20"/>
              </w:rPr>
            </w:pPr>
            <w:r w:rsidRPr="008E3F1A">
              <w:rPr>
                <w:rFonts w:ascii="Arial Narrow" w:hAnsi="Arial Narrow"/>
                <w:bCs/>
                <w:sz w:val="20"/>
                <w:szCs w:val="20"/>
              </w:rPr>
              <w:t>Time on treatment: Distributed as per ECHELON-2</w:t>
            </w:r>
          </w:p>
        </w:tc>
        <w:tc>
          <w:tcPr>
            <w:tcW w:w="1809" w:type="pct"/>
            <w:shd w:val="clear" w:color="auto" w:fill="auto"/>
          </w:tcPr>
          <w:p w:rsidR="00DC05CE" w:rsidRPr="008E3F1A" w:rsidRDefault="00DC05CE" w:rsidP="00A50809">
            <w:pPr>
              <w:widowControl w:val="0"/>
              <w:jc w:val="left"/>
              <w:rPr>
                <w:rFonts w:ascii="Arial Narrow" w:hAnsi="Arial Narrow"/>
                <w:bCs/>
                <w:sz w:val="20"/>
                <w:szCs w:val="20"/>
              </w:rPr>
            </w:pPr>
            <w:r w:rsidRPr="008E3F1A">
              <w:rPr>
                <w:rFonts w:ascii="Arial Narrow" w:hAnsi="Arial Narrow"/>
                <w:sz w:val="20"/>
                <w:szCs w:val="20"/>
              </w:rPr>
              <w:t>Distributed as per ECHELON-2, capped at 6 cycles</w:t>
            </w:r>
          </w:p>
        </w:tc>
        <w:tc>
          <w:tcPr>
            <w:tcW w:w="785" w:type="pct"/>
            <w:shd w:val="clear" w:color="auto" w:fill="auto"/>
          </w:tcPr>
          <w:p w:rsidR="00DC05CE" w:rsidRPr="003F2520" w:rsidRDefault="00DC05CE" w:rsidP="00A50809">
            <w:pPr>
              <w:widowControl w:val="0"/>
              <w:jc w:val="center"/>
              <w:rPr>
                <w:rFonts w:ascii="Arial Narrow" w:hAnsi="Arial Narrow"/>
                <w:sz w:val="20"/>
                <w:szCs w:val="20"/>
              </w:rPr>
            </w:pPr>
            <w:r w:rsidRPr="00423216">
              <w:rPr>
                <w:rFonts w:ascii="Arial Narrow" w:hAnsi="Arial Narrow"/>
                <w:bCs/>
                <w:sz w:val="20"/>
                <w:szCs w:val="20"/>
              </w:rPr>
              <w:t>$</w:t>
            </w:r>
            <w:r w:rsidR="003F2520">
              <w:rPr>
                <w:rFonts w:ascii="Arial Narrow" w:hAnsi="Arial Narrow"/>
                <w:noProof/>
                <w:color w:val="000000"/>
                <w:sz w:val="20"/>
                <w:szCs w:val="20"/>
                <w:highlight w:val="black"/>
              </w:rPr>
              <w:t>'''''''''''''''</w:t>
            </w:r>
          </w:p>
        </w:tc>
        <w:tc>
          <w:tcPr>
            <w:tcW w:w="708" w:type="pct"/>
            <w:shd w:val="clear" w:color="auto" w:fill="auto"/>
          </w:tcPr>
          <w:p w:rsidR="00DC05CE" w:rsidRPr="008E3F1A" w:rsidRDefault="00DC05CE" w:rsidP="00A50809">
            <w:pPr>
              <w:widowControl w:val="0"/>
              <w:jc w:val="center"/>
              <w:rPr>
                <w:rFonts w:ascii="Arial Narrow" w:hAnsi="Arial Narrow"/>
                <w:sz w:val="20"/>
                <w:szCs w:val="20"/>
              </w:rPr>
            </w:pPr>
            <w:r w:rsidRPr="008E3F1A">
              <w:rPr>
                <w:rFonts w:ascii="Arial Narrow" w:hAnsi="Arial Narrow"/>
                <w:sz w:val="20"/>
                <w:szCs w:val="20"/>
              </w:rPr>
              <w:t>1.48</w:t>
            </w:r>
          </w:p>
        </w:tc>
        <w:tc>
          <w:tcPr>
            <w:tcW w:w="758" w:type="pct"/>
            <w:shd w:val="clear" w:color="auto" w:fill="auto"/>
          </w:tcPr>
          <w:p w:rsidR="00DC05CE" w:rsidRPr="003F2520" w:rsidRDefault="00DC05CE" w:rsidP="00A50809">
            <w:pPr>
              <w:widowControl w:val="0"/>
              <w:jc w:val="center"/>
              <w:rPr>
                <w:rFonts w:ascii="Arial Narrow" w:hAnsi="Arial Narrow"/>
                <w:sz w:val="20"/>
                <w:szCs w:val="20"/>
              </w:rPr>
            </w:pPr>
            <w:r w:rsidRPr="00423216">
              <w:rPr>
                <w:rFonts w:ascii="Arial Narrow" w:hAnsi="Arial Narrow"/>
                <w:bCs/>
                <w:sz w:val="20"/>
                <w:szCs w:val="20"/>
              </w:rPr>
              <w:t>$</w:t>
            </w:r>
            <w:r w:rsidR="003F2520">
              <w:rPr>
                <w:rFonts w:ascii="Arial Narrow" w:hAnsi="Arial Narrow"/>
                <w:noProof/>
                <w:color w:val="000000"/>
                <w:sz w:val="20"/>
                <w:szCs w:val="20"/>
                <w:highlight w:val="black"/>
              </w:rPr>
              <w:t>''''''''''''''''''</w:t>
            </w:r>
            <w:r w:rsidR="003C4832">
              <w:rPr>
                <w:rFonts w:ascii="Arial Narrow" w:hAnsi="Arial Narrow"/>
                <w:bCs/>
                <w:sz w:val="20"/>
                <w:szCs w:val="20"/>
                <w:vertAlign w:val="superscript"/>
              </w:rPr>
              <w:t>1</w:t>
            </w:r>
          </w:p>
        </w:tc>
      </w:tr>
      <w:tr w:rsidR="008F3F3D" w:rsidRPr="008E3F1A" w:rsidTr="008F3F3D">
        <w:trPr>
          <w:trHeight w:val="20"/>
        </w:trPr>
        <w:tc>
          <w:tcPr>
            <w:tcW w:w="940" w:type="pct"/>
            <w:vMerge/>
            <w:shd w:val="clear" w:color="auto" w:fill="auto"/>
          </w:tcPr>
          <w:p w:rsidR="00DC05CE" w:rsidRPr="008E3F1A" w:rsidRDefault="00DC05CE" w:rsidP="00A50809">
            <w:pPr>
              <w:widowControl w:val="0"/>
              <w:jc w:val="left"/>
              <w:rPr>
                <w:rFonts w:ascii="Arial Narrow" w:hAnsi="Arial Narrow"/>
                <w:bCs/>
                <w:sz w:val="20"/>
                <w:szCs w:val="20"/>
              </w:rPr>
            </w:pPr>
          </w:p>
        </w:tc>
        <w:tc>
          <w:tcPr>
            <w:tcW w:w="1809" w:type="pct"/>
            <w:shd w:val="clear" w:color="auto" w:fill="auto"/>
          </w:tcPr>
          <w:p w:rsidR="00DC05CE" w:rsidRPr="008E3F1A" w:rsidRDefault="00DC05CE" w:rsidP="00A50809">
            <w:pPr>
              <w:widowControl w:val="0"/>
              <w:jc w:val="left"/>
              <w:rPr>
                <w:rFonts w:ascii="Arial Narrow" w:hAnsi="Arial Narrow"/>
                <w:bCs/>
                <w:sz w:val="20"/>
                <w:szCs w:val="20"/>
              </w:rPr>
            </w:pPr>
            <w:r w:rsidRPr="008E3F1A">
              <w:rPr>
                <w:rFonts w:ascii="Arial Narrow" w:hAnsi="Arial Narrow"/>
                <w:sz w:val="20"/>
                <w:szCs w:val="20"/>
              </w:rPr>
              <w:t>6 cycles (100% patients in cycles 1 to 6)</w:t>
            </w:r>
          </w:p>
        </w:tc>
        <w:tc>
          <w:tcPr>
            <w:tcW w:w="785" w:type="pct"/>
            <w:shd w:val="clear" w:color="auto" w:fill="auto"/>
          </w:tcPr>
          <w:p w:rsidR="00DC05CE" w:rsidRPr="003F2520" w:rsidRDefault="00DC05CE" w:rsidP="00A50809">
            <w:pPr>
              <w:widowControl w:val="0"/>
              <w:jc w:val="center"/>
              <w:rPr>
                <w:rFonts w:ascii="Arial Narrow" w:hAnsi="Arial Narrow"/>
                <w:sz w:val="20"/>
                <w:szCs w:val="20"/>
              </w:rPr>
            </w:pPr>
            <w:r w:rsidRPr="00423216">
              <w:rPr>
                <w:rFonts w:ascii="Arial Narrow" w:hAnsi="Arial Narrow"/>
                <w:bCs/>
                <w:sz w:val="20"/>
                <w:szCs w:val="20"/>
              </w:rPr>
              <w:t>$</w:t>
            </w:r>
            <w:r w:rsidR="003F2520">
              <w:rPr>
                <w:rFonts w:ascii="Arial Narrow" w:hAnsi="Arial Narrow"/>
                <w:noProof/>
                <w:color w:val="000000"/>
                <w:sz w:val="20"/>
                <w:szCs w:val="20"/>
                <w:highlight w:val="black"/>
              </w:rPr>
              <w:t>''''''''''''''''</w:t>
            </w:r>
          </w:p>
        </w:tc>
        <w:tc>
          <w:tcPr>
            <w:tcW w:w="708" w:type="pct"/>
            <w:shd w:val="clear" w:color="auto" w:fill="auto"/>
          </w:tcPr>
          <w:p w:rsidR="00DC05CE" w:rsidRPr="008E3F1A" w:rsidRDefault="00DC05CE" w:rsidP="00A50809">
            <w:pPr>
              <w:widowControl w:val="0"/>
              <w:jc w:val="center"/>
              <w:rPr>
                <w:rFonts w:ascii="Arial Narrow" w:hAnsi="Arial Narrow"/>
                <w:sz w:val="20"/>
                <w:szCs w:val="20"/>
              </w:rPr>
            </w:pPr>
            <w:r w:rsidRPr="008E3F1A">
              <w:rPr>
                <w:rFonts w:ascii="Arial Narrow" w:hAnsi="Arial Narrow"/>
                <w:sz w:val="20"/>
                <w:szCs w:val="20"/>
              </w:rPr>
              <w:t>1.48</w:t>
            </w:r>
          </w:p>
        </w:tc>
        <w:tc>
          <w:tcPr>
            <w:tcW w:w="758" w:type="pct"/>
            <w:shd w:val="clear" w:color="auto" w:fill="auto"/>
          </w:tcPr>
          <w:p w:rsidR="00DC05CE" w:rsidRPr="003F2520" w:rsidRDefault="00DC05CE" w:rsidP="00A50809">
            <w:pPr>
              <w:widowControl w:val="0"/>
              <w:jc w:val="center"/>
              <w:rPr>
                <w:rFonts w:ascii="Arial Narrow" w:hAnsi="Arial Narrow"/>
                <w:sz w:val="20"/>
                <w:szCs w:val="20"/>
              </w:rPr>
            </w:pPr>
            <w:r w:rsidRPr="00423216">
              <w:rPr>
                <w:rFonts w:ascii="Arial Narrow" w:hAnsi="Arial Narrow"/>
                <w:bCs/>
                <w:sz w:val="20"/>
                <w:szCs w:val="20"/>
              </w:rPr>
              <w:t>$</w:t>
            </w:r>
            <w:r w:rsidR="003F2520">
              <w:rPr>
                <w:rFonts w:ascii="Arial Narrow" w:hAnsi="Arial Narrow"/>
                <w:noProof/>
                <w:color w:val="000000"/>
                <w:sz w:val="20"/>
                <w:szCs w:val="20"/>
                <w:highlight w:val="black"/>
              </w:rPr>
              <w:t>''''''''''''''''</w:t>
            </w:r>
            <w:r w:rsidR="003C4832">
              <w:rPr>
                <w:rFonts w:ascii="Arial Narrow" w:hAnsi="Arial Narrow"/>
                <w:bCs/>
                <w:sz w:val="20"/>
                <w:szCs w:val="20"/>
                <w:vertAlign w:val="superscript"/>
              </w:rPr>
              <w:t>1</w:t>
            </w:r>
          </w:p>
        </w:tc>
      </w:tr>
      <w:tr w:rsidR="008F3F3D" w:rsidRPr="008E3F1A" w:rsidTr="008F3F3D">
        <w:trPr>
          <w:trHeight w:val="20"/>
        </w:trPr>
        <w:tc>
          <w:tcPr>
            <w:tcW w:w="940" w:type="pct"/>
            <w:vMerge/>
            <w:shd w:val="clear" w:color="auto" w:fill="auto"/>
          </w:tcPr>
          <w:p w:rsidR="00DC05CE" w:rsidRPr="008E3F1A" w:rsidRDefault="00DC05CE" w:rsidP="00A50809">
            <w:pPr>
              <w:widowControl w:val="0"/>
              <w:jc w:val="left"/>
              <w:rPr>
                <w:rFonts w:ascii="Arial Narrow" w:hAnsi="Arial Narrow"/>
                <w:bCs/>
                <w:sz w:val="20"/>
                <w:szCs w:val="20"/>
              </w:rPr>
            </w:pPr>
          </w:p>
        </w:tc>
        <w:tc>
          <w:tcPr>
            <w:tcW w:w="1809" w:type="pct"/>
            <w:shd w:val="clear" w:color="auto" w:fill="auto"/>
          </w:tcPr>
          <w:p w:rsidR="00DC05CE" w:rsidRPr="008E3F1A" w:rsidRDefault="00DC05CE" w:rsidP="00A50809">
            <w:pPr>
              <w:widowControl w:val="0"/>
              <w:jc w:val="left"/>
              <w:rPr>
                <w:rFonts w:ascii="Arial Narrow" w:hAnsi="Arial Narrow"/>
                <w:bCs/>
                <w:sz w:val="20"/>
                <w:szCs w:val="20"/>
              </w:rPr>
            </w:pPr>
            <w:r w:rsidRPr="008E3F1A">
              <w:rPr>
                <w:rFonts w:ascii="Arial Narrow" w:hAnsi="Arial Narrow"/>
                <w:sz w:val="20"/>
                <w:szCs w:val="20"/>
              </w:rPr>
              <w:t>8 cycles (100% patients in cycles 1 to 8)</w:t>
            </w:r>
          </w:p>
        </w:tc>
        <w:tc>
          <w:tcPr>
            <w:tcW w:w="785" w:type="pct"/>
            <w:shd w:val="clear" w:color="auto" w:fill="auto"/>
          </w:tcPr>
          <w:p w:rsidR="00DC05CE" w:rsidRPr="003F2520" w:rsidRDefault="00DC05CE" w:rsidP="00A50809">
            <w:pPr>
              <w:widowControl w:val="0"/>
              <w:jc w:val="center"/>
              <w:rPr>
                <w:rFonts w:ascii="Arial Narrow" w:hAnsi="Arial Narrow"/>
                <w:sz w:val="20"/>
                <w:szCs w:val="20"/>
              </w:rPr>
            </w:pPr>
            <w:r w:rsidRPr="00423216">
              <w:rPr>
                <w:rFonts w:ascii="Arial Narrow" w:hAnsi="Arial Narrow"/>
                <w:bCs/>
                <w:sz w:val="20"/>
                <w:szCs w:val="20"/>
              </w:rPr>
              <w:t>$</w:t>
            </w:r>
            <w:r w:rsidR="003F2520">
              <w:rPr>
                <w:rFonts w:ascii="Arial Narrow" w:hAnsi="Arial Narrow"/>
                <w:noProof/>
                <w:color w:val="000000"/>
                <w:sz w:val="20"/>
                <w:szCs w:val="20"/>
                <w:highlight w:val="black"/>
              </w:rPr>
              <w:t>'''''''''''''''''</w:t>
            </w:r>
          </w:p>
        </w:tc>
        <w:tc>
          <w:tcPr>
            <w:tcW w:w="708" w:type="pct"/>
            <w:shd w:val="clear" w:color="auto" w:fill="auto"/>
          </w:tcPr>
          <w:p w:rsidR="00DC05CE" w:rsidRPr="008E3F1A" w:rsidRDefault="00DC05CE" w:rsidP="00A50809">
            <w:pPr>
              <w:widowControl w:val="0"/>
              <w:jc w:val="center"/>
              <w:rPr>
                <w:rFonts w:ascii="Arial Narrow" w:hAnsi="Arial Narrow"/>
                <w:sz w:val="20"/>
                <w:szCs w:val="20"/>
              </w:rPr>
            </w:pPr>
            <w:r w:rsidRPr="008E3F1A">
              <w:rPr>
                <w:rFonts w:ascii="Arial Narrow" w:hAnsi="Arial Narrow"/>
                <w:sz w:val="20"/>
                <w:szCs w:val="20"/>
              </w:rPr>
              <w:t>1.48</w:t>
            </w:r>
          </w:p>
        </w:tc>
        <w:tc>
          <w:tcPr>
            <w:tcW w:w="758" w:type="pct"/>
            <w:shd w:val="clear" w:color="auto" w:fill="auto"/>
          </w:tcPr>
          <w:p w:rsidR="00DC05CE" w:rsidRPr="003F2520" w:rsidRDefault="00DC05CE" w:rsidP="00A50809">
            <w:pPr>
              <w:widowControl w:val="0"/>
              <w:jc w:val="center"/>
              <w:rPr>
                <w:rFonts w:ascii="Arial Narrow" w:hAnsi="Arial Narrow"/>
                <w:sz w:val="20"/>
                <w:szCs w:val="20"/>
              </w:rPr>
            </w:pPr>
            <w:r w:rsidRPr="00423216">
              <w:rPr>
                <w:rFonts w:ascii="Arial Narrow" w:hAnsi="Arial Narrow"/>
                <w:bCs/>
                <w:sz w:val="20"/>
                <w:szCs w:val="20"/>
              </w:rPr>
              <w:t>$</w:t>
            </w:r>
            <w:r w:rsidR="003F2520">
              <w:rPr>
                <w:rFonts w:ascii="Arial Narrow" w:hAnsi="Arial Narrow"/>
                <w:noProof/>
                <w:color w:val="000000"/>
                <w:sz w:val="20"/>
                <w:szCs w:val="20"/>
                <w:highlight w:val="black"/>
              </w:rPr>
              <w:t>'''''''''''''''''</w:t>
            </w:r>
            <w:r w:rsidR="003C4832">
              <w:rPr>
                <w:rFonts w:ascii="Arial Narrow" w:hAnsi="Arial Narrow"/>
                <w:bCs/>
                <w:sz w:val="20"/>
                <w:szCs w:val="20"/>
                <w:vertAlign w:val="superscript"/>
              </w:rPr>
              <w:t>5</w:t>
            </w:r>
          </w:p>
        </w:tc>
      </w:tr>
      <w:tr w:rsidR="008F3F3D" w:rsidRPr="008E3F1A" w:rsidTr="008F3F3D">
        <w:trPr>
          <w:trHeight w:val="20"/>
        </w:trPr>
        <w:tc>
          <w:tcPr>
            <w:tcW w:w="940" w:type="pct"/>
            <w:shd w:val="clear" w:color="auto" w:fill="auto"/>
          </w:tcPr>
          <w:p w:rsidR="00DC05CE" w:rsidRPr="008E3F1A" w:rsidRDefault="00DC05CE" w:rsidP="00A50809">
            <w:pPr>
              <w:widowControl w:val="0"/>
              <w:jc w:val="left"/>
              <w:rPr>
                <w:rFonts w:ascii="Arial Narrow" w:hAnsi="Arial Narrow"/>
                <w:bCs/>
                <w:sz w:val="20"/>
                <w:szCs w:val="20"/>
              </w:rPr>
            </w:pPr>
            <w:r w:rsidRPr="008E3F1A">
              <w:rPr>
                <w:rFonts w:ascii="Arial Narrow" w:hAnsi="Arial Narrow"/>
                <w:bCs/>
                <w:sz w:val="20"/>
                <w:szCs w:val="20"/>
              </w:rPr>
              <w:t>Distribution of subsequent BV and salvage chemotherapies based on ECHELON-2</w:t>
            </w:r>
            <w:r w:rsidR="004C6F36" w:rsidRPr="008E3F1A">
              <w:rPr>
                <w:rFonts w:ascii="Arial Narrow" w:hAnsi="Arial Narrow"/>
                <w:bCs/>
                <w:sz w:val="20"/>
                <w:szCs w:val="20"/>
              </w:rPr>
              <w:t>, in BV+CHP arm 0.32, in CHOP arm 0.53</w:t>
            </w:r>
          </w:p>
        </w:tc>
        <w:tc>
          <w:tcPr>
            <w:tcW w:w="1809" w:type="pct"/>
            <w:shd w:val="clear" w:color="auto" w:fill="auto"/>
          </w:tcPr>
          <w:p w:rsidR="00DC05CE" w:rsidRPr="008E3F1A" w:rsidRDefault="00DC05CE" w:rsidP="00A50809">
            <w:pPr>
              <w:widowControl w:val="0"/>
              <w:jc w:val="left"/>
              <w:rPr>
                <w:rFonts w:ascii="Arial Narrow" w:hAnsi="Arial Narrow"/>
                <w:bCs/>
                <w:sz w:val="20"/>
                <w:szCs w:val="20"/>
              </w:rPr>
            </w:pPr>
            <w:r w:rsidRPr="008E3F1A">
              <w:rPr>
                <w:rFonts w:ascii="Arial Narrow" w:hAnsi="Arial Narrow"/>
                <w:bCs/>
                <w:sz w:val="20"/>
                <w:szCs w:val="20"/>
              </w:rPr>
              <w:t>Distribution of subsequent BV and salvage chemotherapies based on Australian setting</w:t>
            </w:r>
            <w:r w:rsidR="004C6F36" w:rsidRPr="008E3F1A">
              <w:rPr>
                <w:rFonts w:ascii="Arial Narrow" w:hAnsi="Arial Narrow"/>
                <w:bCs/>
                <w:sz w:val="20"/>
                <w:szCs w:val="20"/>
              </w:rPr>
              <w:t xml:space="preserve">, in BV+CHP arm </w:t>
            </w:r>
            <w:r w:rsidR="00A424B6" w:rsidRPr="008E3F1A">
              <w:rPr>
                <w:rFonts w:ascii="Arial Narrow" w:hAnsi="Arial Narrow"/>
                <w:bCs/>
                <w:sz w:val="20"/>
                <w:szCs w:val="20"/>
              </w:rPr>
              <w:t>0, in CHOP arm 0.56.</w:t>
            </w:r>
          </w:p>
        </w:tc>
        <w:tc>
          <w:tcPr>
            <w:tcW w:w="785" w:type="pct"/>
            <w:shd w:val="clear" w:color="auto" w:fill="auto"/>
          </w:tcPr>
          <w:p w:rsidR="00DC05CE" w:rsidRPr="003F2520" w:rsidRDefault="00DC05CE" w:rsidP="00A50809">
            <w:pPr>
              <w:widowControl w:val="0"/>
              <w:jc w:val="center"/>
              <w:rPr>
                <w:rFonts w:ascii="Arial Narrow" w:hAnsi="Arial Narrow"/>
                <w:sz w:val="20"/>
                <w:szCs w:val="20"/>
              </w:rPr>
            </w:pPr>
            <w:r w:rsidRPr="00423216">
              <w:rPr>
                <w:rFonts w:ascii="Arial Narrow" w:hAnsi="Arial Narrow"/>
                <w:bCs/>
                <w:sz w:val="20"/>
                <w:szCs w:val="20"/>
              </w:rPr>
              <w:t>$</w:t>
            </w:r>
            <w:r w:rsidR="003F2520">
              <w:rPr>
                <w:rFonts w:ascii="Arial Narrow" w:hAnsi="Arial Narrow"/>
                <w:noProof/>
                <w:color w:val="000000"/>
                <w:sz w:val="20"/>
                <w:szCs w:val="20"/>
                <w:highlight w:val="black"/>
              </w:rPr>
              <w:t>'''''''''''''''</w:t>
            </w:r>
          </w:p>
        </w:tc>
        <w:tc>
          <w:tcPr>
            <w:tcW w:w="708" w:type="pct"/>
            <w:shd w:val="clear" w:color="auto" w:fill="auto"/>
          </w:tcPr>
          <w:p w:rsidR="00DC05CE" w:rsidRPr="008E3F1A" w:rsidRDefault="00DC05CE" w:rsidP="00A50809">
            <w:pPr>
              <w:widowControl w:val="0"/>
              <w:jc w:val="center"/>
              <w:rPr>
                <w:rFonts w:ascii="Arial Narrow" w:hAnsi="Arial Narrow"/>
                <w:sz w:val="20"/>
                <w:szCs w:val="20"/>
              </w:rPr>
            </w:pPr>
            <w:r w:rsidRPr="008E3F1A">
              <w:rPr>
                <w:rFonts w:ascii="Arial Narrow" w:hAnsi="Arial Narrow"/>
                <w:sz w:val="20"/>
                <w:szCs w:val="20"/>
              </w:rPr>
              <w:t>1.48</w:t>
            </w:r>
          </w:p>
        </w:tc>
        <w:tc>
          <w:tcPr>
            <w:tcW w:w="758" w:type="pct"/>
            <w:shd w:val="clear" w:color="auto" w:fill="auto"/>
          </w:tcPr>
          <w:p w:rsidR="00DC05CE" w:rsidRPr="003F2520" w:rsidRDefault="00DC05CE" w:rsidP="00A50809">
            <w:pPr>
              <w:widowControl w:val="0"/>
              <w:jc w:val="center"/>
              <w:rPr>
                <w:rFonts w:ascii="Arial Narrow" w:hAnsi="Arial Narrow"/>
                <w:sz w:val="20"/>
                <w:szCs w:val="20"/>
              </w:rPr>
            </w:pPr>
            <w:r w:rsidRPr="00423216">
              <w:rPr>
                <w:rFonts w:ascii="Arial Narrow" w:hAnsi="Arial Narrow"/>
                <w:bCs/>
                <w:sz w:val="20"/>
                <w:szCs w:val="20"/>
              </w:rPr>
              <w:t>$</w:t>
            </w:r>
            <w:r w:rsidR="003F2520">
              <w:rPr>
                <w:rFonts w:ascii="Arial Narrow" w:hAnsi="Arial Narrow"/>
                <w:noProof/>
                <w:color w:val="000000"/>
                <w:sz w:val="20"/>
                <w:szCs w:val="20"/>
                <w:highlight w:val="black"/>
              </w:rPr>
              <w:t>'''''''''''''''''</w:t>
            </w:r>
            <w:r w:rsidR="003C4832">
              <w:rPr>
                <w:rFonts w:ascii="Arial Narrow" w:hAnsi="Arial Narrow"/>
                <w:bCs/>
                <w:sz w:val="20"/>
                <w:szCs w:val="20"/>
                <w:vertAlign w:val="superscript"/>
              </w:rPr>
              <w:t>6</w:t>
            </w:r>
          </w:p>
        </w:tc>
        <w:bookmarkStart w:id="23" w:name="_GoBack"/>
        <w:bookmarkEnd w:id="23"/>
      </w:tr>
      <w:tr w:rsidR="008F3F3D" w:rsidRPr="008E3F1A" w:rsidTr="008F3F3D">
        <w:trPr>
          <w:trHeight w:val="20"/>
        </w:trPr>
        <w:tc>
          <w:tcPr>
            <w:tcW w:w="940" w:type="pct"/>
            <w:shd w:val="clear" w:color="auto" w:fill="auto"/>
          </w:tcPr>
          <w:p w:rsidR="00785CF2" w:rsidRPr="008E3F1A" w:rsidRDefault="00785CF2" w:rsidP="00785CF2">
            <w:pPr>
              <w:widowControl w:val="0"/>
              <w:jc w:val="left"/>
              <w:rPr>
                <w:rFonts w:ascii="Arial Narrow" w:hAnsi="Arial Narrow"/>
                <w:iCs/>
                <w:sz w:val="20"/>
                <w:szCs w:val="20"/>
              </w:rPr>
            </w:pPr>
            <w:r w:rsidRPr="008E3F1A">
              <w:rPr>
                <w:rFonts w:ascii="Arial Narrow" w:hAnsi="Arial Narrow"/>
                <w:iCs/>
                <w:sz w:val="20"/>
                <w:szCs w:val="20"/>
              </w:rPr>
              <w:t>Extrapolated OS and PFS from the start of the period</w:t>
            </w:r>
            <w:r w:rsidR="00C831F0" w:rsidRPr="008E3F1A">
              <w:rPr>
                <w:rFonts w:ascii="Arial Narrow" w:hAnsi="Arial Narrow"/>
                <w:iCs/>
                <w:sz w:val="20"/>
                <w:szCs w:val="20"/>
              </w:rPr>
              <w:t>*</w:t>
            </w:r>
          </w:p>
        </w:tc>
        <w:tc>
          <w:tcPr>
            <w:tcW w:w="1809" w:type="pct"/>
            <w:shd w:val="clear" w:color="auto" w:fill="auto"/>
          </w:tcPr>
          <w:p w:rsidR="00785CF2" w:rsidRPr="008E3F1A" w:rsidRDefault="00785CF2" w:rsidP="00785CF2">
            <w:pPr>
              <w:widowControl w:val="0"/>
              <w:jc w:val="left"/>
              <w:rPr>
                <w:rFonts w:ascii="Arial Narrow" w:hAnsi="Arial Narrow"/>
                <w:iCs/>
                <w:sz w:val="20"/>
                <w:szCs w:val="20"/>
              </w:rPr>
            </w:pPr>
            <w:r w:rsidRPr="008E3F1A">
              <w:rPr>
                <w:rFonts w:ascii="Arial Narrow" w:hAnsi="Arial Narrow"/>
                <w:iCs/>
                <w:sz w:val="20"/>
                <w:szCs w:val="20"/>
              </w:rPr>
              <w:t>Using KM data for PFS and OS up to 42 months median follow up time point, and extrapolated data thereafter</w:t>
            </w:r>
            <w:r w:rsidRPr="008E3F1A">
              <w:rPr>
                <w:rFonts w:ascii="Arial Narrow" w:hAnsi="Arial Narrow"/>
                <w:iCs/>
                <w:sz w:val="20"/>
                <w:szCs w:val="20"/>
                <w:vertAlign w:val="superscript"/>
              </w:rPr>
              <w:t>a</w:t>
            </w:r>
            <w:r w:rsidRPr="008E3F1A">
              <w:rPr>
                <w:rFonts w:ascii="Arial Narrow" w:hAnsi="Arial Narrow"/>
                <w:iCs/>
                <w:sz w:val="20"/>
                <w:szCs w:val="20"/>
              </w:rPr>
              <w:t>.</w:t>
            </w:r>
          </w:p>
        </w:tc>
        <w:tc>
          <w:tcPr>
            <w:tcW w:w="785" w:type="pct"/>
            <w:shd w:val="clear" w:color="auto" w:fill="auto"/>
          </w:tcPr>
          <w:p w:rsidR="00785CF2" w:rsidRPr="003F2520" w:rsidRDefault="00785CF2" w:rsidP="00785CF2">
            <w:pPr>
              <w:widowControl w:val="0"/>
              <w:jc w:val="center"/>
              <w:rPr>
                <w:rFonts w:ascii="Arial Narrow" w:hAnsi="Arial Narrow"/>
                <w:iCs/>
                <w:sz w:val="20"/>
                <w:szCs w:val="20"/>
              </w:rPr>
            </w:pPr>
            <w:r w:rsidRPr="00423216">
              <w:rPr>
                <w:rFonts w:ascii="Arial Narrow" w:hAnsi="Arial Narrow"/>
                <w:bCs/>
                <w:sz w:val="20"/>
                <w:szCs w:val="20"/>
              </w:rPr>
              <w:t>$</w:t>
            </w:r>
            <w:r w:rsidR="003F2520">
              <w:rPr>
                <w:rFonts w:ascii="Arial Narrow" w:hAnsi="Arial Narrow"/>
                <w:iCs/>
                <w:noProof/>
                <w:color w:val="000000"/>
                <w:sz w:val="20"/>
                <w:szCs w:val="20"/>
                <w:highlight w:val="black"/>
              </w:rPr>
              <w:t>'''''''''''''''''</w:t>
            </w:r>
          </w:p>
        </w:tc>
        <w:tc>
          <w:tcPr>
            <w:tcW w:w="708" w:type="pct"/>
            <w:shd w:val="clear" w:color="auto" w:fill="auto"/>
          </w:tcPr>
          <w:p w:rsidR="00785CF2" w:rsidRPr="008E3F1A" w:rsidRDefault="00785CF2" w:rsidP="00785CF2">
            <w:pPr>
              <w:widowControl w:val="0"/>
              <w:jc w:val="center"/>
              <w:rPr>
                <w:rFonts w:ascii="Arial Narrow" w:hAnsi="Arial Narrow"/>
                <w:iCs/>
                <w:sz w:val="20"/>
                <w:szCs w:val="20"/>
              </w:rPr>
            </w:pPr>
            <w:r w:rsidRPr="008E3F1A">
              <w:rPr>
                <w:rFonts w:ascii="Arial Narrow" w:hAnsi="Arial Narrow"/>
                <w:iCs/>
                <w:color w:val="000000" w:themeColor="text1"/>
                <w:sz w:val="20"/>
                <w:szCs w:val="20"/>
              </w:rPr>
              <w:t>1.</w:t>
            </w:r>
            <w:r w:rsidR="00856217" w:rsidRPr="008E3F1A">
              <w:rPr>
                <w:rFonts w:ascii="Arial Narrow" w:hAnsi="Arial Narrow"/>
                <w:iCs/>
                <w:color w:val="000000" w:themeColor="text1"/>
                <w:sz w:val="20"/>
                <w:szCs w:val="20"/>
              </w:rPr>
              <w:t>30</w:t>
            </w:r>
          </w:p>
        </w:tc>
        <w:tc>
          <w:tcPr>
            <w:tcW w:w="758" w:type="pct"/>
            <w:shd w:val="clear" w:color="auto" w:fill="auto"/>
          </w:tcPr>
          <w:p w:rsidR="00785CF2" w:rsidRPr="003F2520" w:rsidRDefault="00785CF2" w:rsidP="00785CF2">
            <w:pPr>
              <w:widowControl w:val="0"/>
              <w:jc w:val="center"/>
              <w:rPr>
                <w:rFonts w:ascii="Arial Narrow" w:hAnsi="Arial Narrow"/>
                <w:iCs/>
                <w:sz w:val="20"/>
                <w:szCs w:val="20"/>
              </w:rPr>
            </w:pPr>
            <w:r w:rsidRPr="00423216">
              <w:rPr>
                <w:rFonts w:ascii="Arial Narrow" w:hAnsi="Arial Narrow"/>
                <w:bCs/>
                <w:sz w:val="20"/>
                <w:szCs w:val="20"/>
              </w:rPr>
              <w:t>$</w:t>
            </w:r>
            <w:r w:rsidR="003F2520">
              <w:rPr>
                <w:rFonts w:ascii="Arial Narrow" w:hAnsi="Arial Narrow"/>
                <w:iCs/>
                <w:noProof/>
                <w:color w:val="000000"/>
                <w:sz w:val="20"/>
                <w:szCs w:val="20"/>
                <w:highlight w:val="black"/>
              </w:rPr>
              <w:t>''''''''''''''''''</w:t>
            </w:r>
            <w:r w:rsidR="003C4832">
              <w:rPr>
                <w:rFonts w:ascii="Arial Narrow" w:hAnsi="Arial Narrow"/>
                <w:bCs/>
                <w:sz w:val="20"/>
                <w:szCs w:val="20"/>
                <w:vertAlign w:val="superscript"/>
              </w:rPr>
              <w:t>2</w:t>
            </w:r>
          </w:p>
        </w:tc>
      </w:tr>
      <w:tr w:rsidR="008F3F3D" w:rsidRPr="008E3F1A" w:rsidTr="008F3F3D">
        <w:trPr>
          <w:trHeight w:val="20"/>
        </w:trPr>
        <w:tc>
          <w:tcPr>
            <w:tcW w:w="940" w:type="pct"/>
            <w:shd w:val="clear" w:color="auto" w:fill="auto"/>
          </w:tcPr>
          <w:p w:rsidR="00441956" w:rsidRPr="008E3F1A" w:rsidRDefault="00441956" w:rsidP="00441956">
            <w:pPr>
              <w:widowControl w:val="0"/>
              <w:jc w:val="left"/>
              <w:rPr>
                <w:rFonts w:ascii="Arial Narrow" w:hAnsi="Arial Narrow"/>
                <w:iCs/>
                <w:color w:val="000000" w:themeColor="text1"/>
                <w:sz w:val="20"/>
                <w:szCs w:val="20"/>
              </w:rPr>
            </w:pPr>
            <w:r w:rsidRPr="008E3F1A">
              <w:rPr>
                <w:rFonts w:ascii="Arial Narrow" w:hAnsi="Arial Narrow"/>
                <w:iCs/>
                <w:color w:val="000000" w:themeColor="text1"/>
                <w:sz w:val="20"/>
                <w:szCs w:val="20"/>
              </w:rPr>
              <w:t>No convergence of OS curves</w:t>
            </w:r>
            <w:r w:rsidR="00C831F0" w:rsidRPr="008E3F1A">
              <w:rPr>
                <w:rFonts w:ascii="Arial Narrow" w:hAnsi="Arial Narrow"/>
                <w:iCs/>
                <w:color w:val="000000" w:themeColor="text1"/>
                <w:sz w:val="20"/>
                <w:szCs w:val="20"/>
              </w:rPr>
              <w:t>*</w:t>
            </w:r>
          </w:p>
        </w:tc>
        <w:tc>
          <w:tcPr>
            <w:tcW w:w="1809" w:type="pct"/>
            <w:shd w:val="clear" w:color="auto" w:fill="auto"/>
          </w:tcPr>
          <w:p w:rsidR="00441956" w:rsidRPr="008E3F1A" w:rsidRDefault="00441956" w:rsidP="007513F4">
            <w:pPr>
              <w:widowControl w:val="0"/>
              <w:jc w:val="left"/>
              <w:rPr>
                <w:rFonts w:ascii="Arial Narrow" w:hAnsi="Arial Narrow"/>
                <w:iCs/>
                <w:color w:val="000000" w:themeColor="text1"/>
                <w:sz w:val="20"/>
                <w:szCs w:val="20"/>
              </w:rPr>
            </w:pPr>
            <w:r w:rsidRPr="008E3F1A">
              <w:rPr>
                <w:rFonts w:ascii="Arial Narrow" w:hAnsi="Arial Narrow"/>
                <w:iCs/>
                <w:color w:val="000000" w:themeColor="text1"/>
                <w:sz w:val="20"/>
                <w:szCs w:val="20"/>
              </w:rPr>
              <w:t>Applied convergence of BV+CHP curve from 60 months to 120 months, assuming no difference in OS from 120 months onwards</w:t>
            </w:r>
            <w:r w:rsidR="00816EA7" w:rsidRPr="008E3F1A">
              <w:rPr>
                <w:rFonts w:ascii="Arial Narrow" w:hAnsi="Arial Narrow"/>
                <w:iCs/>
                <w:color w:val="000000" w:themeColor="text1"/>
                <w:sz w:val="20"/>
                <w:szCs w:val="20"/>
                <w:vertAlign w:val="superscript"/>
              </w:rPr>
              <w:t>b</w:t>
            </w:r>
            <w:r w:rsidRPr="008E3F1A">
              <w:rPr>
                <w:rFonts w:ascii="Arial Narrow" w:hAnsi="Arial Narrow"/>
                <w:iCs/>
                <w:color w:val="000000" w:themeColor="text1"/>
                <w:sz w:val="20"/>
                <w:szCs w:val="20"/>
              </w:rPr>
              <w:t>.</w:t>
            </w:r>
          </w:p>
        </w:tc>
        <w:tc>
          <w:tcPr>
            <w:tcW w:w="785" w:type="pct"/>
            <w:shd w:val="clear" w:color="auto" w:fill="auto"/>
          </w:tcPr>
          <w:p w:rsidR="00441956" w:rsidRPr="003F2520" w:rsidRDefault="00441956" w:rsidP="00441956">
            <w:pPr>
              <w:widowControl w:val="0"/>
              <w:jc w:val="center"/>
              <w:rPr>
                <w:rFonts w:ascii="Arial Narrow" w:hAnsi="Arial Narrow"/>
                <w:iCs/>
                <w:color w:val="000000" w:themeColor="text1"/>
                <w:sz w:val="20"/>
                <w:szCs w:val="20"/>
              </w:rPr>
            </w:pPr>
            <w:r w:rsidRPr="00423216">
              <w:rPr>
                <w:rFonts w:ascii="Arial Narrow" w:hAnsi="Arial Narrow"/>
                <w:bCs/>
                <w:sz w:val="20"/>
                <w:szCs w:val="20"/>
              </w:rPr>
              <w:t>$</w:t>
            </w:r>
            <w:r w:rsidR="003F2520">
              <w:rPr>
                <w:rFonts w:ascii="Arial Narrow" w:hAnsi="Arial Narrow"/>
                <w:iCs/>
                <w:noProof/>
                <w:color w:val="000000"/>
                <w:sz w:val="20"/>
                <w:szCs w:val="20"/>
                <w:highlight w:val="black"/>
              </w:rPr>
              <w:t>''''''''''''''''</w:t>
            </w:r>
          </w:p>
        </w:tc>
        <w:tc>
          <w:tcPr>
            <w:tcW w:w="708" w:type="pct"/>
            <w:shd w:val="clear" w:color="auto" w:fill="auto"/>
          </w:tcPr>
          <w:p w:rsidR="00441956" w:rsidRPr="008E3F1A" w:rsidRDefault="00BF350D" w:rsidP="00441956">
            <w:pPr>
              <w:widowControl w:val="0"/>
              <w:jc w:val="center"/>
              <w:rPr>
                <w:rFonts w:ascii="Arial Narrow" w:hAnsi="Arial Narrow"/>
                <w:iCs/>
                <w:color w:val="000000" w:themeColor="text1"/>
                <w:sz w:val="20"/>
                <w:szCs w:val="20"/>
              </w:rPr>
            </w:pPr>
            <w:r w:rsidRPr="008E3F1A">
              <w:rPr>
                <w:rFonts w:ascii="Arial Narrow" w:hAnsi="Arial Narrow"/>
                <w:iCs/>
                <w:color w:val="000000" w:themeColor="text1"/>
                <w:sz w:val="20"/>
                <w:szCs w:val="20"/>
              </w:rPr>
              <w:t>0.47</w:t>
            </w:r>
          </w:p>
        </w:tc>
        <w:tc>
          <w:tcPr>
            <w:tcW w:w="758" w:type="pct"/>
            <w:shd w:val="clear" w:color="auto" w:fill="auto"/>
          </w:tcPr>
          <w:p w:rsidR="00441956" w:rsidRPr="003F2520" w:rsidRDefault="00441956" w:rsidP="00441956">
            <w:pPr>
              <w:widowControl w:val="0"/>
              <w:jc w:val="center"/>
              <w:rPr>
                <w:rFonts w:ascii="Arial Narrow" w:hAnsi="Arial Narrow"/>
                <w:iCs/>
                <w:color w:val="000000" w:themeColor="text1"/>
                <w:sz w:val="20"/>
                <w:szCs w:val="20"/>
              </w:rPr>
            </w:pPr>
            <w:r w:rsidRPr="00423216">
              <w:rPr>
                <w:rFonts w:ascii="Arial Narrow" w:hAnsi="Arial Narrow"/>
                <w:bCs/>
                <w:sz w:val="20"/>
                <w:szCs w:val="20"/>
              </w:rPr>
              <w:t>$</w:t>
            </w:r>
            <w:r w:rsidR="003F2520">
              <w:rPr>
                <w:rFonts w:ascii="Arial Narrow" w:hAnsi="Arial Narrow"/>
                <w:iCs/>
                <w:noProof/>
                <w:color w:val="000000"/>
                <w:sz w:val="20"/>
                <w:szCs w:val="20"/>
                <w:highlight w:val="black"/>
              </w:rPr>
              <w:t>''''''''''''''''''</w:t>
            </w:r>
            <w:r w:rsidR="003C4832">
              <w:rPr>
                <w:rFonts w:ascii="Arial Narrow" w:hAnsi="Arial Narrow"/>
                <w:bCs/>
                <w:sz w:val="20"/>
                <w:szCs w:val="20"/>
                <w:vertAlign w:val="superscript"/>
              </w:rPr>
              <w:t>7</w:t>
            </w:r>
          </w:p>
        </w:tc>
      </w:tr>
      <w:tr w:rsidR="00CC34FA" w:rsidRPr="008E3F1A" w:rsidTr="008F3F3D">
        <w:trPr>
          <w:trHeight w:val="20"/>
        </w:trPr>
        <w:tc>
          <w:tcPr>
            <w:tcW w:w="940" w:type="pct"/>
            <w:shd w:val="clear" w:color="auto" w:fill="auto"/>
          </w:tcPr>
          <w:p w:rsidR="00CC34FA" w:rsidRPr="008E3F1A" w:rsidRDefault="00CC34FA" w:rsidP="00CC34FA">
            <w:pPr>
              <w:widowControl w:val="0"/>
              <w:jc w:val="left"/>
              <w:rPr>
                <w:rFonts w:ascii="Arial Narrow" w:hAnsi="Arial Narrow"/>
                <w:iCs/>
                <w:color w:val="000000" w:themeColor="text1"/>
                <w:sz w:val="20"/>
                <w:szCs w:val="20"/>
              </w:rPr>
            </w:pPr>
            <w:r w:rsidRPr="008E3F1A">
              <w:rPr>
                <w:rFonts w:ascii="Arial Narrow" w:hAnsi="Arial Narrow"/>
                <w:iCs/>
                <w:color w:val="000000" w:themeColor="text1"/>
                <w:sz w:val="20"/>
                <w:szCs w:val="20"/>
              </w:rPr>
              <w:t>No convergence of OS curves</w:t>
            </w:r>
            <w:r w:rsidR="003D5557" w:rsidRPr="008E3F1A">
              <w:rPr>
                <w:rFonts w:ascii="Arial Narrow" w:hAnsi="Arial Narrow"/>
                <w:iCs/>
                <w:color w:val="000000" w:themeColor="text1"/>
                <w:sz w:val="20"/>
                <w:szCs w:val="20"/>
              </w:rPr>
              <w:t>**</w:t>
            </w:r>
          </w:p>
        </w:tc>
        <w:tc>
          <w:tcPr>
            <w:tcW w:w="1809" w:type="pct"/>
            <w:shd w:val="clear" w:color="auto" w:fill="auto"/>
          </w:tcPr>
          <w:p w:rsidR="00CC34FA" w:rsidRPr="008E3F1A" w:rsidRDefault="00CC34FA" w:rsidP="00CC34FA">
            <w:pPr>
              <w:widowControl w:val="0"/>
              <w:jc w:val="left"/>
              <w:rPr>
                <w:rFonts w:ascii="Arial Narrow" w:hAnsi="Arial Narrow"/>
                <w:iCs/>
                <w:color w:val="000000" w:themeColor="text1"/>
                <w:sz w:val="20"/>
                <w:szCs w:val="20"/>
              </w:rPr>
            </w:pPr>
            <w:r w:rsidRPr="008E3F1A">
              <w:rPr>
                <w:rFonts w:ascii="Arial Narrow" w:hAnsi="Arial Narrow"/>
                <w:iCs/>
                <w:color w:val="000000" w:themeColor="text1"/>
                <w:sz w:val="20"/>
                <w:szCs w:val="20"/>
              </w:rPr>
              <w:t>Applied convergence of BV+CHP curve from 60 months to 180 months, assuming no difference in OS between BV+CHP from 180 months onwards</w:t>
            </w:r>
            <w:r w:rsidRPr="008E3F1A">
              <w:rPr>
                <w:rFonts w:ascii="Arial Narrow" w:hAnsi="Arial Narrow"/>
                <w:iCs/>
                <w:color w:val="000000" w:themeColor="text1"/>
                <w:sz w:val="20"/>
                <w:szCs w:val="20"/>
                <w:vertAlign w:val="superscript"/>
              </w:rPr>
              <w:t>c</w:t>
            </w:r>
            <w:r w:rsidRPr="008E3F1A">
              <w:rPr>
                <w:rFonts w:ascii="Arial Narrow" w:hAnsi="Arial Narrow"/>
                <w:iCs/>
                <w:color w:val="000000" w:themeColor="text1"/>
                <w:sz w:val="20"/>
                <w:szCs w:val="20"/>
              </w:rPr>
              <w:t>.</w:t>
            </w:r>
          </w:p>
        </w:tc>
        <w:tc>
          <w:tcPr>
            <w:tcW w:w="785" w:type="pct"/>
            <w:shd w:val="clear" w:color="auto" w:fill="auto"/>
          </w:tcPr>
          <w:p w:rsidR="00CC34FA" w:rsidRPr="003F2520" w:rsidRDefault="00CC34FA" w:rsidP="00CC34FA">
            <w:pPr>
              <w:widowControl w:val="0"/>
              <w:jc w:val="center"/>
              <w:rPr>
                <w:rFonts w:ascii="Arial Narrow" w:hAnsi="Arial Narrow"/>
                <w:iCs/>
                <w:color w:val="000000" w:themeColor="text1"/>
                <w:sz w:val="20"/>
                <w:szCs w:val="20"/>
              </w:rPr>
            </w:pPr>
            <w:r w:rsidRPr="00423216">
              <w:rPr>
                <w:rFonts w:ascii="Arial Narrow" w:hAnsi="Arial Narrow"/>
                <w:bCs/>
                <w:sz w:val="20"/>
                <w:szCs w:val="20"/>
              </w:rPr>
              <w:t>$</w:t>
            </w:r>
            <w:r w:rsidR="003F2520">
              <w:rPr>
                <w:rFonts w:ascii="Arial Narrow" w:hAnsi="Arial Narrow"/>
                <w:iCs/>
                <w:noProof/>
                <w:color w:val="000000"/>
                <w:sz w:val="20"/>
                <w:szCs w:val="20"/>
                <w:highlight w:val="black"/>
              </w:rPr>
              <w:t>''''''''''''''''</w:t>
            </w:r>
          </w:p>
        </w:tc>
        <w:tc>
          <w:tcPr>
            <w:tcW w:w="708" w:type="pct"/>
            <w:shd w:val="clear" w:color="auto" w:fill="auto"/>
          </w:tcPr>
          <w:p w:rsidR="00CC34FA" w:rsidRPr="008E3F1A" w:rsidRDefault="00CC34FA" w:rsidP="00CC34FA">
            <w:pPr>
              <w:widowControl w:val="0"/>
              <w:jc w:val="center"/>
              <w:rPr>
                <w:rFonts w:ascii="Arial Narrow" w:hAnsi="Arial Narrow"/>
                <w:iCs/>
                <w:color w:val="000000" w:themeColor="text1"/>
                <w:sz w:val="20"/>
                <w:szCs w:val="20"/>
              </w:rPr>
            </w:pPr>
            <w:r w:rsidRPr="008E3F1A">
              <w:rPr>
                <w:rFonts w:ascii="Arial Narrow" w:hAnsi="Arial Narrow"/>
                <w:iCs/>
                <w:color w:val="000000" w:themeColor="text1"/>
                <w:sz w:val="20"/>
                <w:szCs w:val="20"/>
              </w:rPr>
              <w:t>0.62</w:t>
            </w:r>
          </w:p>
        </w:tc>
        <w:tc>
          <w:tcPr>
            <w:tcW w:w="758" w:type="pct"/>
            <w:shd w:val="clear" w:color="auto" w:fill="auto"/>
          </w:tcPr>
          <w:p w:rsidR="00CC34FA" w:rsidRPr="003F2520" w:rsidRDefault="00CC34FA" w:rsidP="00CC34FA">
            <w:pPr>
              <w:widowControl w:val="0"/>
              <w:jc w:val="center"/>
              <w:rPr>
                <w:rFonts w:ascii="Arial Narrow" w:hAnsi="Arial Narrow"/>
                <w:iCs/>
                <w:color w:val="000000" w:themeColor="text1"/>
                <w:sz w:val="20"/>
                <w:szCs w:val="20"/>
              </w:rPr>
            </w:pPr>
            <w:r w:rsidRPr="00423216">
              <w:rPr>
                <w:rFonts w:ascii="Arial Narrow" w:hAnsi="Arial Narrow"/>
                <w:bCs/>
                <w:sz w:val="20"/>
                <w:szCs w:val="20"/>
              </w:rPr>
              <w:t>$</w:t>
            </w:r>
            <w:r w:rsidR="003F2520">
              <w:rPr>
                <w:rFonts w:ascii="Arial Narrow" w:hAnsi="Arial Narrow"/>
                <w:iCs/>
                <w:noProof/>
                <w:color w:val="000000"/>
                <w:sz w:val="20"/>
                <w:szCs w:val="20"/>
                <w:highlight w:val="black"/>
              </w:rPr>
              <w:t>''''''''''''''''</w:t>
            </w:r>
            <w:r w:rsidR="003C4832">
              <w:rPr>
                <w:rFonts w:ascii="Arial Narrow" w:hAnsi="Arial Narrow"/>
                <w:bCs/>
                <w:sz w:val="20"/>
                <w:szCs w:val="20"/>
                <w:vertAlign w:val="superscript"/>
              </w:rPr>
              <w:t>4</w:t>
            </w:r>
          </w:p>
        </w:tc>
      </w:tr>
      <w:tr w:rsidR="00AB0024" w:rsidRPr="008E3F1A" w:rsidTr="008F3F3D">
        <w:trPr>
          <w:trHeight w:val="20"/>
        </w:trPr>
        <w:tc>
          <w:tcPr>
            <w:tcW w:w="940" w:type="pct"/>
            <w:shd w:val="clear" w:color="auto" w:fill="auto"/>
          </w:tcPr>
          <w:p w:rsidR="00AB0024" w:rsidRPr="008E3F1A" w:rsidRDefault="00AB0024" w:rsidP="00AB0024">
            <w:pPr>
              <w:widowControl w:val="0"/>
              <w:jc w:val="left"/>
              <w:rPr>
                <w:rFonts w:ascii="Arial Narrow" w:hAnsi="Arial Narrow"/>
                <w:iCs/>
                <w:color w:val="000000" w:themeColor="text1"/>
                <w:sz w:val="20"/>
                <w:szCs w:val="20"/>
              </w:rPr>
            </w:pPr>
            <w:r w:rsidRPr="008E3F1A">
              <w:rPr>
                <w:rFonts w:ascii="Arial Narrow" w:hAnsi="Arial Narrow"/>
                <w:iCs/>
                <w:color w:val="000000" w:themeColor="text1"/>
                <w:sz w:val="20"/>
                <w:szCs w:val="20"/>
              </w:rPr>
              <w:t>No convergence of OS curves</w:t>
            </w:r>
            <w:r w:rsidR="003D5557" w:rsidRPr="008E3F1A">
              <w:rPr>
                <w:rFonts w:ascii="Arial Narrow" w:hAnsi="Arial Narrow"/>
                <w:iCs/>
                <w:color w:val="000000" w:themeColor="text1"/>
                <w:sz w:val="20"/>
                <w:szCs w:val="20"/>
              </w:rPr>
              <w:t>**</w:t>
            </w:r>
          </w:p>
        </w:tc>
        <w:tc>
          <w:tcPr>
            <w:tcW w:w="1809" w:type="pct"/>
            <w:shd w:val="clear" w:color="auto" w:fill="auto"/>
          </w:tcPr>
          <w:p w:rsidR="00AB0024" w:rsidRPr="008E3F1A" w:rsidRDefault="00AB0024" w:rsidP="00AB0024">
            <w:pPr>
              <w:widowControl w:val="0"/>
              <w:jc w:val="left"/>
              <w:rPr>
                <w:rFonts w:ascii="Arial Narrow" w:hAnsi="Arial Narrow"/>
                <w:iCs/>
                <w:color w:val="000000" w:themeColor="text1"/>
                <w:sz w:val="20"/>
                <w:szCs w:val="20"/>
              </w:rPr>
            </w:pPr>
            <w:r w:rsidRPr="008E3F1A">
              <w:rPr>
                <w:rFonts w:ascii="Arial Narrow" w:hAnsi="Arial Narrow"/>
                <w:iCs/>
                <w:color w:val="000000" w:themeColor="text1"/>
                <w:sz w:val="20"/>
                <w:szCs w:val="20"/>
              </w:rPr>
              <w:t>Applied convergence of BV+CHP curve from 60 months to 240 months, assuming no</w:t>
            </w:r>
            <w:r w:rsidR="007513F4" w:rsidRPr="008E3F1A">
              <w:rPr>
                <w:rFonts w:ascii="Arial Narrow" w:hAnsi="Arial Narrow"/>
                <w:iCs/>
                <w:color w:val="000000" w:themeColor="text1"/>
                <w:sz w:val="20"/>
                <w:szCs w:val="20"/>
              </w:rPr>
              <w:t xml:space="preserve"> difference in OS</w:t>
            </w:r>
            <w:r w:rsidRPr="008E3F1A">
              <w:rPr>
                <w:rFonts w:ascii="Arial Narrow" w:hAnsi="Arial Narrow"/>
                <w:iCs/>
                <w:color w:val="000000" w:themeColor="text1"/>
                <w:sz w:val="20"/>
                <w:szCs w:val="20"/>
              </w:rPr>
              <w:t xml:space="preserve"> from 240 months onwards</w:t>
            </w:r>
            <w:r w:rsidR="00CC34FA" w:rsidRPr="008E3F1A">
              <w:rPr>
                <w:rFonts w:ascii="Arial Narrow" w:hAnsi="Arial Narrow"/>
                <w:iCs/>
                <w:color w:val="000000" w:themeColor="text1"/>
                <w:sz w:val="20"/>
                <w:szCs w:val="20"/>
                <w:vertAlign w:val="superscript"/>
              </w:rPr>
              <w:t>d</w:t>
            </w:r>
            <w:r w:rsidRPr="008E3F1A">
              <w:rPr>
                <w:rFonts w:ascii="Arial Narrow" w:hAnsi="Arial Narrow"/>
                <w:iCs/>
                <w:color w:val="000000" w:themeColor="text1"/>
                <w:sz w:val="20"/>
                <w:szCs w:val="20"/>
              </w:rPr>
              <w:t>.</w:t>
            </w:r>
          </w:p>
        </w:tc>
        <w:tc>
          <w:tcPr>
            <w:tcW w:w="785" w:type="pct"/>
            <w:shd w:val="clear" w:color="auto" w:fill="auto"/>
          </w:tcPr>
          <w:p w:rsidR="00AB0024" w:rsidRPr="003F2520" w:rsidRDefault="00AB0024" w:rsidP="00AB0024">
            <w:pPr>
              <w:widowControl w:val="0"/>
              <w:jc w:val="center"/>
              <w:rPr>
                <w:rFonts w:ascii="Arial Narrow" w:hAnsi="Arial Narrow"/>
                <w:iCs/>
                <w:color w:val="000000" w:themeColor="text1"/>
                <w:sz w:val="20"/>
                <w:szCs w:val="20"/>
              </w:rPr>
            </w:pPr>
            <w:r w:rsidRPr="00423216">
              <w:rPr>
                <w:rFonts w:ascii="Arial Narrow" w:hAnsi="Arial Narrow"/>
                <w:bCs/>
                <w:sz w:val="20"/>
                <w:szCs w:val="20"/>
              </w:rPr>
              <w:t>$</w:t>
            </w:r>
            <w:r w:rsidR="003F2520">
              <w:rPr>
                <w:rFonts w:ascii="Arial Narrow" w:hAnsi="Arial Narrow"/>
                <w:iCs/>
                <w:noProof/>
                <w:color w:val="000000"/>
                <w:sz w:val="20"/>
                <w:szCs w:val="20"/>
                <w:highlight w:val="black"/>
              </w:rPr>
              <w:t>''''''''''''''''</w:t>
            </w:r>
          </w:p>
        </w:tc>
        <w:tc>
          <w:tcPr>
            <w:tcW w:w="708" w:type="pct"/>
            <w:shd w:val="clear" w:color="auto" w:fill="auto"/>
          </w:tcPr>
          <w:p w:rsidR="00AB0024" w:rsidRPr="008E3F1A" w:rsidRDefault="00AB0024" w:rsidP="00AB0024">
            <w:pPr>
              <w:widowControl w:val="0"/>
              <w:jc w:val="center"/>
              <w:rPr>
                <w:rFonts w:ascii="Arial Narrow" w:hAnsi="Arial Narrow"/>
                <w:iCs/>
                <w:color w:val="000000" w:themeColor="text1"/>
                <w:sz w:val="20"/>
                <w:szCs w:val="20"/>
              </w:rPr>
            </w:pPr>
            <w:r w:rsidRPr="008E3F1A">
              <w:rPr>
                <w:rFonts w:ascii="Arial Narrow" w:hAnsi="Arial Narrow"/>
                <w:iCs/>
                <w:color w:val="000000" w:themeColor="text1"/>
                <w:sz w:val="20"/>
                <w:szCs w:val="20"/>
              </w:rPr>
              <w:t>0.77</w:t>
            </w:r>
          </w:p>
        </w:tc>
        <w:tc>
          <w:tcPr>
            <w:tcW w:w="758" w:type="pct"/>
            <w:shd w:val="clear" w:color="auto" w:fill="auto"/>
          </w:tcPr>
          <w:p w:rsidR="00AB0024" w:rsidRPr="003F2520" w:rsidRDefault="00AB0024" w:rsidP="00AB0024">
            <w:pPr>
              <w:widowControl w:val="0"/>
              <w:jc w:val="center"/>
              <w:rPr>
                <w:rFonts w:ascii="Arial Narrow" w:hAnsi="Arial Narrow"/>
                <w:iCs/>
                <w:color w:val="000000" w:themeColor="text1"/>
                <w:sz w:val="20"/>
                <w:szCs w:val="20"/>
              </w:rPr>
            </w:pPr>
            <w:r w:rsidRPr="00423216">
              <w:rPr>
                <w:rFonts w:ascii="Arial Narrow" w:hAnsi="Arial Narrow"/>
                <w:bCs/>
                <w:sz w:val="20"/>
                <w:szCs w:val="20"/>
              </w:rPr>
              <w:t>$</w:t>
            </w:r>
            <w:r w:rsidR="003F2520">
              <w:rPr>
                <w:rFonts w:ascii="Arial Narrow" w:hAnsi="Arial Narrow"/>
                <w:iCs/>
                <w:noProof/>
                <w:color w:val="000000"/>
                <w:sz w:val="20"/>
                <w:szCs w:val="20"/>
                <w:highlight w:val="black"/>
              </w:rPr>
              <w:t>'''''''''''''''</w:t>
            </w:r>
            <w:r w:rsidR="003C4832">
              <w:rPr>
                <w:rFonts w:ascii="Arial Narrow" w:hAnsi="Arial Narrow"/>
                <w:bCs/>
                <w:sz w:val="20"/>
                <w:szCs w:val="20"/>
                <w:vertAlign w:val="superscript"/>
              </w:rPr>
              <w:t>8</w:t>
            </w:r>
          </w:p>
        </w:tc>
      </w:tr>
      <w:tr w:rsidR="00CC34FA" w:rsidRPr="008E3F1A" w:rsidTr="008F3F3D">
        <w:trPr>
          <w:trHeight w:val="20"/>
        </w:trPr>
        <w:tc>
          <w:tcPr>
            <w:tcW w:w="940" w:type="pct"/>
            <w:shd w:val="clear" w:color="auto" w:fill="auto"/>
          </w:tcPr>
          <w:p w:rsidR="00CC34FA" w:rsidRPr="008E3F1A" w:rsidRDefault="00CC34FA" w:rsidP="00CC34FA">
            <w:pPr>
              <w:widowControl w:val="0"/>
              <w:jc w:val="left"/>
              <w:rPr>
                <w:rFonts w:ascii="Arial Narrow" w:hAnsi="Arial Narrow"/>
                <w:iCs/>
                <w:color w:val="000000" w:themeColor="text1"/>
                <w:sz w:val="20"/>
                <w:szCs w:val="20"/>
              </w:rPr>
            </w:pPr>
            <w:r w:rsidRPr="008E3F1A">
              <w:rPr>
                <w:rFonts w:ascii="Arial Narrow" w:hAnsi="Arial Narrow"/>
                <w:iCs/>
                <w:color w:val="000000" w:themeColor="text1"/>
                <w:sz w:val="20"/>
                <w:szCs w:val="20"/>
              </w:rPr>
              <w:t>Time horizon 45 years with NO OS convergence</w:t>
            </w:r>
            <w:r w:rsidR="003D5557" w:rsidRPr="008E3F1A">
              <w:rPr>
                <w:rFonts w:ascii="Arial Narrow" w:hAnsi="Arial Narrow"/>
                <w:iCs/>
                <w:color w:val="000000" w:themeColor="text1"/>
                <w:sz w:val="20"/>
                <w:szCs w:val="20"/>
              </w:rPr>
              <w:t>**</w:t>
            </w:r>
          </w:p>
        </w:tc>
        <w:tc>
          <w:tcPr>
            <w:tcW w:w="1809" w:type="pct"/>
            <w:shd w:val="clear" w:color="auto" w:fill="auto"/>
          </w:tcPr>
          <w:p w:rsidR="00CC34FA" w:rsidRPr="008E3F1A" w:rsidRDefault="00CC34FA" w:rsidP="00CC34FA">
            <w:pPr>
              <w:widowControl w:val="0"/>
              <w:jc w:val="left"/>
              <w:rPr>
                <w:rFonts w:ascii="Arial Narrow" w:hAnsi="Arial Narrow"/>
                <w:iCs/>
                <w:color w:val="000000" w:themeColor="text1"/>
                <w:sz w:val="20"/>
                <w:szCs w:val="20"/>
              </w:rPr>
            </w:pPr>
            <w:r w:rsidRPr="008E3F1A">
              <w:rPr>
                <w:rFonts w:ascii="Arial Narrow" w:hAnsi="Arial Narrow"/>
                <w:iCs/>
                <w:color w:val="000000" w:themeColor="text1"/>
                <w:sz w:val="20"/>
                <w:szCs w:val="20"/>
              </w:rPr>
              <w:t>Time horizon 25 years,</w:t>
            </w:r>
          </w:p>
          <w:p w:rsidR="00CC34FA" w:rsidRPr="008E3F1A" w:rsidRDefault="00CC34FA" w:rsidP="00CC34FA">
            <w:pPr>
              <w:widowControl w:val="0"/>
              <w:jc w:val="left"/>
              <w:rPr>
                <w:rFonts w:ascii="Arial Narrow" w:hAnsi="Arial Narrow"/>
                <w:iCs/>
                <w:color w:val="000000" w:themeColor="text1"/>
                <w:sz w:val="20"/>
                <w:szCs w:val="20"/>
              </w:rPr>
            </w:pPr>
            <w:r w:rsidRPr="008E3F1A">
              <w:rPr>
                <w:rFonts w:ascii="Arial Narrow" w:hAnsi="Arial Narrow"/>
                <w:iCs/>
                <w:color w:val="000000" w:themeColor="text1"/>
                <w:sz w:val="20"/>
                <w:szCs w:val="20"/>
              </w:rPr>
              <w:t>with applied convergence of BV+CHP curve from 60 months to 180 months, assuming no difference in OS between BV+CHP from 180 months onwards</w:t>
            </w:r>
            <w:r w:rsidRPr="008E3F1A">
              <w:rPr>
                <w:rFonts w:ascii="Arial Narrow" w:hAnsi="Arial Narrow"/>
                <w:iCs/>
                <w:color w:val="000000" w:themeColor="text1"/>
                <w:sz w:val="20"/>
                <w:szCs w:val="20"/>
                <w:vertAlign w:val="superscript"/>
              </w:rPr>
              <w:t>c</w:t>
            </w:r>
            <w:r w:rsidRPr="008E3F1A">
              <w:rPr>
                <w:rFonts w:ascii="Arial Narrow" w:hAnsi="Arial Narrow"/>
                <w:iCs/>
                <w:color w:val="000000" w:themeColor="text1"/>
                <w:sz w:val="20"/>
                <w:szCs w:val="20"/>
              </w:rPr>
              <w:t>.</w:t>
            </w:r>
          </w:p>
        </w:tc>
        <w:tc>
          <w:tcPr>
            <w:tcW w:w="785" w:type="pct"/>
            <w:shd w:val="clear" w:color="auto" w:fill="auto"/>
          </w:tcPr>
          <w:p w:rsidR="00CC34FA" w:rsidRPr="003F2520" w:rsidRDefault="00CC34FA" w:rsidP="00CC34FA">
            <w:pPr>
              <w:widowControl w:val="0"/>
              <w:jc w:val="center"/>
              <w:rPr>
                <w:rFonts w:ascii="Arial Narrow" w:hAnsi="Arial Narrow"/>
                <w:iCs/>
                <w:color w:val="000000" w:themeColor="text1"/>
                <w:sz w:val="20"/>
                <w:szCs w:val="20"/>
              </w:rPr>
            </w:pPr>
            <w:r w:rsidRPr="00423216">
              <w:rPr>
                <w:rFonts w:ascii="Arial Narrow" w:hAnsi="Arial Narrow"/>
                <w:bCs/>
                <w:sz w:val="20"/>
                <w:szCs w:val="20"/>
              </w:rPr>
              <w:t>$</w:t>
            </w:r>
            <w:r w:rsidR="003F2520">
              <w:rPr>
                <w:rFonts w:ascii="Arial Narrow" w:hAnsi="Arial Narrow"/>
                <w:iCs/>
                <w:noProof/>
                <w:color w:val="000000"/>
                <w:sz w:val="20"/>
                <w:szCs w:val="20"/>
                <w:highlight w:val="black"/>
              </w:rPr>
              <w:t>''''''''''''''''</w:t>
            </w:r>
          </w:p>
        </w:tc>
        <w:tc>
          <w:tcPr>
            <w:tcW w:w="708" w:type="pct"/>
            <w:shd w:val="clear" w:color="auto" w:fill="auto"/>
          </w:tcPr>
          <w:p w:rsidR="00CC34FA" w:rsidRPr="008E3F1A" w:rsidRDefault="00CC34FA" w:rsidP="00CC34FA">
            <w:pPr>
              <w:widowControl w:val="0"/>
              <w:jc w:val="center"/>
              <w:rPr>
                <w:rFonts w:ascii="Arial Narrow" w:hAnsi="Arial Narrow"/>
                <w:iCs/>
                <w:color w:val="000000" w:themeColor="text1"/>
                <w:sz w:val="20"/>
                <w:szCs w:val="20"/>
              </w:rPr>
            </w:pPr>
            <w:r w:rsidRPr="008E3F1A">
              <w:rPr>
                <w:rFonts w:ascii="Arial Narrow" w:hAnsi="Arial Narrow"/>
                <w:iCs/>
                <w:color w:val="000000" w:themeColor="text1"/>
                <w:sz w:val="20"/>
                <w:szCs w:val="20"/>
              </w:rPr>
              <w:t>0.62</w:t>
            </w:r>
          </w:p>
        </w:tc>
        <w:tc>
          <w:tcPr>
            <w:tcW w:w="758" w:type="pct"/>
            <w:shd w:val="clear" w:color="auto" w:fill="auto"/>
          </w:tcPr>
          <w:p w:rsidR="00CC34FA" w:rsidRPr="003F2520" w:rsidRDefault="00CC34FA" w:rsidP="00CC34FA">
            <w:pPr>
              <w:widowControl w:val="0"/>
              <w:jc w:val="center"/>
              <w:rPr>
                <w:rFonts w:ascii="Arial Narrow" w:hAnsi="Arial Narrow"/>
                <w:iCs/>
                <w:color w:val="000000" w:themeColor="text1"/>
                <w:sz w:val="20"/>
                <w:szCs w:val="20"/>
              </w:rPr>
            </w:pPr>
            <w:r w:rsidRPr="00423216">
              <w:rPr>
                <w:rFonts w:ascii="Arial Narrow" w:hAnsi="Arial Narrow"/>
                <w:bCs/>
                <w:sz w:val="20"/>
                <w:szCs w:val="20"/>
              </w:rPr>
              <w:t>$</w:t>
            </w:r>
            <w:r w:rsidR="003F2520">
              <w:rPr>
                <w:rFonts w:ascii="Arial Narrow" w:hAnsi="Arial Narrow"/>
                <w:iCs/>
                <w:noProof/>
                <w:color w:val="000000"/>
                <w:sz w:val="20"/>
                <w:szCs w:val="20"/>
                <w:highlight w:val="black"/>
              </w:rPr>
              <w:t>''''''''''''''''</w:t>
            </w:r>
            <w:r w:rsidR="003C4832">
              <w:rPr>
                <w:rFonts w:ascii="Arial Narrow" w:hAnsi="Arial Narrow"/>
                <w:bCs/>
                <w:sz w:val="20"/>
                <w:szCs w:val="20"/>
                <w:vertAlign w:val="superscript"/>
              </w:rPr>
              <w:t>4</w:t>
            </w:r>
          </w:p>
        </w:tc>
      </w:tr>
      <w:tr w:rsidR="00CC34FA" w:rsidRPr="008E3F1A" w:rsidTr="008F3F3D">
        <w:trPr>
          <w:trHeight w:val="20"/>
        </w:trPr>
        <w:tc>
          <w:tcPr>
            <w:tcW w:w="940" w:type="pct"/>
            <w:shd w:val="clear" w:color="auto" w:fill="auto"/>
          </w:tcPr>
          <w:p w:rsidR="00CC34FA" w:rsidRPr="008E3F1A" w:rsidRDefault="00CC34FA" w:rsidP="00CC34FA">
            <w:pPr>
              <w:widowControl w:val="0"/>
              <w:jc w:val="left"/>
              <w:rPr>
                <w:rFonts w:ascii="Arial Narrow" w:hAnsi="Arial Narrow"/>
                <w:iCs/>
                <w:color w:val="000000" w:themeColor="text1"/>
                <w:sz w:val="20"/>
                <w:szCs w:val="20"/>
              </w:rPr>
            </w:pPr>
            <w:r w:rsidRPr="008E3F1A">
              <w:rPr>
                <w:rFonts w:ascii="Arial Narrow" w:hAnsi="Arial Narrow"/>
                <w:iCs/>
                <w:color w:val="000000" w:themeColor="text1"/>
                <w:sz w:val="20"/>
                <w:szCs w:val="20"/>
              </w:rPr>
              <w:t>Time horizon 45 years with NO OS convergence</w:t>
            </w:r>
            <w:r w:rsidR="003D5557" w:rsidRPr="008E3F1A">
              <w:rPr>
                <w:rFonts w:ascii="Arial Narrow" w:hAnsi="Arial Narrow"/>
                <w:iCs/>
                <w:color w:val="000000" w:themeColor="text1"/>
                <w:sz w:val="20"/>
                <w:szCs w:val="20"/>
              </w:rPr>
              <w:t>**</w:t>
            </w:r>
          </w:p>
        </w:tc>
        <w:tc>
          <w:tcPr>
            <w:tcW w:w="1809" w:type="pct"/>
            <w:shd w:val="clear" w:color="auto" w:fill="auto"/>
          </w:tcPr>
          <w:p w:rsidR="00CC34FA" w:rsidRPr="008E3F1A" w:rsidRDefault="00CC34FA" w:rsidP="00CC34FA">
            <w:pPr>
              <w:widowControl w:val="0"/>
              <w:jc w:val="left"/>
              <w:rPr>
                <w:rFonts w:ascii="Arial Narrow" w:hAnsi="Arial Narrow"/>
                <w:iCs/>
                <w:color w:val="000000" w:themeColor="text1"/>
                <w:sz w:val="20"/>
                <w:szCs w:val="20"/>
              </w:rPr>
            </w:pPr>
            <w:r w:rsidRPr="008E3F1A">
              <w:rPr>
                <w:rFonts w:ascii="Arial Narrow" w:hAnsi="Arial Narrow"/>
                <w:iCs/>
                <w:color w:val="000000" w:themeColor="text1"/>
                <w:sz w:val="20"/>
                <w:szCs w:val="20"/>
              </w:rPr>
              <w:t>Time horizon 30 years,</w:t>
            </w:r>
          </w:p>
          <w:p w:rsidR="00CC34FA" w:rsidRPr="008E3F1A" w:rsidRDefault="00CC34FA" w:rsidP="00CC34FA">
            <w:pPr>
              <w:widowControl w:val="0"/>
              <w:jc w:val="left"/>
              <w:rPr>
                <w:rFonts w:ascii="Arial Narrow" w:hAnsi="Arial Narrow"/>
                <w:iCs/>
                <w:color w:val="000000" w:themeColor="text1"/>
                <w:sz w:val="20"/>
                <w:szCs w:val="20"/>
              </w:rPr>
            </w:pPr>
            <w:r w:rsidRPr="008E3F1A">
              <w:rPr>
                <w:rFonts w:ascii="Arial Narrow" w:hAnsi="Arial Narrow"/>
                <w:iCs/>
                <w:color w:val="000000" w:themeColor="text1"/>
                <w:sz w:val="20"/>
                <w:szCs w:val="20"/>
              </w:rPr>
              <w:t>with applied convergence of BV+CHP curve from 60 months to 180 months, assuming no difference in OS between BV+CHP from 180 months onwards</w:t>
            </w:r>
            <w:r w:rsidRPr="008E3F1A">
              <w:rPr>
                <w:rFonts w:ascii="Arial Narrow" w:hAnsi="Arial Narrow"/>
                <w:iCs/>
                <w:color w:val="000000" w:themeColor="text1"/>
                <w:sz w:val="20"/>
                <w:szCs w:val="20"/>
                <w:vertAlign w:val="superscript"/>
              </w:rPr>
              <w:t>c.</w:t>
            </w:r>
          </w:p>
        </w:tc>
        <w:tc>
          <w:tcPr>
            <w:tcW w:w="785" w:type="pct"/>
            <w:shd w:val="clear" w:color="auto" w:fill="auto"/>
          </w:tcPr>
          <w:p w:rsidR="00CC34FA" w:rsidRPr="003F2520" w:rsidRDefault="00CC34FA" w:rsidP="00CC34FA">
            <w:pPr>
              <w:widowControl w:val="0"/>
              <w:jc w:val="center"/>
              <w:rPr>
                <w:rFonts w:ascii="Arial Narrow" w:hAnsi="Arial Narrow"/>
                <w:iCs/>
                <w:color w:val="000000" w:themeColor="text1"/>
                <w:sz w:val="20"/>
                <w:szCs w:val="20"/>
              </w:rPr>
            </w:pPr>
            <w:r w:rsidRPr="00423216">
              <w:rPr>
                <w:rFonts w:ascii="Arial Narrow" w:hAnsi="Arial Narrow"/>
                <w:bCs/>
                <w:sz w:val="20"/>
                <w:szCs w:val="20"/>
              </w:rPr>
              <w:t>$</w:t>
            </w:r>
            <w:r w:rsidR="003F2520">
              <w:rPr>
                <w:rFonts w:ascii="Arial Narrow" w:hAnsi="Arial Narrow"/>
                <w:iCs/>
                <w:noProof/>
                <w:color w:val="000000"/>
                <w:sz w:val="20"/>
                <w:szCs w:val="20"/>
                <w:highlight w:val="black"/>
              </w:rPr>
              <w:t>'''''''''''''''</w:t>
            </w:r>
          </w:p>
        </w:tc>
        <w:tc>
          <w:tcPr>
            <w:tcW w:w="708" w:type="pct"/>
            <w:shd w:val="clear" w:color="auto" w:fill="auto"/>
          </w:tcPr>
          <w:p w:rsidR="00CC34FA" w:rsidRPr="008E3F1A" w:rsidRDefault="00CC34FA" w:rsidP="00CC34FA">
            <w:pPr>
              <w:widowControl w:val="0"/>
              <w:jc w:val="center"/>
              <w:rPr>
                <w:rFonts w:ascii="Arial Narrow" w:hAnsi="Arial Narrow"/>
                <w:iCs/>
                <w:color w:val="000000" w:themeColor="text1"/>
                <w:sz w:val="20"/>
                <w:szCs w:val="20"/>
              </w:rPr>
            </w:pPr>
            <w:r w:rsidRPr="008E3F1A">
              <w:rPr>
                <w:rFonts w:ascii="Arial Narrow" w:hAnsi="Arial Narrow"/>
                <w:iCs/>
                <w:color w:val="000000" w:themeColor="text1"/>
                <w:sz w:val="20"/>
                <w:szCs w:val="20"/>
              </w:rPr>
              <w:t>0.62</w:t>
            </w:r>
          </w:p>
        </w:tc>
        <w:tc>
          <w:tcPr>
            <w:tcW w:w="758" w:type="pct"/>
            <w:shd w:val="clear" w:color="auto" w:fill="auto"/>
          </w:tcPr>
          <w:p w:rsidR="00CC34FA" w:rsidRPr="003F2520" w:rsidRDefault="00CC34FA" w:rsidP="00CC34FA">
            <w:pPr>
              <w:widowControl w:val="0"/>
              <w:jc w:val="center"/>
              <w:rPr>
                <w:rFonts w:ascii="Arial Narrow" w:hAnsi="Arial Narrow"/>
                <w:iCs/>
                <w:color w:val="000000" w:themeColor="text1"/>
                <w:sz w:val="20"/>
                <w:szCs w:val="20"/>
              </w:rPr>
            </w:pPr>
            <w:r w:rsidRPr="00423216">
              <w:rPr>
                <w:rFonts w:ascii="Arial Narrow" w:hAnsi="Arial Narrow"/>
                <w:bCs/>
                <w:sz w:val="20"/>
                <w:szCs w:val="20"/>
              </w:rPr>
              <w:t>$</w:t>
            </w:r>
            <w:r w:rsidR="003F2520">
              <w:rPr>
                <w:rFonts w:ascii="Arial Narrow" w:hAnsi="Arial Narrow"/>
                <w:iCs/>
                <w:noProof/>
                <w:color w:val="000000"/>
                <w:sz w:val="20"/>
                <w:szCs w:val="20"/>
                <w:highlight w:val="black"/>
              </w:rPr>
              <w:t>''''''''''''''''</w:t>
            </w:r>
            <w:r w:rsidR="003C4832">
              <w:rPr>
                <w:rFonts w:ascii="Arial Narrow" w:hAnsi="Arial Narrow"/>
                <w:bCs/>
                <w:sz w:val="20"/>
                <w:szCs w:val="20"/>
                <w:vertAlign w:val="superscript"/>
              </w:rPr>
              <w:t>4</w:t>
            </w:r>
          </w:p>
        </w:tc>
      </w:tr>
      <w:tr w:rsidR="00742EBB" w:rsidRPr="008E3F1A" w:rsidTr="007513F4">
        <w:trPr>
          <w:trHeight w:val="20"/>
        </w:trPr>
        <w:tc>
          <w:tcPr>
            <w:tcW w:w="5000" w:type="pct"/>
            <w:gridSpan w:val="5"/>
            <w:shd w:val="clear" w:color="auto" w:fill="D9D9D9" w:themeFill="background1" w:themeFillShade="D9"/>
            <w:vAlign w:val="center"/>
          </w:tcPr>
          <w:p w:rsidR="00742EBB" w:rsidRPr="008E3F1A" w:rsidRDefault="00742EBB" w:rsidP="007513F4">
            <w:pPr>
              <w:pStyle w:val="TableText0"/>
              <w:keepNext w:val="0"/>
              <w:widowControl w:val="0"/>
              <w:rPr>
                <w:b/>
                <w:szCs w:val="20"/>
              </w:rPr>
            </w:pPr>
            <w:r w:rsidRPr="008E3F1A">
              <w:rPr>
                <w:b/>
                <w:szCs w:val="20"/>
              </w:rPr>
              <w:t xml:space="preserve">Additional sensitivity analysis presented in PSCR </w:t>
            </w:r>
          </w:p>
        </w:tc>
      </w:tr>
      <w:tr w:rsidR="00742EBB" w:rsidRPr="008E3F1A" w:rsidTr="007513F4">
        <w:trPr>
          <w:trHeight w:val="20"/>
        </w:trPr>
        <w:tc>
          <w:tcPr>
            <w:tcW w:w="940" w:type="pct"/>
            <w:shd w:val="clear" w:color="auto" w:fill="D9D9D9" w:themeFill="background1" w:themeFillShade="D9"/>
          </w:tcPr>
          <w:p w:rsidR="00742EBB" w:rsidRPr="008E3F1A" w:rsidRDefault="00742EBB" w:rsidP="007513F4">
            <w:pPr>
              <w:pStyle w:val="TableText0"/>
              <w:keepNext w:val="0"/>
              <w:widowControl w:val="0"/>
              <w:rPr>
                <w:szCs w:val="20"/>
              </w:rPr>
            </w:pPr>
            <w:r w:rsidRPr="008E3F1A">
              <w:rPr>
                <w:szCs w:val="20"/>
              </w:rPr>
              <w:t>No convergence of OS curves</w:t>
            </w:r>
          </w:p>
        </w:tc>
        <w:tc>
          <w:tcPr>
            <w:tcW w:w="1809" w:type="pct"/>
            <w:shd w:val="clear" w:color="auto" w:fill="D9D9D9" w:themeFill="background1" w:themeFillShade="D9"/>
          </w:tcPr>
          <w:p w:rsidR="00742EBB" w:rsidRPr="008E3F1A" w:rsidRDefault="00742EBB" w:rsidP="007513F4">
            <w:pPr>
              <w:pStyle w:val="TableText0"/>
              <w:keepNext w:val="0"/>
              <w:widowControl w:val="0"/>
              <w:rPr>
                <w:szCs w:val="20"/>
              </w:rPr>
            </w:pPr>
            <w:r w:rsidRPr="008E3F1A">
              <w:rPr>
                <w:szCs w:val="20"/>
              </w:rPr>
              <w:t>Applied convergence of BV+CHP curve from 60 months to 240 month</w:t>
            </w:r>
            <w:r w:rsidR="007513F4" w:rsidRPr="008E3F1A">
              <w:rPr>
                <w:szCs w:val="20"/>
              </w:rPr>
              <w:t xml:space="preserve">s, assuming no difference in OS </w:t>
            </w:r>
            <w:r w:rsidRPr="008E3F1A">
              <w:rPr>
                <w:szCs w:val="20"/>
              </w:rPr>
              <w:t xml:space="preserve">from 240 months </w:t>
            </w:r>
            <w:r w:rsidRPr="008E3F1A">
              <w:rPr>
                <w:szCs w:val="20"/>
              </w:rPr>
              <w:lastRenderedPageBreak/>
              <w:t>onwards</w:t>
            </w:r>
          </w:p>
        </w:tc>
        <w:tc>
          <w:tcPr>
            <w:tcW w:w="785" w:type="pct"/>
            <w:shd w:val="clear" w:color="auto" w:fill="D9D9D9" w:themeFill="background1" w:themeFillShade="D9"/>
          </w:tcPr>
          <w:p w:rsidR="00742EBB" w:rsidRPr="008E3F1A" w:rsidRDefault="007513F4" w:rsidP="007513F4">
            <w:pPr>
              <w:widowControl w:val="0"/>
              <w:jc w:val="center"/>
              <w:rPr>
                <w:rFonts w:ascii="Arial Narrow" w:hAnsi="Arial Narrow"/>
                <w:iCs/>
                <w:color w:val="000000" w:themeColor="text1"/>
                <w:sz w:val="20"/>
                <w:szCs w:val="20"/>
              </w:rPr>
            </w:pPr>
            <w:r w:rsidRPr="00423216">
              <w:rPr>
                <w:rFonts w:ascii="Arial Narrow" w:hAnsi="Arial Narrow"/>
                <w:bCs/>
                <w:sz w:val="20"/>
                <w:szCs w:val="20"/>
              </w:rPr>
              <w:lastRenderedPageBreak/>
              <w:t>$</w:t>
            </w:r>
            <w:r w:rsidR="003F2520">
              <w:rPr>
                <w:rFonts w:ascii="Arial Narrow" w:hAnsi="Arial Narrow"/>
                <w:iCs/>
                <w:noProof/>
                <w:color w:val="000000"/>
                <w:sz w:val="20"/>
                <w:szCs w:val="20"/>
                <w:highlight w:val="black"/>
              </w:rPr>
              <w:t>''''''''''''''''</w:t>
            </w:r>
          </w:p>
        </w:tc>
        <w:tc>
          <w:tcPr>
            <w:tcW w:w="708" w:type="pct"/>
            <w:shd w:val="clear" w:color="auto" w:fill="D9D9D9" w:themeFill="background1" w:themeFillShade="D9"/>
          </w:tcPr>
          <w:p w:rsidR="00742EBB" w:rsidRPr="008E3F1A" w:rsidRDefault="007513F4" w:rsidP="007513F4">
            <w:pPr>
              <w:widowControl w:val="0"/>
              <w:jc w:val="center"/>
              <w:rPr>
                <w:rFonts w:ascii="Arial Narrow" w:hAnsi="Arial Narrow"/>
                <w:iCs/>
                <w:color w:val="000000" w:themeColor="text1"/>
                <w:sz w:val="20"/>
                <w:szCs w:val="20"/>
              </w:rPr>
            </w:pPr>
            <w:r w:rsidRPr="008E3F1A">
              <w:rPr>
                <w:rFonts w:ascii="Arial Narrow" w:hAnsi="Arial Narrow"/>
                <w:iCs/>
                <w:color w:val="000000" w:themeColor="text1"/>
                <w:sz w:val="20"/>
                <w:szCs w:val="20"/>
              </w:rPr>
              <w:t>0.88</w:t>
            </w:r>
          </w:p>
        </w:tc>
        <w:tc>
          <w:tcPr>
            <w:tcW w:w="758" w:type="pct"/>
            <w:shd w:val="clear" w:color="auto" w:fill="D9D9D9" w:themeFill="background1" w:themeFillShade="D9"/>
          </w:tcPr>
          <w:p w:rsidR="00742EBB" w:rsidRPr="008E3F1A" w:rsidRDefault="007513F4" w:rsidP="007513F4">
            <w:pPr>
              <w:widowControl w:val="0"/>
              <w:jc w:val="center"/>
              <w:rPr>
                <w:rFonts w:ascii="Arial Narrow" w:hAnsi="Arial Narrow"/>
                <w:iCs/>
                <w:color w:val="000000" w:themeColor="text1"/>
                <w:sz w:val="20"/>
                <w:szCs w:val="20"/>
              </w:rPr>
            </w:pPr>
            <w:r w:rsidRPr="00423216">
              <w:rPr>
                <w:rFonts w:ascii="Arial Narrow" w:hAnsi="Arial Narrow"/>
                <w:bCs/>
                <w:sz w:val="20"/>
                <w:szCs w:val="20"/>
              </w:rPr>
              <w:t>$</w:t>
            </w:r>
            <w:r w:rsidR="003F2520">
              <w:rPr>
                <w:rFonts w:ascii="Arial Narrow" w:hAnsi="Arial Narrow"/>
                <w:bCs/>
                <w:noProof/>
                <w:color w:val="000000"/>
                <w:sz w:val="20"/>
                <w:szCs w:val="20"/>
                <w:highlight w:val="black"/>
              </w:rPr>
              <w:t>''''''''''''''''''</w:t>
            </w:r>
            <w:r w:rsidR="003C4832">
              <w:rPr>
                <w:rFonts w:ascii="Arial Narrow" w:hAnsi="Arial Narrow"/>
                <w:bCs/>
                <w:sz w:val="20"/>
                <w:szCs w:val="20"/>
                <w:vertAlign w:val="superscript"/>
              </w:rPr>
              <w:t>8</w:t>
            </w:r>
          </w:p>
        </w:tc>
      </w:tr>
    </w:tbl>
    <w:p w:rsidR="00C831F0" w:rsidRPr="008E3F1A" w:rsidRDefault="00272755" w:rsidP="00272755">
      <w:pPr>
        <w:keepLines/>
        <w:contextualSpacing/>
        <w:rPr>
          <w:rFonts w:ascii="Arial Narrow" w:hAnsi="Arial Narrow"/>
          <w:snapToGrid w:val="0"/>
          <w:sz w:val="18"/>
          <w:szCs w:val="18"/>
        </w:rPr>
      </w:pPr>
      <w:r w:rsidRPr="008E3F1A">
        <w:rPr>
          <w:rFonts w:ascii="Arial Narrow" w:hAnsi="Arial Narrow"/>
          <w:snapToGrid w:val="0"/>
          <w:sz w:val="18"/>
          <w:szCs w:val="18"/>
        </w:rPr>
        <w:t>Source: Table 3.57 of the submission</w:t>
      </w:r>
      <w:r w:rsidR="007513F4" w:rsidRPr="008E3F1A">
        <w:rPr>
          <w:rFonts w:ascii="Arial Narrow" w:hAnsi="Arial Narrow"/>
          <w:snapToGrid w:val="0"/>
          <w:sz w:val="18"/>
          <w:szCs w:val="18"/>
        </w:rPr>
        <w:t>. Table 1 PSCR</w:t>
      </w:r>
    </w:p>
    <w:p w:rsidR="00272755" w:rsidRPr="008E3F1A" w:rsidRDefault="00C831F0" w:rsidP="00272755">
      <w:pPr>
        <w:keepLines/>
        <w:contextualSpacing/>
        <w:rPr>
          <w:rFonts w:ascii="Arial Narrow" w:hAnsi="Arial Narrow"/>
          <w:snapToGrid w:val="0"/>
          <w:sz w:val="18"/>
          <w:szCs w:val="22"/>
        </w:rPr>
      </w:pPr>
      <w:r w:rsidRPr="008E3F1A">
        <w:rPr>
          <w:rFonts w:ascii="Arial Narrow" w:hAnsi="Arial Narrow"/>
          <w:snapToGrid w:val="0"/>
          <w:sz w:val="18"/>
          <w:szCs w:val="18"/>
        </w:rPr>
        <w:t>*</w:t>
      </w:r>
      <w:r w:rsidRPr="008E3F1A">
        <w:rPr>
          <w:rFonts w:ascii="Arial Narrow" w:hAnsi="Arial Narrow"/>
          <w:snapToGrid w:val="0"/>
          <w:sz w:val="18"/>
          <w:szCs w:val="22"/>
        </w:rPr>
        <w:t>E</w:t>
      </w:r>
      <w:r w:rsidR="00272755" w:rsidRPr="008E3F1A">
        <w:rPr>
          <w:rFonts w:ascii="Arial Narrow" w:hAnsi="Arial Narrow"/>
          <w:snapToGrid w:val="0"/>
          <w:sz w:val="18"/>
          <w:szCs w:val="22"/>
        </w:rPr>
        <w:t>stimated during evaluation based on the numbers provided in the submission.</w:t>
      </w:r>
    </w:p>
    <w:p w:rsidR="003D5557" w:rsidRPr="008E3F1A" w:rsidRDefault="003D5557" w:rsidP="00272755">
      <w:pPr>
        <w:keepLines/>
        <w:contextualSpacing/>
        <w:rPr>
          <w:rFonts w:ascii="Arial Narrow" w:hAnsi="Arial Narrow"/>
          <w:snapToGrid w:val="0"/>
          <w:sz w:val="18"/>
          <w:szCs w:val="22"/>
        </w:rPr>
      </w:pPr>
      <w:r w:rsidRPr="008E3F1A">
        <w:rPr>
          <w:rFonts w:ascii="Arial Narrow" w:hAnsi="Arial Narrow"/>
          <w:snapToGrid w:val="0"/>
          <w:sz w:val="18"/>
          <w:szCs w:val="22"/>
        </w:rPr>
        <w:t>**Estimated during the development of the ESC Advice</w:t>
      </w:r>
    </w:p>
    <w:p w:rsidR="00272755" w:rsidRPr="008E3F1A" w:rsidRDefault="00272755" w:rsidP="00754FFA">
      <w:pPr>
        <w:rPr>
          <w:rFonts w:ascii="Arial Narrow" w:hAnsi="Arial Narrow"/>
          <w:snapToGrid w:val="0"/>
          <w:sz w:val="18"/>
          <w:szCs w:val="22"/>
        </w:rPr>
      </w:pPr>
      <w:r w:rsidRPr="008E3F1A">
        <w:rPr>
          <w:rFonts w:ascii="Arial Narrow" w:eastAsiaTheme="majorEastAsia" w:hAnsi="Arial Narrow" w:cstheme="majorBidi"/>
          <w:sz w:val="18"/>
          <w:szCs w:val="18"/>
          <w:lang w:bidi="en-US"/>
        </w:rPr>
        <w:t>BV+CHP= brentuximab vedotin, cyclophosphamide, doxorubicin and prednisone; CHOP= cyclophosphamide, doxorubicin, prednisone and vincristine BV= brentuximab vedotin; PFS= Progression-free survival; OS= Overall survival</w:t>
      </w:r>
      <w:r w:rsidR="00754FFA" w:rsidRPr="008E3F1A">
        <w:rPr>
          <w:rFonts w:ascii="Arial Narrow" w:eastAsiaTheme="majorEastAsia" w:hAnsi="Arial Narrow" w:cstheme="majorBidi"/>
          <w:sz w:val="18"/>
          <w:szCs w:val="18"/>
          <w:lang w:bidi="en-US"/>
        </w:rPr>
        <w:t>;</w:t>
      </w:r>
      <w:r w:rsidR="00754FFA" w:rsidRPr="008E3F1A">
        <w:rPr>
          <w:rFonts w:ascii="Arial Narrow" w:hAnsi="Arial Narrow"/>
          <w:snapToGrid w:val="0"/>
          <w:sz w:val="18"/>
          <w:szCs w:val="22"/>
        </w:rPr>
        <w:t xml:space="preserve"> sALCL = systemic anaplastic large cell lymphoma</w:t>
      </w:r>
    </w:p>
    <w:p w:rsidR="00816EA7" w:rsidRPr="008E3F1A" w:rsidRDefault="00272755" w:rsidP="00272755">
      <w:pPr>
        <w:keepLines/>
        <w:contextualSpacing/>
        <w:rPr>
          <w:rFonts w:ascii="Arial Narrow" w:eastAsiaTheme="majorEastAsia" w:hAnsi="Arial Narrow" w:cstheme="majorBidi"/>
          <w:sz w:val="18"/>
          <w:szCs w:val="18"/>
          <w:lang w:bidi="en-US"/>
        </w:rPr>
      </w:pPr>
      <w:r w:rsidRPr="008E3F1A">
        <w:rPr>
          <w:rFonts w:ascii="Arial Narrow" w:eastAsiaTheme="majorEastAsia" w:hAnsi="Arial Narrow" w:cstheme="majorBidi"/>
          <w:sz w:val="18"/>
          <w:szCs w:val="18"/>
          <w:lang w:bidi="en-US"/>
        </w:rPr>
        <w:t xml:space="preserve">Note: </w:t>
      </w:r>
    </w:p>
    <w:p w:rsidR="00272755" w:rsidRPr="008E3F1A" w:rsidRDefault="00816EA7" w:rsidP="00272755">
      <w:pPr>
        <w:keepLines/>
        <w:contextualSpacing/>
        <w:rPr>
          <w:rFonts w:ascii="Arial Narrow" w:eastAsiaTheme="majorEastAsia" w:hAnsi="Arial Narrow" w:cstheme="majorBidi"/>
          <w:sz w:val="18"/>
          <w:szCs w:val="18"/>
          <w:lang w:bidi="en-US"/>
        </w:rPr>
      </w:pPr>
      <w:r w:rsidRPr="008E3F1A">
        <w:rPr>
          <w:rFonts w:ascii="Arial Narrow" w:eastAsiaTheme="majorEastAsia" w:hAnsi="Arial Narrow" w:cstheme="majorBidi"/>
          <w:sz w:val="18"/>
          <w:szCs w:val="18"/>
          <w:lang w:bidi="en-US"/>
        </w:rPr>
        <w:t>a=</w:t>
      </w:r>
      <w:r w:rsidR="00272755" w:rsidRPr="008E3F1A">
        <w:rPr>
          <w:rFonts w:ascii="Arial Narrow" w:eastAsiaTheme="majorEastAsia" w:hAnsi="Arial Narrow" w:cstheme="majorBidi"/>
          <w:sz w:val="18"/>
          <w:szCs w:val="18"/>
          <w:lang w:bidi="en-US"/>
        </w:rPr>
        <w:t xml:space="preserve">the values in </w:t>
      </w:r>
      <w:r w:rsidR="00E746CB" w:rsidRPr="008E3F1A">
        <w:rPr>
          <w:rFonts w:ascii="Arial Narrow" w:eastAsiaTheme="majorEastAsia" w:hAnsi="Arial Narrow" w:cstheme="majorBidi"/>
          <w:sz w:val="18"/>
          <w:szCs w:val="18"/>
          <w:lang w:bidi="en-US"/>
        </w:rPr>
        <w:t>italics</w:t>
      </w:r>
      <w:r w:rsidR="00272755" w:rsidRPr="008E3F1A">
        <w:rPr>
          <w:rFonts w:ascii="Arial Narrow" w:eastAsiaTheme="majorEastAsia" w:hAnsi="Arial Narrow" w:cstheme="majorBidi"/>
          <w:sz w:val="18"/>
          <w:szCs w:val="18"/>
          <w:lang w:bidi="en-US"/>
        </w:rPr>
        <w:t xml:space="preserve"> were </w:t>
      </w:r>
      <w:r w:rsidR="00E746CB" w:rsidRPr="008E3F1A">
        <w:rPr>
          <w:rFonts w:ascii="Arial Narrow" w:eastAsiaTheme="majorEastAsia" w:hAnsi="Arial Narrow" w:cstheme="majorBidi"/>
          <w:sz w:val="18"/>
          <w:szCs w:val="18"/>
          <w:lang w:bidi="en-US"/>
        </w:rPr>
        <w:t>estimated</w:t>
      </w:r>
      <w:r w:rsidR="00272755" w:rsidRPr="008E3F1A">
        <w:rPr>
          <w:rFonts w:ascii="Arial Narrow" w:eastAsiaTheme="majorEastAsia" w:hAnsi="Arial Narrow" w:cstheme="majorBidi"/>
          <w:sz w:val="18"/>
          <w:szCs w:val="18"/>
          <w:lang w:bidi="en-US"/>
        </w:rPr>
        <w:t xml:space="preserve"> using Workbook ‘ADCENTRIS_PTCL_CEM_Final’, worksheet ‘Health states’, for BV+CHP</w:t>
      </w:r>
      <w:r w:rsidR="00BE336E" w:rsidRPr="008E3F1A">
        <w:rPr>
          <w:rFonts w:ascii="Arial Narrow" w:eastAsiaTheme="majorEastAsia" w:hAnsi="Arial Narrow" w:cstheme="majorBidi"/>
          <w:sz w:val="18"/>
          <w:szCs w:val="18"/>
          <w:lang w:bidi="en-US"/>
        </w:rPr>
        <w:t xml:space="preserve"> for PFS</w:t>
      </w:r>
      <w:r w:rsidR="00272755" w:rsidRPr="008E3F1A">
        <w:rPr>
          <w:rFonts w:ascii="Arial Narrow" w:eastAsiaTheme="majorEastAsia" w:hAnsi="Arial Narrow" w:cstheme="majorBidi"/>
          <w:sz w:val="18"/>
          <w:szCs w:val="18"/>
          <w:lang w:bidi="en-US"/>
        </w:rPr>
        <w:t xml:space="preserve"> cells AR20:AR79 were linked to cells H20:H79; for OS cells AS:20:AS79 were replaced with cells Z20:Z79</w:t>
      </w:r>
      <w:r w:rsidR="00CE058E" w:rsidRPr="008E3F1A">
        <w:rPr>
          <w:rFonts w:ascii="Arial Narrow" w:eastAsiaTheme="majorEastAsia" w:hAnsi="Arial Narrow" w:cstheme="majorBidi"/>
          <w:sz w:val="18"/>
          <w:szCs w:val="18"/>
          <w:lang w:bidi="en-US"/>
        </w:rPr>
        <w:t xml:space="preserve">, additionally </w:t>
      </w:r>
      <w:r w:rsidR="00373D59" w:rsidRPr="008E3F1A">
        <w:rPr>
          <w:rFonts w:ascii="Arial Narrow" w:eastAsiaTheme="majorEastAsia" w:hAnsi="Arial Narrow" w:cstheme="majorBidi"/>
          <w:sz w:val="18"/>
          <w:szCs w:val="18"/>
          <w:lang w:bidi="en-US"/>
        </w:rPr>
        <w:t xml:space="preserve">cells in columns O and P were adjusted to exclude correction for long-term mortality for the period of </w:t>
      </w:r>
      <w:r w:rsidR="008A5D42" w:rsidRPr="008E3F1A">
        <w:rPr>
          <w:rFonts w:ascii="Arial Narrow" w:eastAsiaTheme="majorEastAsia" w:hAnsi="Arial Narrow" w:cstheme="majorBidi"/>
          <w:sz w:val="18"/>
          <w:szCs w:val="18"/>
          <w:lang w:bidi="en-US"/>
        </w:rPr>
        <w:t>five years</w:t>
      </w:r>
      <w:r w:rsidR="00272755" w:rsidRPr="008E3F1A">
        <w:rPr>
          <w:rFonts w:ascii="Arial Narrow" w:eastAsiaTheme="majorEastAsia" w:hAnsi="Arial Narrow" w:cstheme="majorBidi"/>
          <w:sz w:val="18"/>
          <w:szCs w:val="18"/>
          <w:lang w:bidi="en-US"/>
        </w:rPr>
        <w:t xml:space="preserve">; for CHOP arm the PFS values in cells AT20:AT79 were replaced with values in cells Q20:Q79, OS column cells AU20:AU79 were replaced with </w:t>
      </w:r>
      <w:r w:rsidR="00E746CB" w:rsidRPr="008E3F1A">
        <w:rPr>
          <w:rFonts w:ascii="Arial Narrow" w:eastAsiaTheme="majorEastAsia" w:hAnsi="Arial Narrow" w:cstheme="majorBidi"/>
          <w:sz w:val="18"/>
          <w:szCs w:val="18"/>
          <w:lang w:bidi="en-US"/>
        </w:rPr>
        <w:t>values</w:t>
      </w:r>
      <w:r w:rsidR="00272755" w:rsidRPr="008E3F1A">
        <w:rPr>
          <w:rFonts w:ascii="Arial Narrow" w:eastAsiaTheme="majorEastAsia" w:hAnsi="Arial Narrow" w:cstheme="majorBidi"/>
          <w:sz w:val="18"/>
          <w:szCs w:val="18"/>
          <w:lang w:bidi="en-US"/>
        </w:rPr>
        <w:t xml:space="preserve"> in cells AI20:AI79</w:t>
      </w:r>
      <w:r w:rsidR="008A5D42" w:rsidRPr="008E3F1A">
        <w:rPr>
          <w:rFonts w:ascii="Arial Narrow" w:eastAsiaTheme="majorEastAsia" w:hAnsi="Arial Narrow" w:cstheme="majorBidi"/>
          <w:sz w:val="18"/>
          <w:szCs w:val="18"/>
          <w:lang w:bidi="en-US"/>
        </w:rPr>
        <w:t>, additionally cells in columns O and P were adjusted to exclude correction for long-term mortality for the period of five years</w:t>
      </w:r>
      <w:r w:rsidR="00272755" w:rsidRPr="008E3F1A">
        <w:rPr>
          <w:rFonts w:ascii="Arial Narrow" w:eastAsiaTheme="majorEastAsia" w:hAnsi="Arial Narrow" w:cstheme="majorBidi"/>
          <w:sz w:val="18"/>
          <w:szCs w:val="18"/>
          <w:lang w:bidi="en-US"/>
        </w:rPr>
        <w:t>.</w:t>
      </w:r>
    </w:p>
    <w:p w:rsidR="00153E85" w:rsidRPr="008E3F1A" w:rsidRDefault="002B4726" w:rsidP="00CC34FA">
      <w:pPr>
        <w:keepLines/>
        <w:contextualSpacing/>
        <w:rPr>
          <w:rFonts w:ascii="Arial Narrow" w:eastAsiaTheme="majorEastAsia" w:hAnsi="Arial Narrow" w:cstheme="majorBidi"/>
          <w:sz w:val="18"/>
          <w:szCs w:val="18"/>
          <w:lang w:bidi="en-US"/>
        </w:rPr>
      </w:pPr>
      <w:r w:rsidRPr="008E3F1A">
        <w:rPr>
          <w:rFonts w:ascii="Arial Narrow" w:eastAsiaTheme="majorEastAsia" w:hAnsi="Arial Narrow" w:cstheme="majorBidi"/>
          <w:sz w:val="18"/>
          <w:szCs w:val="18"/>
          <w:lang w:bidi="en-US"/>
        </w:rPr>
        <w:t xml:space="preserve">b= the analysis of convergence of OS curves was based on the </w:t>
      </w:r>
      <w:r w:rsidR="00C45170" w:rsidRPr="008E3F1A">
        <w:rPr>
          <w:rFonts w:ascii="Arial Narrow" w:eastAsiaTheme="majorEastAsia" w:hAnsi="Arial Narrow" w:cstheme="majorBidi"/>
          <w:sz w:val="18"/>
          <w:szCs w:val="18"/>
          <w:lang w:bidi="en-US"/>
        </w:rPr>
        <w:t>exponential i</w:t>
      </w:r>
      <w:r w:rsidRPr="008E3F1A">
        <w:rPr>
          <w:rFonts w:ascii="Arial Narrow" w:eastAsiaTheme="majorEastAsia" w:hAnsi="Arial Narrow" w:cstheme="majorBidi"/>
          <w:sz w:val="18"/>
          <w:szCs w:val="18"/>
          <w:lang w:bidi="en-US"/>
        </w:rPr>
        <w:t>nterpolation of the estimated convergence slope (1.062) and convergence index (-0.0066) based on the survival values of BV+CHP at 60 months (0.71) and CHOP at 120 months (0.48), additionally an amendment in worksheet Engine_A+CHP. Column P, cells P326:P794 to value of zero.</w:t>
      </w:r>
    </w:p>
    <w:p w:rsidR="00CC34FA" w:rsidRPr="008E3F1A" w:rsidRDefault="00CC34FA" w:rsidP="00CC34FA">
      <w:pPr>
        <w:keepLines/>
        <w:contextualSpacing/>
        <w:rPr>
          <w:rFonts w:ascii="Arial Narrow" w:eastAsiaTheme="majorEastAsia" w:hAnsi="Arial Narrow" w:cstheme="majorBidi"/>
          <w:sz w:val="18"/>
          <w:szCs w:val="18"/>
          <w:lang w:bidi="en-US"/>
        </w:rPr>
      </w:pPr>
      <w:r w:rsidRPr="008E3F1A">
        <w:rPr>
          <w:rFonts w:ascii="Arial Narrow" w:hAnsi="Arial Narrow"/>
          <w:color w:val="000000"/>
          <w:sz w:val="18"/>
          <w:szCs w:val="18"/>
        </w:rPr>
        <w:t>c= the analysis of convergence of OS curves was based on the exponential interpolation of the estimated convergence slope (0.939) and convergence index (-0.0046) which were based on the survival values of BV+CHP at 60 months (0.71) and CHOP at 180 months (0.4130) the results for OS for BV+CHP are estimated in column AV in worksheet: ‘Health states’; additionally an amendment in worksheet Engine_A+CHP. Column P, cells P326:P794 to value of zero.</w:t>
      </w:r>
    </w:p>
    <w:p w:rsidR="002B4726" w:rsidRDefault="00CC34FA" w:rsidP="002B4726">
      <w:pPr>
        <w:rPr>
          <w:rFonts w:ascii="Arial Narrow" w:eastAsiaTheme="majorEastAsia" w:hAnsi="Arial Narrow" w:cstheme="majorBidi"/>
          <w:sz w:val="18"/>
          <w:szCs w:val="18"/>
          <w:lang w:bidi="en-US"/>
        </w:rPr>
      </w:pPr>
      <w:r w:rsidRPr="008E3F1A">
        <w:rPr>
          <w:rFonts w:ascii="Arial Narrow" w:eastAsiaTheme="majorEastAsia" w:hAnsi="Arial Narrow" w:cstheme="majorBidi"/>
          <w:sz w:val="18"/>
          <w:szCs w:val="18"/>
          <w:lang w:bidi="en-US"/>
        </w:rPr>
        <w:t>d</w:t>
      </w:r>
      <w:r w:rsidR="002B4726" w:rsidRPr="008E3F1A">
        <w:rPr>
          <w:rFonts w:ascii="Arial Narrow" w:eastAsiaTheme="majorEastAsia" w:hAnsi="Arial Narrow" w:cstheme="majorBidi"/>
          <w:sz w:val="18"/>
          <w:szCs w:val="18"/>
          <w:lang w:bidi="en-US"/>
        </w:rPr>
        <w:t>= the analysis of convergence of OS curves was based on the exponential interpolation of the estimated convergence slope (0.892) and convergence index (-0.0037) which were based on the survival values of BV+CHP at 60 months (0.71) and CHOP at 240 months (0.3648) the results for OS for BV+CHP are estimated in column AV in worksheet: ‘Health states’; additionally an amendment in worksheet Engine_A+CHP. Column P, cells P326:P794 to value of zero.</w:t>
      </w:r>
    </w:p>
    <w:p w:rsidR="003C4832" w:rsidRPr="009868C4" w:rsidRDefault="003C4832" w:rsidP="003C4832">
      <w:pPr>
        <w:pStyle w:val="TableFigureFooter"/>
        <w:spacing w:after="0"/>
        <w:contextualSpacing w:val="0"/>
      </w:pPr>
      <w:r w:rsidRPr="009868C4">
        <w:rPr>
          <w:i/>
        </w:rPr>
        <w:t>The redacted values correspond to the following ranges</w:t>
      </w:r>
      <w:r>
        <w:rPr>
          <w:i/>
        </w:rPr>
        <w:t xml:space="preserve">: </w:t>
      </w:r>
    </w:p>
    <w:p w:rsidR="003C4832" w:rsidRPr="003C4832" w:rsidRDefault="003C4832" w:rsidP="003C4832">
      <w:pPr>
        <w:rPr>
          <w:rFonts w:ascii="Arial Narrow" w:eastAsiaTheme="majorEastAsia" w:hAnsi="Arial Narrow" w:cstheme="majorBidi"/>
          <w:i/>
          <w:sz w:val="18"/>
          <w:szCs w:val="18"/>
          <w:lang w:bidi="en-US"/>
        </w:rPr>
      </w:pPr>
      <w:r>
        <w:rPr>
          <w:rFonts w:ascii="Arial Narrow" w:eastAsiaTheme="majorEastAsia" w:hAnsi="Arial Narrow" w:cstheme="majorBidi"/>
          <w:sz w:val="18"/>
          <w:szCs w:val="18"/>
          <w:vertAlign w:val="superscript"/>
          <w:lang w:bidi="en-US"/>
        </w:rPr>
        <w:t xml:space="preserve">1 </w:t>
      </w:r>
      <w:r w:rsidRPr="003C4832">
        <w:rPr>
          <w:rFonts w:ascii="Arial Narrow" w:eastAsiaTheme="majorEastAsia" w:hAnsi="Arial Narrow" w:cstheme="majorBidi"/>
          <w:i/>
          <w:sz w:val="18"/>
          <w:szCs w:val="18"/>
          <w:lang w:bidi="en-US"/>
        </w:rPr>
        <w:t>$25,000 to &lt; $35,000</w:t>
      </w:r>
    </w:p>
    <w:p w:rsidR="003C4832" w:rsidRPr="003C4832" w:rsidRDefault="003C4832" w:rsidP="003C4832">
      <w:pPr>
        <w:rPr>
          <w:rFonts w:ascii="Arial Narrow" w:eastAsiaTheme="majorEastAsia" w:hAnsi="Arial Narrow" w:cstheme="majorBidi"/>
          <w:i/>
          <w:sz w:val="18"/>
          <w:szCs w:val="18"/>
          <w:lang w:bidi="en-US"/>
        </w:rPr>
      </w:pPr>
      <w:r w:rsidRPr="003C4832">
        <w:rPr>
          <w:rFonts w:ascii="Arial Narrow" w:eastAsiaTheme="majorEastAsia" w:hAnsi="Arial Narrow" w:cstheme="majorBidi"/>
          <w:i/>
          <w:sz w:val="18"/>
          <w:szCs w:val="18"/>
          <w:vertAlign w:val="superscript"/>
          <w:lang w:bidi="en-US"/>
        </w:rPr>
        <w:t xml:space="preserve">2 </w:t>
      </w:r>
      <w:r w:rsidRPr="003C4832">
        <w:rPr>
          <w:rFonts w:ascii="Arial Narrow" w:eastAsiaTheme="majorEastAsia" w:hAnsi="Arial Narrow" w:cstheme="majorBidi"/>
          <w:i/>
          <w:sz w:val="18"/>
          <w:szCs w:val="18"/>
          <w:lang w:bidi="en-US"/>
        </w:rPr>
        <w:t>$35,000 to &lt; $45,000</w:t>
      </w:r>
    </w:p>
    <w:p w:rsidR="003C4832" w:rsidRPr="003C4832" w:rsidRDefault="003C4832" w:rsidP="003C4832">
      <w:pPr>
        <w:rPr>
          <w:rFonts w:ascii="Arial Narrow" w:eastAsiaTheme="majorEastAsia" w:hAnsi="Arial Narrow" w:cstheme="majorBidi"/>
          <w:i/>
          <w:sz w:val="18"/>
          <w:szCs w:val="18"/>
          <w:lang w:bidi="en-US"/>
        </w:rPr>
      </w:pPr>
      <w:r w:rsidRPr="003C4832">
        <w:rPr>
          <w:rFonts w:ascii="Arial Narrow" w:eastAsiaTheme="majorEastAsia" w:hAnsi="Arial Narrow" w:cstheme="majorBidi"/>
          <w:i/>
          <w:sz w:val="18"/>
          <w:szCs w:val="18"/>
          <w:vertAlign w:val="superscript"/>
          <w:lang w:bidi="en-US"/>
        </w:rPr>
        <w:t xml:space="preserve">3 </w:t>
      </w:r>
      <w:r w:rsidRPr="003C4832">
        <w:rPr>
          <w:rFonts w:ascii="Arial Narrow" w:eastAsiaTheme="majorEastAsia" w:hAnsi="Arial Narrow" w:cstheme="majorBidi"/>
          <w:i/>
          <w:sz w:val="18"/>
          <w:szCs w:val="18"/>
          <w:lang w:bidi="en-US"/>
        </w:rPr>
        <w:t>$255,000 to &lt; $355,000</w:t>
      </w:r>
    </w:p>
    <w:p w:rsidR="00CF28CE" w:rsidRPr="003C4832" w:rsidRDefault="003C4832" w:rsidP="002B4726">
      <w:pPr>
        <w:rPr>
          <w:rFonts w:ascii="Arial Narrow" w:eastAsiaTheme="majorEastAsia" w:hAnsi="Arial Narrow" w:cstheme="majorBidi"/>
          <w:i/>
          <w:sz w:val="18"/>
          <w:szCs w:val="18"/>
          <w:lang w:bidi="en-US"/>
        </w:rPr>
      </w:pPr>
      <w:r w:rsidRPr="003C4832">
        <w:rPr>
          <w:rFonts w:ascii="Arial Narrow" w:eastAsiaTheme="majorEastAsia" w:hAnsi="Arial Narrow" w:cstheme="majorBidi"/>
          <w:i/>
          <w:sz w:val="18"/>
          <w:szCs w:val="18"/>
          <w:vertAlign w:val="superscript"/>
          <w:lang w:bidi="en-US"/>
        </w:rPr>
        <w:t xml:space="preserve">4 </w:t>
      </w:r>
      <w:r w:rsidRPr="003C4832">
        <w:rPr>
          <w:rFonts w:ascii="Arial Narrow" w:eastAsiaTheme="majorEastAsia" w:hAnsi="Arial Narrow" w:cstheme="majorBidi"/>
          <w:i/>
          <w:sz w:val="18"/>
          <w:szCs w:val="18"/>
          <w:lang w:bidi="en-US"/>
        </w:rPr>
        <w:t>$75,000 to &lt; $95,000</w:t>
      </w:r>
    </w:p>
    <w:p w:rsidR="003C4832" w:rsidRPr="003C4832" w:rsidRDefault="003C4832" w:rsidP="002B4726">
      <w:pPr>
        <w:rPr>
          <w:rFonts w:ascii="Arial Narrow" w:eastAsiaTheme="majorEastAsia" w:hAnsi="Arial Narrow" w:cstheme="majorBidi"/>
          <w:i/>
          <w:sz w:val="18"/>
          <w:szCs w:val="18"/>
          <w:lang w:bidi="en-US"/>
        </w:rPr>
      </w:pPr>
      <w:r w:rsidRPr="003C4832">
        <w:rPr>
          <w:rFonts w:ascii="Arial Narrow" w:eastAsiaTheme="majorEastAsia" w:hAnsi="Arial Narrow" w:cstheme="majorBidi"/>
          <w:i/>
          <w:sz w:val="18"/>
          <w:szCs w:val="18"/>
          <w:vertAlign w:val="superscript"/>
          <w:lang w:bidi="en-US"/>
        </w:rPr>
        <w:t xml:space="preserve">5 </w:t>
      </w:r>
      <w:r w:rsidRPr="003C4832">
        <w:rPr>
          <w:rFonts w:ascii="Arial Narrow" w:eastAsiaTheme="majorEastAsia" w:hAnsi="Arial Narrow" w:cstheme="majorBidi"/>
          <w:i/>
          <w:sz w:val="18"/>
          <w:szCs w:val="18"/>
          <w:lang w:bidi="en-US"/>
        </w:rPr>
        <w:t>$45,000 to &lt; $55,000</w:t>
      </w:r>
    </w:p>
    <w:p w:rsidR="003C4832" w:rsidRPr="003C4832" w:rsidRDefault="003C4832" w:rsidP="002B4726">
      <w:pPr>
        <w:rPr>
          <w:rFonts w:ascii="Arial Narrow" w:eastAsiaTheme="majorEastAsia" w:hAnsi="Arial Narrow" w:cstheme="majorBidi"/>
          <w:i/>
          <w:sz w:val="18"/>
          <w:szCs w:val="18"/>
          <w:lang w:bidi="en-US"/>
        </w:rPr>
      </w:pPr>
      <w:r>
        <w:rPr>
          <w:rFonts w:ascii="Arial Narrow" w:eastAsiaTheme="majorEastAsia" w:hAnsi="Arial Narrow" w:cstheme="majorBidi"/>
          <w:i/>
          <w:sz w:val="18"/>
          <w:szCs w:val="18"/>
          <w:vertAlign w:val="superscript"/>
          <w:lang w:bidi="en-US"/>
        </w:rPr>
        <w:t xml:space="preserve">6 </w:t>
      </w:r>
      <w:r w:rsidRPr="003C4832">
        <w:rPr>
          <w:rFonts w:ascii="Arial Narrow" w:eastAsiaTheme="majorEastAsia" w:hAnsi="Arial Narrow" w:cstheme="majorBidi"/>
          <w:i/>
          <w:sz w:val="18"/>
          <w:szCs w:val="18"/>
          <w:lang w:bidi="en-US"/>
        </w:rPr>
        <w:t>$15,000 to &lt; $25,000</w:t>
      </w:r>
    </w:p>
    <w:p w:rsidR="003C4832" w:rsidRPr="003C4832" w:rsidRDefault="003C4832" w:rsidP="002B4726">
      <w:pPr>
        <w:rPr>
          <w:rFonts w:ascii="Arial Narrow" w:eastAsiaTheme="majorEastAsia" w:hAnsi="Arial Narrow" w:cstheme="majorBidi"/>
          <w:i/>
          <w:sz w:val="18"/>
          <w:szCs w:val="18"/>
          <w:lang w:bidi="en-US"/>
        </w:rPr>
      </w:pPr>
      <w:r>
        <w:rPr>
          <w:rFonts w:ascii="Arial Narrow" w:eastAsiaTheme="majorEastAsia" w:hAnsi="Arial Narrow" w:cstheme="majorBidi"/>
          <w:i/>
          <w:sz w:val="18"/>
          <w:szCs w:val="18"/>
          <w:vertAlign w:val="superscript"/>
          <w:lang w:bidi="en-US"/>
        </w:rPr>
        <w:t xml:space="preserve">7 </w:t>
      </w:r>
      <w:r w:rsidRPr="003C4832">
        <w:rPr>
          <w:rFonts w:ascii="Arial Narrow" w:eastAsiaTheme="majorEastAsia" w:hAnsi="Arial Narrow" w:cstheme="majorBidi"/>
          <w:i/>
          <w:sz w:val="18"/>
          <w:szCs w:val="18"/>
          <w:lang w:bidi="en-US"/>
        </w:rPr>
        <w:t>$95,000 to &lt; $115,000</w:t>
      </w:r>
    </w:p>
    <w:p w:rsidR="003C4832" w:rsidRPr="003C4832" w:rsidRDefault="003C4832" w:rsidP="002B4726">
      <w:pPr>
        <w:rPr>
          <w:rFonts w:ascii="Arial Narrow" w:eastAsiaTheme="majorEastAsia" w:hAnsi="Arial Narrow" w:cstheme="majorBidi"/>
          <w:i/>
          <w:sz w:val="18"/>
          <w:szCs w:val="18"/>
          <w:lang w:bidi="en-US"/>
        </w:rPr>
      </w:pPr>
      <w:r>
        <w:rPr>
          <w:rFonts w:ascii="Arial Narrow" w:eastAsiaTheme="majorEastAsia" w:hAnsi="Arial Narrow" w:cstheme="majorBidi"/>
          <w:i/>
          <w:sz w:val="18"/>
          <w:szCs w:val="18"/>
          <w:vertAlign w:val="superscript"/>
          <w:lang w:bidi="en-US"/>
        </w:rPr>
        <w:t xml:space="preserve">8 </w:t>
      </w:r>
      <w:r w:rsidRPr="003C4832">
        <w:rPr>
          <w:rFonts w:ascii="Arial Narrow" w:eastAsiaTheme="majorEastAsia" w:hAnsi="Arial Narrow" w:cstheme="majorBidi"/>
          <w:i/>
          <w:sz w:val="18"/>
          <w:szCs w:val="18"/>
          <w:lang w:bidi="en-US"/>
        </w:rPr>
        <w:t>$55,000 to &lt; $75,000</w:t>
      </w:r>
    </w:p>
    <w:p w:rsidR="003C4832" w:rsidRPr="003C4832" w:rsidRDefault="003C4832" w:rsidP="002B4726">
      <w:pPr>
        <w:rPr>
          <w:i/>
        </w:rPr>
      </w:pPr>
    </w:p>
    <w:p w:rsidR="007F3851" w:rsidRPr="008E3F1A" w:rsidRDefault="007F3851" w:rsidP="003C4832">
      <w:pPr>
        <w:pStyle w:val="3-BodyText"/>
      </w:pPr>
      <w:r w:rsidRPr="008E3F1A">
        <w:t xml:space="preserve">The ESC noted the ICER of </w:t>
      </w:r>
      <w:r w:rsidR="003C4832">
        <w:rPr>
          <w:iCs/>
        </w:rPr>
        <w:t>$55,000 to &lt; $75,000</w:t>
      </w:r>
      <w:r w:rsidRPr="008E3F1A">
        <w:t>/QALY reported in the PSCR</w:t>
      </w:r>
      <w:r w:rsidR="00B11931" w:rsidRPr="008E3F1A">
        <w:t>,</w:t>
      </w:r>
      <w:r w:rsidR="00C44D58" w:rsidRPr="008E3F1A">
        <w:t xml:space="preserve"> for convergence of the BV+CHP cur</w:t>
      </w:r>
      <w:r w:rsidR="00B11931" w:rsidRPr="008E3F1A">
        <w:t>ve from 60 months to 240 months</w:t>
      </w:r>
      <w:r w:rsidR="00C44D58" w:rsidRPr="008E3F1A">
        <w:t xml:space="preserve"> assuming no difference in OS from 240 months onwards, was unable to be reproduced. Instead, the ESC noted that</w:t>
      </w:r>
      <w:r w:rsidR="00B11931" w:rsidRPr="008E3F1A">
        <w:t xml:space="preserve"> during the preparation of the ESC Advice</w:t>
      </w:r>
      <w:r w:rsidR="00C44D58" w:rsidRPr="008E3F1A">
        <w:t xml:space="preserve"> an ICER of </w:t>
      </w:r>
      <w:r w:rsidR="003C4832">
        <w:t>$55,000 to &lt; $75,000</w:t>
      </w:r>
      <w:r w:rsidR="00C44D58" w:rsidRPr="008E3F1A">
        <w:t xml:space="preserve">/QALY was </w:t>
      </w:r>
      <w:r w:rsidR="00B11931" w:rsidRPr="008E3F1A">
        <w:t>reported</w:t>
      </w:r>
      <w:r w:rsidR="00C44D58" w:rsidRPr="008E3F1A">
        <w:t>.</w:t>
      </w:r>
    </w:p>
    <w:p w:rsidR="0056698E" w:rsidRPr="008E3F1A" w:rsidRDefault="0056698E" w:rsidP="00B11931">
      <w:pPr>
        <w:pStyle w:val="3-BodyText"/>
      </w:pPr>
      <w:r w:rsidRPr="008E3F1A">
        <w:t>As outlined in paragraphs 6.</w:t>
      </w:r>
      <w:r w:rsidR="00195415" w:rsidRPr="008E3F1A">
        <w:t>38</w:t>
      </w:r>
      <w:r w:rsidRPr="008E3F1A">
        <w:t xml:space="preserve"> and 6.</w:t>
      </w:r>
      <w:r w:rsidR="00195415" w:rsidRPr="008E3F1A">
        <w:t>41</w:t>
      </w:r>
      <w:r w:rsidR="00B11931" w:rsidRPr="008E3F1A">
        <w:t>,</w:t>
      </w:r>
      <w:r w:rsidRPr="008E3F1A">
        <w:t xml:space="preserve"> t</w:t>
      </w:r>
      <w:r w:rsidR="00C44D58" w:rsidRPr="008E3F1A">
        <w:t xml:space="preserve">he ESC </w:t>
      </w:r>
      <w:r w:rsidR="00C258A2" w:rsidRPr="008E3F1A">
        <w:t xml:space="preserve">advised that </w:t>
      </w:r>
      <w:r w:rsidR="00C44D58" w:rsidRPr="008E3F1A">
        <w:t>convergence of the BV+CHP OS curves from year 5 to y</w:t>
      </w:r>
      <w:r w:rsidR="00540130" w:rsidRPr="008E3F1A">
        <w:t xml:space="preserve">ear </w:t>
      </w:r>
      <w:r w:rsidR="00CC34FA" w:rsidRPr="008E3F1A">
        <w:t>15</w:t>
      </w:r>
      <w:r w:rsidR="00540130" w:rsidRPr="008E3F1A">
        <w:t xml:space="preserve"> and a shorter time horizon </w:t>
      </w:r>
      <w:r w:rsidRPr="008E3F1A">
        <w:t xml:space="preserve">were appropriate </w:t>
      </w:r>
      <w:r w:rsidR="00C44D58" w:rsidRPr="008E3F1A">
        <w:t>given the immaturity of the OS data in EC</w:t>
      </w:r>
      <w:r w:rsidR="00540130" w:rsidRPr="008E3F1A">
        <w:t>HELON-2. The ESC noted that a 20 year time horizon was used in the July 2014 consideration of BV for relapsed/refractory sALCL (see Table 2)</w:t>
      </w:r>
      <w:r w:rsidR="00B11931" w:rsidRPr="008E3F1A">
        <w:t xml:space="preserve"> and considered that a time horizon greater than 20 years may be appropriate in the first-line setting</w:t>
      </w:r>
      <w:r w:rsidR="00540130" w:rsidRPr="008E3F1A">
        <w:t xml:space="preserve">. </w:t>
      </w:r>
      <w:r w:rsidRPr="008E3F1A">
        <w:t xml:space="preserve">The ESC advised a respecified base case with convergence of OS survival from year 5 to year </w:t>
      </w:r>
      <w:r w:rsidR="00CC34FA" w:rsidRPr="008E3F1A">
        <w:t>15</w:t>
      </w:r>
      <w:r w:rsidRPr="008E3F1A">
        <w:t xml:space="preserve"> </w:t>
      </w:r>
      <w:r w:rsidR="00B11931" w:rsidRPr="008E3F1A">
        <w:t>was appropriate</w:t>
      </w:r>
      <w:r w:rsidR="00153E85" w:rsidRPr="008E3F1A">
        <w:t>. With convergence at 15 years, the ICER was similar for a time horizon of 15 years or longer.</w:t>
      </w:r>
      <w:r w:rsidRPr="008E3F1A">
        <w:t xml:space="preserve"> </w:t>
      </w:r>
    </w:p>
    <w:p w:rsidR="00C25D9C" w:rsidRPr="008E3F1A" w:rsidRDefault="006052A9" w:rsidP="00BB732D">
      <w:pPr>
        <w:pStyle w:val="4-SubsectionHeading"/>
      </w:pPr>
      <w:bookmarkStart w:id="24" w:name="_Toc22897646"/>
      <w:bookmarkStart w:id="25" w:name="_Toc62055097"/>
      <w:r w:rsidRPr="008E3F1A">
        <w:lastRenderedPageBreak/>
        <w:t>BV+CHP</w:t>
      </w:r>
      <w:r w:rsidR="00C25D9C" w:rsidRPr="008E3F1A">
        <w:t xml:space="preserve"> cost/patient/</w:t>
      </w:r>
      <w:bookmarkEnd w:id="24"/>
      <w:r w:rsidR="0089736B" w:rsidRPr="008E3F1A">
        <w:t>course</w:t>
      </w:r>
      <w:bookmarkEnd w:id="25"/>
    </w:p>
    <w:p w:rsidR="0089736B" w:rsidRPr="008E3F1A" w:rsidRDefault="0089736B" w:rsidP="0089736B">
      <w:pPr>
        <w:pStyle w:val="3-BodyText"/>
      </w:pPr>
      <w:r w:rsidRPr="008E3F1A">
        <w:t xml:space="preserve">The cost per </w:t>
      </w:r>
      <w:r w:rsidR="00794AD9" w:rsidRPr="008E3F1A">
        <w:t>patient</w:t>
      </w:r>
      <w:r w:rsidRPr="008E3F1A">
        <w:t xml:space="preserve"> per course is </w:t>
      </w:r>
      <w:r w:rsidR="00794AD9" w:rsidRPr="008E3F1A">
        <w:t>presented</w:t>
      </w:r>
      <w:r w:rsidRPr="008E3F1A">
        <w:t xml:space="preserve"> in Table 1</w:t>
      </w:r>
      <w:r w:rsidR="00C00747" w:rsidRPr="008E3F1A">
        <w:t>3</w:t>
      </w:r>
      <w:r w:rsidR="00794AD9" w:rsidRPr="008E3F1A">
        <w:t>.</w:t>
      </w:r>
      <w:r w:rsidR="00C255EF" w:rsidRPr="008E3F1A">
        <w:t xml:space="preserve"> Taking account of the </w:t>
      </w:r>
      <w:r w:rsidR="00233B6A" w:rsidRPr="008E3F1A">
        <w:t>anticipated</w:t>
      </w:r>
      <w:r w:rsidR="00C255EF" w:rsidRPr="008E3F1A">
        <w:t xml:space="preserve"> mean dose based on the patient </w:t>
      </w:r>
      <w:r w:rsidR="00233B6A" w:rsidRPr="008E3F1A">
        <w:t>characteristics</w:t>
      </w:r>
      <w:r w:rsidR="00C255EF" w:rsidRPr="008E3F1A">
        <w:t xml:space="preserve"> in E</w:t>
      </w:r>
      <w:r w:rsidR="00233B6A" w:rsidRPr="008E3F1A">
        <w:t>CHELON-2 (</w:t>
      </w:r>
      <w:r w:rsidR="00910144" w:rsidRPr="008E3F1A">
        <w:t>mean BSA of 1.85</w:t>
      </w:r>
      <w:r w:rsidR="00CA079E" w:rsidRPr="008E3F1A">
        <w:t xml:space="preserve"> m</w:t>
      </w:r>
      <w:r w:rsidR="00CA079E" w:rsidRPr="008E3F1A">
        <w:rPr>
          <w:vertAlign w:val="superscript"/>
        </w:rPr>
        <w:t>2</w:t>
      </w:r>
      <w:r w:rsidR="00CA079E" w:rsidRPr="008E3F1A">
        <w:t>)</w:t>
      </w:r>
      <w:r w:rsidR="00233B6A" w:rsidRPr="008E3F1A">
        <w:t xml:space="preserve"> </w:t>
      </w:r>
      <w:r w:rsidR="00D26C2E" w:rsidRPr="008E3F1A">
        <w:t>the c</w:t>
      </w:r>
      <w:r w:rsidR="00190C4A" w:rsidRPr="008E3F1A">
        <w:t>ost</w:t>
      </w:r>
      <w:r w:rsidR="00D26C2E" w:rsidRPr="008E3F1A">
        <w:t xml:space="preserve"> of BV per </w:t>
      </w:r>
      <w:r w:rsidR="00190C4A" w:rsidRPr="008E3F1A">
        <w:t>patient</w:t>
      </w:r>
      <w:r w:rsidR="00D26C2E" w:rsidRPr="008E3F1A">
        <w:t xml:space="preserve"> per course </w:t>
      </w:r>
      <w:r w:rsidR="00190C4A" w:rsidRPr="008E3F1A">
        <w:t>of</w:t>
      </w:r>
      <w:r w:rsidR="00D26C2E" w:rsidRPr="008E3F1A">
        <w:t xml:space="preserve"> treatment was $</w:t>
      </w:r>
      <w:r w:rsidR="003F2520">
        <w:rPr>
          <w:noProof/>
          <w:color w:val="000000"/>
          <w:highlight w:val="black"/>
        </w:rPr>
        <w:t>''''''''''''</w:t>
      </w:r>
      <w:r w:rsidR="009032DC" w:rsidRPr="008E3F1A">
        <w:t>. This was based on the effective price of BV, for a mean duration of six cycles</w:t>
      </w:r>
      <w:r w:rsidR="00B13F0F" w:rsidRPr="008E3F1A">
        <w:t xml:space="preserve">. </w:t>
      </w:r>
    </w:p>
    <w:p w:rsidR="0089736B" w:rsidRPr="008E3F1A" w:rsidRDefault="00C447B2" w:rsidP="0089736B">
      <w:pPr>
        <w:pStyle w:val="3-BodyText"/>
        <w:rPr>
          <w:iCs/>
        </w:rPr>
      </w:pPr>
      <w:r w:rsidRPr="008E3F1A">
        <w:rPr>
          <w:iCs/>
        </w:rPr>
        <w:t xml:space="preserve">The </w:t>
      </w:r>
      <w:r w:rsidR="00CA51FA" w:rsidRPr="008E3F1A">
        <w:rPr>
          <w:iCs/>
        </w:rPr>
        <w:t xml:space="preserve">costs </w:t>
      </w:r>
      <w:r w:rsidR="001D6DB6" w:rsidRPr="008E3F1A">
        <w:rPr>
          <w:iCs/>
        </w:rPr>
        <w:t>presented exclude the CHP component of the two treatment arms</w:t>
      </w:r>
      <w:r w:rsidR="00BC5701" w:rsidRPr="008E3F1A">
        <w:rPr>
          <w:iCs/>
        </w:rPr>
        <w:t xml:space="preserve">, as they </w:t>
      </w:r>
      <w:r w:rsidR="007D4524" w:rsidRPr="008E3F1A">
        <w:rPr>
          <w:iCs/>
        </w:rPr>
        <w:t>were</w:t>
      </w:r>
      <w:r w:rsidR="00BC5701" w:rsidRPr="008E3F1A">
        <w:rPr>
          <w:iCs/>
        </w:rPr>
        <w:t xml:space="preserve"> excluded in the financial estimate</w:t>
      </w:r>
      <w:r w:rsidR="00CF4B7D" w:rsidRPr="008E3F1A">
        <w:rPr>
          <w:iCs/>
        </w:rPr>
        <w:t>s</w:t>
      </w:r>
      <w:r w:rsidR="00BC5701" w:rsidRPr="008E3F1A">
        <w:rPr>
          <w:iCs/>
        </w:rPr>
        <w:t xml:space="preserve">. However, based on </w:t>
      </w:r>
      <w:r w:rsidR="007D4524" w:rsidRPr="008E3F1A">
        <w:rPr>
          <w:iCs/>
        </w:rPr>
        <w:t>the</w:t>
      </w:r>
      <w:r w:rsidR="00BC5701" w:rsidRPr="008E3F1A">
        <w:rPr>
          <w:iCs/>
        </w:rPr>
        <w:t xml:space="preserve"> </w:t>
      </w:r>
      <w:r w:rsidR="00211679" w:rsidRPr="008E3F1A">
        <w:rPr>
          <w:iCs/>
        </w:rPr>
        <w:t xml:space="preserve">small </w:t>
      </w:r>
      <w:r w:rsidR="00BC5701" w:rsidRPr="008E3F1A">
        <w:rPr>
          <w:iCs/>
        </w:rPr>
        <w:t>difference in</w:t>
      </w:r>
      <w:r w:rsidR="00211679" w:rsidRPr="008E3F1A">
        <w:rPr>
          <w:iCs/>
        </w:rPr>
        <w:t xml:space="preserve"> mean</w:t>
      </w:r>
      <w:r w:rsidR="00BC5701" w:rsidRPr="008E3F1A">
        <w:rPr>
          <w:iCs/>
        </w:rPr>
        <w:t xml:space="preserve"> duration of </w:t>
      </w:r>
      <w:r w:rsidR="007D4524" w:rsidRPr="008E3F1A">
        <w:rPr>
          <w:iCs/>
        </w:rPr>
        <w:t>treatment</w:t>
      </w:r>
      <w:r w:rsidR="00211679" w:rsidRPr="008E3F1A">
        <w:rPr>
          <w:iCs/>
        </w:rPr>
        <w:t xml:space="preserve"> between BV+CHP and CHOP</w:t>
      </w:r>
      <w:r w:rsidR="00BC5701" w:rsidRPr="008E3F1A">
        <w:rPr>
          <w:iCs/>
        </w:rPr>
        <w:t xml:space="preserve">, the </w:t>
      </w:r>
      <w:r w:rsidR="007D4524" w:rsidRPr="008E3F1A">
        <w:rPr>
          <w:iCs/>
        </w:rPr>
        <w:t xml:space="preserve">cost of the CHP component in the economic model </w:t>
      </w:r>
      <w:r w:rsidR="00862A06" w:rsidRPr="008E3F1A">
        <w:rPr>
          <w:iCs/>
        </w:rPr>
        <w:t xml:space="preserve">would </w:t>
      </w:r>
      <w:r w:rsidR="007D4524" w:rsidRPr="008E3F1A">
        <w:rPr>
          <w:iCs/>
        </w:rPr>
        <w:t>be higher for BV+CHP treatment arm</w:t>
      </w:r>
      <w:r w:rsidR="00862A06" w:rsidRPr="008E3F1A">
        <w:rPr>
          <w:iCs/>
        </w:rPr>
        <w:t>, although the difference would also be small</w:t>
      </w:r>
      <w:r w:rsidR="007D4524" w:rsidRPr="008E3F1A">
        <w:rPr>
          <w:iCs/>
        </w:rPr>
        <w:t>.</w:t>
      </w:r>
    </w:p>
    <w:p w:rsidR="00494207" w:rsidRPr="008E3F1A" w:rsidRDefault="00494207" w:rsidP="00BB732D">
      <w:pPr>
        <w:pStyle w:val="TableFigureHeading"/>
        <w:rPr>
          <w:rStyle w:val="CommentReference"/>
          <w:b/>
          <w:szCs w:val="24"/>
        </w:rPr>
      </w:pPr>
      <w:r w:rsidRPr="008E3F1A">
        <w:rPr>
          <w:rStyle w:val="CommentReference"/>
          <w:b/>
          <w:szCs w:val="24"/>
        </w:rPr>
        <w:t xml:space="preserve">Table </w:t>
      </w:r>
      <w:r w:rsidR="00D92A51" w:rsidRPr="008E3F1A">
        <w:rPr>
          <w:rStyle w:val="CommentReference"/>
          <w:b/>
          <w:szCs w:val="24"/>
        </w:rPr>
        <w:t>1</w:t>
      </w:r>
      <w:r w:rsidR="00C00747" w:rsidRPr="008E3F1A">
        <w:rPr>
          <w:rStyle w:val="CommentReference"/>
          <w:b/>
          <w:szCs w:val="24"/>
        </w:rPr>
        <w:t>3</w:t>
      </w:r>
      <w:r w:rsidRPr="008E3F1A">
        <w:rPr>
          <w:rStyle w:val="CommentReference"/>
          <w:b/>
          <w:szCs w:val="24"/>
        </w:rPr>
        <w:t>: Drug cost per patient for proposed and comparator drugs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15"/>
        <w:gridCol w:w="1111"/>
        <w:gridCol w:w="1255"/>
        <w:gridCol w:w="1259"/>
        <w:gridCol w:w="1255"/>
        <w:gridCol w:w="1261"/>
        <w:gridCol w:w="1261"/>
      </w:tblGrid>
      <w:tr w:rsidR="00494207" w:rsidRPr="008E3F1A" w:rsidTr="00D92A51">
        <w:trPr>
          <w:cantSplit/>
          <w:tblHeader/>
          <w:jc w:val="center"/>
        </w:trPr>
        <w:tc>
          <w:tcPr>
            <w:tcW w:w="896" w:type="pct"/>
            <w:shd w:val="clear" w:color="auto" w:fill="auto"/>
            <w:vAlign w:val="center"/>
          </w:tcPr>
          <w:p w:rsidR="00494207" w:rsidRPr="008E3F1A" w:rsidRDefault="00494207" w:rsidP="00BB732D">
            <w:pPr>
              <w:pStyle w:val="In-tableHeading"/>
              <w:jc w:val="center"/>
              <w:rPr>
                <w:lang w:val="en-AU"/>
              </w:rPr>
            </w:pPr>
          </w:p>
        </w:tc>
        <w:tc>
          <w:tcPr>
            <w:tcW w:w="616" w:type="pct"/>
            <w:shd w:val="clear" w:color="auto" w:fill="auto"/>
            <w:vAlign w:val="center"/>
          </w:tcPr>
          <w:p w:rsidR="00494207" w:rsidRPr="008E3F1A" w:rsidRDefault="00E17A98" w:rsidP="00BB732D">
            <w:pPr>
              <w:pStyle w:val="In-tableHeading"/>
              <w:jc w:val="center"/>
              <w:rPr>
                <w:lang w:val="en-AU"/>
              </w:rPr>
            </w:pPr>
            <w:r w:rsidRPr="008E3F1A">
              <w:rPr>
                <w:lang w:val="en-AU"/>
              </w:rPr>
              <w:t>B</w:t>
            </w:r>
            <w:r w:rsidR="000F614E" w:rsidRPr="008E3F1A">
              <w:rPr>
                <w:lang w:val="en-AU"/>
              </w:rPr>
              <w:t>V</w:t>
            </w:r>
          </w:p>
          <w:p w:rsidR="00494207" w:rsidRPr="008E3F1A" w:rsidRDefault="00494207" w:rsidP="00BB732D">
            <w:pPr>
              <w:pStyle w:val="In-tableHeading"/>
              <w:jc w:val="center"/>
              <w:rPr>
                <w:lang w:val="en-AU"/>
              </w:rPr>
            </w:pPr>
            <w:r w:rsidRPr="008E3F1A">
              <w:rPr>
                <w:lang w:val="en-AU"/>
              </w:rPr>
              <w:t>Trial dose and duration</w:t>
            </w:r>
          </w:p>
        </w:tc>
        <w:tc>
          <w:tcPr>
            <w:tcW w:w="696" w:type="pct"/>
            <w:shd w:val="clear" w:color="auto" w:fill="auto"/>
            <w:vAlign w:val="center"/>
          </w:tcPr>
          <w:p w:rsidR="00E17A98" w:rsidRPr="008E3F1A" w:rsidRDefault="00E17A98" w:rsidP="00E17A98">
            <w:pPr>
              <w:pStyle w:val="In-tableHeading"/>
              <w:jc w:val="center"/>
              <w:rPr>
                <w:lang w:val="en-AU"/>
              </w:rPr>
            </w:pPr>
            <w:r w:rsidRPr="008E3F1A">
              <w:rPr>
                <w:lang w:val="en-AU"/>
              </w:rPr>
              <w:t>BV</w:t>
            </w:r>
          </w:p>
          <w:p w:rsidR="00494207" w:rsidRPr="008E3F1A" w:rsidRDefault="00494207" w:rsidP="00BB732D">
            <w:pPr>
              <w:pStyle w:val="In-tableHeading"/>
              <w:jc w:val="center"/>
              <w:rPr>
                <w:lang w:val="en-AU"/>
              </w:rPr>
            </w:pPr>
            <w:r w:rsidRPr="008E3F1A">
              <w:rPr>
                <w:lang w:val="en-AU"/>
              </w:rPr>
              <w:t>Model</w:t>
            </w:r>
          </w:p>
        </w:tc>
        <w:tc>
          <w:tcPr>
            <w:tcW w:w="698" w:type="pct"/>
            <w:shd w:val="clear" w:color="auto" w:fill="auto"/>
            <w:vAlign w:val="center"/>
          </w:tcPr>
          <w:p w:rsidR="00494207" w:rsidRPr="008E3F1A" w:rsidRDefault="00E17A98" w:rsidP="00E17A98">
            <w:pPr>
              <w:pStyle w:val="In-tableHeading"/>
              <w:jc w:val="center"/>
              <w:rPr>
                <w:lang w:val="en-AU"/>
              </w:rPr>
            </w:pPr>
            <w:r w:rsidRPr="008E3F1A">
              <w:rPr>
                <w:lang w:val="en-AU"/>
              </w:rPr>
              <w:t>BV</w:t>
            </w:r>
          </w:p>
          <w:p w:rsidR="00494207" w:rsidRPr="008E3F1A" w:rsidRDefault="00494207" w:rsidP="00BB732D">
            <w:pPr>
              <w:pStyle w:val="In-tableHeading"/>
              <w:jc w:val="center"/>
              <w:rPr>
                <w:lang w:val="en-AU"/>
              </w:rPr>
            </w:pPr>
            <w:r w:rsidRPr="008E3F1A">
              <w:rPr>
                <w:lang w:val="en-AU"/>
              </w:rPr>
              <w:t>Financial estimates</w:t>
            </w:r>
          </w:p>
        </w:tc>
        <w:tc>
          <w:tcPr>
            <w:tcW w:w="696" w:type="pct"/>
            <w:shd w:val="clear" w:color="auto" w:fill="auto"/>
            <w:vAlign w:val="center"/>
          </w:tcPr>
          <w:p w:rsidR="00494207" w:rsidRPr="008E3F1A" w:rsidRDefault="00A9384E" w:rsidP="00BB732D">
            <w:pPr>
              <w:pStyle w:val="In-tableHeading"/>
              <w:jc w:val="center"/>
              <w:rPr>
                <w:lang w:val="en-AU"/>
              </w:rPr>
            </w:pPr>
            <w:r w:rsidRPr="008E3F1A">
              <w:rPr>
                <w:lang w:val="en-AU"/>
              </w:rPr>
              <w:t>Vincristine</w:t>
            </w:r>
          </w:p>
          <w:p w:rsidR="00494207" w:rsidRPr="008E3F1A" w:rsidRDefault="00494207" w:rsidP="00BB732D">
            <w:pPr>
              <w:pStyle w:val="In-tableHeading"/>
              <w:jc w:val="center"/>
              <w:rPr>
                <w:lang w:val="en-AU"/>
              </w:rPr>
            </w:pPr>
            <w:r w:rsidRPr="008E3F1A">
              <w:rPr>
                <w:lang w:val="en-AU"/>
              </w:rPr>
              <w:t>Trial dose and duration</w:t>
            </w:r>
          </w:p>
        </w:tc>
        <w:tc>
          <w:tcPr>
            <w:tcW w:w="699" w:type="pct"/>
            <w:shd w:val="clear" w:color="auto" w:fill="auto"/>
            <w:vAlign w:val="center"/>
          </w:tcPr>
          <w:p w:rsidR="00494207" w:rsidRPr="008E3F1A" w:rsidRDefault="00A9384E" w:rsidP="00BB732D">
            <w:pPr>
              <w:pStyle w:val="In-tableHeading"/>
              <w:jc w:val="center"/>
              <w:rPr>
                <w:lang w:val="en-AU"/>
              </w:rPr>
            </w:pPr>
            <w:r w:rsidRPr="008E3F1A">
              <w:rPr>
                <w:lang w:val="en-AU"/>
              </w:rPr>
              <w:t>Vincristine</w:t>
            </w:r>
          </w:p>
          <w:p w:rsidR="00494207" w:rsidRPr="008E3F1A" w:rsidRDefault="00494207" w:rsidP="00BB732D">
            <w:pPr>
              <w:pStyle w:val="In-tableHeading"/>
              <w:jc w:val="center"/>
              <w:rPr>
                <w:lang w:val="en-AU"/>
              </w:rPr>
            </w:pPr>
            <w:r w:rsidRPr="008E3F1A">
              <w:rPr>
                <w:lang w:val="en-AU"/>
              </w:rPr>
              <w:t>Model</w:t>
            </w:r>
          </w:p>
        </w:tc>
        <w:tc>
          <w:tcPr>
            <w:tcW w:w="699" w:type="pct"/>
          </w:tcPr>
          <w:p w:rsidR="00494207" w:rsidRPr="008E3F1A" w:rsidRDefault="00F43245" w:rsidP="00BB732D">
            <w:pPr>
              <w:pStyle w:val="In-tableHeading"/>
              <w:jc w:val="center"/>
              <w:rPr>
                <w:lang w:val="en-AU"/>
              </w:rPr>
            </w:pPr>
            <w:r w:rsidRPr="008E3F1A">
              <w:rPr>
                <w:lang w:val="en-AU"/>
              </w:rPr>
              <w:t>Vincristine</w:t>
            </w:r>
          </w:p>
          <w:p w:rsidR="00494207" w:rsidRPr="008E3F1A" w:rsidRDefault="00494207" w:rsidP="00BB732D">
            <w:pPr>
              <w:pStyle w:val="In-tableHeading"/>
              <w:jc w:val="center"/>
              <w:rPr>
                <w:lang w:val="en-AU"/>
              </w:rPr>
            </w:pPr>
            <w:r w:rsidRPr="008E3F1A">
              <w:rPr>
                <w:lang w:val="en-AU"/>
              </w:rPr>
              <w:t>Financial estimates</w:t>
            </w:r>
          </w:p>
        </w:tc>
      </w:tr>
      <w:tr w:rsidR="00F20F9B" w:rsidRPr="008E3F1A" w:rsidTr="00BE2871">
        <w:trPr>
          <w:cantSplit/>
          <w:jc w:val="center"/>
        </w:trPr>
        <w:tc>
          <w:tcPr>
            <w:tcW w:w="896" w:type="pct"/>
            <w:shd w:val="clear" w:color="auto" w:fill="auto"/>
            <w:vAlign w:val="center"/>
          </w:tcPr>
          <w:p w:rsidR="00F20F9B" w:rsidRPr="008E3F1A" w:rsidRDefault="00F20F9B" w:rsidP="00F20F9B">
            <w:pPr>
              <w:pStyle w:val="TableText0"/>
            </w:pPr>
            <w:r w:rsidRPr="008E3F1A">
              <w:t>Mean dose</w:t>
            </w:r>
          </w:p>
        </w:tc>
        <w:tc>
          <w:tcPr>
            <w:tcW w:w="616" w:type="pct"/>
            <w:shd w:val="clear" w:color="auto" w:fill="auto"/>
            <w:vAlign w:val="center"/>
          </w:tcPr>
          <w:p w:rsidR="002D04E1" w:rsidRPr="008E3F1A" w:rsidRDefault="002D04E1" w:rsidP="002D04E1">
            <w:pPr>
              <w:pStyle w:val="TableText0"/>
              <w:jc w:val="center"/>
              <w:rPr>
                <w:vertAlign w:val="superscript"/>
              </w:rPr>
            </w:pPr>
            <w:r w:rsidRPr="008E3F1A">
              <w:rPr>
                <w:bCs w:val="0"/>
              </w:rPr>
              <w:t>Dose of 150 mg assumed (actual dose:</w:t>
            </w:r>
            <w:r w:rsidR="00AF6E64" w:rsidRPr="008E3F1A">
              <w:rPr>
                <w:bCs w:val="0"/>
              </w:rPr>
              <w:br/>
            </w:r>
            <w:r w:rsidR="00891B5D" w:rsidRPr="008E3F1A">
              <w:rPr>
                <w:bCs w:val="0"/>
              </w:rPr>
              <w:t>1</w:t>
            </w:r>
            <w:r w:rsidR="00891B5D" w:rsidRPr="008E3F1A">
              <w:t>26.1</w:t>
            </w:r>
            <w:r w:rsidRPr="008E3F1A">
              <w:rPr>
                <w:vertAlign w:val="superscript"/>
              </w:rPr>
              <w:t>a</w:t>
            </w:r>
            <w:r w:rsidR="00BE0313" w:rsidRPr="008E3F1A">
              <w:rPr>
                <w:bCs w:val="0"/>
              </w:rPr>
              <w:t xml:space="preserve"> </w:t>
            </w:r>
            <w:r w:rsidR="00BE0313" w:rsidRPr="008E3F1A">
              <w:t>mg</w:t>
            </w:r>
            <w:r w:rsidRPr="008E3F1A">
              <w:rPr>
                <w:bCs w:val="0"/>
              </w:rPr>
              <w:t>)</w:t>
            </w:r>
          </w:p>
        </w:tc>
        <w:tc>
          <w:tcPr>
            <w:tcW w:w="696" w:type="pct"/>
            <w:shd w:val="clear" w:color="auto" w:fill="auto"/>
            <w:vAlign w:val="center"/>
          </w:tcPr>
          <w:p w:rsidR="00F851FF" w:rsidRPr="008E3F1A" w:rsidRDefault="002D04E1" w:rsidP="00F20F9B">
            <w:pPr>
              <w:pStyle w:val="TableText0"/>
              <w:jc w:val="center"/>
              <w:rPr>
                <w:bCs w:val="0"/>
              </w:rPr>
            </w:pPr>
            <w:r w:rsidRPr="008E3F1A">
              <w:rPr>
                <w:bCs w:val="0"/>
              </w:rPr>
              <w:t xml:space="preserve">Dose of 150 mg assumed (actual dose: </w:t>
            </w:r>
            <w:r w:rsidR="00F20F9B" w:rsidRPr="008E3F1A">
              <w:rPr>
                <w:bCs w:val="0"/>
              </w:rPr>
              <w:t>133.9</w:t>
            </w:r>
            <w:r w:rsidR="00F113A9" w:rsidRPr="008E3F1A">
              <w:rPr>
                <w:bCs w:val="0"/>
                <w:vertAlign w:val="superscript"/>
              </w:rPr>
              <w:t>b</w:t>
            </w:r>
            <w:r w:rsidR="00F20F9B" w:rsidRPr="008E3F1A">
              <w:rPr>
                <w:bCs w:val="0"/>
                <w:vertAlign w:val="superscript"/>
              </w:rPr>
              <w:t xml:space="preserve"> </w:t>
            </w:r>
            <w:r w:rsidR="00F20F9B" w:rsidRPr="008E3F1A">
              <w:rPr>
                <w:bCs w:val="0"/>
              </w:rPr>
              <w:t>mg</w:t>
            </w:r>
            <w:r w:rsidRPr="008E3F1A">
              <w:rPr>
                <w:bCs w:val="0"/>
              </w:rPr>
              <w:t>)</w:t>
            </w:r>
            <w:r w:rsidR="00FF16A8" w:rsidRPr="008E3F1A">
              <w:rPr>
                <w:bCs w:val="0"/>
              </w:rPr>
              <w:t xml:space="preserve"> </w:t>
            </w:r>
          </w:p>
          <w:p w:rsidR="00F20F9B" w:rsidRPr="008E3F1A" w:rsidRDefault="00F20F9B" w:rsidP="00F20F9B">
            <w:pPr>
              <w:pStyle w:val="TableText0"/>
              <w:jc w:val="center"/>
              <w:rPr>
                <w:bCs w:val="0"/>
              </w:rPr>
            </w:pPr>
          </w:p>
        </w:tc>
        <w:tc>
          <w:tcPr>
            <w:tcW w:w="698" w:type="pct"/>
            <w:shd w:val="clear" w:color="auto" w:fill="auto"/>
            <w:vAlign w:val="center"/>
          </w:tcPr>
          <w:p w:rsidR="00F20F9B" w:rsidRPr="008E3F1A" w:rsidRDefault="002D04E1" w:rsidP="00F20F9B">
            <w:pPr>
              <w:pStyle w:val="TableText0"/>
              <w:jc w:val="center"/>
              <w:rPr>
                <w:bCs w:val="0"/>
              </w:rPr>
            </w:pPr>
            <w:r w:rsidRPr="008E3F1A">
              <w:rPr>
                <w:bCs w:val="0"/>
              </w:rPr>
              <w:t xml:space="preserve">Dose of 150 mg assumed </w:t>
            </w:r>
          </w:p>
        </w:tc>
        <w:tc>
          <w:tcPr>
            <w:tcW w:w="696" w:type="pct"/>
            <w:shd w:val="clear" w:color="auto" w:fill="auto"/>
            <w:vAlign w:val="center"/>
          </w:tcPr>
          <w:p w:rsidR="00F20F9B" w:rsidRPr="008E3F1A" w:rsidRDefault="00C34522" w:rsidP="00F20F9B">
            <w:pPr>
              <w:pStyle w:val="TableText0"/>
              <w:jc w:val="center"/>
              <w:rPr>
                <w:bCs w:val="0"/>
              </w:rPr>
            </w:pPr>
            <w:r w:rsidRPr="008E3F1A">
              <w:rPr>
                <w:bCs w:val="0"/>
              </w:rPr>
              <w:t xml:space="preserve">Dose of 2 mg assumed, </w:t>
            </w:r>
            <w:r w:rsidR="00BD154E" w:rsidRPr="008E3F1A">
              <w:rPr>
                <w:bCs w:val="0"/>
              </w:rPr>
              <w:t>2 vials,</w:t>
            </w:r>
            <w:r w:rsidRPr="008E3F1A">
              <w:rPr>
                <w:bCs w:val="0"/>
              </w:rPr>
              <w:t xml:space="preserve"> (actual dose:</w:t>
            </w:r>
            <w:r w:rsidR="00BF5ACC" w:rsidRPr="008E3F1A">
              <w:rPr>
                <w:bCs w:val="0"/>
              </w:rPr>
              <w:t>1</w:t>
            </w:r>
            <w:r w:rsidR="00BF5ACC" w:rsidRPr="008E3F1A">
              <w:t>.</w:t>
            </w:r>
            <w:r w:rsidR="00CC189E" w:rsidRPr="008E3F1A">
              <w:t>95</w:t>
            </w:r>
            <w:r w:rsidR="00044751" w:rsidRPr="008E3F1A">
              <w:rPr>
                <w:vertAlign w:val="superscript"/>
              </w:rPr>
              <w:t>c</w:t>
            </w:r>
            <w:r w:rsidR="00BF5ACC" w:rsidRPr="008E3F1A">
              <w:t xml:space="preserve"> mg</w:t>
            </w:r>
            <w:r w:rsidR="00BD154E" w:rsidRPr="008E3F1A">
              <w:t>)</w:t>
            </w:r>
          </w:p>
        </w:tc>
        <w:tc>
          <w:tcPr>
            <w:tcW w:w="699" w:type="pct"/>
            <w:shd w:val="clear" w:color="auto" w:fill="auto"/>
            <w:vAlign w:val="center"/>
          </w:tcPr>
          <w:p w:rsidR="00F20F9B" w:rsidRPr="008E3F1A" w:rsidRDefault="00BD154E" w:rsidP="00F20F9B">
            <w:pPr>
              <w:pStyle w:val="TableText0"/>
              <w:jc w:val="center"/>
              <w:rPr>
                <w:bCs w:val="0"/>
              </w:rPr>
            </w:pPr>
            <w:r w:rsidRPr="008E3F1A">
              <w:rPr>
                <w:bCs w:val="0"/>
              </w:rPr>
              <w:t xml:space="preserve">Dose </w:t>
            </w:r>
            <w:r w:rsidR="00675868" w:rsidRPr="008E3F1A">
              <w:rPr>
                <w:bCs w:val="0"/>
              </w:rPr>
              <w:t>of</w:t>
            </w:r>
            <w:r w:rsidRPr="008E3F1A">
              <w:rPr>
                <w:bCs w:val="0"/>
              </w:rPr>
              <w:t xml:space="preserve"> 3 mg</w:t>
            </w:r>
            <w:r w:rsidR="00AF6E64" w:rsidRPr="008E3F1A">
              <w:rPr>
                <w:bCs w:val="0"/>
              </w:rPr>
              <w:t xml:space="preserve"> assumed, 3 vials,(actual dose: </w:t>
            </w:r>
            <w:r w:rsidR="00F20F9B" w:rsidRPr="008E3F1A">
              <w:rPr>
                <w:bCs w:val="0"/>
              </w:rPr>
              <w:t>2.6 mg</w:t>
            </w:r>
            <w:r w:rsidRPr="008E3F1A">
              <w:rPr>
                <w:bCs w:val="0"/>
              </w:rPr>
              <w:t>)</w:t>
            </w:r>
          </w:p>
        </w:tc>
        <w:tc>
          <w:tcPr>
            <w:tcW w:w="699" w:type="pct"/>
            <w:vAlign w:val="center"/>
          </w:tcPr>
          <w:p w:rsidR="00F20F9B" w:rsidRPr="008E3F1A" w:rsidRDefault="001D5F70" w:rsidP="00BE2871">
            <w:pPr>
              <w:pStyle w:val="TableText0"/>
              <w:jc w:val="center"/>
              <w:rPr>
                <w:bCs w:val="0"/>
              </w:rPr>
            </w:pPr>
            <w:r w:rsidRPr="008E3F1A">
              <w:rPr>
                <w:bCs w:val="0"/>
              </w:rPr>
              <w:t>Vincristine 2</w:t>
            </w:r>
            <w:r w:rsidR="0003659A" w:rsidRPr="008E3F1A">
              <w:rPr>
                <w:bCs w:val="0"/>
              </w:rPr>
              <w:t xml:space="preserve"> </w:t>
            </w:r>
            <w:r w:rsidRPr="008E3F1A">
              <w:rPr>
                <w:bCs w:val="0"/>
              </w:rPr>
              <w:t>mg</w:t>
            </w:r>
            <w:r w:rsidR="00BD154E" w:rsidRPr="008E3F1A">
              <w:rPr>
                <w:bCs w:val="0"/>
              </w:rPr>
              <w:t xml:space="preserve"> (2 vials)</w:t>
            </w:r>
          </w:p>
        </w:tc>
      </w:tr>
      <w:tr w:rsidR="00F20F9B" w:rsidRPr="008E3F1A" w:rsidTr="00D92A51">
        <w:trPr>
          <w:cantSplit/>
          <w:jc w:val="center"/>
        </w:trPr>
        <w:tc>
          <w:tcPr>
            <w:tcW w:w="896" w:type="pct"/>
            <w:shd w:val="clear" w:color="auto" w:fill="auto"/>
            <w:vAlign w:val="center"/>
          </w:tcPr>
          <w:p w:rsidR="00F20F9B" w:rsidRPr="008E3F1A" w:rsidRDefault="00F20F9B" w:rsidP="00F20F9B">
            <w:pPr>
              <w:pStyle w:val="TableText0"/>
            </w:pPr>
            <w:r w:rsidRPr="008E3F1A">
              <w:t>Mean duration (cycles)</w:t>
            </w:r>
          </w:p>
        </w:tc>
        <w:tc>
          <w:tcPr>
            <w:tcW w:w="616" w:type="pct"/>
            <w:shd w:val="clear" w:color="auto" w:fill="auto"/>
            <w:vAlign w:val="center"/>
          </w:tcPr>
          <w:p w:rsidR="00F20F9B" w:rsidRPr="008E3F1A" w:rsidRDefault="00F20F9B" w:rsidP="00F20F9B">
            <w:pPr>
              <w:pStyle w:val="TableText0"/>
              <w:jc w:val="center"/>
              <w:rPr>
                <w:bCs w:val="0"/>
              </w:rPr>
            </w:pPr>
            <w:r w:rsidRPr="008E3F1A">
              <w:rPr>
                <w:bCs w:val="0"/>
              </w:rPr>
              <w:t>6</w:t>
            </w:r>
          </w:p>
        </w:tc>
        <w:tc>
          <w:tcPr>
            <w:tcW w:w="696" w:type="pct"/>
            <w:shd w:val="clear" w:color="auto" w:fill="auto"/>
            <w:vAlign w:val="center"/>
          </w:tcPr>
          <w:p w:rsidR="00F20F9B" w:rsidRPr="008E3F1A" w:rsidRDefault="00F20F9B" w:rsidP="00F20F9B">
            <w:pPr>
              <w:pStyle w:val="TableText0"/>
              <w:jc w:val="center"/>
              <w:rPr>
                <w:bCs w:val="0"/>
              </w:rPr>
            </w:pPr>
            <w:r w:rsidRPr="008E3F1A">
              <w:rPr>
                <w:bCs w:val="0"/>
              </w:rPr>
              <w:t>6</w:t>
            </w:r>
          </w:p>
        </w:tc>
        <w:tc>
          <w:tcPr>
            <w:tcW w:w="698" w:type="pct"/>
            <w:shd w:val="clear" w:color="auto" w:fill="auto"/>
            <w:vAlign w:val="center"/>
          </w:tcPr>
          <w:p w:rsidR="00F20F9B" w:rsidRPr="008E3F1A" w:rsidRDefault="00F20F9B" w:rsidP="00F20F9B">
            <w:pPr>
              <w:pStyle w:val="TableText0"/>
              <w:jc w:val="center"/>
              <w:rPr>
                <w:bCs w:val="0"/>
              </w:rPr>
            </w:pPr>
            <w:r w:rsidRPr="008E3F1A">
              <w:rPr>
                <w:bCs w:val="0"/>
              </w:rPr>
              <w:t>6</w:t>
            </w:r>
          </w:p>
        </w:tc>
        <w:tc>
          <w:tcPr>
            <w:tcW w:w="696" w:type="pct"/>
            <w:shd w:val="clear" w:color="auto" w:fill="auto"/>
            <w:vAlign w:val="center"/>
          </w:tcPr>
          <w:p w:rsidR="00F20F9B" w:rsidRPr="008E3F1A" w:rsidRDefault="00F20F9B" w:rsidP="00F20F9B">
            <w:pPr>
              <w:pStyle w:val="TableText0"/>
              <w:jc w:val="center"/>
              <w:rPr>
                <w:bCs w:val="0"/>
              </w:rPr>
            </w:pPr>
            <w:r w:rsidRPr="008E3F1A">
              <w:rPr>
                <w:bCs w:val="0"/>
              </w:rPr>
              <w:t>5.8</w:t>
            </w:r>
          </w:p>
        </w:tc>
        <w:tc>
          <w:tcPr>
            <w:tcW w:w="699" w:type="pct"/>
            <w:shd w:val="clear" w:color="auto" w:fill="auto"/>
            <w:vAlign w:val="center"/>
          </w:tcPr>
          <w:p w:rsidR="00F20F9B" w:rsidRPr="008E3F1A" w:rsidRDefault="00F20F9B" w:rsidP="00F20F9B">
            <w:pPr>
              <w:pStyle w:val="TableText0"/>
              <w:jc w:val="center"/>
              <w:rPr>
                <w:bCs w:val="0"/>
              </w:rPr>
            </w:pPr>
            <w:r w:rsidRPr="008E3F1A">
              <w:rPr>
                <w:bCs w:val="0"/>
              </w:rPr>
              <w:t>5.8</w:t>
            </w:r>
          </w:p>
        </w:tc>
        <w:tc>
          <w:tcPr>
            <w:tcW w:w="699" w:type="pct"/>
            <w:vAlign w:val="center"/>
          </w:tcPr>
          <w:p w:rsidR="00F20F9B" w:rsidRPr="008E3F1A" w:rsidRDefault="002058AF" w:rsidP="00F20F9B">
            <w:pPr>
              <w:pStyle w:val="TableText0"/>
              <w:jc w:val="center"/>
              <w:rPr>
                <w:bCs w:val="0"/>
              </w:rPr>
            </w:pPr>
            <w:r w:rsidRPr="008E3F1A">
              <w:rPr>
                <w:bCs w:val="0"/>
              </w:rPr>
              <w:t>6</w:t>
            </w:r>
          </w:p>
        </w:tc>
      </w:tr>
      <w:tr w:rsidR="00D549D9" w:rsidRPr="008E3F1A" w:rsidTr="00D549D9">
        <w:trPr>
          <w:cantSplit/>
          <w:jc w:val="center"/>
        </w:trPr>
        <w:tc>
          <w:tcPr>
            <w:tcW w:w="896" w:type="pct"/>
            <w:shd w:val="clear" w:color="auto" w:fill="auto"/>
            <w:vAlign w:val="center"/>
          </w:tcPr>
          <w:p w:rsidR="00D549D9" w:rsidRPr="008E3F1A" w:rsidRDefault="00D549D9" w:rsidP="00D549D9">
            <w:pPr>
              <w:pStyle w:val="TableText0"/>
            </w:pPr>
            <w:r w:rsidRPr="008E3F1A">
              <w:t>Cost/patient/cycle</w:t>
            </w:r>
          </w:p>
        </w:tc>
        <w:tc>
          <w:tcPr>
            <w:tcW w:w="616" w:type="pct"/>
            <w:shd w:val="clear" w:color="auto" w:fill="auto"/>
            <w:vAlign w:val="center"/>
          </w:tcPr>
          <w:p w:rsidR="00D549D9" w:rsidRPr="008E3F1A" w:rsidRDefault="00BC7245" w:rsidP="00D549D9">
            <w:pPr>
              <w:pStyle w:val="TableText0"/>
              <w:jc w:val="center"/>
              <w:rPr>
                <w:bCs w:val="0"/>
              </w:rPr>
            </w:pPr>
            <w:r w:rsidRPr="008E3F1A">
              <w:rPr>
                <w:bCs w:val="0"/>
              </w:rPr>
              <w:t>$</w:t>
            </w:r>
            <w:r w:rsidR="003F2520">
              <w:rPr>
                <w:bCs w:val="0"/>
                <w:noProof/>
                <w:color w:val="000000"/>
                <w:highlight w:val="black"/>
              </w:rPr>
              <w:t>''''''''''''''''''''''</w:t>
            </w:r>
            <w:r w:rsidR="00044751" w:rsidRPr="008E3F1A">
              <w:rPr>
                <w:bCs w:val="0"/>
                <w:vertAlign w:val="superscript"/>
              </w:rPr>
              <w:t>d</w:t>
            </w:r>
          </w:p>
        </w:tc>
        <w:tc>
          <w:tcPr>
            <w:tcW w:w="696" w:type="pct"/>
            <w:shd w:val="clear" w:color="auto" w:fill="auto"/>
            <w:vAlign w:val="center"/>
          </w:tcPr>
          <w:p w:rsidR="00D549D9" w:rsidRPr="008E3F1A" w:rsidRDefault="00BC7245" w:rsidP="00D549D9">
            <w:pPr>
              <w:pStyle w:val="TableText0"/>
              <w:jc w:val="center"/>
              <w:rPr>
                <w:bCs w:val="0"/>
              </w:rPr>
            </w:pPr>
            <w:r w:rsidRPr="008E3F1A">
              <w:rPr>
                <w:bCs w:val="0"/>
              </w:rPr>
              <w:t>$</w:t>
            </w:r>
            <w:r w:rsidR="003F2520">
              <w:rPr>
                <w:bCs w:val="0"/>
                <w:noProof/>
                <w:color w:val="000000"/>
                <w:highlight w:val="black"/>
              </w:rPr>
              <w:t>'''''''''''''''''''''''</w:t>
            </w:r>
            <w:r w:rsidRPr="008E3F1A">
              <w:rPr>
                <w:bCs w:val="0"/>
                <w:vertAlign w:val="superscript"/>
              </w:rPr>
              <w:t>d</w:t>
            </w:r>
            <w:r w:rsidR="00044751" w:rsidRPr="008E3F1A">
              <w:rPr>
                <w:bCs w:val="0"/>
                <w:vertAlign w:val="superscript"/>
              </w:rPr>
              <w:t>,e</w:t>
            </w:r>
          </w:p>
        </w:tc>
        <w:tc>
          <w:tcPr>
            <w:tcW w:w="698" w:type="pct"/>
            <w:shd w:val="clear" w:color="auto" w:fill="auto"/>
            <w:vAlign w:val="center"/>
          </w:tcPr>
          <w:p w:rsidR="00D549D9" w:rsidRPr="008E3F1A" w:rsidRDefault="00D549D9" w:rsidP="00D549D9">
            <w:pPr>
              <w:pStyle w:val="TableText0"/>
              <w:jc w:val="center"/>
              <w:rPr>
                <w:bCs w:val="0"/>
              </w:rPr>
            </w:pPr>
            <w:r w:rsidRPr="008E3F1A">
              <w:rPr>
                <w:bCs w:val="0"/>
              </w:rPr>
              <w:t>$</w:t>
            </w:r>
            <w:r w:rsidR="003F2520">
              <w:rPr>
                <w:bCs w:val="0"/>
                <w:noProof/>
                <w:color w:val="000000"/>
                <w:highlight w:val="black"/>
              </w:rPr>
              <w:t>''''''''''''''''''''''''</w:t>
            </w:r>
            <w:r w:rsidR="005F2866" w:rsidRPr="008E3F1A">
              <w:rPr>
                <w:bCs w:val="0"/>
                <w:vertAlign w:val="superscript"/>
              </w:rPr>
              <w:t>d</w:t>
            </w:r>
            <w:r w:rsidR="00044751" w:rsidRPr="008E3F1A">
              <w:rPr>
                <w:bCs w:val="0"/>
                <w:vertAlign w:val="superscript"/>
              </w:rPr>
              <w:t>,e</w:t>
            </w:r>
          </w:p>
        </w:tc>
        <w:tc>
          <w:tcPr>
            <w:tcW w:w="696" w:type="pct"/>
            <w:shd w:val="clear" w:color="auto" w:fill="auto"/>
          </w:tcPr>
          <w:p w:rsidR="00D549D9" w:rsidRPr="008E3F1A" w:rsidRDefault="00D549D9" w:rsidP="00D549D9">
            <w:pPr>
              <w:pStyle w:val="TableText0"/>
              <w:jc w:val="center"/>
              <w:rPr>
                <w:bCs w:val="0"/>
              </w:rPr>
            </w:pPr>
            <w:r w:rsidRPr="008E3F1A">
              <w:rPr>
                <w:bCs w:val="0"/>
              </w:rPr>
              <w:t>$</w:t>
            </w:r>
            <w:r w:rsidR="00BC7245" w:rsidRPr="008E3F1A">
              <w:rPr>
                <w:bCs w:val="0"/>
              </w:rPr>
              <w:t>119.70</w:t>
            </w:r>
            <w:r w:rsidR="00044751" w:rsidRPr="008E3F1A">
              <w:rPr>
                <w:bCs w:val="0"/>
                <w:vertAlign w:val="superscript"/>
              </w:rPr>
              <w:t>f</w:t>
            </w:r>
          </w:p>
        </w:tc>
        <w:tc>
          <w:tcPr>
            <w:tcW w:w="699" w:type="pct"/>
            <w:shd w:val="clear" w:color="auto" w:fill="auto"/>
            <w:vAlign w:val="center"/>
          </w:tcPr>
          <w:p w:rsidR="00D549D9" w:rsidRPr="008E3F1A" w:rsidRDefault="00D549D9" w:rsidP="00D549D9">
            <w:pPr>
              <w:pStyle w:val="TableText0"/>
              <w:jc w:val="center"/>
              <w:rPr>
                <w:bCs w:val="0"/>
              </w:rPr>
            </w:pPr>
            <w:r w:rsidRPr="008E3F1A">
              <w:rPr>
                <w:bCs w:val="0"/>
              </w:rPr>
              <w:t>$</w:t>
            </w:r>
            <w:r w:rsidR="00101C01" w:rsidRPr="008E3F1A">
              <w:rPr>
                <w:bCs w:val="0"/>
              </w:rPr>
              <w:t>128.74</w:t>
            </w:r>
            <w:r w:rsidR="00FE1401" w:rsidRPr="008E3F1A">
              <w:rPr>
                <w:bCs w:val="0"/>
                <w:vertAlign w:val="superscript"/>
              </w:rPr>
              <w:t>g</w:t>
            </w:r>
          </w:p>
        </w:tc>
        <w:tc>
          <w:tcPr>
            <w:tcW w:w="699" w:type="pct"/>
          </w:tcPr>
          <w:p w:rsidR="00D549D9" w:rsidRPr="008E3F1A" w:rsidRDefault="00101C01" w:rsidP="00D549D9">
            <w:pPr>
              <w:pStyle w:val="TableText0"/>
              <w:jc w:val="center"/>
              <w:rPr>
                <w:bCs w:val="0"/>
              </w:rPr>
            </w:pPr>
            <w:r w:rsidRPr="008E3F1A">
              <w:rPr>
                <w:bCs w:val="0"/>
              </w:rPr>
              <w:t>$119.70</w:t>
            </w:r>
            <w:r w:rsidRPr="008E3F1A">
              <w:rPr>
                <w:bCs w:val="0"/>
                <w:vertAlign w:val="superscript"/>
              </w:rPr>
              <w:t>e</w:t>
            </w:r>
          </w:p>
        </w:tc>
      </w:tr>
      <w:tr w:rsidR="00D549D9" w:rsidRPr="008E3F1A" w:rsidTr="00D549D9">
        <w:trPr>
          <w:cantSplit/>
          <w:jc w:val="center"/>
        </w:trPr>
        <w:tc>
          <w:tcPr>
            <w:tcW w:w="896" w:type="pct"/>
            <w:shd w:val="clear" w:color="auto" w:fill="auto"/>
            <w:vAlign w:val="center"/>
          </w:tcPr>
          <w:p w:rsidR="00D549D9" w:rsidRPr="008E3F1A" w:rsidRDefault="00D549D9" w:rsidP="00D549D9">
            <w:pPr>
              <w:pStyle w:val="TableText0"/>
            </w:pPr>
            <w:r w:rsidRPr="008E3F1A">
              <w:t>Cost/patient/course</w:t>
            </w:r>
          </w:p>
        </w:tc>
        <w:tc>
          <w:tcPr>
            <w:tcW w:w="616" w:type="pct"/>
            <w:shd w:val="clear" w:color="auto" w:fill="auto"/>
            <w:vAlign w:val="center"/>
          </w:tcPr>
          <w:p w:rsidR="00D549D9" w:rsidRPr="008E3F1A" w:rsidRDefault="00D549D9" w:rsidP="00D549D9">
            <w:pPr>
              <w:pStyle w:val="TableText0"/>
              <w:jc w:val="center"/>
              <w:rPr>
                <w:bCs w:val="0"/>
              </w:rPr>
            </w:pPr>
            <w:r w:rsidRPr="008E3F1A">
              <w:rPr>
                <w:bCs w:val="0"/>
              </w:rPr>
              <w:t>$</w:t>
            </w:r>
            <w:r w:rsidR="003F2520">
              <w:rPr>
                <w:bCs w:val="0"/>
                <w:noProof/>
                <w:color w:val="000000"/>
                <w:highlight w:val="black"/>
              </w:rPr>
              <w:t>''''''''''''''''''''''</w:t>
            </w:r>
          </w:p>
        </w:tc>
        <w:tc>
          <w:tcPr>
            <w:tcW w:w="696" w:type="pct"/>
            <w:shd w:val="clear" w:color="auto" w:fill="auto"/>
            <w:vAlign w:val="center"/>
          </w:tcPr>
          <w:p w:rsidR="00D549D9" w:rsidRPr="008E3F1A" w:rsidRDefault="00D549D9" w:rsidP="00D549D9">
            <w:pPr>
              <w:pStyle w:val="TableText0"/>
              <w:jc w:val="center"/>
              <w:rPr>
                <w:bCs w:val="0"/>
              </w:rPr>
            </w:pPr>
            <w:r w:rsidRPr="008E3F1A">
              <w:rPr>
                <w:bCs w:val="0"/>
              </w:rPr>
              <w:t>$</w:t>
            </w:r>
            <w:r w:rsidR="003F2520">
              <w:rPr>
                <w:bCs w:val="0"/>
                <w:noProof/>
                <w:color w:val="000000"/>
                <w:highlight w:val="black"/>
              </w:rPr>
              <w:t>'''''''''''''''''''''''</w:t>
            </w:r>
          </w:p>
        </w:tc>
        <w:tc>
          <w:tcPr>
            <w:tcW w:w="698" w:type="pct"/>
            <w:shd w:val="clear" w:color="auto" w:fill="auto"/>
            <w:vAlign w:val="center"/>
          </w:tcPr>
          <w:p w:rsidR="00D549D9" w:rsidRPr="008E3F1A" w:rsidRDefault="00D549D9" w:rsidP="00D549D9">
            <w:pPr>
              <w:pStyle w:val="TableText0"/>
              <w:jc w:val="center"/>
              <w:rPr>
                <w:bCs w:val="0"/>
              </w:rPr>
            </w:pPr>
            <w:r w:rsidRPr="008E3F1A">
              <w:rPr>
                <w:bCs w:val="0"/>
              </w:rPr>
              <w:t>$</w:t>
            </w:r>
            <w:r w:rsidR="003F2520">
              <w:rPr>
                <w:bCs w:val="0"/>
                <w:noProof/>
                <w:color w:val="000000"/>
                <w:highlight w:val="black"/>
              </w:rPr>
              <w:t>'''''''''''''''''''''''''</w:t>
            </w:r>
          </w:p>
        </w:tc>
        <w:tc>
          <w:tcPr>
            <w:tcW w:w="696" w:type="pct"/>
            <w:shd w:val="clear" w:color="auto" w:fill="auto"/>
          </w:tcPr>
          <w:p w:rsidR="00D549D9" w:rsidRPr="008E3F1A" w:rsidRDefault="00D549D9" w:rsidP="00D549D9">
            <w:pPr>
              <w:pStyle w:val="TableText0"/>
              <w:jc w:val="center"/>
              <w:rPr>
                <w:bCs w:val="0"/>
              </w:rPr>
            </w:pPr>
            <w:r w:rsidRPr="008E3F1A">
              <w:rPr>
                <w:bCs w:val="0"/>
              </w:rPr>
              <w:t>$</w:t>
            </w:r>
            <w:r w:rsidR="00101C01" w:rsidRPr="008E3F1A">
              <w:rPr>
                <w:bCs w:val="0"/>
              </w:rPr>
              <w:t>694.65</w:t>
            </w:r>
          </w:p>
        </w:tc>
        <w:tc>
          <w:tcPr>
            <w:tcW w:w="699" w:type="pct"/>
            <w:shd w:val="clear" w:color="auto" w:fill="auto"/>
            <w:vAlign w:val="center"/>
          </w:tcPr>
          <w:p w:rsidR="00D549D9" w:rsidRPr="008E3F1A" w:rsidRDefault="00D549D9" w:rsidP="00D549D9">
            <w:pPr>
              <w:pStyle w:val="TableText0"/>
              <w:jc w:val="center"/>
              <w:rPr>
                <w:bCs w:val="0"/>
              </w:rPr>
            </w:pPr>
            <w:r w:rsidRPr="008E3F1A">
              <w:rPr>
                <w:bCs w:val="0"/>
              </w:rPr>
              <w:t>$7</w:t>
            </w:r>
            <w:r w:rsidR="00101C01" w:rsidRPr="008E3F1A">
              <w:rPr>
                <w:bCs w:val="0"/>
              </w:rPr>
              <w:t>46.67</w:t>
            </w:r>
          </w:p>
        </w:tc>
        <w:tc>
          <w:tcPr>
            <w:tcW w:w="699" w:type="pct"/>
          </w:tcPr>
          <w:p w:rsidR="00D549D9" w:rsidRPr="008E3F1A" w:rsidRDefault="00D549D9" w:rsidP="00D549D9">
            <w:pPr>
              <w:pStyle w:val="TableText0"/>
              <w:jc w:val="center"/>
              <w:rPr>
                <w:bCs w:val="0"/>
              </w:rPr>
            </w:pPr>
            <w:r w:rsidRPr="008E3F1A">
              <w:rPr>
                <w:bCs w:val="0"/>
              </w:rPr>
              <w:t>$7</w:t>
            </w:r>
            <w:r w:rsidR="00101C01" w:rsidRPr="008E3F1A">
              <w:rPr>
                <w:bCs w:val="0"/>
              </w:rPr>
              <w:t>1</w:t>
            </w:r>
            <w:r w:rsidRPr="008E3F1A">
              <w:rPr>
                <w:bCs w:val="0"/>
              </w:rPr>
              <w:t>8.</w:t>
            </w:r>
            <w:r w:rsidR="00101C01" w:rsidRPr="008E3F1A">
              <w:rPr>
                <w:bCs w:val="0"/>
              </w:rPr>
              <w:t>5</w:t>
            </w:r>
            <w:r w:rsidRPr="008E3F1A">
              <w:rPr>
                <w:bCs w:val="0"/>
              </w:rPr>
              <w:t>8</w:t>
            </w:r>
          </w:p>
        </w:tc>
      </w:tr>
    </w:tbl>
    <w:p w:rsidR="00494207" w:rsidRPr="008E3F1A" w:rsidRDefault="00494207" w:rsidP="00C94053">
      <w:pPr>
        <w:pStyle w:val="TableFigureFooter"/>
      </w:pPr>
      <w:r w:rsidRPr="008E3F1A">
        <w:t>Source:</w:t>
      </w:r>
      <w:r w:rsidR="00665CB6" w:rsidRPr="008E3F1A">
        <w:t xml:space="preserve"> Table</w:t>
      </w:r>
      <w:r w:rsidR="00CC25FE" w:rsidRPr="008E3F1A">
        <w:t xml:space="preserve"> 14.3.1.2, p1385</w:t>
      </w:r>
      <w:r w:rsidR="00BF5ACC" w:rsidRPr="008E3F1A">
        <w:t xml:space="preserve"> and Table </w:t>
      </w:r>
      <w:r w:rsidR="00D30689" w:rsidRPr="008E3F1A">
        <w:t>14.3.1.5, p 1393</w:t>
      </w:r>
      <w:r w:rsidR="00CC25FE" w:rsidRPr="008E3F1A">
        <w:t xml:space="preserve"> of the ECHELON-2</w:t>
      </w:r>
      <w:r w:rsidR="00426D4C" w:rsidRPr="008E3F1A">
        <w:t xml:space="preserve"> CSR</w:t>
      </w:r>
      <w:r w:rsidR="00CC25FE" w:rsidRPr="008E3F1A">
        <w:t xml:space="preserve"> </w:t>
      </w:r>
      <w:r w:rsidR="00426D4C" w:rsidRPr="008E3F1A">
        <w:t>supplement</w:t>
      </w:r>
      <w:r w:rsidR="00CC25FE" w:rsidRPr="008E3F1A">
        <w:t xml:space="preserve"> tables; </w:t>
      </w:r>
      <w:r w:rsidR="00426D4C" w:rsidRPr="008E3F1A">
        <w:t xml:space="preserve">data </w:t>
      </w:r>
      <w:r w:rsidR="00804147" w:rsidRPr="008E3F1A">
        <w:t>ac</w:t>
      </w:r>
      <w:r w:rsidR="00426D4C" w:rsidRPr="008E3F1A">
        <w:t xml:space="preserve">cumulated during evaluation. </w:t>
      </w:r>
    </w:p>
    <w:p w:rsidR="00B04DDA" w:rsidRPr="008E3F1A" w:rsidRDefault="00B04DDA" w:rsidP="00C94053">
      <w:pPr>
        <w:pStyle w:val="TableFigureFooter"/>
        <w:rPr>
          <w:iCs/>
        </w:rPr>
      </w:pPr>
      <w:r w:rsidRPr="008E3F1A">
        <w:rPr>
          <w:iCs/>
        </w:rPr>
        <w:t xml:space="preserve">Note: </w:t>
      </w:r>
    </w:p>
    <w:p w:rsidR="00A9384E" w:rsidRPr="008E3F1A" w:rsidRDefault="00D31622" w:rsidP="00C94053">
      <w:pPr>
        <w:pStyle w:val="TableFigureFooter"/>
        <w:rPr>
          <w:iCs/>
        </w:rPr>
      </w:pPr>
      <w:r w:rsidRPr="008E3F1A">
        <w:rPr>
          <w:iCs/>
        </w:rPr>
        <w:t>a</w:t>
      </w:r>
      <w:r w:rsidR="00A9384E" w:rsidRPr="008E3F1A">
        <w:rPr>
          <w:iCs/>
        </w:rPr>
        <w:t xml:space="preserve">=the mean dose for BV was estimated from the mean cumulative dose </w:t>
      </w:r>
      <w:r w:rsidR="00181C58" w:rsidRPr="008E3F1A">
        <w:rPr>
          <w:iCs/>
        </w:rPr>
        <w:t>of 756.4</w:t>
      </w:r>
      <w:r w:rsidR="00CC189E" w:rsidRPr="008E3F1A">
        <w:rPr>
          <w:iCs/>
        </w:rPr>
        <w:t xml:space="preserve"> mg</w:t>
      </w:r>
      <w:r w:rsidR="00181C58" w:rsidRPr="008E3F1A">
        <w:rPr>
          <w:iCs/>
        </w:rPr>
        <w:t xml:space="preserve"> divided by mean of 6 cycles. </w:t>
      </w:r>
    </w:p>
    <w:p w:rsidR="00746CD9" w:rsidRPr="008E3F1A" w:rsidRDefault="00F5342A" w:rsidP="00101C01">
      <w:pPr>
        <w:pStyle w:val="TableFigureFooter"/>
        <w:rPr>
          <w:iCs/>
        </w:rPr>
      </w:pPr>
      <w:r w:rsidRPr="008E3F1A">
        <w:rPr>
          <w:iCs/>
        </w:rPr>
        <w:t>b</w:t>
      </w:r>
      <w:r w:rsidR="00F113A9" w:rsidRPr="008E3F1A">
        <w:rPr>
          <w:iCs/>
        </w:rPr>
        <w:t xml:space="preserve">= the mean dose used in the economic model was based on the </w:t>
      </w:r>
      <w:r w:rsidR="007E503D" w:rsidRPr="008E3F1A">
        <w:rPr>
          <w:iCs/>
        </w:rPr>
        <w:t>BSA</w:t>
      </w:r>
      <w:r w:rsidRPr="008E3F1A">
        <w:rPr>
          <w:iCs/>
        </w:rPr>
        <w:t xml:space="preserve"> of 1.85 m</w:t>
      </w:r>
      <w:r w:rsidRPr="008E3F1A">
        <w:rPr>
          <w:iCs/>
          <w:vertAlign w:val="superscript"/>
        </w:rPr>
        <w:t>2</w:t>
      </w:r>
      <w:r w:rsidR="007E503D" w:rsidRPr="008E3F1A">
        <w:rPr>
          <w:iCs/>
        </w:rPr>
        <w:t xml:space="preserve"> calculated for an </w:t>
      </w:r>
      <w:r w:rsidR="00114C4E" w:rsidRPr="008E3F1A">
        <w:rPr>
          <w:iCs/>
        </w:rPr>
        <w:t xml:space="preserve">average ECHELON-2 patient of </w:t>
      </w:r>
      <w:r w:rsidR="00B01C7E" w:rsidRPr="008E3F1A">
        <w:rPr>
          <w:iCs/>
        </w:rPr>
        <w:t>74.4 kg</w:t>
      </w:r>
      <w:r w:rsidR="007E503D" w:rsidRPr="008E3F1A">
        <w:rPr>
          <w:iCs/>
        </w:rPr>
        <w:t xml:space="preserve">, and </w:t>
      </w:r>
      <w:r w:rsidR="00F30CD5" w:rsidRPr="008E3F1A">
        <w:rPr>
          <w:iCs/>
        </w:rPr>
        <w:t>169.3 cm</w:t>
      </w:r>
      <w:r w:rsidR="007E503D" w:rsidRPr="008E3F1A">
        <w:rPr>
          <w:iCs/>
        </w:rPr>
        <w:t xml:space="preserve"> </w:t>
      </w:r>
      <w:r w:rsidR="00BC727B" w:rsidRPr="008E3F1A">
        <w:rPr>
          <w:iCs/>
        </w:rPr>
        <w:t>height</w:t>
      </w:r>
      <w:r w:rsidR="007E503D" w:rsidRPr="008E3F1A">
        <w:rPr>
          <w:iCs/>
        </w:rPr>
        <w:t>.</w:t>
      </w:r>
      <w:bookmarkStart w:id="26" w:name="_Toc22897647"/>
      <w:r w:rsidR="00746CD9" w:rsidRPr="008E3F1A">
        <w:rPr>
          <w:iCs/>
        </w:rPr>
        <w:t xml:space="preserve"> </w:t>
      </w:r>
    </w:p>
    <w:p w:rsidR="00101C01" w:rsidRPr="008E3F1A" w:rsidRDefault="00746CD9" w:rsidP="00101C01">
      <w:pPr>
        <w:pStyle w:val="TableFigureFooter"/>
        <w:rPr>
          <w:iCs/>
        </w:rPr>
      </w:pPr>
      <w:r w:rsidRPr="008E3F1A">
        <w:rPr>
          <w:iCs/>
        </w:rPr>
        <w:t>c=the mean dose for vincristine was estimated based on mean cumulative dose administered (11.3 mg) divided by the 5.8 (mean) cycles on treatment.</w:t>
      </w:r>
    </w:p>
    <w:p w:rsidR="00101C01" w:rsidRPr="008E3F1A" w:rsidRDefault="00746CD9" w:rsidP="00101C01">
      <w:pPr>
        <w:pStyle w:val="TableFigureFooter"/>
        <w:rPr>
          <w:iCs/>
        </w:rPr>
      </w:pPr>
      <w:r w:rsidRPr="008E3F1A">
        <w:rPr>
          <w:iCs/>
        </w:rPr>
        <w:t>d</w:t>
      </w:r>
      <w:r w:rsidR="00101C01" w:rsidRPr="008E3F1A">
        <w:rPr>
          <w:iCs/>
        </w:rPr>
        <w:t>= $</w:t>
      </w:r>
      <w:r w:rsidR="003F2520">
        <w:rPr>
          <w:iCs/>
          <w:noProof/>
          <w:color w:val="000000"/>
          <w:highlight w:val="black"/>
        </w:rPr>
        <w:t>''''''''''''''''''''''</w:t>
      </w:r>
      <w:r w:rsidR="00101C01" w:rsidRPr="008E3F1A">
        <w:rPr>
          <w:iCs/>
        </w:rPr>
        <w:t xml:space="preserve"> was based on BV (DPMA public $</w:t>
      </w:r>
      <w:r w:rsidR="003F2520">
        <w:rPr>
          <w:iCs/>
          <w:noProof/>
          <w:color w:val="000000"/>
          <w:highlight w:val="black"/>
        </w:rPr>
        <w:t>''''''''''''''''''''''''</w:t>
      </w:r>
      <w:r w:rsidR="00101C01" w:rsidRPr="008E3F1A">
        <w:rPr>
          <w:iCs/>
        </w:rPr>
        <w:t xml:space="preserve"> *60.5% (public) + DPMA private $</w:t>
      </w:r>
      <w:r w:rsidR="003F2520">
        <w:rPr>
          <w:iCs/>
          <w:noProof/>
          <w:color w:val="000000"/>
          <w:highlight w:val="black"/>
        </w:rPr>
        <w:t>'''''''''''''''''''''''''</w:t>
      </w:r>
      <w:r w:rsidR="00101C01" w:rsidRPr="008E3F1A">
        <w:rPr>
          <w:iCs/>
        </w:rPr>
        <w:t xml:space="preserve"> *39.5% (private) calculated for 3 vials.</w:t>
      </w:r>
    </w:p>
    <w:p w:rsidR="00101C01" w:rsidRPr="008E3F1A" w:rsidRDefault="00746CD9" w:rsidP="00101C01">
      <w:pPr>
        <w:pStyle w:val="TableFigureFooter"/>
        <w:rPr>
          <w:iCs/>
        </w:rPr>
      </w:pPr>
      <w:r w:rsidRPr="008E3F1A">
        <w:rPr>
          <w:iCs/>
        </w:rPr>
        <w:t>e</w:t>
      </w:r>
      <w:r w:rsidR="00101C01" w:rsidRPr="008E3F1A">
        <w:rPr>
          <w:iCs/>
        </w:rPr>
        <w:t>= the amount was corrected during evaluation, as the economic model had an error in the private/public hospital share, where swapped values were applied.</w:t>
      </w:r>
    </w:p>
    <w:p w:rsidR="00101C01" w:rsidRPr="008E3F1A" w:rsidRDefault="00746CD9" w:rsidP="00101C01">
      <w:pPr>
        <w:pStyle w:val="TableFigureFooter"/>
        <w:rPr>
          <w:iCs/>
        </w:rPr>
      </w:pPr>
      <w:r w:rsidRPr="008E3F1A">
        <w:rPr>
          <w:iCs/>
        </w:rPr>
        <w:t>f</w:t>
      </w:r>
      <w:r w:rsidR="00101C01" w:rsidRPr="008E3F1A">
        <w:rPr>
          <w:iCs/>
        </w:rPr>
        <w:t>= $1</w:t>
      </w:r>
      <w:r w:rsidR="00616D86" w:rsidRPr="008E3F1A">
        <w:rPr>
          <w:iCs/>
        </w:rPr>
        <w:t>1</w:t>
      </w:r>
      <w:r w:rsidR="00101C01" w:rsidRPr="008E3F1A">
        <w:rPr>
          <w:iCs/>
        </w:rPr>
        <w:t xml:space="preserve">9.7 was based on the vincristine (DPMA public $103.62 *60.5% + DPMA private $144.49*39.5%) for 2 vials. </w:t>
      </w:r>
    </w:p>
    <w:p w:rsidR="00FE1401" w:rsidRPr="008E3F1A" w:rsidRDefault="00CD090F" w:rsidP="00101C01">
      <w:pPr>
        <w:pStyle w:val="TableFigureFooter"/>
        <w:rPr>
          <w:iCs/>
        </w:rPr>
      </w:pPr>
      <w:r w:rsidRPr="008E3F1A">
        <w:rPr>
          <w:iCs/>
        </w:rPr>
        <w:t>g</w:t>
      </w:r>
      <w:r w:rsidR="00FE1401" w:rsidRPr="008E3F1A">
        <w:rPr>
          <w:iCs/>
        </w:rPr>
        <w:t xml:space="preserve"> = </w:t>
      </w:r>
      <w:r w:rsidRPr="008E3F1A">
        <w:rPr>
          <w:iCs/>
        </w:rPr>
        <w:t>estimated by the submission for 3 vials, based on ex-man per pack.</w:t>
      </w:r>
    </w:p>
    <w:p w:rsidR="00101C01" w:rsidRPr="008E3F1A" w:rsidRDefault="00101C01" w:rsidP="00101C01">
      <w:pPr>
        <w:pStyle w:val="TableFigureFooter"/>
        <w:rPr>
          <w:iCs/>
        </w:rPr>
      </w:pPr>
    </w:p>
    <w:p w:rsidR="00B60939" w:rsidRPr="008E3F1A" w:rsidRDefault="00B60939" w:rsidP="00101C01">
      <w:pPr>
        <w:pStyle w:val="4-SubsectionHeading"/>
      </w:pPr>
      <w:bookmarkStart w:id="27" w:name="_Toc62055098"/>
      <w:r w:rsidRPr="008E3F1A">
        <w:t>Estimated PBS usage &amp; financial implications</w:t>
      </w:r>
      <w:bookmarkEnd w:id="26"/>
      <w:bookmarkEnd w:id="27"/>
    </w:p>
    <w:p w:rsidR="007D4524" w:rsidRPr="008E3F1A" w:rsidRDefault="00C25D9C" w:rsidP="007D4524">
      <w:pPr>
        <w:pStyle w:val="3-BodyText"/>
        <w:rPr>
          <w:color w:val="0066FF"/>
        </w:rPr>
      </w:pPr>
      <w:r w:rsidRPr="008E3F1A">
        <w:t xml:space="preserve">This submission </w:t>
      </w:r>
      <w:r w:rsidR="00C831F0" w:rsidRPr="008E3F1A">
        <w:t>was not</w:t>
      </w:r>
      <w:r w:rsidR="00D23D11" w:rsidRPr="008E3F1A">
        <w:t xml:space="preserve"> </w:t>
      </w:r>
      <w:r w:rsidRPr="008E3F1A">
        <w:t>considered by DUSC</w:t>
      </w:r>
      <w:r w:rsidRPr="008E3F1A">
        <w:rPr>
          <w:color w:val="0070C0"/>
        </w:rPr>
        <w:t>.</w:t>
      </w:r>
    </w:p>
    <w:p w:rsidR="007D4524" w:rsidRPr="008E3F1A" w:rsidRDefault="00656EDC" w:rsidP="007D4524">
      <w:pPr>
        <w:pStyle w:val="3-BodyText"/>
        <w:rPr>
          <w:color w:val="000000" w:themeColor="text1"/>
        </w:rPr>
      </w:pPr>
      <w:r w:rsidRPr="008E3F1A">
        <w:rPr>
          <w:color w:val="000000" w:themeColor="text1"/>
        </w:rPr>
        <w:t xml:space="preserve">The submission used a mixed epidemiological and market share approach to estimate the expected impact </w:t>
      </w:r>
      <w:r w:rsidR="00D52B36" w:rsidRPr="008E3F1A">
        <w:rPr>
          <w:color w:val="000000" w:themeColor="text1"/>
        </w:rPr>
        <w:t>associated</w:t>
      </w:r>
      <w:r w:rsidRPr="008E3F1A">
        <w:rPr>
          <w:color w:val="000000" w:themeColor="text1"/>
        </w:rPr>
        <w:t xml:space="preserve"> with the </w:t>
      </w:r>
      <w:r w:rsidR="00D52B36" w:rsidRPr="008E3F1A">
        <w:rPr>
          <w:color w:val="000000" w:themeColor="text1"/>
        </w:rPr>
        <w:t>listing</w:t>
      </w:r>
      <w:r w:rsidRPr="008E3F1A">
        <w:rPr>
          <w:color w:val="000000" w:themeColor="text1"/>
        </w:rPr>
        <w:t xml:space="preserve"> of BV+CHP based on publish</w:t>
      </w:r>
      <w:r w:rsidR="003D05A9" w:rsidRPr="008E3F1A">
        <w:rPr>
          <w:color w:val="000000" w:themeColor="text1"/>
        </w:rPr>
        <w:t>ed</w:t>
      </w:r>
      <w:r w:rsidRPr="008E3F1A">
        <w:rPr>
          <w:color w:val="000000" w:themeColor="text1"/>
        </w:rPr>
        <w:t xml:space="preserve"> and </w:t>
      </w:r>
      <w:r w:rsidR="00D52B36" w:rsidRPr="008E3F1A">
        <w:rPr>
          <w:color w:val="000000" w:themeColor="text1"/>
        </w:rPr>
        <w:t>effective prices.</w:t>
      </w:r>
    </w:p>
    <w:p w:rsidR="000D00D7" w:rsidRPr="008E3F1A" w:rsidRDefault="009358AD" w:rsidP="00892AD2">
      <w:pPr>
        <w:pStyle w:val="3-BodyText"/>
        <w:rPr>
          <w:color w:val="000000" w:themeColor="text1"/>
        </w:rPr>
      </w:pPr>
      <w:r w:rsidRPr="008E3F1A">
        <w:rPr>
          <w:color w:val="000000" w:themeColor="text1"/>
        </w:rPr>
        <w:t xml:space="preserve">The submission assumed that BV+CHP would replace </w:t>
      </w:r>
      <w:r w:rsidR="003D0F67" w:rsidRPr="008E3F1A">
        <w:rPr>
          <w:color w:val="000000" w:themeColor="text1"/>
        </w:rPr>
        <w:t>CHOP in first-line treatment</w:t>
      </w:r>
      <w:r w:rsidR="006B66D0" w:rsidRPr="008E3F1A">
        <w:rPr>
          <w:color w:val="000000" w:themeColor="text1"/>
        </w:rPr>
        <w:t xml:space="preserve">. </w:t>
      </w:r>
      <w:r w:rsidR="00D12417" w:rsidRPr="008E3F1A">
        <w:rPr>
          <w:iCs/>
          <w:color w:val="000000" w:themeColor="text1"/>
        </w:rPr>
        <w:t>T</w:t>
      </w:r>
      <w:r w:rsidR="00A36917" w:rsidRPr="008E3F1A">
        <w:rPr>
          <w:iCs/>
          <w:color w:val="000000" w:themeColor="text1"/>
        </w:rPr>
        <w:t>he</w:t>
      </w:r>
      <w:r w:rsidR="008D6BAD" w:rsidRPr="008E3F1A">
        <w:rPr>
          <w:color w:val="000000" w:themeColor="text1"/>
        </w:rPr>
        <w:t xml:space="preserve"> submission stated that 85% of those </w:t>
      </w:r>
      <w:r w:rsidR="0023494A" w:rsidRPr="008E3F1A">
        <w:rPr>
          <w:color w:val="000000" w:themeColor="text1"/>
        </w:rPr>
        <w:t xml:space="preserve">patients </w:t>
      </w:r>
      <w:r w:rsidR="008D6BAD" w:rsidRPr="008E3F1A">
        <w:rPr>
          <w:color w:val="000000" w:themeColor="text1"/>
        </w:rPr>
        <w:t>who would otherwise be relapsed/refractory sALCL patients would be treated with BV+CHP in the first-line setting and these patients will not receive second</w:t>
      </w:r>
      <w:r w:rsidR="00EF3BDB" w:rsidRPr="008E3F1A">
        <w:rPr>
          <w:color w:val="000000" w:themeColor="text1"/>
        </w:rPr>
        <w:t>-</w:t>
      </w:r>
      <w:r w:rsidR="008D6BAD" w:rsidRPr="008E3F1A">
        <w:rPr>
          <w:color w:val="000000" w:themeColor="text1"/>
        </w:rPr>
        <w:t xml:space="preserve">line BV monotherapy. </w:t>
      </w:r>
      <w:r w:rsidR="008D6BAD" w:rsidRPr="008E3F1A">
        <w:rPr>
          <w:iCs/>
          <w:color w:val="000000" w:themeColor="text1"/>
        </w:rPr>
        <w:t>Th</w:t>
      </w:r>
      <w:r w:rsidR="005D39D2" w:rsidRPr="008E3F1A">
        <w:rPr>
          <w:iCs/>
          <w:color w:val="000000" w:themeColor="text1"/>
        </w:rPr>
        <w:t>e ESC considered th</w:t>
      </w:r>
      <w:r w:rsidR="008D6BAD" w:rsidRPr="008E3F1A">
        <w:rPr>
          <w:iCs/>
          <w:color w:val="000000" w:themeColor="text1"/>
        </w:rPr>
        <w:t xml:space="preserve">is may be not reasonable, since 11.7% of sALCL patients in ECHELON-2 </w:t>
      </w:r>
      <w:r w:rsidR="008D6BAD" w:rsidRPr="008E3F1A">
        <w:rPr>
          <w:iCs/>
          <w:color w:val="000000" w:themeColor="text1"/>
        </w:rPr>
        <w:lastRenderedPageBreak/>
        <w:t>in the BV+CHP arm received BV therapy in the second-line</w:t>
      </w:r>
      <w:r w:rsidR="001C2515" w:rsidRPr="008E3F1A">
        <w:rPr>
          <w:iCs/>
          <w:color w:val="000000" w:themeColor="text1"/>
        </w:rPr>
        <w:t xml:space="preserve"> setting</w:t>
      </w:r>
      <w:r w:rsidR="008D6BAD" w:rsidRPr="008E3F1A">
        <w:rPr>
          <w:iCs/>
          <w:color w:val="000000" w:themeColor="text1"/>
        </w:rPr>
        <w:t xml:space="preserve">. </w:t>
      </w:r>
      <w:r w:rsidR="0023494A" w:rsidRPr="008E3F1A">
        <w:rPr>
          <w:iCs/>
          <w:color w:val="000000" w:themeColor="text1"/>
        </w:rPr>
        <w:t xml:space="preserve">This was also inconsistent with the economic model in which patients received second-line treatment, including treatment with BV monotherapy. </w:t>
      </w:r>
      <w:r w:rsidR="005D39D2" w:rsidRPr="008E3F1A">
        <w:rPr>
          <w:iCs/>
          <w:color w:val="000000" w:themeColor="text1"/>
        </w:rPr>
        <w:t>The PSCR acknowledged that there was the pot</w:t>
      </w:r>
      <w:r w:rsidR="003E074E" w:rsidRPr="008E3F1A">
        <w:rPr>
          <w:iCs/>
          <w:color w:val="000000" w:themeColor="text1"/>
        </w:rPr>
        <w:t>ential for fewer cost-offsets for</w:t>
      </w:r>
      <w:r w:rsidR="005D39D2" w:rsidRPr="008E3F1A">
        <w:rPr>
          <w:iCs/>
          <w:color w:val="000000" w:themeColor="text1"/>
        </w:rPr>
        <w:t xml:space="preserve"> BV to occur in the second-line setting as a result of BV being made available first-line and </w:t>
      </w:r>
      <w:r w:rsidR="003E074E" w:rsidRPr="008E3F1A">
        <w:rPr>
          <w:iCs/>
          <w:color w:val="000000" w:themeColor="text1"/>
        </w:rPr>
        <w:t>presented</w:t>
      </w:r>
      <w:r w:rsidR="005D39D2" w:rsidRPr="008E3F1A">
        <w:rPr>
          <w:iCs/>
          <w:color w:val="000000" w:themeColor="text1"/>
        </w:rPr>
        <w:t xml:space="preserve"> updated fi</w:t>
      </w:r>
      <w:r w:rsidR="003E074E" w:rsidRPr="008E3F1A">
        <w:rPr>
          <w:iCs/>
          <w:color w:val="000000" w:themeColor="text1"/>
        </w:rPr>
        <w:t xml:space="preserve">nancial estimates </w:t>
      </w:r>
      <w:r w:rsidR="00BF4E7E" w:rsidRPr="008E3F1A">
        <w:rPr>
          <w:iCs/>
          <w:color w:val="000000" w:themeColor="text1"/>
        </w:rPr>
        <w:t xml:space="preserve">(see paragraph </w:t>
      </w:r>
      <w:r w:rsidR="00BF4E7E" w:rsidRPr="005E51D7">
        <w:rPr>
          <w:iCs/>
          <w:color w:val="000000" w:themeColor="text1"/>
        </w:rPr>
        <w:t>6.</w:t>
      </w:r>
      <w:r w:rsidR="004F3EF2" w:rsidRPr="005E51D7">
        <w:rPr>
          <w:iCs/>
          <w:color w:val="000000" w:themeColor="text1"/>
        </w:rPr>
        <w:t>57</w:t>
      </w:r>
      <w:r w:rsidR="005D39D2" w:rsidRPr="008E3F1A">
        <w:rPr>
          <w:iCs/>
          <w:color w:val="000000" w:themeColor="text1"/>
        </w:rPr>
        <w:t>).</w:t>
      </w:r>
    </w:p>
    <w:p w:rsidR="00F31770" w:rsidRPr="008E3F1A" w:rsidRDefault="00F31770" w:rsidP="00892AD2">
      <w:pPr>
        <w:pStyle w:val="3-BodyText"/>
        <w:rPr>
          <w:i/>
          <w:iCs/>
          <w:color w:val="000000" w:themeColor="text1"/>
        </w:rPr>
      </w:pPr>
      <w:r w:rsidRPr="008E3F1A">
        <w:t>The key inputs used by the submission in forming the financial estimates are summarised in Table 14.</w:t>
      </w:r>
    </w:p>
    <w:p w:rsidR="00E42F73" w:rsidRPr="008E3F1A" w:rsidRDefault="00E42F73" w:rsidP="007925DF">
      <w:pPr>
        <w:pStyle w:val="TableFigureHeading"/>
        <w:rPr>
          <w:rStyle w:val="CommentReference"/>
          <w:b/>
          <w:szCs w:val="24"/>
        </w:rPr>
      </w:pPr>
      <w:r w:rsidRPr="008E3F1A">
        <w:rPr>
          <w:rStyle w:val="CommentReference"/>
          <w:b/>
          <w:szCs w:val="24"/>
        </w:rPr>
        <w:t xml:space="preserve">Table </w:t>
      </w:r>
      <w:r w:rsidR="007D4524" w:rsidRPr="008E3F1A">
        <w:rPr>
          <w:rStyle w:val="CommentReference"/>
          <w:b/>
          <w:szCs w:val="24"/>
        </w:rPr>
        <w:t>1</w:t>
      </w:r>
      <w:r w:rsidR="00C00747" w:rsidRPr="008E3F1A">
        <w:rPr>
          <w:rStyle w:val="CommentReference"/>
          <w:b/>
          <w:szCs w:val="24"/>
        </w:rPr>
        <w:t>4</w:t>
      </w:r>
      <w:r w:rsidRPr="008E3F1A">
        <w:rPr>
          <w:rStyle w:val="CommentReference"/>
          <w:b/>
          <w:szCs w:val="24"/>
        </w:rPr>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01"/>
        <w:gridCol w:w="4703"/>
        <w:gridCol w:w="2813"/>
      </w:tblGrid>
      <w:tr w:rsidR="0039385E" w:rsidRPr="008E3F1A" w:rsidTr="0039385E">
        <w:trPr>
          <w:tblHeader/>
        </w:trPr>
        <w:tc>
          <w:tcPr>
            <w:tcW w:w="832" w:type="pct"/>
            <w:shd w:val="clear" w:color="auto" w:fill="auto"/>
            <w:vAlign w:val="center"/>
          </w:tcPr>
          <w:p w:rsidR="0039385E" w:rsidRPr="008E3F1A" w:rsidRDefault="0039385E" w:rsidP="007925DF">
            <w:pPr>
              <w:pStyle w:val="In-tableHeading"/>
              <w:rPr>
                <w:b w:val="0"/>
                <w:bCs/>
                <w:lang w:val="en-AU"/>
              </w:rPr>
            </w:pPr>
            <w:r w:rsidRPr="008E3F1A">
              <w:rPr>
                <w:b w:val="0"/>
                <w:bCs/>
                <w:lang w:val="en-AU"/>
              </w:rPr>
              <w:t>Parameter</w:t>
            </w:r>
          </w:p>
        </w:tc>
        <w:tc>
          <w:tcPr>
            <w:tcW w:w="2608" w:type="pct"/>
          </w:tcPr>
          <w:p w:rsidR="0039385E" w:rsidRPr="008E3F1A" w:rsidRDefault="0039385E" w:rsidP="007925DF">
            <w:pPr>
              <w:pStyle w:val="In-tableHeading"/>
              <w:rPr>
                <w:b w:val="0"/>
                <w:bCs/>
                <w:lang w:val="en-AU"/>
              </w:rPr>
            </w:pPr>
            <w:r w:rsidRPr="008E3F1A">
              <w:rPr>
                <w:b w:val="0"/>
                <w:bCs/>
                <w:lang w:val="en-AU"/>
              </w:rPr>
              <w:t>Value applied and source</w:t>
            </w:r>
          </w:p>
        </w:tc>
        <w:tc>
          <w:tcPr>
            <w:tcW w:w="1560" w:type="pct"/>
            <w:shd w:val="clear" w:color="auto" w:fill="auto"/>
            <w:vAlign w:val="center"/>
          </w:tcPr>
          <w:p w:rsidR="0039385E" w:rsidRPr="008E3F1A" w:rsidRDefault="0039385E" w:rsidP="007925DF">
            <w:pPr>
              <w:pStyle w:val="In-tableHeading"/>
              <w:rPr>
                <w:b w:val="0"/>
                <w:bCs/>
                <w:lang w:val="en-AU"/>
              </w:rPr>
            </w:pPr>
            <w:r w:rsidRPr="008E3F1A">
              <w:rPr>
                <w:b w:val="0"/>
                <w:bCs/>
                <w:lang w:val="en-AU"/>
              </w:rPr>
              <w:t>Comment</w:t>
            </w:r>
          </w:p>
        </w:tc>
      </w:tr>
      <w:tr w:rsidR="0039385E" w:rsidRPr="008E3F1A" w:rsidTr="0039385E">
        <w:tc>
          <w:tcPr>
            <w:tcW w:w="832" w:type="pct"/>
            <w:shd w:val="clear" w:color="auto" w:fill="auto"/>
            <w:vAlign w:val="center"/>
          </w:tcPr>
          <w:p w:rsidR="0039385E" w:rsidRPr="008E3F1A" w:rsidRDefault="0039385E" w:rsidP="0086001B">
            <w:pPr>
              <w:pStyle w:val="TableText0"/>
            </w:pPr>
            <w:r w:rsidRPr="008E3F1A">
              <w:rPr>
                <w:szCs w:val="20"/>
              </w:rPr>
              <w:t xml:space="preserve">Incident </w:t>
            </w:r>
            <w:r w:rsidR="001216A3" w:rsidRPr="008E3F1A">
              <w:rPr>
                <w:szCs w:val="20"/>
              </w:rPr>
              <w:t xml:space="preserve">NHL </w:t>
            </w:r>
            <w:r w:rsidRPr="008E3F1A">
              <w:rPr>
                <w:szCs w:val="20"/>
              </w:rPr>
              <w:t>patients</w:t>
            </w:r>
          </w:p>
        </w:tc>
        <w:tc>
          <w:tcPr>
            <w:tcW w:w="2608" w:type="pct"/>
            <w:vAlign w:val="center"/>
          </w:tcPr>
          <w:p w:rsidR="0039385E" w:rsidRPr="006C1C47" w:rsidRDefault="0039385E" w:rsidP="006C1C47">
            <w:pPr>
              <w:pStyle w:val="TableText0"/>
              <w:rPr>
                <w:i/>
                <w:vertAlign w:val="superscript"/>
              </w:rPr>
            </w:pPr>
            <w:r w:rsidRPr="008E3F1A">
              <w:rPr>
                <w:szCs w:val="20"/>
              </w:rPr>
              <w:t xml:space="preserve">Total NHL patients based on cancer incidence projections in Australia for males and females (AIHW 2020). NHL incidence in 2020 of </w:t>
            </w:r>
            <w:r w:rsidR="003F2520">
              <w:rPr>
                <w:noProof/>
                <w:color w:val="000000"/>
                <w:szCs w:val="20"/>
                <w:highlight w:val="black"/>
              </w:rPr>
              <w:t>''''''''''</w:t>
            </w:r>
            <w:r w:rsidR="006C1C47">
              <w:rPr>
                <w:szCs w:val="20"/>
                <w:vertAlign w:val="superscript"/>
              </w:rPr>
              <w:t>1</w:t>
            </w:r>
            <w:r w:rsidRPr="008E3F1A">
              <w:rPr>
                <w:szCs w:val="20"/>
              </w:rPr>
              <w:t xml:space="preserve"> (</w:t>
            </w:r>
            <w:r w:rsidR="003F2520">
              <w:rPr>
                <w:noProof/>
                <w:color w:val="000000"/>
                <w:szCs w:val="20"/>
                <w:highlight w:val="black"/>
              </w:rPr>
              <w:t>''''''''''</w:t>
            </w:r>
            <w:r w:rsidR="006C1C47">
              <w:rPr>
                <w:szCs w:val="20"/>
                <w:vertAlign w:val="superscript"/>
              </w:rPr>
              <w:t>1</w:t>
            </w:r>
            <w:r w:rsidRPr="008E3F1A">
              <w:rPr>
                <w:szCs w:val="20"/>
              </w:rPr>
              <w:t>–</w:t>
            </w:r>
            <w:r w:rsidR="003F2520">
              <w:rPr>
                <w:noProof/>
                <w:color w:val="000000"/>
                <w:szCs w:val="20"/>
                <w:highlight w:val="black"/>
              </w:rPr>
              <w:t>''''''''''</w:t>
            </w:r>
            <w:r w:rsidR="006C1C47">
              <w:rPr>
                <w:szCs w:val="20"/>
                <w:vertAlign w:val="superscript"/>
              </w:rPr>
              <w:t>1</w:t>
            </w:r>
            <w:r w:rsidRPr="008E3F1A">
              <w:rPr>
                <w:szCs w:val="20"/>
              </w:rPr>
              <w:t xml:space="preserve">) for males and </w:t>
            </w:r>
            <w:r w:rsidR="003F2520">
              <w:rPr>
                <w:noProof/>
                <w:color w:val="000000"/>
                <w:szCs w:val="20"/>
                <w:highlight w:val="black"/>
              </w:rPr>
              <w:t>''''''''''</w:t>
            </w:r>
            <w:r w:rsidR="006C1C47">
              <w:rPr>
                <w:szCs w:val="20"/>
                <w:vertAlign w:val="superscript"/>
              </w:rPr>
              <w:t>1</w:t>
            </w:r>
            <w:r w:rsidR="003F2520">
              <w:rPr>
                <w:noProof/>
                <w:color w:val="000000"/>
                <w:szCs w:val="20"/>
                <w:highlight w:val="black"/>
              </w:rPr>
              <w:t xml:space="preserve"> </w:t>
            </w:r>
            <w:r w:rsidRPr="008E3F1A">
              <w:rPr>
                <w:szCs w:val="20"/>
              </w:rPr>
              <w:t>(</w:t>
            </w:r>
            <w:r w:rsidR="003F2520">
              <w:rPr>
                <w:noProof/>
                <w:color w:val="000000"/>
                <w:szCs w:val="20"/>
                <w:highlight w:val="black"/>
              </w:rPr>
              <w:t>''''''''''</w:t>
            </w:r>
            <w:r w:rsidR="006C1C47">
              <w:rPr>
                <w:szCs w:val="20"/>
                <w:vertAlign w:val="superscript"/>
              </w:rPr>
              <w:t>1</w:t>
            </w:r>
            <w:r w:rsidRPr="008E3F1A">
              <w:rPr>
                <w:szCs w:val="20"/>
              </w:rPr>
              <w:t>–</w:t>
            </w:r>
            <w:r w:rsidR="003F2520">
              <w:rPr>
                <w:noProof/>
                <w:color w:val="000000"/>
                <w:szCs w:val="20"/>
                <w:highlight w:val="black"/>
              </w:rPr>
              <w:t>''''''''''</w:t>
            </w:r>
            <w:r w:rsidR="006C1C47">
              <w:rPr>
                <w:szCs w:val="20"/>
                <w:vertAlign w:val="superscript"/>
              </w:rPr>
              <w:t>1</w:t>
            </w:r>
            <w:r w:rsidRPr="008E3F1A">
              <w:rPr>
                <w:szCs w:val="20"/>
              </w:rPr>
              <w:t>) for females.</w:t>
            </w:r>
          </w:p>
        </w:tc>
        <w:tc>
          <w:tcPr>
            <w:tcW w:w="1560" w:type="pct"/>
            <w:shd w:val="clear" w:color="auto" w:fill="auto"/>
            <w:vAlign w:val="center"/>
          </w:tcPr>
          <w:p w:rsidR="0039385E" w:rsidRPr="008E3F1A" w:rsidRDefault="007A281C" w:rsidP="001216A3">
            <w:pPr>
              <w:pStyle w:val="TableText0"/>
            </w:pPr>
            <w:r w:rsidRPr="008E3F1A">
              <w:t>The source appear</w:t>
            </w:r>
            <w:r w:rsidR="001216A3" w:rsidRPr="008E3F1A">
              <w:t>s</w:t>
            </w:r>
            <w:r w:rsidRPr="008E3F1A">
              <w:t xml:space="preserve"> to be reasonable.</w:t>
            </w:r>
          </w:p>
        </w:tc>
      </w:tr>
      <w:tr w:rsidR="0039385E" w:rsidRPr="008E3F1A" w:rsidTr="0039385E">
        <w:tc>
          <w:tcPr>
            <w:tcW w:w="832" w:type="pct"/>
            <w:shd w:val="clear" w:color="auto" w:fill="auto"/>
            <w:vAlign w:val="center"/>
          </w:tcPr>
          <w:p w:rsidR="0039385E" w:rsidRPr="008E3F1A" w:rsidRDefault="001216A3" w:rsidP="001216A3">
            <w:pPr>
              <w:pStyle w:val="TableText0"/>
            </w:pPr>
            <w:r w:rsidRPr="008E3F1A">
              <w:rPr>
                <w:szCs w:val="20"/>
              </w:rPr>
              <w:t>PTCL p</w:t>
            </w:r>
            <w:r w:rsidR="0039385E" w:rsidRPr="008E3F1A">
              <w:rPr>
                <w:szCs w:val="20"/>
              </w:rPr>
              <w:t xml:space="preserve">roportion </w:t>
            </w:r>
          </w:p>
        </w:tc>
        <w:tc>
          <w:tcPr>
            <w:tcW w:w="2608" w:type="pct"/>
            <w:vAlign w:val="center"/>
          </w:tcPr>
          <w:p w:rsidR="0039385E" w:rsidRPr="008E3F1A" w:rsidRDefault="0039385E" w:rsidP="00E2656E">
            <w:pPr>
              <w:pStyle w:val="TableText0"/>
              <w:rPr>
                <w:i/>
              </w:rPr>
            </w:pPr>
            <w:r w:rsidRPr="008E3F1A">
              <w:rPr>
                <w:szCs w:val="20"/>
              </w:rPr>
              <w:t xml:space="preserve">5.9% of NHL is mature </w:t>
            </w:r>
            <w:r w:rsidR="00CE6817" w:rsidRPr="008E3F1A">
              <w:rPr>
                <w:szCs w:val="20"/>
              </w:rPr>
              <w:t xml:space="preserve">PTCL or </w:t>
            </w:r>
            <w:r w:rsidRPr="008E3F1A">
              <w:rPr>
                <w:szCs w:val="20"/>
              </w:rPr>
              <w:t>T/NK cell lymphomas, Australia 2015 (AIHW 2019).</w:t>
            </w:r>
          </w:p>
        </w:tc>
        <w:tc>
          <w:tcPr>
            <w:tcW w:w="1560" w:type="pct"/>
            <w:shd w:val="clear" w:color="auto" w:fill="auto"/>
            <w:vAlign w:val="center"/>
          </w:tcPr>
          <w:p w:rsidR="0039385E" w:rsidRPr="008E3F1A" w:rsidRDefault="0039385E" w:rsidP="00E2656E">
            <w:pPr>
              <w:pStyle w:val="TableText0"/>
            </w:pPr>
            <w:r w:rsidRPr="008E3F1A">
              <w:t>Other rates from different Australian sources were tested in the sensitivity analysis.</w:t>
            </w:r>
          </w:p>
        </w:tc>
      </w:tr>
      <w:tr w:rsidR="0039385E" w:rsidRPr="008E3F1A" w:rsidTr="0039385E">
        <w:tc>
          <w:tcPr>
            <w:tcW w:w="832" w:type="pct"/>
            <w:shd w:val="clear" w:color="auto" w:fill="auto"/>
            <w:vAlign w:val="center"/>
          </w:tcPr>
          <w:p w:rsidR="0039385E" w:rsidRPr="008E3F1A" w:rsidRDefault="0039385E" w:rsidP="00E2656E">
            <w:pPr>
              <w:pStyle w:val="TableText0"/>
            </w:pPr>
            <w:r w:rsidRPr="008E3F1A">
              <w:rPr>
                <w:szCs w:val="20"/>
              </w:rPr>
              <w:t>CD30-positve   PTCL patients</w:t>
            </w:r>
          </w:p>
        </w:tc>
        <w:tc>
          <w:tcPr>
            <w:tcW w:w="2608" w:type="pct"/>
            <w:vAlign w:val="center"/>
          </w:tcPr>
          <w:p w:rsidR="0039385E" w:rsidRPr="008E3F1A" w:rsidRDefault="0039385E" w:rsidP="00E2656E">
            <w:pPr>
              <w:pStyle w:val="TableText0"/>
              <w:keepNext w:val="0"/>
              <w:widowControl w:val="0"/>
              <w:rPr>
                <w:szCs w:val="20"/>
              </w:rPr>
            </w:pPr>
            <w:r w:rsidRPr="008E3F1A">
              <w:rPr>
                <w:szCs w:val="20"/>
              </w:rPr>
              <w:t>CD30</w:t>
            </w:r>
            <w:r w:rsidR="006A6406" w:rsidRPr="008E3F1A">
              <w:rPr>
                <w:szCs w:val="20"/>
              </w:rPr>
              <w:t xml:space="preserve"> </w:t>
            </w:r>
            <w:r w:rsidRPr="008E3F1A">
              <w:rPr>
                <w:szCs w:val="20"/>
              </w:rPr>
              <w:t>positive expression estimated from Sabattini et al. 2013, Bossard et al. 2014.</w:t>
            </w:r>
          </w:p>
          <w:p w:rsidR="0039385E" w:rsidRPr="008E3F1A" w:rsidRDefault="0039385E" w:rsidP="00E2656E">
            <w:pPr>
              <w:pStyle w:val="TableText0"/>
              <w:rPr>
                <w:i/>
              </w:rPr>
            </w:pPr>
            <w:r w:rsidRPr="008E3F1A">
              <w:rPr>
                <w:szCs w:val="20"/>
              </w:rPr>
              <w:t>Proportion of PTCL cases by subtype: PTCL–NOS, AITL, ALCL ALK+, ALCL ALK-ATLL, HSTCL, EATL from Vose 2008</w:t>
            </w:r>
          </w:p>
        </w:tc>
        <w:tc>
          <w:tcPr>
            <w:tcW w:w="1560" w:type="pct"/>
            <w:shd w:val="clear" w:color="auto" w:fill="auto"/>
            <w:vAlign w:val="center"/>
          </w:tcPr>
          <w:p w:rsidR="0039385E" w:rsidRPr="008E3F1A" w:rsidRDefault="0039385E" w:rsidP="00E2656E">
            <w:pPr>
              <w:pStyle w:val="TableText0"/>
            </w:pPr>
            <w:r w:rsidRPr="008E3F1A">
              <w:t>This appears to be reasonable.</w:t>
            </w:r>
          </w:p>
        </w:tc>
      </w:tr>
      <w:tr w:rsidR="0039385E" w:rsidRPr="008E3F1A" w:rsidTr="0039385E">
        <w:tc>
          <w:tcPr>
            <w:tcW w:w="832" w:type="pct"/>
            <w:shd w:val="clear" w:color="auto" w:fill="auto"/>
            <w:vAlign w:val="center"/>
          </w:tcPr>
          <w:p w:rsidR="0039385E" w:rsidRPr="008E3F1A" w:rsidRDefault="0039385E" w:rsidP="00A827CB">
            <w:pPr>
              <w:pStyle w:val="TableText0"/>
            </w:pPr>
            <w:r w:rsidRPr="008E3F1A">
              <w:rPr>
                <w:szCs w:val="20"/>
              </w:rPr>
              <w:t>Uptake rate</w:t>
            </w:r>
          </w:p>
        </w:tc>
        <w:tc>
          <w:tcPr>
            <w:tcW w:w="2608" w:type="pct"/>
            <w:vAlign w:val="center"/>
          </w:tcPr>
          <w:p w:rsidR="0039385E" w:rsidRPr="008E3F1A" w:rsidRDefault="00896649" w:rsidP="00A827CB">
            <w:pPr>
              <w:pStyle w:val="TableText0"/>
              <w:rPr>
                <w:szCs w:val="20"/>
              </w:rPr>
            </w:pPr>
            <w:r w:rsidRPr="008E3F1A">
              <w:rPr>
                <w:szCs w:val="20"/>
              </w:rPr>
              <w:t>Overall uptake</w:t>
            </w:r>
            <w:r w:rsidRPr="00150B3A">
              <w:rPr>
                <w:szCs w:val="20"/>
              </w:rPr>
              <w:t xml:space="preserve">: </w:t>
            </w:r>
            <w:r w:rsidR="003F2520">
              <w:rPr>
                <w:noProof/>
                <w:color w:val="000000"/>
                <w:szCs w:val="20"/>
                <w:highlight w:val="black"/>
              </w:rPr>
              <w:t>''''''''''</w:t>
            </w:r>
            <w:r w:rsidR="0039385E" w:rsidRPr="00150B3A">
              <w:rPr>
                <w:szCs w:val="20"/>
              </w:rPr>
              <w:t>%</w:t>
            </w:r>
            <w:r w:rsidR="003A76A9" w:rsidRPr="00150B3A">
              <w:rPr>
                <w:szCs w:val="20"/>
              </w:rPr>
              <w:t>,</w:t>
            </w:r>
            <w:r w:rsidR="003A76A9" w:rsidRPr="008E3F1A">
              <w:rPr>
                <w:szCs w:val="20"/>
              </w:rPr>
              <w:t xml:space="preserve"> </w:t>
            </w:r>
            <w:r w:rsidR="0060290E" w:rsidRPr="008E3F1A">
              <w:rPr>
                <w:szCs w:val="20"/>
              </w:rPr>
              <w:t>varied</w:t>
            </w:r>
            <w:r w:rsidR="003A76A9" w:rsidRPr="008E3F1A">
              <w:rPr>
                <w:szCs w:val="20"/>
              </w:rPr>
              <w:t xml:space="preserve"> by subtype: </w:t>
            </w:r>
            <w:r w:rsidR="007D079E" w:rsidRPr="008E3F1A">
              <w:rPr>
                <w:szCs w:val="20"/>
              </w:rPr>
              <w:t>sAL</w:t>
            </w:r>
            <w:r w:rsidR="007D079E" w:rsidRPr="00150B3A">
              <w:rPr>
                <w:szCs w:val="20"/>
              </w:rPr>
              <w:t>CL (</w:t>
            </w:r>
            <w:r w:rsidR="003F2520">
              <w:rPr>
                <w:noProof/>
                <w:color w:val="000000"/>
                <w:szCs w:val="20"/>
                <w:highlight w:val="black"/>
              </w:rPr>
              <w:t>''''''</w:t>
            </w:r>
            <w:r w:rsidR="007D079E" w:rsidRPr="00150B3A">
              <w:rPr>
                <w:szCs w:val="20"/>
              </w:rPr>
              <w:t>%), AITL (</w:t>
            </w:r>
            <w:r w:rsidR="003F2520">
              <w:rPr>
                <w:noProof/>
                <w:color w:val="000000"/>
                <w:szCs w:val="20"/>
                <w:highlight w:val="black"/>
              </w:rPr>
              <w:t>''''''</w:t>
            </w:r>
            <w:r w:rsidR="007D079E" w:rsidRPr="00150B3A">
              <w:rPr>
                <w:szCs w:val="20"/>
              </w:rPr>
              <w:t>%), PTCL-NOS (</w:t>
            </w:r>
            <w:r w:rsidR="003F2520">
              <w:rPr>
                <w:noProof/>
                <w:color w:val="000000"/>
                <w:szCs w:val="20"/>
                <w:highlight w:val="black"/>
              </w:rPr>
              <w:t>''''''</w:t>
            </w:r>
            <w:r w:rsidR="007D079E" w:rsidRPr="00150B3A">
              <w:rPr>
                <w:szCs w:val="20"/>
              </w:rPr>
              <w:t>%), ATLL (</w:t>
            </w:r>
            <w:r w:rsidR="003F2520">
              <w:rPr>
                <w:noProof/>
                <w:color w:val="000000"/>
                <w:szCs w:val="20"/>
                <w:highlight w:val="black"/>
              </w:rPr>
              <w:t>''''</w:t>
            </w:r>
            <w:r w:rsidR="007D079E" w:rsidRPr="00150B3A">
              <w:rPr>
                <w:szCs w:val="20"/>
              </w:rPr>
              <w:t xml:space="preserve">%) and </w:t>
            </w:r>
            <w:r w:rsidR="0060290E" w:rsidRPr="00150B3A">
              <w:rPr>
                <w:szCs w:val="20"/>
              </w:rPr>
              <w:t>EATL (</w:t>
            </w:r>
            <w:r w:rsidR="003F2520">
              <w:rPr>
                <w:noProof/>
                <w:color w:val="000000"/>
                <w:szCs w:val="20"/>
                <w:highlight w:val="black"/>
              </w:rPr>
              <w:t>''''</w:t>
            </w:r>
            <w:r w:rsidR="0060290E" w:rsidRPr="00150B3A">
              <w:rPr>
                <w:szCs w:val="20"/>
              </w:rPr>
              <w:t>%)</w:t>
            </w:r>
          </w:p>
          <w:p w:rsidR="0039385E" w:rsidRPr="008E3F1A" w:rsidRDefault="0039385E" w:rsidP="00A827CB">
            <w:pPr>
              <w:pStyle w:val="TableText0"/>
              <w:rPr>
                <w:i/>
              </w:rPr>
            </w:pPr>
            <w:r w:rsidRPr="008E3F1A">
              <w:rPr>
                <w:szCs w:val="20"/>
              </w:rPr>
              <w:t xml:space="preserve">. </w:t>
            </w:r>
          </w:p>
        </w:tc>
        <w:tc>
          <w:tcPr>
            <w:tcW w:w="1560" w:type="pct"/>
            <w:shd w:val="clear" w:color="auto" w:fill="auto"/>
            <w:vAlign w:val="center"/>
          </w:tcPr>
          <w:p w:rsidR="0039385E" w:rsidRPr="008E3F1A" w:rsidRDefault="0039385E" w:rsidP="00A827CB">
            <w:pPr>
              <w:pStyle w:val="TableText0"/>
            </w:pPr>
            <w:r w:rsidRPr="008E3F1A">
              <w:rPr>
                <w:iCs/>
                <w:szCs w:val="20"/>
              </w:rPr>
              <w:t>The submission did not present a source for the expected uptake rates by each PTCL subtype</w:t>
            </w:r>
            <w:r w:rsidR="008E3F1A">
              <w:rPr>
                <w:iCs/>
                <w:szCs w:val="20"/>
              </w:rPr>
              <w:t xml:space="preserve">. </w:t>
            </w:r>
          </w:p>
        </w:tc>
      </w:tr>
    </w:tbl>
    <w:p w:rsidR="002F6BF6" w:rsidRPr="008E3F1A" w:rsidRDefault="002F6BF6" w:rsidP="002F6BF6">
      <w:pPr>
        <w:rPr>
          <w:rFonts w:ascii="Arial Narrow" w:hAnsi="Arial Narrow"/>
          <w:snapToGrid w:val="0"/>
          <w:sz w:val="18"/>
          <w:szCs w:val="22"/>
        </w:rPr>
      </w:pPr>
      <w:r w:rsidRPr="008E3F1A">
        <w:rPr>
          <w:rFonts w:ascii="Arial Narrow" w:hAnsi="Arial Narrow"/>
          <w:bCs/>
          <w:snapToGrid w:val="0"/>
          <w:sz w:val="18"/>
          <w:szCs w:val="22"/>
        </w:rPr>
        <w:t>Source: Table 4.1,</w:t>
      </w:r>
      <w:r w:rsidRPr="008E3F1A">
        <w:rPr>
          <w:rFonts w:ascii="Arial Narrow" w:hAnsi="Arial Narrow"/>
          <w:snapToGrid w:val="0"/>
          <w:sz w:val="18"/>
          <w:szCs w:val="22"/>
        </w:rPr>
        <w:t xml:space="preserve"> Table 4.2 compiled from data presented in Section 4 of the submission.</w:t>
      </w:r>
    </w:p>
    <w:p w:rsidR="0039385E" w:rsidRDefault="0039385E" w:rsidP="002F6BF6">
      <w:pPr>
        <w:rPr>
          <w:rFonts w:ascii="Arial Narrow" w:hAnsi="Arial Narrow"/>
          <w:snapToGrid w:val="0"/>
          <w:sz w:val="18"/>
          <w:szCs w:val="22"/>
        </w:rPr>
      </w:pPr>
      <w:r w:rsidRPr="008E3F1A">
        <w:rPr>
          <w:rFonts w:ascii="Arial Narrow" w:hAnsi="Arial Narrow"/>
          <w:snapToGrid w:val="0"/>
          <w:sz w:val="18"/>
          <w:szCs w:val="22"/>
        </w:rPr>
        <w:t xml:space="preserve">AIHW =Australian Institute of Health Welfare; ALCL = </w:t>
      </w:r>
      <w:r w:rsidR="007A281C" w:rsidRPr="008E3F1A">
        <w:rPr>
          <w:rFonts w:ascii="Arial Narrow" w:hAnsi="Arial Narrow"/>
          <w:snapToGrid w:val="0"/>
          <w:sz w:val="18"/>
          <w:szCs w:val="22"/>
        </w:rPr>
        <w:t>anaplastic large cell lymphoma;</w:t>
      </w:r>
      <w:r w:rsidRPr="008E3F1A">
        <w:rPr>
          <w:rFonts w:ascii="Arial Narrow" w:hAnsi="Arial Narrow"/>
          <w:snapToGrid w:val="0"/>
          <w:sz w:val="18"/>
          <w:szCs w:val="22"/>
        </w:rPr>
        <w:t xml:space="preserve"> AITL = angioimmunoblastic T-cell lymphoma; ATLL = adult T-cell leukaemia/lymphoma; ALK= anaplastic lymphoma kinase; DPMA = dispensed price per maximum amount; EATL= enteropathy-associated T-cell lymphoma; HSTCL = hepatosplenic T-cell lymphoma; NHL = non-Hodgkin lymphoma; PBS =Pharmaceutical Benefits Scheme; PTCL = peripheral T-cell lymphoma; PTCL–NOS = peripheral T-cell lymphoma not otherwise specified; sALCL =  systemic anaplastic large cell lymphoma.</w:t>
      </w:r>
    </w:p>
    <w:p w:rsidR="006C1C47" w:rsidRPr="009868C4" w:rsidRDefault="006C1C47" w:rsidP="006C1C47">
      <w:pPr>
        <w:pStyle w:val="TableFigureFooter"/>
        <w:spacing w:after="0"/>
        <w:contextualSpacing w:val="0"/>
      </w:pPr>
      <w:r w:rsidRPr="009868C4">
        <w:rPr>
          <w:i/>
        </w:rPr>
        <w:t>The redacted values correspond to the following ranges</w:t>
      </w:r>
      <w:r>
        <w:rPr>
          <w:i/>
        </w:rPr>
        <w:t xml:space="preserve">: </w:t>
      </w:r>
    </w:p>
    <w:p w:rsidR="006C1C47" w:rsidRPr="006C1C47" w:rsidRDefault="006C1C47" w:rsidP="002F6BF6">
      <w:pPr>
        <w:rPr>
          <w:rFonts w:ascii="Arial Narrow" w:hAnsi="Arial Narrow"/>
          <w:i/>
          <w:snapToGrid w:val="0"/>
          <w:sz w:val="18"/>
          <w:szCs w:val="22"/>
        </w:rPr>
      </w:pPr>
      <w:r>
        <w:rPr>
          <w:rFonts w:ascii="Arial Narrow" w:hAnsi="Arial Narrow"/>
          <w:i/>
          <w:snapToGrid w:val="0"/>
          <w:sz w:val="18"/>
          <w:szCs w:val="22"/>
          <w:vertAlign w:val="superscript"/>
        </w:rPr>
        <w:t xml:space="preserve">1 </w:t>
      </w:r>
      <w:r w:rsidRPr="006C1C47">
        <w:rPr>
          <w:rFonts w:ascii="Arial Narrow" w:hAnsi="Arial Narrow"/>
          <w:i/>
          <w:snapToGrid w:val="0"/>
          <w:sz w:val="18"/>
          <w:szCs w:val="22"/>
        </w:rPr>
        <w:t>&lt; 500</w:t>
      </w:r>
    </w:p>
    <w:p w:rsidR="0039385E" w:rsidRPr="008E3F1A" w:rsidRDefault="0039385E" w:rsidP="0039385E">
      <w:pPr>
        <w:pStyle w:val="3-BodyText"/>
        <w:numPr>
          <w:ilvl w:val="0"/>
          <w:numId w:val="0"/>
        </w:numPr>
        <w:ind w:left="720"/>
        <w:rPr>
          <w:color w:val="0066FF"/>
        </w:rPr>
      </w:pPr>
    </w:p>
    <w:p w:rsidR="00B505C8" w:rsidRPr="008E3F1A" w:rsidRDefault="0040585F" w:rsidP="0040585F">
      <w:pPr>
        <w:pStyle w:val="3-BodyText"/>
        <w:rPr>
          <w:color w:val="0066FF"/>
        </w:rPr>
      </w:pPr>
      <w:r w:rsidRPr="008E3F1A">
        <w:t>The financial estimates o</w:t>
      </w:r>
      <w:r w:rsidR="00E746CB" w:rsidRPr="008E3F1A">
        <w:t>f</w:t>
      </w:r>
      <w:r w:rsidRPr="008E3F1A">
        <w:t xml:space="preserve"> the use of BV+CHP (effective price) are presented in Table </w:t>
      </w:r>
      <w:r w:rsidR="00F31770" w:rsidRPr="008E3F1A">
        <w:t>15</w:t>
      </w:r>
      <w:r w:rsidRPr="008E3F1A">
        <w:t xml:space="preserve">. </w:t>
      </w:r>
    </w:p>
    <w:p w:rsidR="00047743" w:rsidRPr="008E3F1A" w:rsidRDefault="00047743">
      <w:pPr>
        <w:jc w:val="left"/>
        <w:rPr>
          <w:rStyle w:val="CommentReference"/>
          <w:rFonts w:eastAsiaTheme="majorEastAsia" w:cstheme="majorBidi"/>
          <w:bCs/>
          <w:szCs w:val="24"/>
        </w:rPr>
      </w:pPr>
      <w:bookmarkStart w:id="28" w:name="_Hlk61234250"/>
      <w:r w:rsidRPr="008E3F1A">
        <w:rPr>
          <w:rStyle w:val="CommentReference"/>
          <w:b w:val="0"/>
          <w:szCs w:val="24"/>
        </w:rPr>
        <w:br w:type="page"/>
      </w:r>
    </w:p>
    <w:p w:rsidR="00C25D9C" w:rsidRPr="008E3F1A" w:rsidRDefault="002A2F50" w:rsidP="00414957">
      <w:pPr>
        <w:pStyle w:val="TableFigureHeading"/>
        <w:keepNext w:val="0"/>
        <w:widowControl w:val="0"/>
      </w:pPr>
      <w:r w:rsidRPr="008E3F1A">
        <w:rPr>
          <w:rStyle w:val="CommentReference"/>
          <w:b/>
          <w:szCs w:val="24"/>
        </w:rPr>
        <w:lastRenderedPageBreak/>
        <w:t xml:space="preserve">Table </w:t>
      </w:r>
      <w:r w:rsidR="0040585F" w:rsidRPr="008E3F1A">
        <w:rPr>
          <w:rStyle w:val="CommentReference"/>
          <w:b/>
          <w:szCs w:val="24"/>
        </w:rPr>
        <w:t>1</w:t>
      </w:r>
      <w:r w:rsidR="00F31770" w:rsidRPr="008E3F1A">
        <w:rPr>
          <w:rStyle w:val="CommentReference"/>
          <w:b/>
          <w:szCs w:val="24"/>
        </w:rPr>
        <w:t>5</w:t>
      </w:r>
      <w:r w:rsidRPr="008E3F1A">
        <w:rPr>
          <w:rStyle w:val="CommentReference"/>
          <w:b/>
          <w:szCs w:val="24"/>
        </w:rPr>
        <w:t>: Estimated use and financial implications</w:t>
      </w:r>
      <w:r w:rsidR="00067D29" w:rsidRPr="008E3F1A">
        <w:rPr>
          <w:rStyle w:val="CommentReference"/>
          <w:b/>
          <w:szCs w:val="24"/>
        </w:rPr>
        <w:t xml:space="preserve"> (effective BV price)</w:t>
      </w:r>
    </w:p>
    <w:bookmarkEnd w:id="28"/>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2"/>
        <w:gridCol w:w="1167"/>
        <w:gridCol w:w="1167"/>
        <w:gridCol w:w="1167"/>
        <w:gridCol w:w="1167"/>
        <w:gridCol w:w="1167"/>
        <w:gridCol w:w="1170"/>
      </w:tblGrid>
      <w:tr w:rsidR="00385A9D" w:rsidRPr="008E3F1A" w:rsidTr="0048765C">
        <w:trPr>
          <w:tblHeader/>
        </w:trPr>
        <w:tc>
          <w:tcPr>
            <w:tcW w:w="1116" w:type="pct"/>
            <w:shd w:val="clear" w:color="auto" w:fill="auto"/>
            <w:vAlign w:val="center"/>
          </w:tcPr>
          <w:p w:rsidR="00385A9D" w:rsidRPr="008E3F1A" w:rsidRDefault="00385A9D" w:rsidP="00414957">
            <w:pPr>
              <w:pStyle w:val="In-tableHeading"/>
              <w:keepNext w:val="0"/>
              <w:widowControl w:val="0"/>
              <w:jc w:val="center"/>
              <w:rPr>
                <w:lang w:val="en-AU"/>
              </w:rPr>
            </w:pPr>
          </w:p>
        </w:tc>
        <w:tc>
          <w:tcPr>
            <w:tcW w:w="647" w:type="pct"/>
            <w:shd w:val="clear" w:color="auto" w:fill="auto"/>
            <w:vAlign w:val="center"/>
          </w:tcPr>
          <w:p w:rsidR="00385A9D" w:rsidRPr="008E3F1A" w:rsidRDefault="00385A9D" w:rsidP="00414957">
            <w:pPr>
              <w:pStyle w:val="In-tableHeading"/>
              <w:keepNext w:val="0"/>
              <w:widowControl w:val="0"/>
              <w:jc w:val="center"/>
              <w:rPr>
                <w:lang w:val="en-AU"/>
              </w:rPr>
            </w:pPr>
            <w:r w:rsidRPr="008E3F1A">
              <w:rPr>
                <w:lang w:val="en-AU"/>
              </w:rPr>
              <w:t>Year 1</w:t>
            </w:r>
          </w:p>
        </w:tc>
        <w:tc>
          <w:tcPr>
            <w:tcW w:w="647" w:type="pct"/>
            <w:shd w:val="clear" w:color="auto" w:fill="auto"/>
            <w:vAlign w:val="center"/>
          </w:tcPr>
          <w:p w:rsidR="00385A9D" w:rsidRPr="008E3F1A" w:rsidRDefault="00385A9D" w:rsidP="00414957">
            <w:pPr>
              <w:pStyle w:val="In-tableHeading"/>
              <w:keepNext w:val="0"/>
              <w:widowControl w:val="0"/>
              <w:jc w:val="center"/>
              <w:rPr>
                <w:lang w:val="en-AU"/>
              </w:rPr>
            </w:pPr>
            <w:r w:rsidRPr="008E3F1A">
              <w:rPr>
                <w:lang w:val="en-AU"/>
              </w:rPr>
              <w:t>Year 2</w:t>
            </w:r>
          </w:p>
        </w:tc>
        <w:tc>
          <w:tcPr>
            <w:tcW w:w="647" w:type="pct"/>
            <w:shd w:val="clear" w:color="auto" w:fill="auto"/>
            <w:vAlign w:val="center"/>
          </w:tcPr>
          <w:p w:rsidR="00385A9D" w:rsidRPr="008E3F1A" w:rsidRDefault="00385A9D" w:rsidP="00414957">
            <w:pPr>
              <w:pStyle w:val="In-tableHeading"/>
              <w:keepNext w:val="0"/>
              <w:widowControl w:val="0"/>
              <w:jc w:val="center"/>
              <w:rPr>
                <w:lang w:val="en-AU"/>
              </w:rPr>
            </w:pPr>
            <w:r w:rsidRPr="008E3F1A">
              <w:rPr>
                <w:lang w:val="en-AU"/>
              </w:rPr>
              <w:t>Year 3</w:t>
            </w:r>
          </w:p>
        </w:tc>
        <w:tc>
          <w:tcPr>
            <w:tcW w:w="647" w:type="pct"/>
            <w:shd w:val="clear" w:color="auto" w:fill="auto"/>
            <w:vAlign w:val="center"/>
          </w:tcPr>
          <w:p w:rsidR="00385A9D" w:rsidRPr="008E3F1A" w:rsidRDefault="00385A9D" w:rsidP="00414957">
            <w:pPr>
              <w:pStyle w:val="In-tableHeading"/>
              <w:keepNext w:val="0"/>
              <w:widowControl w:val="0"/>
              <w:jc w:val="center"/>
              <w:rPr>
                <w:lang w:val="en-AU"/>
              </w:rPr>
            </w:pPr>
            <w:r w:rsidRPr="008E3F1A">
              <w:rPr>
                <w:lang w:val="en-AU"/>
              </w:rPr>
              <w:t>Year 4</w:t>
            </w:r>
          </w:p>
        </w:tc>
        <w:tc>
          <w:tcPr>
            <w:tcW w:w="647" w:type="pct"/>
            <w:shd w:val="clear" w:color="auto" w:fill="auto"/>
            <w:vAlign w:val="center"/>
          </w:tcPr>
          <w:p w:rsidR="00385A9D" w:rsidRPr="008E3F1A" w:rsidRDefault="00385A9D" w:rsidP="00414957">
            <w:pPr>
              <w:pStyle w:val="In-tableHeading"/>
              <w:keepNext w:val="0"/>
              <w:widowControl w:val="0"/>
              <w:jc w:val="center"/>
              <w:rPr>
                <w:lang w:val="en-AU"/>
              </w:rPr>
            </w:pPr>
            <w:r w:rsidRPr="008E3F1A">
              <w:rPr>
                <w:lang w:val="en-AU"/>
              </w:rPr>
              <w:t>Year 5</w:t>
            </w:r>
          </w:p>
        </w:tc>
        <w:tc>
          <w:tcPr>
            <w:tcW w:w="649" w:type="pct"/>
          </w:tcPr>
          <w:p w:rsidR="00385A9D" w:rsidRPr="008E3F1A" w:rsidRDefault="00385A9D" w:rsidP="00414957">
            <w:pPr>
              <w:pStyle w:val="In-tableHeading"/>
              <w:keepNext w:val="0"/>
              <w:widowControl w:val="0"/>
              <w:jc w:val="center"/>
              <w:rPr>
                <w:lang w:val="en-AU"/>
              </w:rPr>
            </w:pPr>
            <w:r w:rsidRPr="008E3F1A">
              <w:rPr>
                <w:lang w:val="en-AU"/>
              </w:rPr>
              <w:t>Year 6</w:t>
            </w:r>
          </w:p>
        </w:tc>
      </w:tr>
      <w:tr w:rsidR="00385A9D" w:rsidRPr="008E3F1A" w:rsidTr="009C3A3A">
        <w:tc>
          <w:tcPr>
            <w:tcW w:w="5000" w:type="pct"/>
            <w:gridSpan w:val="7"/>
            <w:shd w:val="clear" w:color="auto" w:fill="auto"/>
            <w:vAlign w:val="center"/>
          </w:tcPr>
          <w:p w:rsidR="00385A9D" w:rsidRPr="008E3F1A" w:rsidRDefault="00385A9D" w:rsidP="00414957">
            <w:pPr>
              <w:pStyle w:val="In-tableHeading"/>
              <w:keepNext w:val="0"/>
              <w:widowControl w:val="0"/>
              <w:rPr>
                <w:bCs/>
                <w:color w:val="000000"/>
                <w:lang w:val="en-AU"/>
              </w:rPr>
            </w:pPr>
            <w:r w:rsidRPr="008E3F1A">
              <w:rPr>
                <w:bCs/>
                <w:color w:val="000000"/>
                <w:lang w:val="en-AU"/>
              </w:rPr>
              <w:t>Estimated extent of use</w:t>
            </w:r>
          </w:p>
        </w:tc>
      </w:tr>
      <w:tr w:rsidR="00CB3F78" w:rsidRPr="008E3F1A" w:rsidTr="0048765C">
        <w:tc>
          <w:tcPr>
            <w:tcW w:w="1116" w:type="pct"/>
            <w:shd w:val="clear" w:color="auto" w:fill="auto"/>
            <w:vAlign w:val="center"/>
          </w:tcPr>
          <w:p w:rsidR="00CB3F78" w:rsidRPr="008E3F1A" w:rsidRDefault="00CB3F78" w:rsidP="00414957">
            <w:pPr>
              <w:pStyle w:val="TableText0"/>
              <w:keepNext w:val="0"/>
              <w:widowControl w:val="0"/>
              <w:rPr>
                <w:rFonts w:ascii="Times" w:hAnsi="Times"/>
              </w:rPr>
            </w:pPr>
            <w:r w:rsidRPr="008E3F1A">
              <w:t>Number of patients treated</w:t>
            </w:r>
          </w:p>
        </w:tc>
        <w:tc>
          <w:tcPr>
            <w:tcW w:w="647" w:type="pct"/>
            <w:shd w:val="clear" w:color="auto" w:fill="auto"/>
            <w:vAlign w:val="center"/>
          </w:tcPr>
          <w:p w:rsidR="00CB3F78" w:rsidRPr="003F2520" w:rsidRDefault="003F2520" w:rsidP="00414957">
            <w:pPr>
              <w:pStyle w:val="TableText0"/>
              <w:keepNext w:val="0"/>
              <w:widowControl w:val="0"/>
              <w:jc w:val="center"/>
              <w:rPr>
                <w:color w:val="000000"/>
              </w:rPr>
            </w:pPr>
            <w:r>
              <w:rPr>
                <w:noProof/>
                <w:color w:val="000000"/>
                <w:szCs w:val="20"/>
                <w:highlight w:val="black"/>
              </w:rPr>
              <w:t>''''''</w:t>
            </w:r>
            <w:r w:rsidR="0058310F">
              <w:rPr>
                <w:vertAlign w:val="superscript"/>
              </w:rPr>
              <w:t>1</w:t>
            </w:r>
          </w:p>
        </w:tc>
        <w:tc>
          <w:tcPr>
            <w:tcW w:w="647" w:type="pct"/>
            <w:shd w:val="clear" w:color="auto" w:fill="auto"/>
            <w:vAlign w:val="center"/>
          </w:tcPr>
          <w:p w:rsidR="00CB3F78" w:rsidRPr="003F2520" w:rsidRDefault="003F2520" w:rsidP="00414957">
            <w:pPr>
              <w:pStyle w:val="TableText0"/>
              <w:keepNext w:val="0"/>
              <w:widowControl w:val="0"/>
              <w:jc w:val="center"/>
              <w:rPr>
                <w:color w:val="000000"/>
              </w:rPr>
            </w:pPr>
            <w:r>
              <w:rPr>
                <w:noProof/>
                <w:color w:val="000000"/>
                <w:szCs w:val="20"/>
                <w:highlight w:val="black"/>
              </w:rPr>
              <w:t>'''''</w:t>
            </w:r>
            <w:r w:rsidR="0058310F">
              <w:rPr>
                <w:vertAlign w:val="superscript"/>
              </w:rPr>
              <w:t>1</w:t>
            </w:r>
          </w:p>
        </w:tc>
        <w:tc>
          <w:tcPr>
            <w:tcW w:w="647" w:type="pct"/>
            <w:shd w:val="clear" w:color="auto" w:fill="auto"/>
            <w:vAlign w:val="center"/>
          </w:tcPr>
          <w:p w:rsidR="00CB3F78" w:rsidRPr="003F2520" w:rsidRDefault="003F2520" w:rsidP="00414957">
            <w:pPr>
              <w:pStyle w:val="TableText0"/>
              <w:keepNext w:val="0"/>
              <w:widowControl w:val="0"/>
              <w:jc w:val="center"/>
              <w:rPr>
                <w:color w:val="000000"/>
              </w:rPr>
            </w:pPr>
            <w:r>
              <w:rPr>
                <w:noProof/>
                <w:color w:val="000000"/>
                <w:szCs w:val="20"/>
                <w:highlight w:val="black"/>
              </w:rPr>
              <w:t>''''''</w:t>
            </w:r>
            <w:r w:rsidR="0058310F">
              <w:rPr>
                <w:vertAlign w:val="superscript"/>
              </w:rPr>
              <w:t>1</w:t>
            </w:r>
          </w:p>
        </w:tc>
        <w:tc>
          <w:tcPr>
            <w:tcW w:w="647" w:type="pct"/>
            <w:shd w:val="clear" w:color="auto" w:fill="auto"/>
            <w:vAlign w:val="center"/>
          </w:tcPr>
          <w:p w:rsidR="00CB3F78" w:rsidRPr="003F2520" w:rsidRDefault="003F2520" w:rsidP="00414957">
            <w:pPr>
              <w:pStyle w:val="TableText0"/>
              <w:keepNext w:val="0"/>
              <w:widowControl w:val="0"/>
              <w:jc w:val="center"/>
              <w:rPr>
                <w:color w:val="000000"/>
              </w:rPr>
            </w:pPr>
            <w:r>
              <w:rPr>
                <w:noProof/>
                <w:color w:val="000000"/>
                <w:szCs w:val="20"/>
                <w:highlight w:val="black"/>
              </w:rPr>
              <w:t>''''''</w:t>
            </w:r>
            <w:r w:rsidR="0058310F">
              <w:rPr>
                <w:vertAlign w:val="superscript"/>
              </w:rPr>
              <w:t>1</w:t>
            </w:r>
          </w:p>
        </w:tc>
        <w:tc>
          <w:tcPr>
            <w:tcW w:w="647" w:type="pct"/>
            <w:shd w:val="clear" w:color="auto" w:fill="auto"/>
            <w:vAlign w:val="center"/>
          </w:tcPr>
          <w:p w:rsidR="00CB3F78" w:rsidRPr="003F2520" w:rsidRDefault="003F2520" w:rsidP="00414957">
            <w:pPr>
              <w:pStyle w:val="TableText0"/>
              <w:keepNext w:val="0"/>
              <w:widowControl w:val="0"/>
              <w:jc w:val="center"/>
              <w:rPr>
                <w:color w:val="000000"/>
              </w:rPr>
            </w:pPr>
            <w:r>
              <w:rPr>
                <w:noProof/>
                <w:color w:val="000000"/>
                <w:szCs w:val="20"/>
                <w:highlight w:val="black"/>
              </w:rPr>
              <w:t>''''''</w:t>
            </w:r>
            <w:r w:rsidR="0058310F">
              <w:rPr>
                <w:vertAlign w:val="superscript"/>
              </w:rPr>
              <w:t>1</w:t>
            </w:r>
          </w:p>
        </w:tc>
        <w:tc>
          <w:tcPr>
            <w:tcW w:w="649" w:type="pct"/>
            <w:vAlign w:val="center"/>
          </w:tcPr>
          <w:p w:rsidR="00CB3F78" w:rsidRPr="003F2520" w:rsidRDefault="003F2520" w:rsidP="00414957">
            <w:pPr>
              <w:pStyle w:val="TableText0"/>
              <w:keepNext w:val="0"/>
              <w:widowControl w:val="0"/>
              <w:jc w:val="center"/>
              <w:rPr>
                <w:color w:val="000000"/>
              </w:rPr>
            </w:pPr>
            <w:r>
              <w:rPr>
                <w:noProof/>
                <w:color w:val="000000"/>
                <w:szCs w:val="20"/>
                <w:highlight w:val="black"/>
              </w:rPr>
              <w:t>''''''</w:t>
            </w:r>
            <w:r w:rsidR="0058310F">
              <w:rPr>
                <w:vertAlign w:val="superscript"/>
              </w:rPr>
              <w:t>1</w:t>
            </w:r>
          </w:p>
        </w:tc>
      </w:tr>
      <w:tr w:rsidR="009B40EA" w:rsidRPr="008E3F1A" w:rsidTr="0048765C">
        <w:tc>
          <w:tcPr>
            <w:tcW w:w="1116" w:type="pct"/>
            <w:shd w:val="clear" w:color="auto" w:fill="auto"/>
            <w:vAlign w:val="center"/>
          </w:tcPr>
          <w:p w:rsidR="009B40EA" w:rsidRPr="008E3F1A" w:rsidRDefault="00753366" w:rsidP="00753366">
            <w:pPr>
              <w:pStyle w:val="TableText0"/>
              <w:keepNext w:val="0"/>
              <w:widowControl w:val="0"/>
              <w:jc w:val="right"/>
            </w:pPr>
            <w:r w:rsidRPr="008E3F1A">
              <w:t>sALCL patients</w:t>
            </w:r>
            <w:r w:rsidR="0031554D" w:rsidRPr="008E3F1A">
              <w:t xml:space="preserve"> (70% of total)</w:t>
            </w:r>
            <w:r w:rsidRPr="008E3F1A">
              <w:t xml:space="preserve"> </w:t>
            </w:r>
          </w:p>
        </w:tc>
        <w:tc>
          <w:tcPr>
            <w:tcW w:w="647" w:type="pct"/>
            <w:shd w:val="clear" w:color="auto" w:fill="auto"/>
            <w:vAlign w:val="center"/>
          </w:tcPr>
          <w:p w:rsidR="009B40EA" w:rsidRPr="003F2520" w:rsidRDefault="003F2520" w:rsidP="00414957">
            <w:pPr>
              <w:pStyle w:val="TableText0"/>
              <w:keepNext w:val="0"/>
              <w:widowControl w:val="0"/>
              <w:jc w:val="center"/>
              <w:rPr>
                <w:color w:val="000000" w:themeColor="text1"/>
                <w:szCs w:val="20"/>
              </w:rPr>
            </w:pPr>
            <w:r>
              <w:rPr>
                <w:noProof/>
                <w:color w:val="000000"/>
                <w:szCs w:val="20"/>
                <w:highlight w:val="black"/>
              </w:rPr>
              <w:t>'''''</w:t>
            </w:r>
            <w:r w:rsidR="0058310F">
              <w:rPr>
                <w:vertAlign w:val="superscript"/>
              </w:rPr>
              <w:t>1</w:t>
            </w:r>
          </w:p>
        </w:tc>
        <w:tc>
          <w:tcPr>
            <w:tcW w:w="647" w:type="pct"/>
            <w:shd w:val="clear" w:color="auto" w:fill="auto"/>
            <w:vAlign w:val="center"/>
          </w:tcPr>
          <w:p w:rsidR="009B40EA" w:rsidRPr="003F2520" w:rsidRDefault="003F2520" w:rsidP="00414957">
            <w:pPr>
              <w:pStyle w:val="TableText0"/>
              <w:keepNext w:val="0"/>
              <w:widowControl w:val="0"/>
              <w:jc w:val="center"/>
              <w:rPr>
                <w:color w:val="000000" w:themeColor="text1"/>
                <w:szCs w:val="20"/>
              </w:rPr>
            </w:pPr>
            <w:r>
              <w:rPr>
                <w:noProof/>
                <w:color w:val="000000"/>
                <w:szCs w:val="20"/>
                <w:highlight w:val="black"/>
              </w:rPr>
              <w:t>''''''</w:t>
            </w:r>
            <w:r w:rsidR="0058310F">
              <w:rPr>
                <w:vertAlign w:val="superscript"/>
              </w:rPr>
              <w:t>1</w:t>
            </w:r>
          </w:p>
        </w:tc>
        <w:tc>
          <w:tcPr>
            <w:tcW w:w="647" w:type="pct"/>
            <w:shd w:val="clear" w:color="auto" w:fill="auto"/>
            <w:vAlign w:val="center"/>
          </w:tcPr>
          <w:p w:rsidR="009B40EA" w:rsidRPr="003F2520" w:rsidRDefault="003F2520" w:rsidP="00414957">
            <w:pPr>
              <w:pStyle w:val="TableText0"/>
              <w:keepNext w:val="0"/>
              <w:widowControl w:val="0"/>
              <w:jc w:val="center"/>
              <w:rPr>
                <w:color w:val="000000" w:themeColor="text1"/>
                <w:szCs w:val="20"/>
              </w:rPr>
            </w:pPr>
            <w:r>
              <w:rPr>
                <w:noProof/>
                <w:color w:val="000000"/>
                <w:szCs w:val="20"/>
                <w:highlight w:val="black"/>
              </w:rPr>
              <w:t>''''''</w:t>
            </w:r>
            <w:r w:rsidR="0058310F">
              <w:rPr>
                <w:vertAlign w:val="superscript"/>
              </w:rPr>
              <w:t>1</w:t>
            </w:r>
          </w:p>
        </w:tc>
        <w:tc>
          <w:tcPr>
            <w:tcW w:w="647" w:type="pct"/>
            <w:shd w:val="clear" w:color="auto" w:fill="auto"/>
            <w:vAlign w:val="center"/>
          </w:tcPr>
          <w:p w:rsidR="009B40EA" w:rsidRPr="003F2520" w:rsidRDefault="003F2520" w:rsidP="00414957">
            <w:pPr>
              <w:pStyle w:val="TableText0"/>
              <w:keepNext w:val="0"/>
              <w:widowControl w:val="0"/>
              <w:jc w:val="center"/>
              <w:rPr>
                <w:color w:val="000000" w:themeColor="text1"/>
                <w:szCs w:val="20"/>
              </w:rPr>
            </w:pPr>
            <w:r>
              <w:rPr>
                <w:noProof/>
                <w:color w:val="000000"/>
                <w:szCs w:val="20"/>
                <w:highlight w:val="black"/>
              </w:rPr>
              <w:t>''''''</w:t>
            </w:r>
            <w:r w:rsidR="0058310F">
              <w:rPr>
                <w:vertAlign w:val="superscript"/>
              </w:rPr>
              <w:t>1</w:t>
            </w:r>
          </w:p>
        </w:tc>
        <w:tc>
          <w:tcPr>
            <w:tcW w:w="647" w:type="pct"/>
            <w:shd w:val="clear" w:color="auto" w:fill="auto"/>
            <w:vAlign w:val="center"/>
          </w:tcPr>
          <w:p w:rsidR="009B40EA" w:rsidRPr="003F2520" w:rsidRDefault="003F2520" w:rsidP="00414957">
            <w:pPr>
              <w:pStyle w:val="TableText0"/>
              <w:keepNext w:val="0"/>
              <w:widowControl w:val="0"/>
              <w:jc w:val="center"/>
              <w:rPr>
                <w:color w:val="000000" w:themeColor="text1"/>
                <w:szCs w:val="20"/>
              </w:rPr>
            </w:pPr>
            <w:r>
              <w:rPr>
                <w:noProof/>
                <w:color w:val="000000"/>
                <w:szCs w:val="20"/>
                <w:highlight w:val="black"/>
              </w:rPr>
              <w:t>''''''</w:t>
            </w:r>
            <w:r w:rsidR="0058310F">
              <w:rPr>
                <w:vertAlign w:val="superscript"/>
              </w:rPr>
              <w:t>1</w:t>
            </w:r>
          </w:p>
        </w:tc>
        <w:tc>
          <w:tcPr>
            <w:tcW w:w="649" w:type="pct"/>
            <w:vAlign w:val="center"/>
          </w:tcPr>
          <w:p w:rsidR="009B40EA" w:rsidRPr="003F2520" w:rsidRDefault="003F2520" w:rsidP="00414957">
            <w:pPr>
              <w:pStyle w:val="TableText0"/>
              <w:keepNext w:val="0"/>
              <w:widowControl w:val="0"/>
              <w:jc w:val="center"/>
              <w:rPr>
                <w:color w:val="000000" w:themeColor="text1"/>
                <w:szCs w:val="20"/>
              </w:rPr>
            </w:pPr>
            <w:r>
              <w:rPr>
                <w:noProof/>
                <w:color w:val="000000"/>
                <w:szCs w:val="20"/>
                <w:highlight w:val="black"/>
              </w:rPr>
              <w:t>''''''</w:t>
            </w:r>
            <w:r w:rsidR="0058310F">
              <w:rPr>
                <w:vertAlign w:val="superscript"/>
              </w:rPr>
              <w:t>1</w:t>
            </w:r>
          </w:p>
        </w:tc>
      </w:tr>
      <w:tr w:rsidR="007A0320" w:rsidRPr="008E3F1A" w:rsidTr="0048765C">
        <w:tc>
          <w:tcPr>
            <w:tcW w:w="1116" w:type="pct"/>
            <w:shd w:val="clear" w:color="auto" w:fill="auto"/>
            <w:vAlign w:val="center"/>
          </w:tcPr>
          <w:p w:rsidR="007A0320" w:rsidRPr="008E3F1A" w:rsidRDefault="007A0320" w:rsidP="0058310F">
            <w:pPr>
              <w:pStyle w:val="TableText0"/>
              <w:keepNext w:val="0"/>
              <w:widowControl w:val="0"/>
              <w:rPr>
                <w:rFonts w:ascii="Times" w:hAnsi="Times"/>
              </w:rPr>
            </w:pPr>
            <w:r w:rsidRPr="008E3F1A">
              <w:t>Number of scripts dispensed</w:t>
            </w:r>
            <w:r w:rsidRPr="008E3F1A">
              <w:rPr>
                <w:vertAlign w:val="superscript"/>
              </w:rPr>
              <w:t>a</w:t>
            </w:r>
          </w:p>
        </w:tc>
        <w:tc>
          <w:tcPr>
            <w:tcW w:w="647" w:type="pct"/>
            <w:shd w:val="clear" w:color="auto" w:fill="auto"/>
          </w:tcPr>
          <w:p w:rsidR="007A0320" w:rsidRPr="003F2520" w:rsidRDefault="003F2520" w:rsidP="00414957">
            <w:pPr>
              <w:pStyle w:val="TableText0"/>
              <w:keepNext w:val="0"/>
              <w:widowControl w:val="0"/>
              <w:jc w:val="center"/>
              <w:rPr>
                <w:color w:val="000000"/>
              </w:rPr>
            </w:pPr>
            <w:r>
              <w:rPr>
                <w:noProof/>
                <w:color w:val="000000"/>
                <w:szCs w:val="20"/>
                <w:highlight w:val="black"/>
              </w:rPr>
              <w:t xml:space="preserve">'''''''''' </w:t>
            </w:r>
            <w:r w:rsidR="0058310F">
              <w:rPr>
                <w:vertAlign w:val="superscript"/>
              </w:rPr>
              <w:t>1</w:t>
            </w:r>
          </w:p>
        </w:tc>
        <w:tc>
          <w:tcPr>
            <w:tcW w:w="647" w:type="pct"/>
            <w:shd w:val="clear" w:color="auto" w:fill="auto"/>
          </w:tcPr>
          <w:p w:rsidR="007A0320" w:rsidRPr="003F2520" w:rsidRDefault="003F2520" w:rsidP="00414957">
            <w:pPr>
              <w:pStyle w:val="TableText0"/>
              <w:keepNext w:val="0"/>
              <w:widowControl w:val="0"/>
              <w:jc w:val="center"/>
              <w:rPr>
                <w:color w:val="000000"/>
              </w:rPr>
            </w:pPr>
            <w:r>
              <w:rPr>
                <w:noProof/>
                <w:color w:val="000000"/>
                <w:szCs w:val="20"/>
                <w:highlight w:val="black"/>
              </w:rPr>
              <w:t xml:space="preserve">'''''''''' </w:t>
            </w:r>
            <w:r w:rsidR="0058310F">
              <w:rPr>
                <w:vertAlign w:val="superscript"/>
              </w:rPr>
              <w:t>1</w:t>
            </w:r>
          </w:p>
        </w:tc>
        <w:tc>
          <w:tcPr>
            <w:tcW w:w="647" w:type="pct"/>
            <w:shd w:val="clear" w:color="auto" w:fill="auto"/>
          </w:tcPr>
          <w:p w:rsidR="007A0320" w:rsidRPr="003F2520" w:rsidRDefault="003F2520" w:rsidP="00414957">
            <w:pPr>
              <w:pStyle w:val="TableText0"/>
              <w:keepNext w:val="0"/>
              <w:widowControl w:val="0"/>
              <w:jc w:val="center"/>
              <w:rPr>
                <w:color w:val="000000"/>
              </w:rPr>
            </w:pPr>
            <w:r>
              <w:rPr>
                <w:noProof/>
                <w:color w:val="000000"/>
                <w:szCs w:val="20"/>
                <w:highlight w:val="black"/>
              </w:rPr>
              <w:t xml:space="preserve">'''''''' </w:t>
            </w:r>
            <w:r w:rsidR="0058310F">
              <w:rPr>
                <w:vertAlign w:val="superscript"/>
              </w:rPr>
              <w:t>1</w:t>
            </w:r>
          </w:p>
        </w:tc>
        <w:tc>
          <w:tcPr>
            <w:tcW w:w="647" w:type="pct"/>
            <w:shd w:val="clear" w:color="auto" w:fill="auto"/>
          </w:tcPr>
          <w:p w:rsidR="007A0320" w:rsidRPr="003F2520" w:rsidRDefault="003F2520" w:rsidP="00414957">
            <w:pPr>
              <w:pStyle w:val="TableText0"/>
              <w:keepNext w:val="0"/>
              <w:widowControl w:val="0"/>
              <w:jc w:val="center"/>
              <w:rPr>
                <w:color w:val="000000"/>
              </w:rPr>
            </w:pPr>
            <w:r>
              <w:rPr>
                <w:noProof/>
                <w:color w:val="000000"/>
                <w:szCs w:val="20"/>
                <w:highlight w:val="black"/>
              </w:rPr>
              <w:t xml:space="preserve">'''''''''' </w:t>
            </w:r>
            <w:r w:rsidR="0058310F">
              <w:rPr>
                <w:vertAlign w:val="superscript"/>
              </w:rPr>
              <w:t>1</w:t>
            </w:r>
          </w:p>
        </w:tc>
        <w:tc>
          <w:tcPr>
            <w:tcW w:w="647" w:type="pct"/>
            <w:shd w:val="clear" w:color="auto" w:fill="auto"/>
          </w:tcPr>
          <w:p w:rsidR="007A0320" w:rsidRPr="003F2520" w:rsidRDefault="003F2520" w:rsidP="00414957">
            <w:pPr>
              <w:pStyle w:val="TableText0"/>
              <w:keepNext w:val="0"/>
              <w:widowControl w:val="0"/>
              <w:jc w:val="center"/>
              <w:rPr>
                <w:color w:val="000000"/>
              </w:rPr>
            </w:pPr>
            <w:r>
              <w:rPr>
                <w:noProof/>
                <w:color w:val="000000"/>
                <w:szCs w:val="20"/>
                <w:highlight w:val="black"/>
              </w:rPr>
              <w:t xml:space="preserve">'''''''''' </w:t>
            </w:r>
            <w:r w:rsidR="0058310F">
              <w:rPr>
                <w:vertAlign w:val="superscript"/>
              </w:rPr>
              <w:t>1</w:t>
            </w:r>
          </w:p>
        </w:tc>
        <w:tc>
          <w:tcPr>
            <w:tcW w:w="649" w:type="pct"/>
          </w:tcPr>
          <w:p w:rsidR="007A0320" w:rsidRPr="003F2520" w:rsidRDefault="003F2520" w:rsidP="00414957">
            <w:pPr>
              <w:pStyle w:val="TableText0"/>
              <w:keepNext w:val="0"/>
              <w:widowControl w:val="0"/>
              <w:jc w:val="center"/>
              <w:rPr>
                <w:color w:val="000000"/>
              </w:rPr>
            </w:pPr>
            <w:r>
              <w:rPr>
                <w:noProof/>
                <w:color w:val="000000"/>
                <w:szCs w:val="20"/>
                <w:highlight w:val="black"/>
              </w:rPr>
              <w:t xml:space="preserve">'''''''''' </w:t>
            </w:r>
            <w:r w:rsidR="0058310F">
              <w:rPr>
                <w:vertAlign w:val="superscript"/>
              </w:rPr>
              <w:t>1</w:t>
            </w:r>
          </w:p>
        </w:tc>
      </w:tr>
      <w:tr w:rsidR="00385A9D" w:rsidRPr="008E3F1A" w:rsidTr="009C3A3A">
        <w:tc>
          <w:tcPr>
            <w:tcW w:w="5000" w:type="pct"/>
            <w:gridSpan w:val="7"/>
            <w:shd w:val="clear" w:color="auto" w:fill="auto"/>
            <w:vAlign w:val="center"/>
          </w:tcPr>
          <w:p w:rsidR="00385A9D" w:rsidRPr="008E3F1A" w:rsidRDefault="00385A9D" w:rsidP="00414957">
            <w:pPr>
              <w:pStyle w:val="In-tableHeading"/>
              <w:keepNext w:val="0"/>
              <w:widowControl w:val="0"/>
              <w:rPr>
                <w:lang w:val="en-AU"/>
              </w:rPr>
            </w:pPr>
            <w:r w:rsidRPr="008E3F1A">
              <w:rPr>
                <w:lang w:val="en-AU"/>
              </w:rPr>
              <w:t xml:space="preserve">Estimated financial implications of </w:t>
            </w:r>
            <w:r w:rsidR="00145619" w:rsidRPr="008E3F1A">
              <w:rPr>
                <w:lang w:val="en-AU"/>
              </w:rPr>
              <w:t>BV+CHP</w:t>
            </w:r>
          </w:p>
        </w:tc>
      </w:tr>
      <w:tr w:rsidR="0048765C" w:rsidRPr="008E3F1A" w:rsidTr="0048765C">
        <w:tc>
          <w:tcPr>
            <w:tcW w:w="1116" w:type="pct"/>
            <w:shd w:val="clear" w:color="auto" w:fill="auto"/>
            <w:vAlign w:val="center"/>
          </w:tcPr>
          <w:p w:rsidR="0048765C" w:rsidRPr="008E3F1A" w:rsidRDefault="0048765C" w:rsidP="00414957">
            <w:pPr>
              <w:pStyle w:val="TableText0"/>
              <w:keepNext w:val="0"/>
              <w:widowControl w:val="0"/>
              <w:rPr>
                <w:sz w:val="19"/>
                <w:szCs w:val="19"/>
              </w:rPr>
            </w:pPr>
            <w:r w:rsidRPr="008E3F1A">
              <w:rPr>
                <w:sz w:val="19"/>
                <w:szCs w:val="19"/>
              </w:rPr>
              <w:t>Cost to PBS less copayments</w:t>
            </w:r>
          </w:p>
        </w:tc>
        <w:tc>
          <w:tcPr>
            <w:tcW w:w="647" w:type="pct"/>
            <w:shd w:val="clear" w:color="auto" w:fill="auto"/>
          </w:tcPr>
          <w:p w:rsidR="0048765C" w:rsidRPr="003F2520" w:rsidRDefault="0048765C" w:rsidP="00414957">
            <w:pPr>
              <w:pStyle w:val="TableText0"/>
              <w:keepNext w:val="0"/>
              <w:widowControl w:val="0"/>
              <w:jc w:val="center"/>
              <w:rPr>
                <w:bCs w:val="0"/>
              </w:rPr>
            </w:pPr>
            <w:r w:rsidRPr="0058310F">
              <w:rPr>
                <w:bCs w:val="0"/>
                <w:szCs w:val="20"/>
              </w:rPr>
              <w:t>$</w:t>
            </w:r>
            <w:r w:rsidR="003F2520">
              <w:rPr>
                <w:bCs w:val="0"/>
                <w:noProof/>
                <w:color w:val="000000"/>
                <w:szCs w:val="20"/>
                <w:highlight w:val="black"/>
              </w:rPr>
              <w:t>''''''''''''''''''''''''''</w:t>
            </w:r>
            <w:r w:rsidR="0058310F">
              <w:rPr>
                <w:vertAlign w:val="superscript"/>
              </w:rPr>
              <w:t>2</w:t>
            </w:r>
          </w:p>
        </w:tc>
        <w:tc>
          <w:tcPr>
            <w:tcW w:w="647" w:type="pct"/>
            <w:shd w:val="clear" w:color="auto" w:fill="auto"/>
          </w:tcPr>
          <w:p w:rsidR="0048765C" w:rsidRPr="003F2520" w:rsidRDefault="0048765C" w:rsidP="00414957">
            <w:pPr>
              <w:pStyle w:val="TableText0"/>
              <w:keepNext w:val="0"/>
              <w:widowControl w:val="0"/>
              <w:jc w:val="center"/>
              <w:rPr>
                <w:bCs w:val="0"/>
              </w:rPr>
            </w:pPr>
            <w:r w:rsidRPr="0058310F">
              <w:rPr>
                <w:bCs w:val="0"/>
                <w:szCs w:val="20"/>
              </w:rPr>
              <w:t>$</w:t>
            </w:r>
            <w:r w:rsidR="003F2520">
              <w:rPr>
                <w:bCs w:val="0"/>
                <w:noProof/>
                <w:color w:val="000000"/>
                <w:szCs w:val="20"/>
                <w:highlight w:val="black"/>
              </w:rPr>
              <w:t>'''''''''''''''''''''''''</w:t>
            </w:r>
            <w:r w:rsidR="0058310F">
              <w:rPr>
                <w:vertAlign w:val="superscript"/>
              </w:rPr>
              <w:t>2</w:t>
            </w:r>
          </w:p>
        </w:tc>
        <w:tc>
          <w:tcPr>
            <w:tcW w:w="647" w:type="pct"/>
            <w:shd w:val="clear" w:color="auto" w:fill="auto"/>
          </w:tcPr>
          <w:p w:rsidR="0048765C" w:rsidRPr="003F2520" w:rsidRDefault="0048765C" w:rsidP="00414957">
            <w:pPr>
              <w:pStyle w:val="TableText0"/>
              <w:keepNext w:val="0"/>
              <w:widowControl w:val="0"/>
              <w:jc w:val="center"/>
              <w:rPr>
                <w:bCs w:val="0"/>
              </w:rPr>
            </w:pPr>
            <w:r w:rsidRPr="0058310F">
              <w:rPr>
                <w:bCs w:val="0"/>
                <w:szCs w:val="20"/>
              </w:rPr>
              <w:t>$</w:t>
            </w:r>
            <w:r w:rsidR="003F2520">
              <w:rPr>
                <w:bCs w:val="0"/>
                <w:noProof/>
                <w:color w:val="000000"/>
                <w:szCs w:val="20"/>
                <w:highlight w:val="black"/>
              </w:rPr>
              <w:t>''''''''''''''''''''''''''</w:t>
            </w:r>
            <w:r w:rsidR="0058310F">
              <w:rPr>
                <w:vertAlign w:val="superscript"/>
              </w:rPr>
              <w:t>2</w:t>
            </w:r>
          </w:p>
        </w:tc>
        <w:tc>
          <w:tcPr>
            <w:tcW w:w="647" w:type="pct"/>
            <w:shd w:val="clear" w:color="auto" w:fill="auto"/>
          </w:tcPr>
          <w:p w:rsidR="0048765C" w:rsidRPr="003F2520" w:rsidRDefault="0048765C" w:rsidP="00414957">
            <w:pPr>
              <w:pStyle w:val="TableText0"/>
              <w:keepNext w:val="0"/>
              <w:widowControl w:val="0"/>
              <w:jc w:val="center"/>
              <w:rPr>
                <w:bCs w:val="0"/>
              </w:rPr>
            </w:pPr>
            <w:r w:rsidRPr="0058310F">
              <w:rPr>
                <w:bCs w:val="0"/>
                <w:szCs w:val="20"/>
              </w:rPr>
              <w:t>$</w:t>
            </w:r>
            <w:r w:rsidR="003F2520">
              <w:rPr>
                <w:bCs w:val="0"/>
                <w:noProof/>
                <w:color w:val="000000"/>
                <w:szCs w:val="20"/>
                <w:highlight w:val="black"/>
              </w:rPr>
              <w:t>'''''''''''''''''''''</w:t>
            </w:r>
            <w:r w:rsidR="0058310F">
              <w:rPr>
                <w:vertAlign w:val="superscript"/>
              </w:rPr>
              <w:t>2</w:t>
            </w:r>
          </w:p>
        </w:tc>
        <w:tc>
          <w:tcPr>
            <w:tcW w:w="647" w:type="pct"/>
            <w:shd w:val="clear" w:color="auto" w:fill="auto"/>
          </w:tcPr>
          <w:p w:rsidR="0048765C" w:rsidRPr="003F2520" w:rsidRDefault="0048765C" w:rsidP="00414957">
            <w:pPr>
              <w:pStyle w:val="TableText0"/>
              <w:keepNext w:val="0"/>
              <w:widowControl w:val="0"/>
              <w:jc w:val="center"/>
              <w:rPr>
                <w:bCs w:val="0"/>
              </w:rPr>
            </w:pPr>
            <w:r w:rsidRPr="0058310F">
              <w:rPr>
                <w:bCs w:val="0"/>
                <w:szCs w:val="20"/>
              </w:rPr>
              <w:t>$</w:t>
            </w:r>
            <w:r w:rsidR="003F2520">
              <w:rPr>
                <w:bCs w:val="0"/>
                <w:noProof/>
                <w:color w:val="000000"/>
                <w:szCs w:val="20"/>
                <w:highlight w:val="black"/>
              </w:rPr>
              <w:t>'''''''''''''''''''''''</w:t>
            </w:r>
            <w:r w:rsidR="0058310F">
              <w:rPr>
                <w:vertAlign w:val="superscript"/>
              </w:rPr>
              <w:t>2</w:t>
            </w:r>
          </w:p>
        </w:tc>
        <w:tc>
          <w:tcPr>
            <w:tcW w:w="649" w:type="pct"/>
            <w:shd w:val="clear" w:color="auto" w:fill="auto"/>
          </w:tcPr>
          <w:p w:rsidR="0048765C" w:rsidRPr="003F2520" w:rsidRDefault="0048765C" w:rsidP="00414957">
            <w:pPr>
              <w:pStyle w:val="TableText0"/>
              <w:keepNext w:val="0"/>
              <w:widowControl w:val="0"/>
              <w:jc w:val="center"/>
              <w:rPr>
                <w:bCs w:val="0"/>
              </w:rPr>
            </w:pPr>
            <w:r w:rsidRPr="0058310F">
              <w:rPr>
                <w:bCs w:val="0"/>
                <w:szCs w:val="20"/>
              </w:rPr>
              <w:t>$</w:t>
            </w:r>
            <w:r w:rsidR="003F2520">
              <w:rPr>
                <w:bCs w:val="0"/>
                <w:noProof/>
                <w:color w:val="000000"/>
                <w:szCs w:val="20"/>
                <w:highlight w:val="black"/>
              </w:rPr>
              <w:t>'''''''''''''''''''''''</w:t>
            </w:r>
            <w:r w:rsidR="0058310F">
              <w:rPr>
                <w:vertAlign w:val="superscript"/>
              </w:rPr>
              <w:t>2</w:t>
            </w:r>
          </w:p>
        </w:tc>
      </w:tr>
      <w:tr w:rsidR="00385A9D" w:rsidRPr="008E3F1A" w:rsidTr="009C3A3A">
        <w:tc>
          <w:tcPr>
            <w:tcW w:w="5000" w:type="pct"/>
            <w:gridSpan w:val="7"/>
            <w:shd w:val="clear" w:color="auto" w:fill="auto"/>
            <w:vAlign w:val="center"/>
          </w:tcPr>
          <w:p w:rsidR="00385A9D" w:rsidRPr="008E3F1A" w:rsidRDefault="00385A9D" w:rsidP="00414957">
            <w:pPr>
              <w:pStyle w:val="TableText0"/>
              <w:keepNext w:val="0"/>
              <w:widowControl w:val="0"/>
            </w:pPr>
            <w:r w:rsidRPr="008E3F1A">
              <w:t>Estimated financial implications</w:t>
            </w:r>
            <w:r w:rsidR="00A81595" w:rsidRPr="008E3F1A">
              <w:t xml:space="preserve"> for PBS</w:t>
            </w:r>
            <w:r w:rsidRPr="008E3F1A">
              <w:t xml:space="preserve"> for </w:t>
            </w:r>
            <w:r w:rsidR="00143E31" w:rsidRPr="008E3F1A">
              <w:t>BV used in sALCL</w:t>
            </w:r>
            <w:r w:rsidR="00142F5A" w:rsidRPr="008E3F1A">
              <w:t xml:space="preserve"> </w:t>
            </w:r>
            <w:r w:rsidR="00143E31" w:rsidRPr="008E3F1A">
              <w:t>and displaced vincristine (from CHOP)</w:t>
            </w:r>
          </w:p>
        </w:tc>
      </w:tr>
      <w:tr w:rsidR="00D27AC7" w:rsidRPr="008E3F1A" w:rsidTr="00A50809">
        <w:tc>
          <w:tcPr>
            <w:tcW w:w="1116" w:type="pct"/>
            <w:shd w:val="clear" w:color="auto" w:fill="auto"/>
            <w:vAlign w:val="center"/>
          </w:tcPr>
          <w:p w:rsidR="00D27AC7" w:rsidRPr="008E3F1A" w:rsidRDefault="00D27AC7" w:rsidP="00414957">
            <w:pPr>
              <w:pStyle w:val="TableText0"/>
              <w:keepNext w:val="0"/>
              <w:widowControl w:val="0"/>
              <w:rPr>
                <w:sz w:val="19"/>
                <w:szCs w:val="19"/>
              </w:rPr>
            </w:pPr>
            <w:r w:rsidRPr="008E3F1A">
              <w:rPr>
                <w:sz w:val="19"/>
                <w:szCs w:val="19"/>
              </w:rPr>
              <w:t xml:space="preserve">BV monotherapy </w:t>
            </w:r>
          </w:p>
        </w:tc>
        <w:tc>
          <w:tcPr>
            <w:tcW w:w="647" w:type="pct"/>
            <w:shd w:val="clear" w:color="auto" w:fill="auto"/>
            <w:vAlign w:val="center"/>
          </w:tcPr>
          <w:p w:rsidR="00D27AC7" w:rsidRPr="003F2520" w:rsidRDefault="00D27AC7" w:rsidP="00414957">
            <w:pPr>
              <w:pStyle w:val="TableText0"/>
              <w:keepNext w:val="0"/>
              <w:widowControl w:val="0"/>
              <w:jc w:val="center"/>
            </w:pPr>
            <w:r w:rsidRPr="0058310F">
              <w:rPr>
                <w:bCs w:val="0"/>
                <w:szCs w:val="20"/>
              </w:rPr>
              <w:t>$</w:t>
            </w:r>
            <w:r w:rsidR="003F2520">
              <w:rPr>
                <w:noProof/>
                <w:color w:val="000000"/>
                <w:szCs w:val="20"/>
                <w:highlight w:val="black"/>
              </w:rPr>
              <w:t>''''''''''''''''''''''</w:t>
            </w:r>
            <w:r w:rsidR="0058310F">
              <w:rPr>
                <w:vertAlign w:val="superscript"/>
              </w:rPr>
              <w:t>2</w:t>
            </w:r>
          </w:p>
        </w:tc>
        <w:tc>
          <w:tcPr>
            <w:tcW w:w="647" w:type="pct"/>
            <w:shd w:val="clear" w:color="auto" w:fill="auto"/>
            <w:vAlign w:val="center"/>
          </w:tcPr>
          <w:p w:rsidR="00D27AC7" w:rsidRPr="003F2520" w:rsidRDefault="00D27AC7" w:rsidP="00414957">
            <w:pPr>
              <w:pStyle w:val="TableText0"/>
              <w:keepNext w:val="0"/>
              <w:widowControl w:val="0"/>
              <w:jc w:val="center"/>
            </w:pPr>
            <w:r w:rsidRPr="0058310F">
              <w:rPr>
                <w:bCs w:val="0"/>
                <w:szCs w:val="20"/>
              </w:rPr>
              <w:t>$</w:t>
            </w:r>
            <w:r w:rsidR="003F2520">
              <w:rPr>
                <w:noProof/>
                <w:color w:val="000000"/>
                <w:szCs w:val="20"/>
                <w:highlight w:val="black"/>
              </w:rPr>
              <w:t>'''''''''''''''''''''''</w:t>
            </w:r>
            <w:r w:rsidR="0058310F">
              <w:rPr>
                <w:vertAlign w:val="superscript"/>
              </w:rPr>
              <w:t>2</w:t>
            </w:r>
          </w:p>
        </w:tc>
        <w:tc>
          <w:tcPr>
            <w:tcW w:w="647" w:type="pct"/>
            <w:shd w:val="clear" w:color="auto" w:fill="auto"/>
            <w:vAlign w:val="center"/>
          </w:tcPr>
          <w:p w:rsidR="00D27AC7" w:rsidRPr="003F2520" w:rsidRDefault="00D27AC7" w:rsidP="00414957">
            <w:pPr>
              <w:pStyle w:val="TableText0"/>
              <w:keepNext w:val="0"/>
              <w:widowControl w:val="0"/>
              <w:jc w:val="center"/>
            </w:pPr>
            <w:r w:rsidRPr="0058310F">
              <w:rPr>
                <w:bCs w:val="0"/>
                <w:szCs w:val="20"/>
              </w:rPr>
              <w:t>$</w:t>
            </w:r>
            <w:r w:rsidR="003F2520">
              <w:rPr>
                <w:noProof/>
                <w:color w:val="000000"/>
                <w:szCs w:val="20"/>
                <w:highlight w:val="black"/>
              </w:rPr>
              <w:t>''''''''''''''''''''''</w:t>
            </w:r>
            <w:r w:rsidR="0058310F">
              <w:rPr>
                <w:vertAlign w:val="superscript"/>
              </w:rPr>
              <w:t>2</w:t>
            </w:r>
          </w:p>
        </w:tc>
        <w:tc>
          <w:tcPr>
            <w:tcW w:w="647" w:type="pct"/>
            <w:shd w:val="clear" w:color="auto" w:fill="auto"/>
            <w:vAlign w:val="center"/>
          </w:tcPr>
          <w:p w:rsidR="00D27AC7" w:rsidRPr="003F2520" w:rsidRDefault="00D27AC7" w:rsidP="00414957">
            <w:pPr>
              <w:pStyle w:val="TableText0"/>
              <w:keepNext w:val="0"/>
              <w:widowControl w:val="0"/>
              <w:jc w:val="center"/>
            </w:pPr>
            <w:r w:rsidRPr="0058310F">
              <w:rPr>
                <w:bCs w:val="0"/>
                <w:szCs w:val="20"/>
              </w:rPr>
              <w:t>$</w:t>
            </w:r>
            <w:r w:rsidR="003F2520">
              <w:rPr>
                <w:noProof/>
                <w:color w:val="000000"/>
                <w:szCs w:val="20"/>
                <w:highlight w:val="black"/>
              </w:rPr>
              <w:t>''''''''''''''''''''''''</w:t>
            </w:r>
            <w:r w:rsidR="0058310F">
              <w:rPr>
                <w:vertAlign w:val="superscript"/>
              </w:rPr>
              <w:t>2</w:t>
            </w:r>
          </w:p>
        </w:tc>
        <w:tc>
          <w:tcPr>
            <w:tcW w:w="647" w:type="pct"/>
            <w:shd w:val="clear" w:color="auto" w:fill="auto"/>
            <w:vAlign w:val="center"/>
          </w:tcPr>
          <w:p w:rsidR="00D27AC7" w:rsidRPr="003F2520" w:rsidRDefault="00D27AC7" w:rsidP="00414957">
            <w:pPr>
              <w:pStyle w:val="TableText0"/>
              <w:keepNext w:val="0"/>
              <w:widowControl w:val="0"/>
              <w:jc w:val="center"/>
            </w:pPr>
            <w:r w:rsidRPr="0058310F">
              <w:rPr>
                <w:bCs w:val="0"/>
                <w:szCs w:val="20"/>
              </w:rPr>
              <w:t>$</w:t>
            </w:r>
            <w:r w:rsidR="003F2520">
              <w:rPr>
                <w:noProof/>
                <w:color w:val="000000"/>
                <w:szCs w:val="20"/>
                <w:highlight w:val="black"/>
              </w:rPr>
              <w:t>'''''''''''''''''''''''</w:t>
            </w:r>
            <w:r w:rsidR="0058310F">
              <w:rPr>
                <w:vertAlign w:val="superscript"/>
              </w:rPr>
              <w:t>2</w:t>
            </w:r>
          </w:p>
        </w:tc>
        <w:tc>
          <w:tcPr>
            <w:tcW w:w="649" w:type="pct"/>
            <w:vAlign w:val="center"/>
          </w:tcPr>
          <w:p w:rsidR="00D27AC7" w:rsidRPr="003F2520" w:rsidRDefault="00D27AC7" w:rsidP="00414957">
            <w:pPr>
              <w:pStyle w:val="TableText0"/>
              <w:keepNext w:val="0"/>
              <w:widowControl w:val="0"/>
              <w:jc w:val="center"/>
            </w:pPr>
            <w:r w:rsidRPr="0058310F">
              <w:rPr>
                <w:bCs w:val="0"/>
                <w:szCs w:val="20"/>
              </w:rPr>
              <w:t>$</w:t>
            </w:r>
            <w:r w:rsidR="003F2520">
              <w:rPr>
                <w:noProof/>
                <w:color w:val="000000"/>
                <w:szCs w:val="20"/>
                <w:highlight w:val="black"/>
              </w:rPr>
              <w:t>'''''''''''''''''''''''</w:t>
            </w:r>
            <w:r w:rsidR="0058310F">
              <w:rPr>
                <w:vertAlign w:val="superscript"/>
              </w:rPr>
              <w:t>2</w:t>
            </w:r>
          </w:p>
        </w:tc>
      </w:tr>
      <w:tr w:rsidR="009966D1" w:rsidRPr="008E3F1A" w:rsidTr="00A50809">
        <w:tc>
          <w:tcPr>
            <w:tcW w:w="1116" w:type="pct"/>
            <w:shd w:val="clear" w:color="auto" w:fill="auto"/>
            <w:vAlign w:val="center"/>
          </w:tcPr>
          <w:p w:rsidR="009966D1" w:rsidRPr="008E3F1A" w:rsidRDefault="009966D1" w:rsidP="00414957">
            <w:pPr>
              <w:pStyle w:val="TableText0"/>
              <w:keepNext w:val="0"/>
              <w:widowControl w:val="0"/>
              <w:rPr>
                <w:sz w:val="19"/>
                <w:szCs w:val="19"/>
              </w:rPr>
            </w:pPr>
            <w:r w:rsidRPr="008E3F1A">
              <w:rPr>
                <w:sz w:val="19"/>
                <w:szCs w:val="19"/>
              </w:rPr>
              <w:t>Vincristine</w:t>
            </w:r>
          </w:p>
          <w:p w:rsidR="00401B10" w:rsidRPr="008E3F1A" w:rsidRDefault="00401B10" w:rsidP="00414957">
            <w:pPr>
              <w:pStyle w:val="TableText0"/>
              <w:keepNext w:val="0"/>
              <w:widowControl w:val="0"/>
              <w:rPr>
                <w:sz w:val="19"/>
                <w:szCs w:val="19"/>
              </w:rPr>
            </w:pPr>
          </w:p>
        </w:tc>
        <w:tc>
          <w:tcPr>
            <w:tcW w:w="647" w:type="pct"/>
            <w:shd w:val="clear" w:color="auto" w:fill="auto"/>
            <w:vAlign w:val="center"/>
          </w:tcPr>
          <w:p w:rsidR="009966D1" w:rsidRPr="003F2520" w:rsidRDefault="009966D1" w:rsidP="00414957">
            <w:pPr>
              <w:pStyle w:val="TableText0"/>
              <w:keepNext w:val="0"/>
              <w:widowControl w:val="0"/>
              <w:jc w:val="center"/>
            </w:pPr>
            <w:r w:rsidRPr="0058310F">
              <w:rPr>
                <w:bCs w:val="0"/>
                <w:szCs w:val="20"/>
              </w:rPr>
              <w:t>$</w:t>
            </w:r>
            <w:r w:rsidR="003F2520">
              <w:rPr>
                <w:noProof/>
                <w:color w:val="000000"/>
                <w:szCs w:val="20"/>
                <w:highlight w:val="black"/>
              </w:rPr>
              <w:t>''''''''''''''''</w:t>
            </w:r>
            <w:r w:rsidR="0058310F">
              <w:rPr>
                <w:vertAlign w:val="superscript"/>
              </w:rPr>
              <w:t>2</w:t>
            </w:r>
          </w:p>
        </w:tc>
        <w:tc>
          <w:tcPr>
            <w:tcW w:w="647" w:type="pct"/>
            <w:shd w:val="clear" w:color="auto" w:fill="auto"/>
            <w:vAlign w:val="center"/>
          </w:tcPr>
          <w:p w:rsidR="009966D1" w:rsidRPr="003F2520" w:rsidRDefault="009966D1" w:rsidP="00414957">
            <w:pPr>
              <w:pStyle w:val="TableText0"/>
              <w:keepNext w:val="0"/>
              <w:widowControl w:val="0"/>
              <w:jc w:val="center"/>
            </w:pPr>
            <w:r w:rsidRPr="0058310F">
              <w:rPr>
                <w:bCs w:val="0"/>
                <w:szCs w:val="20"/>
              </w:rPr>
              <w:t>$</w:t>
            </w:r>
            <w:r w:rsidR="003F2520">
              <w:rPr>
                <w:noProof/>
                <w:color w:val="000000"/>
                <w:szCs w:val="20"/>
                <w:highlight w:val="black"/>
              </w:rPr>
              <w:t>''''''''''''''''</w:t>
            </w:r>
            <w:r w:rsidR="0058310F">
              <w:rPr>
                <w:vertAlign w:val="superscript"/>
              </w:rPr>
              <w:t>2</w:t>
            </w:r>
          </w:p>
        </w:tc>
        <w:tc>
          <w:tcPr>
            <w:tcW w:w="647" w:type="pct"/>
            <w:shd w:val="clear" w:color="auto" w:fill="auto"/>
            <w:vAlign w:val="center"/>
          </w:tcPr>
          <w:p w:rsidR="009966D1" w:rsidRPr="003F2520" w:rsidRDefault="009966D1" w:rsidP="00414957">
            <w:pPr>
              <w:pStyle w:val="TableText0"/>
              <w:keepNext w:val="0"/>
              <w:widowControl w:val="0"/>
              <w:jc w:val="center"/>
            </w:pPr>
            <w:r w:rsidRPr="0058310F">
              <w:rPr>
                <w:bCs w:val="0"/>
                <w:szCs w:val="20"/>
              </w:rPr>
              <w:t>$</w:t>
            </w:r>
            <w:r w:rsidR="003F2520">
              <w:rPr>
                <w:noProof/>
                <w:color w:val="000000"/>
                <w:szCs w:val="20"/>
                <w:highlight w:val="black"/>
              </w:rPr>
              <w:t>'''''''''''''''</w:t>
            </w:r>
            <w:r w:rsidR="0058310F">
              <w:rPr>
                <w:vertAlign w:val="superscript"/>
              </w:rPr>
              <w:t>2</w:t>
            </w:r>
          </w:p>
        </w:tc>
        <w:tc>
          <w:tcPr>
            <w:tcW w:w="647" w:type="pct"/>
            <w:shd w:val="clear" w:color="auto" w:fill="auto"/>
            <w:vAlign w:val="center"/>
          </w:tcPr>
          <w:p w:rsidR="009966D1" w:rsidRPr="003F2520" w:rsidRDefault="009966D1" w:rsidP="00414957">
            <w:pPr>
              <w:pStyle w:val="TableText0"/>
              <w:keepNext w:val="0"/>
              <w:widowControl w:val="0"/>
              <w:jc w:val="center"/>
            </w:pPr>
            <w:r w:rsidRPr="0058310F">
              <w:rPr>
                <w:bCs w:val="0"/>
                <w:szCs w:val="20"/>
              </w:rPr>
              <w:t>$</w:t>
            </w:r>
            <w:r w:rsidR="003F2520">
              <w:rPr>
                <w:noProof/>
                <w:color w:val="000000"/>
                <w:szCs w:val="20"/>
                <w:highlight w:val="black"/>
              </w:rPr>
              <w:t>''''''''''''''''</w:t>
            </w:r>
            <w:r w:rsidR="0058310F">
              <w:rPr>
                <w:vertAlign w:val="superscript"/>
              </w:rPr>
              <w:t>2</w:t>
            </w:r>
          </w:p>
        </w:tc>
        <w:tc>
          <w:tcPr>
            <w:tcW w:w="647" w:type="pct"/>
            <w:shd w:val="clear" w:color="auto" w:fill="auto"/>
            <w:vAlign w:val="center"/>
          </w:tcPr>
          <w:p w:rsidR="009966D1" w:rsidRPr="003F2520" w:rsidRDefault="009966D1" w:rsidP="00414957">
            <w:pPr>
              <w:pStyle w:val="TableText0"/>
              <w:keepNext w:val="0"/>
              <w:widowControl w:val="0"/>
              <w:jc w:val="center"/>
            </w:pPr>
            <w:r w:rsidRPr="0058310F">
              <w:rPr>
                <w:bCs w:val="0"/>
                <w:szCs w:val="20"/>
              </w:rPr>
              <w:t>$</w:t>
            </w:r>
            <w:r w:rsidR="003F2520">
              <w:rPr>
                <w:noProof/>
                <w:color w:val="000000"/>
                <w:szCs w:val="20"/>
                <w:highlight w:val="black"/>
              </w:rPr>
              <w:t>''''''''''''''''</w:t>
            </w:r>
            <w:r w:rsidR="0058310F">
              <w:rPr>
                <w:vertAlign w:val="superscript"/>
              </w:rPr>
              <w:t>2</w:t>
            </w:r>
          </w:p>
        </w:tc>
        <w:tc>
          <w:tcPr>
            <w:tcW w:w="649" w:type="pct"/>
            <w:vAlign w:val="center"/>
          </w:tcPr>
          <w:p w:rsidR="009966D1" w:rsidRPr="003F2520" w:rsidRDefault="009966D1" w:rsidP="00414957">
            <w:pPr>
              <w:pStyle w:val="TableText0"/>
              <w:keepNext w:val="0"/>
              <w:widowControl w:val="0"/>
              <w:jc w:val="center"/>
            </w:pPr>
            <w:r w:rsidRPr="0058310F">
              <w:rPr>
                <w:bCs w:val="0"/>
                <w:szCs w:val="20"/>
              </w:rPr>
              <w:t>$</w:t>
            </w:r>
            <w:r w:rsidR="003F2520">
              <w:rPr>
                <w:noProof/>
                <w:color w:val="000000"/>
                <w:szCs w:val="20"/>
                <w:highlight w:val="black"/>
              </w:rPr>
              <w:t>''''''''''''''''</w:t>
            </w:r>
            <w:r w:rsidR="0058310F">
              <w:rPr>
                <w:vertAlign w:val="superscript"/>
              </w:rPr>
              <w:t>2</w:t>
            </w:r>
          </w:p>
        </w:tc>
      </w:tr>
      <w:tr w:rsidR="00385A9D" w:rsidRPr="008E3F1A" w:rsidTr="009C3A3A">
        <w:tc>
          <w:tcPr>
            <w:tcW w:w="5000" w:type="pct"/>
            <w:gridSpan w:val="7"/>
            <w:shd w:val="clear" w:color="auto" w:fill="auto"/>
            <w:vAlign w:val="center"/>
          </w:tcPr>
          <w:p w:rsidR="00385A9D" w:rsidRPr="008E3F1A" w:rsidRDefault="00385A9D" w:rsidP="00414957">
            <w:pPr>
              <w:pStyle w:val="In-tableHeading"/>
              <w:keepNext w:val="0"/>
              <w:widowControl w:val="0"/>
              <w:rPr>
                <w:lang w:val="en-AU"/>
              </w:rPr>
            </w:pPr>
            <w:r w:rsidRPr="008E3F1A">
              <w:rPr>
                <w:lang w:val="en-AU"/>
              </w:rPr>
              <w:t>Net financial implications</w:t>
            </w:r>
          </w:p>
        </w:tc>
      </w:tr>
      <w:tr w:rsidR="00DA3B3C" w:rsidRPr="008E3F1A" w:rsidTr="00A50809">
        <w:tc>
          <w:tcPr>
            <w:tcW w:w="1116" w:type="pct"/>
            <w:shd w:val="clear" w:color="auto" w:fill="auto"/>
            <w:vAlign w:val="center"/>
          </w:tcPr>
          <w:p w:rsidR="00DA3B3C" w:rsidRPr="008E3F1A" w:rsidRDefault="00DA3B3C" w:rsidP="00414957">
            <w:pPr>
              <w:pStyle w:val="TableText0"/>
              <w:keepNext w:val="0"/>
              <w:widowControl w:val="0"/>
              <w:rPr>
                <w:sz w:val="19"/>
                <w:szCs w:val="19"/>
              </w:rPr>
            </w:pPr>
            <w:r w:rsidRPr="008E3F1A">
              <w:rPr>
                <w:sz w:val="19"/>
                <w:szCs w:val="19"/>
              </w:rPr>
              <w:t>Net cost to PBS</w:t>
            </w:r>
          </w:p>
        </w:tc>
        <w:tc>
          <w:tcPr>
            <w:tcW w:w="647" w:type="pct"/>
            <w:shd w:val="clear" w:color="auto" w:fill="auto"/>
            <w:vAlign w:val="center"/>
          </w:tcPr>
          <w:p w:rsidR="00DA3B3C" w:rsidRPr="003F2520" w:rsidRDefault="00DA3B3C" w:rsidP="00414957">
            <w:pPr>
              <w:pStyle w:val="TableText0"/>
              <w:keepNext w:val="0"/>
              <w:widowControl w:val="0"/>
              <w:jc w:val="center"/>
            </w:pPr>
            <w:r w:rsidRPr="0058310F">
              <w:rPr>
                <w:b/>
                <w:szCs w:val="20"/>
              </w:rPr>
              <w:t>$</w:t>
            </w:r>
            <w:r w:rsidR="003F2520">
              <w:rPr>
                <w:b/>
                <w:noProof/>
                <w:color w:val="000000"/>
                <w:szCs w:val="20"/>
                <w:highlight w:val="black"/>
              </w:rPr>
              <w:t>''''''''''''''''''''</w:t>
            </w:r>
            <w:r w:rsidR="0058310F">
              <w:rPr>
                <w:vertAlign w:val="superscript"/>
              </w:rPr>
              <w:t>2</w:t>
            </w:r>
          </w:p>
        </w:tc>
        <w:tc>
          <w:tcPr>
            <w:tcW w:w="647" w:type="pct"/>
            <w:shd w:val="clear" w:color="auto" w:fill="auto"/>
            <w:vAlign w:val="center"/>
          </w:tcPr>
          <w:p w:rsidR="00DA3B3C" w:rsidRPr="003F2520" w:rsidRDefault="00DA3B3C" w:rsidP="00414957">
            <w:pPr>
              <w:pStyle w:val="TableText0"/>
              <w:keepNext w:val="0"/>
              <w:widowControl w:val="0"/>
              <w:jc w:val="center"/>
            </w:pPr>
            <w:r w:rsidRPr="0058310F">
              <w:rPr>
                <w:b/>
                <w:szCs w:val="20"/>
              </w:rPr>
              <w:t>$</w:t>
            </w:r>
            <w:r w:rsidR="003F2520">
              <w:rPr>
                <w:b/>
                <w:noProof/>
                <w:color w:val="000000"/>
                <w:szCs w:val="20"/>
                <w:highlight w:val="black"/>
              </w:rPr>
              <w:t>'''''''''''''''''''</w:t>
            </w:r>
            <w:r w:rsidR="0058310F">
              <w:rPr>
                <w:vertAlign w:val="superscript"/>
              </w:rPr>
              <w:t>2</w:t>
            </w:r>
          </w:p>
        </w:tc>
        <w:tc>
          <w:tcPr>
            <w:tcW w:w="647" w:type="pct"/>
            <w:shd w:val="clear" w:color="auto" w:fill="auto"/>
            <w:vAlign w:val="center"/>
          </w:tcPr>
          <w:p w:rsidR="00DA3B3C" w:rsidRPr="003F2520" w:rsidRDefault="00DA3B3C" w:rsidP="00414957">
            <w:pPr>
              <w:pStyle w:val="TableText0"/>
              <w:keepNext w:val="0"/>
              <w:widowControl w:val="0"/>
              <w:jc w:val="center"/>
            </w:pPr>
            <w:r w:rsidRPr="0058310F">
              <w:rPr>
                <w:b/>
                <w:szCs w:val="20"/>
              </w:rPr>
              <w:t>$</w:t>
            </w:r>
            <w:r w:rsidR="003F2520">
              <w:rPr>
                <w:b/>
                <w:noProof/>
                <w:color w:val="000000"/>
                <w:szCs w:val="20"/>
                <w:highlight w:val="black"/>
              </w:rPr>
              <w:t>'''''''''''''''''''''</w:t>
            </w:r>
            <w:r w:rsidR="0058310F">
              <w:rPr>
                <w:vertAlign w:val="superscript"/>
              </w:rPr>
              <w:t>2</w:t>
            </w:r>
          </w:p>
        </w:tc>
        <w:tc>
          <w:tcPr>
            <w:tcW w:w="647" w:type="pct"/>
            <w:shd w:val="clear" w:color="auto" w:fill="auto"/>
            <w:vAlign w:val="center"/>
          </w:tcPr>
          <w:p w:rsidR="00DA3B3C" w:rsidRPr="003F2520" w:rsidRDefault="00DA3B3C" w:rsidP="00414957">
            <w:pPr>
              <w:pStyle w:val="TableText0"/>
              <w:keepNext w:val="0"/>
              <w:widowControl w:val="0"/>
              <w:jc w:val="center"/>
            </w:pPr>
            <w:r w:rsidRPr="0058310F">
              <w:rPr>
                <w:b/>
                <w:szCs w:val="20"/>
              </w:rPr>
              <w:t>$</w:t>
            </w:r>
            <w:r w:rsidR="003F2520">
              <w:rPr>
                <w:b/>
                <w:noProof/>
                <w:color w:val="000000"/>
                <w:szCs w:val="20"/>
                <w:highlight w:val="black"/>
              </w:rPr>
              <w:t>''''''''''''''''''</w:t>
            </w:r>
            <w:r w:rsidR="0058310F">
              <w:rPr>
                <w:vertAlign w:val="superscript"/>
              </w:rPr>
              <w:t>2</w:t>
            </w:r>
          </w:p>
        </w:tc>
        <w:tc>
          <w:tcPr>
            <w:tcW w:w="647" w:type="pct"/>
            <w:shd w:val="clear" w:color="auto" w:fill="auto"/>
            <w:vAlign w:val="center"/>
          </w:tcPr>
          <w:p w:rsidR="00DA3B3C" w:rsidRPr="003F2520" w:rsidRDefault="00DA3B3C" w:rsidP="00414957">
            <w:pPr>
              <w:pStyle w:val="TableText0"/>
              <w:keepNext w:val="0"/>
              <w:widowControl w:val="0"/>
              <w:jc w:val="center"/>
            </w:pPr>
            <w:r w:rsidRPr="0058310F">
              <w:rPr>
                <w:b/>
                <w:szCs w:val="20"/>
              </w:rPr>
              <w:t>$</w:t>
            </w:r>
            <w:r w:rsidR="003F2520">
              <w:rPr>
                <w:b/>
                <w:noProof/>
                <w:color w:val="000000"/>
                <w:szCs w:val="20"/>
                <w:highlight w:val="black"/>
              </w:rPr>
              <w:t>'''''''''''''''''''''</w:t>
            </w:r>
            <w:r w:rsidR="0058310F">
              <w:rPr>
                <w:vertAlign w:val="superscript"/>
              </w:rPr>
              <w:t>2</w:t>
            </w:r>
          </w:p>
        </w:tc>
        <w:tc>
          <w:tcPr>
            <w:tcW w:w="649" w:type="pct"/>
            <w:vAlign w:val="center"/>
          </w:tcPr>
          <w:p w:rsidR="00DA3B3C" w:rsidRPr="003F2520" w:rsidRDefault="00DA3B3C" w:rsidP="00414957">
            <w:pPr>
              <w:pStyle w:val="TableText0"/>
              <w:keepNext w:val="0"/>
              <w:widowControl w:val="0"/>
              <w:jc w:val="center"/>
            </w:pPr>
            <w:r w:rsidRPr="0058310F">
              <w:rPr>
                <w:b/>
                <w:szCs w:val="20"/>
              </w:rPr>
              <w:t>$</w:t>
            </w:r>
            <w:r w:rsidR="003F2520">
              <w:rPr>
                <w:b/>
                <w:noProof/>
                <w:color w:val="000000"/>
                <w:szCs w:val="20"/>
                <w:highlight w:val="black"/>
              </w:rPr>
              <w:t>'''''''''''''''''''''</w:t>
            </w:r>
            <w:r w:rsidR="0058310F">
              <w:rPr>
                <w:vertAlign w:val="superscript"/>
              </w:rPr>
              <w:t>2</w:t>
            </w:r>
          </w:p>
        </w:tc>
      </w:tr>
      <w:tr w:rsidR="001B751D" w:rsidRPr="008E3F1A" w:rsidTr="001B751D">
        <w:tc>
          <w:tcPr>
            <w:tcW w:w="5000" w:type="pct"/>
            <w:gridSpan w:val="7"/>
            <w:shd w:val="clear" w:color="auto" w:fill="D9D9D9" w:themeFill="background1" w:themeFillShade="D9"/>
            <w:vAlign w:val="center"/>
          </w:tcPr>
          <w:p w:rsidR="001B751D" w:rsidRPr="008E3F1A" w:rsidRDefault="004344B5" w:rsidP="001B751D">
            <w:pPr>
              <w:pStyle w:val="TableText0"/>
              <w:keepNext w:val="0"/>
              <w:widowControl w:val="0"/>
              <w:rPr>
                <w:b/>
                <w:szCs w:val="20"/>
              </w:rPr>
            </w:pPr>
            <w:r w:rsidRPr="008E3F1A">
              <w:rPr>
                <w:b/>
                <w:szCs w:val="20"/>
              </w:rPr>
              <w:t>Estimated financial implications for PBS for BV used in sALCL and displaced vincristine (from CHOP) per PSCR</w:t>
            </w:r>
          </w:p>
        </w:tc>
      </w:tr>
      <w:tr w:rsidR="004344B5" w:rsidRPr="008E3F1A" w:rsidTr="00C45170">
        <w:tc>
          <w:tcPr>
            <w:tcW w:w="1116" w:type="pct"/>
            <w:shd w:val="clear" w:color="auto" w:fill="D9D9D9" w:themeFill="background1" w:themeFillShade="D9"/>
          </w:tcPr>
          <w:p w:rsidR="004344B5" w:rsidRPr="008E3F1A" w:rsidRDefault="004344B5" w:rsidP="004344B5">
            <w:pPr>
              <w:pStyle w:val="TableText0"/>
              <w:keepNext w:val="0"/>
              <w:widowControl w:val="0"/>
              <w:rPr>
                <w:vertAlign w:val="superscript"/>
              </w:rPr>
            </w:pPr>
            <w:r w:rsidRPr="008E3F1A">
              <w:rPr>
                <w:sz w:val="19"/>
                <w:szCs w:val="19"/>
              </w:rPr>
              <w:t>BV monotherapy</w:t>
            </w:r>
            <w:r w:rsidRPr="008E3F1A">
              <w:rPr>
                <w:sz w:val="19"/>
                <w:szCs w:val="19"/>
                <w:vertAlign w:val="superscript"/>
              </w:rPr>
              <w:t>b</w:t>
            </w:r>
          </w:p>
        </w:tc>
        <w:tc>
          <w:tcPr>
            <w:tcW w:w="647" w:type="pct"/>
            <w:shd w:val="clear" w:color="auto" w:fill="D9D9D9" w:themeFill="background1" w:themeFillShade="D9"/>
          </w:tcPr>
          <w:p w:rsidR="004344B5" w:rsidRPr="003F2520" w:rsidRDefault="004344B5" w:rsidP="004344B5">
            <w:pPr>
              <w:pStyle w:val="TableText0"/>
              <w:keepNext w:val="0"/>
              <w:widowControl w:val="0"/>
              <w:jc w:val="center"/>
            </w:pPr>
            <w:r w:rsidRPr="0058310F">
              <w:rPr>
                <w:bCs w:val="0"/>
                <w:szCs w:val="20"/>
              </w:rPr>
              <w:t>$</w:t>
            </w:r>
            <w:r w:rsidR="003F2520">
              <w:rPr>
                <w:noProof/>
                <w:color w:val="000000"/>
                <w:highlight w:val="black"/>
              </w:rPr>
              <w:t>''''''''''''''''''''''''''</w:t>
            </w:r>
            <w:r w:rsidR="0058310F">
              <w:rPr>
                <w:vertAlign w:val="superscript"/>
              </w:rPr>
              <w:t>2</w:t>
            </w:r>
          </w:p>
        </w:tc>
        <w:tc>
          <w:tcPr>
            <w:tcW w:w="647" w:type="pct"/>
            <w:shd w:val="clear" w:color="auto" w:fill="D9D9D9" w:themeFill="background1" w:themeFillShade="D9"/>
          </w:tcPr>
          <w:p w:rsidR="004344B5" w:rsidRPr="003F2520" w:rsidRDefault="004344B5" w:rsidP="004344B5">
            <w:pPr>
              <w:pStyle w:val="TableText0"/>
              <w:keepNext w:val="0"/>
              <w:widowControl w:val="0"/>
              <w:jc w:val="center"/>
            </w:pPr>
            <w:r w:rsidRPr="0058310F">
              <w:rPr>
                <w:bCs w:val="0"/>
                <w:szCs w:val="20"/>
              </w:rPr>
              <w:t>$</w:t>
            </w:r>
            <w:r w:rsidR="003F2520">
              <w:rPr>
                <w:noProof/>
                <w:color w:val="000000"/>
                <w:highlight w:val="black"/>
              </w:rPr>
              <w:t>''''''''''''''''''''''</w:t>
            </w:r>
            <w:r w:rsidR="0058310F">
              <w:rPr>
                <w:vertAlign w:val="superscript"/>
              </w:rPr>
              <w:t>2</w:t>
            </w:r>
          </w:p>
        </w:tc>
        <w:tc>
          <w:tcPr>
            <w:tcW w:w="647" w:type="pct"/>
            <w:shd w:val="clear" w:color="auto" w:fill="D9D9D9" w:themeFill="background1" w:themeFillShade="D9"/>
          </w:tcPr>
          <w:p w:rsidR="004344B5" w:rsidRPr="003F2520" w:rsidRDefault="004344B5" w:rsidP="004344B5">
            <w:pPr>
              <w:pStyle w:val="TableText0"/>
              <w:keepNext w:val="0"/>
              <w:widowControl w:val="0"/>
              <w:jc w:val="center"/>
            </w:pPr>
            <w:r w:rsidRPr="0058310F">
              <w:rPr>
                <w:bCs w:val="0"/>
                <w:szCs w:val="20"/>
              </w:rPr>
              <w:t>$</w:t>
            </w:r>
            <w:r w:rsidR="003F2520">
              <w:rPr>
                <w:noProof/>
                <w:color w:val="000000"/>
                <w:highlight w:val="black"/>
              </w:rPr>
              <w:t>''''''''''''''''''''''</w:t>
            </w:r>
            <w:r w:rsidR="0058310F">
              <w:rPr>
                <w:vertAlign w:val="superscript"/>
              </w:rPr>
              <w:t>2</w:t>
            </w:r>
          </w:p>
        </w:tc>
        <w:tc>
          <w:tcPr>
            <w:tcW w:w="647" w:type="pct"/>
            <w:shd w:val="clear" w:color="auto" w:fill="D9D9D9" w:themeFill="background1" w:themeFillShade="D9"/>
          </w:tcPr>
          <w:p w:rsidR="004344B5" w:rsidRPr="003F2520" w:rsidRDefault="004344B5" w:rsidP="004344B5">
            <w:pPr>
              <w:pStyle w:val="TableText0"/>
              <w:keepNext w:val="0"/>
              <w:widowControl w:val="0"/>
              <w:jc w:val="center"/>
            </w:pPr>
            <w:r w:rsidRPr="0058310F">
              <w:rPr>
                <w:bCs w:val="0"/>
                <w:szCs w:val="20"/>
              </w:rPr>
              <w:t>$</w:t>
            </w:r>
            <w:r w:rsidR="003F2520">
              <w:rPr>
                <w:noProof/>
                <w:color w:val="000000"/>
                <w:highlight w:val="black"/>
              </w:rPr>
              <w:t>''''''''''''''''''''''''''</w:t>
            </w:r>
            <w:r w:rsidR="0058310F">
              <w:rPr>
                <w:vertAlign w:val="superscript"/>
              </w:rPr>
              <w:t>2</w:t>
            </w:r>
          </w:p>
        </w:tc>
        <w:tc>
          <w:tcPr>
            <w:tcW w:w="647" w:type="pct"/>
            <w:shd w:val="clear" w:color="auto" w:fill="D9D9D9" w:themeFill="background1" w:themeFillShade="D9"/>
          </w:tcPr>
          <w:p w:rsidR="004344B5" w:rsidRPr="003F2520" w:rsidRDefault="004344B5" w:rsidP="004344B5">
            <w:pPr>
              <w:pStyle w:val="TableText0"/>
              <w:keepNext w:val="0"/>
              <w:widowControl w:val="0"/>
              <w:jc w:val="center"/>
            </w:pPr>
            <w:r w:rsidRPr="0058310F">
              <w:rPr>
                <w:bCs w:val="0"/>
                <w:szCs w:val="20"/>
              </w:rPr>
              <w:t>$</w:t>
            </w:r>
            <w:r w:rsidR="003F2520">
              <w:rPr>
                <w:noProof/>
                <w:color w:val="000000"/>
                <w:highlight w:val="black"/>
              </w:rPr>
              <w:t>''''''''''''''''''''''</w:t>
            </w:r>
            <w:r w:rsidR="0058310F">
              <w:rPr>
                <w:vertAlign w:val="superscript"/>
              </w:rPr>
              <w:t>2</w:t>
            </w:r>
          </w:p>
        </w:tc>
        <w:tc>
          <w:tcPr>
            <w:tcW w:w="649" w:type="pct"/>
            <w:shd w:val="clear" w:color="auto" w:fill="D9D9D9" w:themeFill="background1" w:themeFillShade="D9"/>
          </w:tcPr>
          <w:p w:rsidR="004344B5" w:rsidRPr="003F2520" w:rsidRDefault="004344B5" w:rsidP="004344B5">
            <w:pPr>
              <w:pStyle w:val="TableText0"/>
              <w:keepNext w:val="0"/>
              <w:widowControl w:val="0"/>
              <w:jc w:val="center"/>
            </w:pPr>
            <w:r w:rsidRPr="0058310F">
              <w:rPr>
                <w:bCs w:val="0"/>
                <w:szCs w:val="20"/>
              </w:rPr>
              <w:t>$</w:t>
            </w:r>
            <w:r w:rsidR="003F2520">
              <w:rPr>
                <w:noProof/>
                <w:color w:val="000000"/>
                <w:highlight w:val="black"/>
              </w:rPr>
              <w:t>''''''''''''''''''''''</w:t>
            </w:r>
            <w:r w:rsidR="0058310F">
              <w:rPr>
                <w:vertAlign w:val="superscript"/>
              </w:rPr>
              <w:t>2</w:t>
            </w:r>
          </w:p>
        </w:tc>
      </w:tr>
      <w:tr w:rsidR="004344B5" w:rsidRPr="008E3F1A" w:rsidTr="00C45170">
        <w:tc>
          <w:tcPr>
            <w:tcW w:w="1116" w:type="pct"/>
            <w:shd w:val="clear" w:color="auto" w:fill="D9D9D9" w:themeFill="background1" w:themeFillShade="D9"/>
          </w:tcPr>
          <w:p w:rsidR="004344B5" w:rsidRPr="008E3F1A" w:rsidRDefault="004344B5" w:rsidP="004344B5">
            <w:pPr>
              <w:pStyle w:val="TableText0"/>
              <w:keepNext w:val="0"/>
              <w:widowControl w:val="0"/>
              <w:rPr>
                <w:sz w:val="19"/>
                <w:szCs w:val="19"/>
              </w:rPr>
            </w:pPr>
            <w:r w:rsidRPr="008E3F1A">
              <w:rPr>
                <w:sz w:val="19"/>
                <w:szCs w:val="19"/>
              </w:rPr>
              <w:t>Vincristine</w:t>
            </w:r>
          </w:p>
        </w:tc>
        <w:tc>
          <w:tcPr>
            <w:tcW w:w="647" w:type="pct"/>
            <w:shd w:val="clear" w:color="auto" w:fill="D9D9D9" w:themeFill="background1" w:themeFillShade="D9"/>
          </w:tcPr>
          <w:p w:rsidR="004344B5" w:rsidRPr="003F2520" w:rsidRDefault="004344B5" w:rsidP="004344B5">
            <w:pPr>
              <w:pStyle w:val="TableText0"/>
              <w:keepNext w:val="0"/>
              <w:widowControl w:val="0"/>
              <w:jc w:val="center"/>
            </w:pPr>
            <w:r w:rsidRPr="0058310F">
              <w:rPr>
                <w:bCs w:val="0"/>
                <w:szCs w:val="20"/>
              </w:rPr>
              <w:t>$</w:t>
            </w:r>
            <w:r w:rsidR="003F2520">
              <w:rPr>
                <w:noProof/>
                <w:color w:val="000000"/>
                <w:highlight w:val="black"/>
              </w:rPr>
              <w:t>'''''''''''''''</w:t>
            </w:r>
            <w:r w:rsidR="0058310F">
              <w:rPr>
                <w:vertAlign w:val="superscript"/>
              </w:rPr>
              <w:t>2</w:t>
            </w:r>
          </w:p>
        </w:tc>
        <w:tc>
          <w:tcPr>
            <w:tcW w:w="647" w:type="pct"/>
            <w:shd w:val="clear" w:color="auto" w:fill="D9D9D9" w:themeFill="background1" w:themeFillShade="D9"/>
          </w:tcPr>
          <w:p w:rsidR="004344B5" w:rsidRPr="003F2520" w:rsidRDefault="004344B5" w:rsidP="004344B5">
            <w:pPr>
              <w:pStyle w:val="TableText0"/>
              <w:keepNext w:val="0"/>
              <w:widowControl w:val="0"/>
              <w:jc w:val="center"/>
            </w:pPr>
            <w:r w:rsidRPr="0058310F">
              <w:rPr>
                <w:bCs w:val="0"/>
                <w:szCs w:val="20"/>
              </w:rPr>
              <w:t>$</w:t>
            </w:r>
            <w:r w:rsidR="003F2520">
              <w:rPr>
                <w:noProof/>
                <w:color w:val="000000"/>
                <w:highlight w:val="black"/>
              </w:rPr>
              <w:t>''''''''''''''''</w:t>
            </w:r>
            <w:r w:rsidR="0058310F">
              <w:rPr>
                <w:vertAlign w:val="superscript"/>
              </w:rPr>
              <w:t>2</w:t>
            </w:r>
          </w:p>
        </w:tc>
        <w:tc>
          <w:tcPr>
            <w:tcW w:w="647" w:type="pct"/>
            <w:shd w:val="clear" w:color="auto" w:fill="D9D9D9" w:themeFill="background1" w:themeFillShade="D9"/>
          </w:tcPr>
          <w:p w:rsidR="004344B5" w:rsidRPr="003F2520" w:rsidRDefault="004344B5" w:rsidP="004344B5">
            <w:pPr>
              <w:pStyle w:val="TableText0"/>
              <w:keepNext w:val="0"/>
              <w:widowControl w:val="0"/>
              <w:jc w:val="center"/>
            </w:pPr>
            <w:r w:rsidRPr="0058310F">
              <w:rPr>
                <w:bCs w:val="0"/>
                <w:szCs w:val="20"/>
              </w:rPr>
              <w:t>$</w:t>
            </w:r>
            <w:r w:rsidR="003F2520">
              <w:rPr>
                <w:noProof/>
                <w:color w:val="000000"/>
                <w:highlight w:val="black"/>
              </w:rPr>
              <w:t>''''''''''''''''</w:t>
            </w:r>
            <w:r w:rsidR="0058310F">
              <w:rPr>
                <w:vertAlign w:val="superscript"/>
              </w:rPr>
              <w:t>2</w:t>
            </w:r>
          </w:p>
        </w:tc>
        <w:tc>
          <w:tcPr>
            <w:tcW w:w="647" w:type="pct"/>
            <w:shd w:val="clear" w:color="auto" w:fill="D9D9D9" w:themeFill="background1" w:themeFillShade="D9"/>
          </w:tcPr>
          <w:p w:rsidR="004344B5" w:rsidRPr="003F2520" w:rsidRDefault="004344B5" w:rsidP="004344B5">
            <w:pPr>
              <w:pStyle w:val="TableText0"/>
              <w:keepNext w:val="0"/>
              <w:widowControl w:val="0"/>
              <w:jc w:val="center"/>
            </w:pPr>
            <w:r w:rsidRPr="0058310F">
              <w:rPr>
                <w:bCs w:val="0"/>
                <w:szCs w:val="20"/>
              </w:rPr>
              <w:t>$</w:t>
            </w:r>
            <w:r w:rsidR="003F2520">
              <w:rPr>
                <w:noProof/>
                <w:color w:val="000000"/>
                <w:highlight w:val="black"/>
              </w:rPr>
              <w:t>''''''''''''''''</w:t>
            </w:r>
            <w:r w:rsidR="0058310F">
              <w:rPr>
                <w:vertAlign w:val="superscript"/>
              </w:rPr>
              <w:t>2</w:t>
            </w:r>
          </w:p>
        </w:tc>
        <w:tc>
          <w:tcPr>
            <w:tcW w:w="647" w:type="pct"/>
            <w:shd w:val="clear" w:color="auto" w:fill="D9D9D9" w:themeFill="background1" w:themeFillShade="D9"/>
          </w:tcPr>
          <w:p w:rsidR="004344B5" w:rsidRPr="003F2520" w:rsidRDefault="004344B5" w:rsidP="004344B5">
            <w:pPr>
              <w:pStyle w:val="TableText0"/>
              <w:keepNext w:val="0"/>
              <w:widowControl w:val="0"/>
              <w:jc w:val="center"/>
            </w:pPr>
            <w:r w:rsidRPr="0058310F">
              <w:rPr>
                <w:bCs w:val="0"/>
                <w:szCs w:val="20"/>
              </w:rPr>
              <w:t>$</w:t>
            </w:r>
            <w:r w:rsidR="003F2520">
              <w:rPr>
                <w:noProof/>
                <w:color w:val="000000"/>
                <w:highlight w:val="black"/>
              </w:rPr>
              <w:t>'''''''''''''''</w:t>
            </w:r>
            <w:r w:rsidR="0058310F">
              <w:rPr>
                <w:vertAlign w:val="superscript"/>
              </w:rPr>
              <w:t>2</w:t>
            </w:r>
          </w:p>
        </w:tc>
        <w:tc>
          <w:tcPr>
            <w:tcW w:w="649" w:type="pct"/>
            <w:shd w:val="clear" w:color="auto" w:fill="D9D9D9" w:themeFill="background1" w:themeFillShade="D9"/>
          </w:tcPr>
          <w:p w:rsidR="004344B5" w:rsidRPr="003F2520" w:rsidRDefault="004344B5" w:rsidP="004344B5">
            <w:pPr>
              <w:pStyle w:val="TableText0"/>
              <w:keepNext w:val="0"/>
              <w:widowControl w:val="0"/>
              <w:jc w:val="center"/>
            </w:pPr>
            <w:r w:rsidRPr="0058310F">
              <w:rPr>
                <w:bCs w:val="0"/>
                <w:szCs w:val="20"/>
              </w:rPr>
              <w:t>$</w:t>
            </w:r>
            <w:r w:rsidR="003F2520">
              <w:rPr>
                <w:noProof/>
                <w:color w:val="000000"/>
                <w:highlight w:val="black"/>
              </w:rPr>
              <w:t>'''''''''''''''</w:t>
            </w:r>
            <w:r w:rsidR="0058310F">
              <w:rPr>
                <w:vertAlign w:val="superscript"/>
              </w:rPr>
              <w:t>2</w:t>
            </w:r>
          </w:p>
        </w:tc>
      </w:tr>
      <w:tr w:rsidR="004344B5" w:rsidRPr="008E3F1A" w:rsidTr="004344B5">
        <w:tc>
          <w:tcPr>
            <w:tcW w:w="5000" w:type="pct"/>
            <w:gridSpan w:val="7"/>
            <w:shd w:val="clear" w:color="auto" w:fill="D9D9D9" w:themeFill="background1" w:themeFillShade="D9"/>
          </w:tcPr>
          <w:p w:rsidR="004344B5" w:rsidRPr="008E3F1A" w:rsidRDefault="004344B5" w:rsidP="004344B5">
            <w:pPr>
              <w:pStyle w:val="TableText0"/>
              <w:keepNext w:val="0"/>
              <w:widowControl w:val="0"/>
            </w:pPr>
            <w:r w:rsidRPr="008E3F1A">
              <w:rPr>
                <w:b/>
                <w:szCs w:val="20"/>
              </w:rPr>
              <w:t>Net financial implications per PSCR</w:t>
            </w:r>
            <w:r w:rsidRPr="008E3F1A">
              <w:rPr>
                <w:b/>
                <w:szCs w:val="20"/>
                <w:vertAlign w:val="superscript"/>
              </w:rPr>
              <w:t>b</w:t>
            </w:r>
          </w:p>
        </w:tc>
      </w:tr>
      <w:tr w:rsidR="004344B5" w:rsidRPr="008E3F1A" w:rsidTr="00321CDA">
        <w:tc>
          <w:tcPr>
            <w:tcW w:w="1116" w:type="pct"/>
            <w:shd w:val="clear" w:color="auto" w:fill="D9D9D9" w:themeFill="background1" w:themeFillShade="D9"/>
          </w:tcPr>
          <w:p w:rsidR="004344B5" w:rsidRPr="008E3F1A" w:rsidRDefault="004344B5" w:rsidP="00321CDA">
            <w:pPr>
              <w:pStyle w:val="TableText0"/>
              <w:keepNext w:val="0"/>
              <w:widowControl w:val="0"/>
              <w:rPr>
                <w:sz w:val="19"/>
                <w:szCs w:val="19"/>
              </w:rPr>
            </w:pPr>
            <w:r w:rsidRPr="008E3F1A">
              <w:t xml:space="preserve">Net cost to PBS </w:t>
            </w:r>
          </w:p>
        </w:tc>
        <w:tc>
          <w:tcPr>
            <w:tcW w:w="647" w:type="pct"/>
            <w:shd w:val="clear" w:color="auto" w:fill="D9D9D9" w:themeFill="background1" w:themeFillShade="D9"/>
          </w:tcPr>
          <w:p w:rsidR="004344B5" w:rsidRPr="003F2520" w:rsidRDefault="004344B5" w:rsidP="00321CDA">
            <w:pPr>
              <w:pStyle w:val="TableText0"/>
              <w:keepNext w:val="0"/>
              <w:widowControl w:val="0"/>
              <w:jc w:val="center"/>
              <w:rPr>
                <w:b/>
                <w:szCs w:val="20"/>
              </w:rPr>
            </w:pPr>
            <w:r w:rsidRPr="0058310F">
              <w:rPr>
                <w:bCs w:val="0"/>
                <w:szCs w:val="20"/>
              </w:rPr>
              <w:t>$</w:t>
            </w:r>
            <w:r w:rsidR="003F2520">
              <w:rPr>
                <w:noProof/>
                <w:color w:val="000000"/>
                <w:highlight w:val="black"/>
              </w:rPr>
              <w:t>''''''''''''''''''''''''</w:t>
            </w:r>
            <w:r w:rsidR="0058310F">
              <w:rPr>
                <w:vertAlign w:val="superscript"/>
              </w:rPr>
              <w:t>2</w:t>
            </w:r>
          </w:p>
        </w:tc>
        <w:tc>
          <w:tcPr>
            <w:tcW w:w="647" w:type="pct"/>
            <w:shd w:val="clear" w:color="auto" w:fill="D9D9D9" w:themeFill="background1" w:themeFillShade="D9"/>
          </w:tcPr>
          <w:p w:rsidR="004344B5" w:rsidRPr="003F2520" w:rsidRDefault="004344B5" w:rsidP="00321CDA">
            <w:pPr>
              <w:pStyle w:val="TableText0"/>
              <w:keepNext w:val="0"/>
              <w:widowControl w:val="0"/>
              <w:jc w:val="center"/>
              <w:rPr>
                <w:b/>
                <w:szCs w:val="20"/>
              </w:rPr>
            </w:pPr>
            <w:r w:rsidRPr="0058310F">
              <w:rPr>
                <w:bCs w:val="0"/>
                <w:szCs w:val="20"/>
              </w:rPr>
              <w:t>$</w:t>
            </w:r>
            <w:r w:rsidR="003F2520">
              <w:rPr>
                <w:noProof/>
                <w:color w:val="000000"/>
                <w:highlight w:val="black"/>
              </w:rPr>
              <w:t>''''''''''''''''''''''''</w:t>
            </w:r>
            <w:r w:rsidR="0058310F">
              <w:rPr>
                <w:vertAlign w:val="superscript"/>
              </w:rPr>
              <w:t>2</w:t>
            </w:r>
          </w:p>
        </w:tc>
        <w:tc>
          <w:tcPr>
            <w:tcW w:w="647" w:type="pct"/>
            <w:shd w:val="clear" w:color="auto" w:fill="D9D9D9" w:themeFill="background1" w:themeFillShade="D9"/>
          </w:tcPr>
          <w:p w:rsidR="004344B5" w:rsidRPr="003F2520" w:rsidRDefault="004344B5" w:rsidP="00321CDA">
            <w:pPr>
              <w:pStyle w:val="TableText0"/>
              <w:keepNext w:val="0"/>
              <w:widowControl w:val="0"/>
              <w:jc w:val="center"/>
              <w:rPr>
                <w:b/>
                <w:szCs w:val="20"/>
              </w:rPr>
            </w:pPr>
            <w:r w:rsidRPr="0058310F">
              <w:rPr>
                <w:bCs w:val="0"/>
                <w:szCs w:val="20"/>
              </w:rPr>
              <w:t>$</w:t>
            </w:r>
            <w:r w:rsidR="003F2520">
              <w:rPr>
                <w:noProof/>
                <w:color w:val="000000"/>
                <w:highlight w:val="black"/>
              </w:rPr>
              <w:t>''''''''''''''''''''''''</w:t>
            </w:r>
            <w:r w:rsidR="0058310F">
              <w:rPr>
                <w:vertAlign w:val="superscript"/>
              </w:rPr>
              <w:t>2</w:t>
            </w:r>
          </w:p>
        </w:tc>
        <w:tc>
          <w:tcPr>
            <w:tcW w:w="647" w:type="pct"/>
            <w:shd w:val="clear" w:color="auto" w:fill="D9D9D9" w:themeFill="background1" w:themeFillShade="D9"/>
          </w:tcPr>
          <w:p w:rsidR="004344B5" w:rsidRPr="003F2520" w:rsidRDefault="004344B5" w:rsidP="00321CDA">
            <w:pPr>
              <w:pStyle w:val="TableText0"/>
              <w:keepNext w:val="0"/>
              <w:widowControl w:val="0"/>
              <w:jc w:val="center"/>
              <w:rPr>
                <w:b/>
                <w:szCs w:val="20"/>
              </w:rPr>
            </w:pPr>
            <w:r w:rsidRPr="0058310F">
              <w:rPr>
                <w:bCs w:val="0"/>
                <w:szCs w:val="20"/>
              </w:rPr>
              <w:t>$</w:t>
            </w:r>
            <w:r w:rsidR="003F2520">
              <w:rPr>
                <w:noProof/>
                <w:color w:val="000000"/>
                <w:highlight w:val="black"/>
              </w:rPr>
              <w:t>'''''''''''''''''''''''</w:t>
            </w:r>
            <w:r w:rsidR="0058310F">
              <w:rPr>
                <w:vertAlign w:val="superscript"/>
              </w:rPr>
              <w:t>2</w:t>
            </w:r>
          </w:p>
        </w:tc>
        <w:tc>
          <w:tcPr>
            <w:tcW w:w="647" w:type="pct"/>
            <w:shd w:val="clear" w:color="auto" w:fill="D9D9D9" w:themeFill="background1" w:themeFillShade="D9"/>
          </w:tcPr>
          <w:p w:rsidR="004344B5" w:rsidRPr="003F2520" w:rsidRDefault="004344B5" w:rsidP="00321CDA">
            <w:pPr>
              <w:pStyle w:val="TableText0"/>
              <w:keepNext w:val="0"/>
              <w:widowControl w:val="0"/>
              <w:jc w:val="center"/>
              <w:rPr>
                <w:b/>
                <w:szCs w:val="20"/>
              </w:rPr>
            </w:pPr>
            <w:r w:rsidRPr="0058310F">
              <w:rPr>
                <w:bCs w:val="0"/>
                <w:szCs w:val="20"/>
              </w:rPr>
              <w:t>$</w:t>
            </w:r>
            <w:r w:rsidR="003F2520">
              <w:rPr>
                <w:noProof/>
                <w:color w:val="000000"/>
                <w:highlight w:val="black"/>
              </w:rPr>
              <w:t>'''''''''''''''''''''''</w:t>
            </w:r>
            <w:r w:rsidR="0058310F">
              <w:rPr>
                <w:vertAlign w:val="superscript"/>
              </w:rPr>
              <w:t>2</w:t>
            </w:r>
          </w:p>
        </w:tc>
        <w:tc>
          <w:tcPr>
            <w:tcW w:w="649" w:type="pct"/>
            <w:shd w:val="clear" w:color="auto" w:fill="D9D9D9" w:themeFill="background1" w:themeFillShade="D9"/>
          </w:tcPr>
          <w:p w:rsidR="004344B5" w:rsidRPr="003F2520" w:rsidRDefault="004344B5" w:rsidP="00321CDA">
            <w:pPr>
              <w:pStyle w:val="TableText0"/>
              <w:keepNext w:val="0"/>
              <w:widowControl w:val="0"/>
              <w:jc w:val="center"/>
              <w:rPr>
                <w:b/>
                <w:szCs w:val="20"/>
              </w:rPr>
            </w:pPr>
            <w:r w:rsidRPr="0058310F">
              <w:rPr>
                <w:bCs w:val="0"/>
                <w:szCs w:val="20"/>
              </w:rPr>
              <w:t>$</w:t>
            </w:r>
            <w:r w:rsidR="003F2520">
              <w:rPr>
                <w:noProof/>
                <w:color w:val="000000"/>
                <w:highlight w:val="black"/>
              </w:rPr>
              <w:t>'''''''''''''''''''''''</w:t>
            </w:r>
            <w:r w:rsidR="0058310F">
              <w:rPr>
                <w:vertAlign w:val="superscript"/>
              </w:rPr>
              <w:t>2</w:t>
            </w:r>
          </w:p>
        </w:tc>
      </w:tr>
    </w:tbl>
    <w:p w:rsidR="000F7B74" w:rsidRPr="008E3F1A" w:rsidRDefault="00620C25" w:rsidP="00414957">
      <w:pPr>
        <w:pStyle w:val="TableFigureFooter"/>
        <w:widowControl w:val="0"/>
        <w:spacing w:after="0"/>
        <w:rPr>
          <w:szCs w:val="18"/>
        </w:rPr>
      </w:pPr>
      <w:r w:rsidRPr="008E3F1A">
        <w:t xml:space="preserve">Source: </w:t>
      </w:r>
      <w:r w:rsidR="000F7B74" w:rsidRPr="008E3F1A">
        <w:rPr>
          <w:szCs w:val="18"/>
        </w:rPr>
        <w:t xml:space="preserve">Table 4.5, Table 4.6, </w:t>
      </w:r>
      <w:r w:rsidR="00C35A97" w:rsidRPr="008E3F1A">
        <w:rPr>
          <w:szCs w:val="18"/>
        </w:rPr>
        <w:t xml:space="preserve">Table 4.8, </w:t>
      </w:r>
      <w:r w:rsidR="00942128" w:rsidRPr="008E3F1A">
        <w:rPr>
          <w:lang w:eastAsia="en-GB"/>
        </w:rPr>
        <w:t>Table 4.16 of the submission</w:t>
      </w:r>
      <w:r w:rsidR="001B751D" w:rsidRPr="008E3F1A">
        <w:rPr>
          <w:lang w:eastAsia="en-GB"/>
        </w:rPr>
        <w:t>, Table 3 of PSCR</w:t>
      </w:r>
      <w:r w:rsidR="00942128" w:rsidRPr="008E3F1A">
        <w:rPr>
          <w:szCs w:val="18"/>
        </w:rPr>
        <w:t xml:space="preserve"> </w:t>
      </w:r>
    </w:p>
    <w:p w:rsidR="007A3750" w:rsidRPr="008E3F1A" w:rsidRDefault="001B751D" w:rsidP="00414957">
      <w:pPr>
        <w:pStyle w:val="TableFigureFooter"/>
        <w:widowControl w:val="0"/>
        <w:spacing w:after="0"/>
        <w:rPr>
          <w:szCs w:val="18"/>
        </w:rPr>
      </w:pPr>
      <w:r w:rsidRPr="008E3F1A">
        <w:rPr>
          <w:szCs w:val="18"/>
        </w:rPr>
        <w:t>BV = brentuximab vedotin</w:t>
      </w:r>
      <w:r w:rsidR="00BF4E7E" w:rsidRPr="008E3F1A">
        <w:rPr>
          <w:szCs w:val="18"/>
        </w:rPr>
        <w:t xml:space="preserve">; </w:t>
      </w:r>
      <w:r w:rsidR="007A3750" w:rsidRPr="008E3F1A">
        <w:rPr>
          <w:szCs w:val="18"/>
        </w:rPr>
        <w:t>BV+CHP= brentuximab vedotin, cyclophosphamide, doxorubicin and prednisone; PBS = Phar</w:t>
      </w:r>
      <w:r w:rsidR="00354493" w:rsidRPr="008E3F1A">
        <w:rPr>
          <w:szCs w:val="18"/>
        </w:rPr>
        <w:t>maceutical Benefits Scheme;</w:t>
      </w:r>
      <w:r w:rsidR="00EC3F6A" w:rsidRPr="008E3F1A">
        <w:rPr>
          <w:szCs w:val="18"/>
        </w:rPr>
        <w:t xml:space="preserve"> sALCL = </w:t>
      </w:r>
      <w:r w:rsidR="00EC3F6A" w:rsidRPr="008E3F1A">
        <w:t>systemic anaplastic large cell lymphoma.</w:t>
      </w:r>
    </w:p>
    <w:p w:rsidR="00E466F3" w:rsidRPr="008E3F1A" w:rsidRDefault="00E466F3" w:rsidP="00414957">
      <w:pPr>
        <w:pStyle w:val="TableNotes"/>
        <w:widowControl w:val="0"/>
        <w:rPr>
          <w:rFonts w:eastAsia="Times New Roman" w:cs="Arial"/>
          <w:noProof w:val="0"/>
          <w:snapToGrid w:val="0"/>
          <w:sz w:val="18"/>
          <w:szCs w:val="22"/>
          <w:lang w:bidi="ar-SA"/>
        </w:rPr>
      </w:pPr>
      <w:r w:rsidRPr="008E3F1A">
        <w:rPr>
          <w:rFonts w:eastAsia="Times New Roman" w:cs="Arial"/>
          <w:noProof w:val="0"/>
          <w:snapToGrid w:val="0"/>
          <w:sz w:val="18"/>
          <w:szCs w:val="22"/>
          <w:vertAlign w:val="superscript"/>
          <w:lang w:bidi="ar-SA"/>
        </w:rPr>
        <w:t>a</w:t>
      </w:r>
      <w:r w:rsidR="00606FBA" w:rsidRPr="008E3F1A">
        <w:rPr>
          <w:rFonts w:eastAsia="Times New Roman" w:cs="Arial"/>
          <w:noProof w:val="0"/>
          <w:snapToGrid w:val="0"/>
          <w:sz w:val="18"/>
          <w:szCs w:val="22"/>
          <w:lang w:bidi="ar-SA"/>
        </w:rPr>
        <w:t xml:space="preserve"> </w:t>
      </w:r>
      <w:r w:rsidRPr="008E3F1A">
        <w:rPr>
          <w:rFonts w:eastAsia="Times New Roman" w:cs="Arial"/>
          <w:noProof w:val="0"/>
          <w:snapToGrid w:val="0"/>
          <w:sz w:val="18"/>
          <w:szCs w:val="22"/>
          <w:lang w:bidi="ar-SA"/>
        </w:rPr>
        <w:t xml:space="preserve">Assuming </w:t>
      </w:r>
      <w:r w:rsidR="007A0320" w:rsidRPr="008E3F1A">
        <w:rPr>
          <w:rFonts w:eastAsia="Times New Roman" w:cs="Arial"/>
          <w:noProof w:val="0"/>
          <w:snapToGrid w:val="0"/>
          <w:sz w:val="18"/>
          <w:szCs w:val="22"/>
          <w:lang w:bidi="ar-SA"/>
        </w:rPr>
        <w:t>mean 6 cycles per patient by</w:t>
      </w:r>
      <w:r w:rsidRPr="008E3F1A">
        <w:rPr>
          <w:rFonts w:eastAsia="Times New Roman" w:cs="Arial"/>
          <w:noProof w:val="0"/>
          <w:snapToGrid w:val="0"/>
          <w:sz w:val="18"/>
          <w:szCs w:val="22"/>
          <w:lang w:bidi="ar-SA"/>
        </w:rPr>
        <w:t xml:space="preserve"> the submission.</w:t>
      </w:r>
    </w:p>
    <w:p w:rsidR="0058310F" w:rsidRDefault="00B62B0E" w:rsidP="0058310F">
      <w:pPr>
        <w:pStyle w:val="TableNotes"/>
        <w:widowControl w:val="0"/>
        <w:rPr>
          <w:rFonts w:eastAsia="Times New Roman" w:cs="Arial"/>
          <w:noProof w:val="0"/>
          <w:snapToGrid w:val="0"/>
          <w:sz w:val="18"/>
          <w:szCs w:val="18"/>
          <w:lang w:bidi="ar-SA"/>
        </w:rPr>
      </w:pPr>
      <w:r w:rsidRPr="008E3F1A">
        <w:rPr>
          <w:rFonts w:eastAsia="Times New Roman" w:cs="Arial"/>
          <w:noProof w:val="0"/>
          <w:snapToGrid w:val="0"/>
          <w:sz w:val="18"/>
          <w:szCs w:val="22"/>
          <w:vertAlign w:val="superscript"/>
          <w:lang w:bidi="ar-SA"/>
        </w:rPr>
        <w:t>b</w:t>
      </w:r>
      <w:r w:rsidRPr="008E3F1A">
        <w:rPr>
          <w:rFonts w:eastAsia="Times New Roman" w:cs="Arial"/>
          <w:noProof w:val="0"/>
          <w:snapToGrid w:val="0"/>
          <w:sz w:val="18"/>
          <w:szCs w:val="22"/>
          <w:lang w:bidi="ar-SA"/>
        </w:rPr>
        <w:t xml:space="preserve"> The PSCR estimated that</w:t>
      </w:r>
      <w:r w:rsidR="008406A4" w:rsidRPr="008E3F1A">
        <w:rPr>
          <w:rFonts w:eastAsia="Times New Roman" w:cs="Arial"/>
          <w:noProof w:val="0"/>
          <w:snapToGrid w:val="0"/>
          <w:sz w:val="18"/>
          <w:szCs w:val="22"/>
          <w:lang w:bidi="ar-SA"/>
        </w:rPr>
        <w:t xml:space="preserve"> there would be a</w:t>
      </w:r>
      <w:r w:rsidRPr="008E3F1A">
        <w:rPr>
          <w:rFonts w:eastAsia="Times New Roman" w:cs="Arial"/>
          <w:noProof w:val="0"/>
          <w:snapToGrid w:val="0"/>
          <w:sz w:val="18"/>
          <w:szCs w:val="22"/>
          <w:lang w:bidi="ar-SA"/>
        </w:rPr>
        <w:t xml:space="preserve"> 43.1%</w:t>
      </w:r>
      <w:r w:rsidR="008406A4" w:rsidRPr="008E3F1A">
        <w:rPr>
          <w:rFonts w:eastAsia="Times New Roman" w:cs="Arial"/>
          <w:noProof w:val="0"/>
          <w:snapToGrid w:val="0"/>
          <w:sz w:val="18"/>
          <w:szCs w:val="22"/>
          <w:lang w:bidi="ar-SA"/>
        </w:rPr>
        <w:t xml:space="preserve"> reduction in BV for</w:t>
      </w:r>
      <w:r w:rsidRPr="008E3F1A">
        <w:rPr>
          <w:rFonts w:eastAsia="Times New Roman" w:cs="Arial"/>
          <w:noProof w:val="0"/>
          <w:snapToGrid w:val="0"/>
          <w:sz w:val="18"/>
          <w:szCs w:val="22"/>
          <w:lang w:bidi="ar-SA"/>
        </w:rPr>
        <w:t xml:space="preserve"> relapsed/refractory sALCL patients based on data from the whole </w:t>
      </w:r>
      <w:r w:rsidRPr="0058310F">
        <w:rPr>
          <w:rFonts w:eastAsia="Times New Roman" w:cs="Arial"/>
          <w:noProof w:val="0"/>
          <w:snapToGrid w:val="0"/>
          <w:sz w:val="18"/>
          <w:szCs w:val="18"/>
          <w:lang w:bidi="ar-SA"/>
        </w:rPr>
        <w:t xml:space="preserve">ECHELON-2 cohort. </w:t>
      </w:r>
    </w:p>
    <w:p w:rsidR="0058310F" w:rsidRDefault="0058310F" w:rsidP="0058310F">
      <w:pPr>
        <w:pStyle w:val="TableNotes"/>
        <w:widowControl w:val="0"/>
        <w:rPr>
          <w:i/>
          <w:szCs w:val="18"/>
        </w:rPr>
      </w:pPr>
      <w:r w:rsidRPr="0058310F">
        <w:rPr>
          <w:i/>
          <w:szCs w:val="18"/>
        </w:rPr>
        <w:t xml:space="preserve">The redacted values correspond to the following ranges: </w:t>
      </w:r>
    </w:p>
    <w:p w:rsidR="0058310F" w:rsidRDefault="0058310F" w:rsidP="0058310F">
      <w:pPr>
        <w:pStyle w:val="TableNotes"/>
        <w:widowControl w:val="0"/>
        <w:rPr>
          <w:rFonts w:eastAsia="Times New Roman" w:cs="Arial"/>
          <w:i/>
          <w:noProof w:val="0"/>
          <w:snapToGrid w:val="0"/>
          <w:sz w:val="18"/>
          <w:szCs w:val="18"/>
          <w:lang w:bidi="ar-SA"/>
        </w:rPr>
      </w:pPr>
      <w:r>
        <w:rPr>
          <w:rFonts w:eastAsia="Times New Roman" w:cs="Arial"/>
          <w:i/>
          <w:noProof w:val="0"/>
          <w:snapToGrid w:val="0"/>
          <w:sz w:val="18"/>
          <w:szCs w:val="18"/>
          <w:vertAlign w:val="superscript"/>
          <w:lang w:bidi="ar-SA"/>
        </w:rPr>
        <w:t xml:space="preserve">1 </w:t>
      </w:r>
      <w:r w:rsidRPr="0058310F">
        <w:rPr>
          <w:rFonts w:eastAsia="Times New Roman" w:cs="Arial"/>
          <w:i/>
          <w:noProof w:val="0"/>
          <w:snapToGrid w:val="0"/>
          <w:sz w:val="18"/>
          <w:szCs w:val="18"/>
          <w:lang w:bidi="ar-SA"/>
        </w:rPr>
        <w:t>&lt; 500</w:t>
      </w:r>
    </w:p>
    <w:p w:rsidR="0058310F" w:rsidRPr="0058310F" w:rsidRDefault="0058310F" w:rsidP="0058310F">
      <w:pPr>
        <w:pStyle w:val="TableNotes"/>
        <w:widowControl w:val="0"/>
        <w:rPr>
          <w:rFonts w:eastAsia="Times New Roman" w:cs="Arial"/>
          <w:i/>
          <w:noProof w:val="0"/>
          <w:snapToGrid w:val="0"/>
          <w:sz w:val="18"/>
          <w:szCs w:val="18"/>
          <w:lang w:bidi="ar-SA"/>
        </w:rPr>
      </w:pPr>
      <w:r>
        <w:rPr>
          <w:rFonts w:eastAsia="Times New Roman" w:cs="Arial"/>
          <w:i/>
          <w:noProof w:val="0"/>
          <w:snapToGrid w:val="0"/>
          <w:sz w:val="18"/>
          <w:szCs w:val="18"/>
          <w:vertAlign w:val="superscript"/>
          <w:lang w:bidi="ar-SA"/>
        </w:rPr>
        <w:t xml:space="preserve">2 </w:t>
      </w:r>
      <w:r w:rsidRPr="0058310F">
        <w:rPr>
          <w:rFonts w:eastAsia="Times New Roman" w:cs="Arial"/>
          <w:i/>
          <w:noProof w:val="0"/>
          <w:snapToGrid w:val="0"/>
          <w:sz w:val="18"/>
          <w:szCs w:val="18"/>
          <w:lang w:bidi="ar-SA"/>
        </w:rPr>
        <w:t>$0 to &lt; $10 million</w:t>
      </w:r>
    </w:p>
    <w:p w:rsidR="0058310F" w:rsidRPr="008E3F1A" w:rsidRDefault="0058310F" w:rsidP="00414957">
      <w:pPr>
        <w:pStyle w:val="TableNotes"/>
        <w:widowControl w:val="0"/>
        <w:rPr>
          <w:rFonts w:eastAsia="Times New Roman" w:cs="Arial"/>
          <w:noProof w:val="0"/>
          <w:snapToGrid w:val="0"/>
          <w:sz w:val="18"/>
          <w:szCs w:val="22"/>
          <w:lang w:bidi="ar-SA"/>
        </w:rPr>
      </w:pPr>
    </w:p>
    <w:p w:rsidR="00C9765E" w:rsidRPr="008E3F1A" w:rsidRDefault="005725B7" w:rsidP="00DF72F6">
      <w:pPr>
        <w:pStyle w:val="3-BodyText"/>
      </w:pPr>
      <w:r w:rsidRPr="008E3F1A">
        <w:t xml:space="preserve">The univariate sensitivity analyses presented in the submission and conducted during the evaluation showed that the estimates were most sensitive to the change in the assumed uptake rate and the assumed proportion of patients with PTCL. Increasing the overall uptake rate from </w:t>
      </w:r>
      <w:r w:rsidR="003F2520">
        <w:rPr>
          <w:noProof/>
          <w:color w:val="000000"/>
          <w:highlight w:val="black"/>
        </w:rPr>
        <w:t>''''''''</w:t>
      </w:r>
      <w:r w:rsidRPr="008E3F1A">
        <w:t xml:space="preserve">% to </w:t>
      </w:r>
      <w:r w:rsidR="003F2520">
        <w:rPr>
          <w:noProof/>
          <w:color w:val="000000"/>
          <w:highlight w:val="black"/>
        </w:rPr>
        <w:t>''''''''</w:t>
      </w:r>
      <w:r w:rsidRPr="008E3F1A">
        <w:t xml:space="preserve">% increased the estimated </w:t>
      </w:r>
      <w:r w:rsidR="00B62B0E" w:rsidRPr="008E3F1A">
        <w:t xml:space="preserve">net </w:t>
      </w:r>
      <w:r w:rsidRPr="008E3F1A">
        <w:t>cost</w:t>
      </w:r>
      <w:r w:rsidR="00B62B0E" w:rsidRPr="008E3F1A">
        <w:t xml:space="preserve"> to the PBS</w:t>
      </w:r>
      <w:r w:rsidRPr="008E3F1A">
        <w:t xml:space="preserve"> of listing BV+CHP to between </w:t>
      </w:r>
      <w:r w:rsidR="00DF72F6" w:rsidRPr="00DF72F6">
        <w:t>$0 to &lt; $10 million</w:t>
      </w:r>
      <w:r w:rsidR="00DF72F6">
        <w:t xml:space="preserve"> </w:t>
      </w:r>
      <w:r w:rsidRPr="008E3F1A">
        <w:t xml:space="preserve">in Year 1 and </w:t>
      </w:r>
      <w:r w:rsidR="00DF72F6" w:rsidRPr="00DF72F6">
        <w:t>$0 to &lt; $10 million</w:t>
      </w:r>
      <w:r w:rsidR="00DF72F6">
        <w:t xml:space="preserve"> </w:t>
      </w:r>
      <w:r w:rsidRPr="008E3F1A">
        <w:t xml:space="preserve">in Year 6. </w:t>
      </w:r>
      <w:r w:rsidRPr="008E3F1A">
        <w:rPr>
          <w:iCs/>
        </w:rPr>
        <w:t xml:space="preserve">Estimating the impact of a higher proportion (8.2% as reported in a retrospective study conducted in Queensland; Wright et al., (2018)) of NHL that is PTCL, resulted in an increase in the estimated net cost to the PBS of between </w:t>
      </w:r>
      <w:r w:rsidR="00DF72F6" w:rsidRPr="00DF72F6">
        <w:rPr>
          <w:iCs/>
        </w:rPr>
        <w:t>$0 to &lt; $10 million</w:t>
      </w:r>
      <w:r w:rsidR="00DF72F6">
        <w:rPr>
          <w:iCs/>
        </w:rPr>
        <w:t xml:space="preserve"> </w:t>
      </w:r>
      <w:r w:rsidRPr="008E3F1A">
        <w:rPr>
          <w:iCs/>
        </w:rPr>
        <w:t xml:space="preserve">in Year 1 and </w:t>
      </w:r>
      <w:r w:rsidR="00DF72F6" w:rsidRPr="00DF72F6">
        <w:rPr>
          <w:iCs/>
        </w:rPr>
        <w:t>$0 to &lt; $10 million</w:t>
      </w:r>
      <w:r w:rsidR="00DF72F6">
        <w:rPr>
          <w:iCs/>
        </w:rPr>
        <w:t xml:space="preserve"> </w:t>
      </w:r>
      <w:r w:rsidRPr="008E3F1A">
        <w:rPr>
          <w:iCs/>
        </w:rPr>
        <w:t>in Year 6.</w:t>
      </w:r>
    </w:p>
    <w:p w:rsidR="00E44987" w:rsidRPr="008E3F1A" w:rsidRDefault="001054B7" w:rsidP="00D809CD">
      <w:pPr>
        <w:pStyle w:val="3-BodyText"/>
      </w:pPr>
      <w:r w:rsidRPr="008E3F1A">
        <w:t>The submission stated that based on the current use of BV for relapsed</w:t>
      </w:r>
      <w:r w:rsidR="000C074E" w:rsidRPr="008E3F1A">
        <w:t>/</w:t>
      </w:r>
      <w:r w:rsidRPr="008E3F1A">
        <w:t>refractory sALCL all usage of BV will be via the PBS. However, the submission presented PBS/RPBS services for vincristine, therefore use for RPBS patients may be underestimated.</w:t>
      </w:r>
      <w:r w:rsidR="00D809CD" w:rsidRPr="008E3F1A">
        <w:t xml:space="preserve"> In addition, the </w:t>
      </w:r>
      <w:r w:rsidR="0082075E" w:rsidRPr="008E3F1A">
        <w:t xml:space="preserve">evaluation considered the </w:t>
      </w:r>
      <w:r w:rsidR="00D809CD" w:rsidRPr="008E3F1A">
        <w:t xml:space="preserve">net </w:t>
      </w:r>
      <w:r w:rsidR="009C1260" w:rsidRPr="008E3F1A">
        <w:t xml:space="preserve">cost </w:t>
      </w:r>
      <w:r w:rsidR="00D809CD" w:rsidRPr="008E3F1A">
        <w:t xml:space="preserve">to the PBS </w:t>
      </w:r>
      <w:r w:rsidR="009C1260" w:rsidRPr="008E3F1A">
        <w:t>may</w:t>
      </w:r>
      <w:r w:rsidR="00B82BEF" w:rsidRPr="008E3F1A">
        <w:t xml:space="preserve"> </w:t>
      </w:r>
      <w:r w:rsidR="009C1260" w:rsidRPr="008E3F1A">
        <w:t xml:space="preserve">be underestimated </w:t>
      </w:r>
      <w:r w:rsidR="0014081C" w:rsidRPr="008E3F1A">
        <w:t xml:space="preserve">as the </w:t>
      </w:r>
      <w:r w:rsidR="00EC2506" w:rsidRPr="008E3F1A">
        <w:t>submission</w:t>
      </w:r>
      <w:r w:rsidR="0014081C" w:rsidRPr="008E3F1A">
        <w:t xml:space="preserve"> </w:t>
      </w:r>
      <w:r w:rsidR="00EC2506" w:rsidRPr="008E3F1A">
        <w:t>assumed</w:t>
      </w:r>
      <w:r w:rsidR="0014081C" w:rsidRPr="008E3F1A">
        <w:t xml:space="preserve"> that all vincristine use</w:t>
      </w:r>
      <w:r w:rsidR="00EC2506" w:rsidRPr="008E3F1A">
        <w:t xml:space="preserve"> in first-line</w:t>
      </w:r>
      <w:r w:rsidR="0014081C" w:rsidRPr="008E3F1A">
        <w:t xml:space="preserve"> will be replaced rather than displaced. </w:t>
      </w:r>
      <w:r w:rsidR="00E44987" w:rsidRPr="008E3F1A">
        <w:t xml:space="preserve">The PSCR agreed that patients who relapse following BV+CHP will receive subsequent treatments including vincristine. However, the PSCR noted that the </w:t>
      </w:r>
      <w:r w:rsidR="00E44987" w:rsidRPr="008E3F1A">
        <w:lastRenderedPageBreak/>
        <w:t xml:space="preserve">savings from replacement/displacement of vincristine in the budget impact model was less than $50,000 per annum. </w:t>
      </w:r>
    </w:p>
    <w:p w:rsidR="00117D47" w:rsidRPr="008E3F1A" w:rsidRDefault="00D809CD" w:rsidP="00DF72F6">
      <w:pPr>
        <w:pStyle w:val="3-BodyText"/>
      </w:pPr>
      <w:r w:rsidRPr="008E3F1A">
        <w:t>As outlined in paragraph 6</w:t>
      </w:r>
      <w:r w:rsidRPr="008E3F1A">
        <w:rPr>
          <w:shd w:val="clear" w:color="auto" w:fill="FFFFFF" w:themeFill="background1"/>
        </w:rPr>
        <w:t>.5</w:t>
      </w:r>
      <w:r w:rsidR="004F3EF2" w:rsidRPr="008E3F1A">
        <w:rPr>
          <w:shd w:val="clear" w:color="auto" w:fill="FFFFFF" w:themeFill="background1"/>
        </w:rPr>
        <w:t>2</w:t>
      </w:r>
      <w:r w:rsidRPr="008E3F1A">
        <w:t>, t</w:t>
      </w:r>
      <w:r w:rsidR="001B751D" w:rsidRPr="008E3F1A">
        <w:t>he PSCR presented updated financial estimates based</w:t>
      </w:r>
      <w:r w:rsidR="001B751D" w:rsidRPr="008E3F1A">
        <w:rPr>
          <w:b/>
          <w:sz w:val="22"/>
          <w:szCs w:val="22"/>
        </w:rPr>
        <w:t xml:space="preserve"> </w:t>
      </w:r>
      <w:r w:rsidR="001B751D" w:rsidRPr="008E3F1A">
        <w:t>on an assumption that the use of BV in the second</w:t>
      </w:r>
      <w:r w:rsidR="000B2CD1" w:rsidRPr="008E3F1A">
        <w:t>-</w:t>
      </w:r>
      <w:r w:rsidR="001B751D" w:rsidRPr="008E3F1A">
        <w:t>line setting post BV first-line would mirror that in ECHELON-2.</w:t>
      </w:r>
      <w:r w:rsidR="00837B51" w:rsidRPr="008E3F1A">
        <w:t xml:space="preserve"> </w:t>
      </w:r>
      <w:r w:rsidR="005B4176" w:rsidRPr="008E3F1A">
        <w:t xml:space="preserve">As per the submission, the PSCR estimated the </w:t>
      </w:r>
      <w:r w:rsidR="0076108F" w:rsidRPr="008E3F1A">
        <w:t xml:space="preserve">BV </w:t>
      </w:r>
      <w:r w:rsidR="005B4176" w:rsidRPr="008E3F1A">
        <w:t xml:space="preserve">script </w:t>
      </w:r>
      <w:r w:rsidR="0076108F" w:rsidRPr="008E3F1A">
        <w:t xml:space="preserve">volume in relapsed/refractory </w:t>
      </w:r>
      <w:r w:rsidR="005B4176" w:rsidRPr="008E3F1A">
        <w:t xml:space="preserve">sALCL </w:t>
      </w:r>
      <w:r w:rsidR="0076108F" w:rsidRPr="008E3F1A">
        <w:t xml:space="preserve">patients </w:t>
      </w:r>
      <w:r w:rsidR="001235BD" w:rsidRPr="008E3F1A">
        <w:t>from</w:t>
      </w:r>
      <w:r w:rsidR="005B4176" w:rsidRPr="008E3F1A">
        <w:t xml:space="preserve"> </w:t>
      </w:r>
      <w:r w:rsidR="0076108F" w:rsidRPr="008E3F1A">
        <w:t xml:space="preserve">existing </w:t>
      </w:r>
      <w:r w:rsidR="001235BD" w:rsidRPr="008E3F1A">
        <w:t>PBS i</w:t>
      </w:r>
      <w:r w:rsidR="005B4176" w:rsidRPr="008E3F1A">
        <w:t>tem service volume</w:t>
      </w:r>
      <w:r w:rsidR="0076108F" w:rsidRPr="008E3F1A">
        <w:t>s</w:t>
      </w:r>
      <w:r w:rsidR="00082298" w:rsidRPr="008E3F1A">
        <w:t xml:space="preserve"> </w:t>
      </w:r>
      <w:r w:rsidR="004344B5" w:rsidRPr="008E3F1A">
        <w:t xml:space="preserve">for this indication </w:t>
      </w:r>
      <w:r w:rsidR="00082298" w:rsidRPr="008E3F1A">
        <w:t>with</w:t>
      </w:r>
      <w:r w:rsidR="001235BD" w:rsidRPr="008E3F1A">
        <w:t xml:space="preserve"> </w:t>
      </w:r>
      <w:r w:rsidR="005B4176" w:rsidRPr="008E3F1A">
        <w:t>a</w:t>
      </w:r>
      <w:r w:rsidR="0076108F" w:rsidRPr="008E3F1A">
        <w:t>n annual growth rate of</w:t>
      </w:r>
      <w:r w:rsidR="005B4176" w:rsidRPr="008E3F1A">
        <w:t xml:space="preserve"> 2.5%</w:t>
      </w:r>
      <w:r w:rsidR="00082298" w:rsidRPr="008E3F1A">
        <w:t xml:space="preserve"> applied</w:t>
      </w:r>
      <w:r w:rsidR="0004049C" w:rsidRPr="008E3F1A">
        <w:t xml:space="preserve">. </w:t>
      </w:r>
      <w:r w:rsidR="001235BD" w:rsidRPr="008E3F1A">
        <w:t>While the submission assumed that 85% of relapsed/refractory sALCL patients would not receive second-line BV monotherapy</w:t>
      </w:r>
      <w:r w:rsidR="00082298" w:rsidRPr="008E3F1A">
        <w:t xml:space="preserve"> with the availability of first-line BV</w:t>
      </w:r>
      <w:r w:rsidR="001235BD" w:rsidRPr="008E3F1A">
        <w:t>, t</w:t>
      </w:r>
      <w:r w:rsidR="0004049C" w:rsidRPr="008E3F1A">
        <w:t>he updated financial estimates prov</w:t>
      </w:r>
      <w:r w:rsidR="00082298" w:rsidRPr="008E3F1A">
        <w:t>ided in the PSCR noted</w:t>
      </w:r>
      <w:r w:rsidR="0004049C" w:rsidRPr="008E3F1A">
        <w:t xml:space="preserve"> that</w:t>
      </w:r>
      <w:r w:rsidR="008406A4" w:rsidRPr="008E3F1A">
        <w:t xml:space="preserve"> there was a reduction of</w:t>
      </w:r>
      <w:r w:rsidR="0004049C" w:rsidRPr="008E3F1A">
        <w:t xml:space="preserve"> </w:t>
      </w:r>
      <w:r w:rsidR="003F2520">
        <w:rPr>
          <w:noProof/>
          <w:color w:val="000000"/>
          <w:highlight w:val="black"/>
        </w:rPr>
        <w:t>'''''''''</w:t>
      </w:r>
      <w:r w:rsidR="00AD699B" w:rsidRPr="008E3F1A">
        <w:t xml:space="preserve">% of </w:t>
      </w:r>
      <w:r w:rsidR="008406A4" w:rsidRPr="008E3F1A">
        <w:t xml:space="preserve">use of BV for </w:t>
      </w:r>
      <w:r w:rsidR="001235BD" w:rsidRPr="008E3F1A">
        <w:t xml:space="preserve">relapsed/refractory </w:t>
      </w:r>
      <w:r w:rsidR="00AD699B" w:rsidRPr="008E3F1A">
        <w:t xml:space="preserve">sALCL patients </w:t>
      </w:r>
      <w:r w:rsidR="001235BD" w:rsidRPr="008E3F1A">
        <w:t>based on data from</w:t>
      </w:r>
      <w:r w:rsidR="0076108F" w:rsidRPr="008E3F1A">
        <w:t xml:space="preserve"> the whole ECHELON-2 cohort. </w:t>
      </w:r>
      <w:r w:rsidR="00082298" w:rsidRPr="008E3F1A">
        <w:t>As such, t</w:t>
      </w:r>
      <w:r w:rsidR="00BF4E7E" w:rsidRPr="008E3F1A">
        <w:t xml:space="preserve">he updated financial estimates </w:t>
      </w:r>
      <w:r w:rsidRPr="008E3F1A">
        <w:t xml:space="preserve">reported </w:t>
      </w:r>
      <w:r w:rsidR="00BF4E7E" w:rsidRPr="008E3F1A">
        <w:t xml:space="preserve">the </w:t>
      </w:r>
      <w:r w:rsidR="00912DF0" w:rsidRPr="008E3F1A">
        <w:t xml:space="preserve">net </w:t>
      </w:r>
      <w:r w:rsidR="00BF4E7E" w:rsidRPr="008E3F1A">
        <w:t xml:space="preserve">cost to the PBS of listing BV+CHP to be between </w:t>
      </w:r>
      <w:r w:rsidR="00DF72F6" w:rsidRPr="00DF72F6">
        <w:t>$0 to &lt; $10 million</w:t>
      </w:r>
      <w:r w:rsidR="00BF4E7E" w:rsidRPr="008E3F1A">
        <w:t xml:space="preserve"> and </w:t>
      </w:r>
      <w:r w:rsidR="00DF72F6" w:rsidRPr="00DF72F6">
        <w:t>$0 to &lt; $10 million</w:t>
      </w:r>
      <w:r w:rsidR="00DF72F6">
        <w:t xml:space="preserve"> </w:t>
      </w:r>
      <w:r w:rsidR="00BF4E7E" w:rsidRPr="008E3F1A">
        <w:t>per year in Year 1 to Year 6</w:t>
      </w:r>
      <w:r w:rsidR="008A65C2" w:rsidRPr="008E3F1A">
        <w:t xml:space="preserve"> with</w:t>
      </w:r>
      <w:r w:rsidR="00BF4E7E" w:rsidRPr="008E3F1A">
        <w:t xml:space="preserve"> a total of </w:t>
      </w:r>
      <w:r w:rsidR="00DF72F6" w:rsidRPr="00DF72F6">
        <w:t>$10 million to &lt; $20 million</w:t>
      </w:r>
      <w:r w:rsidR="00DF72F6">
        <w:t xml:space="preserve"> </w:t>
      </w:r>
      <w:r w:rsidR="00BF4E7E" w:rsidRPr="008E3F1A">
        <w:t>in the first 6 years of listing</w:t>
      </w:r>
      <w:r w:rsidR="0082075E" w:rsidRPr="008E3F1A">
        <w:t xml:space="preserve"> (see Table 15)</w:t>
      </w:r>
      <w:r w:rsidR="00BF4E7E" w:rsidRPr="008E3F1A">
        <w:t>. The ESC considered the approach taken to update the financial estimates reasonable.</w:t>
      </w:r>
      <w:r w:rsidR="00BF4E7E" w:rsidRPr="008E3F1A">
        <w:rPr>
          <w:i/>
        </w:rPr>
        <w:t xml:space="preserve"> </w:t>
      </w:r>
    </w:p>
    <w:p w:rsidR="00182827" w:rsidRPr="008E3F1A" w:rsidRDefault="003F5AA3" w:rsidP="00BF4E7E">
      <w:pPr>
        <w:pStyle w:val="3-BodyText"/>
      </w:pPr>
      <w:r w:rsidRPr="008E3F1A">
        <w:t>T</w:t>
      </w:r>
      <w:r w:rsidR="00BF4E7E" w:rsidRPr="008E3F1A">
        <w:t>he ESC noted the updated financial estimates did not included grandfathered patients (see paragraph 3.11).</w:t>
      </w:r>
      <w:r w:rsidR="00160B17" w:rsidRPr="008E3F1A">
        <w:t xml:space="preserve"> T</w:t>
      </w:r>
      <w:r w:rsidRPr="008E3F1A">
        <w:t xml:space="preserve">he ESC considered this was reasonable given the proposed restriction allows a maximum treatment duration of 8 cycles and </w:t>
      </w:r>
      <w:r w:rsidR="00160B17" w:rsidRPr="008E3F1A">
        <w:t xml:space="preserve">as such it is likely these patients would have completed, or be close to completing their treatment course. </w:t>
      </w:r>
    </w:p>
    <w:p w:rsidR="00576972" w:rsidRPr="008E3F1A" w:rsidRDefault="00576972" w:rsidP="00606FBA">
      <w:pPr>
        <w:pStyle w:val="4-SubsectionHeading"/>
      </w:pPr>
      <w:bookmarkStart w:id="29" w:name="_Toc22897648"/>
      <w:bookmarkStart w:id="30" w:name="_Toc62055099"/>
      <w:r w:rsidRPr="008E3F1A">
        <w:t>Quality Use of Medicines</w:t>
      </w:r>
      <w:bookmarkEnd w:id="29"/>
      <w:bookmarkEnd w:id="30"/>
    </w:p>
    <w:p w:rsidR="00576972" w:rsidRPr="008E3F1A" w:rsidRDefault="00033345" w:rsidP="00606FBA">
      <w:pPr>
        <w:pStyle w:val="3-BodyText"/>
        <w:rPr>
          <w:color w:val="000000" w:themeColor="text1"/>
        </w:rPr>
      </w:pPr>
      <w:r w:rsidRPr="008E3F1A">
        <w:rPr>
          <w:color w:val="000000" w:themeColor="text1"/>
        </w:rPr>
        <w:t>The submission stated that the sponsor is committed to ensuring the quality use of BV in clinical practice. Should BV be approved for funding in the requested PBS population, appropriate education materials will be developed for treating clinicians and patients.</w:t>
      </w:r>
      <w:r w:rsidR="00BF4E7E" w:rsidRPr="008E3F1A">
        <w:rPr>
          <w:color w:val="000000" w:themeColor="text1"/>
        </w:rPr>
        <w:t xml:space="preserve"> </w:t>
      </w:r>
    </w:p>
    <w:p w:rsidR="00576972" w:rsidRPr="008E3F1A" w:rsidRDefault="00576972" w:rsidP="00606FBA">
      <w:pPr>
        <w:pStyle w:val="4-SubsectionHeading"/>
      </w:pPr>
      <w:bookmarkStart w:id="31" w:name="_Toc22897649"/>
      <w:bookmarkStart w:id="32" w:name="_Toc62055100"/>
      <w:r w:rsidRPr="008E3F1A">
        <w:t>Financial Management – Risk Sharing Arrangements</w:t>
      </w:r>
      <w:bookmarkEnd w:id="31"/>
      <w:bookmarkEnd w:id="32"/>
    </w:p>
    <w:p w:rsidR="00576972" w:rsidRPr="008E3F1A" w:rsidRDefault="00646913" w:rsidP="00DF72F6">
      <w:pPr>
        <w:pStyle w:val="3-BodyText"/>
      </w:pPr>
      <w:r w:rsidRPr="008E3F1A">
        <w:t>The submission did not propose a risk sharing arrangement</w:t>
      </w:r>
      <w:r w:rsidR="007771B9" w:rsidRPr="008E3F1A">
        <w:t xml:space="preserve"> (RSA)</w:t>
      </w:r>
      <w:r w:rsidRPr="008E3F1A">
        <w:t>.</w:t>
      </w:r>
      <w:r w:rsidR="00E40D32" w:rsidRPr="008E3F1A">
        <w:t xml:space="preserve"> However, the current listing of BV monotherapy </w:t>
      </w:r>
      <w:r w:rsidR="00945D30" w:rsidRPr="008E3F1A">
        <w:t xml:space="preserve">in relapsed/refractory sALCL is subject to </w:t>
      </w:r>
      <w:r w:rsidR="00182827" w:rsidRPr="008E3F1A">
        <w:t>an</w:t>
      </w:r>
      <w:r w:rsidR="00945D30" w:rsidRPr="008E3F1A">
        <w:t xml:space="preserve"> RSA with </w:t>
      </w:r>
      <w:r w:rsidR="00537020" w:rsidRPr="008E3F1A">
        <w:t xml:space="preserve">subsidisation </w:t>
      </w:r>
      <w:r w:rsidR="00945D30" w:rsidRPr="008E3F1A">
        <w:t>caps. The submission did not</w:t>
      </w:r>
      <w:r w:rsidR="00F02151" w:rsidRPr="008E3F1A">
        <w:t xml:space="preserve"> estimate the impact of </w:t>
      </w:r>
      <w:r w:rsidR="00182827" w:rsidRPr="008E3F1A">
        <w:t xml:space="preserve">the proposed </w:t>
      </w:r>
      <w:r w:rsidR="00137F23" w:rsidRPr="008E3F1A">
        <w:t>listing</w:t>
      </w:r>
      <w:r w:rsidR="00F02151" w:rsidRPr="008E3F1A">
        <w:t xml:space="preserve"> </w:t>
      </w:r>
      <w:r w:rsidR="00182827" w:rsidRPr="008E3F1A">
        <w:t xml:space="preserve">for </w:t>
      </w:r>
      <w:r w:rsidR="00F02151" w:rsidRPr="008E3F1A">
        <w:t xml:space="preserve">BV+CHP </w:t>
      </w:r>
      <w:r w:rsidR="00137F23" w:rsidRPr="008E3F1A">
        <w:t>on the current RSA caps</w:t>
      </w:r>
      <w:r w:rsidR="001D71B3" w:rsidRPr="008E3F1A">
        <w:t xml:space="preserve"> established for BV monotherapy in relapsed and refractory sALCL. </w:t>
      </w:r>
      <w:r w:rsidR="003E4C5F" w:rsidRPr="008E3F1A">
        <w:t xml:space="preserve">The PSCR argued that </w:t>
      </w:r>
      <w:r w:rsidR="00B45CB9" w:rsidRPr="008E3F1A">
        <w:t xml:space="preserve">with an estimated </w:t>
      </w:r>
      <w:r w:rsidR="00DF72F6">
        <w:t>&lt; 500</w:t>
      </w:r>
      <w:r w:rsidR="00B45CB9" w:rsidRPr="008E3F1A">
        <w:t xml:space="preserve"> to </w:t>
      </w:r>
      <w:r w:rsidR="00DF72F6">
        <w:t>&lt; 500</w:t>
      </w:r>
      <w:r w:rsidR="00B45CB9" w:rsidRPr="008E3F1A">
        <w:t xml:space="preserve"> patients per year, an annual estimated net impact to the PBS of less than </w:t>
      </w:r>
      <w:r w:rsidR="00DF72F6" w:rsidRPr="00DF72F6">
        <w:rPr>
          <w:iCs/>
          <w:color w:val="000000" w:themeColor="text1"/>
        </w:rPr>
        <w:t>$0 to &lt; $10 million</w:t>
      </w:r>
      <w:r w:rsidR="00DF72F6">
        <w:rPr>
          <w:iCs/>
          <w:color w:val="000000" w:themeColor="text1"/>
        </w:rPr>
        <w:t xml:space="preserve"> </w:t>
      </w:r>
      <w:r w:rsidR="00B45CB9" w:rsidRPr="008E3F1A">
        <w:t xml:space="preserve">and </w:t>
      </w:r>
      <w:r w:rsidR="00F0433B" w:rsidRPr="008E3F1A">
        <w:t>a</w:t>
      </w:r>
      <w:r w:rsidR="00B45CB9" w:rsidRPr="008E3F1A">
        <w:t xml:space="preserve"> written authority listing (see </w:t>
      </w:r>
      <w:r w:rsidR="003F6512" w:rsidRPr="008E3F1A">
        <w:t>paragraph 3.4</w:t>
      </w:r>
      <w:r w:rsidR="00B45CB9" w:rsidRPr="008E3F1A">
        <w:t xml:space="preserve">) a RSA may not be required for the proposed PTCL indication. </w:t>
      </w:r>
      <w:r w:rsidR="003F2520">
        <w:rPr>
          <w:noProof/>
          <w:color w:val="000000"/>
          <w:highlight w:val="black"/>
        </w:rPr>
        <w:t>'''' ''''''''''''''''' '''''' ''''''''''' '''''''' '''''''''''' ''''''''' ''''' ''' ''''''''''''''''' '''''''''''''''''''''''' '''''''''''' ''''''' '''''''''''''''''' ''''''''' ''''''''''''''''''''''' '''''''' ''''''''''''''''''' '''''''' ''' ''''''''' '''''' '''''''''''''''''''''' '''' '''''''''''''''' ''''''''''''''''''''''''''' '''''' '''''''''''''' '''''''''''''''''''''''''''' '''''''''''' '''''' '''''' '''''''''''' ''''' '''''' ''''''' '''''' '''''' ''''''''''' '''''''' ''''''''' '''''''''''''''''''</w:t>
      </w:r>
      <w:r w:rsidR="00B45CB9" w:rsidRPr="008E3F1A">
        <w:t xml:space="preserve">. </w:t>
      </w:r>
      <w:r w:rsidR="006C6347" w:rsidRPr="008E3F1A">
        <w:t xml:space="preserve">The pre-PBAC response argued that given the authority of initial treatment is in writing, patients must meet the </w:t>
      </w:r>
      <w:r w:rsidR="006C6347" w:rsidRPr="008E3F1A">
        <w:lastRenderedPageBreak/>
        <w:t xml:space="preserve">diagnostic criteria for CD30 positivity, and there is a limit on the number of treatment cycles administered under an initial authority, the risk of leakage is low. </w:t>
      </w:r>
    </w:p>
    <w:p w:rsidR="004C72B8" w:rsidRPr="008E3F1A" w:rsidRDefault="00C16A99" w:rsidP="00E71DF9">
      <w:pPr>
        <w:pStyle w:val="3-BodyText"/>
        <w:numPr>
          <w:ilvl w:val="0"/>
          <w:numId w:val="0"/>
        </w:numPr>
        <w:ind w:left="720"/>
        <w:rPr>
          <w:i/>
        </w:rPr>
      </w:pPr>
      <w:r w:rsidRPr="008E3F1A">
        <w:rPr>
          <w:i/>
        </w:rPr>
        <w:t>For more detail on PBAC’s vi</w:t>
      </w:r>
      <w:r w:rsidR="00E71DF9" w:rsidRPr="008E3F1A">
        <w:rPr>
          <w:i/>
        </w:rPr>
        <w:t>ew, see section 7 PBAC outcome.</w:t>
      </w:r>
    </w:p>
    <w:p w:rsidR="00923C01" w:rsidRPr="008E3F1A" w:rsidRDefault="00923C01" w:rsidP="00923C01">
      <w:pPr>
        <w:keepNext/>
        <w:widowControl w:val="0"/>
        <w:numPr>
          <w:ilvl w:val="0"/>
          <w:numId w:val="1"/>
        </w:numPr>
        <w:spacing w:before="240" w:after="120"/>
        <w:jc w:val="left"/>
        <w:outlineLvl w:val="0"/>
        <w:rPr>
          <w:rFonts w:asciiTheme="minorHAnsi" w:hAnsiTheme="minorHAnsi"/>
          <w:b/>
          <w:snapToGrid w:val="0"/>
          <w:sz w:val="32"/>
          <w:szCs w:val="32"/>
        </w:rPr>
      </w:pPr>
      <w:r w:rsidRPr="008E3F1A">
        <w:rPr>
          <w:rFonts w:asciiTheme="minorHAnsi" w:hAnsiTheme="minorHAnsi"/>
          <w:b/>
          <w:snapToGrid w:val="0"/>
          <w:sz w:val="32"/>
          <w:szCs w:val="32"/>
        </w:rPr>
        <w:t>PBAC Outcome</w:t>
      </w:r>
    </w:p>
    <w:p w:rsidR="002E3C00" w:rsidRPr="008E3F1A" w:rsidRDefault="00923C01" w:rsidP="00923C01">
      <w:pPr>
        <w:widowControl w:val="0"/>
        <w:numPr>
          <w:ilvl w:val="1"/>
          <w:numId w:val="1"/>
        </w:numPr>
        <w:spacing w:after="120"/>
        <w:rPr>
          <w:rFonts w:asciiTheme="minorHAnsi" w:hAnsiTheme="minorHAnsi"/>
          <w:bCs/>
          <w:snapToGrid w:val="0"/>
        </w:rPr>
      </w:pPr>
      <w:r w:rsidRPr="008E3F1A">
        <w:rPr>
          <w:rFonts w:asciiTheme="minorHAnsi" w:hAnsiTheme="minorHAnsi"/>
          <w:bCs/>
          <w:snapToGrid w:val="0"/>
        </w:rPr>
        <w:t>The PBA</w:t>
      </w:r>
      <w:r w:rsidR="0069060D" w:rsidRPr="008E3F1A">
        <w:rPr>
          <w:rFonts w:asciiTheme="minorHAnsi" w:hAnsiTheme="minorHAnsi"/>
          <w:bCs/>
          <w:snapToGrid w:val="0"/>
        </w:rPr>
        <w:t>C recommended the listing of brentuximab vedotin (BV)</w:t>
      </w:r>
      <w:r w:rsidRPr="008E3F1A">
        <w:rPr>
          <w:rFonts w:asciiTheme="minorHAnsi" w:hAnsiTheme="minorHAnsi"/>
          <w:bCs/>
          <w:snapToGrid w:val="0"/>
        </w:rPr>
        <w:t xml:space="preserve">, </w:t>
      </w:r>
      <w:r w:rsidR="003F6512" w:rsidRPr="008E3F1A">
        <w:rPr>
          <w:rFonts w:asciiTheme="minorHAnsi" w:hAnsiTheme="minorHAnsi"/>
          <w:bCs/>
          <w:snapToGrid w:val="0"/>
        </w:rPr>
        <w:t>for use in combination</w:t>
      </w:r>
      <w:r w:rsidR="003026CF" w:rsidRPr="008E3F1A">
        <w:rPr>
          <w:bCs/>
          <w:iCs/>
        </w:rPr>
        <w:t xml:space="preserve"> with cyclophosphamide, doxorubicin, and prednisone (CHP) for the treatment of patients with previously untreated CD30 positive peripheral T-cell lymphoma (PTCL)</w:t>
      </w:r>
      <w:r w:rsidR="002E3C00" w:rsidRPr="008E3F1A">
        <w:rPr>
          <w:bCs/>
          <w:iCs/>
        </w:rPr>
        <w:t>,</w:t>
      </w:r>
      <w:r w:rsidR="003026CF" w:rsidRPr="008E3F1A">
        <w:rPr>
          <w:bCs/>
          <w:iCs/>
        </w:rPr>
        <w:t xml:space="preserve"> </w:t>
      </w:r>
      <w:r w:rsidR="002E3C00" w:rsidRPr="008E3F1A">
        <w:t>on the basis that it should be available only under special arrangements under section 100 – Efficient Funding of Chemotherapy</w:t>
      </w:r>
      <w:r w:rsidR="002E3C00" w:rsidRPr="008E3F1A">
        <w:rPr>
          <w:rFonts w:asciiTheme="minorHAnsi" w:hAnsiTheme="minorHAnsi"/>
          <w:bCs/>
          <w:snapToGrid w:val="0"/>
        </w:rPr>
        <w:t xml:space="preserve">. </w:t>
      </w:r>
      <w:r w:rsidR="00D17D8E" w:rsidRPr="008E3F1A">
        <w:t xml:space="preserve">The PBAC accepted </w:t>
      </w:r>
      <w:r w:rsidR="00BF4A6F" w:rsidRPr="008E3F1A">
        <w:t xml:space="preserve">the substantial clinical benefit of </w:t>
      </w:r>
      <w:r w:rsidR="00D17D8E" w:rsidRPr="008E3F1A">
        <w:t xml:space="preserve">BV+CHP in terms of progression free survival </w:t>
      </w:r>
      <w:r w:rsidR="00BF4A6F" w:rsidRPr="008E3F1A">
        <w:t xml:space="preserve">(PFS) </w:t>
      </w:r>
      <w:r w:rsidR="00D17D8E" w:rsidRPr="008E3F1A">
        <w:t xml:space="preserve">and that the immature overall survival </w:t>
      </w:r>
      <w:r w:rsidR="00BF4A6F" w:rsidRPr="008E3F1A">
        <w:t xml:space="preserve">(OS) </w:t>
      </w:r>
      <w:r w:rsidR="00D17D8E" w:rsidRPr="008E3F1A">
        <w:t>data also suggest a clinical benefit. The PBAC considered the incremental cost-effectiveness ratio</w:t>
      </w:r>
      <w:r w:rsidR="00BF4A6F" w:rsidRPr="008E3F1A">
        <w:t xml:space="preserve"> (ICER)</w:t>
      </w:r>
      <w:r w:rsidR="00D17D8E" w:rsidRPr="008E3F1A">
        <w:t xml:space="preserve"> was high but acceptable at the proposed price </w:t>
      </w:r>
      <w:r w:rsidR="00E37800" w:rsidRPr="008E3F1A">
        <w:rPr>
          <w:bCs/>
        </w:rPr>
        <w:t xml:space="preserve">in the context of this rare disease with a high clinical need and the </w:t>
      </w:r>
      <w:r w:rsidR="00860D09" w:rsidRPr="008E3F1A">
        <w:rPr>
          <w:bCs/>
        </w:rPr>
        <w:t>certainty</w:t>
      </w:r>
      <w:r w:rsidR="00E37800" w:rsidRPr="008E3F1A">
        <w:rPr>
          <w:bCs/>
        </w:rPr>
        <w:t xml:space="preserve"> of the estimated ICER</w:t>
      </w:r>
      <w:r w:rsidR="00BF4A6F" w:rsidRPr="008E3F1A">
        <w:t>. The PBAC recommended</w:t>
      </w:r>
      <w:r w:rsidR="00D17D8E" w:rsidRPr="008E3F1A">
        <w:t xml:space="preserve"> a risk sharing arrangement (RSA) to mitigate any residual uncertainties</w:t>
      </w:r>
      <w:r w:rsidR="00BF4A6F" w:rsidRPr="008E3F1A">
        <w:t xml:space="preserve"> regarding the financial estimates. </w:t>
      </w:r>
    </w:p>
    <w:p w:rsidR="00923C01" w:rsidRPr="008E3F1A" w:rsidRDefault="00923C01" w:rsidP="00923C01">
      <w:pPr>
        <w:widowControl w:val="0"/>
        <w:numPr>
          <w:ilvl w:val="1"/>
          <w:numId w:val="1"/>
        </w:numPr>
        <w:spacing w:after="120"/>
        <w:rPr>
          <w:rFonts w:asciiTheme="minorHAnsi" w:hAnsiTheme="minorHAnsi"/>
          <w:bCs/>
          <w:snapToGrid w:val="0"/>
        </w:rPr>
      </w:pPr>
      <w:r w:rsidRPr="008E3F1A">
        <w:rPr>
          <w:rFonts w:asciiTheme="minorHAnsi" w:hAnsiTheme="minorHAnsi"/>
          <w:bCs/>
          <w:snapToGrid w:val="0"/>
        </w:rPr>
        <w:t xml:space="preserve">The PBAC </w:t>
      </w:r>
      <w:r w:rsidR="00114044" w:rsidRPr="008E3F1A">
        <w:rPr>
          <w:rFonts w:asciiTheme="minorHAnsi" w:hAnsiTheme="minorHAnsi"/>
          <w:bCs/>
          <w:snapToGrid w:val="0"/>
        </w:rPr>
        <w:t>wa</w:t>
      </w:r>
      <w:r w:rsidRPr="008E3F1A">
        <w:rPr>
          <w:rFonts w:asciiTheme="minorHAnsi" w:hAnsiTheme="minorHAnsi"/>
          <w:bCs/>
          <w:snapToGrid w:val="0"/>
        </w:rPr>
        <w:t xml:space="preserve">s satisfied that </w:t>
      </w:r>
      <w:r w:rsidR="002E3C00" w:rsidRPr="008E3F1A">
        <w:rPr>
          <w:rFonts w:asciiTheme="minorHAnsi" w:hAnsiTheme="minorHAnsi"/>
          <w:bCs/>
          <w:snapToGrid w:val="0"/>
        </w:rPr>
        <w:t>BV</w:t>
      </w:r>
      <w:r w:rsidRPr="008E3F1A">
        <w:rPr>
          <w:rFonts w:asciiTheme="minorHAnsi" w:hAnsiTheme="minorHAnsi"/>
          <w:bCs/>
          <w:snapToGrid w:val="0"/>
        </w:rPr>
        <w:t xml:space="preserve"> provides, for some patients, a significant improvement in efficacy over </w:t>
      </w:r>
      <w:r w:rsidR="00BF4A6F" w:rsidRPr="008E3F1A">
        <w:t>cyclophosphamide, doxorubicin, vincristine and prednisone (CHOP)</w:t>
      </w:r>
      <w:r w:rsidRPr="008E3F1A">
        <w:rPr>
          <w:rFonts w:asciiTheme="minorHAnsi" w:hAnsiTheme="minorHAnsi"/>
          <w:bCs/>
          <w:snapToGrid w:val="0"/>
        </w:rPr>
        <w:t>.</w:t>
      </w:r>
    </w:p>
    <w:p w:rsidR="002E3C00" w:rsidRPr="008E3F1A" w:rsidRDefault="006705CB" w:rsidP="00E26A85">
      <w:pPr>
        <w:pStyle w:val="3-BodyText"/>
      </w:pPr>
      <w:r w:rsidRPr="008E3F1A">
        <w:t xml:space="preserve">The PBAC noted the input from the Leukaemia Foundation, Rare Cancers Australia, the Haematology Society of Australia and New Zealand and the </w:t>
      </w:r>
      <w:r w:rsidR="00BB7FC4" w:rsidRPr="008E3F1A">
        <w:t>Australasian</w:t>
      </w:r>
      <w:r w:rsidRPr="008E3F1A">
        <w:t xml:space="preserve"> Leukaemia and Lymphoma Group supporting the listing of BV-CHP for CD30 positive PTCL. </w:t>
      </w:r>
      <w:r w:rsidR="003E772C" w:rsidRPr="008E3F1A">
        <w:t xml:space="preserve">The PBAC acknowledged that </w:t>
      </w:r>
      <w:r w:rsidR="00E26A85" w:rsidRPr="008E3F1A">
        <w:t>there was a</w:t>
      </w:r>
      <w:r w:rsidR="003E772C" w:rsidRPr="008E3F1A">
        <w:t xml:space="preserve"> high clinical need for alternative treatment options to currently available chemotherapy regimens</w:t>
      </w:r>
      <w:r w:rsidR="00E26A85" w:rsidRPr="008E3F1A">
        <w:t xml:space="preserve"> for this </w:t>
      </w:r>
      <w:r w:rsidR="00E26A85" w:rsidRPr="008E3F1A">
        <w:rPr>
          <w:bCs/>
        </w:rPr>
        <w:t>rare group of clinically aggressive non-Hodgkin lymphomas</w:t>
      </w:r>
      <w:r w:rsidR="003E772C" w:rsidRPr="008E3F1A">
        <w:t xml:space="preserve">. </w:t>
      </w:r>
    </w:p>
    <w:p w:rsidR="00C75509" w:rsidRPr="008E3F1A" w:rsidRDefault="00350569" w:rsidP="00E26A85">
      <w:pPr>
        <w:pStyle w:val="3-BodyText"/>
      </w:pPr>
      <w:r w:rsidRPr="008E3F1A">
        <w:rPr>
          <w:iCs/>
          <w:color w:val="000000" w:themeColor="text1"/>
        </w:rPr>
        <w:t xml:space="preserve">The PBAC considered the following appropriate for </w:t>
      </w:r>
      <w:r w:rsidR="00C75509" w:rsidRPr="008E3F1A">
        <w:rPr>
          <w:iCs/>
          <w:color w:val="000000" w:themeColor="text1"/>
        </w:rPr>
        <w:t>the requested listing:</w:t>
      </w:r>
    </w:p>
    <w:p w:rsidR="00C75509" w:rsidRPr="008E3F1A" w:rsidRDefault="00C75509" w:rsidP="00C75509">
      <w:pPr>
        <w:pStyle w:val="3-BodyText"/>
        <w:numPr>
          <w:ilvl w:val="0"/>
          <w:numId w:val="3"/>
        </w:numPr>
        <w:ind w:left="1134"/>
        <w:rPr>
          <w:color w:val="000000" w:themeColor="text1"/>
        </w:rPr>
      </w:pPr>
      <w:r w:rsidRPr="008E3F1A">
        <w:rPr>
          <w:color w:val="000000" w:themeColor="text1"/>
        </w:rPr>
        <w:t>exclusion of cutaneous-type lymphomas (see paragraph 3.5);</w:t>
      </w:r>
    </w:p>
    <w:p w:rsidR="00C75509" w:rsidRPr="008E3F1A" w:rsidRDefault="00350569" w:rsidP="00C75509">
      <w:pPr>
        <w:pStyle w:val="3-BodyText"/>
        <w:numPr>
          <w:ilvl w:val="0"/>
          <w:numId w:val="3"/>
        </w:numPr>
        <w:ind w:left="1134"/>
        <w:rPr>
          <w:color w:val="000000" w:themeColor="text1"/>
        </w:rPr>
      </w:pPr>
      <w:r w:rsidRPr="008E3F1A">
        <w:rPr>
          <w:color w:val="000000" w:themeColor="text1"/>
        </w:rPr>
        <w:t>an Authority Required (Written)</w:t>
      </w:r>
      <w:r w:rsidR="00C75509" w:rsidRPr="008E3F1A">
        <w:rPr>
          <w:color w:val="000000" w:themeColor="text1"/>
        </w:rPr>
        <w:t xml:space="preserve"> listing </w:t>
      </w:r>
      <w:r w:rsidR="003F6512" w:rsidRPr="008E3F1A">
        <w:rPr>
          <w:color w:val="000000" w:themeColor="text1"/>
        </w:rPr>
        <w:t xml:space="preserve">for </w:t>
      </w:r>
      <w:r w:rsidRPr="008E3F1A">
        <w:rPr>
          <w:color w:val="000000" w:themeColor="text1"/>
        </w:rPr>
        <w:t>initial treatment followed by an Authority Required (Telephone) l</w:t>
      </w:r>
      <w:r w:rsidR="00C75509" w:rsidRPr="008E3F1A">
        <w:rPr>
          <w:color w:val="000000" w:themeColor="text1"/>
        </w:rPr>
        <w:t>isting for continuing treatment (see paragraph 3.4);</w:t>
      </w:r>
    </w:p>
    <w:p w:rsidR="00C75509" w:rsidRPr="008E3F1A" w:rsidRDefault="00C75509" w:rsidP="00C75509">
      <w:pPr>
        <w:pStyle w:val="3-BodyText"/>
        <w:numPr>
          <w:ilvl w:val="0"/>
          <w:numId w:val="3"/>
        </w:numPr>
        <w:ind w:left="1134"/>
        <w:rPr>
          <w:color w:val="000000" w:themeColor="text1"/>
        </w:rPr>
      </w:pPr>
      <w:r w:rsidRPr="008E3F1A">
        <w:rPr>
          <w:color w:val="000000" w:themeColor="text1"/>
        </w:rPr>
        <w:t>a requirement for histological confirmation of CD30 expression in at least 3% of malignant cells in the initial restriction (see paragraph 3.3);</w:t>
      </w:r>
    </w:p>
    <w:p w:rsidR="00CE018B" w:rsidRPr="008E3F1A" w:rsidRDefault="00C75509" w:rsidP="00C75509">
      <w:pPr>
        <w:pStyle w:val="3-BodyText"/>
        <w:numPr>
          <w:ilvl w:val="0"/>
          <w:numId w:val="3"/>
        </w:numPr>
        <w:ind w:left="1134"/>
        <w:rPr>
          <w:color w:val="000000" w:themeColor="text1"/>
        </w:rPr>
      </w:pPr>
      <w:r w:rsidRPr="008E3F1A">
        <w:rPr>
          <w:color w:val="000000" w:themeColor="text1"/>
        </w:rPr>
        <w:t>inclusion of the Lugano response criteria in the continuing restriction (see paragraph 3.6)</w:t>
      </w:r>
      <w:r w:rsidR="00CE018B" w:rsidRPr="008E3F1A">
        <w:rPr>
          <w:color w:val="000000" w:themeColor="text1"/>
        </w:rPr>
        <w:t>;</w:t>
      </w:r>
    </w:p>
    <w:p w:rsidR="00C75509" w:rsidRPr="008E3F1A" w:rsidRDefault="00CE018B" w:rsidP="00C75509">
      <w:pPr>
        <w:pStyle w:val="3-BodyText"/>
        <w:numPr>
          <w:ilvl w:val="0"/>
          <w:numId w:val="3"/>
        </w:numPr>
        <w:ind w:left="1134"/>
        <w:rPr>
          <w:color w:val="000000" w:themeColor="text1"/>
        </w:rPr>
      </w:pPr>
      <w:r w:rsidRPr="008E3F1A">
        <w:rPr>
          <w:color w:val="000000" w:themeColor="text1"/>
        </w:rPr>
        <w:t>no grandfathering restriction (paragraph 3.11)</w:t>
      </w:r>
      <w:r w:rsidR="00C75509" w:rsidRPr="008E3F1A">
        <w:rPr>
          <w:color w:val="000000" w:themeColor="text1"/>
        </w:rPr>
        <w:t>.</w:t>
      </w:r>
    </w:p>
    <w:p w:rsidR="006705CB" w:rsidRPr="008E3F1A" w:rsidRDefault="006705CB" w:rsidP="00923C01">
      <w:pPr>
        <w:widowControl w:val="0"/>
        <w:numPr>
          <w:ilvl w:val="1"/>
          <w:numId w:val="1"/>
        </w:numPr>
        <w:spacing w:after="120"/>
        <w:rPr>
          <w:rFonts w:asciiTheme="minorHAnsi" w:hAnsiTheme="minorHAnsi"/>
          <w:bCs/>
          <w:snapToGrid w:val="0"/>
        </w:rPr>
      </w:pPr>
      <w:r w:rsidRPr="008E3F1A">
        <w:rPr>
          <w:rFonts w:asciiTheme="minorHAnsi" w:hAnsiTheme="minorHAnsi"/>
          <w:bCs/>
          <w:snapToGrid w:val="0"/>
        </w:rPr>
        <w:t xml:space="preserve">The PBAC considered CHOP to be an </w:t>
      </w:r>
      <w:r w:rsidR="00BB7FC4" w:rsidRPr="008E3F1A">
        <w:rPr>
          <w:rFonts w:asciiTheme="minorHAnsi" w:hAnsiTheme="minorHAnsi"/>
          <w:bCs/>
          <w:snapToGrid w:val="0"/>
        </w:rPr>
        <w:t xml:space="preserve">appropriate comparator. </w:t>
      </w:r>
    </w:p>
    <w:p w:rsidR="00BB7FC4" w:rsidRPr="008E3F1A" w:rsidRDefault="00BB7FC4" w:rsidP="00403C33">
      <w:pPr>
        <w:pStyle w:val="3-BodyText"/>
      </w:pPr>
      <w:r w:rsidRPr="008E3F1A">
        <w:t xml:space="preserve">The PBAC noted that the claim of superior clinical effectiveness compared to CHOP was based on </w:t>
      </w:r>
      <w:r w:rsidR="001D7A1C" w:rsidRPr="008E3F1A">
        <w:t>objective response rate (ORR)</w:t>
      </w:r>
      <w:r w:rsidR="000B751E" w:rsidRPr="008E3F1A">
        <w:t xml:space="preserve">, </w:t>
      </w:r>
      <w:r w:rsidR="00157939" w:rsidRPr="008E3F1A">
        <w:t>OS</w:t>
      </w:r>
      <w:r w:rsidR="001D7A1C" w:rsidRPr="008E3F1A">
        <w:t xml:space="preserve"> </w:t>
      </w:r>
      <w:r w:rsidR="000B751E" w:rsidRPr="008E3F1A">
        <w:t xml:space="preserve">and </w:t>
      </w:r>
      <w:r w:rsidR="00157939" w:rsidRPr="008E3F1A">
        <w:t>PFS</w:t>
      </w:r>
      <w:r w:rsidR="000B751E" w:rsidRPr="008E3F1A">
        <w:t xml:space="preserve"> </w:t>
      </w:r>
      <w:r w:rsidR="001D7A1C" w:rsidRPr="008E3F1A">
        <w:t xml:space="preserve">from the ECHELON-2 trial </w:t>
      </w:r>
      <w:r w:rsidR="001D7A1C" w:rsidRPr="008E3F1A">
        <w:lastRenderedPageBreak/>
        <w:t xml:space="preserve">(n=452). </w:t>
      </w:r>
      <w:r w:rsidR="00AC2EBE" w:rsidRPr="008E3F1A">
        <w:t xml:space="preserve">The PBAC noted a statistically significant difference in favour of BV+CHP for ORR (OR = 1.91; 95% CI: 1.21, 3.01, p-value = 0.032). </w:t>
      </w:r>
      <w:r w:rsidR="00C523EB" w:rsidRPr="008E3F1A">
        <w:t>T</w:t>
      </w:r>
      <w:r w:rsidR="00E709AF" w:rsidRPr="008E3F1A">
        <w:t xml:space="preserve">he PBAC considered that while the available data show a benefit with respect to OS (HR = 0.66; 95% CI: 0.46, 0.95, p-value = 0.0244), the data are immature. </w:t>
      </w:r>
      <w:r w:rsidR="00764137" w:rsidRPr="008E3F1A">
        <w:t>However, t</w:t>
      </w:r>
      <w:r w:rsidR="000B751E" w:rsidRPr="008E3F1A">
        <w:t xml:space="preserve">he PBAC agreed with the </w:t>
      </w:r>
      <w:r w:rsidR="00764137" w:rsidRPr="008E3F1A">
        <w:t xml:space="preserve">ESC that the clinical effectiveness </w:t>
      </w:r>
      <w:r w:rsidR="000B751E" w:rsidRPr="008E3F1A">
        <w:t xml:space="preserve">claim was adequately supported by the significant improvement in </w:t>
      </w:r>
      <w:r w:rsidR="00764137" w:rsidRPr="008E3F1A">
        <w:t xml:space="preserve">the primary outcome of </w:t>
      </w:r>
      <w:r w:rsidR="000B751E" w:rsidRPr="008E3F1A">
        <w:t>PFS for patients receiving BV+CHP versus CHOP (HR = 0.71; 95% CI: 0.54, 0.93; p-value = 0.0110) with a gain in median PFS of 27.4 months.</w:t>
      </w:r>
    </w:p>
    <w:p w:rsidR="00634FA1" w:rsidRPr="008E3F1A" w:rsidRDefault="00634FA1" w:rsidP="00634FA1">
      <w:pPr>
        <w:widowControl w:val="0"/>
        <w:numPr>
          <w:ilvl w:val="1"/>
          <w:numId w:val="1"/>
        </w:numPr>
        <w:spacing w:after="120"/>
        <w:rPr>
          <w:rFonts w:asciiTheme="minorHAnsi" w:hAnsiTheme="minorHAnsi"/>
          <w:bCs/>
          <w:snapToGrid w:val="0"/>
        </w:rPr>
      </w:pPr>
      <w:r w:rsidRPr="008E3F1A">
        <w:rPr>
          <w:rFonts w:asciiTheme="minorHAnsi" w:hAnsiTheme="minorHAnsi"/>
          <w:bCs/>
          <w:snapToGrid w:val="0"/>
        </w:rPr>
        <w:t xml:space="preserve">The </w:t>
      </w:r>
      <w:r w:rsidR="00AA797B" w:rsidRPr="008E3F1A">
        <w:rPr>
          <w:rFonts w:asciiTheme="minorHAnsi" w:hAnsiTheme="minorHAnsi"/>
          <w:bCs/>
          <w:snapToGrid w:val="0"/>
        </w:rPr>
        <w:t xml:space="preserve">majority of the patient population in ECHELON-2 was of the systemic anaplastic large cell lymphoma (sALCL) subtype (70% of the total population). </w:t>
      </w:r>
      <w:r w:rsidRPr="008E3F1A">
        <w:rPr>
          <w:rFonts w:asciiTheme="minorHAnsi" w:hAnsiTheme="minorHAnsi"/>
          <w:bCs/>
          <w:snapToGrid w:val="0"/>
        </w:rPr>
        <w:t xml:space="preserve">The PBAC noted the PFS </w:t>
      </w:r>
      <w:r w:rsidR="00E50A27" w:rsidRPr="008E3F1A">
        <w:rPr>
          <w:rFonts w:asciiTheme="minorHAnsi" w:hAnsiTheme="minorHAnsi"/>
          <w:bCs/>
          <w:snapToGrid w:val="0"/>
        </w:rPr>
        <w:t xml:space="preserve">results for the sALCL subtype were statistically significant (HR = 0.59; 95% CI: 0.42, 0.84; p-value </w:t>
      </w:r>
      <w:r w:rsidR="00AC2EBE" w:rsidRPr="008E3F1A">
        <w:rPr>
          <w:rFonts w:asciiTheme="minorHAnsi" w:hAnsiTheme="minorHAnsi"/>
          <w:bCs/>
          <w:snapToGrid w:val="0"/>
        </w:rPr>
        <w:t xml:space="preserve">= </w:t>
      </w:r>
      <w:r w:rsidR="00E50A27" w:rsidRPr="008E3F1A">
        <w:rPr>
          <w:rFonts w:asciiTheme="minorHAnsi" w:hAnsiTheme="minorHAnsi"/>
          <w:bCs/>
          <w:snapToGrid w:val="0"/>
        </w:rPr>
        <w:t xml:space="preserve">0.0031) </w:t>
      </w:r>
      <w:r w:rsidR="00C523EB" w:rsidRPr="008E3F1A">
        <w:rPr>
          <w:rFonts w:asciiTheme="minorHAnsi" w:hAnsiTheme="minorHAnsi"/>
          <w:bCs/>
          <w:snapToGrid w:val="0"/>
        </w:rPr>
        <w:t xml:space="preserve">with those for </w:t>
      </w:r>
      <w:r w:rsidR="00AC2EBE" w:rsidRPr="008E3F1A">
        <w:rPr>
          <w:rFonts w:asciiTheme="minorHAnsi" w:hAnsiTheme="minorHAnsi"/>
          <w:bCs/>
          <w:snapToGrid w:val="0"/>
        </w:rPr>
        <w:t xml:space="preserve">the non-sALCL subtype </w:t>
      </w:r>
      <w:r w:rsidR="00C523EB" w:rsidRPr="008E3F1A">
        <w:rPr>
          <w:rFonts w:asciiTheme="minorHAnsi" w:hAnsiTheme="minorHAnsi"/>
          <w:bCs/>
          <w:snapToGrid w:val="0"/>
        </w:rPr>
        <w:t>s</w:t>
      </w:r>
      <w:r w:rsidR="003053F0" w:rsidRPr="008E3F1A">
        <w:rPr>
          <w:rFonts w:asciiTheme="minorHAnsi" w:hAnsiTheme="minorHAnsi"/>
          <w:bCs/>
          <w:snapToGrid w:val="0"/>
        </w:rPr>
        <w:t xml:space="preserve">howing a </w:t>
      </w:r>
      <w:r w:rsidR="00860D09" w:rsidRPr="008E3F1A">
        <w:rPr>
          <w:rFonts w:asciiTheme="minorHAnsi" w:hAnsiTheme="minorHAnsi"/>
          <w:bCs/>
          <w:snapToGrid w:val="0"/>
        </w:rPr>
        <w:t>difference</w:t>
      </w:r>
      <w:r w:rsidR="003053F0" w:rsidRPr="008E3F1A">
        <w:rPr>
          <w:rFonts w:asciiTheme="minorHAnsi" w:hAnsiTheme="minorHAnsi"/>
          <w:bCs/>
          <w:snapToGrid w:val="0"/>
        </w:rPr>
        <w:t xml:space="preserve"> that was not</w:t>
      </w:r>
      <w:r w:rsidR="00C523EB" w:rsidRPr="008E3F1A">
        <w:rPr>
          <w:rFonts w:asciiTheme="minorHAnsi" w:hAnsiTheme="minorHAnsi"/>
          <w:bCs/>
          <w:snapToGrid w:val="0"/>
        </w:rPr>
        <w:t xml:space="preserve"> statistically significant </w:t>
      </w:r>
      <w:r w:rsidR="00AC2EBE" w:rsidRPr="008E3F1A">
        <w:rPr>
          <w:rFonts w:asciiTheme="minorHAnsi" w:hAnsiTheme="minorHAnsi"/>
          <w:bCs/>
          <w:snapToGrid w:val="0"/>
        </w:rPr>
        <w:t xml:space="preserve">(HR = 0.96; 95% CI: 0.62, 1.46). </w:t>
      </w:r>
      <w:r w:rsidR="003053F0" w:rsidRPr="008E3F1A">
        <w:rPr>
          <w:rFonts w:asciiTheme="minorHAnsi" w:hAnsiTheme="minorHAnsi"/>
          <w:bCs/>
          <w:snapToGrid w:val="0"/>
        </w:rPr>
        <w:t xml:space="preserve">The PBAC noted the small number of non-sALCL subtype patients in ECHELON-2 and that the trial was not powered for analyses within histological subtypes. </w:t>
      </w:r>
      <w:r w:rsidR="00860D09" w:rsidRPr="008E3F1A">
        <w:rPr>
          <w:rFonts w:asciiTheme="minorHAnsi" w:hAnsiTheme="minorHAnsi"/>
          <w:bCs/>
          <w:snapToGrid w:val="0"/>
        </w:rPr>
        <w:t>T</w:t>
      </w:r>
      <w:r w:rsidR="003053F0" w:rsidRPr="008E3F1A">
        <w:rPr>
          <w:rFonts w:asciiTheme="minorHAnsi" w:hAnsiTheme="minorHAnsi"/>
          <w:bCs/>
          <w:snapToGrid w:val="0"/>
        </w:rPr>
        <w:t>he PBAC agreed with the evaluation tha</w:t>
      </w:r>
      <w:r w:rsidR="00764137" w:rsidRPr="008E3F1A">
        <w:rPr>
          <w:rFonts w:asciiTheme="minorHAnsi" w:hAnsiTheme="minorHAnsi"/>
          <w:bCs/>
          <w:snapToGrid w:val="0"/>
        </w:rPr>
        <w:t>t there wa</w:t>
      </w:r>
      <w:r w:rsidR="003053F0" w:rsidRPr="008E3F1A">
        <w:rPr>
          <w:rFonts w:asciiTheme="minorHAnsi" w:hAnsiTheme="minorHAnsi"/>
          <w:bCs/>
          <w:snapToGrid w:val="0"/>
        </w:rPr>
        <w:t xml:space="preserve">s </w:t>
      </w:r>
      <w:r w:rsidR="00860D09" w:rsidRPr="008E3F1A">
        <w:rPr>
          <w:rFonts w:asciiTheme="minorHAnsi" w:hAnsiTheme="minorHAnsi"/>
          <w:bCs/>
          <w:snapToGrid w:val="0"/>
        </w:rPr>
        <w:t xml:space="preserve">a </w:t>
      </w:r>
      <w:r w:rsidR="003053F0" w:rsidRPr="008E3F1A">
        <w:rPr>
          <w:rFonts w:asciiTheme="minorHAnsi" w:hAnsiTheme="minorHAnsi"/>
          <w:bCs/>
          <w:snapToGrid w:val="0"/>
        </w:rPr>
        <w:t>biologically plausible reason for BV+CHP to be effective in CD30 positive non-sALCL subtypes.</w:t>
      </w:r>
      <w:r w:rsidR="00764137" w:rsidRPr="008E3F1A">
        <w:rPr>
          <w:rFonts w:asciiTheme="minorHAnsi" w:hAnsiTheme="minorHAnsi"/>
          <w:bCs/>
          <w:snapToGrid w:val="0"/>
        </w:rPr>
        <w:t xml:space="preserve"> Hence, rather than r</w:t>
      </w:r>
      <w:r w:rsidR="00043303" w:rsidRPr="008E3F1A">
        <w:rPr>
          <w:rFonts w:asciiTheme="minorHAnsi" w:hAnsiTheme="minorHAnsi"/>
          <w:bCs/>
          <w:snapToGrid w:val="0"/>
        </w:rPr>
        <w:t xml:space="preserve">estricting use to the </w:t>
      </w:r>
      <w:r w:rsidR="00764137" w:rsidRPr="008E3F1A">
        <w:rPr>
          <w:rFonts w:asciiTheme="minorHAnsi" w:hAnsiTheme="minorHAnsi"/>
          <w:bCs/>
          <w:snapToGrid w:val="0"/>
        </w:rPr>
        <w:t>sALCL</w:t>
      </w:r>
      <w:r w:rsidR="00043303" w:rsidRPr="008E3F1A">
        <w:rPr>
          <w:rFonts w:asciiTheme="minorHAnsi" w:hAnsiTheme="minorHAnsi"/>
          <w:bCs/>
          <w:snapToGrid w:val="0"/>
        </w:rPr>
        <w:t xml:space="preserve"> subtype</w:t>
      </w:r>
      <w:r w:rsidR="00764137" w:rsidRPr="008E3F1A">
        <w:rPr>
          <w:rFonts w:asciiTheme="minorHAnsi" w:hAnsiTheme="minorHAnsi"/>
          <w:bCs/>
          <w:snapToGrid w:val="0"/>
        </w:rPr>
        <w:t>, the PBAC considered use in</w:t>
      </w:r>
      <w:r w:rsidR="00764137" w:rsidRPr="008E3F1A">
        <w:rPr>
          <w:bCs/>
          <w:iCs/>
        </w:rPr>
        <w:t xml:space="preserve"> previously untreated</w:t>
      </w:r>
      <w:r w:rsidR="00764137" w:rsidRPr="008E3F1A">
        <w:rPr>
          <w:rFonts w:asciiTheme="minorHAnsi" w:hAnsiTheme="minorHAnsi"/>
          <w:bCs/>
          <w:snapToGrid w:val="0"/>
        </w:rPr>
        <w:t xml:space="preserve"> CD30 positive PTCL appropriate. </w:t>
      </w:r>
    </w:p>
    <w:p w:rsidR="00AA797B" w:rsidRPr="008E3F1A" w:rsidRDefault="00C22E8B" w:rsidP="00923C01">
      <w:pPr>
        <w:widowControl w:val="0"/>
        <w:numPr>
          <w:ilvl w:val="1"/>
          <w:numId w:val="1"/>
        </w:numPr>
        <w:spacing w:after="120"/>
        <w:rPr>
          <w:rFonts w:asciiTheme="minorHAnsi" w:hAnsiTheme="minorHAnsi"/>
          <w:bCs/>
          <w:snapToGrid w:val="0"/>
        </w:rPr>
      </w:pPr>
      <w:r w:rsidRPr="008E3F1A">
        <w:rPr>
          <w:rFonts w:asciiTheme="minorHAnsi" w:hAnsiTheme="minorHAnsi"/>
          <w:bCs/>
          <w:snapToGrid w:val="0"/>
        </w:rPr>
        <w:t xml:space="preserve">The PBAC considered that the claim of non-inferior safety for BV-CHP compared to CHOP was adequately supported by the data. In addition, the PBAC agreed with the ESC that it was reasonable to conclude that the adverse event profile observed for the sALCL subtype does not differ from that of the overall population. </w:t>
      </w:r>
    </w:p>
    <w:p w:rsidR="00C9244F" w:rsidRPr="008E3F1A" w:rsidRDefault="00312034" w:rsidP="00DF72F6">
      <w:pPr>
        <w:pStyle w:val="3-BodyText"/>
      </w:pPr>
      <w:r w:rsidRPr="008E3F1A">
        <w:t xml:space="preserve">The PBAC noted that the cost-utility analysis for BV+CHP versus CHOP </w:t>
      </w:r>
      <w:r w:rsidR="00C9244F" w:rsidRPr="008E3F1A">
        <w:t xml:space="preserve">assumed maintenance of the treatment effect (a difference in OS between treatment arms) over the </w:t>
      </w:r>
      <w:r w:rsidRPr="008E3F1A">
        <w:t xml:space="preserve">45 year time horizon of the model. </w:t>
      </w:r>
      <w:r w:rsidR="00C9244F" w:rsidRPr="008E3F1A">
        <w:t xml:space="preserve">The </w:t>
      </w:r>
      <w:r w:rsidRPr="008E3F1A">
        <w:t xml:space="preserve">PBAC </w:t>
      </w:r>
      <w:r w:rsidR="00C9244F" w:rsidRPr="008E3F1A">
        <w:t>considered</w:t>
      </w:r>
      <w:r w:rsidRPr="008E3F1A">
        <w:t xml:space="preserve"> that a 45 year time horizon was not appropriate </w:t>
      </w:r>
      <w:r w:rsidR="009C4ED0" w:rsidRPr="008E3F1A">
        <w:t xml:space="preserve">given CD30 positive PTCL is an aggressive lymphoid neoplasm. In addition, the PBAC considered the assumed maintenance of the treatment effect over the lifetime of the analysis was not appropriate given the immaturity of the OS data in ECHELON-2. The PBAC advised that </w:t>
      </w:r>
      <w:r w:rsidRPr="008E3F1A">
        <w:t xml:space="preserve">convergence of the </w:t>
      </w:r>
      <w:r w:rsidR="00C9244F" w:rsidRPr="008E3F1A">
        <w:t xml:space="preserve">OS curves was appropriate </w:t>
      </w:r>
      <w:r w:rsidR="009C4ED0" w:rsidRPr="008E3F1A">
        <w:t xml:space="preserve">and </w:t>
      </w:r>
      <w:r w:rsidRPr="008E3F1A">
        <w:t>agreed with the ESC</w:t>
      </w:r>
      <w:r w:rsidR="00C9244F" w:rsidRPr="008E3F1A">
        <w:t xml:space="preserve"> that it may be reasonable for this to occur from year 5 to year 15 given the median age of patients in the trial </w:t>
      </w:r>
      <w:r w:rsidR="009C4ED0" w:rsidRPr="008E3F1A">
        <w:t xml:space="preserve">(58 years) </w:t>
      </w:r>
      <w:r w:rsidR="00C9244F" w:rsidRPr="008E3F1A">
        <w:t>and the aggressive nature of the disease.</w:t>
      </w:r>
      <w:r w:rsidRPr="008E3F1A">
        <w:t xml:space="preserve"> </w:t>
      </w:r>
      <w:r w:rsidR="00993588" w:rsidRPr="008E3F1A">
        <w:t xml:space="preserve">As such, the PBAC considered the respecified base case proposed by ESC appropriate (see paragraph 6.47) and noted the ICER increased from </w:t>
      </w:r>
      <w:r w:rsidR="00DF72F6" w:rsidRPr="00DF72F6">
        <w:rPr>
          <w:bCs/>
        </w:rPr>
        <w:t>$25,000 to &lt; $35,000</w:t>
      </w:r>
      <w:r w:rsidR="003B4F74" w:rsidRPr="008E3F1A">
        <w:t xml:space="preserve">/QALY (base case) </w:t>
      </w:r>
      <w:r w:rsidR="003F6512" w:rsidRPr="008E3F1A">
        <w:t>to</w:t>
      </w:r>
      <w:r w:rsidR="00C9244F" w:rsidRPr="008E3F1A">
        <w:t xml:space="preserve"> </w:t>
      </w:r>
      <w:r w:rsidR="00DF72F6" w:rsidRPr="00DF72F6">
        <w:t>$75,000 to &lt; $95,000</w:t>
      </w:r>
      <w:r w:rsidR="00C9244F" w:rsidRPr="008E3F1A">
        <w:t xml:space="preserve">/QALY </w:t>
      </w:r>
      <w:r w:rsidR="003B4F74" w:rsidRPr="008E3F1A">
        <w:t xml:space="preserve">(respecified base case) with a time horizon of 45 years. The PBAC noted </w:t>
      </w:r>
      <w:r w:rsidR="005A0148" w:rsidRPr="008E3F1A">
        <w:t xml:space="preserve">with convergence at 15 years, the ICER was similar for a time horizon of 15 years or longer. </w:t>
      </w:r>
      <w:r w:rsidR="003B4F74" w:rsidRPr="008E3F1A">
        <w:t>The PBAC</w:t>
      </w:r>
      <w:r w:rsidR="00523738" w:rsidRPr="008E3F1A">
        <w:t xml:space="preserve"> advised</w:t>
      </w:r>
      <w:r w:rsidR="003B4F74" w:rsidRPr="008E3F1A">
        <w:t xml:space="preserve"> </w:t>
      </w:r>
      <w:r w:rsidR="005B72EC" w:rsidRPr="008E3F1A">
        <w:t xml:space="preserve">that </w:t>
      </w:r>
      <w:r w:rsidR="001823C5" w:rsidRPr="008E3F1A">
        <w:t>with a</w:t>
      </w:r>
      <w:r w:rsidR="005A0148" w:rsidRPr="008E3F1A">
        <w:t xml:space="preserve"> respecified base case</w:t>
      </w:r>
      <w:r w:rsidR="006C1C47">
        <w:t xml:space="preserve"> </w:t>
      </w:r>
      <w:r w:rsidR="005B72EC" w:rsidRPr="008E3F1A">
        <w:t xml:space="preserve">ICER of </w:t>
      </w:r>
      <w:r w:rsidR="00DF72F6" w:rsidRPr="00DF72F6">
        <w:t>$75,000 to &lt; $95,000</w:t>
      </w:r>
      <w:r w:rsidR="005B72EC" w:rsidRPr="008E3F1A">
        <w:t>/QALY</w:t>
      </w:r>
      <w:r w:rsidR="00523738" w:rsidRPr="008E3F1A">
        <w:t>,</w:t>
      </w:r>
      <w:r w:rsidR="005B72EC" w:rsidRPr="008E3F1A">
        <w:t xml:space="preserve"> </w:t>
      </w:r>
      <w:r w:rsidR="00523738" w:rsidRPr="008E3F1A">
        <w:t xml:space="preserve">while </w:t>
      </w:r>
      <w:r w:rsidR="00157939" w:rsidRPr="008E3F1A">
        <w:t>high</w:t>
      </w:r>
      <w:r w:rsidR="00523738" w:rsidRPr="008E3F1A">
        <w:t xml:space="preserve">, </w:t>
      </w:r>
      <w:r w:rsidR="005A0148" w:rsidRPr="008E3F1A">
        <w:t xml:space="preserve">BV was </w:t>
      </w:r>
      <w:r w:rsidR="005B72EC" w:rsidRPr="008E3F1A">
        <w:t>cost-effe</w:t>
      </w:r>
      <w:r w:rsidR="00A937D6" w:rsidRPr="008E3F1A">
        <w:t>ctive</w:t>
      </w:r>
      <w:r w:rsidR="00523738" w:rsidRPr="008E3F1A">
        <w:t xml:space="preserve"> </w:t>
      </w:r>
      <w:r w:rsidR="00157939" w:rsidRPr="008E3F1A">
        <w:t xml:space="preserve">at the price proposed in the submission </w:t>
      </w:r>
      <w:r w:rsidR="00523738" w:rsidRPr="008E3F1A">
        <w:t>in the context of this rare disease with a high clinical need</w:t>
      </w:r>
      <w:r w:rsidR="005A0148" w:rsidRPr="008E3F1A">
        <w:t xml:space="preserve"> and the </w:t>
      </w:r>
      <w:r w:rsidR="00860D09" w:rsidRPr="008E3F1A">
        <w:t>certainty</w:t>
      </w:r>
      <w:r w:rsidR="005A0148" w:rsidRPr="008E3F1A">
        <w:t xml:space="preserve"> of the estimated ICER</w:t>
      </w:r>
      <w:r w:rsidR="00523738" w:rsidRPr="008E3F1A">
        <w:t xml:space="preserve">. </w:t>
      </w:r>
    </w:p>
    <w:p w:rsidR="00142F5A" w:rsidRPr="008E3F1A" w:rsidRDefault="00D809CD" w:rsidP="00B62B0E">
      <w:pPr>
        <w:pStyle w:val="3-BodyText"/>
      </w:pPr>
      <w:r w:rsidRPr="008E3F1A">
        <w:lastRenderedPageBreak/>
        <w:t>The PBAC noted that updated financial estimates</w:t>
      </w:r>
      <w:r w:rsidR="004617D3" w:rsidRPr="008E3F1A">
        <w:t xml:space="preserve"> were provided in the </w:t>
      </w:r>
      <w:r w:rsidR="004617D3" w:rsidRPr="008E3F1A">
        <w:rPr>
          <w:rFonts w:ascii="Calibri" w:hAnsi="Calibri"/>
          <w:iCs/>
          <w:snapToGrid/>
          <w:color w:val="000000" w:themeColor="text1"/>
        </w:rPr>
        <w:t>Pre-Sub-Committee Response (PSCR)</w:t>
      </w:r>
      <w:r w:rsidR="004617D3" w:rsidRPr="008E3F1A">
        <w:t xml:space="preserve"> that assumed </w:t>
      </w:r>
      <w:r w:rsidRPr="008E3F1A">
        <w:t>the use of BV in the second-line setting</w:t>
      </w:r>
      <w:r w:rsidR="004617D3" w:rsidRPr="008E3F1A">
        <w:t>,</w:t>
      </w:r>
      <w:r w:rsidRPr="008E3F1A">
        <w:t xml:space="preserve"> post BV first-line</w:t>
      </w:r>
      <w:r w:rsidR="004617D3" w:rsidRPr="008E3F1A">
        <w:t>,</w:t>
      </w:r>
      <w:r w:rsidRPr="008E3F1A">
        <w:t xml:space="preserve"> would mirror that in ECHELON-2</w:t>
      </w:r>
      <w:r w:rsidR="00082298" w:rsidRPr="008E3F1A">
        <w:t xml:space="preserve"> where </w:t>
      </w:r>
      <w:r w:rsidR="008406A4" w:rsidRPr="008E3F1A">
        <w:t xml:space="preserve">there was a reduction of </w:t>
      </w:r>
      <w:r w:rsidR="003F2520">
        <w:rPr>
          <w:noProof/>
          <w:color w:val="000000"/>
          <w:highlight w:val="black"/>
        </w:rPr>
        <w:t>''''''''</w:t>
      </w:r>
      <w:r w:rsidR="00082298" w:rsidRPr="008E3F1A">
        <w:t xml:space="preserve">% </w:t>
      </w:r>
      <w:r w:rsidR="008406A4" w:rsidRPr="008E3F1A">
        <w:t xml:space="preserve">of use of BV for </w:t>
      </w:r>
      <w:r w:rsidR="00082298" w:rsidRPr="008E3F1A">
        <w:t>relapsed/refractory sALCL patients</w:t>
      </w:r>
      <w:r w:rsidR="00B62B0E" w:rsidRPr="008E3F1A">
        <w:t xml:space="preserve"> (see paragraph 6.57)</w:t>
      </w:r>
      <w:r w:rsidR="004617D3" w:rsidRPr="008E3F1A">
        <w:t>.</w:t>
      </w:r>
      <w:r w:rsidR="008A65C2" w:rsidRPr="008E3F1A">
        <w:t xml:space="preserve"> </w:t>
      </w:r>
      <w:r w:rsidRPr="008E3F1A">
        <w:t>The PBAC agreed with the ESC that the approach taken to update the fin</w:t>
      </w:r>
      <w:r w:rsidR="008A65C2" w:rsidRPr="008E3F1A">
        <w:t>ancial estimates was appropriate</w:t>
      </w:r>
      <w:r w:rsidR="006C6347" w:rsidRPr="008E3F1A">
        <w:t xml:space="preserve"> and that there was no need to include grandfathered patients in the estimates</w:t>
      </w:r>
      <w:r w:rsidR="00F508BB" w:rsidRPr="008E3F1A">
        <w:t xml:space="preserve"> (see paragraphs 6.60 and 6.61)</w:t>
      </w:r>
      <w:r w:rsidRPr="008E3F1A">
        <w:t xml:space="preserve">. </w:t>
      </w:r>
    </w:p>
    <w:p w:rsidR="008A65C2" w:rsidRPr="008E3F1A" w:rsidRDefault="007771B9" w:rsidP="008A65C2">
      <w:pPr>
        <w:pStyle w:val="3-BodyText"/>
      </w:pPr>
      <w:r w:rsidRPr="008E3F1A">
        <w:t xml:space="preserve">The PBAC noted </w:t>
      </w:r>
      <w:r w:rsidR="00142F5A" w:rsidRPr="008E3F1A">
        <w:rPr>
          <w:iCs/>
          <w:color w:val="000000" w:themeColor="text1"/>
        </w:rPr>
        <w:t xml:space="preserve">the current listing of BV monotherapy in relapsed/refractory sALCL is subject to </w:t>
      </w:r>
      <w:r w:rsidRPr="008E3F1A">
        <w:rPr>
          <w:iCs/>
          <w:color w:val="000000" w:themeColor="text1"/>
        </w:rPr>
        <w:t>a risk sharing arrangement</w:t>
      </w:r>
      <w:r w:rsidR="00D408DB" w:rsidRPr="008E3F1A">
        <w:rPr>
          <w:iCs/>
          <w:color w:val="000000" w:themeColor="text1"/>
        </w:rPr>
        <w:t xml:space="preserve"> (RSA)</w:t>
      </w:r>
      <w:r w:rsidR="00142F5A" w:rsidRPr="008E3F1A">
        <w:rPr>
          <w:iCs/>
          <w:color w:val="000000" w:themeColor="text1"/>
        </w:rPr>
        <w:t xml:space="preserve"> </w:t>
      </w:r>
      <w:r w:rsidR="003F2520">
        <w:rPr>
          <w:iCs/>
          <w:noProof/>
          <w:color w:val="000000"/>
          <w:highlight w:val="black"/>
        </w:rPr>
        <w:t>''''''''' '''''''''''''''''''''''''' '''''''''' '''''''' ''''''''' ''''''''''''''''''''''''' '''''''' '''''' '''''' '''''''''''''''''''' ''''''''''''''''' ''''''''' ''''' ''''''''''''''' ''' ''''''' ''''''''''''' '''''''' '''''' ''''' '''''''''''''''''''''''''''' '''' '''''''''''''''''''''''''''''''''''''' ''''''''''' '''' '''''''''''''' ''''''' ''''''''''''''' '''''''''''''''''''''''' '''''''' ''''''' ''''''''''''''''' ''''''''''''''''''''' ''''''''''''''''''' ''''''' '''''''''''''''''''' '''' '''''' '''''' '''' ''''' '''' ''''''' ''''''''''''''''''''''''''''''''''''''' ''''''''''''' ''''''' '''''''''' '''''''''''''''' ''''''' ''''''' ''''''''''''''''' ''''''''''''' ''''''''''''''''''''''' ''''''''' '''''''''''''' ''''' '''''''''''' '''' '''''''''''''''' '''''' '''' ''''''' ''''''' '''' ''''' '''' ''' '''''''' ''''''' ''''''''''''''''''' '''''' '''''''''' ''''''' ''''' '''''' '''''''''''''''' '''''''' ''''' ''''' '''''' ''''''' '''''''''''''''''''' '''' ''''''''''''''''''''''''''''''''''''''' ''''''''''''' ''''''''''' ''''' '''''' '''''''''''''' ''''''''''''''' ''''''''''''''''''' '''''''''''''''' '''' '''''' ''''''''' '''''''' ''''''''''''''''' ''''''''''</w:t>
      </w:r>
      <w:r w:rsidRPr="008E3F1A">
        <w:rPr>
          <w:iCs/>
          <w:color w:val="000000" w:themeColor="text1"/>
        </w:rPr>
        <w:t xml:space="preserve">  </w:t>
      </w:r>
    </w:p>
    <w:p w:rsidR="003368DB" w:rsidRPr="008E3F1A" w:rsidRDefault="003368DB" w:rsidP="003368DB">
      <w:pPr>
        <w:pStyle w:val="3-BodyText"/>
      </w:pPr>
      <w:r w:rsidRPr="008E3F1A">
        <w:t xml:space="preserve">The PBAC advised that BV is not suitable for prescribing by nurse practitioners. </w:t>
      </w:r>
    </w:p>
    <w:p w:rsidR="003368DB" w:rsidRPr="008E3F1A" w:rsidRDefault="003368DB" w:rsidP="003368DB">
      <w:pPr>
        <w:pStyle w:val="3-BodyText"/>
      </w:pPr>
      <w:r w:rsidRPr="008E3F1A">
        <w:t xml:space="preserve">The PBAC recommended that the Early Supply Rule should not apply. </w:t>
      </w:r>
    </w:p>
    <w:p w:rsidR="008A65C2" w:rsidRPr="008E3F1A" w:rsidRDefault="00D003A2" w:rsidP="00D003A2">
      <w:pPr>
        <w:pStyle w:val="3-BodyText"/>
        <w:rPr>
          <w:iCs/>
          <w:color w:val="000000" w:themeColor="text1"/>
        </w:rPr>
      </w:pPr>
      <w:r w:rsidRPr="008E3F1A">
        <w:rPr>
          <w:bCs/>
        </w:rPr>
        <w:t xml:space="preserve">The PBAC noted </w:t>
      </w:r>
      <w:r w:rsidR="00D95F4C" w:rsidRPr="008E3F1A">
        <w:rPr>
          <w:bCs/>
        </w:rPr>
        <w:t xml:space="preserve">the flow-on restriction changes </w:t>
      </w:r>
      <w:r w:rsidRPr="008E3F1A">
        <w:rPr>
          <w:bCs/>
        </w:rPr>
        <w:t>required to the BV monotherapy listing for relapsed/refractory sALCL</w:t>
      </w:r>
      <w:r w:rsidR="00D95F4C" w:rsidRPr="008E3F1A">
        <w:rPr>
          <w:bCs/>
        </w:rPr>
        <w:t xml:space="preserve"> [</w:t>
      </w:r>
      <w:r w:rsidR="003368DB" w:rsidRPr="008E3F1A">
        <w:rPr>
          <w:bCs/>
        </w:rPr>
        <w:t>10166C, 10171H, 10172J, 10180T]</w:t>
      </w:r>
      <w:r w:rsidRPr="008E3F1A">
        <w:rPr>
          <w:bCs/>
        </w:rPr>
        <w:t>:</w:t>
      </w:r>
    </w:p>
    <w:p w:rsidR="007A3686" w:rsidRPr="008E3F1A" w:rsidRDefault="00CE018B" w:rsidP="00D003A2">
      <w:pPr>
        <w:pStyle w:val="3-BodyText"/>
        <w:numPr>
          <w:ilvl w:val="0"/>
          <w:numId w:val="3"/>
        </w:numPr>
        <w:ind w:left="1134"/>
        <w:rPr>
          <w:color w:val="000000" w:themeColor="text1"/>
        </w:rPr>
      </w:pPr>
      <w:r w:rsidRPr="008E3F1A">
        <w:rPr>
          <w:color w:val="000000" w:themeColor="text1"/>
        </w:rPr>
        <w:t>Amendment of the clinical criteria</w:t>
      </w:r>
      <w:r w:rsidR="007A3686" w:rsidRPr="008E3F1A">
        <w:rPr>
          <w:color w:val="000000" w:themeColor="text1"/>
        </w:rPr>
        <w:t xml:space="preserve"> to ensure patients who are primary refractory to BV-CHP </w:t>
      </w:r>
      <w:r w:rsidRPr="008E3F1A">
        <w:rPr>
          <w:color w:val="000000" w:themeColor="text1"/>
        </w:rPr>
        <w:t xml:space="preserve">for </w:t>
      </w:r>
      <w:r w:rsidRPr="008E3F1A">
        <w:rPr>
          <w:iCs/>
          <w:color w:val="000000" w:themeColor="text1"/>
        </w:rPr>
        <w:t xml:space="preserve">previously untreated PTCL </w:t>
      </w:r>
      <w:r w:rsidR="007A3686" w:rsidRPr="008E3F1A">
        <w:rPr>
          <w:color w:val="000000" w:themeColor="text1"/>
        </w:rPr>
        <w:t>do not receive BV in the second-line setting</w:t>
      </w:r>
      <w:r w:rsidRPr="008E3F1A">
        <w:rPr>
          <w:color w:val="000000" w:themeColor="text1"/>
        </w:rPr>
        <w:t xml:space="preserve"> (see paragraph </w:t>
      </w:r>
      <w:r w:rsidR="008D6190" w:rsidRPr="008E3F1A">
        <w:rPr>
          <w:color w:val="000000" w:themeColor="text1"/>
        </w:rPr>
        <w:t>3.9)</w:t>
      </w:r>
      <w:r w:rsidR="007A3686" w:rsidRPr="008E3F1A">
        <w:rPr>
          <w:color w:val="000000" w:themeColor="text1"/>
        </w:rPr>
        <w:t>.</w:t>
      </w:r>
    </w:p>
    <w:p w:rsidR="00CE018B" w:rsidRPr="008E3F1A" w:rsidRDefault="008D6190" w:rsidP="00D003A2">
      <w:pPr>
        <w:pStyle w:val="3-BodyText"/>
        <w:numPr>
          <w:ilvl w:val="0"/>
          <w:numId w:val="3"/>
        </w:numPr>
        <w:ind w:left="1134"/>
        <w:rPr>
          <w:color w:val="000000" w:themeColor="text1"/>
        </w:rPr>
      </w:pPr>
      <w:r w:rsidRPr="008E3F1A">
        <w:rPr>
          <w:iCs/>
        </w:rPr>
        <w:t xml:space="preserve">Amendment of the number of cycles allowed in a lifetime </w:t>
      </w:r>
      <w:r w:rsidR="00D95F4C" w:rsidRPr="008E3F1A">
        <w:rPr>
          <w:iCs/>
        </w:rPr>
        <w:t xml:space="preserve">to enable </w:t>
      </w:r>
      <w:r w:rsidRPr="008E3F1A">
        <w:rPr>
          <w:iCs/>
        </w:rPr>
        <w:t xml:space="preserve">use of BV monotherapy for relapsed/refractory sALCL </w:t>
      </w:r>
      <w:r w:rsidRPr="008E3F1A">
        <w:rPr>
          <w:lang w:eastAsia="en-US"/>
        </w:rPr>
        <w:t>patients who achieve a response to front-line BV containing therapy (see paragraph 3.10)</w:t>
      </w:r>
      <w:r w:rsidR="00CE018B" w:rsidRPr="008E3F1A">
        <w:rPr>
          <w:iCs/>
        </w:rPr>
        <w:t>.</w:t>
      </w:r>
    </w:p>
    <w:p w:rsidR="003368DB" w:rsidRPr="008E3F1A" w:rsidRDefault="003368DB" w:rsidP="00923C01">
      <w:pPr>
        <w:widowControl w:val="0"/>
        <w:numPr>
          <w:ilvl w:val="1"/>
          <w:numId w:val="1"/>
        </w:numPr>
        <w:contextualSpacing/>
        <w:rPr>
          <w:rFonts w:asciiTheme="minorHAnsi" w:hAnsiTheme="minorHAnsi"/>
          <w:bCs/>
          <w:snapToGrid w:val="0"/>
        </w:rPr>
      </w:pPr>
      <w:r w:rsidRPr="008E3F1A">
        <w:rPr>
          <w:rFonts w:asciiTheme="minorHAnsi" w:hAnsiTheme="minorHAnsi"/>
          <w:bCs/>
          <w:snapToGrid w:val="0"/>
          <w:lang w:eastAsia="en-US"/>
        </w:rPr>
        <w:t xml:space="preserve">The PBAC found that the criteria prescribed by the </w:t>
      </w:r>
      <w:r w:rsidRPr="008E3F1A">
        <w:rPr>
          <w:rFonts w:asciiTheme="minorHAnsi" w:hAnsiTheme="minorHAnsi"/>
          <w:bCs/>
          <w:i/>
          <w:snapToGrid w:val="0"/>
          <w:lang w:eastAsia="en-US"/>
        </w:rPr>
        <w:t>National Health (Pharmaceuticals and Vaccines – Cost Recovery) Regulations 2009</w:t>
      </w:r>
      <w:r w:rsidRPr="008E3F1A">
        <w:rPr>
          <w:rFonts w:asciiTheme="minorHAnsi" w:hAnsiTheme="minorHAnsi"/>
          <w:bCs/>
          <w:snapToGrid w:val="0"/>
          <w:lang w:eastAsia="en-US"/>
        </w:rPr>
        <w:t xml:space="preserve"> for Pricing Pathway A were met. Specifically the PBAC found that in the circumstances of its recommendation for BV:</w:t>
      </w:r>
    </w:p>
    <w:p w:rsidR="009300C7" w:rsidRPr="008E3F1A" w:rsidRDefault="00724CBA" w:rsidP="00724CBA">
      <w:pPr>
        <w:pStyle w:val="ListParagraph"/>
        <w:numPr>
          <w:ilvl w:val="0"/>
          <w:numId w:val="28"/>
        </w:numPr>
        <w:rPr>
          <w:bCs/>
        </w:rPr>
      </w:pPr>
      <w:r w:rsidRPr="008E3F1A">
        <w:rPr>
          <w:bCs/>
          <w:lang w:eastAsia="en-US"/>
        </w:rPr>
        <w:t>The treatment is expected to provide a substantial and clinically relevant improvement in efficacy, over alternative t</w:t>
      </w:r>
      <w:r w:rsidR="009300C7" w:rsidRPr="008E3F1A">
        <w:rPr>
          <w:bCs/>
          <w:lang w:eastAsia="en-US"/>
        </w:rPr>
        <w:t>herapies (see paragraph 7.6)</w:t>
      </w:r>
      <w:r w:rsidRPr="008E3F1A">
        <w:rPr>
          <w:bCs/>
          <w:lang w:eastAsia="en-US"/>
        </w:rPr>
        <w:t xml:space="preserve">; </w:t>
      </w:r>
    </w:p>
    <w:p w:rsidR="009300C7" w:rsidRPr="008E3F1A" w:rsidRDefault="009300C7" w:rsidP="00724CBA">
      <w:pPr>
        <w:pStyle w:val="ListParagraph"/>
        <w:numPr>
          <w:ilvl w:val="0"/>
          <w:numId w:val="28"/>
        </w:numPr>
        <w:rPr>
          <w:bCs/>
        </w:rPr>
      </w:pPr>
      <w:r w:rsidRPr="008E3F1A">
        <w:rPr>
          <w:bCs/>
        </w:rPr>
        <w:t>The treatment is expected to address a high and urgent unmet clinical need due to the rare and clinically aggressive nature of PTCL (see paragraph 7.3);</w:t>
      </w:r>
    </w:p>
    <w:p w:rsidR="00923C01" w:rsidRPr="008E3F1A" w:rsidRDefault="009300C7" w:rsidP="009300C7">
      <w:pPr>
        <w:pStyle w:val="ListParagraph"/>
        <w:numPr>
          <w:ilvl w:val="0"/>
          <w:numId w:val="28"/>
        </w:numPr>
        <w:rPr>
          <w:rFonts w:cstheme="minorHAnsi"/>
        </w:rPr>
      </w:pPr>
      <w:r w:rsidRPr="008E3F1A">
        <w:rPr>
          <w:bCs/>
          <w:lang w:eastAsia="en-US"/>
        </w:rPr>
        <w:t xml:space="preserve">It would be in the public interest for the subsequent pricing application to be progressed under Pricing Pathway A on the basis of the preceding findings. </w:t>
      </w:r>
    </w:p>
    <w:p w:rsidR="00923C01" w:rsidRPr="008E3F1A" w:rsidRDefault="003368DB" w:rsidP="003368DB">
      <w:pPr>
        <w:pStyle w:val="3-BodyText"/>
        <w:rPr>
          <w:i/>
        </w:rPr>
      </w:pPr>
      <w:r w:rsidRPr="008E3F1A">
        <w:t xml:space="preserve">The PBAC noted that this submission is not eligible for an Independent Review as it received a positive recommendation. </w:t>
      </w:r>
    </w:p>
    <w:p w:rsidR="00923C01" w:rsidRPr="008E3F1A" w:rsidRDefault="00923C01" w:rsidP="00923C01">
      <w:pPr>
        <w:spacing w:before="240"/>
        <w:rPr>
          <w:rFonts w:asciiTheme="minorHAnsi" w:hAnsiTheme="minorHAnsi"/>
          <w:b/>
          <w:bCs/>
          <w:snapToGrid w:val="0"/>
        </w:rPr>
      </w:pPr>
      <w:r w:rsidRPr="008E3F1A">
        <w:rPr>
          <w:rFonts w:asciiTheme="minorHAnsi" w:hAnsiTheme="minorHAnsi"/>
          <w:b/>
          <w:bCs/>
          <w:snapToGrid w:val="0"/>
        </w:rPr>
        <w:lastRenderedPageBreak/>
        <w:t>Outcome:</w:t>
      </w:r>
    </w:p>
    <w:p w:rsidR="00923C01" w:rsidRPr="008E3F1A" w:rsidRDefault="00923C01" w:rsidP="00923C01">
      <w:pPr>
        <w:rPr>
          <w:rFonts w:asciiTheme="minorHAnsi" w:hAnsiTheme="minorHAnsi"/>
          <w:bCs/>
          <w:snapToGrid w:val="0"/>
        </w:rPr>
      </w:pPr>
      <w:r w:rsidRPr="008E3F1A">
        <w:rPr>
          <w:rFonts w:asciiTheme="minorHAnsi" w:hAnsiTheme="minorHAnsi"/>
          <w:bCs/>
          <w:snapToGrid w:val="0"/>
        </w:rPr>
        <w:t xml:space="preserve">Recommended </w:t>
      </w:r>
    </w:p>
    <w:p w:rsidR="00923C01" w:rsidRPr="008E3F1A" w:rsidRDefault="00923C01" w:rsidP="0049793D">
      <w:pPr>
        <w:keepNext/>
        <w:widowControl w:val="0"/>
        <w:numPr>
          <w:ilvl w:val="0"/>
          <w:numId w:val="1"/>
        </w:numPr>
        <w:spacing w:before="240" w:after="120"/>
        <w:jc w:val="left"/>
        <w:outlineLvl w:val="0"/>
        <w:rPr>
          <w:rFonts w:asciiTheme="minorHAnsi" w:hAnsiTheme="minorHAnsi"/>
          <w:b/>
          <w:snapToGrid w:val="0"/>
          <w:sz w:val="32"/>
          <w:szCs w:val="32"/>
        </w:rPr>
      </w:pPr>
      <w:r w:rsidRPr="008E3F1A">
        <w:rPr>
          <w:rFonts w:asciiTheme="minorHAnsi" w:hAnsiTheme="minorHAnsi"/>
          <w:b/>
          <w:snapToGrid w:val="0"/>
          <w:sz w:val="32"/>
          <w:szCs w:val="32"/>
        </w:rPr>
        <w:t>Recommended listing</w:t>
      </w:r>
    </w:p>
    <w:p w:rsidR="0049793D" w:rsidRPr="008E3F1A" w:rsidRDefault="0049793D" w:rsidP="00923C01">
      <w:pPr>
        <w:widowControl w:val="0"/>
        <w:numPr>
          <w:ilvl w:val="1"/>
          <w:numId w:val="1"/>
        </w:numPr>
        <w:spacing w:after="120"/>
        <w:rPr>
          <w:rFonts w:asciiTheme="minorHAnsi" w:hAnsiTheme="minorHAnsi"/>
          <w:b/>
          <w:bCs/>
          <w:snapToGrid w:val="0"/>
        </w:rPr>
      </w:pPr>
      <w:r w:rsidRPr="008E3F1A">
        <w:rPr>
          <w:rFonts w:asciiTheme="minorHAnsi" w:hAnsiTheme="minorHAnsi"/>
          <w:bCs/>
          <w:snapToGrid w:val="0"/>
        </w:rPr>
        <w:t>Amend existing/recommended listing:</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6"/>
        <w:gridCol w:w="2836"/>
        <w:gridCol w:w="1842"/>
        <w:gridCol w:w="851"/>
        <w:gridCol w:w="850"/>
        <w:gridCol w:w="1701"/>
      </w:tblGrid>
      <w:tr w:rsidR="006646EB" w:rsidRPr="008E3F1A" w:rsidTr="000E60E7">
        <w:trPr>
          <w:cantSplit/>
          <w:trHeight w:val="471"/>
        </w:trPr>
        <w:tc>
          <w:tcPr>
            <w:tcW w:w="3823" w:type="dxa"/>
            <w:gridSpan w:val="3"/>
          </w:tcPr>
          <w:p w:rsidR="006646EB" w:rsidRPr="008E3F1A" w:rsidRDefault="006646EB" w:rsidP="000E60E7">
            <w:pPr>
              <w:keepNext/>
              <w:rPr>
                <w:rFonts w:ascii="Arial Narrow" w:hAnsi="Arial Narrow"/>
                <w:b/>
                <w:sz w:val="18"/>
                <w:szCs w:val="18"/>
              </w:rPr>
            </w:pPr>
            <w:r w:rsidRPr="008E3F1A">
              <w:rPr>
                <w:rFonts w:ascii="Arial Narrow" w:hAnsi="Arial Narrow"/>
                <w:b/>
                <w:sz w:val="18"/>
                <w:szCs w:val="18"/>
              </w:rPr>
              <w:t>MEDICINAL PRODUCT</w:t>
            </w:r>
          </w:p>
          <w:p w:rsidR="006646EB" w:rsidRPr="008E3F1A" w:rsidRDefault="006646EB" w:rsidP="000E60E7">
            <w:pPr>
              <w:keepNext/>
              <w:rPr>
                <w:rFonts w:ascii="Arial Narrow" w:hAnsi="Arial Narrow"/>
                <w:b/>
                <w:sz w:val="18"/>
                <w:szCs w:val="18"/>
              </w:rPr>
            </w:pPr>
            <w:r w:rsidRPr="008E3F1A">
              <w:rPr>
                <w:rFonts w:ascii="Arial Narrow" w:hAnsi="Arial Narrow"/>
                <w:b/>
                <w:sz w:val="18"/>
                <w:szCs w:val="18"/>
              </w:rPr>
              <w:t>Form</w:t>
            </w:r>
          </w:p>
        </w:tc>
        <w:tc>
          <w:tcPr>
            <w:tcW w:w="1842" w:type="dxa"/>
          </w:tcPr>
          <w:p w:rsidR="006646EB" w:rsidRPr="008E3F1A" w:rsidRDefault="006646EB" w:rsidP="000E60E7">
            <w:pPr>
              <w:keepNext/>
              <w:ind w:left="-108"/>
              <w:jc w:val="center"/>
              <w:rPr>
                <w:rFonts w:ascii="Arial Narrow" w:hAnsi="Arial Narrow"/>
                <w:b/>
                <w:sz w:val="18"/>
                <w:szCs w:val="18"/>
              </w:rPr>
            </w:pPr>
            <w:r w:rsidRPr="008E3F1A">
              <w:rPr>
                <w:rFonts w:ascii="Arial Narrow" w:hAnsi="Arial Narrow"/>
                <w:b/>
                <w:sz w:val="18"/>
                <w:szCs w:val="18"/>
              </w:rPr>
              <w:t>PBS item code</w:t>
            </w:r>
          </w:p>
        </w:tc>
        <w:tc>
          <w:tcPr>
            <w:tcW w:w="851" w:type="dxa"/>
          </w:tcPr>
          <w:p w:rsidR="006646EB" w:rsidRPr="008E3F1A" w:rsidRDefault="006646EB" w:rsidP="000E60E7">
            <w:pPr>
              <w:keepNext/>
              <w:ind w:left="-108"/>
              <w:jc w:val="center"/>
              <w:rPr>
                <w:rFonts w:ascii="Arial Narrow" w:hAnsi="Arial Narrow"/>
                <w:b/>
                <w:sz w:val="18"/>
                <w:szCs w:val="18"/>
              </w:rPr>
            </w:pPr>
            <w:r w:rsidRPr="008E3F1A">
              <w:rPr>
                <w:rFonts w:ascii="Arial Narrow" w:hAnsi="Arial Narrow"/>
                <w:b/>
                <w:sz w:val="18"/>
                <w:szCs w:val="18"/>
              </w:rPr>
              <w:t>Max.</w:t>
            </w:r>
          </w:p>
          <w:p w:rsidR="006646EB" w:rsidRPr="008E3F1A" w:rsidRDefault="006646EB" w:rsidP="000E60E7">
            <w:pPr>
              <w:keepNext/>
              <w:ind w:left="-108"/>
              <w:jc w:val="center"/>
              <w:rPr>
                <w:rFonts w:ascii="Arial Narrow" w:hAnsi="Arial Narrow"/>
                <w:b/>
                <w:sz w:val="18"/>
                <w:szCs w:val="18"/>
              </w:rPr>
            </w:pPr>
            <w:r w:rsidRPr="008E3F1A">
              <w:rPr>
                <w:rFonts w:ascii="Arial Narrow" w:hAnsi="Arial Narrow"/>
                <w:b/>
                <w:sz w:val="18"/>
                <w:szCs w:val="18"/>
              </w:rPr>
              <w:t>Amount</w:t>
            </w:r>
          </w:p>
        </w:tc>
        <w:tc>
          <w:tcPr>
            <w:tcW w:w="850" w:type="dxa"/>
          </w:tcPr>
          <w:p w:rsidR="006646EB" w:rsidRPr="008E3F1A" w:rsidRDefault="006646EB" w:rsidP="000E60E7">
            <w:pPr>
              <w:keepNext/>
              <w:ind w:left="-108"/>
              <w:jc w:val="center"/>
              <w:rPr>
                <w:rFonts w:ascii="Arial Narrow" w:hAnsi="Arial Narrow"/>
                <w:b/>
                <w:sz w:val="18"/>
                <w:szCs w:val="18"/>
              </w:rPr>
            </w:pPr>
            <w:r w:rsidRPr="008E3F1A">
              <w:rPr>
                <w:rFonts w:ascii="Arial Narrow" w:hAnsi="Arial Narrow"/>
                <w:b/>
                <w:sz w:val="18"/>
                <w:szCs w:val="18"/>
              </w:rPr>
              <w:t>№.of</w:t>
            </w:r>
          </w:p>
          <w:p w:rsidR="006646EB" w:rsidRPr="008E3F1A" w:rsidRDefault="006646EB" w:rsidP="000E60E7">
            <w:pPr>
              <w:keepNext/>
              <w:ind w:left="-108"/>
              <w:jc w:val="center"/>
              <w:rPr>
                <w:rFonts w:ascii="Arial Narrow" w:hAnsi="Arial Narrow"/>
                <w:b/>
                <w:sz w:val="18"/>
                <w:szCs w:val="18"/>
              </w:rPr>
            </w:pPr>
            <w:r w:rsidRPr="008E3F1A">
              <w:rPr>
                <w:rFonts w:ascii="Arial Narrow" w:hAnsi="Arial Narrow"/>
                <w:b/>
                <w:sz w:val="18"/>
                <w:szCs w:val="18"/>
              </w:rPr>
              <w:t>Rpts</w:t>
            </w:r>
          </w:p>
        </w:tc>
        <w:tc>
          <w:tcPr>
            <w:tcW w:w="1701" w:type="dxa"/>
          </w:tcPr>
          <w:p w:rsidR="006646EB" w:rsidRPr="008E3F1A" w:rsidRDefault="006646EB" w:rsidP="000E60E7">
            <w:pPr>
              <w:keepNext/>
              <w:rPr>
                <w:rFonts w:ascii="Arial Narrow" w:hAnsi="Arial Narrow"/>
                <w:b/>
                <w:sz w:val="18"/>
                <w:szCs w:val="18"/>
              </w:rPr>
            </w:pPr>
            <w:r w:rsidRPr="008E3F1A">
              <w:rPr>
                <w:rFonts w:ascii="Arial Narrow" w:hAnsi="Arial Narrow"/>
                <w:b/>
                <w:sz w:val="18"/>
                <w:szCs w:val="18"/>
              </w:rPr>
              <w:t>Manufacturer</w:t>
            </w:r>
          </w:p>
        </w:tc>
      </w:tr>
      <w:tr w:rsidR="006646EB" w:rsidRPr="002F52E1" w:rsidTr="000E60E7">
        <w:trPr>
          <w:cantSplit/>
          <w:trHeight w:val="577"/>
        </w:trPr>
        <w:tc>
          <w:tcPr>
            <w:tcW w:w="3823" w:type="dxa"/>
            <w:gridSpan w:val="3"/>
          </w:tcPr>
          <w:p w:rsidR="006646EB" w:rsidRPr="002F52E1" w:rsidRDefault="006646EB" w:rsidP="000E60E7">
            <w:pPr>
              <w:pStyle w:val="TableText0"/>
              <w:rPr>
                <w:sz w:val="18"/>
                <w:szCs w:val="18"/>
              </w:rPr>
            </w:pPr>
            <w:r w:rsidRPr="002F52E1">
              <w:rPr>
                <w:sz w:val="18"/>
                <w:szCs w:val="18"/>
              </w:rPr>
              <w:t xml:space="preserve">BRENTUXIMAB VEDOTIN </w:t>
            </w:r>
          </w:p>
          <w:p w:rsidR="006646EB" w:rsidRPr="002F52E1" w:rsidRDefault="006646EB" w:rsidP="000E60E7">
            <w:pPr>
              <w:keepNext/>
              <w:rPr>
                <w:rFonts w:ascii="Arial Narrow" w:hAnsi="Arial Narrow"/>
                <w:sz w:val="18"/>
                <w:szCs w:val="18"/>
              </w:rPr>
            </w:pPr>
            <w:r w:rsidRPr="002F52E1">
              <w:rPr>
                <w:rFonts w:ascii="Arial Narrow" w:hAnsi="Arial Narrow" w:cs="Arial Narrow"/>
                <w:sz w:val="18"/>
                <w:szCs w:val="18"/>
              </w:rPr>
              <w:t>Injection</w:t>
            </w:r>
          </w:p>
        </w:tc>
        <w:tc>
          <w:tcPr>
            <w:tcW w:w="1842" w:type="dxa"/>
          </w:tcPr>
          <w:p w:rsidR="006646EB" w:rsidRPr="002F52E1" w:rsidRDefault="006646EB" w:rsidP="000E60E7">
            <w:pPr>
              <w:keepNext/>
              <w:rPr>
                <w:rFonts w:ascii="Arial Narrow" w:hAnsi="Arial Narrow"/>
                <w:sz w:val="18"/>
                <w:szCs w:val="18"/>
              </w:rPr>
            </w:pPr>
            <w:r w:rsidRPr="002F52E1">
              <w:rPr>
                <w:rFonts w:ascii="Arial Narrow" w:hAnsi="Arial Narrow"/>
                <w:sz w:val="18"/>
                <w:szCs w:val="18"/>
              </w:rPr>
              <w:t xml:space="preserve">       NEW (Public)</w:t>
            </w:r>
          </w:p>
          <w:p w:rsidR="006646EB" w:rsidRPr="002F52E1" w:rsidRDefault="006646EB" w:rsidP="000E60E7">
            <w:pPr>
              <w:keepNext/>
              <w:ind w:left="-108"/>
              <w:jc w:val="center"/>
              <w:rPr>
                <w:rFonts w:ascii="Arial Narrow" w:hAnsi="Arial Narrow"/>
                <w:sz w:val="18"/>
                <w:szCs w:val="18"/>
              </w:rPr>
            </w:pPr>
            <w:r w:rsidRPr="002F52E1">
              <w:rPr>
                <w:rFonts w:ascii="Arial Narrow" w:hAnsi="Arial Narrow"/>
                <w:sz w:val="18"/>
                <w:szCs w:val="18"/>
              </w:rPr>
              <w:t>NEW (Private)</w:t>
            </w:r>
          </w:p>
        </w:tc>
        <w:tc>
          <w:tcPr>
            <w:tcW w:w="851" w:type="dxa"/>
          </w:tcPr>
          <w:p w:rsidR="006646EB" w:rsidRPr="002F52E1" w:rsidRDefault="00E8023F" w:rsidP="000E60E7">
            <w:pPr>
              <w:keepNext/>
              <w:jc w:val="center"/>
              <w:rPr>
                <w:rFonts w:ascii="Arial Narrow" w:hAnsi="Arial Narrow"/>
                <w:sz w:val="18"/>
                <w:szCs w:val="18"/>
              </w:rPr>
            </w:pPr>
            <w:r w:rsidRPr="002F52E1">
              <w:rPr>
                <w:rFonts w:ascii="Arial Narrow" w:hAnsi="Arial Narrow"/>
                <w:sz w:val="18"/>
                <w:szCs w:val="18"/>
              </w:rPr>
              <w:t xml:space="preserve"> 200 m</w:t>
            </w:r>
            <w:r w:rsidR="006646EB" w:rsidRPr="002F52E1">
              <w:rPr>
                <w:rFonts w:ascii="Arial Narrow" w:hAnsi="Arial Narrow"/>
                <w:sz w:val="18"/>
                <w:szCs w:val="18"/>
              </w:rPr>
              <w:t>g</w:t>
            </w:r>
          </w:p>
        </w:tc>
        <w:tc>
          <w:tcPr>
            <w:tcW w:w="850" w:type="dxa"/>
          </w:tcPr>
          <w:p w:rsidR="006646EB" w:rsidRPr="002F52E1" w:rsidRDefault="006646EB" w:rsidP="000E60E7">
            <w:pPr>
              <w:keepNext/>
              <w:jc w:val="center"/>
              <w:rPr>
                <w:rFonts w:ascii="Arial Narrow" w:hAnsi="Arial Narrow"/>
                <w:sz w:val="18"/>
                <w:szCs w:val="18"/>
              </w:rPr>
            </w:pPr>
            <w:r w:rsidRPr="002F52E1">
              <w:rPr>
                <w:rFonts w:ascii="Arial Narrow" w:hAnsi="Arial Narrow"/>
                <w:sz w:val="18"/>
                <w:szCs w:val="18"/>
              </w:rPr>
              <w:t>5</w:t>
            </w:r>
          </w:p>
        </w:tc>
        <w:tc>
          <w:tcPr>
            <w:tcW w:w="1701" w:type="dxa"/>
          </w:tcPr>
          <w:p w:rsidR="006646EB" w:rsidRPr="002F52E1" w:rsidRDefault="006646EB" w:rsidP="000E60E7">
            <w:pPr>
              <w:keepNext/>
              <w:rPr>
                <w:rFonts w:ascii="Arial Narrow" w:hAnsi="Arial Narrow"/>
                <w:sz w:val="18"/>
                <w:szCs w:val="18"/>
              </w:rPr>
            </w:pPr>
            <w:r w:rsidRPr="002F52E1">
              <w:rPr>
                <w:rFonts w:ascii="Arial Narrow" w:hAnsi="Arial Narrow" w:cs="Arial Narrow"/>
                <w:sz w:val="18"/>
                <w:szCs w:val="18"/>
              </w:rPr>
              <w:t>Takeda Pharmaceuticals Australia Pty Ltd</w:t>
            </w:r>
          </w:p>
        </w:tc>
      </w:tr>
      <w:tr w:rsidR="006646EB" w:rsidRPr="008E3F1A" w:rsidTr="000E60E7">
        <w:trPr>
          <w:cantSplit/>
          <w:trHeight w:val="225"/>
        </w:trPr>
        <w:tc>
          <w:tcPr>
            <w:tcW w:w="9067" w:type="dxa"/>
            <w:gridSpan w:val="7"/>
          </w:tcPr>
          <w:p w:rsidR="006646EB" w:rsidRPr="008E3F1A" w:rsidRDefault="006646EB" w:rsidP="000E60E7">
            <w:pPr>
              <w:keepNext/>
              <w:rPr>
                <w:rFonts w:ascii="Arial Narrow" w:hAnsi="Arial Narrow"/>
                <w:b/>
                <w:sz w:val="18"/>
                <w:szCs w:val="18"/>
              </w:rPr>
            </w:pPr>
            <w:r w:rsidRPr="008E3F1A">
              <w:rPr>
                <w:rFonts w:ascii="Arial Narrow" w:hAnsi="Arial Narrow"/>
                <w:b/>
                <w:sz w:val="18"/>
                <w:szCs w:val="18"/>
              </w:rPr>
              <w:t>Available brands</w:t>
            </w:r>
          </w:p>
        </w:tc>
      </w:tr>
      <w:tr w:rsidR="006646EB" w:rsidRPr="008E3F1A" w:rsidTr="000E60E7">
        <w:trPr>
          <w:cantSplit/>
          <w:trHeight w:val="360"/>
        </w:trPr>
        <w:tc>
          <w:tcPr>
            <w:tcW w:w="9067" w:type="dxa"/>
            <w:gridSpan w:val="7"/>
          </w:tcPr>
          <w:p w:rsidR="006646EB" w:rsidRPr="008E3F1A" w:rsidRDefault="006646EB" w:rsidP="000E60E7">
            <w:pPr>
              <w:rPr>
                <w:rFonts w:ascii="Arial Narrow" w:hAnsi="Arial Narrow"/>
                <w:sz w:val="18"/>
                <w:szCs w:val="18"/>
              </w:rPr>
            </w:pPr>
            <w:r w:rsidRPr="008E3F1A">
              <w:rPr>
                <w:rFonts w:ascii="Arial Narrow" w:hAnsi="Arial Narrow"/>
                <w:sz w:val="18"/>
                <w:szCs w:val="18"/>
              </w:rPr>
              <w:t>Adcetris</w:t>
            </w:r>
          </w:p>
          <w:p w:rsidR="006646EB" w:rsidRPr="008E3F1A" w:rsidRDefault="006646EB" w:rsidP="000E60E7">
            <w:pPr>
              <w:rPr>
                <w:rFonts w:ascii="Arial Narrow" w:hAnsi="Arial Narrow"/>
                <w:sz w:val="18"/>
                <w:szCs w:val="18"/>
              </w:rPr>
            </w:pPr>
            <w:r w:rsidRPr="008E3F1A">
              <w:rPr>
                <w:rFonts w:ascii="Arial Narrow" w:hAnsi="Arial Narrow"/>
                <w:sz w:val="18"/>
                <w:szCs w:val="18"/>
              </w:rPr>
              <w:t>(brentuximab vedotin 50 mg injection, 1 vial)</w:t>
            </w:r>
          </w:p>
        </w:tc>
      </w:tr>
      <w:tr w:rsidR="006646EB" w:rsidRPr="008E3F1A" w:rsidTr="000E60E7">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rsidR="006646EB" w:rsidRPr="008E3F1A" w:rsidRDefault="006646EB" w:rsidP="000E60E7">
            <w:pPr>
              <w:ind w:left="57"/>
              <w:rPr>
                <w:rFonts w:ascii="Arial Narrow" w:hAnsi="Arial Narrow"/>
                <w:b/>
                <w:color w:val="FF00FF"/>
                <w:sz w:val="18"/>
                <w:szCs w:val="18"/>
              </w:rPr>
            </w:pPr>
          </w:p>
        </w:tc>
      </w:tr>
      <w:tr w:rsidR="006646EB" w:rsidRPr="008E3F1A" w:rsidTr="000E60E7">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rsidR="006646EB" w:rsidRPr="008E3F1A" w:rsidRDefault="006646EB" w:rsidP="000E60E7">
            <w:pPr>
              <w:ind w:left="57"/>
              <w:rPr>
                <w:rFonts w:ascii="Arial Narrow" w:hAnsi="Arial Narrow"/>
                <w:b/>
                <w:sz w:val="18"/>
                <w:szCs w:val="18"/>
              </w:rPr>
            </w:pPr>
            <w:r w:rsidRPr="008E3F1A">
              <w:rPr>
                <w:rFonts w:ascii="Arial Narrow" w:hAnsi="Arial Narrow"/>
                <w:b/>
                <w:sz w:val="18"/>
                <w:szCs w:val="18"/>
              </w:rPr>
              <w:t>Restriction Summary [new] / Treatment of Concept: [new]</w:t>
            </w:r>
          </w:p>
        </w:tc>
      </w:tr>
      <w:tr w:rsidR="006646EB" w:rsidRPr="008E3F1A" w:rsidTr="000E60E7">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rsidR="006646EB" w:rsidRPr="008E3F1A" w:rsidRDefault="006646EB" w:rsidP="000E60E7">
            <w:pPr>
              <w:rPr>
                <w:rFonts w:ascii="Arial Narrow" w:hAnsi="Arial Narrow"/>
                <w:b/>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rsidR="006646EB" w:rsidRPr="008E3F1A" w:rsidRDefault="006646EB" w:rsidP="000E60E7">
            <w:pPr>
              <w:rPr>
                <w:rFonts w:ascii="Arial Narrow" w:hAnsi="Arial Narrow"/>
                <w:sz w:val="18"/>
                <w:szCs w:val="18"/>
              </w:rPr>
            </w:pPr>
            <w:r w:rsidRPr="008E3F1A">
              <w:rPr>
                <w:rFonts w:ascii="Arial Narrow" w:hAnsi="Arial Narrow"/>
                <w:b/>
                <w:sz w:val="18"/>
                <w:szCs w:val="18"/>
              </w:rPr>
              <w:t xml:space="preserve">Category / Program: </w:t>
            </w:r>
            <w:r w:rsidRPr="008E3F1A">
              <w:rPr>
                <w:rFonts w:ascii="Arial Narrow" w:hAnsi="Arial Narrow"/>
                <w:sz w:val="18"/>
                <w:szCs w:val="18"/>
              </w:rPr>
              <w:t xml:space="preserve">Section 100 – Efficient Funding of Chemotherapy Public/Private hospitals </w:t>
            </w:r>
          </w:p>
        </w:tc>
      </w:tr>
      <w:tr w:rsidR="006646EB" w:rsidRPr="008E3F1A" w:rsidTr="000E60E7">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rsidR="006646EB" w:rsidRPr="008E3F1A" w:rsidRDefault="006646EB" w:rsidP="000E60E7">
            <w:pP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rsidR="006646EB" w:rsidRPr="008E3F1A" w:rsidRDefault="006646EB" w:rsidP="000E60E7">
            <w:pPr>
              <w:rPr>
                <w:rFonts w:ascii="Arial Narrow" w:hAnsi="Arial Narrow"/>
                <w:b/>
                <w:sz w:val="18"/>
                <w:szCs w:val="18"/>
              </w:rPr>
            </w:pPr>
            <w:r w:rsidRPr="008E3F1A">
              <w:rPr>
                <w:rFonts w:ascii="Arial Narrow" w:hAnsi="Arial Narrow"/>
                <w:b/>
                <w:sz w:val="18"/>
                <w:szCs w:val="18"/>
              </w:rPr>
              <w:t xml:space="preserve">Prescriber type:   </w:t>
            </w:r>
            <w:r w:rsidRPr="008E3F1A">
              <w:rPr>
                <w:rFonts w:ascii="Arial Narrow" w:hAnsi="Arial Narrow"/>
                <w:sz w:val="18"/>
                <w:szCs w:val="18"/>
              </w:rPr>
              <w:fldChar w:fldCharType="begin">
                <w:ffData>
                  <w:name w:val=""/>
                  <w:enabled/>
                  <w:calcOnExit w:val="0"/>
                  <w:checkBox>
                    <w:sizeAuto/>
                    <w:default w:val="1"/>
                  </w:checkBox>
                </w:ffData>
              </w:fldChar>
            </w:r>
            <w:r w:rsidRPr="008E3F1A">
              <w:rPr>
                <w:rFonts w:ascii="Arial Narrow" w:hAnsi="Arial Narrow"/>
                <w:sz w:val="18"/>
                <w:szCs w:val="18"/>
              </w:rPr>
              <w:instrText xml:space="preserve"> FORMCHECKBOX </w:instrText>
            </w:r>
            <w:r w:rsidR="00DC3953">
              <w:rPr>
                <w:rFonts w:ascii="Arial Narrow" w:hAnsi="Arial Narrow"/>
                <w:sz w:val="18"/>
                <w:szCs w:val="18"/>
              </w:rPr>
            </w:r>
            <w:r w:rsidR="00DC3953">
              <w:rPr>
                <w:rFonts w:ascii="Arial Narrow" w:hAnsi="Arial Narrow"/>
                <w:sz w:val="18"/>
                <w:szCs w:val="18"/>
              </w:rPr>
              <w:fldChar w:fldCharType="separate"/>
            </w:r>
            <w:r w:rsidRPr="008E3F1A">
              <w:rPr>
                <w:rFonts w:ascii="Arial Narrow" w:hAnsi="Arial Narrow"/>
                <w:sz w:val="18"/>
                <w:szCs w:val="18"/>
              </w:rPr>
              <w:fldChar w:fldCharType="end"/>
            </w:r>
            <w:r w:rsidRPr="008E3F1A">
              <w:rPr>
                <w:rFonts w:ascii="Arial Narrow" w:hAnsi="Arial Narrow"/>
                <w:sz w:val="18"/>
                <w:szCs w:val="18"/>
              </w:rPr>
              <w:t xml:space="preserve"> Medical Practitioners </w:t>
            </w:r>
          </w:p>
        </w:tc>
      </w:tr>
      <w:tr w:rsidR="006646EB" w:rsidRPr="008E3F1A" w:rsidTr="000E60E7">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rsidR="006646EB" w:rsidRPr="008E3F1A" w:rsidRDefault="006646EB" w:rsidP="000E60E7">
            <w:pP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rsidR="006646EB" w:rsidRPr="008E3F1A" w:rsidRDefault="006646EB" w:rsidP="000E60E7">
            <w:pPr>
              <w:rPr>
                <w:rFonts w:ascii="Arial Narrow" w:hAnsi="Arial Narrow"/>
                <w:b/>
                <w:sz w:val="18"/>
                <w:szCs w:val="18"/>
              </w:rPr>
            </w:pPr>
            <w:r w:rsidRPr="008E3F1A">
              <w:rPr>
                <w:rFonts w:ascii="Arial Narrow" w:hAnsi="Arial Narrow"/>
                <w:b/>
                <w:sz w:val="18"/>
                <w:szCs w:val="18"/>
              </w:rPr>
              <w:t>Restriction type:</w:t>
            </w:r>
          </w:p>
          <w:p w:rsidR="006646EB" w:rsidRPr="008E3F1A" w:rsidRDefault="006646EB" w:rsidP="0049793D">
            <w:pPr>
              <w:rPr>
                <w:rFonts w:ascii="Arial Narrow" w:eastAsia="Calibri" w:hAnsi="Arial Narrow"/>
                <w:color w:val="FF00FF"/>
                <w:sz w:val="18"/>
                <w:szCs w:val="18"/>
              </w:rPr>
            </w:pPr>
            <w:r w:rsidRPr="008E3F1A">
              <w:rPr>
                <w:rFonts w:ascii="Arial Narrow" w:eastAsia="Calibri" w:hAnsi="Arial Narrow"/>
                <w:sz w:val="18"/>
                <w:szCs w:val="18"/>
              </w:rPr>
              <w:fldChar w:fldCharType="begin">
                <w:ffData>
                  <w:name w:val=""/>
                  <w:enabled/>
                  <w:calcOnExit w:val="0"/>
                  <w:checkBox>
                    <w:sizeAuto/>
                    <w:default w:val="1"/>
                  </w:checkBox>
                </w:ffData>
              </w:fldChar>
            </w:r>
            <w:r w:rsidRPr="008E3F1A">
              <w:rPr>
                <w:rFonts w:ascii="Arial Narrow" w:eastAsia="Calibri" w:hAnsi="Arial Narrow"/>
                <w:sz w:val="18"/>
                <w:szCs w:val="18"/>
              </w:rPr>
              <w:instrText xml:space="preserve"> FORMCHECKBOX </w:instrText>
            </w:r>
            <w:r w:rsidR="00DC3953">
              <w:rPr>
                <w:rFonts w:ascii="Arial Narrow" w:eastAsia="Calibri" w:hAnsi="Arial Narrow"/>
                <w:sz w:val="18"/>
                <w:szCs w:val="18"/>
              </w:rPr>
            </w:r>
            <w:r w:rsidR="00DC3953">
              <w:rPr>
                <w:rFonts w:ascii="Arial Narrow" w:eastAsia="Calibri" w:hAnsi="Arial Narrow"/>
                <w:sz w:val="18"/>
                <w:szCs w:val="18"/>
              </w:rPr>
              <w:fldChar w:fldCharType="separate"/>
            </w:r>
            <w:r w:rsidRPr="008E3F1A">
              <w:rPr>
                <w:rFonts w:ascii="Arial Narrow" w:eastAsia="Calibri" w:hAnsi="Arial Narrow"/>
                <w:sz w:val="18"/>
                <w:szCs w:val="18"/>
              </w:rPr>
              <w:fldChar w:fldCharType="end"/>
            </w:r>
            <w:r w:rsidRPr="008E3F1A">
              <w:rPr>
                <w:rFonts w:ascii="Arial Narrow" w:eastAsia="Calibri" w:hAnsi="Arial Narrow"/>
                <w:sz w:val="18"/>
                <w:szCs w:val="18"/>
              </w:rPr>
              <w:t>Authority Required – non-immediate/delayed assessment by Services Australia (In-writing only via mail/postal service or electronic submission)</w:t>
            </w:r>
          </w:p>
        </w:tc>
      </w:tr>
      <w:tr w:rsidR="006646EB" w:rsidRPr="008E3F1A" w:rsidTr="000E60E7">
        <w:tblPrEx>
          <w:tblCellMar>
            <w:top w:w="15" w:type="dxa"/>
            <w:left w:w="15" w:type="dxa"/>
            <w:bottom w:w="15" w:type="dxa"/>
            <w:right w:w="15" w:type="dxa"/>
          </w:tblCellMar>
          <w:tblLook w:val="04A0" w:firstRow="1" w:lastRow="0" w:firstColumn="1" w:lastColumn="0" w:noHBand="0" w:noVBand="1"/>
        </w:tblPrEx>
        <w:tc>
          <w:tcPr>
            <w:tcW w:w="987" w:type="dxa"/>
            <w:gridSpan w:val="2"/>
            <w:vAlign w:val="center"/>
          </w:tcPr>
          <w:p w:rsidR="006646EB" w:rsidRPr="008E3F1A" w:rsidRDefault="006646EB" w:rsidP="000E60E7">
            <w:pPr>
              <w:jc w:val="center"/>
              <w:rPr>
                <w:rFonts w:ascii="Arial Narrow" w:hAnsi="Arial Narrow"/>
                <w:color w:val="333333"/>
                <w:sz w:val="18"/>
                <w:szCs w:val="18"/>
              </w:rPr>
            </w:pPr>
          </w:p>
        </w:tc>
        <w:tc>
          <w:tcPr>
            <w:tcW w:w="8080" w:type="dxa"/>
            <w:gridSpan w:val="5"/>
            <w:vAlign w:val="center"/>
          </w:tcPr>
          <w:p w:rsidR="006646EB" w:rsidRPr="008E3F1A" w:rsidRDefault="006646EB" w:rsidP="000E60E7">
            <w:pPr>
              <w:rPr>
                <w:rFonts w:ascii="Arial Narrow" w:hAnsi="Arial Narrow"/>
                <w:color w:val="333333"/>
                <w:sz w:val="18"/>
                <w:szCs w:val="18"/>
              </w:rPr>
            </w:pPr>
            <w:r w:rsidRPr="008E3F1A">
              <w:rPr>
                <w:rFonts w:ascii="Arial Narrow" w:hAnsi="Arial Narrow"/>
                <w:b/>
                <w:bCs/>
                <w:color w:val="333333"/>
                <w:sz w:val="18"/>
                <w:szCs w:val="18"/>
              </w:rPr>
              <w:t>Administrative Advice:</w:t>
            </w:r>
          </w:p>
          <w:p w:rsidR="006646EB" w:rsidRPr="008E3F1A" w:rsidRDefault="006646EB" w:rsidP="000E60E7">
            <w:pPr>
              <w:rPr>
                <w:rFonts w:ascii="Arial Narrow" w:hAnsi="Arial Narrow"/>
                <w:color w:val="333333"/>
                <w:sz w:val="18"/>
                <w:szCs w:val="18"/>
              </w:rPr>
            </w:pPr>
            <w:r w:rsidRPr="008E3F1A">
              <w:rPr>
                <w:rFonts w:ascii="Arial Narrow" w:hAnsi="Arial Narrow"/>
                <w:color w:val="333333"/>
                <w:sz w:val="18"/>
                <w:szCs w:val="18"/>
              </w:rPr>
              <w:t>No increase in the maximum quantity or number of units may be authorised.</w:t>
            </w:r>
          </w:p>
        </w:tc>
      </w:tr>
      <w:tr w:rsidR="006646EB" w:rsidRPr="008E3F1A" w:rsidTr="000E60E7">
        <w:tblPrEx>
          <w:tblCellMar>
            <w:top w:w="15" w:type="dxa"/>
            <w:left w:w="15" w:type="dxa"/>
            <w:bottom w:w="15" w:type="dxa"/>
            <w:right w:w="15" w:type="dxa"/>
          </w:tblCellMar>
          <w:tblLook w:val="04A0" w:firstRow="1" w:lastRow="0" w:firstColumn="1" w:lastColumn="0" w:noHBand="0" w:noVBand="1"/>
        </w:tblPrEx>
        <w:tc>
          <w:tcPr>
            <w:tcW w:w="987" w:type="dxa"/>
            <w:gridSpan w:val="2"/>
            <w:vAlign w:val="center"/>
          </w:tcPr>
          <w:p w:rsidR="006646EB" w:rsidRPr="008E3F1A" w:rsidRDefault="006646EB" w:rsidP="000E60E7">
            <w:pPr>
              <w:jc w:val="center"/>
              <w:rPr>
                <w:rFonts w:ascii="Arial Narrow" w:hAnsi="Arial Narrow"/>
                <w:color w:val="333333"/>
                <w:sz w:val="18"/>
                <w:szCs w:val="18"/>
              </w:rPr>
            </w:pPr>
          </w:p>
        </w:tc>
        <w:tc>
          <w:tcPr>
            <w:tcW w:w="8080" w:type="dxa"/>
            <w:gridSpan w:val="5"/>
            <w:vAlign w:val="center"/>
          </w:tcPr>
          <w:p w:rsidR="006646EB" w:rsidRPr="008E3F1A" w:rsidRDefault="006646EB" w:rsidP="000E60E7">
            <w:pPr>
              <w:rPr>
                <w:rFonts w:ascii="Arial Narrow" w:hAnsi="Arial Narrow"/>
                <w:color w:val="333333"/>
                <w:sz w:val="18"/>
                <w:szCs w:val="18"/>
              </w:rPr>
            </w:pPr>
            <w:r w:rsidRPr="008E3F1A">
              <w:rPr>
                <w:rFonts w:ascii="Arial Narrow" w:hAnsi="Arial Narrow"/>
                <w:b/>
                <w:bCs/>
                <w:color w:val="333333"/>
                <w:sz w:val="18"/>
                <w:szCs w:val="18"/>
              </w:rPr>
              <w:t>Administrative Advice:</w:t>
            </w:r>
          </w:p>
          <w:p w:rsidR="006646EB" w:rsidRPr="008E3F1A" w:rsidRDefault="006646EB" w:rsidP="000E60E7">
            <w:pPr>
              <w:rPr>
                <w:rFonts w:ascii="Arial Narrow" w:hAnsi="Arial Narrow"/>
                <w:b/>
                <w:bCs/>
                <w:color w:val="333333"/>
                <w:sz w:val="18"/>
                <w:szCs w:val="18"/>
              </w:rPr>
            </w:pPr>
            <w:r w:rsidRPr="008E3F1A">
              <w:rPr>
                <w:rFonts w:ascii="Arial Narrow" w:hAnsi="Arial Narrow"/>
                <w:color w:val="333333"/>
                <w:sz w:val="18"/>
                <w:szCs w:val="18"/>
              </w:rPr>
              <w:t>No increase in the maximum number of repeats may be authorised.</w:t>
            </w:r>
          </w:p>
        </w:tc>
      </w:tr>
      <w:tr w:rsidR="006646EB" w:rsidRPr="008E3F1A" w:rsidTr="000E60E7">
        <w:tblPrEx>
          <w:tblCellMar>
            <w:top w:w="15" w:type="dxa"/>
            <w:left w:w="15" w:type="dxa"/>
            <w:bottom w:w="15" w:type="dxa"/>
            <w:right w:w="15" w:type="dxa"/>
          </w:tblCellMar>
          <w:tblLook w:val="04A0" w:firstRow="1" w:lastRow="0" w:firstColumn="1" w:lastColumn="0" w:noHBand="0" w:noVBand="1"/>
        </w:tblPrEx>
        <w:trPr>
          <w:trHeight w:val="485"/>
        </w:trPr>
        <w:tc>
          <w:tcPr>
            <w:tcW w:w="987" w:type="dxa"/>
            <w:gridSpan w:val="2"/>
            <w:vAlign w:val="center"/>
          </w:tcPr>
          <w:p w:rsidR="006646EB" w:rsidRPr="008E3F1A" w:rsidRDefault="006646EB" w:rsidP="000E60E7">
            <w:pPr>
              <w:jc w:val="center"/>
              <w:rPr>
                <w:rFonts w:ascii="Arial Narrow" w:hAnsi="Arial Narrow"/>
                <w:color w:val="333333"/>
                <w:sz w:val="18"/>
                <w:szCs w:val="18"/>
              </w:rPr>
            </w:pPr>
          </w:p>
        </w:tc>
        <w:tc>
          <w:tcPr>
            <w:tcW w:w="8080" w:type="dxa"/>
            <w:gridSpan w:val="5"/>
            <w:vAlign w:val="center"/>
          </w:tcPr>
          <w:p w:rsidR="006646EB" w:rsidRPr="008E3F1A" w:rsidRDefault="006646EB" w:rsidP="000E60E7">
            <w:pPr>
              <w:rPr>
                <w:rFonts w:ascii="Arial Narrow" w:hAnsi="Arial Narrow"/>
                <w:color w:val="333333"/>
                <w:sz w:val="18"/>
                <w:szCs w:val="18"/>
              </w:rPr>
            </w:pPr>
            <w:r w:rsidRPr="008E3F1A">
              <w:rPr>
                <w:rFonts w:ascii="Arial Narrow" w:hAnsi="Arial Narrow"/>
                <w:b/>
                <w:bCs/>
                <w:color w:val="333333"/>
                <w:sz w:val="18"/>
                <w:szCs w:val="18"/>
              </w:rPr>
              <w:t>Administrative Advice:</w:t>
            </w:r>
          </w:p>
          <w:p w:rsidR="006646EB" w:rsidRPr="008E3F1A" w:rsidRDefault="006646EB" w:rsidP="000E60E7">
            <w:pPr>
              <w:rPr>
                <w:rFonts w:ascii="Arial Narrow" w:hAnsi="Arial Narrow"/>
                <w:b/>
                <w:bCs/>
                <w:color w:val="333333"/>
                <w:sz w:val="18"/>
                <w:szCs w:val="18"/>
              </w:rPr>
            </w:pPr>
            <w:r w:rsidRPr="008E3F1A">
              <w:rPr>
                <w:rFonts w:ascii="Arial Narrow" w:hAnsi="Arial Narrow"/>
                <w:color w:val="333333"/>
                <w:sz w:val="18"/>
                <w:szCs w:val="18"/>
              </w:rPr>
              <w:t>Special Pricing Arrangements apply.</w:t>
            </w:r>
          </w:p>
        </w:tc>
      </w:tr>
      <w:tr w:rsidR="006646EB" w:rsidRPr="008E3F1A" w:rsidTr="000E60E7">
        <w:tblPrEx>
          <w:tblCellMar>
            <w:top w:w="15" w:type="dxa"/>
            <w:left w:w="15" w:type="dxa"/>
            <w:bottom w:w="15" w:type="dxa"/>
            <w:right w:w="15" w:type="dxa"/>
          </w:tblCellMar>
          <w:tblLook w:val="04A0" w:firstRow="1" w:lastRow="0" w:firstColumn="1" w:lastColumn="0" w:noHBand="0" w:noVBand="1"/>
        </w:tblPrEx>
        <w:tc>
          <w:tcPr>
            <w:tcW w:w="981" w:type="dxa"/>
            <w:vMerge w:val="restart"/>
            <w:vAlign w:val="center"/>
          </w:tcPr>
          <w:p w:rsidR="006646EB" w:rsidRPr="008E3F1A" w:rsidRDefault="006646EB" w:rsidP="000E60E7">
            <w:pPr>
              <w:jc w:val="center"/>
              <w:rPr>
                <w:rFonts w:ascii="Arial Narrow" w:hAnsi="Arial Narrow"/>
                <w:color w:val="333333"/>
                <w:sz w:val="18"/>
                <w:szCs w:val="18"/>
              </w:rPr>
            </w:pPr>
          </w:p>
        </w:tc>
        <w:tc>
          <w:tcPr>
            <w:tcW w:w="8086" w:type="dxa"/>
            <w:gridSpan w:val="6"/>
            <w:vAlign w:val="center"/>
          </w:tcPr>
          <w:p w:rsidR="006646EB" w:rsidRPr="008E3F1A" w:rsidRDefault="006646EB" w:rsidP="000E60E7">
            <w:pPr>
              <w:rPr>
                <w:rFonts w:ascii="Arial Narrow" w:hAnsi="Arial Narrow"/>
                <w:bCs/>
                <w:color w:val="333333"/>
                <w:sz w:val="18"/>
                <w:szCs w:val="18"/>
              </w:rPr>
            </w:pPr>
            <w:r w:rsidRPr="008E3F1A">
              <w:rPr>
                <w:rFonts w:ascii="Arial Narrow" w:hAnsi="Arial Narrow"/>
                <w:b/>
                <w:bCs/>
                <w:color w:val="333333"/>
                <w:sz w:val="18"/>
                <w:szCs w:val="18"/>
              </w:rPr>
              <w:t xml:space="preserve">Episodicity: </w:t>
            </w:r>
            <w:r w:rsidRPr="008E3F1A">
              <w:rPr>
                <w:rFonts w:ascii="Arial Narrow" w:hAnsi="Arial Narrow"/>
                <w:bCs/>
                <w:color w:val="333333"/>
                <w:sz w:val="18"/>
                <w:szCs w:val="18"/>
              </w:rPr>
              <w:t>blank</w:t>
            </w:r>
          </w:p>
        </w:tc>
      </w:tr>
      <w:tr w:rsidR="006646EB" w:rsidRPr="008E3F1A" w:rsidTr="000E60E7">
        <w:tblPrEx>
          <w:tblCellMar>
            <w:top w:w="15" w:type="dxa"/>
            <w:left w:w="15" w:type="dxa"/>
            <w:bottom w:w="15" w:type="dxa"/>
            <w:right w:w="15" w:type="dxa"/>
          </w:tblCellMar>
          <w:tblLook w:val="04A0" w:firstRow="1" w:lastRow="0" w:firstColumn="1" w:lastColumn="0" w:noHBand="0" w:noVBand="1"/>
        </w:tblPrEx>
        <w:tc>
          <w:tcPr>
            <w:tcW w:w="981" w:type="dxa"/>
            <w:vMerge/>
            <w:vAlign w:val="center"/>
          </w:tcPr>
          <w:p w:rsidR="006646EB" w:rsidRPr="008E3F1A" w:rsidRDefault="006646EB" w:rsidP="000E60E7">
            <w:pPr>
              <w:jc w:val="center"/>
              <w:rPr>
                <w:rFonts w:ascii="Arial Narrow" w:hAnsi="Arial Narrow"/>
                <w:color w:val="333333"/>
                <w:sz w:val="18"/>
                <w:szCs w:val="18"/>
              </w:rPr>
            </w:pPr>
          </w:p>
        </w:tc>
        <w:tc>
          <w:tcPr>
            <w:tcW w:w="8086" w:type="dxa"/>
            <w:gridSpan w:val="6"/>
            <w:vAlign w:val="center"/>
          </w:tcPr>
          <w:p w:rsidR="006646EB" w:rsidRPr="008E3F1A" w:rsidRDefault="006646EB" w:rsidP="000E60E7">
            <w:pPr>
              <w:rPr>
                <w:rFonts w:ascii="Arial Narrow" w:hAnsi="Arial Narrow"/>
                <w:b/>
                <w:bCs/>
                <w:color w:val="333333"/>
                <w:sz w:val="18"/>
                <w:szCs w:val="18"/>
              </w:rPr>
            </w:pPr>
            <w:r w:rsidRPr="008E3F1A">
              <w:rPr>
                <w:rFonts w:ascii="Arial Narrow" w:hAnsi="Arial Narrow"/>
                <w:b/>
                <w:bCs/>
                <w:color w:val="333333"/>
                <w:sz w:val="18"/>
                <w:szCs w:val="18"/>
              </w:rPr>
              <w:t xml:space="preserve">Severity: </w:t>
            </w:r>
            <w:r w:rsidRPr="008E3F1A">
              <w:rPr>
                <w:rFonts w:ascii="Arial Narrow" w:hAnsi="Arial Narrow"/>
                <w:bCs/>
                <w:color w:val="333333"/>
                <w:sz w:val="18"/>
                <w:szCs w:val="18"/>
              </w:rPr>
              <w:t>blank</w:t>
            </w:r>
          </w:p>
        </w:tc>
      </w:tr>
      <w:tr w:rsidR="006646EB" w:rsidRPr="008E3F1A" w:rsidTr="000E60E7">
        <w:tblPrEx>
          <w:tblCellMar>
            <w:top w:w="15" w:type="dxa"/>
            <w:left w:w="15" w:type="dxa"/>
            <w:bottom w:w="15" w:type="dxa"/>
            <w:right w:w="15" w:type="dxa"/>
          </w:tblCellMar>
          <w:tblLook w:val="04A0" w:firstRow="1" w:lastRow="0" w:firstColumn="1" w:lastColumn="0" w:noHBand="0" w:noVBand="1"/>
        </w:tblPrEx>
        <w:tc>
          <w:tcPr>
            <w:tcW w:w="981" w:type="dxa"/>
            <w:vMerge/>
            <w:vAlign w:val="center"/>
          </w:tcPr>
          <w:p w:rsidR="006646EB" w:rsidRPr="008E3F1A" w:rsidRDefault="006646EB" w:rsidP="000E60E7">
            <w:pPr>
              <w:jc w:val="center"/>
              <w:rPr>
                <w:rFonts w:ascii="Arial Narrow" w:hAnsi="Arial Narrow"/>
                <w:color w:val="333333"/>
                <w:sz w:val="18"/>
                <w:szCs w:val="18"/>
              </w:rPr>
            </w:pPr>
          </w:p>
        </w:tc>
        <w:tc>
          <w:tcPr>
            <w:tcW w:w="8086" w:type="dxa"/>
            <w:gridSpan w:val="6"/>
            <w:vAlign w:val="center"/>
          </w:tcPr>
          <w:p w:rsidR="006646EB" w:rsidRPr="008E3F1A" w:rsidRDefault="006646EB" w:rsidP="00A8655F">
            <w:pPr>
              <w:rPr>
                <w:rFonts w:ascii="Arial Narrow" w:hAnsi="Arial Narrow"/>
                <w:bCs/>
                <w:color w:val="333333"/>
                <w:sz w:val="18"/>
                <w:szCs w:val="18"/>
              </w:rPr>
            </w:pPr>
            <w:r w:rsidRPr="008E3F1A">
              <w:rPr>
                <w:rFonts w:ascii="Arial Narrow" w:hAnsi="Arial Narrow"/>
                <w:b/>
                <w:bCs/>
                <w:color w:val="333333"/>
                <w:sz w:val="18"/>
                <w:szCs w:val="18"/>
              </w:rPr>
              <w:t>Condition:</w:t>
            </w:r>
            <w:r w:rsidRPr="008E3F1A">
              <w:rPr>
                <w:rFonts w:ascii="Arial Narrow" w:hAnsi="Arial Narrow"/>
                <w:bCs/>
                <w:color w:val="333333"/>
                <w:sz w:val="18"/>
                <w:szCs w:val="18"/>
              </w:rPr>
              <w:t xml:space="preserve"> CD30 positive peripheral T-cell lymphoma, non-cutaneous type</w:t>
            </w:r>
          </w:p>
        </w:tc>
      </w:tr>
      <w:tr w:rsidR="006646EB" w:rsidRPr="008E3F1A" w:rsidTr="000345C6">
        <w:tblPrEx>
          <w:tblCellMar>
            <w:top w:w="15" w:type="dxa"/>
            <w:left w:w="15" w:type="dxa"/>
            <w:bottom w:w="15" w:type="dxa"/>
            <w:right w:w="15" w:type="dxa"/>
          </w:tblCellMar>
          <w:tblLook w:val="04A0" w:firstRow="1" w:lastRow="0" w:firstColumn="1" w:lastColumn="0" w:noHBand="0" w:noVBand="1"/>
        </w:tblPrEx>
        <w:tc>
          <w:tcPr>
            <w:tcW w:w="981" w:type="dxa"/>
            <w:vAlign w:val="center"/>
          </w:tcPr>
          <w:p w:rsidR="006646EB" w:rsidRPr="008E3F1A" w:rsidRDefault="006646EB" w:rsidP="000E60E7">
            <w:pPr>
              <w:jc w:val="center"/>
              <w:rPr>
                <w:rFonts w:ascii="Arial Narrow" w:hAnsi="Arial Narrow"/>
                <w:color w:val="333333"/>
                <w:sz w:val="18"/>
                <w:szCs w:val="18"/>
              </w:rPr>
            </w:pPr>
          </w:p>
        </w:tc>
        <w:tc>
          <w:tcPr>
            <w:tcW w:w="8086" w:type="dxa"/>
            <w:gridSpan w:val="6"/>
            <w:vAlign w:val="center"/>
            <w:hideMark/>
          </w:tcPr>
          <w:p w:rsidR="006646EB" w:rsidRPr="008E3F1A" w:rsidRDefault="006646EB" w:rsidP="00A8655F">
            <w:pPr>
              <w:rPr>
                <w:rFonts w:ascii="Arial Narrow" w:hAnsi="Arial Narrow"/>
                <w:color w:val="333333"/>
                <w:sz w:val="18"/>
                <w:szCs w:val="18"/>
              </w:rPr>
            </w:pPr>
            <w:r w:rsidRPr="008E3F1A">
              <w:rPr>
                <w:rFonts w:ascii="Arial Narrow" w:hAnsi="Arial Narrow"/>
                <w:b/>
                <w:bCs/>
                <w:color w:val="333333"/>
                <w:sz w:val="18"/>
                <w:szCs w:val="18"/>
              </w:rPr>
              <w:t>Indication:</w:t>
            </w:r>
            <w:r w:rsidRPr="008E3F1A">
              <w:rPr>
                <w:rFonts w:ascii="Arial Narrow" w:hAnsi="Arial Narrow"/>
                <w:color w:val="333333"/>
                <w:sz w:val="18"/>
                <w:szCs w:val="18"/>
              </w:rPr>
              <w:t xml:space="preserve"> </w:t>
            </w:r>
            <w:r w:rsidRPr="008E3F1A">
              <w:rPr>
                <w:rFonts w:ascii="Arial Narrow" w:hAnsi="Arial Narrow"/>
                <w:bCs/>
                <w:color w:val="333333"/>
                <w:sz w:val="18"/>
                <w:szCs w:val="18"/>
              </w:rPr>
              <w:t>CD30 positive peripheral T-cell lymphoma, non-cutaneous type</w:t>
            </w:r>
          </w:p>
        </w:tc>
      </w:tr>
      <w:tr w:rsidR="006646EB" w:rsidRPr="008E3F1A" w:rsidTr="000345C6">
        <w:tblPrEx>
          <w:tblCellMar>
            <w:top w:w="15" w:type="dxa"/>
            <w:left w:w="15" w:type="dxa"/>
            <w:bottom w:w="15" w:type="dxa"/>
            <w:right w:w="15" w:type="dxa"/>
          </w:tblCellMar>
          <w:tblLook w:val="04A0" w:firstRow="1" w:lastRow="0" w:firstColumn="1" w:lastColumn="0" w:noHBand="0" w:noVBand="1"/>
        </w:tblPrEx>
        <w:tc>
          <w:tcPr>
            <w:tcW w:w="981" w:type="dxa"/>
            <w:vAlign w:val="center"/>
          </w:tcPr>
          <w:p w:rsidR="006646EB" w:rsidRPr="008E3F1A" w:rsidRDefault="006646EB" w:rsidP="000E60E7">
            <w:pPr>
              <w:jc w:val="center"/>
              <w:rPr>
                <w:rFonts w:ascii="Arial Narrow" w:hAnsi="Arial Narrow"/>
                <w:color w:val="333333"/>
                <w:sz w:val="18"/>
                <w:szCs w:val="18"/>
              </w:rPr>
            </w:pPr>
          </w:p>
        </w:tc>
        <w:tc>
          <w:tcPr>
            <w:tcW w:w="8086" w:type="dxa"/>
            <w:gridSpan w:val="6"/>
            <w:vAlign w:val="center"/>
            <w:hideMark/>
          </w:tcPr>
          <w:p w:rsidR="006646EB" w:rsidRPr="008E3F1A" w:rsidRDefault="006646EB" w:rsidP="000E60E7">
            <w:pPr>
              <w:rPr>
                <w:rFonts w:ascii="Arial Narrow" w:hAnsi="Arial Narrow"/>
                <w:color w:val="FF00FF"/>
                <w:sz w:val="18"/>
                <w:szCs w:val="18"/>
              </w:rPr>
            </w:pPr>
            <w:r w:rsidRPr="008E3F1A">
              <w:rPr>
                <w:rFonts w:ascii="Arial Narrow" w:hAnsi="Arial Narrow"/>
                <w:b/>
                <w:bCs/>
                <w:color w:val="333333"/>
                <w:sz w:val="18"/>
                <w:szCs w:val="18"/>
              </w:rPr>
              <w:t>Treatment Phase:</w:t>
            </w:r>
            <w:r w:rsidRPr="008E3F1A">
              <w:rPr>
                <w:rFonts w:ascii="Arial Narrow" w:hAnsi="Arial Narrow"/>
                <w:color w:val="333333"/>
                <w:sz w:val="18"/>
                <w:szCs w:val="18"/>
              </w:rPr>
              <w:t xml:space="preserve"> Initial </w:t>
            </w:r>
          </w:p>
        </w:tc>
      </w:tr>
      <w:tr w:rsidR="006646EB" w:rsidRPr="008E3F1A" w:rsidTr="000E60E7">
        <w:tblPrEx>
          <w:tblCellMar>
            <w:top w:w="15" w:type="dxa"/>
            <w:left w:w="15" w:type="dxa"/>
            <w:bottom w:w="15" w:type="dxa"/>
            <w:right w:w="15" w:type="dxa"/>
          </w:tblCellMar>
          <w:tblLook w:val="04A0" w:firstRow="1" w:lastRow="0" w:firstColumn="1" w:lastColumn="0" w:noHBand="0" w:noVBand="1"/>
        </w:tblPrEx>
        <w:tc>
          <w:tcPr>
            <w:tcW w:w="981" w:type="dxa"/>
            <w:vAlign w:val="center"/>
          </w:tcPr>
          <w:p w:rsidR="006646EB" w:rsidRPr="008E3F1A" w:rsidRDefault="006646EB" w:rsidP="000E60E7">
            <w:pPr>
              <w:jc w:val="center"/>
              <w:rPr>
                <w:rFonts w:ascii="Arial Narrow" w:hAnsi="Arial Narrow"/>
                <w:color w:val="333333"/>
                <w:sz w:val="18"/>
                <w:szCs w:val="18"/>
              </w:rPr>
            </w:pPr>
          </w:p>
        </w:tc>
        <w:tc>
          <w:tcPr>
            <w:tcW w:w="8086" w:type="dxa"/>
            <w:gridSpan w:val="6"/>
            <w:vAlign w:val="center"/>
          </w:tcPr>
          <w:p w:rsidR="006646EB" w:rsidRPr="008E3F1A" w:rsidRDefault="006646EB" w:rsidP="000E60E7">
            <w:pPr>
              <w:rPr>
                <w:rFonts w:ascii="Arial Narrow" w:hAnsi="Arial Narrow"/>
                <w:b/>
                <w:bCs/>
                <w:color w:val="333333"/>
                <w:sz w:val="18"/>
                <w:szCs w:val="18"/>
              </w:rPr>
            </w:pPr>
            <w:r w:rsidRPr="008E3F1A">
              <w:rPr>
                <w:rFonts w:ascii="Arial Narrow" w:hAnsi="Arial Narrow"/>
                <w:b/>
                <w:bCs/>
                <w:color w:val="333333"/>
                <w:sz w:val="18"/>
                <w:szCs w:val="18"/>
              </w:rPr>
              <w:t>Clinical criteria:</w:t>
            </w:r>
          </w:p>
        </w:tc>
      </w:tr>
      <w:tr w:rsidR="006646EB" w:rsidRPr="008E3F1A" w:rsidTr="000E60E7">
        <w:tblPrEx>
          <w:tblCellMar>
            <w:top w:w="15" w:type="dxa"/>
            <w:left w:w="15" w:type="dxa"/>
            <w:bottom w:w="15" w:type="dxa"/>
            <w:right w:w="15" w:type="dxa"/>
          </w:tblCellMar>
          <w:tblLook w:val="04A0" w:firstRow="1" w:lastRow="0" w:firstColumn="1" w:lastColumn="0" w:noHBand="0" w:noVBand="1"/>
        </w:tblPrEx>
        <w:tc>
          <w:tcPr>
            <w:tcW w:w="981" w:type="dxa"/>
            <w:vAlign w:val="center"/>
          </w:tcPr>
          <w:p w:rsidR="006646EB" w:rsidRPr="008E3F1A" w:rsidRDefault="006646EB" w:rsidP="000E60E7">
            <w:pPr>
              <w:jc w:val="center"/>
              <w:rPr>
                <w:rFonts w:ascii="Arial Narrow" w:hAnsi="Arial Narrow"/>
                <w:color w:val="333333"/>
                <w:sz w:val="18"/>
                <w:szCs w:val="18"/>
              </w:rPr>
            </w:pPr>
          </w:p>
        </w:tc>
        <w:tc>
          <w:tcPr>
            <w:tcW w:w="8086" w:type="dxa"/>
            <w:gridSpan w:val="6"/>
            <w:vAlign w:val="center"/>
          </w:tcPr>
          <w:p w:rsidR="006646EB" w:rsidRPr="008E3F1A" w:rsidRDefault="006646EB" w:rsidP="000E60E7">
            <w:pPr>
              <w:spacing w:before="40" w:after="40"/>
              <w:rPr>
                <w:rFonts w:ascii="Arial Narrow" w:hAnsi="Arial Narrow"/>
                <w:sz w:val="18"/>
                <w:szCs w:val="18"/>
              </w:rPr>
            </w:pPr>
            <w:r w:rsidRPr="008E3F1A">
              <w:rPr>
                <w:rFonts w:ascii="Arial Narrow" w:hAnsi="Arial Narrow"/>
                <w:sz w:val="18"/>
                <w:szCs w:val="18"/>
              </w:rPr>
              <w:t>Patient must have histological confirmation of CD30 expression</w:t>
            </w:r>
            <w:r w:rsidR="00371E1E" w:rsidRPr="008E3F1A">
              <w:rPr>
                <w:rFonts w:ascii="Arial Narrow" w:hAnsi="Arial Narrow"/>
                <w:sz w:val="18"/>
                <w:szCs w:val="18"/>
              </w:rPr>
              <w:t xml:space="preserve"> in at least 3% of malignant cells</w:t>
            </w:r>
            <w:r w:rsidRPr="008E3F1A">
              <w:rPr>
                <w:rFonts w:ascii="Arial Narrow" w:hAnsi="Arial Narrow"/>
                <w:sz w:val="18"/>
                <w:szCs w:val="18"/>
              </w:rPr>
              <w:t>.</w:t>
            </w:r>
          </w:p>
        </w:tc>
      </w:tr>
      <w:tr w:rsidR="006646EB" w:rsidRPr="008E3F1A" w:rsidTr="000E60E7">
        <w:tblPrEx>
          <w:tblCellMar>
            <w:top w:w="15" w:type="dxa"/>
            <w:left w:w="15" w:type="dxa"/>
            <w:bottom w:w="15" w:type="dxa"/>
            <w:right w:w="15" w:type="dxa"/>
          </w:tblCellMar>
          <w:tblLook w:val="04A0" w:firstRow="1" w:lastRow="0" w:firstColumn="1" w:lastColumn="0" w:noHBand="0" w:noVBand="1"/>
        </w:tblPrEx>
        <w:tc>
          <w:tcPr>
            <w:tcW w:w="981" w:type="dxa"/>
            <w:vAlign w:val="center"/>
          </w:tcPr>
          <w:p w:rsidR="006646EB" w:rsidRPr="008E3F1A" w:rsidRDefault="006646EB" w:rsidP="000E60E7">
            <w:pPr>
              <w:jc w:val="center"/>
              <w:rPr>
                <w:rFonts w:ascii="Arial Narrow" w:hAnsi="Arial Narrow"/>
                <w:color w:val="333333"/>
                <w:sz w:val="18"/>
                <w:szCs w:val="18"/>
              </w:rPr>
            </w:pPr>
          </w:p>
        </w:tc>
        <w:tc>
          <w:tcPr>
            <w:tcW w:w="8086" w:type="dxa"/>
            <w:gridSpan w:val="6"/>
            <w:vAlign w:val="center"/>
          </w:tcPr>
          <w:p w:rsidR="006646EB" w:rsidRPr="008E3F1A" w:rsidRDefault="006646EB" w:rsidP="000E60E7">
            <w:pPr>
              <w:rPr>
                <w:rFonts w:ascii="Arial Narrow" w:hAnsi="Arial Narrow"/>
                <w:b/>
                <w:bCs/>
                <w:color w:val="333333"/>
                <w:sz w:val="18"/>
                <w:szCs w:val="18"/>
              </w:rPr>
            </w:pPr>
            <w:r w:rsidRPr="008E3F1A">
              <w:rPr>
                <w:rFonts w:ascii="Arial Narrow" w:hAnsi="Arial Narrow"/>
                <w:b/>
                <w:bCs/>
                <w:color w:val="333333"/>
                <w:sz w:val="18"/>
                <w:szCs w:val="18"/>
              </w:rPr>
              <w:t>AND</w:t>
            </w:r>
          </w:p>
        </w:tc>
      </w:tr>
      <w:tr w:rsidR="006646EB" w:rsidRPr="008E3F1A" w:rsidTr="000E60E7">
        <w:tblPrEx>
          <w:tblCellMar>
            <w:top w:w="15" w:type="dxa"/>
            <w:left w:w="15" w:type="dxa"/>
            <w:bottom w:w="15" w:type="dxa"/>
            <w:right w:w="15" w:type="dxa"/>
          </w:tblCellMar>
          <w:tblLook w:val="04A0" w:firstRow="1" w:lastRow="0" w:firstColumn="1" w:lastColumn="0" w:noHBand="0" w:noVBand="1"/>
        </w:tblPrEx>
        <w:tc>
          <w:tcPr>
            <w:tcW w:w="981" w:type="dxa"/>
            <w:vAlign w:val="center"/>
          </w:tcPr>
          <w:p w:rsidR="006646EB" w:rsidRPr="008E3F1A" w:rsidRDefault="006646EB" w:rsidP="000E60E7">
            <w:pPr>
              <w:jc w:val="center"/>
              <w:rPr>
                <w:rFonts w:ascii="Arial Narrow" w:hAnsi="Arial Narrow"/>
                <w:color w:val="333333"/>
                <w:sz w:val="18"/>
                <w:szCs w:val="18"/>
              </w:rPr>
            </w:pPr>
          </w:p>
        </w:tc>
        <w:tc>
          <w:tcPr>
            <w:tcW w:w="8086" w:type="dxa"/>
            <w:gridSpan w:val="6"/>
            <w:vAlign w:val="center"/>
          </w:tcPr>
          <w:p w:rsidR="006646EB" w:rsidRPr="008E3F1A" w:rsidRDefault="006646EB" w:rsidP="000E60E7">
            <w:pPr>
              <w:rPr>
                <w:rFonts w:ascii="Arial Narrow" w:hAnsi="Arial Narrow"/>
                <w:b/>
                <w:bCs/>
                <w:color w:val="333333"/>
                <w:sz w:val="18"/>
                <w:szCs w:val="18"/>
              </w:rPr>
            </w:pPr>
            <w:r w:rsidRPr="008E3F1A">
              <w:rPr>
                <w:rFonts w:ascii="Arial Narrow" w:hAnsi="Arial Narrow"/>
                <w:b/>
                <w:bCs/>
                <w:color w:val="333333"/>
                <w:sz w:val="18"/>
                <w:szCs w:val="18"/>
              </w:rPr>
              <w:t>Clinical criteria:</w:t>
            </w:r>
          </w:p>
        </w:tc>
      </w:tr>
      <w:tr w:rsidR="006646EB" w:rsidRPr="008E3F1A" w:rsidTr="000E60E7">
        <w:tblPrEx>
          <w:tblCellMar>
            <w:top w:w="15" w:type="dxa"/>
            <w:left w:w="15" w:type="dxa"/>
            <w:bottom w:w="15" w:type="dxa"/>
            <w:right w:w="15" w:type="dxa"/>
          </w:tblCellMar>
          <w:tblLook w:val="04A0" w:firstRow="1" w:lastRow="0" w:firstColumn="1" w:lastColumn="0" w:noHBand="0" w:noVBand="1"/>
        </w:tblPrEx>
        <w:tc>
          <w:tcPr>
            <w:tcW w:w="981" w:type="dxa"/>
            <w:vAlign w:val="center"/>
          </w:tcPr>
          <w:p w:rsidR="006646EB" w:rsidRPr="008E3F1A" w:rsidRDefault="006646EB" w:rsidP="000E60E7">
            <w:pPr>
              <w:jc w:val="center"/>
              <w:rPr>
                <w:rFonts w:ascii="Arial Narrow" w:hAnsi="Arial Narrow"/>
                <w:color w:val="333333"/>
                <w:sz w:val="18"/>
                <w:szCs w:val="18"/>
              </w:rPr>
            </w:pPr>
          </w:p>
        </w:tc>
        <w:tc>
          <w:tcPr>
            <w:tcW w:w="8086" w:type="dxa"/>
            <w:gridSpan w:val="6"/>
            <w:vAlign w:val="center"/>
          </w:tcPr>
          <w:p w:rsidR="006646EB" w:rsidRPr="008E3F1A" w:rsidRDefault="006646EB" w:rsidP="000E60E7">
            <w:pPr>
              <w:rPr>
                <w:rFonts w:ascii="Arial Narrow" w:hAnsi="Arial Narrow"/>
                <w:b/>
                <w:bCs/>
                <w:color w:val="333333"/>
                <w:sz w:val="18"/>
                <w:szCs w:val="18"/>
              </w:rPr>
            </w:pPr>
            <w:r w:rsidRPr="008E3F1A">
              <w:rPr>
                <w:rFonts w:ascii="Arial Narrow" w:hAnsi="Arial Narrow"/>
                <w:bCs/>
                <w:color w:val="333333"/>
                <w:sz w:val="18"/>
                <w:szCs w:val="18"/>
              </w:rPr>
              <w:t>The treatment must be for first line therapy for this condition.</w:t>
            </w:r>
          </w:p>
        </w:tc>
      </w:tr>
      <w:tr w:rsidR="006646EB" w:rsidRPr="008E3F1A" w:rsidTr="000E60E7">
        <w:tblPrEx>
          <w:tblCellMar>
            <w:top w:w="15" w:type="dxa"/>
            <w:left w:w="15" w:type="dxa"/>
            <w:bottom w:w="15" w:type="dxa"/>
            <w:right w:w="15" w:type="dxa"/>
          </w:tblCellMar>
          <w:tblLook w:val="04A0" w:firstRow="1" w:lastRow="0" w:firstColumn="1" w:lastColumn="0" w:noHBand="0" w:noVBand="1"/>
        </w:tblPrEx>
        <w:tc>
          <w:tcPr>
            <w:tcW w:w="981" w:type="dxa"/>
            <w:vAlign w:val="center"/>
          </w:tcPr>
          <w:p w:rsidR="006646EB" w:rsidRPr="008E3F1A" w:rsidRDefault="006646EB" w:rsidP="000E60E7">
            <w:pPr>
              <w:jc w:val="center"/>
              <w:rPr>
                <w:rFonts w:ascii="Arial Narrow" w:hAnsi="Arial Narrow"/>
                <w:color w:val="333333"/>
                <w:sz w:val="18"/>
                <w:szCs w:val="18"/>
              </w:rPr>
            </w:pPr>
          </w:p>
        </w:tc>
        <w:tc>
          <w:tcPr>
            <w:tcW w:w="8086" w:type="dxa"/>
            <w:gridSpan w:val="6"/>
            <w:vAlign w:val="center"/>
          </w:tcPr>
          <w:p w:rsidR="006646EB" w:rsidRPr="008E3F1A" w:rsidRDefault="006646EB" w:rsidP="000E60E7">
            <w:pPr>
              <w:rPr>
                <w:rFonts w:ascii="Arial Narrow" w:hAnsi="Arial Narrow"/>
                <w:b/>
                <w:bCs/>
                <w:color w:val="333333"/>
                <w:sz w:val="18"/>
                <w:szCs w:val="18"/>
              </w:rPr>
            </w:pPr>
            <w:r w:rsidRPr="008E3F1A">
              <w:rPr>
                <w:rFonts w:ascii="Arial Narrow" w:hAnsi="Arial Narrow"/>
                <w:b/>
                <w:bCs/>
                <w:color w:val="333333"/>
                <w:sz w:val="18"/>
                <w:szCs w:val="18"/>
              </w:rPr>
              <w:t>AND</w:t>
            </w:r>
          </w:p>
        </w:tc>
      </w:tr>
      <w:tr w:rsidR="006646EB" w:rsidRPr="008E3F1A" w:rsidTr="000345C6">
        <w:tblPrEx>
          <w:tblCellMar>
            <w:top w:w="15" w:type="dxa"/>
            <w:left w:w="15" w:type="dxa"/>
            <w:bottom w:w="15" w:type="dxa"/>
            <w:right w:w="15" w:type="dxa"/>
          </w:tblCellMar>
          <w:tblLook w:val="04A0" w:firstRow="1" w:lastRow="0" w:firstColumn="1" w:lastColumn="0" w:noHBand="0" w:noVBand="1"/>
        </w:tblPrEx>
        <w:tc>
          <w:tcPr>
            <w:tcW w:w="981" w:type="dxa"/>
            <w:vAlign w:val="center"/>
          </w:tcPr>
          <w:p w:rsidR="006646EB" w:rsidRPr="008E3F1A" w:rsidRDefault="006646EB" w:rsidP="000E60E7">
            <w:pPr>
              <w:jc w:val="center"/>
              <w:rPr>
                <w:rFonts w:ascii="Arial Narrow" w:hAnsi="Arial Narrow"/>
                <w:color w:val="333333"/>
                <w:sz w:val="18"/>
                <w:szCs w:val="18"/>
              </w:rPr>
            </w:pPr>
          </w:p>
        </w:tc>
        <w:tc>
          <w:tcPr>
            <w:tcW w:w="8086" w:type="dxa"/>
            <w:gridSpan w:val="6"/>
            <w:vAlign w:val="center"/>
            <w:hideMark/>
          </w:tcPr>
          <w:p w:rsidR="006646EB" w:rsidRPr="008E3F1A" w:rsidRDefault="006646EB" w:rsidP="000E60E7">
            <w:pPr>
              <w:rPr>
                <w:rFonts w:ascii="Arial Narrow" w:hAnsi="Arial Narrow"/>
                <w:color w:val="FF00FF"/>
                <w:sz w:val="18"/>
                <w:szCs w:val="18"/>
              </w:rPr>
            </w:pPr>
            <w:r w:rsidRPr="008E3F1A">
              <w:rPr>
                <w:rFonts w:ascii="Arial Narrow" w:hAnsi="Arial Narrow"/>
                <w:b/>
                <w:bCs/>
                <w:color w:val="333333"/>
                <w:sz w:val="18"/>
                <w:szCs w:val="18"/>
              </w:rPr>
              <w:t>Clinical criteria:</w:t>
            </w:r>
          </w:p>
        </w:tc>
      </w:tr>
      <w:tr w:rsidR="006646EB" w:rsidRPr="008E3F1A" w:rsidTr="000345C6">
        <w:tblPrEx>
          <w:tblCellMar>
            <w:top w:w="15" w:type="dxa"/>
            <w:left w:w="15" w:type="dxa"/>
            <w:bottom w:w="15" w:type="dxa"/>
            <w:right w:w="15" w:type="dxa"/>
          </w:tblCellMar>
          <w:tblLook w:val="04A0" w:firstRow="1" w:lastRow="0" w:firstColumn="1" w:lastColumn="0" w:noHBand="0" w:noVBand="1"/>
        </w:tblPrEx>
        <w:tc>
          <w:tcPr>
            <w:tcW w:w="981" w:type="dxa"/>
            <w:vAlign w:val="center"/>
          </w:tcPr>
          <w:p w:rsidR="006646EB" w:rsidRPr="008E3F1A" w:rsidRDefault="006646EB" w:rsidP="000E60E7">
            <w:pPr>
              <w:jc w:val="center"/>
              <w:rPr>
                <w:rFonts w:ascii="Arial Narrow" w:hAnsi="Arial Narrow"/>
                <w:color w:val="333333"/>
                <w:sz w:val="18"/>
                <w:szCs w:val="18"/>
              </w:rPr>
            </w:pPr>
          </w:p>
        </w:tc>
        <w:tc>
          <w:tcPr>
            <w:tcW w:w="8086" w:type="dxa"/>
            <w:gridSpan w:val="6"/>
            <w:vAlign w:val="center"/>
            <w:hideMark/>
          </w:tcPr>
          <w:p w:rsidR="006646EB" w:rsidRPr="008E3F1A" w:rsidRDefault="006646EB" w:rsidP="000E60E7">
            <w:pPr>
              <w:spacing w:before="40" w:after="40"/>
              <w:rPr>
                <w:rFonts w:ascii="Arial Narrow" w:hAnsi="Arial Narrow"/>
                <w:iCs/>
                <w:sz w:val="18"/>
                <w:szCs w:val="18"/>
              </w:rPr>
            </w:pPr>
            <w:r w:rsidRPr="008E3F1A">
              <w:rPr>
                <w:rFonts w:ascii="Arial Narrow" w:hAnsi="Arial Narrow"/>
                <w:iCs/>
                <w:sz w:val="18"/>
                <w:szCs w:val="18"/>
              </w:rPr>
              <w:t>The treatment must be for curative intent.</w:t>
            </w:r>
          </w:p>
        </w:tc>
      </w:tr>
      <w:tr w:rsidR="006646EB" w:rsidRPr="008E3F1A" w:rsidTr="000345C6">
        <w:tblPrEx>
          <w:tblCellMar>
            <w:top w:w="15" w:type="dxa"/>
            <w:left w:w="15" w:type="dxa"/>
            <w:bottom w:w="15" w:type="dxa"/>
            <w:right w:w="15" w:type="dxa"/>
          </w:tblCellMar>
          <w:tblLook w:val="04A0" w:firstRow="1" w:lastRow="0" w:firstColumn="1" w:lastColumn="0" w:noHBand="0" w:noVBand="1"/>
        </w:tblPrEx>
        <w:tc>
          <w:tcPr>
            <w:tcW w:w="981" w:type="dxa"/>
            <w:vAlign w:val="center"/>
          </w:tcPr>
          <w:p w:rsidR="006646EB" w:rsidRPr="008E3F1A" w:rsidRDefault="006646EB" w:rsidP="000E60E7">
            <w:pPr>
              <w:jc w:val="center"/>
              <w:rPr>
                <w:rFonts w:ascii="Arial Narrow" w:hAnsi="Arial Narrow"/>
                <w:color w:val="333333"/>
                <w:sz w:val="18"/>
                <w:szCs w:val="18"/>
              </w:rPr>
            </w:pPr>
          </w:p>
        </w:tc>
        <w:tc>
          <w:tcPr>
            <w:tcW w:w="8086" w:type="dxa"/>
            <w:gridSpan w:val="6"/>
            <w:vAlign w:val="center"/>
            <w:hideMark/>
          </w:tcPr>
          <w:p w:rsidR="006646EB" w:rsidRPr="008E3F1A" w:rsidRDefault="006646EB" w:rsidP="000E60E7">
            <w:pPr>
              <w:rPr>
                <w:rFonts w:ascii="Arial Narrow" w:hAnsi="Arial Narrow"/>
                <w:color w:val="333333"/>
                <w:sz w:val="18"/>
                <w:szCs w:val="18"/>
              </w:rPr>
            </w:pPr>
            <w:r w:rsidRPr="008E3F1A">
              <w:rPr>
                <w:rFonts w:ascii="Arial Narrow" w:hAnsi="Arial Narrow"/>
                <w:b/>
                <w:bCs/>
                <w:color w:val="333333"/>
                <w:sz w:val="18"/>
                <w:szCs w:val="18"/>
              </w:rPr>
              <w:t>AND</w:t>
            </w:r>
          </w:p>
        </w:tc>
      </w:tr>
      <w:tr w:rsidR="006646EB" w:rsidRPr="008E3F1A" w:rsidTr="000E60E7">
        <w:tblPrEx>
          <w:tblCellMar>
            <w:top w:w="15" w:type="dxa"/>
            <w:left w:w="15" w:type="dxa"/>
            <w:bottom w:w="15" w:type="dxa"/>
            <w:right w:w="15" w:type="dxa"/>
          </w:tblCellMar>
          <w:tblLook w:val="04A0" w:firstRow="1" w:lastRow="0" w:firstColumn="1" w:lastColumn="0" w:noHBand="0" w:noVBand="1"/>
        </w:tblPrEx>
        <w:tc>
          <w:tcPr>
            <w:tcW w:w="981" w:type="dxa"/>
            <w:vAlign w:val="center"/>
          </w:tcPr>
          <w:p w:rsidR="006646EB" w:rsidRPr="008E3F1A" w:rsidRDefault="006646EB" w:rsidP="000E60E7">
            <w:pPr>
              <w:jc w:val="center"/>
              <w:rPr>
                <w:rFonts w:ascii="Arial Narrow" w:hAnsi="Arial Narrow"/>
                <w:color w:val="333333"/>
                <w:sz w:val="18"/>
                <w:szCs w:val="18"/>
              </w:rPr>
            </w:pPr>
          </w:p>
        </w:tc>
        <w:tc>
          <w:tcPr>
            <w:tcW w:w="8086" w:type="dxa"/>
            <w:gridSpan w:val="6"/>
            <w:vAlign w:val="center"/>
            <w:hideMark/>
          </w:tcPr>
          <w:p w:rsidR="006646EB" w:rsidRPr="008E3F1A" w:rsidRDefault="006646EB" w:rsidP="000E60E7">
            <w:pPr>
              <w:rPr>
                <w:rFonts w:ascii="Arial Narrow" w:hAnsi="Arial Narrow"/>
                <w:color w:val="333333"/>
                <w:sz w:val="18"/>
                <w:szCs w:val="18"/>
              </w:rPr>
            </w:pPr>
            <w:r w:rsidRPr="008E3F1A">
              <w:rPr>
                <w:rFonts w:ascii="Arial Narrow" w:hAnsi="Arial Narrow"/>
                <w:b/>
                <w:bCs/>
                <w:color w:val="333333"/>
                <w:sz w:val="18"/>
                <w:szCs w:val="18"/>
              </w:rPr>
              <w:t>Clinical criteria:</w:t>
            </w:r>
          </w:p>
        </w:tc>
      </w:tr>
      <w:tr w:rsidR="006646EB" w:rsidRPr="008E3F1A" w:rsidTr="000E60E7">
        <w:tblPrEx>
          <w:tblCellMar>
            <w:top w:w="15" w:type="dxa"/>
            <w:left w:w="15" w:type="dxa"/>
            <w:bottom w:w="15" w:type="dxa"/>
            <w:right w:w="15" w:type="dxa"/>
          </w:tblCellMar>
          <w:tblLook w:val="04A0" w:firstRow="1" w:lastRow="0" w:firstColumn="1" w:lastColumn="0" w:noHBand="0" w:noVBand="1"/>
        </w:tblPrEx>
        <w:tc>
          <w:tcPr>
            <w:tcW w:w="981" w:type="dxa"/>
            <w:vAlign w:val="center"/>
          </w:tcPr>
          <w:p w:rsidR="006646EB" w:rsidRPr="008E3F1A" w:rsidRDefault="006646EB" w:rsidP="000E60E7">
            <w:pPr>
              <w:jc w:val="center"/>
              <w:rPr>
                <w:rFonts w:ascii="Arial Narrow" w:hAnsi="Arial Narrow"/>
                <w:color w:val="333333"/>
                <w:sz w:val="18"/>
                <w:szCs w:val="18"/>
              </w:rPr>
            </w:pPr>
          </w:p>
        </w:tc>
        <w:tc>
          <w:tcPr>
            <w:tcW w:w="8086" w:type="dxa"/>
            <w:gridSpan w:val="6"/>
            <w:hideMark/>
          </w:tcPr>
          <w:p w:rsidR="006646EB" w:rsidRPr="008E3F1A" w:rsidRDefault="006646EB" w:rsidP="000E60E7">
            <w:pPr>
              <w:spacing w:before="40" w:after="40"/>
              <w:rPr>
                <w:rFonts w:ascii="Arial Narrow" w:hAnsi="Arial Narrow"/>
                <w:sz w:val="18"/>
                <w:szCs w:val="18"/>
              </w:rPr>
            </w:pPr>
            <w:r w:rsidRPr="008E3F1A">
              <w:rPr>
                <w:rFonts w:ascii="Arial Narrow" w:hAnsi="Arial Narrow"/>
                <w:sz w:val="18"/>
                <w:szCs w:val="18"/>
              </w:rPr>
              <w:t>The treatment must be in combination with cyclophosphamide, doxorubicin and prednisone.</w:t>
            </w:r>
          </w:p>
        </w:tc>
      </w:tr>
      <w:tr w:rsidR="006646EB" w:rsidRPr="008E3F1A" w:rsidTr="000E60E7">
        <w:tblPrEx>
          <w:tblCellMar>
            <w:top w:w="15" w:type="dxa"/>
            <w:left w:w="15" w:type="dxa"/>
            <w:bottom w:w="15" w:type="dxa"/>
            <w:right w:w="15" w:type="dxa"/>
          </w:tblCellMar>
          <w:tblLook w:val="04A0" w:firstRow="1" w:lastRow="0" w:firstColumn="1" w:lastColumn="0" w:noHBand="0" w:noVBand="1"/>
        </w:tblPrEx>
        <w:tc>
          <w:tcPr>
            <w:tcW w:w="981" w:type="dxa"/>
            <w:vAlign w:val="center"/>
          </w:tcPr>
          <w:p w:rsidR="006646EB" w:rsidRPr="008E3F1A" w:rsidRDefault="006646EB" w:rsidP="000E60E7">
            <w:pPr>
              <w:jc w:val="center"/>
              <w:rPr>
                <w:rFonts w:ascii="Arial Narrow" w:hAnsi="Arial Narrow"/>
                <w:color w:val="333333"/>
                <w:sz w:val="18"/>
                <w:szCs w:val="18"/>
              </w:rPr>
            </w:pPr>
          </w:p>
        </w:tc>
        <w:tc>
          <w:tcPr>
            <w:tcW w:w="8086" w:type="dxa"/>
            <w:gridSpan w:val="6"/>
          </w:tcPr>
          <w:p w:rsidR="006646EB" w:rsidRPr="008E3F1A" w:rsidRDefault="006646EB" w:rsidP="000E60E7">
            <w:pPr>
              <w:spacing w:before="40" w:after="40"/>
              <w:rPr>
                <w:rFonts w:ascii="Arial Narrow" w:hAnsi="Arial Narrow"/>
                <w:b/>
                <w:sz w:val="18"/>
                <w:szCs w:val="18"/>
              </w:rPr>
            </w:pPr>
            <w:r w:rsidRPr="008E3F1A">
              <w:rPr>
                <w:rFonts w:ascii="Arial Narrow" w:hAnsi="Arial Narrow"/>
                <w:b/>
                <w:sz w:val="18"/>
                <w:szCs w:val="18"/>
              </w:rPr>
              <w:t>AND</w:t>
            </w:r>
          </w:p>
        </w:tc>
      </w:tr>
      <w:tr w:rsidR="006646EB" w:rsidRPr="008E3F1A" w:rsidTr="000E60E7">
        <w:tblPrEx>
          <w:tblCellMar>
            <w:top w:w="15" w:type="dxa"/>
            <w:left w:w="15" w:type="dxa"/>
            <w:bottom w:w="15" w:type="dxa"/>
            <w:right w:w="15" w:type="dxa"/>
          </w:tblCellMar>
          <w:tblLook w:val="04A0" w:firstRow="1" w:lastRow="0" w:firstColumn="1" w:lastColumn="0" w:noHBand="0" w:noVBand="1"/>
        </w:tblPrEx>
        <w:tc>
          <w:tcPr>
            <w:tcW w:w="981" w:type="dxa"/>
            <w:vAlign w:val="center"/>
          </w:tcPr>
          <w:p w:rsidR="006646EB" w:rsidRPr="008E3F1A" w:rsidRDefault="006646EB" w:rsidP="000E60E7">
            <w:pPr>
              <w:jc w:val="center"/>
              <w:rPr>
                <w:rFonts w:ascii="Arial Narrow" w:hAnsi="Arial Narrow"/>
                <w:color w:val="333333"/>
                <w:sz w:val="18"/>
                <w:szCs w:val="18"/>
              </w:rPr>
            </w:pPr>
          </w:p>
        </w:tc>
        <w:tc>
          <w:tcPr>
            <w:tcW w:w="8086" w:type="dxa"/>
            <w:gridSpan w:val="6"/>
          </w:tcPr>
          <w:p w:rsidR="006646EB" w:rsidRPr="008E3F1A" w:rsidRDefault="006646EB" w:rsidP="000E60E7">
            <w:pPr>
              <w:spacing w:before="40" w:after="40"/>
              <w:rPr>
                <w:rFonts w:ascii="Arial Narrow" w:hAnsi="Arial Narrow"/>
                <w:b/>
                <w:sz w:val="18"/>
                <w:szCs w:val="18"/>
              </w:rPr>
            </w:pPr>
            <w:r w:rsidRPr="008E3F1A">
              <w:rPr>
                <w:rFonts w:ascii="Arial Narrow" w:hAnsi="Arial Narrow"/>
                <w:b/>
                <w:sz w:val="18"/>
                <w:szCs w:val="18"/>
              </w:rPr>
              <w:t>Clinical criteria:</w:t>
            </w:r>
          </w:p>
        </w:tc>
      </w:tr>
      <w:tr w:rsidR="006646EB" w:rsidRPr="008E3F1A" w:rsidTr="000E60E7">
        <w:tblPrEx>
          <w:tblCellMar>
            <w:top w:w="15" w:type="dxa"/>
            <w:left w:w="15" w:type="dxa"/>
            <w:bottom w:w="15" w:type="dxa"/>
            <w:right w:w="15" w:type="dxa"/>
          </w:tblCellMar>
          <w:tblLook w:val="04A0" w:firstRow="1" w:lastRow="0" w:firstColumn="1" w:lastColumn="0" w:noHBand="0" w:noVBand="1"/>
        </w:tblPrEx>
        <w:tc>
          <w:tcPr>
            <w:tcW w:w="981" w:type="dxa"/>
            <w:vAlign w:val="center"/>
          </w:tcPr>
          <w:p w:rsidR="006646EB" w:rsidRPr="008E3F1A" w:rsidRDefault="006646EB" w:rsidP="000E60E7">
            <w:pPr>
              <w:jc w:val="center"/>
              <w:rPr>
                <w:rFonts w:ascii="Arial Narrow" w:hAnsi="Arial Narrow"/>
                <w:color w:val="333333"/>
                <w:sz w:val="18"/>
                <w:szCs w:val="18"/>
              </w:rPr>
            </w:pPr>
          </w:p>
        </w:tc>
        <w:tc>
          <w:tcPr>
            <w:tcW w:w="8086" w:type="dxa"/>
            <w:gridSpan w:val="6"/>
          </w:tcPr>
          <w:p w:rsidR="006646EB" w:rsidRPr="008E3F1A" w:rsidRDefault="006646EB" w:rsidP="000E60E7">
            <w:pPr>
              <w:pStyle w:val="NormalWeb"/>
              <w:spacing w:before="0" w:after="0"/>
              <w:rPr>
                <w:rFonts w:ascii="Arial Narrow" w:hAnsi="Arial Narrow" w:cs="Calibri"/>
                <w:iCs/>
                <w:sz w:val="18"/>
                <w:szCs w:val="18"/>
                <w:lang w:val="en-AU"/>
              </w:rPr>
            </w:pPr>
            <w:r w:rsidRPr="008E3F1A">
              <w:rPr>
                <w:rFonts w:ascii="Arial Narrow" w:hAnsi="Arial Narrow" w:cs="Calibri"/>
                <w:iCs/>
                <w:sz w:val="18"/>
                <w:szCs w:val="18"/>
                <w:lang w:val="en-AU"/>
              </w:rPr>
              <w:t>The treatment must not be more than 6 treatment cycles under this restriction in a lifetime.</w:t>
            </w:r>
          </w:p>
        </w:tc>
      </w:tr>
      <w:tr w:rsidR="006646EB" w:rsidRPr="008E3F1A" w:rsidTr="000345C6">
        <w:tblPrEx>
          <w:tblCellMar>
            <w:top w:w="15" w:type="dxa"/>
            <w:left w:w="15" w:type="dxa"/>
            <w:bottom w:w="15" w:type="dxa"/>
            <w:right w:w="15" w:type="dxa"/>
          </w:tblCellMar>
          <w:tblLook w:val="04A0" w:firstRow="1" w:lastRow="0" w:firstColumn="1" w:lastColumn="0" w:noHBand="0" w:noVBand="1"/>
        </w:tblPrEx>
        <w:tc>
          <w:tcPr>
            <w:tcW w:w="981" w:type="dxa"/>
            <w:vAlign w:val="center"/>
          </w:tcPr>
          <w:p w:rsidR="006646EB" w:rsidRPr="008E3F1A" w:rsidRDefault="006646EB" w:rsidP="000E60E7">
            <w:pPr>
              <w:jc w:val="center"/>
              <w:rPr>
                <w:rFonts w:ascii="Arial Narrow" w:hAnsi="Arial Narrow"/>
                <w:color w:val="333333"/>
                <w:sz w:val="18"/>
                <w:szCs w:val="18"/>
              </w:rPr>
            </w:pPr>
          </w:p>
        </w:tc>
        <w:tc>
          <w:tcPr>
            <w:tcW w:w="8086" w:type="dxa"/>
            <w:gridSpan w:val="6"/>
            <w:vAlign w:val="center"/>
            <w:hideMark/>
          </w:tcPr>
          <w:p w:rsidR="006646EB" w:rsidRPr="008E3F1A" w:rsidRDefault="006646EB" w:rsidP="000E60E7">
            <w:pPr>
              <w:rPr>
                <w:rFonts w:ascii="Arial Narrow" w:hAnsi="Arial Narrow"/>
                <w:b/>
                <w:bCs/>
                <w:color w:val="333333"/>
                <w:sz w:val="18"/>
                <w:szCs w:val="18"/>
              </w:rPr>
            </w:pPr>
            <w:r w:rsidRPr="008E3F1A">
              <w:rPr>
                <w:rFonts w:ascii="Arial Narrow" w:hAnsi="Arial Narrow"/>
                <w:b/>
                <w:bCs/>
                <w:color w:val="333333"/>
                <w:sz w:val="18"/>
                <w:szCs w:val="18"/>
              </w:rPr>
              <w:t xml:space="preserve">Prescribing Instructions: </w:t>
            </w:r>
          </w:p>
          <w:p w:rsidR="006646EB" w:rsidRPr="008E3F1A" w:rsidRDefault="006646EB" w:rsidP="000E60E7">
            <w:pPr>
              <w:rPr>
                <w:rFonts w:ascii="Arial Narrow" w:hAnsi="Arial Narrow" w:cs="Calibri"/>
                <w:iCs/>
                <w:sz w:val="18"/>
                <w:szCs w:val="18"/>
              </w:rPr>
            </w:pPr>
            <w:r w:rsidRPr="008E3F1A">
              <w:rPr>
                <w:rFonts w:ascii="Arial Narrow" w:hAnsi="Arial Narrow" w:cs="Calibri"/>
                <w:iCs/>
                <w:sz w:val="18"/>
                <w:szCs w:val="18"/>
              </w:rPr>
              <w:t xml:space="preserve">Applications for </w:t>
            </w:r>
            <w:r w:rsidRPr="008E3F1A">
              <w:rPr>
                <w:rFonts w:ascii="Arial Narrow" w:hAnsi="Arial Narrow"/>
                <w:sz w:val="18"/>
                <w:szCs w:val="18"/>
              </w:rPr>
              <w:t>authorisation</w:t>
            </w:r>
            <w:r w:rsidRPr="008E3F1A">
              <w:rPr>
                <w:rFonts w:ascii="Arial Narrow" w:hAnsi="Arial Narrow" w:cs="Calibri"/>
                <w:iCs/>
                <w:sz w:val="18"/>
                <w:szCs w:val="18"/>
              </w:rPr>
              <w:t xml:space="preserve"> of initial treatment must be in writing and must include:</w:t>
            </w:r>
            <w:r w:rsidRPr="008E3F1A">
              <w:rPr>
                <w:rFonts w:ascii="Arial Narrow" w:hAnsi="Arial Narrow" w:cs="Calibri"/>
                <w:sz w:val="18"/>
                <w:szCs w:val="18"/>
              </w:rPr>
              <w:t> </w:t>
            </w:r>
          </w:p>
          <w:p w:rsidR="006646EB" w:rsidRPr="008E3F1A" w:rsidRDefault="006646EB" w:rsidP="000E60E7">
            <w:pPr>
              <w:pStyle w:val="NormalWeb"/>
              <w:spacing w:before="0" w:after="0"/>
              <w:rPr>
                <w:rFonts w:ascii="Arial Narrow" w:hAnsi="Arial Narrow" w:cs="Calibri"/>
                <w:sz w:val="18"/>
                <w:szCs w:val="18"/>
                <w:lang w:val="en-AU"/>
              </w:rPr>
            </w:pPr>
            <w:r w:rsidRPr="008E3F1A">
              <w:rPr>
                <w:rFonts w:ascii="Arial Narrow" w:hAnsi="Arial Narrow" w:cs="Calibri"/>
                <w:iCs/>
                <w:sz w:val="18"/>
                <w:szCs w:val="18"/>
                <w:lang w:val="en-AU"/>
              </w:rPr>
              <w:t>(a) a completed authority prescription form; and</w:t>
            </w:r>
          </w:p>
          <w:p w:rsidR="006646EB" w:rsidRPr="008E3F1A" w:rsidRDefault="006646EB" w:rsidP="000E60E7">
            <w:pPr>
              <w:pStyle w:val="NormalWeb"/>
              <w:spacing w:before="0" w:after="0"/>
              <w:rPr>
                <w:rFonts w:ascii="Arial Narrow" w:hAnsi="Arial Narrow" w:cs="Calibri"/>
                <w:sz w:val="18"/>
                <w:szCs w:val="18"/>
                <w:lang w:val="en-AU"/>
              </w:rPr>
            </w:pPr>
            <w:r w:rsidRPr="008E3F1A">
              <w:rPr>
                <w:rFonts w:ascii="Arial Narrow" w:hAnsi="Arial Narrow" w:cs="Calibri"/>
                <w:iCs/>
                <w:sz w:val="18"/>
                <w:szCs w:val="18"/>
                <w:lang w:val="en-AU"/>
              </w:rPr>
              <w:lastRenderedPageBreak/>
              <w:t xml:space="preserve">(b) a completed Peripheral T cell lymphoma Brentuximab PBS Authority Application - Supporting Information Form which includes the following: </w:t>
            </w:r>
          </w:p>
          <w:p w:rsidR="006646EB" w:rsidRPr="008E3F1A" w:rsidRDefault="006646EB" w:rsidP="000E60E7">
            <w:pPr>
              <w:pStyle w:val="NormalWeb"/>
              <w:spacing w:before="0" w:after="0"/>
              <w:rPr>
                <w:rFonts w:ascii="Arial Narrow" w:hAnsi="Arial Narrow" w:cs="Calibri"/>
                <w:sz w:val="18"/>
                <w:szCs w:val="18"/>
                <w:lang w:val="en-AU"/>
              </w:rPr>
            </w:pPr>
            <w:r w:rsidRPr="008E3F1A">
              <w:rPr>
                <w:rFonts w:ascii="Arial Narrow" w:hAnsi="Arial Narrow" w:cs="Calibri"/>
                <w:iCs/>
                <w:sz w:val="18"/>
                <w:szCs w:val="18"/>
                <w:lang w:val="en-AU"/>
              </w:rPr>
              <w:t>(i) a histology report including evidence of the tumour's CD30 positivity;</w:t>
            </w:r>
          </w:p>
          <w:p w:rsidR="006646EB" w:rsidRPr="008E3F1A" w:rsidRDefault="006646EB" w:rsidP="000E60E7">
            <w:pPr>
              <w:rPr>
                <w:rFonts w:ascii="Arial Narrow" w:hAnsi="Arial Narrow"/>
                <w:color w:val="FF00FF"/>
                <w:sz w:val="18"/>
                <w:szCs w:val="18"/>
              </w:rPr>
            </w:pPr>
            <w:r w:rsidRPr="008E3F1A">
              <w:rPr>
                <w:rFonts w:ascii="Arial Narrow" w:hAnsi="Arial Narrow" w:cs="Calibri"/>
                <w:iCs/>
                <w:sz w:val="18"/>
                <w:szCs w:val="18"/>
              </w:rPr>
              <w:t>(ii) The date of initial diagnosis of Peripheral T cell lymphoma cell lymphoma</w:t>
            </w:r>
            <w:r w:rsidR="00371E1E" w:rsidRPr="008E3F1A">
              <w:rPr>
                <w:rFonts w:ascii="Arial Narrow" w:hAnsi="Arial Narrow" w:cs="Calibri"/>
                <w:iCs/>
                <w:sz w:val="18"/>
                <w:szCs w:val="18"/>
              </w:rPr>
              <w:t>.</w:t>
            </w:r>
          </w:p>
          <w:p w:rsidR="006646EB" w:rsidRPr="008E3F1A" w:rsidRDefault="006646EB" w:rsidP="000E60E7">
            <w:pPr>
              <w:rPr>
                <w:rFonts w:ascii="Arial Narrow" w:hAnsi="Arial Narrow"/>
                <w:color w:val="333333"/>
                <w:sz w:val="18"/>
                <w:szCs w:val="18"/>
              </w:rPr>
            </w:pPr>
          </w:p>
        </w:tc>
      </w:tr>
      <w:tr w:rsidR="006646EB" w:rsidRPr="008E3F1A" w:rsidTr="000345C6">
        <w:tblPrEx>
          <w:tblCellMar>
            <w:top w:w="15" w:type="dxa"/>
            <w:left w:w="15" w:type="dxa"/>
            <w:bottom w:w="15" w:type="dxa"/>
            <w:right w:w="15" w:type="dxa"/>
          </w:tblCellMar>
          <w:tblLook w:val="04A0" w:firstRow="1" w:lastRow="0" w:firstColumn="1" w:lastColumn="0" w:noHBand="0" w:noVBand="1"/>
        </w:tblPrEx>
        <w:tc>
          <w:tcPr>
            <w:tcW w:w="981" w:type="dxa"/>
            <w:vAlign w:val="center"/>
          </w:tcPr>
          <w:p w:rsidR="006646EB" w:rsidRPr="008E3F1A" w:rsidRDefault="006646EB" w:rsidP="000E60E7">
            <w:pPr>
              <w:jc w:val="center"/>
              <w:rPr>
                <w:rFonts w:ascii="Arial Narrow" w:hAnsi="Arial Narrow"/>
                <w:color w:val="333333"/>
                <w:sz w:val="18"/>
                <w:szCs w:val="18"/>
              </w:rPr>
            </w:pPr>
          </w:p>
        </w:tc>
        <w:tc>
          <w:tcPr>
            <w:tcW w:w="8086" w:type="dxa"/>
            <w:gridSpan w:val="6"/>
            <w:vAlign w:val="center"/>
            <w:hideMark/>
          </w:tcPr>
          <w:p w:rsidR="006646EB" w:rsidRPr="008E3F1A" w:rsidRDefault="006646EB" w:rsidP="000E60E7">
            <w:pPr>
              <w:rPr>
                <w:rFonts w:ascii="Arial Narrow" w:hAnsi="Arial Narrow"/>
                <w:color w:val="333333"/>
                <w:sz w:val="18"/>
                <w:szCs w:val="18"/>
              </w:rPr>
            </w:pPr>
            <w:r w:rsidRPr="008E3F1A">
              <w:rPr>
                <w:rFonts w:ascii="Arial Narrow" w:hAnsi="Arial Narrow"/>
                <w:b/>
                <w:bCs/>
                <w:color w:val="333333"/>
                <w:sz w:val="18"/>
                <w:szCs w:val="18"/>
              </w:rPr>
              <w:t xml:space="preserve">Administrative Advice: </w:t>
            </w:r>
            <w:r w:rsidRPr="008E3F1A">
              <w:rPr>
                <w:rFonts w:ascii="Arial Narrow" w:hAnsi="Arial Narrow"/>
                <w:bCs/>
                <w:color w:val="333333"/>
                <w:sz w:val="18"/>
                <w:szCs w:val="18"/>
              </w:rPr>
              <w:t xml:space="preserve">This product is not PBS-subsidised for the treatment of </w:t>
            </w:r>
            <w:r w:rsidR="00371E1E" w:rsidRPr="008E3F1A">
              <w:rPr>
                <w:rFonts w:ascii="Arial Narrow" w:hAnsi="Arial Narrow"/>
                <w:bCs/>
                <w:color w:val="333333"/>
                <w:sz w:val="18"/>
                <w:szCs w:val="18"/>
              </w:rPr>
              <w:t xml:space="preserve">previously untreated </w:t>
            </w:r>
            <w:r w:rsidRPr="008E3F1A">
              <w:rPr>
                <w:rFonts w:ascii="Arial Narrow" w:hAnsi="Arial Narrow"/>
                <w:bCs/>
                <w:color w:val="333333"/>
                <w:sz w:val="18"/>
                <w:szCs w:val="18"/>
              </w:rPr>
              <w:t>CD30 positive cutaneous T-cell lymphoma.</w:t>
            </w:r>
          </w:p>
        </w:tc>
      </w:tr>
      <w:tr w:rsidR="006646EB" w:rsidRPr="008E3F1A" w:rsidTr="000E60E7">
        <w:tblPrEx>
          <w:tblCellMar>
            <w:top w:w="15" w:type="dxa"/>
            <w:left w:w="15" w:type="dxa"/>
            <w:bottom w:w="15" w:type="dxa"/>
            <w:right w:w="15" w:type="dxa"/>
          </w:tblCellMar>
          <w:tblLook w:val="04A0" w:firstRow="1" w:lastRow="0" w:firstColumn="1" w:lastColumn="0" w:noHBand="0" w:noVBand="1"/>
        </w:tblPrEx>
        <w:tc>
          <w:tcPr>
            <w:tcW w:w="981" w:type="dxa"/>
            <w:vAlign w:val="center"/>
          </w:tcPr>
          <w:p w:rsidR="006646EB" w:rsidRPr="008E3F1A" w:rsidRDefault="006646EB" w:rsidP="00BD2872">
            <w:pPr>
              <w:jc w:val="center"/>
              <w:rPr>
                <w:rFonts w:ascii="Arial Narrow" w:hAnsi="Arial Narrow" w:cs="Calibri"/>
                <w:i/>
                <w:iCs/>
                <w:sz w:val="18"/>
                <w:szCs w:val="18"/>
              </w:rPr>
            </w:pPr>
          </w:p>
        </w:tc>
        <w:tc>
          <w:tcPr>
            <w:tcW w:w="8086" w:type="dxa"/>
            <w:gridSpan w:val="6"/>
            <w:vAlign w:val="center"/>
          </w:tcPr>
          <w:p w:rsidR="006646EB" w:rsidRPr="008E3F1A" w:rsidRDefault="006646EB" w:rsidP="000E60E7">
            <w:pPr>
              <w:pStyle w:val="NormalWeb"/>
              <w:spacing w:before="0" w:after="0"/>
              <w:rPr>
                <w:rFonts w:ascii="Arial Narrow" w:hAnsi="Arial Narrow" w:cs="Calibri"/>
                <w:b/>
                <w:iCs/>
                <w:sz w:val="18"/>
                <w:szCs w:val="18"/>
                <w:lang w:val="en-AU"/>
              </w:rPr>
            </w:pPr>
            <w:r w:rsidRPr="008E3F1A">
              <w:rPr>
                <w:rFonts w:ascii="Arial Narrow" w:hAnsi="Arial Narrow" w:cs="Calibri"/>
                <w:b/>
                <w:iCs/>
                <w:sz w:val="18"/>
                <w:szCs w:val="18"/>
                <w:lang w:val="en-AU"/>
              </w:rPr>
              <w:t xml:space="preserve">Administrative Advice: </w:t>
            </w:r>
          </w:p>
          <w:p w:rsidR="006646EB" w:rsidRPr="008E3F1A" w:rsidRDefault="006646EB" w:rsidP="000E60E7">
            <w:pPr>
              <w:pStyle w:val="NormalWeb"/>
              <w:spacing w:before="0" w:after="0"/>
              <w:rPr>
                <w:rFonts w:ascii="Arial Narrow" w:hAnsi="Arial Narrow" w:cs="Calibri"/>
                <w:iCs/>
                <w:sz w:val="18"/>
                <w:szCs w:val="18"/>
                <w:lang w:val="en-AU"/>
              </w:rPr>
            </w:pPr>
            <w:r w:rsidRPr="008E3F1A">
              <w:rPr>
                <w:rFonts w:ascii="Arial Narrow" w:hAnsi="Arial Narrow" w:cs="Calibri"/>
                <w:iCs/>
                <w:sz w:val="18"/>
                <w:szCs w:val="18"/>
                <w:lang w:val="en-AU"/>
              </w:rPr>
              <w:t xml:space="preserve">Any queries concerning the arrangements to prescribe may be directed to Services Australia 1800 700 270 (hours of operation 8 a.m. to 5 p.m. EST Monday to Friday). </w:t>
            </w:r>
          </w:p>
          <w:p w:rsidR="006646EB" w:rsidRPr="008E3F1A" w:rsidRDefault="006646EB" w:rsidP="000E60E7">
            <w:pPr>
              <w:pStyle w:val="NormalWeb"/>
              <w:spacing w:before="0" w:after="0"/>
              <w:rPr>
                <w:rFonts w:ascii="Arial Narrow" w:hAnsi="Arial Narrow" w:cs="Calibri"/>
                <w:iCs/>
                <w:sz w:val="18"/>
                <w:szCs w:val="18"/>
                <w:lang w:val="en-AU"/>
              </w:rPr>
            </w:pPr>
            <w:r w:rsidRPr="008E3F1A">
              <w:rPr>
                <w:rFonts w:ascii="Arial Narrow" w:hAnsi="Arial Narrow" w:cs="Calibri"/>
                <w:iCs/>
                <w:sz w:val="18"/>
                <w:szCs w:val="18"/>
                <w:lang w:val="en-AU"/>
              </w:rPr>
              <w:t xml:space="preserve">Prescribing information (including Authority Application forms and other relevant documentation as applicable) is available on the Services Australia website at </w:t>
            </w:r>
            <w:r w:rsidRPr="008E3F1A">
              <w:rPr>
                <w:rFonts w:ascii="Arial Narrow" w:hAnsi="Arial Narrow" w:cs="Calibri"/>
                <w:sz w:val="18"/>
                <w:szCs w:val="18"/>
                <w:lang w:val="en-AU"/>
              </w:rPr>
              <w:t>www.servicesaustralia.gov.au</w:t>
            </w:r>
            <w:r w:rsidRPr="008E3F1A">
              <w:rPr>
                <w:rFonts w:ascii="Arial Narrow" w:hAnsi="Arial Narrow" w:cs="Calibri"/>
                <w:iCs/>
                <w:sz w:val="18"/>
                <w:szCs w:val="18"/>
                <w:lang w:val="en-AU"/>
              </w:rPr>
              <w:t xml:space="preserve"> </w:t>
            </w:r>
          </w:p>
          <w:p w:rsidR="006646EB" w:rsidRPr="008E3F1A" w:rsidRDefault="006646EB" w:rsidP="000E60E7">
            <w:pPr>
              <w:pStyle w:val="NormalWeb"/>
              <w:spacing w:before="0" w:after="0"/>
              <w:rPr>
                <w:rFonts w:ascii="Arial Narrow" w:hAnsi="Arial Narrow" w:cs="Calibri"/>
                <w:iCs/>
                <w:sz w:val="18"/>
                <w:szCs w:val="18"/>
                <w:lang w:val="en-AU"/>
              </w:rPr>
            </w:pPr>
            <w:r w:rsidRPr="008E3F1A">
              <w:rPr>
                <w:rFonts w:ascii="Arial Narrow" w:hAnsi="Arial Narrow" w:cs="Calibri"/>
                <w:iCs/>
                <w:sz w:val="18"/>
                <w:szCs w:val="18"/>
                <w:lang w:val="en-AU"/>
              </w:rPr>
              <w:t xml:space="preserve">Applications for authority to prescribe should be submitted online using the form upload facility in Health Professional Online Services (HPOS) at </w:t>
            </w:r>
            <w:r w:rsidRPr="008E3F1A">
              <w:rPr>
                <w:rFonts w:ascii="Arial Narrow" w:hAnsi="Arial Narrow" w:cs="Calibri"/>
                <w:sz w:val="18"/>
                <w:szCs w:val="18"/>
                <w:lang w:val="en-AU"/>
              </w:rPr>
              <w:t>www.servicesaustralia.gov.au/hpos</w:t>
            </w:r>
            <w:r w:rsidRPr="008E3F1A">
              <w:rPr>
                <w:rFonts w:ascii="Arial Narrow" w:hAnsi="Arial Narrow" w:cs="Calibri"/>
                <w:iCs/>
                <w:sz w:val="18"/>
                <w:szCs w:val="18"/>
                <w:lang w:val="en-AU"/>
              </w:rPr>
              <w:t xml:space="preserve"> </w:t>
            </w:r>
          </w:p>
          <w:p w:rsidR="006646EB" w:rsidRPr="008E3F1A" w:rsidRDefault="006646EB" w:rsidP="000E60E7">
            <w:pPr>
              <w:pStyle w:val="NormalWeb"/>
              <w:spacing w:before="0" w:after="0"/>
              <w:rPr>
                <w:rFonts w:ascii="Arial Narrow" w:hAnsi="Arial Narrow" w:cs="Calibri"/>
                <w:iCs/>
                <w:sz w:val="18"/>
                <w:szCs w:val="18"/>
                <w:lang w:val="en-AU"/>
              </w:rPr>
            </w:pPr>
            <w:r w:rsidRPr="008E3F1A">
              <w:rPr>
                <w:rFonts w:ascii="Arial Narrow" w:hAnsi="Arial Narrow" w:cs="Calibri"/>
                <w:iCs/>
                <w:sz w:val="18"/>
                <w:szCs w:val="18"/>
                <w:lang w:val="en-AU"/>
              </w:rPr>
              <w:t>Or mailed to:</w:t>
            </w:r>
          </w:p>
          <w:p w:rsidR="006646EB" w:rsidRPr="008E3F1A" w:rsidRDefault="006646EB" w:rsidP="000E60E7">
            <w:pPr>
              <w:pStyle w:val="NormalWeb"/>
              <w:spacing w:before="0" w:after="0"/>
              <w:rPr>
                <w:rFonts w:ascii="Arial Narrow" w:hAnsi="Arial Narrow" w:cs="Calibri"/>
                <w:iCs/>
                <w:sz w:val="18"/>
                <w:szCs w:val="18"/>
                <w:lang w:val="en-AU"/>
              </w:rPr>
            </w:pPr>
            <w:r w:rsidRPr="008E3F1A">
              <w:rPr>
                <w:rFonts w:ascii="Arial Narrow" w:hAnsi="Arial Narrow" w:cs="Calibri"/>
                <w:iCs/>
                <w:sz w:val="18"/>
                <w:szCs w:val="18"/>
                <w:lang w:val="en-AU"/>
              </w:rPr>
              <w:t>Services Australia</w:t>
            </w:r>
          </w:p>
          <w:p w:rsidR="006646EB" w:rsidRPr="008E3F1A" w:rsidRDefault="006646EB" w:rsidP="000E60E7">
            <w:pPr>
              <w:pStyle w:val="NormalWeb"/>
              <w:spacing w:before="0" w:after="0"/>
              <w:rPr>
                <w:rFonts w:ascii="Arial Narrow" w:hAnsi="Arial Narrow" w:cs="Calibri"/>
                <w:iCs/>
                <w:sz w:val="18"/>
                <w:szCs w:val="18"/>
                <w:lang w:val="en-AU"/>
              </w:rPr>
            </w:pPr>
            <w:r w:rsidRPr="008E3F1A">
              <w:rPr>
                <w:rFonts w:ascii="Arial Narrow" w:hAnsi="Arial Narrow" w:cs="Calibri"/>
                <w:iCs/>
                <w:sz w:val="18"/>
                <w:szCs w:val="18"/>
                <w:lang w:val="en-AU"/>
              </w:rPr>
              <w:t>Complex Drugs</w:t>
            </w:r>
          </w:p>
          <w:p w:rsidR="006646EB" w:rsidRPr="008E3F1A" w:rsidRDefault="006646EB" w:rsidP="000E60E7">
            <w:pPr>
              <w:pStyle w:val="NormalWeb"/>
              <w:spacing w:before="0" w:after="0"/>
              <w:rPr>
                <w:rFonts w:ascii="Arial Narrow" w:hAnsi="Arial Narrow" w:cs="Calibri"/>
                <w:iCs/>
                <w:sz w:val="18"/>
                <w:szCs w:val="18"/>
                <w:lang w:val="en-AU"/>
              </w:rPr>
            </w:pPr>
            <w:r w:rsidRPr="008E3F1A">
              <w:rPr>
                <w:rFonts w:ascii="Arial Narrow" w:hAnsi="Arial Narrow" w:cs="Calibri"/>
                <w:iCs/>
                <w:sz w:val="18"/>
                <w:szCs w:val="18"/>
                <w:lang w:val="en-AU"/>
              </w:rPr>
              <w:t>Reply Paid 9826</w:t>
            </w:r>
          </w:p>
          <w:p w:rsidR="006646EB" w:rsidRPr="008E3F1A" w:rsidRDefault="006646EB" w:rsidP="000E60E7">
            <w:pPr>
              <w:pStyle w:val="NormalWeb"/>
              <w:spacing w:before="0" w:after="0"/>
              <w:rPr>
                <w:rFonts w:ascii="Arial Narrow" w:hAnsi="Arial Narrow" w:cs="Calibri"/>
                <w:iCs/>
                <w:sz w:val="18"/>
                <w:szCs w:val="18"/>
                <w:lang w:val="en-AU"/>
              </w:rPr>
            </w:pPr>
            <w:r w:rsidRPr="008E3F1A">
              <w:rPr>
                <w:rFonts w:ascii="Arial Narrow" w:hAnsi="Arial Narrow" w:cs="Calibri"/>
                <w:iCs/>
                <w:sz w:val="18"/>
                <w:szCs w:val="18"/>
                <w:lang w:val="en-AU"/>
              </w:rPr>
              <w:t>HOBART TAS 7001</w:t>
            </w:r>
          </w:p>
          <w:p w:rsidR="006646EB" w:rsidRPr="008E3F1A" w:rsidRDefault="006646EB" w:rsidP="000E60E7">
            <w:pPr>
              <w:pStyle w:val="NormalWeb"/>
              <w:spacing w:before="0" w:after="0"/>
              <w:rPr>
                <w:rFonts w:ascii="Arial Narrow" w:hAnsi="Arial Narrow" w:cs="Calibri"/>
                <w:i/>
                <w:iCs/>
                <w:sz w:val="18"/>
                <w:szCs w:val="18"/>
                <w:lang w:val="en-AU"/>
              </w:rPr>
            </w:pPr>
          </w:p>
        </w:tc>
      </w:tr>
    </w:tbl>
    <w:p w:rsidR="006646EB" w:rsidRPr="008E3F1A" w:rsidRDefault="006646EB" w:rsidP="006646EB">
      <w:pPr>
        <w:pStyle w:val="NormalWeb"/>
        <w:spacing w:before="0" w:after="0"/>
        <w:rPr>
          <w:rFonts w:ascii="Arial Narrow" w:hAnsi="Arial Narrow" w:cs="Calibri"/>
          <w:i/>
          <w:iCs/>
          <w:sz w:val="18"/>
          <w:szCs w:val="18"/>
          <w:lang w:val="en-AU"/>
        </w:rPr>
      </w:pPr>
    </w:p>
    <w:p w:rsidR="006646EB" w:rsidRPr="008E3F1A" w:rsidRDefault="006646EB" w:rsidP="006646EB">
      <w:pPr>
        <w:pStyle w:val="NormalWeb"/>
        <w:spacing w:before="0" w:after="0"/>
        <w:rPr>
          <w:rFonts w:ascii="Arial Narrow" w:hAnsi="Arial Narrow" w:cs="Calibri"/>
          <w:i/>
          <w:iCs/>
          <w:sz w:val="18"/>
          <w:szCs w:val="18"/>
          <w:lang w:val="en-AU"/>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7"/>
        <w:gridCol w:w="2835"/>
        <w:gridCol w:w="1842"/>
        <w:gridCol w:w="851"/>
        <w:gridCol w:w="850"/>
        <w:gridCol w:w="1702"/>
      </w:tblGrid>
      <w:tr w:rsidR="006646EB" w:rsidRPr="008E3F1A" w:rsidTr="000E60E7">
        <w:trPr>
          <w:cantSplit/>
          <w:trHeight w:val="471"/>
        </w:trPr>
        <w:tc>
          <w:tcPr>
            <w:tcW w:w="3823" w:type="dxa"/>
            <w:gridSpan w:val="3"/>
          </w:tcPr>
          <w:p w:rsidR="006646EB" w:rsidRPr="008E3F1A" w:rsidRDefault="006646EB" w:rsidP="000E60E7">
            <w:pPr>
              <w:keepNext/>
              <w:rPr>
                <w:rFonts w:ascii="Arial Narrow" w:hAnsi="Arial Narrow"/>
                <w:b/>
                <w:sz w:val="18"/>
                <w:szCs w:val="18"/>
              </w:rPr>
            </w:pPr>
            <w:r w:rsidRPr="008E3F1A">
              <w:rPr>
                <w:rFonts w:ascii="Arial Narrow" w:hAnsi="Arial Narrow"/>
                <w:b/>
                <w:sz w:val="18"/>
                <w:szCs w:val="18"/>
              </w:rPr>
              <w:t>MEDICINAL PRODUCT</w:t>
            </w:r>
          </w:p>
          <w:p w:rsidR="006646EB" w:rsidRPr="008E3F1A" w:rsidRDefault="006646EB" w:rsidP="000E60E7">
            <w:pPr>
              <w:keepNext/>
              <w:rPr>
                <w:rFonts w:ascii="Arial Narrow" w:hAnsi="Arial Narrow"/>
                <w:b/>
                <w:sz w:val="18"/>
                <w:szCs w:val="18"/>
              </w:rPr>
            </w:pPr>
            <w:r w:rsidRPr="008E3F1A">
              <w:rPr>
                <w:rFonts w:ascii="Arial Narrow" w:hAnsi="Arial Narrow"/>
                <w:b/>
                <w:sz w:val="18"/>
                <w:szCs w:val="18"/>
              </w:rPr>
              <w:t>Form</w:t>
            </w:r>
          </w:p>
        </w:tc>
        <w:tc>
          <w:tcPr>
            <w:tcW w:w="1842" w:type="dxa"/>
          </w:tcPr>
          <w:p w:rsidR="006646EB" w:rsidRPr="008E3F1A" w:rsidRDefault="006646EB" w:rsidP="000E60E7">
            <w:pPr>
              <w:keepNext/>
              <w:ind w:left="-108"/>
              <w:jc w:val="center"/>
              <w:rPr>
                <w:rFonts w:ascii="Arial Narrow" w:hAnsi="Arial Narrow"/>
                <w:b/>
                <w:sz w:val="18"/>
                <w:szCs w:val="18"/>
              </w:rPr>
            </w:pPr>
            <w:r w:rsidRPr="008E3F1A">
              <w:rPr>
                <w:rFonts w:ascii="Arial Narrow" w:hAnsi="Arial Narrow"/>
                <w:b/>
                <w:sz w:val="18"/>
                <w:szCs w:val="18"/>
              </w:rPr>
              <w:t>PBS item code</w:t>
            </w:r>
          </w:p>
        </w:tc>
        <w:tc>
          <w:tcPr>
            <w:tcW w:w="851" w:type="dxa"/>
          </w:tcPr>
          <w:p w:rsidR="006646EB" w:rsidRPr="008E3F1A" w:rsidRDefault="006646EB" w:rsidP="000E60E7">
            <w:pPr>
              <w:keepNext/>
              <w:ind w:left="-108"/>
              <w:jc w:val="center"/>
              <w:rPr>
                <w:rFonts w:ascii="Arial Narrow" w:hAnsi="Arial Narrow"/>
                <w:b/>
                <w:sz w:val="18"/>
                <w:szCs w:val="18"/>
              </w:rPr>
            </w:pPr>
            <w:r w:rsidRPr="008E3F1A">
              <w:rPr>
                <w:rFonts w:ascii="Arial Narrow" w:hAnsi="Arial Narrow"/>
                <w:b/>
                <w:sz w:val="18"/>
                <w:szCs w:val="18"/>
              </w:rPr>
              <w:t>Max.</w:t>
            </w:r>
          </w:p>
          <w:p w:rsidR="006646EB" w:rsidRPr="008E3F1A" w:rsidRDefault="006646EB" w:rsidP="000E60E7">
            <w:pPr>
              <w:keepNext/>
              <w:ind w:left="-108"/>
              <w:jc w:val="center"/>
              <w:rPr>
                <w:rFonts w:ascii="Arial Narrow" w:hAnsi="Arial Narrow"/>
                <w:b/>
                <w:sz w:val="18"/>
                <w:szCs w:val="18"/>
              </w:rPr>
            </w:pPr>
            <w:r w:rsidRPr="008E3F1A">
              <w:rPr>
                <w:rFonts w:ascii="Arial Narrow" w:hAnsi="Arial Narrow"/>
                <w:b/>
                <w:sz w:val="18"/>
                <w:szCs w:val="18"/>
              </w:rPr>
              <w:t>Amount</w:t>
            </w:r>
          </w:p>
        </w:tc>
        <w:tc>
          <w:tcPr>
            <w:tcW w:w="850" w:type="dxa"/>
          </w:tcPr>
          <w:p w:rsidR="006646EB" w:rsidRPr="008E3F1A" w:rsidRDefault="006646EB" w:rsidP="000E60E7">
            <w:pPr>
              <w:keepNext/>
              <w:ind w:left="-108"/>
              <w:jc w:val="center"/>
              <w:rPr>
                <w:rFonts w:ascii="Arial Narrow" w:hAnsi="Arial Narrow"/>
                <w:b/>
                <w:sz w:val="18"/>
                <w:szCs w:val="18"/>
              </w:rPr>
            </w:pPr>
            <w:r w:rsidRPr="008E3F1A">
              <w:rPr>
                <w:rFonts w:ascii="Arial Narrow" w:hAnsi="Arial Narrow"/>
                <w:b/>
                <w:sz w:val="18"/>
                <w:szCs w:val="18"/>
              </w:rPr>
              <w:t>№.of</w:t>
            </w:r>
          </w:p>
          <w:p w:rsidR="006646EB" w:rsidRPr="008E3F1A" w:rsidRDefault="006646EB" w:rsidP="000E60E7">
            <w:pPr>
              <w:keepNext/>
              <w:ind w:left="-108"/>
              <w:jc w:val="center"/>
              <w:rPr>
                <w:rFonts w:ascii="Arial Narrow" w:hAnsi="Arial Narrow"/>
                <w:b/>
                <w:sz w:val="18"/>
                <w:szCs w:val="18"/>
              </w:rPr>
            </w:pPr>
            <w:r w:rsidRPr="008E3F1A">
              <w:rPr>
                <w:rFonts w:ascii="Arial Narrow" w:hAnsi="Arial Narrow"/>
                <w:b/>
                <w:sz w:val="18"/>
                <w:szCs w:val="18"/>
              </w:rPr>
              <w:t>Rpts</w:t>
            </w:r>
          </w:p>
        </w:tc>
        <w:tc>
          <w:tcPr>
            <w:tcW w:w="1701" w:type="dxa"/>
          </w:tcPr>
          <w:p w:rsidR="006646EB" w:rsidRPr="008E3F1A" w:rsidRDefault="006646EB" w:rsidP="000E60E7">
            <w:pPr>
              <w:keepNext/>
              <w:rPr>
                <w:rFonts w:ascii="Arial Narrow" w:hAnsi="Arial Narrow"/>
                <w:b/>
                <w:sz w:val="18"/>
                <w:szCs w:val="18"/>
              </w:rPr>
            </w:pPr>
            <w:r w:rsidRPr="008E3F1A">
              <w:rPr>
                <w:rFonts w:ascii="Arial Narrow" w:hAnsi="Arial Narrow"/>
                <w:b/>
                <w:sz w:val="18"/>
                <w:szCs w:val="18"/>
              </w:rPr>
              <w:t>Manufacturer</w:t>
            </w:r>
          </w:p>
        </w:tc>
      </w:tr>
      <w:tr w:rsidR="006646EB" w:rsidRPr="008E3F1A" w:rsidTr="000E60E7">
        <w:trPr>
          <w:cantSplit/>
          <w:trHeight w:val="577"/>
        </w:trPr>
        <w:tc>
          <w:tcPr>
            <w:tcW w:w="3823" w:type="dxa"/>
            <w:gridSpan w:val="3"/>
          </w:tcPr>
          <w:p w:rsidR="006646EB" w:rsidRPr="008E3F1A" w:rsidRDefault="006646EB" w:rsidP="000E60E7">
            <w:pPr>
              <w:pStyle w:val="TableText0"/>
              <w:rPr>
                <w:rFonts w:ascii="Arial" w:hAnsi="Arial"/>
                <w:sz w:val="18"/>
                <w:szCs w:val="18"/>
              </w:rPr>
            </w:pPr>
            <w:r w:rsidRPr="008E3F1A">
              <w:rPr>
                <w:rFonts w:ascii="Arial" w:hAnsi="Arial"/>
                <w:sz w:val="18"/>
                <w:szCs w:val="18"/>
              </w:rPr>
              <w:t xml:space="preserve">BRENTUXIMAB VEDOTIN </w:t>
            </w:r>
          </w:p>
          <w:p w:rsidR="006646EB" w:rsidRPr="008E3F1A" w:rsidRDefault="006646EB" w:rsidP="000E60E7">
            <w:pPr>
              <w:keepNext/>
              <w:rPr>
                <w:rFonts w:ascii="Arial Narrow" w:hAnsi="Arial Narrow"/>
                <w:sz w:val="18"/>
                <w:szCs w:val="18"/>
              </w:rPr>
            </w:pPr>
            <w:r w:rsidRPr="008E3F1A">
              <w:rPr>
                <w:rFonts w:ascii="Arial Narrow" w:hAnsi="Arial Narrow" w:cs="Arial Narrow"/>
                <w:sz w:val="18"/>
                <w:szCs w:val="18"/>
              </w:rPr>
              <w:t>Injection</w:t>
            </w:r>
          </w:p>
        </w:tc>
        <w:tc>
          <w:tcPr>
            <w:tcW w:w="1842" w:type="dxa"/>
          </w:tcPr>
          <w:p w:rsidR="006646EB" w:rsidRPr="008E3F1A" w:rsidRDefault="006646EB" w:rsidP="000E60E7">
            <w:pPr>
              <w:keepNext/>
              <w:rPr>
                <w:rFonts w:ascii="Arial Narrow" w:hAnsi="Arial Narrow"/>
                <w:sz w:val="18"/>
                <w:szCs w:val="18"/>
              </w:rPr>
            </w:pPr>
            <w:r w:rsidRPr="008E3F1A">
              <w:rPr>
                <w:rFonts w:ascii="Arial Narrow" w:hAnsi="Arial Narrow"/>
                <w:sz w:val="18"/>
                <w:szCs w:val="18"/>
              </w:rPr>
              <w:t xml:space="preserve">       NEW (Public)</w:t>
            </w:r>
          </w:p>
          <w:p w:rsidR="006646EB" w:rsidRPr="008E3F1A" w:rsidRDefault="006646EB" w:rsidP="000E60E7">
            <w:pPr>
              <w:keepNext/>
              <w:ind w:left="-108"/>
              <w:jc w:val="center"/>
              <w:rPr>
                <w:rFonts w:ascii="Arial Narrow" w:hAnsi="Arial Narrow"/>
                <w:sz w:val="18"/>
                <w:szCs w:val="18"/>
              </w:rPr>
            </w:pPr>
            <w:r w:rsidRPr="008E3F1A">
              <w:rPr>
                <w:rFonts w:ascii="Arial Narrow" w:hAnsi="Arial Narrow"/>
                <w:sz w:val="18"/>
                <w:szCs w:val="18"/>
              </w:rPr>
              <w:t>NEW (Private)</w:t>
            </w:r>
          </w:p>
        </w:tc>
        <w:tc>
          <w:tcPr>
            <w:tcW w:w="851" w:type="dxa"/>
          </w:tcPr>
          <w:p w:rsidR="006646EB" w:rsidRPr="008E3F1A" w:rsidRDefault="00E8023F" w:rsidP="00E8023F">
            <w:pPr>
              <w:keepNext/>
              <w:jc w:val="center"/>
              <w:rPr>
                <w:rFonts w:ascii="Arial Narrow" w:hAnsi="Arial Narrow"/>
                <w:sz w:val="18"/>
                <w:szCs w:val="18"/>
              </w:rPr>
            </w:pPr>
            <w:r w:rsidRPr="008E3F1A">
              <w:rPr>
                <w:rFonts w:ascii="Arial Narrow" w:hAnsi="Arial Narrow"/>
                <w:sz w:val="18"/>
                <w:szCs w:val="18"/>
              </w:rPr>
              <w:t>200 m</w:t>
            </w:r>
            <w:r w:rsidR="006646EB" w:rsidRPr="008E3F1A">
              <w:rPr>
                <w:rFonts w:ascii="Arial Narrow" w:hAnsi="Arial Narrow"/>
                <w:sz w:val="18"/>
                <w:szCs w:val="18"/>
              </w:rPr>
              <w:t>g</w:t>
            </w:r>
          </w:p>
        </w:tc>
        <w:tc>
          <w:tcPr>
            <w:tcW w:w="850" w:type="dxa"/>
          </w:tcPr>
          <w:p w:rsidR="006646EB" w:rsidRPr="008E3F1A" w:rsidRDefault="006646EB" w:rsidP="000E60E7">
            <w:pPr>
              <w:keepNext/>
              <w:jc w:val="center"/>
              <w:rPr>
                <w:rFonts w:ascii="Arial Narrow" w:hAnsi="Arial Narrow"/>
                <w:sz w:val="18"/>
                <w:szCs w:val="18"/>
              </w:rPr>
            </w:pPr>
            <w:r w:rsidRPr="008E3F1A">
              <w:rPr>
                <w:rFonts w:ascii="Arial Narrow" w:hAnsi="Arial Narrow"/>
                <w:sz w:val="18"/>
                <w:szCs w:val="18"/>
              </w:rPr>
              <w:t>1</w:t>
            </w:r>
          </w:p>
        </w:tc>
        <w:tc>
          <w:tcPr>
            <w:tcW w:w="1701" w:type="dxa"/>
          </w:tcPr>
          <w:p w:rsidR="006646EB" w:rsidRPr="008E3F1A" w:rsidRDefault="006646EB" w:rsidP="000E60E7">
            <w:pPr>
              <w:keepNext/>
              <w:rPr>
                <w:rFonts w:ascii="Arial Narrow" w:hAnsi="Arial Narrow"/>
                <w:sz w:val="18"/>
                <w:szCs w:val="18"/>
              </w:rPr>
            </w:pPr>
            <w:r w:rsidRPr="008E3F1A">
              <w:rPr>
                <w:rFonts w:ascii="Arial Narrow" w:hAnsi="Arial Narrow" w:cs="Arial Narrow"/>
                <w:sz w:val="18"/>
                <w:szCs w:val="18"/>
              </w:rPr>
              <w:t>Takeda Pharmaceuticals Australia Pty Ltd</w:t>
            </w:r>
          </w:p>
        </w:tc>
      </w:tr>
      <w:tr w:rsidR="006646EB" w:rsidRPr="008E3F1A" w:rsidTr="000E60E7">
        <w:trPr>
          <w:cantSplit/>
          <w:trHeight w:val="225"/>
        </w:trPr>
        <w:tc>
          <w:tcPr>
            <w:tcW w:w="9067" w:type="dxa"/>
            <w:gridSpan w:val="7"/>
          </w:tcPr>
          <w:p w:rsidR="006646EB" w:rsidRPr="008E3F1A" w:rsidRDefault="006646EB" w:rsidP="000E60E7">
            <w:pPr>
              <w:keepNext/>
              <w:rPr>
                <w:rFonts w:ascii="Arial Narrow" w:hAnsi="Arial Narrow"/>
                <w:b/>
                <w:sz w:val="18"/>
                <w:szCs w:val="18"/>
              </w:rPr>
            </w:pPr>
            <w:r w:rsidRPr="008E3F1A">
              <w:rPr>
                <w:rFonts w:ascii="Arial Narrow" w:hAnsi="Arial Narrow"/>
                <w:b/>
                <w:sz w:val="18"/>
                <w:szCs w:val="18"/>
              </w:rPr>
              <w:t>Available brands</w:t>
            </w:r>
          </w:p>
        </w:tc>
      </w:tr>
      <w:tr w:rsidR="006646EB" w:rsidRPr="008E3F1A" w:rsidTr="000E60E7">
        <w:trPr>
          <w:cantSplit/>
          <w:trHeight w:val="360"/>
        </w:trPr>
        <w:tc>
          <w:tcPr>
            <w:tcW w:w="9067" w:type="dxa"/>
            <w:gridSpan w:val="7"/>
          </w:tcPr>
          <w:p w:rsidR="006646EB" w:rsidRPr="008E3F1A" w:rsidRDefault="006646EB" w:rsidP="000E60E7">
            <w:pPr>
              <w:rPr>
                <w:rFonts w:ascii="Arial Narrow" w:hAnsi="Arial Narrow"/>
                <w:sz w:val="18"/>
                <w:szCs w:val="18"/>
              </w:rPr>
            </w:pPr>
            <w:r w:rsidRPr="008E3F1A">
              <w:rPr>
                <w:rFonts w:ascii="Arial Narrow" w:hAnsi="Arial Narrow"/>
                <w:sz w:val="18"/>
                <w:szCs w:val="18"/>
              </w:rPr>
              <w:t>Adcetris</w:t>
            </w:r>
          </w:p>
          <w:p w:rsidR="006646EB" w:rsidRPr="008E3F1A" w:rsidRDefault="006646EB" w:rsidP="000E60E7">
            <w:pPr>
              <w:rPr>
                <w:rFonts w:ascii="Arial Narrow" w:hAnsi="Arial Narrow"/>
                <w:sz w:val="18"/>
                <w:szCs w:val="18"/>
              </w:rPr>
            </w:pPr>
            <w:r w:rsidRPr="008E3F1A">
              <w:rPr>
                <w:rFonts w:ascii="Arial Narrow" w:hAnsi="Arial Narrow"/>
                <w:sz w:val="18"/>
                <w:szCs w:val="18"/>
              </w:rPr>
              <w:t>(brentuximab vedotin 50 mg injection, 1 vial)</w:t>
            </w:r>
          </w:p>
        </w:tc>
      </w:tr>
      <w:tr w:rsidR="006646EB" w:rsidRPr="008E3F1A" w:rsidTr="000E60E7">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rsidR="006646EB" w:rsidRPr="008E3F1A" w:rsidRDefault="006646EB" w:rsidP="000E60E7">
            <w:pPr>
              <w:ind w:left="57"/>
              <w:rPr>
                <w:rFonts w:ascii="Arial Narrow" w:hAnsi="Arial Narrow"/>
                <w:b/>
                <w:color w:val="FF00FF"/>
                <w:sz w:val="18"/>
                <w:szCs w:val="18"/>
              </w:rPr>
            </w:pPr>
          </w:p>
        </w:tc>
      </w:tr>
      <w:tr w:rsidR="006646EB" w:rsidRPr="008E3F1A" w:rsidTr="000E60E7">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rsidR="006646EB" w:rsidRPr="008E3F1A" w:rsidRDefault="006646EB" w:rsidP="000E60E7">
            <w:pPr>
              <w:ind w:left="57"/>
              <w:rPr>
                <w:rFonts w:ascii="Arial Narrow" w:hAnsi="Arial Narrow"/>
                <w:b/>
                <w:sz w:val="18"/>
                <w:szCs w:val="18"/>
              </w:rPr>
            </w:pPr>
            <w:r w:rsidRPr="008E3F1A">
              <w:rPr>
                <w:rFonts w:ascii="Arial Narrow" w:hAnsi="Arial Narrow"/>
                <w:b/>
                <w:sz w:val="18"/>
                <w:szCs w:val="18"/>
              </w:rPr>
              <w:t>Restriction Summary [new] / Treatment of Concept: [new]</w:t>
            </w:r>
          </w:p>
        </w:tc>
      </w:tr>
      <w:tr w:rsidR="006646EB" w:rsidRPr="008E3F1A" w:rsidTr="000E60E7">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rsidR="006646EB" w:rsidRPr="008E3F1A" w:rsidRDefault="006646EB" w:rsidP="000E60E7">
            <w:pPr>
              <w:rPr>
                <w:rFonts w:ascii="Arial Narrow" w:hAnsi="Arial Narrow"/>
                <w:b/>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rsidR="006646EB" w:rsidRPr="008E3F1A" w:rsidRDefault="006646EB" w:rsidP="000E60E7">
            <w:pPr>
              <w:rPr>
                <w:rFonts w:ascii="Arial Narrow" w:hAnsi="Arial Narrow"/>
                <w:sz w:val="18"/>
                <w:szCs w:val="18"/>
              </w:rPr>
            </w:pPr>
            <w:r w:rsidRPr="008E3F1A">
              <w:rPr>
                <w:rFonts w:ascii="Arial Narrow" w:hAnsi="Arial Narrow"/>
                <w:b/>
                <w:sz w:val="18"/>
                <w:szCs w:val="18"/>
              </w:rPr>
              <w:t xml:space="preserve">Category / Program: </w:t>
            </w:r>
            <w:r w:rsidRPr="008E3F1A">
              <w:rPr>
                <w:rFonts w:ascii="Arial Narrow" w:hAnsi="Arial Narrow"/>
                <w:sz w:val="18"/>
                <w:szCs w:val="18"/>
              </w:rPr>
              <w:t xml:space="preserve">Section 100 – Efficient Funding of Chemotherapy Public/Private hospitals </w:t>
            </w:r>
          </w:p>
        </w:tc>
      </w:tr>
      <w:tr w:rsidR="006646EB" w:rsidRPr="008E3F1A" w:rsidTr="000E60E7">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rsidR="006646EB" w:rsidRPr="008E3F1A" w:rsidRDefault="006646EB" w:rsidP="000E60E7">
            <w:pP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rsidR="006646EB" w:rsidRPr="008E3F1A" w:rsidRDefault="006646EB" w:rsidP="000E60E7">
            <w:pPr>
              <w:rPr>
                <w:rFonts w:ascii="Arial Narrow" w:hAnsi="Arial Narrow"/>
                <w:b/>
                <w:sz w:val="18"/>
                <w:szCs w:val="18"/>
              </w:rPr>
            </w:pPr>
            <w:r w:rsidRPr="008E3F1A">
              <w:rPr>
                <w:rFonts w:ascii="Arial Narrow" w:hAnsi="Arial Narrow"/>
                <w:b/>
                <w:sz w:val="18"/>
                <w:szCs w:val="18"/>
              </w:rPr>
              <w:t xml:space="preserve">Prescriber type:   </w:t>
            </w:r>
            <w:r w:rsidRPr="008E3F1A">
              <w:rPr>
                <w:rFonts w:ascii="Arial Narrow" w:hAnsi="Arial Narrow"/>
                <w:sz w:val="18"/>
                <w:szCs w:val="18"/>
              </w:rPr>
              <w:fldChar w:fldCharType="begin">
                <w:ffData>
                  <w:name w:val=""/>
                  <w:enabled/>
                  <w:calcOnExit w:val="0"/>
                  <w:checkBox>
                    <w:sizeAuto/>
                    <w:default w:val="1"/>
                  </w:checkBox>
                </w:ffData>
              </w:fldChar>
            </w:r>
            <w:r w:rsidRPr="008E3F1A">
              <w:rPr>
                <w:rFonts w:ascii="Arial Narrow" w:hAnsi="Arial Narrow"/>
                <w:sz w:val="18"/>
                <w:szCs w:val="18"/>
              </w:rPr>
              <w:instrText xml:space="preserve"> FORMCHECKBOX </w:instrText>
            </w:r>
            <w:r w:rsidR="00DC3953">
              <w:rPr>
                <w:rFonts w:ascii="Arial Narrow" w:hAnsi="Arial Narrow"/>
                <w:sz w:val="18"/>
                <w:szCs w:val="18"/>
              </w:rPr>
            </w:r>
            <w:r w:rsidR="00DC3953">
              <w:rPr>
                <w:rFonts w:ascii="Arial Narrow" w:hAnsi="Arial Narrow"/>
                <w:sz w:val="18"/>
                <w:szCs w:val="18"/>
              </w:rPr>
              <w:fldChar w:fldCharType="separate"/>
            </w:r>
            <w:r w:rsidRPr="008E3F1A">
              <w:rPr>
                <w:rFonts w:ascii="Arial Narrow" w:hAnsi="Arial Narrow"/>
                <w:sz w:val="18"/>
                <w:szCs w:val="18"/>
              </w:rPr>
              <w:fldChar w:fldCharType="end"/>
            </w:r>
            <w:r w:rsidRPr="008E3F1A">
              <w:rPr>
                <w:rFonts w:ascii="Arial Narrow" w:hAnsi="Arial Narrow"/>
                <w:sz w:val="18"/>
                <w:szCs w:val="18"/>
              </w:rPr>
              <w:t xml:space="preserve"> Medical Practitioners </w:t>
            </w:r>
          </w:p>
        </w:tc>
      </w:tr>
      <w:tr w:rsidR="006646EB" w:rsidRPr="008E3F1A" w:rsidTr="000E60E7">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rsidR="006646EB" w:rsidRPr="008E3F1A" w:rsidRDefault="006646EB" w:rsidP="000E60E7">
            <w:pP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rsidR="006646EB" w:rsidRPr="008E3F1A" w:rsidRDefault="006646EB" w:rsidP="000E60E7">
            <w:pPr>
              <w:rPr>
                <w:rFonts w:ascii="Arial Narrow" w:hAnsi="Arial Narrow"/>
                <w:b/>
                <w:sz w:val="18"/>
                <w:szCs w:val="18"/>
              </w:rPr>
            </w:pPr>
            <w:r w:rsidRPr="008E3F1A">
              <w:rPr>
                <w:rFonts w:ascii="Arial Narrow" w:hAnsi="Arial Narrow"/>
                <w:b/>
                <w:sz w:val="18"/>
                <w:szCs w:val="18"/>
              </w:rPr>
              <w:t>Restriction type:</w:t>
            </w:r>
          </w:p>
          <w:p w:rsidR="006646EB" w:rsidRPr="008E3F1A" w:rsidRDefault="006646EB" w:rsidP="00371E1E">
            <w:pPr>
              <w:rPr>
                <w:rFonts w:ascii="Arial Narrow" w:eastAsia="Calibri" w:hAnsi="Arial Narrow"/>
                <w:color w:val="FF00FF"/>
                <w:sz w:val="18"/>
                <w:szCs w:val="18"/>
              </w:rPr>
            </w:pPr>
            <w:r w:rsidRPr="008E3F1A">
              <w:rPr>
                <w:rFonts w:ascii="Arial Narrow" w:eastAsia="Calibri" w:hAnsi="Arial Narrow"/>
                <w:sz w:val="18"/>
                <w:szCs w:val="18"/>
              </w:rPr>
              <w:fldChar w:fldCharType="begin">
                <w:ffData>
                  <w:name w:val="Check3"/>
                  <w:enabled/>
                  <w:calcOnExit w:val="0"/>
                  <w:checkBox>
                    <w:sizeAuto/>
                    <w:default w:val="1"/>
                  </w:checkBox>
                </w:ffData>
              </w:fldChar>
            </w:r>
            <w:bookmarkStart w:id="33" w:name="Check3"/>
            <w:r w:rsidRPr="008E3F1A">
              <w:rPr>
                <w:rFonts w:ascii="Arial Narrow" w:eastAsia="Calibri" w:hAnsi="Arial Narrow"/>
                <w:sz w:val="18"/>
                <w:szCs w:val="18"/>
              </w:rPr>
              <w:instrText xml:space="preserve"> FORMCHECKBOX </w:instrText>
            </w:r>
            <w:r w:rsidR="00DC3953">
              <w:rPr>
                <w:rFonts w:ascii="Arial Narrow" w:eastAsia="Calibri" w:hAnsi="Arial Narrow"/>
                <w:sz w:val="18"/>
                <w:szCs w:val="18"/>
              </w:rPr>
            </w:r>
            <w:r w:rsidR="00DC3953">
              <w:rPr>
                <w:rFonts w:ascii="Arial Narrow" w:eastAsia="Calibri" w:hAnsi="Arial Narrow"/>
                <w:sz w:val="18"/>
                <w:szCs w:val="18"/>
              </w:rPr>
              <w:fldChar w:fldCharType="separate"/>
            </w:r>
            <w:r w:rsidRPr="008E3F1A">
              <w:rPr>
                <w:rFonts w:ascii="Arial Narrow" w:eastAsia="Calibri" w:hAnsi="Arial Narrow"/>
                <w:sz w:val="18"/>
                <w:szCs w:val="18"/>
              </w:rPr>
              <w:fldChar w:fldCharType="end"/>
            </w:r>
            <w:bookmarkEnd w:id="33"/>
            <w:r w:rsidRPr="008E3F1A">
              <w:rPr>
                <w:rFonts w:ascii="Arial Narrow" w:eastAsia="Calibri" w:hAnsi="Arial Narrow"/>
                <w:sz w:val="18"/>
                <w:szCs w:val="18"/>
              </w:rPr>
              <w:t>Authority Required – immediate/real-time assessment by Services Australia (telephone/electronic)</w:t>
            </w:r>
          </w:p>
        </w:tc>
      </w:tr>
      <w:tr w:rsidR="006646EB" w:rsidRPr="008E3F1A" w:rsidTr="000E60E7">
        <w:tblPrEx>
          <w:tblCellMar>
            <w:top w:w="15" w:type="dxa"/>
            <w:left w:w="15" w:type="dxa"/>
            <w:bottom w:w="15" w:type="dxa"/>
            <w:right w:w="15" w:type="dxa"/>
          </w:tblCellMar>
          <w:tblLook w:val="04A0" w:firstRow="1" w:lastRow="0" w:firstColumn="1" w:lastColumn="0" w:noHBand="0" w:noVBand="1"/>
        </w:tblPrEx>
        <w:tc>
          <w:tcPr>
            <w:tcW w:w="987" w:type="dxa"/>
            <w:gridSpan w:val="2"/>
            <w:vAlign w:val="center"/>
          </w:tcPr>
          <w:p w:rsidR="006646EB" w:rsidRPr="008E3F1A" w:rsidRDefault="006646EB" w:rsidP="000E60E7">
            <w:pPr>
              <w:jc w:val="center"/>
              <w:rPr>
                <w:rFonts w:ascii="Arial Narrow" w:hAnsi="Arial Narrow"/>
                <w:color w:val="333333"/>
                <w:sz w:val="18"/>
                <w:szCs w:val="18"/>
              </w:rPr>
            </w:pPr>
          </w:p>
        </w:tc>
        <w:tc>
          <w:tcPr>
            <w:tcW w:w="8080" w:type="dxa"/>
            <w:gridSpan w:val="5"/>
            <w:vAlign w:val="center"/>
          </w:tcPr>
          <w:p w:rsidR="006646EB" w:rsidRPr="008E3F1A" w:rsidRDefault="006646EB" w:rsidP="000E60E7">
            <w:pPr>
              <w:rPr>
                <w:rFonts w:ascii="Arial Narrow" w:hAnsi="Arial Narrow"/>
                <w:color w:val="333333"/>
                <w:sz w:val="18"/>
                <w:szCs w:val="18"/>
              </w:rPr>
            </w:pPr>
            <w:r w:rsidRPr="008E3F1A">
              <w:rPr>
                <w:rFonts w:ascii="Arial Narrow" w:hAnsi="Arial Narrow"/>
                <w:b/>
                <w:bCs/>
                <w:color w:val="333333"/>
                <w:sz w:val="18"/>
                <w:szCs w:val="18"/>
              </w:rPr>
              <w:t>Administrative Advice:</w:t>
            </w:r>
          </w:p>
          <w:p w:rsidR="006646EB" w:rsidRPr="008E3F1A" w:rsidRDefault="006646EB" w:rsidP="000E60E7">
            <w:pPr>
              <w:rPr>
                <w:rFonts w:ascii="Arial Narrow" w:hAnsi="Arial Narrow"/>
                <w:color w:val="333333"/>
                <w:sz w:val="18"/>
                <w:szCs w:val="18"/>
              </w:rPr>
            </w:pPr>
            <w:r w:rsidRPr="008E3F1A">
              <w:rPr>
                <w:rFonts w:ascii="Arial Narrow" w:hAnsi="Arial Narrow"/>
                <w:color w:val="333333"/>
                <w:sz w:val="18"/>
                <w:szCs w:val="18"/>
              </w:rPr>
              <w:t>No increase in the maximum quantity or number of units may be authorised.</w:t>
            </w:r>
          </w:p>
        </w:tc>
      </w:tr>
      <w:tr w:rsidR="006646EB" w:rsidRPr="008E3F1A" w:rsidTr="000E60E7">
        <w:tblPrEx>
          <w:tblCellMar>
            <w:top w:w="15" w:type="dxa"/>
            <w:left w:w="15" w:type="dxa"/>
            <w:bottom w:w="15" w:type="dxa"/>
            <w:right w:w="15" w:type="dxa"/>
          </w:tblCellMar>
          <w:tblLook w:val="04A0" w:firstRow="1" w:lastRow="0" w:firstColumn="1" w:lastColumn="0" w:noHBand="0" w:noVBand="1"/>
        </w:tblPrEx>
        <w:tc>
          <w:tcPr>
            <w:tcW w:w="987" w:type="dxa"/>
            <w:gridSpan w:val="2"/>
            <w:vAlign w:val="center"/>
          </w:tcPr>
          <w:p w:rsidR="006646EB" w:rsidRPr="008E3F1A" w:rsidRDefault="006646EB" w:rsidP="000E60E7">
            <w:pPr>
              <w:jc w:val="center"/>
              <w:rPr>
                <w:rFonts w:ascii="Arial Narrow" w:hAnsi="Arial Narrow"/>
                <w:color w:val="333333"/>
                <w:sz w:val="18"/>
                <w:szCs w:val="18"/>
              </w:rPr>
            </w:pPr>
          </w:p>
        </w:tc>
        <w:tc>
          <w:tcPr>
            <w:tcW w:w="8080" w:type="dxa"/>
            <w:gridSpan w:val="5"/>
            <w:vAlign w:val="center"/>
          </w:tcPr>
          <w:p w:rsidR="006646EB" w:rsidRPr="008E3F1A" w:rsidRDefault="006646EB" w:rsidP="000E60E7">
            <w:pPr>
              <w:rPr>
                <w:rFonts w:ascii="Arial Narrow" w:hAnsi="Arial Narrow"/>
                <w:color w:val="333333"/>
                <w:sz w:val="18"/>
                <w:szCs w:val="18"/>
              </w:rPr>
            </w:pPr>
            <w:r w:rsidRPr="008E3F1A">
              <w:rPr>
                <w:rFonts w:ascii="Arial Narrow" w:hAnsi="Arial Narrow"/>
                <w:b/>
                <w:bCs/>
                <w:color w:val="333333"/>
                <w:sz w:val="18"/>
                <w:szCs w:val="18"/>
              </w:rPr>
              <w:t>Administrative Advice:</w:t>
            </w:r>
          </w:p>
          <w:p w:rsidR="006646EB" w:rsidRPr="008E3F1A" w:rsidRDefault="006646EB" w:rsidP="000E60E7">
            <w:pPr>
              <w:rPr>
                <w:rFonts w:ascii="Arial Narrow" w:hAnsi="Arial Narrow"/>
                <w:b/>
                <w:bCs/>
                <w:color w:val="333333"/>
                <w:sz w:val="18"/>
                <w:szCs w:val="18"/>
              </w:rPr>
            </w:pPr>
            <w:r w:rsidRPr="008E3F1A">
              <w:rPr>
                <w:rFonts w:ascii="Arial Narrow" w:hAnsi="Arial Narrow"/>
                <w:color w:val="333333"/>
                <w:sz w:val="18"/>
                <w:szCs w:val="18"/>
              </w:rPr>
              <w:t>No increase in the maximum number of repeats may be authorised.</w:t>
            </w:r>
          </w:p>
        </w:tc>
      </w:tr>
      <w:tr w:rsidR="006646EB" w:rsidRPr="008E3F1A" w:rsidTr="000E60E7">
        <w:tblPrEx>
          <w:tblCellMar>
            <w:top w:w="15" w:type="dxa"/>
            <w:left w:w="15" w:type="dxa"/>
            <w:bottom w:w="15" w:type="dxa"/>
            <w:right w:w="15" w:type="dxa"/>
          </w:tblCellMar>
          <w:tblLook w:val="04A0" w:firstRow="1" w:lastRow="0" w:firstColumn="1" w:lastColumn="0" w:noHBand="0" w:noVBand="1"/>
        </w:tblPrEx>
        <w:trPr>
          <w:trHeight w:val="485"/>
        </w:trPr>
        <w:tc>
          <w:tcPr>
            <w:tcW w:w="987" w:type="dxa"/>
            <w:gridSpan w:val="2"/>
            <w:vAlign w:val="center"/>
          </w:tcPr>
          <w:p w:rsidR="006646EB" w:rsidRPr="008E3F1A" w:rsidRDefault="006646EB" w:rsidP="000E60E7">
            <w:pPr>
              <w:jc w:val="center"/>
              <w:rPr>
                <w:rFonts w:ascii="Arial Narrow" w:hAnsi="Arial Narrow"/>
                <w:color w:val="333333"/>
                <w:sz w:val="18"/>
                <w:szCs w:val="18"/>
              </w:rPr>
            </w:pPr>
          </w:p>
        </w:tc>
        <w:tc>
          <w:tcPr>
            <w:tcW w:w="8080" w:type="dxa"/>
            <w:gridSpan w:val="5"/>
            <w:vAlign w:val="center"/>
          </w:tcPr>
          <w:p w:rsidR="006646EB" w:rsidRPr="008E3F1A" w:rsidRDefault="006646EB" w:rsidP="000E60E7">
            <w:pPr>
              <w:rPr>
                <w:rFonts w:ascii="Arial Narrow" w:hAnsi="Arial Narrow"/>
                <w:color w:val="333333"/>
                <w:sz w:val="18"/>
                <w:szCs w:val="18"/>
              </w:rPr>
            </w:pPr>
            <w:r w:rsidRPr="008E3F1A">
              <w:rPr>
                <w:rFonts w:ascii="Arial Narrow" w:hAnsi="Arial Narrow"/>
                <w:b/>
                <w:bCs/>
                <w:color w:val="333333"/>
                <w:sz w:val="18"/>
                <w:szCs w:val="18"/>
              </w:rPr>
              <w:t>Administrative Advice:</w:t>
            </w:r>
          </w:p>
          <w:p w:rsidR="006646EB" w:rsidRPr="008E3F1A" w:rsidRDefault="006646EB" w:rsidP="000E60E7">
            <w:pPr>
              <w:rPr>
                <w:rFonts w:ascii="Arial Narrow" w:hAnsi="Arial Narrow"/>
                <w:b/>
                <w:bCs/>
                <w:color w:val="333333"/>
                <w:sz w:val="18"/>
                <w:szCs w:val="18"/>
              </w:rPr>
            </w:pPr>
            <w:r w:rsidRPr="008E3F1A">
              <w:rPr>
                <w:rFonts w:ascii="Arial Narrow" w:hAnsi="Arial Narrow"/>
                <w:color w:val="333333"/>
                <w:sz w:val="18"/>
                <w:szCs w:val="18"/>
              </w:rPr>
              <w:t>Special Pricing Arrangements apply.</w:t>
            </w:r>
          </w:p>
        </w:tc>
      </w:tr>
      <w:tr w:rsidR="006646EB" w:rsidRPr="008E3F1A" w:rsidTr="000E60E7">
        <w:tblPrEx>
          <w:tblCellMar>
            <w:top w:w="15" w:type="dxa"/>
            <w:left w:w="15" w:type="dxa"/>
            <w:bottom w:w="15" w:type="dxa"/>
            <w:right w:w="15" w:type="dxa"/>
          </w:tblCellMar>
          <w:tblLook w:val="04A0" w:firstRow="1" w:lastRow="0" w:firstColumn="1" w:lastColumn="0" w:noHBand="0" w:noVBand="1"/>
        </w:tblPrEx>
        <w:tc>
          <w:tcPr>
            <w:tcW w:w="981" w:type="dxa"/>
            <w:vMerge w:val="restart"/>
            <w:vAlign w:val="center"/>
          </w:tcPr>
          <w:p w:rsidR="006646EB" w:rsidRPr="008E3F1A" w:rsidRDefault="006646EB" w:rsidP="000E60E7">
            <w:pPr>
              <w:jc w:val="center"/>
              <w:rPr>
                <w:rFonts w:ascii="Arial Narrow" w:hAnsi="Arial Narrow"/>
                <w:color w:val="333333"/>
                <w:sz w:val="18"/>
                <w:szCs w:val="18"/>
              </w:rPr>
            </w:pPr>
          </w:p>
        </w:tc>
        <w:tc>
          <w:tcPr>
            <w:tcW w:w="8086" w:type="dxa"/>
            <w:gridSpan w:val="6"/>
            <w:vAlign w:val="center"/>
          </w:tcPr>
          <w:p w:rsidR="006646EB" w:rsidRPr="008E3F1A" w:rsidRDefault="006646EB" w:rsidP="000E60E7">
            <w:pPr>
              <w:rPr>
                <w:rFonts w:ascii="Arial Narrow" w:hAnsi="Arial Narrow"/>
                <w:bCs/>
                <w:color w:val="333333"/>
                <w:sz w:val="18"/>
                <w:szCs w:val="18"/>
              </w:rPr>
            </w:pPr>
            <w:r w:rsidRPr="008E3F1A">
              <w:rPr>
                <w:rFonts w:ascii="Arial Narrow" w:hAnsi="Arial Narrow"/>
                <w:b/>
                <w:bCs/>
                <w:color w:val="333333"/>
                <w:sz w:val="18"/>
                <w:szCs w:val="18"/>
              </w:rPr>
              <w:t xml:space="preserve">Episodicity: </w:t>
            </w:r>
            <w:r w:rsidRPr="008E3F1A">
              <w:rPr>
                <w:rFonts w:ascii="Arial Narrow" w:hAnsi="Arial Narrow"/>
                <w:bCs/>
                <w:color w:val="333333"/>
                <w:sz w:val="18"/>
                <w:szCs w:val="18"/>
              </w:rPr>
              <w:t>blank</w:t>
            </w:r>
          </w:p>
        </w:tc>
      </w:tr>
      <w:tr w:rsidR="006646EB" w:rsidRPr="008E3F1A" w:rsidTr="000E60E7">
        <w:tblPrEx>
          <w:tblCellMar>
            <w:top w:w="15" w:type="dxa"/>
            <w:left w:w="15" w:type="dxa"/>
            <w:bottom w:w="15" w:type="dxa"/>
            <w:right w:w="15" w:type="dxa"/>
          </w:tblCellMar>
          <w:tblLook w:val="04A0" w:firstRow="1" w:lastRow="0" w:firstColumn="1" w:lastColumn="0" w:noHBand="0" w:noVBand="1"/>
        </w:tblPrEx>
        <w:tc>
          <w:tcPr>
            <w:tcW w:w="981" w:type="dxa"/>
            <w:vMerge/>
            <w:vAlign w:val="center"/>
          </w:tcPr>
          <w:p w:rsidR="006646EB" w:rsidRPr="008E3F1A" w:rsidRDefault="006646EB" w:rsidP="000E60E7">
            <w:pPr>
              <w:jc w:val="center"/>
              <w:rPr>
                <w:rFonts w:ascii="Arial Narrow" w:hAnsi="Arial Narrow"/>
                <w:color w:val="333333"/>
                <w:sz w:val="18"/>
                <w:szCs w:val="18"/>
              </w:rPr>
            </w:pPr>
          </w:p>
        </w:tc>
        <w:tc>
          <w:tcPr>
            <w:tcW w:w="8086" w:type="dxa"/>
            <w:gridSpan w:val="6"/>
            <w:vAlign w:val="center"/>
          </w:tcPr>
          <w:p w:rsidR="006646EB" w:rsidRPr="008E3F1A" w:rsidRDefault="006646EB" w:rsidP="000E60E7">
            <w:pPr>
              <w:rPr>
                <w:rFonts w:ascii="Arial Narrow" w:hAnsi="Arial Narrow"/>
                <w:b/>
                <w:bCs/>
                <w:color w:val="333333"/>
                <w:sz w:val="18"/>
                <w:szCs w:val="18"/>
              </w:rPr>
            </w:pPr>
            <w:r w:rsidRPr="008E3F1A">
              <w:rPr>
                <w:rFonts w:ascii="Arial Narrow" w:hAnsi="Arial Narrow"/>
                <w:b/>
                <w:bCs/>
                <w:color w:val="333333"/>
                <w:sz w:val="18"/>
                <w:szCs w:val="18"/>
              </w:rPr>
              <w:t xml:space="preserve">Severity: </w:t>
            </w:r>
            <w:r w:rsidRPr="008E3F1A">
              <w:rPr>
                <w:rFonts w:ascii="Arial Narrow" w:hAnsi="Arial Narrow"/>
                <w:bCs/>
                <w:color w:val="333333"/>
                <w:sz w:val="18"/>
                <w:szCs w:val="18"/>
              </w:rPr>
              <w:t>blank</w:t>
            </w:r>
          </w:p>
        </w:tc>
      </w:tr>
      <w:tr w:rsidR="006646EB" w:rsidRPr="008E3F1A" w:rsidTr="000E60E7">
        <w:tblPrEx>
          <w:tblCellMar>
            <w:top w:w="15" w:type="dxa"/>
            <w:left w:w="15" w:type="dxa"/>
            <w:bottom w:w="15" w:type="dxa"/>
            <w:right w:w="15" w:type="dxa"/>
          </w:tblCellMar>
          <w:tblLook w:val="04A0" w:firstRow="1" w:lastRow="0" w:firstColumn="1" w:lastColumn="0" w:noHBand="0" w:noVBand="1"/>
        </w:tblPrEx>
        <w:tc>
          <w:tcPr>
            <w:tcW w:w="981" w:type="dxa"/>
            <w:vMerge/>
            <w:vAlign w:val="center"/>
          </w:tcPr>
          <w:p w:rsidR="006646EB" w:rsidRPr="008E3F1A" w:rsidRDefault="006646EB" w:rsidP="000E60E7">
            <w:pPr>
              <w:jc w:val="center"/>
              <w:rPr>
                <w:rFonts w:ascii="Arial Narrow" w:hAnsi="Arial Narrow"/>
                <w:color w:val="333333"/>
                <w:sz w:val="18"/>
                <w:szCs w:val="18"/>
              </w:rPr>
            </w:pPr>
          </w:p>
        </w:tc>
        <w:tc>
          <w:tcPr>
            <w:tcW w:w="8086" w:type="dxa"/>
            <w:gridSpan w:val="6"/>
            <w:vAlign w:val="center"/>
          </w:tcPr>
          <w:p w:rsidR="006646EB" w:rsidRPr="008E3F1A" w:rsidRDefault="006646EB" w:rsidP="000E60E7">
            <w:pPr>
              <w:rPr>
                <w:rFonts w:ascii="Arial Narrow" w:hAnsi="Arial Narrow"/>
                <w:bCs/>
                <w:color w:val="333333"/>
                <w:sz w:val="18"/>
                <w:szCs w:val="18"/>
              </w:rPr>
            </w:pPr>
            <w:r w:rsidRPr="008E3F1A">
              <w:rPr>
                <w:rFonts w:ascii="Arial Narrow" w:hAnsi="Arial Narrow"/>
                <w:b/>
                <w:bCs/>
                <w:color w:val="333333"/>
                <w:sz w:val="18"/>
                <w:szCs w:val="18"/>
              </w:rPr>
              <w:t>Condition:</w:t>
            </w:r>
            <w:r w:rsidRPr="008E3F1A">
              <w:rPr>
                <w:rFonts w:ascii="Arial Narrow" w:hAnsi="Arial Narrow"/>
                <w:bCs/>
                <w:color w:val="333333"/>
                <w:sz w:val="18"/>
                <w:szCs w:val="18"/>
              </w:rPr>
              <w:t xml:space="preserve"> CD30 positive peripheral T-cell lymphoma, non-cutaneous type</w:t>
            </w:r>
          </w:p>
        </w:tc>
      </w:tr>
      <w:tr w:rsidR="006646EB" w:rsidRPr="008E3F1A" w:rsidTr="000345C6">
        <w:tblPrEx>
          <w:tblCellMar>
            <w:top w:w="15" w:type="dxa"/>
            <w:left w:w="15" w:type="dxa"/>
            <w:bottom w:w="15" w:type="dxa"/>
            <w:right w:w="15" w:type="dxa"/>
          </w:tblCellMar>
          <w:tblLook w:val="04A0" w:firstRow="1" w:lastRow="0" w:firstColumn="1" w:lastColumn="0" w:noHBand="0" w:noVBand="1"/>
        </w:tblPrEx>
        <w:tc>
          <w:tcPr>
            <w:tcW w:w="981" w:type="dxa"/>
            <w:vAlign w:val="center"/>
          </w:tcPr>
          <w:p w:rsidR="006646EB" w:rsidRPr="008E3F1A" w:rsidRDefault="006646EB" w:rsidP="000E60E7">
            <w:pPr>
              <w:jc w:val="center"/>
              <w:rPr>
                <w:rFonts w:ascii="Arial Narrow" w:hAnsi="Arial Narrow"/>
                <w:color w:val="333333"/>
                <w:sz w:val="18"/>
                <w:szCs w:val="18"/>
              </w:rPr>
            </w:pPr>
          </w:p>
        </w:tc>
        <w:tc>
          <w:tcPr>
            <w:tcW w:w="8086" w:type="dxa"/>
            <w:gridSpan w:val="6"/>
            <w:vAlign w:val="center"/>
            <w:hideMark/>
          </w:tcPr>
          <w:p w:rsidR="006646EB" w:rsidRPr="008E3F1A" w:rsidRDefault="006646EB" w:rsidP="000E60E7">
            <w:pPr>
              <w:rPr>
                <w:rFonts w:ascii="Arial Narrow" w:hAnsi="Arial Narrow"/>
                <w:color w:val="333333"/>
                <w:sz w:val="18"/>
                <w:szCs w:val="18"/>
              </w:rPr>
            </w:pPr>
            <w:r w:rsidRPr="008E3F1A">
              <w:rPr>
                <w:rFonts w:ascii="Arial Narrow" w:hAnsi="Arial Narrow"/>
                <w:b/>
                <w:bCs/>
                <w:color w:val="333333"/>
                <w:sz w:val="18"/>
                <w:szCs w:val="18"/>
              </w:rPr>
              <w:t>Indication:</w:t>
            </w:r>
            <w:r w:rsidRPr="008E3F1A">
              <w:rPr>
                <w:rFonts w:ascii="Arial Narrow" w:hAnsi="Arial Narrow"/>
                <w:color w:val="333333"/>
                <w:sz w:val="18"/>
                <w:szCs w:val="18"/>
              </w:rPr>
              <w:t xml:space="preserve"> </w:t>
            </w:r>
            <w:r w:rsidRPr="008E3F1A">
              <w:rPr>
                <w:rFonts w:ascii="Arial Narrow" w:hAnsi="Arial Narrow"/>
                <w:bCs/>
                <w:color w:val="333333"/>
                <w:sz w:val="18"/>
                <w:szCs w:val="18"/>
              </w:rPr>
              <w:t>CD30 positive peripheral T-cell lymphoma, non-cutaneous type</w:t>
            </w:r>
          </w:p>
        </w:tc>
      </w:tr>
      <w:tr w:rsidR="006646EB" w:rsidRPr="008E3F1A" w:rsidTr="000345C6">
        <w:tblPrEx>
          <w:tblCellMar>
            <w:top w:w="15" w:type="dxa"/>
            <w:left w:w="15" w:type="dxa"/>
            <w:bottom w:w="15" w:type="dxa"/>
            <w:right w:w="15" w:type="dxa"/>
          </w:tblCellMar>
          <w:tblLook w:val="04A0" w:firstRow="1" w:lastRow="0" w:firstColumn="1" w:lastColumn="0" w:noHBand="0" w:noVBand="1"/>
        </w:tblPrEx>
        <w:tc>
          <w:tcPr>
            <w:tcW w:w="981" w:type="dxa"/>
            <w:vAlign w:val="center"/>
          </w:tcPr>
          <w:p w:rsidR="006646EB" w:rsidRPr="008E3F1A" w:rsidRDefault="006646EB" w:rsidP="000E60E7">
            <w:pPr>
              <w:jc w:val="center"/>
              <w:rPr>
                <w:rFonts w:ascii="Arial Narrow" w:hAnsi="Arial Narrow"/>
                <w:color w:val="333333"/>
                <w:sz w:val="18"/>
                <w:szCs w:val="18"/>
              </w:rPr>
            </w:pPr>
          </w:p>
        </w:tc>
        <w:tc>
          <w:tcPr>
            <w:tcW w:w="8086" w:type="dxa"/>
            <w:gridSpan w:val="6"/>
            <w:vAlign w:val="center"/>
            <w:hideMark/>
          </w:tcPr>
          <w:p w:rsidR="006646EB" w:rsidRPr="008E3F1A" w:rsidRDefault="006646EB" w:rsidP="000E60E7">
            <w:pPr>
              <w:rPr>
                <w:rFonts w:ascii="Arial Narrow" w:hAnsi="Arial Narrow"/>
                <w:color w:val="FF00FF"/>
                <w:sz w:val="18"/>
                <w:szCs w:val="18"/>
              </w:rPr>
            </w:pPr>
            <w:r w:rsidRPr="008E3F1A">
              <w:rPr>
                <w:rFonts w:ascii="Arial Narrow" w:hAnsi="Arial Narrow"/>
                <w:b/>
                <w:bCs/>
                <w:color w:val="333333"/>
                <w:sz w:val="18"/>
                <w:szCs w:val="18"/>
              </w:rPr>
              <w:t>Treatment Phase:</w:t>
            </w:r>
            <w:r w:rsidRPr="008E3F1A">
              <w:rPr>
                <w:rFonts w:ascii="Arial Narrow" w:hAnsi="Arial Narrow"/>
                <w:color w:val="333333"/>
                <w:sz w:val="18"/>
                <w:szCs w:val="18"/>
              </w:rPr>
              <w:t xml:space="preserve"> Continuing </w:t>
            </w:r>
          </w:p>
        </w:tc>
      </w:tr>
      <w:tr w:rsidR="006646EB" w:rsidRPr="008E3F1A" w:rsidTr="000E60E7">
        <w:tblPrEx>
          <w:tblCellMar>
            <w:top w:w="15" w:type="dxa"/>
            <w:left w:w="15" w:type="dxa"/>
            <w:bottom w:w="15" w:type="dxa"/>
            <w:right w:w="15" w:type="dxa"/>
          </w:tblCellMar>
          <w:tblLook w:val="04A0" w:firstRow="1" w:lastRow="0" w:firstColumn="1" w:lastColumn="0" w:noHBand="0" w:noVBand="1"/>
        </w:tblPrEx>
        <w:tc>
          <w:tcPr>
            <w:tcW w:w="981" w:type="dxa"/>
            <w:vAlign w:val="center"/>
          </w:tcPr>
          <w:p w:rsidR="006646EB" w:rsidRPr="008E3F1A" w:rsidRDefault="006646EB" w:rsidP="000E60E7">
            <w:pPr>
              <w:jc w:val="center"/>
              <w:rPr>
                <w:rFonts w:ascii="Arial Narrow" w:hAnsi="Arial Narrow"/>
                <w:color w:val="333333"/>
                <w:sz w:val="18"/>
                <w:szCs w:val="18"/>
              </w:rPr>
            </w:pPr>
          </w:p>
        </w:tc>
        <w:tc>
          <w:tcPr>
            <w:tcW w:w="8086" w:type="dxa"/>
            <w:gridSpan w:val="6"/>
            <w:vAlign w:val="center"/>
            <w:hideMark/>
          </w:tcPr>
          <w:p w:rsidR="006646EB" w:rsidRPr="008E3F1A" w:rsidRDefault="006646EB" w:rsidP="000E60E7">
            <w:pPr>
              <w:rPr>
                <w:rFonts w:ascii="Arial Narrow" w:hAnsi="Arial Narrow"/>
                <w:color w:val="333333"/>
                <w:sz w:val="18"/>
                <w:szCs w:val="18"/>
              </w:rPr>
            </w:pPr>
            <w:r w:rsidRPr="008E3F1A">
              <w:rPr>
                <w:rFonts w:ascii="Arial Narrow" w:hAnsi="Arial Narrow"/>
                <w:b/>
                <w:bCs/>
                <w:color w:val="333333"/>
                <w:sz w:val="18"/>
                <w:szCs w:val="18"/>
              </w:rPr>
              <w:t>Clinical criteria:</w:t>
            </w:r>
          </w:p>
        </w:tc>
      </w:tr>
      <w:tr w:rsidR="006646EB" w:rsidRPr="008E3F1A" w:rsidTr="000E60E7">
        <w:tblPrEx>
          <w:tblCellMar>
            <w:top w:w="15" w:type="dxa"/>
            <w:left w:w="15" w:type="dxa"/>
            <w:bottom w:w="15" w:type="dxa"/>
            <w:right w:w="15" w:type="dxa"/>
          </w:tblCellMar>
          <w:tblLook w:val="04A0" w:firstRow="1" w:lastRow="0" w:firstColumn="1" w:lastColumn="0" w:noHBand="0" w:noVBand="1"/>
        </w:tblPrEx>
        <w:tc>
          <w:tcPr>
            <w:tcW w:w="981" w:type="dxa"/>
            <w:vAlign w:val="center"/>
          </w:tcPr>
          <w:p w:rsidR="006646EB" w:rsidRPr="008E3F1A" w:rsidRDefault="006646EB" w:rsidP="000E60E7">
            <w:pPr>
              <w:jc w:val="center"/>
              <w:rPr>
                <w:rFonts w:ascii="Arial Narrow" w:hAnsi="Arial Narrow"/>
                <w:color w:val="333333"/>
                <w:sz w:val="18"/>
                <w:szCs w:val="18"/>
              </w:rPr>
            </w:pPr>
          </w:p>
        </w:tc>
        <w:tc>
          <w:tcPr>
            <w:tcW w:w="8086" w:type="dxa"/>
            <w:gridSpan w:val="6"/>
            <w:hideMark/>
          </w:tcPr>
          <w:p w:rsidR="006646EB" w:rsidRPr="008E3F1A" w:rsidRDefault="006646EB" w:rsidP="000E60E7">
            <w:pPr>
              <w:spacing w:before="40" w:after="40"/>
              <w:rPr>
                <w:rFonts w:ascii="Arial Narrow" w:hAnsi="Arial Narrow"/>
                <w:sz w:val="18"/>
                <w:szCs w:val="18"/>
              </w:rPr>
            </w:pPr>
            <w:r w:rsidRPr="008E3F1A">
              <w:rPr>
                <w:rFonts w:ascii="Arial Narrow" w:hAnsi="Arial Narrow"/>
                <w:sz w:val="18"/>
                <w:szCs w:val="18"/>
              </w:rPr>
              <w:t>The treatment must be in combination with cyclophosphamide, doxorubicin and prednisone.</w:t>
            </w:r>
          </w:p>
        </w:tc>
      </w:tr>
      <w:tr w:rsidR="006646EB" w:rsidRPr="008E3F1A" w:rsidTr="000E60E7">
        <w:tblPrEx>
          <w:tblCellMar>
            <w:top w:w="15" w:type="dxa"/>
            <w:left w:w="15" w:type="dxa"/>
            <w:bottom w:w="15" w:type="dxa"/>
            <w:right w:w="15" w:type="dxa"/>
          </w:tblCellMar>
          <w:tblLook w:val="04A0" w:firstRow="1" w:lastRow="0" w:firstColumn="1" w:lastColumn="0" w:noHBand="0" w:noVBand="1"/>
        </w:tblPrEx>
        <w:tc>
          <w:tcPr>
            <w:tcW w:w="981" w:type="dxa"/>
            <w:vAlign w:val="center"/>
          </w:tcPr>
          <w:p w:rsidR="006646EB" w:rsidRPr="008E3F1A" w:rsidRDefault="006646EB" w:rsidP="000E60E7">
            <w:pPr>
              <w:jc w:val="center"/>
              <w:rPr>
                <w:rFonts w:ascii="Arial Narrow" w:hAnsi="Arial Narrow"/>
                <w:color w:val="333333"/>
                <w:sz w:val="18"/>
                <w:szCs w:val="18"/>
              </w:rPr>
            </w:pPr>
          </w:p>
        </w:tc>
        <w:tc>
          <w:tcPr>
            <w:tcW w:w="8086" w:type="dxa"/>
            <w:gridSpan w:val="6"/>
          </w:tcPr>
          <w:p w:rsidR="006646EB" w:rsidRPr="008E3F1A" w:rsidRDefault="006646EB" w:rsidP="000E60E7">
            <w:pPr>
              <w:spacing w:before="40" w:after="40"/>
              <w:rPr>
                <w:rFonts w:ascii="Arial Narrow" w:hAnsi="Arial Narrow"/>
                <w:b/>
                <w:sz w:val="18"/>
                <w:szCs w:val="18"/>
              </w:rPr>
            </w:pPr>
            <w:r w:rsidRPr="008E3F1A">
              <w:rPr>
                <w:rFonts w:ascii="Arial Narrow" w:hAnsi="Arial Narrow"/>
                <w:b/>
                <w:sz w:val="18"/>
                <w:szCs w:val="18"/>
              </w:rPr>
              <w:t>AND</w:t>
            </w:r>
          </w:p>
        </w:tc>
      </w:tr>
      <w:tr w:rsidR="006646EB" w:rsidRPr="008E3F1A" w:rsidTr="000E60E7">
        <w:tblPrEx>
          <w:tblCellMar>
            <w:top w:w="15" w:type="dxa"/>
            <w:left w:w="15" w:type="dxa"/>
            <w:bottom w:w="15" w:type="dxa"/>
            <w:right w:w="15" w:type="dxa"/>
          </w:tblCellMar>
          <w:tblLook w:val="04A0" w:firstRow="1" w:lastRow="0" w:firstColumn="1" w:lastColumn="0" w:noHBand="0" w:noVBand="1"/>
        </w:tblPrEx>
        <w:tc>
          <w:tcPr>
            <w:tcW w:w="981" w:type="dxa"/>
            <w:vAlign w:val="center"/>
          </w:tcPr>
          <w:p w:rsidR="006646EB" w:rsidRPr="008E3F1A" w:rsidRDefault="006646EB" w:rsidP="000E60E7">
            <w:pPr>
              <w:jc w:val="center"/>
              <w:rPr>
                <w:rFonts w:ascii="Arial Narrow" w:hAnsi="Arial Narrow"/>
                <w:color w:val="333333"/>
                <w:sz w:val="18"/>
                <w:szCs w:val="18"/>
              </w:rPr>
            </w:pPr>
          </w:p>
        </w:tc>
        <w:tc>
          <w:tcPr>
            <w:tcW w:w="8086" w:type="dxa"/>
            <w:gridSpan w:val="6"/>
          </w:tcPr>
          <w:p w:rsidR="006646EB" w:rsidRPr="008E3F1A" w:rsidRDefault="006646EB" w:rsidP="000E60E7">
            <w:pPr>
              <w:spacing w:before="40" w:after="40"/>
              <w:rPr>
                <w:rFonts w:ascii="Arial Narrow" w:hAnsi="Arial Narrow"/>
                <w:b/>
                <w:sz w:val="18"/>
                <w:szCs w:val="18"/>
              </w:rPr>
            </w:pPr>
            <w:r w:rsidRPr="008E3F1A">
              <w:rPr>
                <w:rFonts w:ascii="Arial Narrow" w:hAnsi="Arial Narrow"/>
                <w:b/>
                <w:sz w:val="18"/>
                <w:szCs w:val="18"/>
              </w:rPr>
              <w:t>Clinical criteria:</w:t>
            </w:r>
          </w:p>
        </w:tc>
      </w:tr>
      <w:tr w:rsidR="006646EB" w:rsidRPr="008E3F1A" w:rsidTr="000E60E7">
        <w:tblPrEx>
          <w:tblCellMar>
            <w:top w:w="15" w:type="dxa"/>
            <w:left w:w="15" w:type="dxa"/>
            <w:bottom w:w="15" w:type="dxa"/>
            <w:right w:w="15" w:type="dxa"/>
          </w:tblCellMar>
          <w:tblLook w:val="04A0" w:firstRow="1" w:lastRow="0" w:firstColumn="1" w:lastColumn="0" w:noHBand="0" w:noVBand="1"/>
        </w:tblPrEx>
        <w:tc>
          <w:tcPr>
            <w:tcW w:w="981" w:type="dxa"/>
            <w:vAlign w:val="center"/>
          </w:tcPr>
          <w:p w:rsidR="006646EB" w:rsidRPr="008E3F1A" w:rsidRDefault="006646EB" w:rsidP="000E60E7">
            <w:pPr>
              <w:jc w:val="center"/>
              <w:rPr>
                <w:rFonts w:ascii="Arial Narrow" w:hAnsi="Arial Narrow"/>
                <w:color w:val="333333"/>
                <w:sz w:val="18"/>
                <w:szCs w:val="18"/>
              </w:rPr>
            </w:pPr>
          </w:p>
        </w:tc>
        <w:tc>
          <w:tcPr>
            <w:tcW w:w="8086" w:type="dxa"/>
            <w:gridSpan w:val="6"/>
          </w:tcPr>
          <w:p w:rsidR="006646EB" w:rsidRPr="008E3F1A" w:rsidRDefault="006646EB" w:rsidP="000E60E7">
            <w:pPr>
              <w:pStyle w:val="NormalWeb"/>
              <w:spacing w:before="0" w:after="0"/>
              <w:rPr>
                <w:rFonts w:ascii="Arial Narrow" w:hAnsi="Arial Narrow" w:cs="Calibri"/>
                <w:i/>
                <w:iCs/>
                <w:sz w:val="18"/>
                <w:szCs w:val="18"/>
                <w:lang w:val="en-AU"/>
              </w:rPr>
            </w:pPr>
            <w:r w:rsidRPr="008E3F1A">
              <w:rPr>
                <w:rFonts w:ascii="Arial Narrow" w:hAnsi="Arial Narrow" w:cs="Calibri"/>
                <w:sz w:val="18"/>
                <w:szCs w:val="18"/>
                <w:lang w:val="en-AU"/>
              </w:rPr>
              <w:t xml:space="preserve">Patient must have completed 6 initial cycles of PBS-subsidised treatment </w:t>
            </w:r>
            <w:r w:rsidRPr="008E3F1A">
              <w:rPr>
                <w:rFonts w:ascii="Arial Narrow" w:hAnsi="Arial Narrow" w:cs="Calibri"/>
                <w:iCs/>
                <w:sz w:val="18"/>
                <w:szCs w:val="18"/>
                <w:lang w:val="en-AU"/>
              </w:rPr>
              <w:t>with this drug for this indication</w:t>
            </w:r>
            <w:r w:rsidRPr="008E3F1A">
              <w:rPr>
                <w:rFonts w:ascii="Arial Narrow" w:hAnsi="Arial Narrow" w:cs="Calibri"/>
                <w:i/>
                <w:iCs/>
                <w:sz w:val="18"/>
                <w:szCs w:val="18"/>
                <w:lang w:val="en-AU"/>
              </w:rPr>
              <w:t>.</w:t>
            </w:r>
          </w:p>
        </w:tc>
      </w:tr>
      <w:tr w:rsidR="006646EB" w:rsidRPr="008E3F1A" w:rsidTr="000E60E7">
        <w:tblPrEx>
          <w:tblCellMar>
            <w:top w:w="15" w:type="dxa"/>
            <w:left w:w="15" w:type="dxa"/>
            <w:bottom w:w="15" w:type="dxa"/>
            <w:right w:w="15" w:type="dxa"/>
          </w:tblCellMar>
          <w:tblLook w:val="04A0" w:firstRow="1" w:lastRow="0" w:firstColumn="1" w:lastColumn="0" w:noHBand="0" w:noVBand="1"/>
        </w:tblPrEx>
        <w:tc>
          <w:tcPr>
            <w:tcW w:w="981" w:type="dxa"/>
            <w:vAlign w:val="center"/>
          </w:tcPr>
          <w:p w:rsidR="006646EB" w:rsidRPr="008E3F1A" w:rsidRDefault="006646EB" w:rsidP="000E60E7">
            <w:pPr>
              <w:jc w:val="center"/>
              <w:rPr>
                <w:rFonts w:ascii="Arial Narrow" w:hAnsi="Arial Narrow"/>
                <w:color w:val="333333"/>
                <w:sz w:val="18"/>
                <w:szCs w:val="18"/>
              </w:rPr>
            </w:pPr>
          </w:p>
        </w:tc>
        <w:tc>
          <w:tcPr>
            <w:tcW w:w="8086" w:type="dxa"/>
            <w:gridSpan w:val="6"/>
          </w:tcPr>
          <w:p w:rsidR="006646EB" w:rsidRPr="008E3F1A" w:rsidRDefault="006646EB" w:rsidP="000E60E7">
            <w:pPr>
              <w:spacing w:before="40" w:after="40"/>
              <w:rPr>
                <w:rFonts w:ascii="Arial Narrow" w:hAnsi="Arial Narrow"/>
                <w:b/>
                <w:sz w:val="18"/>
                <w:szCs w:val="18"/>
              </w:rPr>
            </w:pPr>
            <w:r w:rsidRPr="008E3F1A">
              <w:rPr>
                <w:rFonts w:ascii="Arial Narrow" w:hAnsi="Arial Narrow"/>
                <w:b/>
                <w:sz w:val="18"/>
                <w:szCs w:val="18"/>
              </w:rPr>
              <w:t>AND</w:t>
            </w:r>
          </w:p>
        </w:tc>
      </w:tr>
      <w:tr w:rsidR="006646EB" w:rsidRPr="008E3F1A" w:rsidTr="000E60E7">
        <w:tblPrEx>
          <w:tblCellMar>
            <w:top w:w="15" w:type="dxa"/>
            <w:left w:w="15" w:type="dxa"/>
            <w:bottom w:w="15" w:type="dxa"/>
            <w:right w:w="15" w:type="dxa"/>
          </w:tblCellMar>
          <w:tblLook w:val="04A0" w:firstRow="1" w:lastRow="0" w:firstColumn="1" w:lastColumn="0" w:noHBand="0" w:noVBand="1"/>
        </w:tblPrEx>
        <w:tc>
          <w:tcPr>
            <w:tcW w:w="981" w:type="dxa"/>
            <w:vAlign w:val="center"/>
          </w:tcPr>
          <w:p w:rsidR="006646EB" w:rsidRPr="008E3F1A" w:rsidRDefault="006646EB" w:rsidP="000E60E7">
            <w:pPr>
              <w:jc w:val="center"/>
              <w:rPr>
                <w:rFonts w:ascii="Arial Narrow" w:hAnsi="Arial Narrow"/>
                <w:color w:val="333333"/>
                <w:sz w:val="18"/>
                <w:szCs w:val="18"/>
              </w:rPr>
            </w:pPr>
          </w:p>
        </w:tc>
        <w:tc>
          <w:tcPr>
            <w:tcW w:w="8086" w:type="dxa"/>
            <w:gridSpan w:val="6"/>
          </w:tcPr>
          <w:p w:rsidR="006646EB" w:rsidRPr="008E3F1A" w:rsidRDefault="006646EB" w:rsidP="000E60E7">
            <w:pPr>
              <w:spacing w:before="40" w:after="40"/>
              <w:rPr>
                <w:rFonts w:ascii="Arial Narrow" w:hAnsi="Arial Narrow"/>
                <w:b/>
                <w:sz w:val="18"/>
                <w:szCs w:val="18"/>
              </w:rPr>
            </w:pPr>
            <w:r w:rsidRPr="008E3F1A">
              <w:rPr>
                <w:rFonts w:ascii="Arial Narrow" w:hAnsi="Arial Narrow"/>
                <w:b/>
                <w:sz w:val="18"/>
                <w:szCs w:val="18"/>
              </w:rPr>
              <w:t>Clinical criteria:</w:t>
            </w:r>
          </w:p>
        </w:tc>
      </w:tr>
      <w:tr w:rsidR="006646EB" w:rsidRPr="008E3F1A" w:rsidTr="000E60E7">
        <w:tblPrEx>
          <w:tblCellMar>
            <w:top w:w="15" w:type="dxa"/>
            <w:left w:w="15" w:type="dxa"/>
            <w:bottom w:w="15" w:type="dxa"/>
            <w:right w:w="15" w:type="dxa"/>
          </w:tblCellMar>
          <w:tblLook w:val="04A0" w:firstRow="1" w:lastRow="0" w:firstColumn="1" w:lastColumn="0" w:noHBand="0" w:noVBand="1"/>
        </w:tblPrEx>
        <w:tc>
          <w:tcPr>
            <w:tcW w:w="981" w:type="dxa"/>
            <w:vAlign w:val="center"/>
          </w:tcPr>
          <w:p w:rsidR="006646EB" w:rsidRPr="008E3F1A" w:rsidRDefault="006646EB" w:rsidP="000E60E7">
            <w:pPr>
              <w:jc w:val="center"/>
              <w:rPr>
                <w:rFonts w:ascii="Arial Narrow" w:hAnsi="Arial Narrow"/>
                <w:color w:val="333333"/>
                <w:sz w:val="18"/>
                <w:szCs w:val="18"/>
              </w:rPr>
            </w:pPr>
          </w:p>
        </w:tc>
        <w:tc>
          <w:tcPr>
            <w:tcW w:w="8086" w:type="dxa"/>
            <w:gridSpan w:val="6"/>
          </w:tcPr>
          <w:p w:rsidR="006646EB" w:rsidRPr="008E3F1A" w:rsidRDefault="006646EB" w:rsidP="000E60E7">
            <w:pPr>
              <w:spacing w:before="40" w:after="40"/>
              <w:rPr>
                <w:rFonts w:ascii="Arial Narrow" w:hAnsi="Arial Narrow"/>
                <w:b/>
                <w:sz w:val="18"/>
                <w:szCs w:val="18"/>
              </w:rPr>
            </w:pPr>
            <w:r w:rsidRPr="008E3F1A">
              <w:rPr>
                <w:rFonts w:ascii="Arial Narrow" w:hAnsi="Arial Narrow" w:cs="Calibri"/>
                <w:sz w:val="18"/>
                <w:szCs w:val="18"/>
              </w:rPr>
              <w:t>Patient must have achieved at least a partial response to the 6 initial cycles of treatment with a combination of this drug and cyclophosphamide, doxorubicin and prednisone for this indication.</w:t>
            </w:r>
          </w:p>
        </w:tc>
      </w:tr>
      <w:tr w:rsidR="006646EB" w:rsidRPr="008E3F1A" w:rsidTr="000E60E7">
        <w:tblPrEx>
          <w:tblCellMar>
            <w:top w:w="15" w:type="dxa"/>
            <w:left w:w="15" w:type="dxa"/>
            <w:bottom w:w="15" w:type="dxa"/>
            <w:right w:w="15" w:type="dxa"/>
          </w:tblCellMar>
          <w:tblLook w:val="04A0" w:firstRow="1" w:lastRow="0" w:firstColumn="1" w:lastColumn="0" w:noHBand="0" w:noVBand="1"/>
        </w:tblPrEx>
        <w:tc>
          <w:tcPr>
            <w:tcW w:w="981" w:type="dxa"/>
            <w:vAlign w:val="center"/>
          </w:tcPr>
          <w:p w:rsidR="006646EB" w:rsidRPr="008E3F1A" w:rsidRDefault="006646EB" w:rsidP="000E60E7">
            <w:pPr>
              <w:jc w:val="center"/>
              <w:rPr>
                <w:rFonts w:ascii="Arial Narrow" w:hAnsi="Arial Narrow"/>
                <w:color w:val="333333"/>
                <w:sz w:val="18"/>
                <w:szCs w:val="18"/>
              </w:rPr>
            </w:pPr>
          </w:p>
        </w:tc>
        <w:tc>
          <w:tcPr>
            <w:tcW w:w="8086" w:type="dxa"/>
            <w:gridSpan w:val="6"/>
          </w:tcPr>
          <w:p w:rsidR="006646EB" w:rsidRPr="008E3F1A" w:rsidRDefault="006646EB" w:rsidP="000E60E7">
            <w:pPr>
              <w:spacing w:before="40" w:after="40"/>
              <w:rPr>
                <w:rFonts w:ascii="Arial Narrow" w:hAnsi="Arial Narrow"/>
                <w:b/>
                <w:sz w:val="18"/>
                <w:szCs w:val="18"/>
              </w:rPr>
            </w:pPr>
            <w:r w:rsidRPr="008E3F1A">
              <w:rPr>
                <w:rFonts w:ascii="Arial Narrow" w:hAnsi="Arial Narrow"/>
                <w:b/>
                <w:sz w:val="18"/>
                <w:szCs w:val="18"/>
              </w:rPr>
              <w:t>AND</w:t>
            </w:r>
          </w:p>
        </w:tc>
      </w:tr>
      <w:tr w:rsidR="006646EB" w:rsidRPr="008E3F1A" w:rsidTr="000E60E7">
        <w:tblPrEx>
          <w:tblCellMar>
            <w:top w:w="15" w:type="dxa"/>
            <w:left w:w="15" w:type="dxa"/>
            <w:bottom w:w="15" w:type="dxa"/>
            <w:right w:w="15" w:type="dxa"/>
          </w:tblCellMar>
          <w:tblLook w:val="04A0" w:firstRow="1" w:lastRow="0" w:firstColumn="1" w:lastColumn="0" w:noHBand="0" w:noVBand="1"/>
        </w:tblPrEx>
        <w:tc>
          <w:tcPr>
            <w:tcW w:w="981" w:type="dxa"/>
            <w:vAlign w:val="center"/>
          </w:tcPr>
          <w:p w:rsidR="006646EB" w:rsidRPr="008E3F1A" w:rsidRDefault="006646EB" w:rsidP="000E60E7">
            <w:pPr>
              <w:jc w:val="center"/>
              <w:rPr>
                <w:rFonts w:ascii="Arial Narrow" w:hAnsi="Arial Narrow"/>
                <w:color w:val="333333"/>
                <w:sz w:val="18"/>
                <w:szCs w:val="18"/>
              </w:rPr>
            </w:pPr>
          </w:p>
        </w:tc>
        <w:tc>
          <w:tcPr>
            <w:tcW w:w="8086" w:type="dxa"/>
            <w:gridSpan w:val="6"/>
          </w:tcPr>
          <w:p w:rsidR="006646EB" w:rsidRPr="008E3F1A" w:rsidRDefault="006646EB" w:rsidP="000E60E7">
            <w:pPr>
              <w:spacing w:before="40" w:after="40"/>
              <w:rPr>
                <w:rFonts w:ascii="Arial Narrow" w:hAnsi="Arial Narrow"/>
                <w:b/>
                <w:sz w:val="18"/>
                <w:szCs w:val="18"/>
              </w:rPr>
            </w:pPr>
            <w:r w:rsidRPr="008E3F1A">
              <w:rPr>
                <w:rFonts w:ascii="Arial Narrow" w:hAnsi="Arial Narrow"/>
                <w:b/>
                <w:sz w:val="18"/>
                <w:szCs w:val="18"/>
              </w:rPr>
              <w:t>Clinical criteria:</w:t>
            </w:r>
          </w:p>
        </w:tc>
      </w:tr>
      <w:tr w:rsidR="006646EB" w:rsidRPr="008E3F1A" w:rsidTr="000E60E7">
        <w:tblPrEx>
          <w:tblCellMar>
            <w:top w:w="15" w:type="dxa"/>
            <w:left w:w="15" w:type="dxa"/>
            <w:bottom w:w="15" w:type="dxa"/>
            <w:right w:w="15" w:type="dxa"/>
          </w:tblCellMar>
          <w:tblLook w:val="04A0" w:firstRow="1" w:lastRow="0" w:firstColumn="1" w:lastColumn="0" w:noHBand="0" w:noVBand="1"/>
        </w:tblPrEx>
        <w:tc>
          <w:tcPr>
            <w:tcW w:w="981" w:type="dxa"/>
            <w:vAlign w:val="center"/>
          </w:tcPr>
          <w:p w:rsidR="006646EB" w:rsidRPr="008E3F1A" w:rsidRDefault="006646EB" w:rsidP="000E60E7">
            <w:pPr>
              <w:jc w:val="center"/>
              <w:rPr>
                <w:rFonts w:ascii="Arial Narrow" w:hAnsi="Arial Narrow"/>
                <w:color w:val="333333"/>
                <w:sz w:val="18"/>
                <w:szCs w:val="18"/>
              </w:rPr>
            </w:pPr>
          </w:p>
        </w:tc>
        <w:tc>
          <w:tcPr>
            <w:tcW w:w="8086" w:type="dxa"/>
            <w:gridSpan w:val="6"/>
          </w:tcPr>
          <w:p w:rsidR="006646EB" w:rsidRPr="008E3F1A" w:rsidRDefault="006646EB" w:rsidP="000E60E7">
            <w:pPr>
              <w:pStyle w:val="NormalWeb"/>
              <w:spacing w:before="0" w:after="0"/>
              <w:rPr>
                <w:rFonts w:ascii="Arial Narrow" w:hAnsi="Arial Narrow" w:cs="Calibri"/>
                <w:iCs/>
                <w:sz w:val="18"/>
                <w:szCs w:val="18"/>
                <w:lang w:val="en-AU"/>
              </w:rPr>
            </w:pPr>
            <w:r w:rsidRPr="008E3F1A">
              <w:rPr>
                <w:rFonts w:ascii="Arial Narrow" w:hAnsi="Arial Narrow" w:cs="Calibri"/>
                <w:iCs/>
                <w:sz w:val="18"/>
                <w:szCs w:val="18"/>
                <w:lang w:val="en-AU"/>
              </w:rPr>
              <w:t>The condition must have not progressed while being treated with this drug for this condition.</w:t>
            </w:r>
          </w:p>
        </w:tc>
      </w:tr>
      <w:tr w:rsidR="006646EB" w:rsidRPr="008E3F1A" w:rsidTr="000E60E7">
        <w:tblPrEx>
          <w:tblCellMar>
            <w:top w:w="15" w:type="dxa"/>
            <w:left w:w="15" w:type="dxa"/>
            <w:bottom w:w="15" w:type="dxa"/>
            <w:right w:w="15" w:type="dxa"/>
          </w:tblCellMar>
          <w:tblLook w:val="04A0" w:firstRow="1" w:lastRow="0" w:firstColumn="1" w:lastColumn="0" w:noHBand="0" w:noVBand="1"/>
        </w:tblPrEx>
        <w:tc>
          <w:tcPr>
            <w:tcW w:w="981" w:type="dxa"/>
            <w:vAlign w:val="center"/>
          </w:tcPr>
          <w:p w:rsidR="006646EB" w:rsidRPr="008E3F1A" w:rsidRDefault="006646EB" w:rsidP="000E60E7">
            <w:pPr>
              <w:jc w:val="center"/>
              <w:rPr>
                <w:rFonts w:ascii="Arial Narrow" w:hAnsi="Arial Narrow"/>
                <w:color w:val="333333"/>
                <w:sz w:val="18"/>
                <w:szCs w:val="18"/>
              </w:rPr>
            </w:pPr>
          </w:p>
        </w:tc>
        <w:tc>
          <w:tcPr>
            <w:tcW w:w="8086" w:type="dxa"/>
            <w:gridSpan w:val="6"/>
          </w:tcPr>
          <w:p w:rsidR="006646EB" w:rsidRPr="008E3F1A" w:rsidRDefault="006646EB" w:rsidP="000E60E7">
            <w:pPr>
              <w:pStyle w:val="NormalWeb"/>
              <w:spacing w:before="0" w:after="0"/>
              <w:rPr>
                <w:rFonts w:ascii="Arial Narrow" w:hAnsi="Arial Narrow" w:cs="Calibri"/>
                <w:b/>
                <w:iCs/>
                <w:sz w:val="18"/>
                <w:szCs w:val="18"/>
                <w:lang w:val="en-AU"/>
              </w:rPr>
            </w:pPr>
            <w:r w:rsidRPr="008E3F1A">
              <w:rPr>
                <w:rFonts w:ascii="Arial Narrow" w:hAnsi="Arial Narrow" w:cs="Calibri"/>
                <w:b/>
                <w:iCs/>
                <w:sz w:val="18"/>
                <w:szCs w:val="18"/>
                <w:lang w:val="en-AU"/>
              </w:rPr>
              <w:t>AND</w:t>
            </w:r>
          </w:p>
        </w:tc>
      </w:tr>
      <w:tr w:rsidR="006646EB" w:rsidRPr="008E3F1A" w:rsidTr="000E60E7">
        <w:tblPrEx>
          <w:tblCellMar>
            <w:top w:w="15" w:type="dxa"/>
            <w:left w:w="15" w:type="dxa"/>
            <w:bottom w:w="15" w:type="dxa"/>
            <w:right w:w="15" w:type="dxa"/>
          </w:tblCellMar>
          <w:tblLook w:val="04A0" w:firstRow="1" w:lastRow="0" w:firstColumn="1" w:lastColumn="0" w:noHBand="0" w:noVBand="1"/>
        </w:tblPrEx>
        <w:tc>
          <w:tcPr>
            <w:tcW w:w="981" w:type="dxa"/>
            <w:vAlign w:val="center"/>
          </w:tcPr>
          <w:p w:rsidR="006646EB" w:rsidRPr="008E3F1A" w:rsidRDefault="006646EB" w:rsidP="000E60E7">
            <w:pPr>
              <w:jc w:val="center"/>
              <w:rPr>
                <w:rFonts w:ascii="Arial Narrow" w:hAnsi="Arial Narrow"/>
                <w:color w:val="333333"/>
                <w:sz w:val="18"/>
                <w:szCs w:val="18"/>
              </w:rPr>
            </w:pPr>
          </w:p>
        </w:tc>
        <w:tc>
          <w:tcPr>
            <w:tcW w:w="8086" w:type="dxa"/>
            <w:gridSpan w:val="6"/>
          </w:tcPr>
          <w:p w:rsidR="006646EB" w:rsidRPr="008E3F1A" w:rsidRDefault="006646EB" w:rsidP="000E60E7">
            <w:pPr>
              <w:spacing w:before="40" w:after="40"/>
              <w:rPr>
                <w:rFonts w:ascii="Arial Narrow" w:hAnsi="Arial Narrow"/>
                <w:b/>
                <w:sz w:val="18"/>
                <w:szCs w:val="18"/>
              </w:rPr>
            </w:pPr>
            <w:r w:rsidRPr="008E3F1A">
              <w:rPr>
                <w:rFonts w:ascii="Arial Narrow" w:hAnsi="Arial Narrow"/>
                <w:b/>
                <w:sz w:val="18"/>
                <w:szCs w:val="18"/>
              </w:rPr>
              <w:t>Clinical criteria:</w:t>
            </w:r>
          </w:p>
        </w:tc>
      </w:tr>
      <w:tr w:rsidR="006646EB" w:rsidRPr="008E3F1A" w:rsidTr="000E60E7">
        <w:tblPrEx>
          <w:tblCellMar>
            <w:top w:w="15" w:type="dxa"/>
            <w:left w:w="15" w:type="dxa"/>
            <w:bottom w:w="15" w:type="dxa"/>
            <w:right w:w="15" w:type="dxa"/>
          </w:tblCellMar>
          <w:tblLook w:val="04A0" w:firstRow="1" w:lastRow="0" w:firstColumn="1" w:lastColumn="0" w:noHBand="0" w:noVBand="1"/>
        </w:tblPrEx>
        <w:tc>
          <w:tcPr>
            <w:tcW w:w="981" w:type="dxa"/>
            <w:vAlign w:val="center"/>
          </w:tcPr>
          <w:p w:rsidR="006646EB" w:rsidRPr="008E3F1A" w:rsidRDefault="006646EB" w:rsidP="000E60E7">
            <w:pPr>
              <w:jc w:val="center"/>
              <w:rPr>
                <w:rFonts w:ascii="Arial Narrow" w:hAnsi="Arial Narrow"/>
                <w:color w:val="333333"/>
                <w:sz w:val="18"/>
                <w:szCs w:val="18"/>
              </w:rPr>
            </w:pPr>
          </w:p>
        </w:tc>
        <w:tc>
          <w:tcPr>
            <w:tcW w:w="8086" w:type="dxa"/>
            <w:gridSpan w:val="6"/>
          </w:tcPr>
          <w:p w:rsidR="006646EB" w:rsidRPr="008E3F1A" w:rsidRDefault="006646EB" w:rsidP="000E60E7">
            <w:pPr>
              <w:pStyle w:val="NormalWeb"/>
              <w:spacing w:before="0" w:after="0"/>
              <w:rPr>
                <w:rFonts w:ascii="Arial Narrow" w:hAnsi="Arial Narrow" w:cs="Calibri"/>
                <w:iCs/>
                <w:sz w:val="18"/>
                <w:szCs w:val="18"/>
                <w:lang w:val="en-AU"/>
              </w:rPr>
            </w:pPr>
            <w:r w:rsidRPr="008E3F1A">
              <w:rPr>
                <w:rFonts w:ascii="Arial Narrow" w:hAnsi="Arial Narrow" w:cs="Calibri"/>
                <w:iCs/>
                <w:sz w:val="18"/>
                <w:szCs w:val="18"/>
                <w:lang w:val="en-AU"/>
              </w:rPr>
              <w:t>The treatment must not be more than 2 treatment cycles under this restriction in a lifetime.</w:t>
            </w:r>
          </w:p>
        </w:tc>
      </w:tr>
      <w:tr w:rsidR="00371E1E" w:rsidRPr="006B38D0" w:rsidTr="00B53D21">
        <w:tblPrEx>
          <w:tblCellMar>
            <w:top w:w="15" w:type="dxa"/>
            <w:left w:w="15" w:type="dxa"/>
            <w:bottom w:w="15" w:type="dxa"/>
            <w:right w:w="15" w:type="dxa"/>
          </w:tblCellMar>
          <w:tblLook w:val="04A0" w:firstRow="1" w:lastRow="0" w:firstColumn="1" w:lastColumn="0" w:noHBand="0" w:noVBand="1"/>
        </w:tblPrEx>
        <w:trPr>
          <w:trHeight w:val="2704"/>
        </w:trPr>
        <w:tc>
          <w:tcPr>
            <w:tcW w:w="981" w:type="dxa"/>
            <w:vAlign w:val="center"/>
          </w:tcPr>
          <w:p w:rsidR="00371E1E" w:rsidRPr="008E3F1A" w:rsidRDefault="00371E1E" w:rsidP="000E60E7">
            <w:pPr>
              <w:jc w:val="center"/>
              <w:rPr>
                <w:rFonts w:ascii="Arial Narrow" w:hAnsi="Arial Narrow"/>
                <w:color w:val="333333"/>
                <w:sz w:val="18"/>
                <w:szCs w:val="18"/>
              </w:rPr>
            </w:pPr>
          </w:p>
        </w:tc>
        <w:tc>
          <w:tcPr>
            <w:tcW w:w="8086" w:type="dxa"/>
            <w:gridSpan w:val="6"/>
          </w:tcPr>
          <w:p w:rsidR="00371E1E" w:rsidRPr="008E3F1A" w:rsidRDefault="00371E1E" w:rsidP="007B4086">
            <w:pPr>
              <w:pStyle w:val="NormalWeb"/>
              <w:spacing w:before="0" w:after="0"/>
              <w:rPr>
                <w:rFonts w:ascii="Arial Narrow" w:hAnsi="Arial Narrow" w:cs="Calibri"/>
                <w:b/>
                <w:iCs/>
                <w:sz w:val="18"/>
                <w:szCs w:val="18"/>
                <w:lang w:val="en-AU"/>
              </w:rPr>
            </w:pPr>
            <w:r w:rsidRPr="008E3F1A">
              <w:rPr>
                <w:rFonts w:ascii="Arial Narrow" w:hAnsi="Arial Narrow" w:cs="Arial"/>
                <w:b/>
                <w:snapToGrid/>
                <w:sz w:val="18"/>
                <w:szCs w:val="18"/>
                <w:lang w:val="en-AU"/>
              </w:rPr>
              <w:t>Prescribing Instructions</w:t>
            </w:r>
            <w:r w:rsidRPr="008E3F1A">
              <w:rPr>
                <w:rFonts w:ascii="Arial Narrow" w:hAnsi="Arial Narrow" w:cs="Calibri"/>
                <w:b/>
                <w:iCs/>
                <w:sz w:val="18"/>
                <w:szCs w:val="18"/>
                <w:lang w:val="en-AU"/>
              </w:rPr>
              <w:t>:</w:t>
            </w:r>
          </w:p>
          <w:p w:rsidR="00371E1E" w:rsidRPr="008E3F1A" w:rsidRDefault="00371E1E" w:rsidP="007B4086">
            <w:pPr>
              <w:pStyle w:val="NormalWeb"/>
              <w:spacing w:before="0" w:after="0"/>
              <w:rPr>
                <w:rFonts w:ascii="Arial Narrow" w:hAnsi="Arial Narrow" w:cs="Calibri"/>
                <w:snapToGrid/>
                <w:sz w:val="18"/>
                <w:szCs w:val="18"/>
                <w:lang w:val="en-AU"/>
              </w:rPr>
            </w:pPr>
            <w:r w:rsidRPr="008E3F1A">
              <w:rPr>
                <w:rFonts w:ascii="Arial Narrow" w:hAnsi="Arial Narrow" w:cs="Calibri"/>
                <w:snapToGrid/>
                <w:sz w:val="18"/>
                <w:szCs w:val="18"/>
                <w:lang w:val="en-AU"/>
              </w:rPr>
              <w:t>Partial response is defined using Lugano Response Criteria for Non-Hodgkin Lymphoma as:</w:t>
            </w:r>
          </w:p>
          <w:p w:rsidR="00371E1E" w:rsidRDefault="007B4086" w:rsidP="006B38D0">
            <w:pPr>
              <w:autoSpaceDE w:val="0"/>
              <w:autoSpaceDN w:val="0"/>
              <w:adjustRightInd w:val="0"/>
              <w:jc w:val="left"/>
              <w:rPr>
                <w:rFonts w:ascii="Arial Narrow" w:hAnsi="Arial Narrow" w:cs="Calibri"/>
                <w:snapToGrid w:val="0"/>
                <w:sz w:val="18"/>
                <w:szCs w:val="18"/>
              </w:rPr>
            </w:pPr>
            <w:r w:rsidRPr="008E3F1A">
              <w:rPr>
                <w:rFonts w:ascii="Arial Narrow" w:hAnsi="Arial Narrow" w:cs="Calibri"/>
                <w:sz w:val="18"/>
                <w:szCs w:val="18"/>
              </w:rPr>
              <w:t xml:space="preserve">(a) </w:t>
            </w:r>
            <w:r w:rsidR="00371E1E" w:rsidRPr="008E3F1A">
              <w:rPr>
                <w:rFonts w:ascii="Arial Narrow" w:hAnsi="Arial Narrow" w:cs="Calibri"/>
                <w:sz w:val="18"/>
                <w:szCs w:val="18"/>
              </w:rPr>
              <w:t>Positron emission tomography-based response</w:t>
            </w:r>
            <w:r w:rsidR="006B38D0">
              <w:rPr>
                <w:rFonts w:ascii="Arial Narrow" w:hAnsi="Arial Narrow" w:cs="Calibri"/>
                <w:sz w:val="18"/>
                <w:szCs w:val="18"/>
              </w:rPr>
              <w:t>:</w:t>
            </w:r>
            <w:r w:rsidR="00371E1E" w:rsidRPr="008E3F1A">
              <w:rPr>
                <w:rFonts w:ascii="Arial Narrow" w:hAnsi="Arial Narrow" w:cs="Calibri"/>
                <w:sz w:val="18"/>
                <w:szCs w:val="18"/>
              </w:rPr>
              <w:t xml:space="preserve"> </w:t>
            </w:r>
            <w:r w:rsidR="006B38D0">
              <w:rPr>
                <w:rFonts w:ascii="Arial Narrow" w:hAnsi="Arial Narrow" w:cs="Calibri"/>
                <w:sz w:val="18"/>
                <w:szCs w:val="18"/>
              </w:rPr>
              <w:t xml:space="preserve">lymph nodes and extralymphatic sites - </w:t>
            </w:r>
            <w:r w:rsidR="00371E1E" w:rsidRPr="008E3F1A">
              <w:rPr>
                <w:rFonts w:ascii="Arial Narrow" w:hAnsi="Arial Narrow" w:cs="Calibri"/>
                <w:sz w:val="18"/>
                <w:szCs w:val="18"/>
              </w:rPr>
              <w:t>a score of 4 (uptake moderately &gt; liver), or 5 (uptake markedly higher than liver and/or new lesions), with reduced uptake compared with baseline and residual mass(es) of any size</w:t>
            </w:r>
            <w:r w:rsidR="006B38D0">
              <w:rPr>
                <w:rFonts w:ascii="Arial Narrow" w:hAnsi="Arial Narrow" w:cs="Calibri"/>
                <w:sz w:val="18"/>
                <w:szCs w:val="18"/>
              </w:rPr>
              <w:t xml:space="preserve">; </w:t>
            </w:r>
            <w:r w:rsidR="005178C2">
              <w:rPr>
                <w:rFonts w:ascii="Arial Narrow" w:hAnsi="Arial Narrow" w:cs="Calibri"/>
                <w:sz w:val="18"/>
                <w:szCs w:val="18"/>
              </w:rPr>
              <w:t xml:space="preserve">nonmeasured lesions – not applicable; organ enlargement – not applicable; new lesions – none; </w:t>
            </w:r>
            <w:r w:rsidR="006B38D0">
              <w:rPr>
                <w:rFonts w:ascii="Arial Narrow" w:hAnsi="Arial Narrow" w:cs="Calibri"/>
                <w:sz w:val="18"/>
                <w:szCs w:val="18"/>
              </w:rPr>
              <w:t xml:space="preserve">bone marrow – residual uptake higher than uptake in normal </w:t>
            </w:r>
            <w:r w:rsidR="005178C2">
              <w:rPr>
                <w:rFonts w:ascii="Arial Narrow" w:hAnsi="Arial Narrow" w:cs="Calibri"/>
                <w:sz w:val="18"/>
                <w:szCs w:val="18"/>
              </w:rPr>
              <w:t xml:space="preserve">marrow but </w:t>
            </w:r>
            <w:r w:rsidR="006B38D0" w:rsidRPr="006B38D0">
              <w:rPr>
                <w:rFonts w:ascii="Arial Narrow" w:hAnsi="Arial Narrow" w:cs="Calibri"/>
                <w:sz w:val="18"/>
                <w:szCs w:val="18"/>
              </w:rPr>
              <w:t>reduced compare</w:t>
            </w:r>
            <w:r w:rsidR="006B38D0">
              <w:rPr>
                <w:rFonts w:ascii="Arial Narrow" w:hAnsi="Arial Narrow" w:cs="Calibri"/>
                <w:sz w:val="18"/>
                <w:szCs w:val="18"/>
              </w:rPr>
              <w:t xml:space="preserve">d with baseline (diffuse uptake </w:t>
            </w:r>
            <w:r w:rsidR="006B38D0" w:rsidRPr="006B38D0">
              <w:rPr>
                <w:rFonts w:ascii="Arial Narrow" w:hAnsi="Arial Narrow" w:cs="Calibri"/>
                <w:sz w:val="18"/>
                <w:szCs w:val="18"/>
              </w:rPr>
              <w:t>compatible with rea</w:t>
            </w:r>
            <w:r w:rsidR="006B38D0">
              <w:rPr>
                <w:rFonts w:ascii="Arial Narrow" w:hAnsi="Arial Narrow" w:cs="Calibri"/>
                <w:sz w:val="18"/>
                <w:szCs w:val="18"/>
              </w:rPr>
              <w:t xml:space="preserve">ctive changes from chemotherapy </w:t>
            </w:r>
            <w:r w:rsidR="006B38D0" w:rsidRPr="006B38D0">
              <w:rPr>
                <w:rFonts w:ascii="Arial Narrow" w:hAnsi="Arial Narrow" w:cs="Calibri"/>
                <w:sz w:val="18"/>
                <w:szCs w:val="18"/>
              </w:rPr>
              <w:t xml:space="preserve">allowed). If there are </w:t>
            </w:r>
            <w:r w:rsidR="006B38D0">
              <w:rPr>
                <w:rFonts w:ascii="Arial Narrow" w:hAnsi="Arial Narrow" w:cs="Calibri"/>
                <w:sz w:val="18"/>
                <w:szCs w:val="18"/>
              </w:rPr>
              <w:t xml:space="preserve">persistent focal changes in the </w:t>
            </w:r>
            <w:r w:rsidR="006B38D0" w:rsidRPr="006B38D0">
              <w:rPr>
                <w:rFonts w:ascii="Arial Narrow" w:hAnsi="Arial Narrow" w:cs="Calibri"/>
                <w:sz w:val="18"/>
                <w:szCs w:val="18"/>
              </w:rPr>
              <w:t xml:space="preserve">marrow in the context of </w:t>
            </w:r>
            <w:r w:rsidR="006B38D0">
              <w:rPr>
                <w:rFonts w:ascii="Arial Narrow" w:hAnsi="Arial Narrow" w:cs="Calibri"/>
                <w:sz w:val="18"/>
                <w:szCs w:val="18"/>
              </w:rPr>
              <w:t xml:space="preserve">a nodal response, consideration </w:t>
            </w:r>
            <w:r w:rsidR="006B38D0" w:rsidRPr="006B38D0">
              <w:rPr>
                <w:rFonts w:ascii="Arial Narrow" w:hAnsi="Arial Narrow" w:cs="Calibri"/>
                <w:sz w:val="18"/>
                <w:szCs w:val="18"/>
              </w:rPr>
              <w:t>should be given to furthe</w:t>
            </w:r>
            <w:r w:rsidR="006B38D0">
              <w:rPr>
                <w:rFonts w:ascii="Arial Narrow" w:hAnsi="Arial Narrow" w:cs="Calibri"/>
                <w:sz w:val="18"/>
                <w:szCs w:val="18"/>
              </w:rPr>
              <w:t xml:space="preserve">r evaluation with MRI or biopsy </w:t>
            </w:r>
            <w:r w:rsidR="006B38D0" w:rsidRPr="006B38D0">
              <w:rPr>
                <w:rFonts w:ascii="Arial Narrow" w:hAnsi="Arial Narrow" w:cs="Calibri"/>
                <w:snapToGrid w:val="0"/>
                <w:sz w:val="18"/>
                <w:szCs w:val="18"/>
              </w:rPr>
              <w:t>or an interval scan</w:t>
            </w:r>
            <w:r w:rsidR="006B38D0">
              <w:rPr>
                <w:rFonts w:ascii="Arial Narrow" w:hAnsi="Arial Narrow" w:cs="Calibri"/>
                <w:snapToGrid w:val="0"/>
                <w:sz w:val="18"/>
                <w:szCs w:val="18"/>
              </w:rPr>
              <w:t xml:space="preserve">. </w:t>
            </w:r>
          </w:p>
          <w:p w:rsidR="007B720F" w:rsidRPr="006B38D0" w:rsidRDefault="007B720F" w:rsidP="007B720F">
            <w:pPr>
              <w:autoSpaceDE w:val="0"/>
              <w:autoSpaceDN w:val="0"/>
              <w:adjustRightInd w:val="0"/>
              <w:jc w:val="left"/>
              <w:rPr>
                <w:rFonts w:ascii="Arial Narrow" w:hAnsi="Arial Narrow" w:cs="Calibri"/>
                <w:sz w:val="18"/>
                <w:szCs w:val="18"/>
              </w:rPr>
            </w:pPr>
            <w:r w:rsidRPr="008E3F1A">
              <w:rPr>
                <w:rFonts w:ascii="Arial Narrow" w:hAnsi="Arial Narrow" w:cs="Calibri"/>
                <w:sz w:val="18"/>
                <w:szCs w:val="18"/>
              </w:rPr>
              <w:t>(b) Computed tomography-based response</w:t>
            </w:r>
            <w:r>
              <w:rPr>
                <w:rFonts w:ascii="Arial Narrow" w:hAnsi="Arial Narrow" w:cs="Calibri"/>
                <w:sz w:val="18"/>
                <w:szCs w:val="18"/>
              </w:rPr>
              <w:t xml:space="preserve">: lymph nodes and extralymphatic sites - </w:t>
            </w:r>
            <w:r w:rsidRPr="008E3F1A">
              <w:rPr>
                <w:rFonts w:ascii="Arial Narrow" w:hAnsi="Arial Narrow" w:cs="Calibri"/>
                <w:sz w:val="18"/>
                <w:szCs w:val="18"/>
              </w:rPr>
              <w:t xml:space="preserve"> </w:t>
            </w:r>
            <w:r>
              <w:rPr>
                <w:rFonts w:ascii="Arial Narrow" w:hAnsi="Arial Narrow" w:cs="Calibri"/>
                <w:sz w:val="18"/>
                <w:szCs w:val="18"/>
              </w:rPr>
              <w:t>≥</w:t>
            </w:r>
            <w:r w:rsidRPr="008E3F1A">
              <w:rPr>
                <w:rFonts w:ascii="Arial Narrow" w:hAnsi="Arial Narrow" w:cs="Calibri"/>
                <w:sz w:val="18"/>
                <w:szCs w:val="18"/>
              </w:rPr>
              <w:t>50% decrease in the sum of the product of the perpendicular diameters for multiple lesions, of up to six (6) target measurable nodes and extranodal sites</w:t>
            </w:r>
            <w:r>
              <w:rPr>
                <w:rFonts w:ascii="Arial Narrow" w:hAnsi="Arial Narrow" w:cs="Calibri"/>
                <w:sz w:val="18"/>
                <w:szCs w:val="18"/>
              </w:rPr>
              <w:t xml:space="preserve">; non-measured lesions – absent/normal, regressed but no increase; new lesions – none; bone marrow – not applicable. </w:t>
            </w:r>
          </w:p>
          <w:p w:rsidR="007B720F" w:rsidRPr="008E3F1A" w:rsidRDefault="007B720F" w:rsidP="006B38D0">
            <w:pPr>
              <w:autoSpaceDE w:val="0"/>
              <w:autoSpaceDN w:val="0"/>
              <w:adjustRightInd w:val="0"/>
              <w:jc w:val="left"/>
              <w:rPr>
                <w:rFonts w:ascii="Arial Narrow" w:hAnsi="Arial Narrow" w:cs="Calibri"/>
                <w:sz w:val="18"/>
                <w:szCs w:val="18"/>
              </w:rPr>
            </w:pPr>
          </w:p>
        </w:tc>
      </w:tr>
      <w:tr w:rsidR="006646EB" w:rsidRPr="008E3F1A" w:rsidTr="000345C6">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rsidR="006646EB" w:rsidRPr="008E3F1A" w:rsidRDefault="006646EB" w:rsidP="006B38D0">
            <w:pPr>
              <w:jc w:val="center"/>
              <w:rPr>
                <w:rFonts w:ascii="Arial Narrow" w:hAnsi="Arial Narrow"/>
                <w:color w:val="333333"/>
                <w:sz w:val="18"/>
                <w:szCs w:val="18"/>
              </w:rPr>
            </w:pPr>
          </w:p>
        </w:tc>
        <w:tc>
          <w:tcPr>
            <w:tcW w:w="8079" w:type="dxa"/>
            <w:gridSpan w:val="5"/>
            <w:vAlign w:val="center"/>
            <w:hideMark/>
          </w:tcPr>
          <w:p w:rsidR="006646EB" w:rsidRPr="008E3F1A" w:rsidRDefault="006646EB" w:rsidP="006B38D0">
            <w:pPr>
              <w:rPr>
                <w:rFonts w:ascii="Arial Narrow" w:hAnsi="Arial Narrow"/>
                <w:b/>
                <w:bCs/>
                <w:color w:val="333333"/>
                <w:sz w:val="18"/>
                <w:szCs w:val="18"/>
              </w:rPr>
            </w:pPr>
            <w:r w:rsidRPr="008E3F1A">
              <w:rPr>
                <w:rFonts w:ascii="Arial Narrow" w:hAnsi="Arial Narrow"/>
                <w:b/>
                <w:bCs/>
                <w:color w:val="333333"/>
                <w:sz w:val="18"/>
                <w:szCs w:val="18"/>
              </w:rPr>
              <w:t xml:space="preserve">Prescribing Instructions: </w:t>
            </w:r>
          </w:p>
          <w:p w:rsidR="006646EB" w:rsidRPr="008E3F1A" w:rsidRDefault="006646EB" w:rsidP="006B38D0">
            <w:pPr>
              <w:rPr>
                <w:rFonts w:ascii="Arial Narrow" w:hAnsi="Arial Narrow"/>
                <w:color w:val="333333"/>
                <w:sz w:val="18"/>
                <w:szCs w:val="18"/>
              </w:rPr>
            </w:pPr>
            <w:r w:rsidRPr="008E3F1A">
              <w:rPr>
                <w:rFonts w:ascii="Arial Narrow" w:hAnsi="Arial Narrow"/>
                <w:sz w:val="18"/>
                <w:szCs w:val="18"/>
              </w:rPr>
              <w:t>Applications for autho</w:t>
            </w:r>
            <w:r w:rsidR="006B38D0" w:rsidRPr="008E3F1A">
              <w:rPr>
                <w:rFonts w:ascii="Arial Narrow" w:hAnsi="Arial Narrow"/>
                <w:sz w:val="18"/>
                <w:szCs w:val="18"/>
              </w:rPr>
              <w:t xml:space="preserve"> </w:t>
            </w:r>
            <w:r w:rsidRPr="008E3F1A">
              <w:rPr>
                <w:rFonts w:ascii="Arial Narrow" w:hAnsi="Arial Narrow"/>
                <w:sz w:val="18"/>
                <w:szCs w:val="18"/>
              </w:rPr>
              <w:t>risation under this restriction may be made in real time using the Online PBS Authorities system (see www.servicesaustralia.gov.au/HPOS) or by telephone by contacting Services Australia on 1800 700 270 (hours of operation 8 a.m. to 5 p.m. EST Monday to Friday).</w:t>
            </w:r>
            <w:r w:rsidRPr="008E3F1A">
              <w:rPr>
                <w:rFonts w:ascii="Arial Narrow" w:hAnsi="Arial Narrow"/>
                <w:color w:val="333333"/>
                <w:sz w:val="18"/>
                <w:szCs w:val="18"/>
              </w:rPr>
              <w:t xml:space="preserve"> </w:t>
            </w:r>
          </w:p>
        </w:tc>
      </w:tr>
      <w:tr w:rsidR="006646EB" w:rsidRPr="008E3F1A" w:rsidTr="000345C6">
        <w:tblPrEx>
          <w:tblCellMar>
            <w:top w:w="15" w:type="dxa"/>
            <w:left w:w="15" w:type="dxa"/>
            <w:bottom w:w="15" w:type="dxa"/>
            <w:right w:w="15" w:type="dxa"/>
          </w:tblCellMar>
          <w:tblLook w:val="04A0" w:firstRow="1" w:lastRow="0" w:firstColumn="1" w:lastColumn="0" w:noHBand="0" w:noVBand="1"/>
        </w:tblPrEx>
        <w:tc>
          <w:tcPr>
            <w:tcW w:w="988" w:type="dxa"/>
            <w:gridSpan w:val="2"/>
            <w:tcBorders>
              <w:top w:val="single" w:sz="4" w:space="0" w:color="auto"/>
              <w:left w:val="single" w:sz="4" w:space="0" w:color="auto"/>
              <w:bottom w:val="single" w:sz="4" w:space="0" w:color="auto"/>
              <w:right w:val="single" w:sz="4" w:space="0" w:color="auto"/>
            </w:tcBorders>
            <w:vAlign w:val="center"/>
          </w:tcPr>
          <w:p w:rsidR="006646EB" w:rsidRPr="008E3F1A" w:rsidRDefault="006646EB" w:rsidP="000E60E7">
            <w:pPr>
              <w:jc w:val="center"/>
              <w:rPr>
                <w:rFonts w:ascii="Arial Narrow" w:hAnsi="Arial Narrow"/>
                <w:color w:val="333333"/>
                <w:sz w:val="18"/>
                <w:szCs w:val="18"/>
              </w:rPr>
            </w:pPr>
          </w:p>
        </w:tc>
        <w:tc>
          <w:tcPr>
            <w:tcW w:w="8079" w:type="dxa"/>
            <w:gridSpan w:val="5"/>
            <w:tcBorders>
              <w:top w:val="single" w:sz="4" w:space="0" w:color="auto"/>
              <w:left w:val="single" w:sz="4" w:space="0" w:color="auto"/>
              <w:bottom w:val="single" w:sz="4" w:space="0" w:color="auto"/>
              <w:right w:val="single" w:sz="4" w:space="0" w:color="auto"/>
            </w:tcBorders>
            <w:vAlign w:val="center"/>
            <w:hideMark/>
          </w:tcPr>
          <w:p w:rsidR="006646EB" w:rsidRPr="008E3F1A" w:rsidRDefault="006646EB" w:rsidP="000E60E7">
            <w:pPr>
              <w:rPr>
                <w:rFonts w:ascii="Arial Narrow" w:hAnsi="Arial Narrow"/>
                <w:b/>
                <w:bCs/>
                <w:color w:val="333333"/>
                <w:sz w:val="18"/>
                <w:szCs w:val="18"/>
              </w:rPr>
            </w:pPr>
            <w:r w:rsidRPr="008E3F1A">
              <w:rPr>
                <w:rFonts w:ascii="Arial Narrow" w:hAnsi="Arial Narrow"/>
                <w:b/>
                <w:bCs/>
                <w:color w:val="333333"/>
                <w:sz w:val="18"/>
                <w:szCs w:val="18"/>
              </w:rPr>
              <w:t xml:space="preserve">Administrative Advice: </w:t>
            </w:r>
            <w:r w:rsidRPr="008E3F1A">
              <w:rPr>
                <w:rFonts w:ascii="Arial Narrow" w:hAnsi="Arial Narrow"/>
                <w:bCs/>
                <w:color w:val="333333"/>
                <w:sz w:val="18"/>
                <w:szCs w:val="18"/>
              </w:rPr>
              <w:t xml:space="preserve">This product is not PBS-subsidised for the treatment of </w:t>
            </w:r>
            <w:r w:rsidR="00371E1E" w:rsidRPr="008E3F1A">
              <w:rPr>
                <w:rFonts w:ascii="Arial Narrow" w:hAnsi="Arial Narrow"/>
                <w:bCs/>
                <w:color w:val="333333"/>
                <w:sz w:val="18"/>
                <w:szCs w:val="18"/>
              </w:rPr>
              <w:t xml:space="preserve">previously untreated </w:t>
            </w:r>
            <w:r w:rsidRPr="008E3F1A">
              <w:rPr>
                <w:rFonts w:ascii="Arial Narrow" w:hAnsi="Arial Narrow"/>
                <w:bCs/>
                <w:color w:val="333333"/>
                <w:sz w:val="18"/>
                <w:szCs w:val="18"/>
              </w:rPr>
              <w:t>CD30 positive cutaneous T-cell lymphoma.</w:t>
            </w:r>
          </w:p>
        </w:tc>
      </w:tr>
    </w:tbl>
    <w:p w:rsidR="006646EB" w:rsidRPr="008E3F1A" w:rsidRDefault="006646EB" w:rsidP="006646EB">
      <w:pPr>
        <w:pStyle w:val="NormalWeb"/>
        <w:spacing w:before="0" w:after="0"/>
        <w:rPr>
          <w:rFonts w:ascii="Arial Narrow" w:hAnsi="Arial Narrow" w:cs="Calibri"/>
          <w:i/>
          <w:iCs/>
          <w:sz w:val="18"/>
          <w:szCs w:val="18"/>
          <w:lang w:val="en-AU"/>
        </w:rPr>
      </w:pPr>
    </w:p>
    <w:p w:rsidR="00C97C33" w:rsidRDefault="00C97C33" w:rsidP="00C97C33">
      <w:pPr>
        <w:pStyle w:val="3-BodyText"/>
      </w:pPr>
      <w:r w:rsidRPr="008E3F1A">
        <w:t xml:space="preserve">Flow on changes to brentuximab vedotin listing for CD30 positive systemic anaplastic large cell lymphoma as outlined in </w:t>
      </w:r>
      <w:r w:rsidR="00157939" w:rsidRPr="008E3F1A">
        <w:t>paragraph 7.14</w:t>
      </w:r>
      <w:r w:rsidRPr="008E3F1A">
        <w:t xml:space="preserve">. </w:t>
      </w:r>
    </w:p>
    <w:p w:rsidR="004B0A70" w:rsidRPr="004B0A70" w:rsidRDefault="004B0A70" w:rsidP="004B0A70">
      <w:pPr>
        <w:widowControl w:val="0"/>
        <w:spacing w:after="120"/>
        <w:ind w:firstLine="720"/>
        <w:rPr>
          <w:rFonts w:asciiTheme="minorHAnsi" w:hAnsiTheme="minorHAnsi"/>
          <w:bCs/>
          <w:snapToGrid w:val="0"/>
        </w:rPr>
      </w:pPr>
      <w:r w:rsidRPr="004B0A70">
        <w:rPr>
          <w:rFonts w:asciiTheme="minorHAnsi" w:hAnsiTheme="minorHAnsi"/>
          <w:bCs/>
          <w:snapToGrid w:val="0"/>
        </w:rPr>
        <w:t>Add the following to Initial treatment restriction</w:t>
      </w:r>
      <w:r>
        <w:rPr>
          <w:rFonts w:asciiTheme="minorHAnsi" w:hAnsiTheme="minorHAnsi"/>
          <w:bCs/>
          <w:snapToGrid w:val="0"/>
        </w:rPr>
        <w:t xml:space="preserve"> (10166C, 10172J)</w:t>
      </w:r>
      <w:r w:rsidRPr="004B0A70">
        <w:rPr>
          <w:rFonts w:asciiTheme="minorHAnsi" w:hAnsiTheme="minorHAnsi"/>
          <w:bCs/>
          <w:snapToGrid w:val="0"/>
        </w:rPr>
        <w:t xml:space="preserve">: </w:t>
      </w:r>
    </w:p>
    <w:tbl>
      <w:tblPr>
        <w:tblW w:w="5000" w:type="pct"/>
        <w:tblLook w:val="0000" w:firstRow="0" w:lastRow="0" w:firstColumn="0" w:lastColumn="0" w:noHBand="0" w:noVBand="0"/>
      </w:tblPr>
      <w:tblGrid>
        <w:gridCol w:w="703"/>
        <w:gridCol w:w="8314"/>
      </w:tblGrid>
      <w:tr w:rsidR="004B0A70" w:rsidRPr="006D79B3" w:rsidTr="003C5B8D">
        <w:trPr>
          <w:trHeight w:val="63"/>
        </w:trPr>
        <w:tc>
          <w:tcPr>
            <w:tcW w:w="390" w:type="pct"/>
            <w:tcBorders>
              <w:top w:val="single" w:sz="4" w:space="0" w:color="auto"/>
              <w:left w:val="single" w:sz="4" w:space="0" w:color="auto"/>
              <w:bottom w:val="single" w:sz="4" w:space="0" w:color="auto"/>
              <w:right w:val="single" w:sz="4" w:space="0" w:color="auto"/>
            </w:tcBorders>
            <w:vAlign w:val="center"/>
          </w:tcPr>
          <w:p w:rsidR="004B0A70" w:rsidRPr="0091734E" w:rsidRDefault="004B0A70" w:rsidP="003C5B8D">
            <w:pPr>
              <w:keepNext/>
              <w:jc w:val="center"/>
              <w:rPr>
                <w:rFonts w:ascii="Arial Narrow" w:hAnsi="Arial Narrow" w:cstheme="minorHAnsi"/>
                <w:i/>
                <w:sz w:val="18"/>
                <w:szCs w:val="18"/>
              </w:rPr>
            </w:pPr>
          </w:p>
        </w:tc>
        <w:tc>
          <w:tcPr>
            <w:tcW w:w="4610" w:type="pct"/>
            <w:tcBorders>
              <w:top w:val="single" w:sz="4" w:space="0" w:color="auto"/>
              <w:left w:val="single" w:sz="4" w:space="0" w:color="auto"/>
              <w:bottom w:val="single" w:sz="4" w:space="0" w:color="auto"/>
              <w:right w:val="single" w:sz="4" w:space="0" w:color="auto"/>
            </w:tcBorders>
          </w:tcPr>
          <w:p w:rsidR="004B0A70" w:rsidRPr="0091734E" w:rsidRDefault="004B0A70" w:rsidP="003C5B8D">
            <w:pPr>
              <w:keepNext/>
              <w:rPr>
                <w:rFonts w:ascii="Arial Narrow" w:hAnsi="Arial Narrow" w:cstheme="minorHAnsi"/>
                <w:i/>
                <w:sz w:val="18"/>
                <w:szCs w:val="18"/>
              </w:rPr>
            </w:pPr>
            <w:r w:rsidRPr="0091734E">
              <w:rPr>
                <w:rFonts w:ascii="Arial Narrow" w:hAnsi="Arial Narrow"/>
                <w:b/>
                <w:bCs/>
                <w:i/>
                <w:sz w:val="18"/>
                <w:szCs w:val="18"/>
              </w:rPr>
              <w:t>Clinical criteria:</w:t>
            </w:r>
          </w:p>
        </w:tc>
      </w:tr>
      <w:tr w:rsidR="004B0A70" w:rsidRPr="0006747A" w:rsidTr="003C5B8D">
        <w:trPr>
          <w:trHeight w:val="63"/>
        </w:trPr>
        <w:tc>
          <w:tcPr>
            <w:tcW w:w="390" w:type="pct"/>
            <w:tcBorders>
              <w:top w:val="single" w:sz="4" w:space="0" w:color="auto"/>
              <w:left w:val="single" w:sz="4" w:space="0" w:color="auto"/>
              <w:bottom w:val="single" w:sz="4" w:space="0" w:color="auto"/>
              <w:right w:val="single" w:sz="4" w:space="0" w:color="auto"/>
            </w:tcBorders>
            <w:vAlign w:val="center"/>
          </w:tcPr>
          <w:p w:rsidR="004B0A70" w:rsidRPr="0091734E" w:rsidRDefault="004B0A70" w:rsidP="003C5B8D">
            <w:pPr>
              <w:keepNext/>
              <w:jc w:val="center"/>
              <w:rPr>
                <w:rFonts w:ascii="Arial Narrow" w:hAnsi="Arial Narrow" w:cstheme="minorHAnsi"/>
                <w:i/>
                <w:sz w:val="18"/>
                <w:szCs w:val="18"/>
              </w:rPr>
            </w:pPr>
          </w:p>
        </w:tc>
        <w:tc>
          <w:tcPr>
            <w:tcW w:w="4610" w:type="pct"/>
            <w:tcBorders>
              <w:top w:val="single" w:sz="4" w:space="0" w:color="auto"/>
              <w:left w:val="single" w:sz="4" w:space="0" w:color="auto"/>
              <w:bottom w:val="single" w:sz="4" w:space="0" w:color="auto"/>
              <w:right w:val="single" w:sz="4" w:space="0" w:color="auto"/>
            </w:tcBorders>
          </w:tcPr>
          <w:p w:rsidR="004B0A70" w:rsidRPr="0091734E" w:rsidRDefault="004B0A70" w:rsidP="003C5B8D">
            <w:pPr>
              <w:keepNext/>
              <w:rPr>
                <w:rFonts w:ascii="Arial Narrow" w:hAnsi="Arial Narrow" w:cstheme="minorHAnsi"/>
                <w:i/>
                <w:sz w:val="18"/>
                <w:szCs w:val="18"/>
              </w:rPr>
            </w:pPr>
            <w:r>
              <w:rPr>
                <w:rFonts w:ascii="Arial Narrow" w:hAnsi="Arial Narrow" w:cstheme="minorHAnsi"/>
                <w:i/>
                <w:sz w:val="18"/>
                <w:szCs w:val="18"/>
              </w:rPr>
              <w:t xml:space="preserve">Patient must have responded to PBS-subsidised treatment with this drug if </w:t>
            </w:r>
            <w:r w:rsidR="00715FDD">
              <w:rPr>
                <w:rFonts w:ascii="Arial Narrow" w:hAnsi="Arial Narrow" w:cstheme="minorHAnsi"/>
                <w:i/>
                <w:sz w:val="18"/>
                <w:szCs w:val="18"/>
              </w:rPr>
              <w:t xml:space="preserve">previously </w:t>
            </w:r>
            <w:r>
              <w:rPr>
                <w:rFonts w:ascii="Arial Narrow" w:hAnsi="Arial Narrow" w:cstheme="minorHAnsi"/>
                <w:i/>
                <w:sz w:val="18"/>
                <w:szCs w:val="18"/>
              </w:rPr>
              <w:t>used for</w:t>
            </w:r>
            <w:r w:rsidR="00715FDD">
              <w:rPr>
                <w:rFonts w:ascii="Arial Narrow" w:hAnsi="Arial Narrow" w:cstheme="minorHAnsi"/>
                <w:i/>
                <w:sz w:val="18"/>
                <w:szCs w:val="18"/>
              </w:rPr>
              <w:t xml:space="preserve"> initial treatment of</w:t>
            </w:r>
            <w:r>
              <w:rPr>
                <w:rFonts w:ascii="Arial Narrow" w:hAnsi="Arial Narrow" w:cstheme="minorHAnsi"/>
                <w:i/>
                <w:sz w:val="18"/>
                <w:szCs w:val="18"/>
              </w:rPr>
              <w:t xml:space="preserve"> CD30 positive peripheral T-cell lymphoma, non-cutaneous type.</w:t>
            </w:r>
          </w:p>
        </w:tc>
      </w:tr>
    </w:tbl>
    <w:p w:rsidR="00C97C33" w:rsidRDefault="00C97C33" w:rsidP="00C97C33">
      <w:pPr>
        <w:jc w:val="left"/>
        <w:rPr>
          <w:rFonts w:cs="Times New Roman"/>
          <w:b/>
          <w:bCs/>
          <w:i/>
        </w:rPr>
      </w:pPr>
    </w:p>
    <w:p w:rsidR="004B0A70" w:rsidRPr="0091734E" w:rsidRDefault="004B0A70" w:rsidP="004B0A70">
      <w:pPr>
        <w:spacing w:after="120"/>
        <w:ind w:firstLine="720"/>
        <w:rPr>
          <w:rFonts w:asciiTheme="minorHAnsi" w:hAnsiTheme="minorHAnsi"/>
          <w:snapToGrid w:val="0"/>
          <w:sz w:val="23"/>
          <w:szCs w:val="23"/>
        </w:rPr>
      </w:pPr>
      <w:r w:rsidRPr="0091734E">
        <w:rPr>
          <w:rFonts w:asciiTheme="minorHAnsi" w:hAnsiTheme="minorHAnsi"/>
          <w:snapToGrid w:val="0"/>
          <w:sz w:val="23"/>
          <w:szCs w:val="23"/>
        </w:rPr>
        <w:t>Make the following changes to the Continuing treatment</w:t>
      </w:r>
      <w:r>
        <w:rPr>
          <w:rFonts w:asciiTheme="minorHAnsi" w:hAnsiTheme="minorHAnsi"/>
          <w:snapToGrid w:val="0"/>
          <w:sz w:val="23"/>
          <w:szCs w:val="23"/>
        </w:rPr>
        <w:t xml:space="preserve"> (</w:t>
      </w:r>
      <w:r w:rsidR="003808F1">
        <w:rPr>
          <w:rFonts w:asciiTheme="minorHAnsi" w:hAnsiTheme="minorHAnsi"/>
          <w:snapToGrid w:val="0"/>
          <w:sz w:val="23"/>
          <w:szCs w:val="23"/>
        </w:rPr>
        <w:t>10171H, 10180T)</w:t>
      </w:r>
      <w:r w:rsidRPr="0091734E">
        <w:rPr>
          <w:rFonts w:asciiTheme="minorHAnsi" w:hAnsiTheme="minorHAnsi"/>
          <w:snapToGrid w:val="0"/>
          <w:sz w:val="23"/>
          <w:szCs w:val="23"/>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50"/>
        <w:gridCol w:w="8267"/>
      </w:tblGrid>
      <w:tr w:rsidR="004B0A70" w:rsidRPr="0091734E" w:rsidTr="003C5B8D">
        <w:tc>
          <w:tcPr>
            <w:tcW w:w="416" w:type="pct"/>
            <w:vAlign w:val="center"/>
            <w:hideMark/>
          </w:tcPr>
          <w:p w:rsidR="004B0A70" w:rsidRPr="0091734E" w:rsidRDefault="004B0A70" w:rsidP="003C5B8D">
            <w:pPr>
              <w:spacing w:before="100" w:beforeAutospacing="1" w:after="100" w:afterAutospacing="1"/>
              <w:jc w:val="left"/>
              <w:rPr>
                <w:rFonts w:ascii="Arial Narrow" w:hAnsi="Arial Narrow" w:cs="Times New Roman"/>
                <w:strike/>
                <w:color w:val="333333"/>
                <w:sz w:val="18"/>
                <w:szCs w:val="18"/>
              </w:rPr>
            </w:pPr>
          </w:p>
        </w:tc>
        <w:tc>
          <w:tcPr>
            <w:tcW w:w="4584" w:type="pct"/>
            <w:vAlign w:val="center"/>
            <w:hideMark/>
          </w:tcPr>
          <w:p w:rsidR="004B0A70" w:rsidRPr="0091734E" w:rsidRDefault="004B0A70" w:rsidP="003C5B8D">
            <w:pPr>
              <w:spacing w:before="100" w:beforeAutospacing="1" w:after="100" w:afterAutospacing="1"/>
              <w:jc w:val="left"/>
              <w:rPr>
                <w:rFonts w:ascii="Arial Narrow" w:hAnsi="Arial Narrow" w:cs="Times New Roman"/>
                <w:strike/>
                <w:color w:val="333333"/>
                <w:sz w:val="18"/>
                <w:szCs w:val="18"/>
              </w:rPr>
            </w:pPr>
            <w:r>
              <w:rPr>
                <w:rFonts w:ascii="Arial Narrow" w:hAnsi="Arial Narrow" w:cs="Times New Roman"/>
                <w:b/>
                <w:bCs/>
                <w:strike/>
                <w:color w:val="333333"/>
                <w:sz w:val="18"/>
                <w:szCs w:val="18"/>
              </w:rPr>
              <w:t>Prescribing instructions</w:t>
            </w:r>
          </w:p>
        </w:tc>
      </w:tr>
      <w:tr w:rsidR="004B0A70" w:rsidRPr="0091734E" w:rsidTr="003C5B8D">
        <w:tc>
          <w:tcPr>
            <w:tcW w:w="416" w:type="pct"/>
            <w:vAlign w:val="center"/>
            <w:hideMark/>
          </w:tcPr>
          <w:p w:rsidR="004B0A70" w:rsidRPr="0091734E" w:rsidRDefault="004B0A70" w:rsidP="003C5B8D">
            <w:pPr>
              <w:spacing w:before="100" w:beforeAutospacing="1" w:after="100" w:afterAutospacing="1"/>
              <w:jc w:val="left"/>
              <w:rPr>
                <w:rFonts w:ascii="Arial Narrow" w:hAnsi="Arial Narrow" w:cs="Times New Roman"/>
                <w:strike/>
                <w:color w:val="333333"/>
                <w:sz w:val="18"/>
                <w:szCs w:val="18"/>
              </w:rPr>
            </w:pPr>
          </w:p>
        </w:tc>
        <w:tc>
          <w:tcPr>
            <w:tcW w:w="4584" w:type="pct"/>
            <w:vAlign w:val="center"/>
            <w:hideMark/>
          </w:tcPr>
          <w:p w:rsidR="004B0A70" w:rsidRPr="004B0A70" w:rsidRDefault="004B0A70" w:rsidP="004B0A70">
            <w:pPr>
              <w:spacing w:before="100" w:beforeAutospacing="1" w:after="100" w:afterAutospacing="1"/>
              <w:jc w:val="left"/>
              <w:rPr>
                <w:rFonts w:ascii="Arial Narrow" w:hAnsi="Arial Narrow" w:cs="Times New Roman"/>
                <w:strike/>
                <w:color w:val="333333"/>
                <w:sz w:val="18"/>
                <w:szCs w:val="18"/>
              </w:rPr>
            </w:pPr>
            <w:r w:rsidRPr="004B0A70">
              <w:rPr>
                <w:rFonts w:ascii="Arial Narrow" w:hAnsi="Arial Narrow" w:cs="Times New Roman"/>
                <w:bCs/>
                <w:strike/>
                <w:color w:val="333333"/>
                <w:sz w:val="18"/>
                <w:szCs w:val="18"/>
              </w:rPr>
              <w:t>The treatment must not exceed a lifetime total of 16 cycles</w:t>
            </w:r>
          </w:p>
        </w:tc>
      </w:tr>
      <w:tr w:rsidR="004B0A70" w:rsidRPr="0091734E" w:rsidTr="003C5B8D">
        <w:tc>
          <w:tcPr>
            <w:tcW w:w="416" w:type="pct"/>
            <w:vAlign w:val="center"/>
          </w:tcPr>
          <w:p w:rsidR="004B0A70" w:rsidRPr="0091734E" w:rsidRDefault="004B0A70" w:rsidP="003C5B8D">
            <w:pPr>
              <w:spacing w:before="100" w:beforeAutospacing="1" w:after="100" w:afterAutospacing="1"/>
              <w:jc w:val="left"/>
              <w:rPr>
                <w:rFonts w:ascii="Arial Narrow" w:hAnsi="Arial Narrow" w:cs="Times New Roman"/>
                <w:i/>
                <w:color w:val="333333"/>
                <w:sz w:val="18"/>
                <w:szCs w:val="18"/>
              </w:rPr>
            </w:pPr>
          </w:p>
        </w:tc>
        <w:tc>
          <w:tcPr>
            <w:tcW w:w="4584" w:type="pct"/>
          </w:tcPr>
          <w:p w:rsidR="004B0A70" w:rsidRPr="0091734E" w:rsidRDefault="004B0A70" w:rsidP="003C5B8D">
            <w:pPr>
              <w:jc w:val="left"/>
              <w:rPr>
                <w:rFonts w:ascii="Arial Narrow" w:hAnsi="Arial Narrow" w:cs="Times New Roman"/>
                <w:i/>
                <w:color w:val="333333"/>
                <w:sz w:val="18"/>
                <w:szCs w:val="18"/>
              </w:rPr>
            </w:pPr>
            <w:r>
              <w:rPr>
                <w:rFonts w:ascii="Arial Narrow" w:hAnsi="Arial Narrow" w:cstheme="minorHAnsi"/>
                <w:b/>
                <w:i/>
                <w:sz w:val="18"/>
                <w:szCs w:val="18"/>
              </w:rPr>
              <w:t>Prescribing instructions</w:t>
            </w:r>
          </w:p>
        </w:tc>
      </w:tr>
      <w:tr w:rsidR="004B0A70" w:rsidRPr="0091734E" w:rsidTr="003C5B8D">
        <w:tc>
          <w:tcPr>
            <w:tcW w:w="416" w:type="pct"/>
            <w:vAlign w:val="center"/>
          </w:tcPr>
          <w:p w:rsidR="004B0A70" w:rsidRPr="0091734E" w:rsidRDefault="004B0A70" w:rsidP="003C5B8D">
            <w:pPr>
              <w:spacing w:before="100" w:beforeAutospacing="1" w:after="100" w:afterAutospacing="1"/>
              <w:jc w:val="left"/>
              <w:rPr>
                <w:rFonts w:ascii="Arial Narrow" w:hAnsi="Arial Narrow" w:cs="Times New Roman"/>
                <w:i/>
                <w:color w:val="333333"/>
                <w:sz w:val="18"/>
                <w:szCs w:val="18"/>
              </w:rPr>
            </w:pPr>
          </w:p>
        </w:tc>
        <w:tc>
          <w:tcPr>
            <w:tcW w:w="4584" w:type="pct"/>
          </w:tcPr>
          <w:p w:rsidR="004B0A70" w:rsidRPr="003808F1" w:rsidRDefault="003808F1" w:rsidP="003C5B8D">
            <w:pPr>
              <w:jc w:val="left"/>
              <w:rPr>
                <w:rFonts w:ascii="Arial Narrow" w:hAnsi="Arial Narrow" w:cs="Times New Roman"/>
                <w:i/>
                <w:color w:val="333333"/>
                <w:sz w:val="18"/>
                <w:szCs w:val="18"/>
              </w:rPr>
            </w:pPr>
            <w:r w:rsidRPr="003808F1">
              <w:rPr>
                <w:rFonts w:ascii="Arial Narrow" w:hAnsi="Arial Narrow" w:cstheme="minorHAnsi"/>
                <w:i/>
                <w:sz w:val="18"/>
                <w:szCs w:val="18"/>
              </w:rPr>
              <w:t>The treatment must not be more than 12 treatment cycles under this restriction in a lifetime</w:t>
            </w:r>
            <w:r>
              <w:rPr>
                <w:rFonts w:ascii="Arial Narrow" w:hAnsi="Arial Narrow" w:cstheme="minorHAnsi"/>
                <w:i/>
                <w:sz w:val="18"/>
                <w:szCs w:val="18"/>
              </w:rPr>
              <w:t>.</w:t>
            </w:r>
          </w:p>
        </w:tc>
      </w:tr>
    </w:tbl>
    <w:p w:rsidR="004B0A70" w:rsidRPr="008E3F1A" w:rsidRDefault="004B0A70" w:rsidP="00C97C33">
      <w:pPr>
        <w:jc w:val="left"/>
        <w:rPr>
          <w:rFonts w:cs="Times New Roman"/>
          <w:b/>
          <w:bCs/>
          <w:i/>
        </w:rPr>
      </w:pPr>
    </w:p>
    <w:p w:rsidR="0009305F" w:rsidRPr="008E3F1A" w:rsidRDefault="00C97C33" w:rsidP="00AE2579">
      <w:pPr>
        <w:jc w:val="left"/>
        <w:rPr>
          <w:b/>
        </w:rPr>
      </w:pPr>
      <w:r w:rsidRPr="008E3F1A">
        <w:rPr>
          <w:rFonts w:cs="Times New Roman"/>
          <w:b/>
          <w:bCs/>
          <w:i/>
        </w:rPr>
        <w:t>This restriction may be subject to further review. Should there be any changes made to the restriction the Sponsor will be informed.</w:t>
      </w:r>
    </w:p>
    <w:p w:rsidR="0009305F" w:rsidRDefault="0009305F" w:rsidP="0009305F">
      <w:pPr>
        <w:jc w:val="left"/>
        <w:rPr>
          <w:color w:val="3366FF"/>
        </w:rPr>
      </w:pPr>
    </w:p>
    <w:p w:rsidR="000345C6" w:rsidRPr="000345C6" w:rsidRDefault="000345C6" w:rsidP="000345C6">
      <w:pPr>
        <w:keepNext/>
        <w:widowControl w:val="0"/>
        <w:numPr>
          <w:ilvl w:val="0"/>
          <w:numId w:val="1"/>
        </w:numPr>
        <w:spacing w:before="240" w:after="120"/>
        <w:jc w:val="left"/>
        <w:outlineLvl w:val="0"/>
        <w:rPr>
          <w:rFonts w:asciiTheme="minorHAnsi" w:hAnsiTheme="minorHAnsi"/>
          <w:b/>
          <w:snapToGrid w:val="0"/>
          <w:sz w:val="32"/>
          <w:szCs w:val="32"/>
        </w:rPr>
      </w:pPr>
      <w:r w:rsidRPr="000345C6">
        <w:rPr>
          <w:rFonts w:asciiTheme="minorHAnsi" w:hAnsiTheme="minorHAnsi"/>
          <w:b/>
          <w:snapToGrid w:val="0"/>
          <w:sz w:val="32"/>
          <w:szCs w:val="32"/>
        </w:rPr>
        <w:t>Context for Decision</w:t>
      </w:r>
    </w:p>
    <w:p w:rsidR="000345C6" w:rsidRPr="007129F2" w:rsidRDefault="000345C6" w:rsidP="003F2520">
      <w:pPr>
        <w:spacing w:after="120"/>
        <w:ind w:left="720"/>
        <w:rPr>
          <w:bCs/>
          <w:lang w:val="en-GB"/>
        </w:rPr>
      </w:pPr>
      <w:r w:rsidRPr="007129F2">
        <w:rPr>
          <w:bCs/>
          <w:lang w:val="en-GB"/>
        </w:rPr>
        <w:t xml:space="preserve">The PBAC helps decide whether and, if so, how medicines should be subsidised through the Pharmaceutical Benefits Scheme (PBS) in Australia. It considers </w:t>
      </w:r>
      <w:r w:rsidRPr="007129F2">
        <w:rPr>
          <w:bCs/>
          <w:lang w:val="en-GB"/>
        </w:rPr>
        <w:lastRenderedPageBreak/>
        <w:t>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0345C6" w:rsidRPr="000345C6" w:rsidRDefault="000345C6" w:rsidP="000345C6">
      <w:pPr>
        <w:keepNext/>
        <w:widowControl w:val="0"/>
        <w:numPr>
          <w:ilvl w:val="0"/>
          <w:numId w:val="1"/>
        </w:numPr>
        <w:spacing w:before="240" w:after="120"/>
        <w:jc w:val="left"/>
        <w:outlineLvl w:val="0"/>
        <w:rPr>
          <w:rFonts w:asciiTheme="minorHAnsi" w:hAnsiTheme="minorHAnsi"/>
          <w:b/>
          <w:snapToGrid w:val="0"/>
          <w:sz w:val="32"/>
          <w:szCs w:val="32"/>
        </w:rPr>
      </w:pPr>
      <w:r w:rsidRPr="000345C6">
        <w:rPr>
          <w:rFonts w:asciiTheme="minorHAnsi" w:hAnsiTheme="minorHAnsi"/>
          <w:b/>
          <w:snapToGrid w:val="0"/>
          <w:sz w:val="32"/>
          <w:szCs w:val="32"/>
        </w:rPr>
        <w:t>Sponsor’s Comment</w:t>
      </w:r>
    </w:p>
    <w:p w:rsidR="000345C6" w:rsidRPr="008E3F1A" w:rsidRDefault="00515C98" w:rsidP="003F2520">
      <w:pPr>
        <w:ind w:left="720"/>
        <w:jc w:val="left"/>
        <w:rPr>
          <w:color w:val="3366FF"/>
        </w:rPr>
      </w:pPr>
      <w:r w:rsidRPr="00515C98">
        <w:rPr>
          <w:bCs/>
          <w:lang w:val="en-GB"/>
        </w:rPr>
        <w:t xml:space="preserve">Takeda Pharmaceuticals Australia welcomes the PBAC’s decision to recommend ADCETRIS as a front-line treatment for patients with peripheral T-cell lymphoma. We would like to particularly thank the patients, clinicians, and organisation who took time to provide their experience and insight during the evaluation. </w:t>
      </w:r>
    </w:p>
    <w:sectPr w:rsidR="000345C6" w:rsidRPr="008E3F1A" w:rsidSect="00251006">
      <w:headerReference w:type="even" r:id="rId17"/>
      <w:headerReference w:type="default" r:id="rId18"/>
      <w:footerReference w:type="even" r:id="rId19"/>
      <w:footerReference w:type="default" r:id="rId20"/>
      <w:headerReference w:type="first" r:id="rId21"/>
      <w:footerReference w:type="first" r:id="rId22"/>
      <w:pgSz w:w="11907" w:h="16840" w:code="9"/>
      <w:pgMar w:top="1440" w:right="1440" w:bottom="1440" w:left="1440" w:header="1440" w:footer="144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DE4F2E" w16cex:dateUtc="2021-02-22T04:41:00Z"/>
  <w16cex:commentExtensible w16cex:durableId="23DE556B" w16cex:dateUtc="2021-02-22T05:08:00Z"/>
  <w16cex:commentExtensible w16cex:durableId="23DE5449" w16cex:dateUtc="2021-02-22T05:03:00Z"/>
  <w16cex:commentExtensible w16cex:durableId="23DE54DD" w16cex:dateUtc="2021-02-22T05: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185EB13" w16cid:durableId="23DE4F2E"/>
  <w16cid:commentId w16cid:paraId="6B626D5A" w16cid:durableId="23DE556B"/>
  <w16cid:commentId w16cid:paraId="41ED4081" w16cid:durableId="23DE5449"/>
  <w16cid:commentId w16cid:paraId="1E54BD55" w16cid:durableId="23DE54D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2520" w:rsidRDefault="003F2520" w:rsidP="00124A51">
      <w:r>
        <w:separator/>
      </w:r>
    </w:p>
    <w:p w:rsidR="003F2520" w:rsidRDefault="003F2520"/>
  </w:endnote>
  <w:endnote w:type="continuationSeparator" w:id="0">
    <w:p w:rsidR="003F2520" w:rsidRDefault="003F2520" w:rsidP="00124A51">
      <w:r>
        <w:continuationSeparator/>
      </w:r>
    </w:p>
    <w:p w:rsidR="003F2520" w:rsidRDefault="003F25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altName w:val="Leelawadee UI"/>
    <w:panose1 w:val="02020603050405020304"/>
    <w:charset w:val="DE"/>
    <w:family w:val="roman"/>
    <w:notTrueType/>
    <w:pitch w:val="variable"/>
    <w:sig w:usb0="01000000" w:usb1="00000000" w:usb2="00000000" w:usb3="00000000" w:csb0="00010000"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ordia New">
    <w:altName w:val="Microsoft Sans Serif"/>
    <w:panose1 w:val="020B0304020202020204"/>
    <w:charset w:val="DE"/>
    <w:family w:val="roman"/>
    <w:notTrueType/>
    <w:pitch w:val="variable"/>
    <w:sig w:usb0="01000000"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D55" w:rsidRDefault="00891D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D55" w:rsidRDefault="00891D55">
    <w:pPr>
      <w:pStyle w:val="Footer"/>
      <w:jc w:val="center"/>
    </w:pPr>
  </w:p>
  <w:p w:rsidR="00891D55" w:rsidRPr="00C16A99" w:rsidRDefault="00DC3953" w:rsidP="00C16A99">
    <w:pPr>
      <w:pStyle w:val="Footer"/>
      <w:jc w:val="center"/>
      <w:rPr>
        <w:b/>
      </w:rPr>
    </w:pPr>
    <w:sdt>
      <w:sdtPr>
        <w:id w:val="704144360"/>
        <w:docPartObj>
          <w:docPartGallery w:val="Page Numbers (Bottom of Page)"/>
          <w:docPartUnique/>
        </w:docPartObj>
      </w:sdtPr>
      <w:sdtEndPr>
        <w:rPr>
          <w:b/>
          <w:noProof/>
        </w:rPr>
      </w:sdtEndPr>
      <w:sdtContent>
        <w:r w:rsidR="00891D55" w:rsidRPr="00C16A99">
          <w:rPr>
            <w:b/>
          </w:rPr>
          <w:fldChar w:fldCharType="begin"/>
        </w:r>
        <w:r w:rsidR="00891D55" w:rsidRPr="00C16A99">
          <w:rPr>
            <w:b/>
          </w:rPr>
          <w:instrText xml:space="preserve"> PAGE   \* MERGEFORMAT </w:instrText>
        </w:r>
        <w:r w:rsidR="00891D55" w:rsidRPr="00C16A99">
          <w:rPr>
            <w:b/>
          </w:rPr>
          <w:fldChar w:fldCharType="separate"/>
        </w:r>
        <w:r>
          <w:rPr>
            <w:b/>
            <w:noProof/>
          </w:rPr>
          <w:t>1</w:t>
        </w:r>
        <w:r w:rsidR="00891D55" w:rsidRPr="00C16A99">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D55" w:rsidRDefault="00891D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2520" w:rsidRDefault="003F2520" w:rsidP="00124A51">
      <w:r>
        <w:separator/>
      </w:r>
    </w:p>
    <w:p w:rsidR="003F2520" w:rsidRDefault="003F2520"/>
  </w:footnote>
  <w:footnote w:type="continuationSeparator" w:id="0">
    <w:p w:rsidR="003F2520" w:rsidRDefault="003F2520" w:rsidP="00124A51">
      <w:r>
        <w:continuationSeparator/>
      </w:r>
    </w:p>
    <w:p w:rsidR="003F2520" w:rsidRDefault="003F2520"/>
  </w:footnote>
  <w:footnote w:id="1">
    <w:p w:rsidR="00891D55" w:rsidRPr="00ED5789" w:rsidRDefault="00891D55">
      <w:pPr>
        <w:pStyle w:val="FootnoteText"/>
        <w:rPr>
          <w:rFonts w:asciiTheme="minorHAnsi" w:hAnsiTheme="minorHAnsi" w:cstheme="minorHAnsi"/>
        </w:rPr>
      </w:pPr>
      <w:r w:rsidRPr="00ED5789">
        <w:rPr>
          <w:rStyle w:val="FootnoteReference"/>
          <w:rFonts w:asciiTheme="minorHAnsi" w:hAnsiTheme="minorHAnsi" w:cstheme="minorHAnsi"/>
        </w:rPr>
        <w:footnoteRef/>
      </w:r>
      <w:r w:rsidRPr="00ED5789">
        <w:rPr>
          <w:rFonts w:asciiTheme="minorHAnsi" w:hAnsiTheme="minorHAnsi" w:cstheme="minorHAnsi"/>
        </w:rPr>
        <w:t xml:space="preserve"> Cheson, B. D. et al. Recommendations for initial evaluation, staging, and response assessment of Hodgkin and non-Hodgkin lymphoma: the Lugano classification. J Clin Oncol </w:t>
      </w:r>
      <w:r>
        <w:rPr>
          <w:rFonts w:asciiTheme="minorHAnsi" w:hAnsiTheme="minorHAnsi" w:cstheme="minorHAnsi"/>
        </w:rPr>
        <w:t>2014;32: 3059-3068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D55" w:rsidRDefault="00891D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D55" w:rsidRDefault="00891D55" w:rsidP="000345C6">
    <w:pPr>
      <w:tabs>
        <w:tab w:val="center" w:pos="4153"/>
        <w:tab w:val="right" w:pos="8306"/>
      </w:tabs>
      <w:autoSpaceDE w:val="0"/>
      <w:autoSpaceDN w:val="0"/>
      <w:adjustRightInd w:val="0"/>
      <w:ind w:left="360"/>
      <w:jc w:val="center"/>
    </w:pPr>
    <w:r>
      <w:rPr>
        <w:rFonts w:asciiTheme="minorHAnsi" w:hAnsiTheme="minorHAnsi" w:cstheme="minorHAnsi"/>
        <w:i/>
        <w:iCs/>
      </w:rPr>
      <w:t xml:space="preserve">Public Summary Document </w:t>
    </w:r>
    <w:r w:rsidRPr="003D5557">
      <w:rPr>
        <w:rFonts w:asciiTheme="minorHAnsi" w:hAnsiTheme="minorHAnsi" w:cstheme="minorHAnsi"/>
        <w:i/>
        <w:iCs/>
      </w:rPr>
      <w:t>– March 2021 PBAC Meeting</w:t>
    </w:r>
  </w:p>
  <w:p w:rsidR="00891D55" w:rsidRDefault="00891D55"/>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D55" w:rsidRDefault="00891D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276996"/>
    <w:multiLevelType w:val="multilevel"/>
    <w:tmpl w:val="8A16F4FC"/>
    <w:lvl w:ilvl="0">
      <w:start w:val="1"/>
      <w:numFmt w:val="decimal"/>
      <w:lvlText w:val="%1"/>
      <w:lvlJc w:val="left"/>
      <w:pPr>
        <w:ind w:left="720" w:hanging="720"/>
      </w:pPr>
      <w:rPr>
        <w:rFonts w:hint="default"/>
        <w:b/>
      </w:rPr>
    </w:lvl>
    <w:lvl w:ilvl="1">
      <w:start w:val="1"/>
      <w:numFmt w:val="bullet"/>
      <w:lvlText w:val=""/>
      <w:lvlJc w:val="left"/>
      <w:pPr>
        <w:ind w:left="117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82793B"/>
    <w:multiLevelType w:val="hybridMultilevel"/>
    <w:tmpl w:val="506833A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5CA6E5C"/>
    <w:multiLevelType w:val="hybridMultilevel"/>
    <w:tmpl w:val="48F65404"/>
    <w:lvl w:ilvl="0" w:tplc="4C2804E6">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DDB775C"/>
    <w:multiLevelType w:val="multilevel"/>
    <w:tmpl w:val="2ECCB6E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Wingdings" w:hAnsi="Wingdings" w:cs="Wingding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1D02D9D"/>
    <w:multiLevelType w:val="multilevel"/>
    <w:tmpl w:val="2ECCB6E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Wingdings" w:hAnsi="Wingdings" w:cs="Wingding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8D67A6"/>
    <w:multiLevelType w:val="hybridMultilevel"/>
    <w:tmpl w:val="7E225D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A21791"/>
    <w:multiLevelType w:val="hybridMultilevel"/>
    <w:tmpl w:val="8BF8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F53672A"/>
    <w:multiLevelType w:val="hybridMultilevel"/>
    <w:tmpl w:val="A4B43658"/>
    <w:lvl w:ilvl="0" w:tplc="1788446E">
      <w:start w:val="1"/>
      <w:numFmt w:val="decimal"/>
      <w:lvlText w:val="%1."/>
      <w:lvlJc w:val="left"/>
      <w:pPr>
        <w:ind w:left="1080" w:hanging="360"/>
      </w:pPr>
      <w:rPr>
        <w:i/>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16"/>
  </w:num>
  <w:num w:numId="2">
    <w:abstractNumId w:val="12"/>
  </w:num>
  <w:num w:numId="3">
    <w:abstractNumId w:val="13"/>
  </w:num>
  <w:num w:numId="4">
    <w:abstractNumId w:val="0"/>
  </w:num>
  <w:num w:numId="5">
    <w:abstractNumId w:val="16"/>
  </w:num>
  <w:num w:numId="6">
    <w:abstractNumId w:val="17"/>
  </w:num>
  <w:num w:numId="7">
    <w:abstractNumId w:val="11"/>
  </w:num>
  <w:num w:numId="8">
    <w:abstractNumId w:val="14"/>
  </w:num>
  <w:num w:numId="9">
    <w:abstractNumId w:val="2"/>
  </w:num>
  <w:num w:numId="10">
    <w:abstractNumId w:val="10"/>
  </w:num>
  <w:num w:numId="11">
    <w:abstractNumId w:val="9"/>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5"/>
  </w:num>
  <w:num w:numId="15">
    <w:abstractNumId w:val="4"/>
  </w:num>
  <w:num w:numId="16">
    <w:abstractNumId w:val="1"/>
  </w:num>
  <w:num w:numId="17">
    <w:abstractNumId w:val="6"/>
  </w:num>
  <w:num w:numId="18">
    <w:abstractNumId w:val="8"/>
  </w:num>
  <w:num w:numId="19">
    <w:abstractNumId w:val="5"/>
  </w:num>
  <w:num w:numId="20">
    <w:abstractNumId w:val="16"/>
  </w:num>
  <w:num w:numId="21">
    <w:abstractNumId w:val="16"/>
  </w:num>
  <w:num w:numId="22">
    <w:abstractNumId w:val="16"/>
  </w:num>
  <w:num w:numId="23">
    <w:abstractNumId w:val="16"/>
  </w:num>
  <w:num w:numId="24">
    <w:abstractNumId w:val="16"/>
  </w:num>
  <w:num w:numId="25">
    <w:abstractNumId w:val="16"/>
  </w:num>
  <w:num w:numId="26">
    <w:abstractNumId w:val="16"/>
  </w:num>
  <w:num w:numId="27">
    <w:abstractNumId w:val="3"/>
  </w:num>
  <w:num w:numId="28">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DC1MDMwMzcwMTQwsjRX0lEKTi0uzszPAykwqgUAr7v9ZiwAAAA="/>
  </w:docVars>
  <w:rsids>
    <w:rsidRoot w:val="00E65E79"/>
    <w:rsid w:val="00000790"/>
    <w:rsid w:val="0000110B"/>
    <w:rsid w:val="000020A7"/>
    <w:rsid w:val="00002CFE"/>
    <w:rsid w:val="00002F9E"/>
    <w:rsid w:val="00003499"/>
    <w:rsid w:val="000034D3"/>
    <w:rsid w:val="0000376D"/>
    <w:rsid w:val="000038BB"/>
    <w:rsid w:val="000039B7"/>
    <w:rsid w:val="00003C9A"/>
    <w:rsid w:val="00003F04"/>
    <w:rsid w:val="00004052"/>
    <w:rsid w:val="000041F2"/>
    <w:rsid w:val="00004483"/>
    <w:rsid w:val="00004A98"/>
    <w:rsid w:val="00004AF8"/>
    <w:rsid w:val="000056DA"/>
    <w:rsid w:val="00005E2E"/>
    <w:rsid w:val="0000626C"/>
    <w:rsid w:val="0000639A"/>
    <w:rsid w:val="000065C7"/>
    <w:rsid w:val="00007E84"/>
    <w:rsid w:val="00010403"/>
    <w:rsid w:val="00010E1E"/>
    <w:rsid w:val="00010F32"/>
    <w:rsid w:val="0001129E"/>
    <w:rsid w:val="0001182B"/>
    <w:rsid w:val="00011C41"/>
    <w:rsid w:val="00013247"/>
    <w:rsid w:val="00015081"/>
    <w:rsid w:val="000153C0"/>
    <w:rsid w:val="000157EE"/>
    <w:rsid w:val="00015886"/>
    <w:rsid w:val="00015955"/>
    <w:rsid w:val="00016271"/>
    <w:rsid w:val="0001627F"/>
    <w:rsid w:val="000162EF"/>
    <w:rsid w:val="00016DB3"/>
    <w:rsid w:val="00017900"/>
    <w:rsid w:val="00020093"/>
    <w:rsid w:val="0002022E"/>
    <w:rsid w:val="00020450"/>
    <w:rsid w:val="000207C9"/>
    <w:rsid w:val="0002131F"/>
    <w:rsid w:val="0002225F"/>
    <w:rsid w:val="00022C38"/>
    <w:rsid w:val="00022EC6"/>
    <w:rsid w:val="00023763"/>
    <w:rsid w:val="00023DAB"/>
    <w:rsid w:val="00023EA9"/>
    <w:rsid w:val="00024D4C"/>
    <w:rsid w:val="00024EEC"/>
    <w:rsid w:val="00025778"/>
    <w:rsid w:val="00025ABD"/>
    <w:rsid w:val="00026BEC"/>
    <w:rsid w:val="000274B8"/>
    <w:rsid w:val="00030034"/>
    <w:rsid w:val="00030CC3"/>
    <w:rsid w:val="00032777"/>
    <w:rsid w:val="00033345"/>
    <w:rsid w:val="00033863"/>
    <w:rsid w:val="00033BC2"/>
    <w:rsid w:val="000345C6"/>
    <w:rsid w:val="000345E9"/>
    <w:rsid w:val="0003461C"/>
    <w:rsid w:val="0003559E"/>
    <w:rsid w:val="00035DC0"/>
    <w:rsid w:val="0003659A"/>
    <w:rsid w:val="00036829"/>
    <w:rsid w:val="00036A1A"/>
    <w:rsid w:val="0003717E"/>
    <w:rsid w:val="000378FC"/>
    <w:rsid w:val="0004049C"/>
    <w:rsid w:val="00040895"/>
    <w:rsid w:val="00040D50"/>
    <w:rsid w:val="0004303B"/>
    <w:rsid w:val="000432E7"/>
    <w:rsid w:val="00043303"/>
    <w:rsid w:val="000434B3"/>
    <w:rsid w:val="000435EE"/>
    <w:rsid w:val="00043C37"/>
    <w:rsid w:val="00044751"/>
    <w:rsid w:val="00045017"/>
    <w:rsid w:val="0004589F"/>
    <w:rsid w:val="00045A2B"/>
    <w:rsid w:val="0004698F"/>
    <w:rsid w:val="00047743"/>
    <w:rsid w:val="00050852"/>
    <w:rsid w:val="00051609"/>
    <w:rsid w:val="00051965"/>
    <w:rsid w:val="00051C56"/>
    <w:rsid w:val="00051FC9"/>
    <w:rsid w:val="000527A8"/>
    <w:rsid w:val="00053039"/>
    <w:rsid w:val="000532E3"/>
    <w:rsid w:val="00053865"/>
    <w:rsid w:val="0005391B"/>
    <w:rsid w:val="000539D0"/>
    <w:rsid w:val="00053B8C"/>
    <w:rsid w:val="00054621"/>
    <w:rsid w:val="000546D7"/>
    <w:rsid w:val="00055A44"/>
    <w:rsid w:val="00055E10"/>
    <w:rsid w:val="0005605D"/>
    <w:rsid w:val="00056D58"/>
    <w:rsid w:val="00056ECF"/>
    <w:rsid w:val="000571AA"/>
    <w:rsid w:val="000602D0"/>
    <w:rsid w:val="000604DF"/>
    <w:rsid w:val="00060940"/>
    <w:rsid w:val="00060A03"/>
    <w:rsid w:val="00061014"/>
    <w:rsid w:val="00061054"/>
    <w:rsid w:val="000622C5"/>
    <w:rsid w:val="00063A75"/>
    <w:rsid w:val="00064425"/>
    <w:rsid w:val="0006498D"/>
    <w:rsid w:val="00064D1E"/>
    <w:rsid w:val="000653B5"/>
    <w:rsid w:val="00066360"/>
    <w:rsid w:val="0006676E"/>
    <w:rsid w:val="00066AF8"/>
    <w:rsid w:val="00066B00"/>
    <w:rsid w:val="00067D29"/>
    <w:rsid w:val="00067D6C"/>
    <w:rsid w:val="00070407"/>
    <w:rsid w:val="00071248"/>
    <w:rsid w:val="000720B9"/>
    <w:rsid w:val="000736F1"/>
    <w:rsid w:val="000737F7"/>
    <w:rsid w:val="00074B64"/>
    <w:rsid w:val="0007559C"/>
    <w:rsid w:val="00075711"/>
    <w:rsid w:val="00075AA2"/>
    <w:rsid w:val="0007600A"/>
    <w:rsid w:val="0007609B"/>
    <w:rsid w:val="0007672F"/>
    <w:rsid w:val="00076B54"/>
    <w:rsid w:val="000774F0"/>
    <w:rsid w:val="00077A7F"/>
    <w:rsid w:val="00077B3E"/>
    <w:rsid w:val="00077BE1"/>
    <w:rsid w:val="000805C6"/>
    <w:rsid w:val="00080909"/>
    <w:rsid w:val="000812CA"/>
    <w:rsid w:val="000815FF"/>
    <w:rsid w:val="000816E9"/>
    <w:rsid w:val="00081E63"/>
    <w:rsid w:val="00082298"/>
    <w:rsid w:val="0008258D"/>
    <w:rsid w:val="00083A00"/>
    <w:rsid w:val="00083E99"/>
    <w:rsid w:val="000842E6"/>
    <w:rsid w:val="00084A78"/>
    <w:rsid w:val="00084ECC"/>
    <w:rsid w:val="00084FA8"/>
    <w:rsid w:val="000856C5"/>
    <w:rsid w:val="00085A24"/>
    <w:rsid w:val="00085C31"/>
    <w:rsid w:val="00085E63"/>
    <w:rsid w:val="0008641F"/>
    <w:rsid w:val="00086D5D"/>
    <w:rsid w:val="00087C3F"/>
    <w:rsid w:val="000902D9"/>
    <w:rsid w:val="000907D4"/>
    <w:rsid w:val="00090C7E"/>
    <w:rsid w:val="00091558"/>
    <w:rsid w:val="00092600"/>
    <w:rsid w:val="0009262B"/>
    <w:rsid w:val="0009305F"/>
    <w:rsid w:val="00093310"/>
    <w:rsid w:val="00093EC8"/>
    <w:rsid w:val="0009445C"/>
    <w:rsid w:val="00095200"/>
    <w:rsid w:val="00095FE5"/>
    <w:rsid w:val="00096284"/>
    <w:rsid w:val="000977EB"/>
    <w:rsid w:val="000A16FA"/>
    <w:rsid w:val="000A1AEF"/>
    <w:rsid w:val="000A1BC0"/>
    <w:rsid w:val="000A29C9"/>
    <w:rsid w:val="000A3D1B"/>
    <w:rsid w:val="000A438D"/>
    <w:rsid w:val="000A4AD7"/>
    <w:rsid w:val="000A5A3D"/>
    <w:rsid w:val="000A6039"/>
    <w:rsid w:val="000A67C1"/>
    <w:rsid w:val="000A694B"/>
    <w:rsid w:val="000A7453"/>
    <w:rsid w:val="000A74E9"/>
    <w:rsid w:val="000A7D08"/>
    <w:rsid w:val="000B0121"/>
    <w:rsid w:val="000B048C"/>
    <w:rsid w:val="000B0670"/>
    <w:rsid w:val="000B0957"/>
    <w:rsid w:val="000B0E75"/>
    <w:rsid w:val="000B1505"/>
    <w:rsid w:val="000B2CD1"/>
    <w:rsid w:val="000B2DA8"/>
    <w:rsid w:val="000B2DCB"/>
    <w:rsid w:val="000B358C"/>
    <w:rsid w:val="000B3CC5"/>
    <w:rsid w:val="000B4B15"/>
    <w:rsid w:val="000B5799"/>
    <w:rsid w:val="000B5AB1"/>
    <w:rsid w:val="000B5BBE"/>
    <w:rsid w:val="000B5CE0"/>
    <w:rsid w:val="000B5F77"/>
    <w:rsid w:val="000B60AB"/>
    <w:rsid w:val="000B6CAC"/>
    <w:rsid w:val="000B751E"/>
    <w:rsid w:val="000B7612"/>
    <w:rsid w:val="000B78AE"/>
    <w:rsid w:val="000C074E"/>
    <w:rsid w:val="000C0F1B"/>
    <w:rsid w:val="000C306B"/>
    <w:rsid w:val="000C3142"/>
    <w:rsid w:val="000C37BA"/>
    <w:rsid w:val="000C39F4"/>
    <w:rsid w:val="000C3CB2"/>
    <w:rsid w:val="000C3DF9"/>
    <w:rsid w:val="000C5236"/>
    <w:rsid w:val="000C632E"/>
    <w:rsid w:val="000C63EC"/>
    <w:rsid w:val="000C65B6"/>
    <w:rsid w:val="000C6713"/>
    <w:rsid w:val="000C6A02"/>
    <w:rsid w:val="000C70C2"/>
    <w:rsid w:val="000D00D7"/>
    <w:rsid w:val="000D1BFC"/>
    <w:rsid w:val="000D1D5D"/>
    <w:rsid w:val="000D272A"/>
    <w:rsid w:val="000D281A"/>
    <w:rsid w:val="000D2848"/>
    <w:rsid w:val="000D2E3D"/>
    <w:rsid w:val="000D326A"/>
    <w:rsid w:val="000D4085"/>
    <w:rsid w:val="000D41A8"/>
    <w:rsid w:val="000D51FB"/>
    <w:rsid w:val="000D57C2"/>
    <w:rsid w:val="000D5EC7"/>
    <w:rsid w:val="000D60FB"/>
    <w:rsid w:val="000D64AB"/>
    <w:rsid w:val="000D69F6"/>
    <w:rsid w:val="000E02AC"/>
    <w:rsid w:val="000E02D0"/>
    <w:rsid w:val="000E0640"/>
    <w:rsid w:val="000E099A"/>
    <w:rsid w:val="000E135D"/>
    <w:rsid w:val="000E1CF2"/>
    <w:rsid w:val="000E2180"/>
    <w:rsid w:val="000E2E2B"/>
    <w:rsid w:val="000E354A"/>
    <w:rsid w:val="000E3561"/>
    <w:rsid w:val="000E48C9"/>
    <w:rsid w:val="000E4DCE"/>
    <w:rsid w:val="000E570E"/>
    <w:rsid w:val="000E60E7"/>
    <w:rsid w:val="000E626B"/>
    <w:rsid w:val="000E6C2A"/>
    <w:rsid w:val="000E7347"/>
    <w:rsid w:val="000F00BA"/>
    <w:rsid w:val="000F1051"/>
    <w:rsid w:val="000F1398"/>
    <w:rsid w:val="000F1C75"/>
    <w:rsid w:val="000F316A"/>
    <w:rsid w:val="000F3B0D"/>
    <w:rsid w:val="000F3C74"/>
    <w:rsid w:val="000F4BB8"/>
    <w:rsid w:val="000F4FA9"/>
    <w:rsid w:val="000F53FB"/>
    <w:rsid w:val="000F5B97"/>
    <w:rsid w:val="000F614E"/>
    <w:rsid w:val="000F6A32"/>
    <w:rsid w:val="000F7109"/>
    <w:rsid w:val="000F7127"/>
    <w:rsid w:val="000F7227"/>
    <w:rsid w:val="000F72CD"/>
    <w:rsid w:val="000F7B54"/>
    <w:rsid w:val="000F7B74"/>
    <w:rsid w:val="001002FA"/>
    <w:rsid w:val="00100F8A"/>
    <w:rsid w:val="00101C01"/>
    <w:rsid w:val="00101E2A"/>
    <w:rsid w:val="001034A3"/>
    <w:rsid w:val="0010452E"/>
    <w:rsid w:val="00104643"/>
    <w:rsid w:val="001054B7"/>
    <w:rsid w:val="001055FF"/>
    <w:rsid w:val="00105811"/>
    <w:rsid w:val="00105AE2"/>
    <w:rsid w:val="00105E9A"/>
    <w:rsid w:val="0010607A"/>
    <w:rsid w:val="001060C6"/>
    <w:rsid w:val="0010619D"/>
    <w:rsid w:val="0010624B"/>
    <w:rsid w:val="00106B80"/>
    <w:rsid w:val="0010733D"/>
    <w:rsid w:val="00107A3B"/>
    <w:rsid w:val="00107C69"/>
    <w:rsid w:val="001101E3"/>
    <w:rsid w:val="00110298"/>
    <w:rsid w:val="0011032E"/>
    <w:rsid w:val="001103B2"/>
    <w:rsid w:val="001111C2"/>
    <w:rsid w:val="001117B4"/>
    <w:rsid w:val="00111E19"/>
    <w:rsid w:val="00112C71"/>
    <w:rsid w:val="00112E9B"/>
    <w:rsid w:val="0011348B"/>
    <w:rsid w:val="00114044"/>
    <w:rsid w:val="00114237"/>
    <w:rsid w:val="00114A81"/>
    <w:rsid w:val="00114C4E"/>
    <w:rsid w:val="00115982"/>
    <w:rsid w:val="00116A19"/>
    <w:rsid w:val="00116C53"/>
    <w:rsid w:val="00116EA8"/>
    <w:rsid w:val="001177AD"/>
    <w:rsid w:val="00117933"/>
    <w:rsid w:val="00117D47"/>
    <w:rsid w:val="0012065A"/>
    <w:rsid w:val="00121154"/>
    <w:rsid w:val="001216A3"/>
    <w:rsid w:val="00121799"/>
    <w:rsid w:val="001222FC"/>
    <w:rsid w:val="00122E5B"/>
    <w:rsid w:val="00122F5F"/>
    <w:rsid w:val="001230FC"/>
    <w:rsid w:val="001235BD"/>
    <w:rsid w:val="00123902"/>
    <w:rsid w:val="0012396E"/>
    <w:rsid w:val="00124158"/>
    <w:rsid w:val="00124A51"/>
    <w:rsid w:val="001256F6"/>
    <w:rsid w:val="00126621"/>
    <w:rsid w:val="00126B1D"/>
    <w:rsid w:val="00126BEC"/>
    <w:rsid w:val="00127292"/>
    <w:rsid w:val="00127DEA"/>
    <w:rsid w:val="001301E9"/>
    <w:rsid w:val="00131AC5"/>
    <w:rsid w:val="00131BF3"/>
    <w:rsid w:val="00131D82"/>
    <w:rsid w:val="00131D8C"/>
    <w:rsid w:val="00132A6F"/>
    <w:rsid w:val="00132B22"/>
    <w:rsid w:val="00132F20"/>
    <w:rsid w:val="00133D36"/>
    <w:rsid w:val="00134D35"/>
    <w:rsid w:val="00134E8C"/>
    <w:rsid w:val="00135C30"/>
    <w:rsid w:val="0013615F"/>
    <w:rsid w:val="00136221"/>
    <w:rsid w:val="0013661C"/>
    <w:rsid w:val="00136C96"/>
    <w:rsid w:val="001371DC"/>
    <w:rsid w:val="00137645"/>
    <w:rsid w:val="00137DCC"/>
    <w:rsid w:val="00137F23"/>
    <w:rsid w:val="0014015A"/>
    <w:rsid w:val="001403DD"/>
    <w:rsid w:val="0014081C"/>
    <w:rsid w:val="00140E99"/>
    <w:rsid w:val="00141DB0"/>
    <w:rsid w:val="00142E75"/>
    <w:rsid w:val="00142F5A"/>
    <w:rsid w:val="00143E31"/>
    <w:rsid w:val="00143F67"/>
    <w:rsid w:val="00144236"/>
    <w:rsid w:val="00145540"/>
    <w:rsid w:val="00145619"/>
    <w:rsid w:val="001456B0"/>
    <w:rsid w:val="001456C6"/>
    <w:rsid w:val="001461CB"/>
    <w:rsid w:val="001463F9"/>
    <w:rsid w:val="00146677"/>
    <w:rsid w:val="00146CD3"/>
    <w:rsid w:val="00147ED1"/>
    <w:rsid w:val="00150B3A"/>
    <w:rsid w:val="0015103B"/>
    <w:rsid w:val="0015138B"/>
    <w:rsid w:val="00151561"/>
    <w:rsid w:val="00151574"/>
    <w:rsid w:val="001517A9"/>
    <w:rsid w:val="00151AD7"/>
    <w:rsid w:val="00152669"/>
    <w:rsid w:val="00152AD3"/>
    <w:rsid w:val="00152E4E"/>
    <w:rsid w:val="00153023"/>
    <w:rsid w:val="00153CD3"/>
    <w:rsid w:val="00153D1D"/>
    <w:rsid w:val="00153E85"/>
    <w:rsid w:val="0015433A"/>
    <w:rsid w:val="001546B7"/>
    <w:rsid w:val="00154891"/>
    <w:rsid w:val="00154F1B"/>
    <w:rsid w:val="00156639"/>
    <w:rsid w:val="00156906"/>
    <w:rsid w:val="00156F15"/>
    <w:rsid w:val="00156F8F"/>
    <w:rsid w:val="00157130"/>
    <w:rsid w:val="00157437"/>
    <w:rsid w:val="00157538"/>
    <w:rsid w:val="001576B1"/>
    <w:rsid w:val="00157939"/>
    <w:rsid w:val="00157A3B"/>
    <w:rsid w:val="00157D74"/>
    <w:rsid w:val="0016047B"/>
    <w:rsid w:val="00160A4C"/>
    <w:rsid w:val="00160B17"/>
    <w:rsid w:val="00160B37"/>
    <w:rsid w:val="00161205"/>
    <w:rsid w:val="00162054"/>
    <w:rsid w:val="001623B2"/>
    <w:rsid w:val="00162913"/>
    <w:rsid w:val="00162ACF"/>
    <w:rsid w:val="0016322D"/>
    <w:rsid w:val="00163EFF"/>
    <w:rsid w:val="00163F66"/>
    <w:rsid w:val="00164493"/>
    <w:rsid w:val="00164B05"/>
    <w:rsid w:val="00164D33"/>
    <w:rsid w:val="001660B6"/>
    <w:rsid w:val="001661FB"/>
    <w:rsid w:val="00166216"/>
    <w:rsid w:val="00166EF0"/>
    <w:rsid w:val="001671A0"/>
    <w:rsid w:val="001675D5"/>
    <w:rsid w:val="0016767F"/>
    <w:rsid w:val="00170043"/>
    <w:rsid w:val="0017023B"/>
    <w:rsid w:val="00170681"/>
    <w:rsid w:val="00171761"/>
    <w:rsid w:val="00172CDB"/>
    <w:rsid w:val="00173565"/>
    <w:rsid w:val="00173B07"/>
    <w:rsid w:val="00174333"/>
    <w:rsid w:val="001750C8"/>
    <w:rsid w:val="001751FA"/>
    <w:rsid w:val="00175F1A"/>
    <w:rsid w:val="00176E2F"/>
    <w:rsid w:val="00177088"/>
    <w:rsid w:val="001811B0"/>
    <w:rsid w:val="001812EA"/>
    <w:rsid w:val="001819D1"/>
    <w:rsid w:val="00181C58"/>
    <w:rsid w:val="00181D9C"/>
    <w:rsid w:val="001823A0"/>
    <w:rsid w:val="001823C5"/>
    <w:rsid w:val="00182827"/>
    <w:rsid w:val="00182FBE"/>
    <w:rsid w:val="001837BB"/>
    <w:rsid w:val="00183CA2"/>
    <w:rsid w:val="001845CD"/>
    <w:rsid w:val="00184B0E"/>
    <w:rsid w:val="00184CB8"/>
    <w:rsid w:val="00187403"/>
    <w:rsid w:val="0018752F"/>
    <w:rsid w:val="0018763D"/>
    <w:rsid w:val="001876A3"/>
    <w:rsid w:val="00190115"/>
    <w:rsid w:val="0019045B"/>
    <w:rsid w:val="00190A8A"/>
    <w:rsid w:val="00190C4A"/>
    <w:rsid w:val="00190DB4"/>
    <w:rsid w:val="00192861"/>
    <w:rsid w:val="0019325D"/>
    <w:rsid w:val="00193387"/>
    <w:rsid w:val="00193838"/>
    <w:rsid w:val="00193B0C"/>
    <w:rsid w:val="00193C39"/>
    <w:rsid w:val="00193DFA"/>
    <w:rsid w:val="00194041"/>
    <w:rsid w:val="00194AD8"/>
    <w:rsid w:val="00195222"/>
    <w:rsid w:val="00195415"/>
    <w:rsid w:val="00195B36"/>
    <w:rsid w:val="00196FF7"/>
    <w:rsid w:val="00197342"/>
    <w:rsid w:val="001975D8"/>
    <w:rsid w:val="001977B2"/>
    <w:rsid w:val="00197A21"/>
    <w:rsid w:val="001A0CFF"/>
    <w:rsid w:val="001A1148"/>
    <w:rsid w:val="001A178E"/>
    <w:rsid w:val="001A1EEE"/>
    <w:rsid w:val="001A2581"/>
    <w:rsid w:val="001A25A5"/>
    <w:rsid w:val="001A2B49"/>
    <w:rsid w:val="001A394C"/>
    <w:rsid w:val="001A43FA"/>
    <w:rsid w:val="001A47C5"/>
    <w:rsid w:val="001A4DAF"/>
    <w:rsid w:val="001A59FB"/>
    <w:rsid w:val="001A5E9E"/>
    <w:rsid w:val="001A6354"/>
    <w:rsid w:val="001A6366"/>
    <w:rsid w:val="001A7730"/>
    <w:rsid w:val="001A7AE8"/>
    <w:rsid w:val="001A7D00"/>
    <w:rsid w:val="001B0516"/>
    <w:rsid w:val="001B05D4"/>
    <w:rsid w:val="001B1476"/>
    <w:rsid w:val="001B186B"/>
    <w:rsid w:val="001B18C8"/>
    <w:rsid w:val="001B204E"/>
    <w:rsid w:val="001B2372"/>
    <w:rsid w:val="001B2DE7"/>
    <w:rsid w:val="001B3443"/>
    <w:rsid w:val="001B41E0"/>
    <w:rsid w:val="001B4480"/>
    <w:rsid w:val="001B4D20"/>
    <w:rsid w:val="001B4D47"/>
    <w:rsid w:val="001B4E81"/>
    <w:rsid w:val="001B5589"/>
    <w:rsid w:val="001B608C"/>
    <w:rsid w:val="001B61A0"/>
    <w:rsid w:val="001B6243"/>
    <w:rsid w:val="001B6342"/>
    <w:rsid w:val="001B751D"/>
    <w:rsid w:val="001C0940"/>
    <w:rsid w:val="001C19FB"/>
    <w:rsid w:val="001C1E0A"/>
    <w:rsid w:val="001C2515"/>
    <w:rsid w:val="001C2A9B"/>
    <w:rsid w:val="001C2D77"/>
    <w:rsid w:val="001C37F6"/>
    <w:rsid w:val="001C3F6F"/>
    <w:rsid w:val="001C3FAA"/>
    <w:rsid w:val="001C4299"/>
    <w:rsid w:val="001C4874"/>
    <w:rsid w:val="001C4BBC"/>
    <w:rsid w:val="001C5E84"/>
    <w:rsid w:val="001C5F94"/>
    <w:rsid w:val="001C6E66"/>
    <w:rsid w:val="001C7228"/>
    <w:rsid w:val="001C75A8"/>
    <w:rsid w:val="001D0F76"/>
    <w:rsid w:val="001D1100"/>
    <w:rsid w:val="001D1391"/>
    <w:rsid w:val="001D1F15"/>
    <w:rsid w:val="001D24D9"/>
    <w:rsid w:val="001D25D7"/>
    <w:rsid w:val="001D3A9E"/>
    <w:rsid w:val="001D498F"/>
    <w:rsid w:val="001D4B2C"/>
    <w:rsid w:val="001D50B2"/>
    <w:rsid w:val="001D5F70"/>
    <w:rsid w:val="001D61FC"/>
    <w:rsid w:val="001D64CE"/>
    <w:rsid w:val="001D653C"/>
    <w:rsid w:val="001D6DB6"/>
    <w:rsid w:val="001D6EED"/>
    <w:rsid w:val="001D7120"/>
    <w:rsid w:val="001D71B3"/>
    <w:rsid w:val="001D7645"/>
    <w:rsid w:val="001D7A1C"/>
    <w:rsid w:val="001D7A8F"/>
    <w:rsid w:val="001D7A91"/>
    <w:rsid w:val="001E042D"/>
    <w:rsid w:val="001E1C0C"/>
    <w:rsid w:val="001E1E86"/>
    <w:rsid w:val="001E238E"/>
    <w:rsid w:val="001E2483"/>
    <w:rsid w:val="001E2B1E"/>
    <w:rsid w:val="001E2CFF"/>
    <w:rsid w:val="001E2DC4"/>
    <w:rsid w:val="001E2F24"/>
    <w:rsid w:val="001E30D4"/>
    <w:rsid w:val="001E34DF"/>
    <w:rsid w:val="001E36F7"/>
    <w:rsid w:val="001E3C27"/>
    <w:rsid w:val="001E47FD"/>
    <w:rsid w:val="001E4949"/>
    <w:rsid w:val="001E52EB"/>
    <w:rsid w:val="001E5645"/>
    <w:rsid w:val="001E5901"/>
    <w:rsid w:val="001E61D2"/>
    <w:rsid w:val="001E6BEE"/>
    <w:rsid w:val="001E710D"/>
    <w:rsid w:val="001E7370"/>
    <w:rsid w:val="001E740C"/>
    <w:rsid w:val="001F078A"/>
    <w:rsid w:val="001F1235"/>
    <w:rsid w:val="001F1CB3"/>
    <w:rsid w:val="001F1E2A"/>
    <w:rsid w:val="001F2477"/>
    <w:rsid w:val="001F259E"/>
    <w:rsid w:val="001F2C49"/>
    <w:rsid w:val="001F3392"/>
    <w:rsid w:val="001F3589"/>
    <w:rsid w:val="001F38B5"/>
    <w:rsid w:val="001F4081"/>
    <w:rsid w:val="001F4EC7"/>
    <w:rsid w:val="001F5A97"/>
    <w:rsid w:val="001F5A9E"/>
    <w:rsid w:val="001F653B"/>
    <w:rsid w:val="001F6D25"/>
    <w:rsid w:val="001F7361"/>
    <w:rsid w:val="002011B0"/>
    <w:rsid w:val="002012E9"/>
    <w:rsid w:val="00201706"/>
    <w:rsid w:val="00202343"/>
    <w:rsid w:val="00203181"/>
    <w:rsid w:val="00203783"/>
    <w:rsid w:val="0020385F"/>
    <w:rsid w:val="00203AE2"/>
    <w:rsid w:val="002048B8"/>
    <w:rsid w:val="0020524B"/>
    <w:rsid w:val="0020556D"/>
    <w:rsid w:val="002056DB"/>
    <w:rsid w:val="002058AF"/>
    <w:rsid w:val="00205FCD"/>
    <w:rsid w:val="0020632C"/>
    <w:rsid w:val="002068A0"/>
    <w:rsid w:val="00207021"/>
    <w:rsid w:val="0020732F"/>
    <w:rsid w:val="002074A1"/>
    <w:rsid w:val="00207563"/>
    <w:rsid w:val="00207D00"/>
    <w:rsid w:val="00207E02"/>
    <w:rsid w:val="002105C1"/>
    <w:rsid w:val="00211679"/>
    <w:rsid w:val="00211A2D"/>
    <w:rsid w:val="00213556"/>
    <w:rsid w:val="00213C32"/>
    <w:rsid w:val="00213EF5"/>
    <w:rsid w:val="0021523A"/>
    <w:rsid w:val="0021536E"/>
    <w:rsid w:val="002154D2"/>
    <w:rsid w:val="00215D9B"/>
    <w:rsid w:val="002169B0"/>
    <w:rsid w:val="00216BF5"/>
    <w:rsid w:val="00217406"/>
    <w:rsid w:val="002200E2"/>
    <w:rsid w:val="002203F1"/>
    <w:rsid w:val="00220957"/>
    <w:rsid w:val="00220B91"/>
    <w:rsid w:val="00220C83"/>
    <w:rsid w:val="00220CA8"/>
    <w:rsid w:val="00221C62"/>
    <w:rsid w:val="00221FFC"/>
    <w:rsid w:val="002227FC"/>
    <w:rsid w:val="00223B49"/>
    <w:rsid w:val="00223B6E"/>
    <w:rsid w:val="00223D5A"/>
    <w:rsid w:val="00224DD4"/>
    <w:rsid w:val="002259B7"/>
    <w:rsid w:val="00225A8E"/>
    <w:rsid w:val="00226CB9"/>
    <w:rsid w:val="00226E99"/>
    <w:rsid w:val="00227651"/>
    <w:rsid w:val="002278A0"/>
    <w:rsid w:val="002307E2"/>
    <w:rsid w:val="002309CC"/>
    <w:rsid w:val="00231723"/>
    <w:rsid w:val="0023209F"/>
    <w:rsid w:val="0023231A"/>
    <w:rsid w:val="0023261F"/>
    <w:rsid w:val="00233211"/>
    <w:rsid w:val="00233B19"/>
    <w:rsid w:val="00233B6A"/>
    <w:rsid w:val="00233C01"/>
    <w:rsid w:val="00233DEB"/>
    <w:rsid w:val="0023413C"/>
    <w:rsid w:val="002342C8"/>
    <w:rsid w:val="002346F0"/>
    <w:rsid w:val="0023494A"/>
    <w:rsid w:val="002350C5"/>
    <w:rsid w:val="002354AD"/>
    <w:rsid w:val="00235CBD"/>
    <w:rsid w:val="00235FA8"/>
    <w:rsid w:val="0023629D"/>
    <w:rsid w:val="0023653B"/>
    <w:rsid w:val="002367F6"/>
    <w:rsid w:val="00236BE9"/>
    <w:rsid w:val="002370B3"/>
    <w:rsid w:val="00237255"/>
    <w:rsid w:val="0023755A"/>
    <w:rsid w:val="00237607"/>
    <w:rsid w:val="00237BDC"/>
    <w:rsid w:val="00237DE8"/>
    <w:rsid w:val="002409A8"/>
    <w:rsid w:val="00241BD3"/>
    <w:rsid w:val="00241E5A"/>
    <w:rsid w:val="00241FF4"/>
    <w:rsid w:val="002424AF"/>
    <w:rsid w:val="00242DCE"/>
    <w:rsid w:val="002439DC"/>
    <w:rsid w:val="00243E0E"/>
    <w:rsid w:val="002441D2"/>
    <w:rsid w:val="00244B3C"/>
    <w:rsid w:val="00244DC8"/>
    <w:rsid w:val="002450CF"/>
    <w:rsid w:val="002458BA"/>
    <w:rsid w:val="00245902"/>
    <w:rsid w:val="00245CE9"/>
    <w:rsid w:val="0024636C"/>
    <w:rsid w:val="0024679E"/>
    <w:rsid w:val="0024780A"/>
    <w:rsid w:val="00247925"/>
    <w:rsid w:val="002500B0"/>
    <w:rsid w:val="00251006"/>
    <w:rsid w:val="002524D5"/>
    <w:rsid w:val="00252CCB"/>
    <w:rsid w:val="00252F02"/>
    <w:rsid w:val="00252FF8"/>
    <w:rsid w:val="002530F2"/>
    <w:rsid w:val="00253B1D"/>
    <w:rsid w:val="00254DCF"/>
    <w:rsid w:val="0025534B"/>
    <w:rsid w:val="0025595B"/>
    <w:rsid w:val="00255BB7"/>
    <w:rsid w:val="00256200"/>
    <w:rsid w:val="00256604"/>
    <w:rsid w:val="00256FAE"/>
    <w:rsid w:val="002574E0"/>
    <w:rsid w:val="00257541"/>
    <w:rsid w:val="00257A39"/>
    <w:rsid w:val="00257AC4"/>
    <w:rsid w:val="00261139"/>
    <w:rsid w:val="00261EEF"/>
    <w:rsid w:val="00262A1A"/>
    <w:rsid w:val="00262A87"/>
    <w:rsid w:val="00264D26"/>
    <w:rsid w:val="00266543"/>
    <w:rsid w:val="00266759"/>
    <w:rsid w:val="00266F2B"/>
    <w:rsid w:val="002672AE"/>
    <w:rsid w:val="002673D8"/>
    <w:rsid w:val="00267642"/>
    <w:rsid w:val="00267AEA"/>
    <w:rsid w:val="002700E6"/>
    <w:rsid w:val="00270146"/>
    <w:rsid w:val="00270E4C"/>
    <w:rsid w:val="00271115"/>
    <w:rsid w:val="0027197E"/>
    <w:rsid w:val="00272356"/>
    <w:rsid w:val="00272755"/>
    <w:rsid w:val="0027294B"/>
    <w:rsid w:val="002732E1"/>
    <w:rsid w:val="00273606"/>
    <w:rsid w:val="00273B29"/>
    <w:rsid w:val="00273EB4"/>
    <w:rsid w:val="00274225"/>
    <w:rsid w:val="002742BE"/>
    <w:rsid w:val="00274682"/>
    <w:rsid w:val="0027474A"/>
    <w:rsid w:val="00274F58"/>
    <w:rsid w:val="00274F80"/>
    <w:rsid w:val="00275907"/>
    <w:rsid w:val="00275C5A"/>
    <w:rsid w:val="00276411"/>
    <w:rsid w:val="00277660"/>
    <w:rsid w:val="00280274"/>
    <w:rsid w:val="002805BC"/>
    <w:rsid w:val="00281014"/>
    <w:rsid w:val="00281683"/>
    <w:rsid w:val="00281A69"/>
    <w:rsid w:val="00281E5B"/>
    <w:rsid w:val="0028214C"/>
    <w:rsid w:val="00282FF7"/>
    <w:rsid w:val="0028345D"/>
    <w:rsid w:val="002845E9"/>
    <w:rsid w:val="00284735"/>
    <w:rsid w:val="002857C3"/>
    <w:rsid w:val="00285A09"/>
    <w:rsid w:val="0028652C"/>
    <w:rsid w:val="0028665D"/>
    <w:rsid w:val="002879CD"/>
    <w:rsid w:val="0029065B"/>
    <w:rsid w:val="0029134A"/>
    <w:rsid w:val="00291EB7"/>
    <w:rsid w:val="00292108"/>
    <w:rsid w:val="002925CA"/>
    <w:rsid w:val="00292AF9"/>
    <w:rsid w:val="00292C75"/>
    <w:rsid w:val="00292D87"/>
    <w:rsid w:val="0029591D"/>
    <w:rsid w:val="00296088"/>
    <w:rsid w:val="00297354"/>
    <w:rsid w:val="00297E24"/>
    <w:rsid w:val="002A0680"/>
    <w:rsid w:val="002A14AB"/>
    <w:rsid w:val="002A1732"/>
    <w:rsid w:val="002A19AF"/>
    <w:rsid w:val="002A1ABF"/>
    <w:rsid w:val="002A2ADE"/>
    <w:rsid w:val="002A2CA9"/>
    <w:rsid w:val="002A2F50"/>
    <w:rsid w:val="002A30D3"/>
    <w:rsid w:val="002A45F2"/>
    <w:rsid w:val="002A4F4C"/>
    <w:rsid w:val="002A53BA"/>
    <w:rsid w:val="002A59B0"/>
    <w:rsid w:val="002A5E23"/>
    <w:rsid w:val="002A5F1A"/>
    <w:rsid w:val="002A5FBE"/>
    <w:rsid w:val="002A63EF"/>
    <w:rsid w:val="002A6D1E"/>
    <w:rsid w:val="002A6DB5"/>
    <w:rsid w:val="002A6E48"/>
    <w:rsid w:val="002A7675"/>
    <w:rsid w:val="002B05A1"/>
    <w:rsid w:val="002B08D0"/>
    <w:rsid w:val="002B09A4"/>
    <w:rsid w:val="002B179E"/>
    <w:rsid w:val="002B1C1F"/>
    <w:rsid w:val="002B207D"/>
    <w:rsid w:val="002B360F"/>
    <w:rsid w:val="002B36A8"/>
    <w:rsid w:val="002B432F"/>
    <w:rsid w:val="002B4585"/>
    <w:rsid w:val="002B4726"/>
    <w:rsid w:val="002B555F"/>
    <w:rsid w:val="002B5969"/>
    <w:rsid w:val="002B5DF9"/>
    <w:rsid w:val="002B62B3"/>
    <w:rsid w:val="002B6754"/>
    <w:rsid w:val="002B6975"/>
    <w:rsid w:val="002B6CCE"/>
    <w:rsid w:val="002B755B"/>
    <w:rsid w:val="002B7C24"/>
    <w:rsid w:val="002C0570"/>
    <w:rsid w:val="002C1652"/>
    <w:rsid w:val="002C18B0"/>
    <w:rsid w:val="002C2510"/>
    <w:rsid w:val="002C2694"/>
    <w:rsid w:val="002C2775"/>
    <w:rsid w:val="002C27C1"/>
    <w:rsid w:val="002C2BB0"/>
    <w:rsid w:val="002C372C"/>
    <w:rsid w:val="002C42E6"/>
    <w:rsid w:val="002C5099"/>
    <w:rsid w:val="002C5815"/>
    <w:rsid w:val="002C5889"/>
    <w:rsid w:val="002C5A3D"/>
    <w:rsid w:val="002C5FDE"/>
    <w:rsid w:val="002C631A"/>
    <w:rsid w:val="002C6C69"/>
    <w:rsid w:val="002C7066"/>
    <w:rsid w:val="002C71CE"/>
    <w:rsid w:val="002C77FB"/>
    <w:rsid w:val="002C7FEE"/>
    <w:rsid w:val="002D0490"/>
    <w:rsid w:val="002D04E1"/>
    <w:rsid w:val="002D08F8"/>
    <w:rsid w:val="002D0C7E"/>
    <w:rsid w:val="002D1452"/>
    <w:rsid w:val="002D1A6F"/>
    <w:rsid w:val="002D1BBF"/>
    <w:rsid w:val="002D1D66"/>
    <w:rsid w:val="002D2591"/>
    <w:rsid w:val="002D3314"/>
    <w:rsid w:val="002D3A29"/>
    <w:rsid w:val="002D577C"/>
    <w:rsid w:val="002D63FF"/>
    <w:rsid w:val="002D7967"/>
    <w:rsid w:val="002D7E47"/>
    <w:rsid w:val="002E0CB1"/>
    <w:rsid w:val="002E1071"/>
    <w:rsid w:val="002E1577"/>
    <w:rsid w:val="002E15B9"/>
    <w:rsid w:val="002E18CA"/>
    <w:rsid w:val="002E2158"/>
    <w:rsid w:val="002E2CDF"/>
    <w:rsid w:val="002E3104"/>
    <w:rsid w:val="002E3C00"/>
    <w:rsid w:val="002E451A"/>
    <w:rsid w:val="002E48A7"/>
    <w:rsid w:val="002E4BFB"/>
    <w:rsid w:val="002E4DB1"/>
    <w:rsid w:val="002E4F02"/>
    <w:rsid w:val="002E617E"/>
    <w:rsid w:val="002E6345"/>
    <w:rsid w:val="002E7722"/>
    <w:rsid w:val="002E7960"/>
    <w:rsid w:val="002E7C6C"/>
    <w:rsid w:val="002F07BA"/>
    <w:rsid w:val="002F08DA"/>
    <w:rsid w:val="002F0DA9"/>
    <w:rsid w:val="002F1014"/>
    <w:rsid w:val="002F2025"/>
    <w:rsid w:val="002F20D1"/>
    <w:rsid w:val="002F2CCF"/>
    <w:rsid w:val="002F41A2"/>
    <w:rsid w:val="002F44C8"/>
    <w:rsid w:val="002F52E1"/>
    <w:rsid w:val="002F53E5"/>
    <w:rsid w:val="002F55D1"/>
    <w:rsid w:val="002F5904"/>
    <w:rsid w:val="002F5AFB"/>
    <w:rsid w:val="002F5C73"/>
    <w:rsid w:val="002F5C84"/>
    <w:rsid w:val="002F61AA"/>
    <w:rsid w:val="002F643C"/>
    <w:rsid w:val="002F6B75"/>
    <w:rsid w:val="002F6BF6"/>
    <w:rsid w:val="002F71C0"/>
    <w:rsid w:val="002F74F1"/>
    <w:rsid w:val="002F75E6"/>
    <w:rsid w:val="002F782C"/>
    <w:rsid w:val="002F7EB7"/>
    <w:rsid w:val="002F7F27"/>
    <w:rsid w:val="003004F4"/>
    <w:rsid w:val="00301017"/>
    <w:rsid w:val="0030155F"/>
    <w:rsid w:val="003025DB"/>
    <w:rsid w:val="003026CF"/>
    <w:rsid w:val="00302C4C"/>
    <w:rsid w:val="00303468"/>
    <w:rsid w:val="00303F6F"/>
    <w:rsid w:val="003053F0"/>
    <w:rsid w:val="003057E9"/>
    <w:rsid w:val="0030587B"/>
    <w:rsid w:val="00306315"/>
    <w:rsid w:val="0030656F"/>
    <w:rsid w:val="00306784"/>
    <w:rsid w:val="00306D98"/>
    <w:rsid w:val="003070BB"/>
    <w:rsid w:val="0030786C"/>
    <w:rsid w:val="00307891"/>
    <w:rsid w:val="0031031A"/>
    <w:rsid w:val="00310981"/>
    <w:rsid w:val="00312034"/>
    <w:rsid w:val="003124D9"/>
    <w:rsid w:val="00312594"/>
    <w:rsid w:val="003149E1"/>
    <w:rsid w:val="003149E8"/>
    <w:rsid w:val="00315482"/>
    <w:rsid w:val="00315498"/>
    <w:rsid w:val="0031554D"/>
    <w:rsid w:val="00316125"/>
    <w:rsid w:val="00316474"/>
    <w:rsid w:val="00316B3A"/>
    <w:rsid w:val="00316F6E"/>
    <w:rsid w:val="003173F5"/>
    <w:rsid w:val="003178FD"/>
    <w:rsid w:val="00317D16"/>
    <w:rsid w:val="00317EF2"/>
    <w:rsid w:val="00320ACC"/>
    <w:rsid w:val="00320E51"/>
    <w:rsid w:val="00321036"/>
    <w:rsid w:val="00321A14"/>
    <w:rsid w:val="00321BB6"/>
    <w:rsid w:val="00321CDA"/>
    <w:rsid w:val="00322107"/>
    <w:rsid w:val="00322355"/>
    <w:rsid w:val="00322653"/>
    <w:rsid w:val="00322846"/>
    <w:rsid w:val="00322B26"/>
    <w:rsid w:val="00322FBA"/>
    <w:rsid w:val="00322FEE"/>
    <w:rsid w:val="00323BCE"/>
    <w:rsid w:val="00325D33"/>
    <w:rsid w:val="00326DA7"/>
    <w:rsid w:val="003270E4"/>
    <w:rsid w:val="003274F3"/>
    <w:rsid w:val="0032794B"/>
    <w:rsid w:val="0033099C"/>
    <w:rsid w:val="00330DAA"/>
    <w:rsid w:val="00330F5C"/>
    <w:rsid w:val="003313ED"/>
    <w:rsid w:val="0033307B"/>
    <w:rsid w:val="00334277"/>
    <w:rsid w:val="003351BA"/>
    <w:rsid w:val="003352D3"/>
    <w:rsid w:val="00336357"/>
    <w:rsid w:val="00336366"/>
    <w:rsid w:val="0033653E"/>
    <w:rsid w:val="0033667F"/>
    <w:rsid w:val="003366C9"/>
    <w:rsid w:val="003367A0"/>
    <w:rsid w:val="003368DB"/>
    <w:rsid w:val="00336B27"/>
    <w:rsid w:val="00336E34"/>
    <w:rsid w:val="003371B0"/>
    <w:rsid w:val="003373CB"/>
    <w:rsid w:val="00337966"/>
    <w:rsid w:val="00337A78"/>
    <w:rsid w:val="003406E3"/>
    <w:rsid w:val="00340DF1"/>
    <w:rsid w:val="00341167"/>
    <w:rsid w:val="003415F9"/>
    <w:rsid w:val="0034179E"/>
    <w:rsid w:val="0034256D"/>
    <w:rsid w:val="00342950"/>
    <w:rsid w:val="00343164"/>
    <w:rsid w:val="003438ED"/>
    <w:rsid w:val="00344126"/>
    <w:rsid w:val="00346098"/>
    <w:rsid w:val="00346282"/>
    <w:rsid w:val="003463C3"/>
    <w:rsid w:val="00346965"/>
    <w:rsid w:val="00346B7C"/>
    <w:rsid w:val="0034716A"/>
    <w:rsid w:val="003503D9"/>
    <w:rsid w:val="00350569"/>
    <w:rsid w:val="00350A62"/>
    <w:rsid w:val="00350DDB"/>
    <w:rsid w:val="0035143D"/>
    <w:rsid w:val="003517F9"/>
    <w:rsid w:val="00351BA9"/>
    <w:rsid w:val="00351E42"/>
    <w:rsid w:val="00352F75"/>
    <w:rsid w:val="003533AA"/>
    <w:rsid w:val="0035351F"/>
    <w:rsid w:val="00354493"/>
    <w:rsid w:val="00354F64"/>
    <w:rsid w:val="0035507D"/>
    <w:rsid w:val="0035590C"/>
    <w:rsid w:val="00355EA0"/>
    <w:rsid w:val="0035620E"/>
    <w:rsid w:val="003565F7"/>
    <w:rsid w:val="0035680B"/>
    <w:rsid w:val="00356B1B"/>
    <w:rsid w:val="00356FC6"/>
    <w:rsid w:val="0035767D"/>
    <w:rsid w:val="003602D1"/>
    <w:rsid w:val="00360345"/>
    <w:rsid w:val="00360580"/>
    <w:rsid w:val="0036084D"/>
    <w:rsid w:val="0036101D"/>
    <w:rsid w:val="00361A05"/>
    <w:rsid w:val="00361C1B"/>
    <w:rsid w:val="00361E22"/>
    <w:rsid w:val="003624C4"/>
    <w:rsid w:val="00363556"/>
    <w:rsid w:val="00363B00"/>
    <w:rsid w:val="003646C8"/>
    <w:rsid w:val="00364879"/>
    <w:rsid w:val="003654AC"/>
    <w:rsid w:val="00365C77"/>
    <w:rsid w:val="00365F5D"/>
    <w:rsid w:val="0036615D"/>
    <w:rsid w:val="0036674E"/>
    <w:rsid w:val="00366FF7"/>
    <w:rsid w:val="00367473"/>
    <w:rsid w:val="00367621"/>
    <w:rsid w:val="00370621"/>
    <w:rsid w:val="003706CE"/>
    <w:rsid w:val="00370750"/>
    <w:rsid w:val="00370878"/>
    <w:rsid w:val="003710CF"/>
    <w:rsid w:val="0037185E"/>
    <w:rsid w:val="00371899"/>
    <w:rsid w:val="00371C5F"/>
    <w:rsid w:val="00371E1E"/>
    <w:rsid w:val="003728A8"/>
    <w:rsid w:val="003733BE"/>
    <w:rsid w:val="0037358A"/>
    <w:rsid w:val="00373D59"/>
    <w:rsid w:val="003748F2"/>
    <w:rsid w:val="00374B7B"/>
    <w:rsid w:val="00374EC3"/>
    <w:rsid w:val="003750F6"/>
    <w:rsid w:val="00375101"/>
    <w:rsid w:val="00375B7D"/>
    <w:rsid w:val="003760FC"/>
    <w:rsid w:val="00376A42"/>
    <w:rsid w:val="003772A1"/>
    <w:rsid w:val="00377914"/>
    <w:rsid w:val="00377FD0"/>
    <w:rsid w:val="003808F1"/>
    <w:rsid w:val="003813AD"/>
    <w:rsid w:val="0038247D"/>
    <w:rsid w:val="00382ACA"/>
    <w:rsid w:val="0038365C"/>
    <w:rsid w:val="0038369B"/>
    <w:rsid w:val="00383B78"/>
    <w:rsid w:val="0038455D"/>
    <w:rsid w:val="00384B86"/>
    <w:rsid w:val="003852B0"/>
    <w:rsid w:val="00385A9D"/>
    <w:rsid w:val="003902B1"/>
    <w:rsid w:val="0039179C"/>
    <w:rsid w:val="003920DD"/>
    <w:rsid w:val="003923F1"/>
    <w:rsid w:val="003926C5"/>
    <w:rsid w:val="00392B66"/>
    <w:rsid w:val="00393491"/>
    <w:rsid w:val="0039385E"/>
    <w:rsid w:val="00393B1C"/>
    <w:rsid w:val="00393D21"/>
    <w:rsid w:val="00393FA3"/>
    <w:rsid w:val="003943C3"/>
    <w:rsid w:val="00394AFA"/>
    <w:rsid w:val="0039531F"/>
    <w:rsid w:val="00395E96"/>
    <w:rsid w:val="00396367"/>
    <w:rsid w:val="00396896"/>
    <w:rsid w:val="00396FD0"/>
    <w:rsid w:val="0039701B"/>
    <w:rsid w:val="003977A3"/>
    <w:rsid w:val="003A028F"/>
    <w:rsid w:val="003A1A7A"/>
    <w:rsid w:val="003A1D04"/>
    <w:rsid w:val="003A1E09"/>
    <w:rsid w:val="003A224F"/>
    <w:rsid w:val="003A2392"/>
    <w:rsid w:val="003A2831"/>
    <w:rsid w:val="003A3CB6"/>
    <w:rsid w:val="003A3ED1"/>
    <w:rsid w:val="003A4001"/>
    <w:rsid w:val="003A44DB"/>
    <w:rsid w:val="003A4C93"/>
    <w:rsid w:val="003A4EC1"/>
    <w:rsid w:val="003A5163"/>
    <w:rsid w:val="003A552C"/>
    <w:rsid w:val="003A5787"/>
    <w:rsid w:val="003A7307"/>
    <w:rsid w:val="003A7557"/>
    <w:rsid w:val="003A76A9"/>
    <w:rsid w:val="003A78DF"/>
    <w:rsid w:val="003A7900"/>
    <w:rsid w:val="003B0538"/>
    <w:rsid w:val="003B0DB0"/>
    <w:rsid w:val="003B12B1"/>
    <w:rsid w:val="003B21DB"/>
    <w:rsid w:val="003B2603"/>
    <w:rsid w:val="003B3971"/>
    <w:rsid w:val="003B434A"/>
    <w:rsid w:val="003B4706"/>
    <w:rsid w:val="003B4A6A"/>
    <w:rsid w:val="003B4F74"/>
    <w:rsid w:val="003B4F7E"/>
    <w:rsid w:val="003B50E7"/>
    <w:rsid w:val="003B5222"/>
    <w:rsid w:val="003B55D1"/>
    <w:rsid w:val="003B5B61"/>
    <w:rsid w:val="003B5D07"/>
    <w:rsid w:val="003B6065"/>
    <w:rsid w:val="003B6783"/>
    <w:rsid w:val="003B67B5"/>
    <w:rsid w:val="003B6DFA"/>
    <w:rsid w:val="003B712C"/>
    <w:rsid w:val="003B74F3"/>
    <w:rsid w:val="003B76FB"/>
    <w:rsid w:val="003C06F2"/>
    <w:rsid w:val="003C09BB"/>
    <w:rsid w:val="003C0B37"/>
    <w:rsid w:val="003C1654"/>
    <w:rsid w:val="003C16D4"/>
    <w:rsid w:val="003C36DF"/>
    <w:rsid w:val="003C3D17"/>
    <w:rsid w:val="003C4832"/>
    <w:rsid w:val="003C53E9"/>
    <w:rsid w:val="003C5542"/>
    <w:rsid w:val="003C5B8D"/>
    <w:rsid w:val="003C5C0D"/>
    <w:rsid w:val="003C6518"/>
    <w:rsid w:val="003C653D"/>
    <w:rsid w:val="003C6BA9"/>
    <w:rsid w:val="003C7052"/>
    <w:rsid w:val="003C7D19"/>
    <w:rsid w:val="003C7D2F"/>
    <w:rsid w:val="003D033A"/>
    <w:rsid w:val="003D05A9"/>
    <w:rsid w:val="003D0F67"/>
    <w:rsid w:val="003D1040"/>
    <w:rsid w:val="003D1148"/>
    <w:rsid w:val="003D1828"/>
    <w:rsid w:val="003D1DE4"/>
    <w:rsid w:val="003D1E9A"/>
    <w:rsid w:val="003D240A"/>
    <w:rsid w:val="003D2422"/>
    <w:rsid w:val="003D263F"/>
    <w:rsid w:val="003D28F4"/>
    <w:rsid w:val="003D39A1"/>
    <w:rsid w:val="003D3FBF"/>
    <w:rsid w:val="003D4483"/>
    <w:rsid w:val="003D478F"/>
    <w:rsid w:val="003D4A30"/>
    <w:rsid w:val="003D5557"/>
    <w:rsid w:val="003D6889"/>
    <w:rsid w:val="003D7452"/>
    <w:rsid w:val="003D79BB"/>
    <w:rsid w:val="003D7C98"/>
    <w:rsid w:val="003D7D9D"/>
    <w:rsid w:val="003E0543"/>
    <w:rsid w:val="003E074E"/>
    <w:rsid w:val="003E1F53"/>
    <w:rsid w:val="003E231E"/>
    <w:rsid w:val="003E3925"/>
    <w:rsid w:val="003E3FB7"/>
    <w:rsid w:val="003E439F"/>
    <w:rsid w:val="003E4C3D"/>
    <w:rsid w:val="003E4C5F"/>
    <w:rsid w:val="003E53CE"/>
    <w:rsid w:val="003E53E5"/>
    <w:rsid w:val="003E5557"/>
    <w:rsid w:val="003E571D"/>
    <w:rsid w:val="003E5C2B"/>
    <w:rsid w:val="003E7144"/>
    <w:rsid w:val="003E72C8"/>
    <w:rsid w:val="003E749E"/>
    <w:rsid w:val="003E7526"/>
    <w:rsid w:val="003E772C"/>
    <w:rsid w:val="003E7BA9"/>
    <w:rsid w:val="003F07C1"/>
    <w:rsid w:val="003F168F"/>
    <w:rsid w:val="003F2502"/>
    <w:rsid w:val="003F2520"/>
    <w:rsid w:val="003F28D6"/>
    <w:rsid w:val="003F4156"/>
    <w:rsid w:val="003F42DD"/>
    <w:rsid w:val="003F42FE"/>
    <w:rsid w:val="003F49BF"/>
    <w:rsid w:val="003F4D27"/>
    <w:rsid w:val="003F5AA3"/>
    <w:rsid w:val="003F5ADF"/>
    <w:rsid w:val="003F6009"/>
    <w:rsid w:val="003F60D4"/>
    <w:rsid w:val="003F6512"/>
    <w:rsid w:val="004002A2"/>
    <w:rsid w:val="00400B29"/>
    <w:rsid w:val="00400FC7"/>
    <w:rsid w:val="00401B10"/>
    <w:rsid w:val="00401FDA"/>
    <w:rsid w:val="00402C19"/>
    <w:rsid w:val="00403C33"/>
    <w:rsid w:val="00404725"/>
    <w:rsid w:val="0040504B"/>
    <w:rsid w:val="0040585F"/>
    <w:rsid w:val="004059F4"/>
    <w:rsid w:val="004066A9"/>
    <w:rsid w:val="0040718D"/>
    <w:rsid w:val="00407FE5"/>
    <w:rsid w:val="0041006C"/>
    <w:rsid w:val="004101B0"/>
    <w:rsid w:val="00410326"/>
    <w:rsid w:val="00410708"/>
    <w:rsid w:val="00410EC7"/>
    <w:rsid w:val="004119BE"/>
    <w:rsid w:val="00411B09"/>
    <w:rsid w:val="00411B0B"/>
    <w:rsid w:val="00411B39"/>
    <w:rsid w:val="004120C2"/>
    <w:rsid w:val="00412335"/>
    <w:rsid w:val="00412502"/>
    <w:rsid w:val="004127A7"/>
    <w:rsid w:val="00412810"/>
    <w:rsid w:val="00412A4F"/>
    <w:rsid w:val="00412CF6"/>
    <w:rsid w:val="00412DE0"/>
    <w:rsid w:val="00412E19"/>
    <w:rsid w:val="00413865"/>
    <w:rsid w:val="00413A1E"/>
    <w:rsid w:val="00414476"/>
    <w:rsid w:val="00414957"/>
    <w:rsid w:val="00414AD8"/>
    <w:rsid w:val="00414C2E"/>
    <w:rsid w:val="00414F5D"/>
    <w:rsid w:val="004151CF"/>
    <w:rsid w:val="00415454"/>
    <w:rsid w:val="004159FB"/>
    <w:rsid w:val="00415C88"/>
    <w:rsid w:val="00415EDF"/>
    <w:rsid w:val="00416364"/>
    <w:rsid w:val="00416D2F"/>
    <w:rsid w:val="00417136"/>
    <w:rsid w:val="0042011B"/>
    <w:rsid w:val="0042047F"/>
    <w:rsid w:val="00420621"/>
    <w:rsid w:val="00420AA6"/>
    <w:rsid w:val="00420B1E"/>
    <w:rsid w:val="00420B9F"/>
    <w:rsid w:val="0042192C"/>
    <w:rsid w:val="00422260"/>
    <w:rsid w:val="00423216"/>
    <w:rsid w:val="0042361A"/>
    <w:rsid w:val="00423A94"/>
    <w:rsid w:val="0042413F"/>
    <w:rsid w:val="0042477B"/>
    <w:rsid w:val="00425CE1"/>
    <w:rsid w:val="004263FF"/>
    <w:rsid w:val="0042641B"/>
    <w:rsid w:val="0042682F"/>
    <w:rsid w:val="00426C8C"/>
    <w:rsid w:val="00426D4C"/>
    <w:rsid w:val="00427388"/>
    <w:rsid w:val="00430C83"/>
    <w:rsid w:val="00430D98"/>
    <w:rsid w:val="004319F8"/>
    <w:rsid w:val="00431E55"/>
    <w:rsid w:val="004321F6"/>
    <w:rsid w:val="0043297C"/>
    <w:rsid w:val="00432C8F"/>
    <w:rsid w:val="00433044"/>
    <w:rsid w:val="004332F2"/>
    <w:rsid w:val="00434088"/>
    <w:rsid w:val="0043423B"/>
    <w:rsid w:val="0043427C"/>
    <w:rsid w:val="004344B5"/>
    <w:rsid w:val="00435B55"/>
    <w:rsid w:val="00435DD7"/>
    <w:rsid w:val="004367EA"/>
    <w:rsid w:val="00436C1E"/>
    <w:rsid w:val="00436EDD"/>
    <w:rsid w:val="004375B9"/>
    <w:rsid w:val="004379C7"/>
    <w:rsid w:val="00440394"/>
    <w:rsid w:val="004403AA"/>
    <w:rsid w:val="00441956"/>
    <w:rsid w:val="00441C59"/>
    <w:rsid w:val="00442242"/>
    <w:rsid w:val="004428D0"/>
    <w:rsid w:val="00442ECD"/>
    <w:rsid w:val="00444185"/>
    <w:rsid w:val="004443A7"/>
    <w:rsid w:val="0044442C"/>
    <w:rsid w:val="00444467"/>
    <w:rsid w:val="00444C2A"/>
    <w:rsid w:val="00444E01"/>
    <w:rsid w:val="00445829"/>
    <w:rsid w:val="00445941"/>
    <w:rsid w:val="00445F74"/>
    <w:rsid w:val="004464EB"/>
    <w:rsid w:val="004468F5"/>
    <w:rsid w:val="00446BDB"/>
    <w:rsid w:val="00447D26"/>
    <w:rsid w:val="00447DFC"/>
    <w:rsid w:val="004501C5"/>
    <w:rsid w:val="00450B5C"/>
    <w:rsid w:val="00452E42"/>
    <w:rsid w:val="00453AF8"/>
    <w:rsid w:val="00455682"/>
    <w:rsid w:val="00455B4E"/>
    <w:rsid w:val="00455D45"/>
    <w:rsid w:val="004561BD"/>
    <w:rsid w:val="004566B6"/>
    <w:rsid w:val="00456AB8"/>
    <w:rsid w:val="004607E8"/>
    <w:rsid w:val="00460D9F"/>
    <w:rsid w:val="004617D3"/>
    <w:rsid w:val="00462991"/>
    <w:rsid w:val="004640AE"/>
    <w:rsid w:val="00464595"/>
    <w:rsid w:val="00464DC2"/>
    <w:rsid w:val="00464EE8"/>
    <w:rsid w:val="00464FDA"/>
    <w:rsid w:val="004658B5"/>
    <w:rsid w:val="00465E57"/>
    <w:rsid w:val="00466460"/>
    <w:rsid w:val="004666B9"/>
    <w:rsid w:val="00466D1C"/>
    <w:rsid w:val="0046705A"/>
    <w:rsid w:val="00467192"/>
    <w:rsid w:val="00467944"/>
    <w:rsid w:val="00471EA5"/>
    <w:rsid w:val="00472166"/>
    <w:rsid w:val="0047222E"/>
    <w:rsid w:val="00472A79"/>
    <w:rsid w:val="00473A1D"/>
    <w:rsid w:val="00473F19"/>
    <w:rsid w:val="004751B3"/>
    <w:rsid w:val="00475700"/>
    <w:rsid w:val="00475E22"/>
    <w:rsid w:val="00475F7D"/>
    <w:rsid w:val="0047647B"/>
    <w:rsid w:val="00476BB4"/>
    <w:rsid w:val="00477245"/>
    <w:rsid w:val="004804A8"/>
    <w:rsid w:val="00480876"/>
    <w:rsid w:val="0048088E"/>
    <w:rsid w:val="00480F2B"/>
    <w:rsid w:val="00482720"/>
    <w:rsid w:val="00482744"/>
    <w:rsid w:val="00483028"/>
    <w:rsid w:val="00483594"/>
    <w:rsid w:val="004835E7"/>
    <w:rsid w:val="00483D85"/>
    <w:rsid w:val="00484FAD"/>
    <w:rsid w:val="004867E2"/>
    <w:rsid w:val="00486D1D"/>
    <w:rsid w:val="00486D59"/>
    <w:rsid w:val="0048765C"/>
    <w:rsid w:val="00487A66"/>
    <w:rsid w:val="00490B17"/>
    <w:rsid w:val="00491B3A"/>
    <w:rsid w:val="00491C69"/>
    <w:rsid w:val="004920CE"/>
    <w:rsid w:val="00492966"/>
    <w:rsid w:val="00492CFD"/>
    <w:rsid w:val="00493033"/>
    <w:rsid w:val="00494207"/>
    <w:rsid w:val="00494878"/>
    <w:rsid w:val="00494DD5"/>
    <w:rsid w:val="0049554F"/>
    <w:rsid w:val="004959E9"/>
    <w:rsid w:val="00495C31"/>
    <w:rsid w:val="00495FF2"/>
    <w:rsid w:val="0049607B"/>
    <w:rsid w:val="004962D2"/>
    <w:rsid w:val="004965A0"/>
    <w:rsid w:val="0049793D"/>
    <w:rsid w:val="00497B9C"/>
    <w:rsid w:val="00497EF4"/>
    <w:rsid w:val="004A0086"/>
    <w:rsid w:val="004A01F6"/>
    <w:rsid w:val="004A0DA1"/>
    <w:rsid w:val="004A0EC7"/>
    <w:rsid w:val="004A1238"/>
    <w:rsid w:val="004A13D6"/>
    <w:rsid w:val="004A2097"/>
    <w:rsid w:val="004A225B"/>
    <w:rsid w:val="004A3B42"/>
    <w:rsid w:val="004A4220"/>
    <w:rsid w:val="004A52E9"/>
    <w:rsid w:val="004A6040"/>
    <w:rsid w:val="004A62C6"/>
    <w:rsid w:val="004A6425"/>
    <w:rsid w:val="004A6597"/>
    <w:rsid w:val="004A699D"/>
    <w:rsid w:val="004A6F2F"/>
    <w:rsid w:val="004A7848"/>
    <w:rsid w:val="004A7934"/>
    <w:rsid w:val="004B0A70"/>
    <w:rsid w:val="004B0AC9"/>
    <w:rsid w:val="004B15B3"/>
    <w:rsid w:val="004B1BD6"/>
    <w:rsid w:val="004B1CB4"/>
    <w:rsid w:val="004B2F18"/>
    <w:rsid w:val="004B3C2B"/>
    <w:rsid w:val="004B3CE9"/>
    <w:rsid w:val="004B3DDB"/>
    <w:rsid w:val="004B4058"/>
    <w:rsid w:val="004B44FD"/>
    <w:rsid w:val="004B537A"/>
    <w:rsid w:val="004B5CFC"/>
    <w:rsid w:val="004B6F79"/>
    <w:rsid w:val="004B774D"/>
    <w:rsid w:val="004C1BE7"/>
    <w:rsid w:val="004C3D6A"/>
    <w:rsid w:val="004C4278"/>
    <w:rsid w:val="004C430C"/>
    <w:rsid w:val="004C4AED"/>
    <w:rsid w:val="004C4E42"/>
    <w:rsid w:val="004C5FCA"/>
    <w:rsid w:val="004C6F36"/>
    <w:rsid w:val="004C72B8"/>
    <w:rsid w:val="004C7757"/>
    <w:rsid w:val="004C7F02"/>
    <w:rsid w:val="004D0243"/>
    <w:rsid w:val="004D0F89"/>
    <w:rsid w:val="004D18F0"/>
    <w:rsid w:val="004D2A8C"/>
    <w:rsid w:val="004D2C2D"/>
    <w:rsid w:val="004D3611"/>
    <w:rsid w:val="004D40EA"/>
    <w:rsid w:val="004D4D53"/>
    <w:rsid w:val="004D5D1A"/>
    <w:rsid w:val="004D5E89"/>
    <w:rsid w:val="004D65BA"/>
    <w:rsid w:val="004D683D"/>
    <w:rsid w:val="004D69B5"/>
    <w:rsid w:val="004D7227"/>
    <w:rsid w:val="004D7AAC"/>
    <w:rsid w:val="004E0E7F"/>
    <w:rsid w:val="004E0EB8"/>
    <w:rsid w:val="004E1236"/>
    <w:rsid w:val="004E18E9"/>
    <w:rsid w:val="004E25E6"/>
    <w:rsid w:val="004E2953"/>
    <w:rsid w:val="004E29F8"/>
    <w:rsid w:val="004E2ADC"/>
    <w:rsid w:val="004E2F9A"/>
    <w:rsid w:val="004E3559"/>
    <w:rsid w:val="004E40EA"/>
    <w:rsid w:val="004E4311"/>
    <w:rsid w:val="004E43B2"/>
    <w:rsid w:val="004E4CB1"/>
    <w:rsid w:val="004E54DC"/>
    <w:rsid w:val="004E5557"/>
    <w:rsid w:val="004E77F5"/>
    <w:rsid w:val="004F11BC"/>
    <w:rsid w:val="004F1D02"/>
    <w:rsid w:val="004F2506"/>
    <w:rsid w:val="004F2679"/>
    <w:rsid w:val="004F26FC"/>
    <w:rsid w:val="004F275F"/>
    <w:rsid w:val="004F2DE0"/>
    <w:rsid w:val="004F2F21"/>
    <w:rsid w:val="004F39A7"/>
    <w:rsid w:val="004F3DE5"/>
    <w:rsid w:val="004F3EF2"/>
    <w:rsid w:val="004F428B"/>
    <w:rsid w:val="004F42F3"/>
    <w:rsid w:val="004F4A90"/>
    <w:rsid w:val="004F52B9"/>
    <w:rsid w:val="004F6913"/>
    <w:rsid w:val="004F7865"/>
    <w:rsid w:val="004F79C8"/>
    <w:rsid w:val="004F7C5B"/>
    <w:rsid w:val="00500872"/>
    <w:rsid w:val="005008A3"/>
    <w:rsid w:val="0050174E"/>
    <w:rsid w:val="00501854"/>
    <w:rsid w:val="0050219B"/>
    <w:rsid w:val="00502B85"/>
    <w:rsid w:val="00502DD1"/>
    <w:rsid w:val="0050312C"/>
    <w:rsid w:val="00503F17"/>
    <w:rsid w:val="0050554E"/>
    <w:rsid w:val="00506928"/>
    <w:rsid w:val="0050749B"/>
    <w:rsid w:val="005077EF"/>
    <w:rsid w:val="005102C8"/>
    <w:rsid w:val="0051054F"/>
    <w:rsid w:val="00510E8A"/>
    <w:rsid w:val="00511AD5"/>
    <w:rsid w:val="00511DC7"/>
    <w:rsid w:val="005121D0"/>
    <w:rsid w:val="005121E1"/>
    <w:rsid w:val="0051342F"/>
    <w:rsid w:val="0051422A"/>
    <w:rsid w:val="005142C5"/>
    <w:rsid w:val="005143A8"/>
    <w:rsid w:val="00514E7B"/>
    <w:rsid w:val="0051501B"/>
    <w:rsid w:val="005152B5"/>
    <w:rsid w:val="005152CD"/>
    <w:rsid w:val="00515C98"/>
    <w:rsid w:val="005175F8"/>
    <w:rsid w:val="005178C2"/>
    <w:rsid w:val="00520767"/>
    <w:rsid w:val="00520A9C"/>
    <w:rsid w:val="00520E68"/>
    <w:rsid w:val="00521124"/>
    <w:rsid w:val="0052123C"/>
    <w:rsid w:val="00521319"/>
    <w:rsid w:val="00521387"/>
    <w:rsid w:val="005213CD"/>
    <w:rsid w:val="00521CFB"/>
    <w:rsid w:val="005229A4"/>
    <w:rsid w:val="00522BC8"/>
    <w:rsid w:val="00523738"/>
    <w:rsid w:val="00523C28"/>
    <w:rsid w:val="00523E55"/>
    <w:rsid w:val="00524634"/>
    <w:rsid w:val="00526FBC"/>
    <w:rsid w:val="005271E7"/>
    <w:rsid w:val="005277B7"/>
    <w:rsid w:val="00530E6E"/>
    <w:rsid w:val="0053176B"/>
    <w:rsid w:val="00531A28"/>
    <w:rsid w:val="00532443"/>
    <w:rsid w:val="005324EC"/>
    <w:rsid w:val="00532A02"/>
    <w:rsid w:val="005330DB"/>
    <w:rsid w:val="005336D4"/>
    <w:rsid w:val="00533E2D"/>
    <w:rsid w:val="00534095"/>
    <w:rsid w:val="005348DE"/>
    <w:rsid w:val="00535AC5"/>
    <w:rsid w:val="00536BFB"/>
    <w:rsid w:val="00536F42"/>
    <w:rsid w:val="00537020"/>
    <w:rsid w:val="00537182"/>
    <w:rsid w:val="00540130"/>
    <w:rsid w:val="00541A7C"/>
    <w:rsid w:val="00541EDD"/>
    <w:rsid w:val="0054248F"/>
    <w:rsid w:val="00542743"/>
    <w:rsid w:val="00542C2D"/>
    <w:rsid w:val="005436E3"/>
    <w:rsid w:val="00543963"/>
    <w:rsid w:val="00544096"/>
    <w:rsid w:val="00544ABB"/>
    <w:rsid w:val="00545052"/>
    <w:rsid w:val="0054689F"/>
    <w:rsid w:val="0054697F"/>
    <w:rsid w:val="005473F5"/>
    <w:rsid w:val="005478BD"/>
    <w:rsid w:val="005479E3"/>
    <w:rsid w:val="00547C69"/>
    <w:rsid w:val="00550746"/>
    <w:rsid w:val="00550EE5"/>
    <w:rsid w:val="0055146A"/>
    <w:rsid w:val="00551985"/>
    <w:rsid w:val="00551D99"/>
    <w:rsid w:val="005526C1"/>
    <w:rsid w:val="00552BD3"/>
    <w:rsid w:val="005531EC"/>
    <w:rsid w:val="005532A0"/>
    <w:rsid w:val="005532A9"/>
    <w:rsid w:val="00553437"/>
    <w:rsid w:val="005543C4"/>
    <w:rsid w:val="00554BF7"/>
    <w:rsid w:val="00555109"/>
    <w:rsid w:val="00556A85"/>
    <w:rsid w:val="00556B35"/>
    <w:rsid w:val="0055719C"/>
    <w:rsid w:val="0055741A"/>
    <w:rsid w:val="0055752F"/>
    <w:rsid w:val="00557605"/>
    <w:rsid w:val="00560406"/>
    <w:rsid w:val="005611B7"/>
    <w:rsid w:val="005611BA"/>
    <w:rsid w:val="005618D4"/>
    <w:rsid w:val="00565C1D"/>
    <w:rsid w:val="00565DF0"/>
    <w:rsid w:val="0056696F"/>
    <w:rsid w:val="0056698E"/>
    <w:rsid w:val="00567494"/>
    <w:rsid w:val="005703FC"/>
    <w:rsid w:val="005705B8"/>
    <w:rsid w:val="00571968"/>
    <w:rsid w:val="00571C7F"/>
    <w:rsid w:val="00571D86"/>
    <w:rsid w:val="00571E04"/>
    <w:rsid w:val="00572269"/>
    <w:rsid w:val="0057244A"/>
    <w:rsid w:val="005725B7"/>
    <w:rsid w:val="00572F26"/>
    <w:rsid w:val="00574B2B"/>
    <w:rsid w:val="00574B83"/>
    <w:rsid w:val="00574EFF"/>
    <w:rsid w:val="005750C5"/>
    <w:rsid w:val="005752DE"/>
    <w:rsid w:val="005757FE"/>
    <w:rsid w:val="00575D8D"/>
    <w:rsid w:val="00576972"/>
    <w:rsid w:val="00576C46"/>
    <w:rsid w:val="005774D5"/>
    <w:rsid w:val="005775BF"/>
    <w:rsid w:val="00580674"/>
    <w:rsid w:val="005807A4"/>
    <w:rsid w:val="00580895"/>
    <w:rsid w:val="00581224"/>
    <w:rsid w:val="0058310F"/>
    <w:rsid w:val="00583699"/>
    <w:rsid w:val="00584D9C"/>
    <w:rsid w:val="0058502D"/>
    <w:rsid w:val="0058543F"/>
    <w:rsid w:val="00585828"/>
    <w:rsid w:val="00585CDD"/>
    <w:rsid w:val="00585E81"/>
    <w:rsid w:val="00586196"/>
    <w:rsid w:val="00586344"/>
    <w:rsid w:val="00587058"/>
    <w:rsid w:val="00587FC7"/>
    <w:rsid w:val="005908EF"/>
    <w:rsid w:val="00590E1A"/>
    <w:rsid w:val="00590F72"/>
    <w:rsid w:val="005910D2"/>
    <w:rsid w:val="005916AF"/>
    <w:rsid w:val="00591957"/>
    <w:rsid w:val="005921FD"/>
    <w:rsid w:val="0059360E"/>
    <w:rsid w:val="00593E2B"/>
    <w:rsid w:val="00594516"/>
    <w:rsid w:val="00594A82"/>
    <w:rsid w:val="005957BD"/>
    <w:rsid w:val="00595C3D"/>
    <w:rsid w:val="00596114"/>
    <w:rsid w:val="00596F0C"/>
    <w:rsid w:val="00597018"/>
    <w:rsid w:val="00597509"/>
    <w:rsid w:val="00597BF9"/>
    <w:rsid w:val="00597C3B"/>
    <w:rsid w:val="005A0148"/>
    <w:rsid w:val="005A15A6"/>
    <w:rsid w:val="005A1903"/>
    <w:rsid w:val="005A1A18"/>
    <w:rsid w:val="005A309A"/>
    <w:rsid w:val="005A32C5"/>
    <w:rsid w:val="005A3371"/>
    <w:rsid w:val="005A373D"/>
    <w:rsid w:val="005A4273"/>
    <w:rsid w:val="005A48A7"/>
    <w:rsid w:val="005A4982"/>
    <w:rsid w:val="005A5806"/>
    <w:rsid w:val="005A6CF3"/>
    <w:rsid w:val="005A7AD0"/>
    <w:rsid w:val="005B03AE"/>
    <w:rsid w:val="005B0B0C"/>
    <w:rsid w:val="005B0B58"/>
    <w:rsid w:val="005B10A1"/>
    <w:rsid w:val="005B15A4"/>
    <w:rsid w:val="005B19DE"/>
    <w:rsid w:val="005B3810"/>
    <w:rsid w:val="005B3C24"/>
    <w:rsid w:val="005B3CC1"/>
    <w:rsid w:val="005B4176"/>
    <w:rsid w:val="005B46E8"/>
    <w:rsid w:val="005B4A9B"/>
    <w:rsid w:val="005B4CA1"/>
    <w:rsid w:val="005B4E53"/>
    <w:rsid w:val="005B50C3"/>
    <w:rsid w:val="005B54CC"/>
    <w:rsid w:val="005B553F"/>
    <w:rsid w:val="005B5857"/>
    <w:rsid w:val="005B5DFF"/>
    <w:rsid w:val="005B72EC"/>
    <w:rsid w:val="005C0093"/>
    <w:rsid w:val="005C1A87"/>
    <w:rsid w:val="005C1AD8"/>
    <w:rsid w:val="005C1B83"/>
    <w:rsid w:val="005C2003"/>
    <w:rsid w:val="005C25FF"/>
    <w:rsid w:val="005C2D55"/>
    <w:rsid w:val="005C3296"/>
    <w:rsid w:val="005C346B"/>
    <w:rsid w:val="005C347D"/>
    <w:rsid w:val="005C36FD"/>
    <w:rsid w:val="005C47D6"/>
    <w:rsid w:val="005C4B39"/>
    <w:rsid w:val="005C52FC"/>
    <w:rsid w:val="005C5A11"/>
    <w:rsid w:val="005C65FC"/>
    <w:rsid w:val="005C697E"/>
    <w:rsid w:val="005C6EF7"/>
    <w:rsid w:val="005C72B9"/>
    <w:rsid w:val="005C7E70"/>
    <w:rsid w:val="005C7EFA"/>
    <w:rsid w:val="005C7FFB"/>
    <w:rsid w:val="005D044D"/>
    <w:rsid w:val="005D067A"/>
    <w:rsid w:val="005D0A40"/>
    <w:rsid w:val="005D0ABD"/>
    <w:rsid w:val="005D0E4D"/>
    <w:rsid w:val="005D1332"/>
    <w:rsid w:val="005D18AD"/>
    <w:rsid w:val="005D26A1"/>
    <w:rsid w:val="005D26B4"/>
    <w:rsid w:val="005D294C"/>
    <w:rsid w:val="005D39D2"/>
    <w:rsid w:val="005D42D7"/>
    <w:rsid w:val="005D4745"/>
    <w:rsid w:val="005D4DDC"/>
    <w:rsid w:val="005D50E8"/>
    <w:rsid w:val="005D5B2F"/>
    <w:rsid w:val="005D6651"/>
    <w:rsid w:val="005D69A9"/>
    <w:rsid w:val="005D73D2"/>
    <w:rsid w:val="005D7A43"/>
    <w:rsid w:val="005E0C38"/>
    <w:rsid w:val="005E1CAD"/>
    <w:rsid w:val="005E1E03"/>
    <w:rsid w:val="005E2D0A"/>
    <w:rsid w:val="005E3F97"/>
    <w:rsid w:val="005E4743"/>
    <w:rsid w:val="005E51D7"/>
    <w:rsid w:val="005E574E"/>
    <w:rsid w:val="005E61DC"/>
    <w:rsid w:val="005E6329"/>
    <w:rsid w:val="005E6CBC"/>
    <w:rsid w:val="005E72FF"/>
    <w:rsid w:val="005E73C0"/>
    <w:rsid w:val="005E751D"/>
    <w:rsid w:val="005E7DB1"/>
    <w:rsid w:val="005E7F0D"/>
    <w:rsid w:val="005F12BB"/>
    <w:rsid w:val="005F137A"/>
    <w:rsid w:val="005F2706"/>
    <w:rsid w:val="005F2866"/>
    <w:rsid w:val="005F32BD"/>
    <w:rsid w:val="005F35E6"/>
    <w:rsid w:val="005F4A39"/>
    <w:rsid w:val="005F4CED"/>
    <w:rsid w:val="005F5328"/>
    <w:rsid w:val="005F5C39"/>
    <w:rsid w:val="005F65D7"/>
    <w:rsid w:val="005F6658"/>
    <w:rsid w:val="005F678A"/>
    <w:rsid w:val="005F6A8F"/>
    <w:rsid w:val="005F6BB7"/>
    <w:rsid w:val="005F7588"/>
    <w:rsid w:val="005F7637"/>
    <w:rsid w:val="005F7C98"/>
    <w:rsid w:val="005F7D3B"/>
    <w:rsid w:val="006004EF"/>
    <w:rsid w:val="0060290E"/>
    <w:rsid w:val="00602A66"/>
    <w:rsid w:val="00603DB9"/>
    <w:rsid w:val="00603F7D"/>
    <w:rsid w:val="00604067"/>
    <w:rsid w:val="00605238"/>
    <w:rsid w:val="006052A9"/>
    <w:rsid w:val="00605C62"/>
    <w:rsid w:val="00606C14"/>
    <w:rsid w:val="00606FBA"/>
    <w:rsid w:val="0060754F"/>
    <w:rsid w:val="00607669"/>
    <w:rsid w:val="006076F4"/>
    <w:rsid w:val="00607AFD"/>
    <w:rsid w:val="00607C19"/>
    <w:rsid w:val="00610929"/>
    <w:rsid w:val="00610A2E"/>
    <w:rsid w:val="00612416"/>
    <w:rsid w:val="006125F6"/>
    <w:rsid w:val="0061275D"/>
    <w:rsid w:val="006129C2"/>
    <w:rsid w:val="00612F97"/>
    <w:rsid w:val="006131EC"/>
    <w:rsid w:val="00613368"/>
    <w:rsid w:val="0061345D"/>
    <w:rsid w:val="006139B4"/>
    <w:rsid w:val="0061549B"/>
    <w:rsid w:val="00616412"/>
    <w:rsid w:val="00616802"/>
    <w:rsid w:val="00616D86"/>
    <w:rsid w:val="00617032"/>
    <w:rsid w:val="00617E12"/>
    <w:rsid w:val="0062028A"/>
    <w:rsid w:val="006206A5"/>
    <w:rsid w:val="00620AC6"/>
    <w:rsid w:val="00620C25"/>
    <w:rsid w:val="00621477"/>
    <w:rsid w:val="006218CC"/>
    <w:rsid w:val="00621ADA"/>
    <w:rsid w:val="0062291C"/>
    <w:rsid w:val="0062324F"/>
    <w:rsid w:val="00623724"/>
    <w:rsid w:val="00623F7B"/>
    <w:rsid w:val="0062457F"/>
    <w:rsid w:val="00626546"/>
    <w:rsid w:val="006307A5"/>
    <w:rsid w:val="006309D3"/>
    <w:rsid w:val="0063158F"/>
    <w:rsid w:val="00631D6B"/>
    <w:rsid w:val="00632183"/>
    <w:rsid w:val="006322DB"/>
    <w:rsid w:val="00632F41"/>
    <w:rsid w:val="006330A1"/>
    <w:rsid w:val="00633288"/>
    <w:rsid w:val="00633CC0"/>
    <w:rsid w:val="00633F7A"/>
    <w:rsid w:val="0063446C"/>
    <w:rsid w:val="0063465B"/>
    <w:rsid w:val="0063479F"/>
    <w:rsid w:val="00634AF2"/>
    <w:rsid w:val="00634BF6"/>
    <w:rsid w:val="00634D54"/>
    <w:rsid w:val="00634E6D"/>
    <w:rsid w:val="00634FA1"/>
    <w:rsid w:val="006353F0"/>
    <w:rsid w:val="006357B5"/>
    <w:rsid w:val="00635C39"/>
    <w:rsid w:val="006363D0"/>
    <w:rsid w:val="006364A1"/>
    <w:rsid w:val="0063678E"/>
    <w:rsid w:val="006371E8"/>
    <w:rsid w:val="00637378"/>
    <w:rsid w:val="006375CB"/>
    <w:rsid w:val="00637BFD"/>
    <w:rsid w:val="00637EC7"/>
    <w:rsid w:val="00640033"/>
    <w:rsid w:val="006407AD"/>
    <w:rsid w:val="00640EF3"/>
    <w:rsid w:val="0064180C"/>
    <w:rsid w:val="00641C4E"/>
    <w:rsid w:val="00641FB3"/>
    <w:rsid w:val="006420CB"/>
    <w:rsid w:val="006425BF"/>
    <w:rsid w:val="00643660"/>
    <w:rsid w:val="00644217"/>
    <w:rsid w:val="00644255"/>
    <w:rsid w:val="0064434C"/>
    <w:rsid w:val="00646112"/>
    <w:rsid w:val="00646913"/>
    <w:rsid w:val="00646B88"/>
    <w:rsid w:val="00646EF3"/>
    <w:rsid w:val="00647159"/>
    <w:rsid w:val="006471CC"/>
    <w:rsid w:val="006472E4"/>
    <w:rsid w:val="006476C2"/>
    <w:rsid w:val="00647A29"/>
    <w:rsid w:val="00647F7C"/>
    <w:rsid w:val="00647FC2"/>
    <w:rsid w:val="0065079F"/>
    <w:rsid w:val="00651A26"/>
    <w:rsid w:val="00651EC1"/>
    <w:rsid w:val="006527A0"/>
    <w:rsid w:val="006529E4"/>
    <w:rsid w:val="00652A28"/>
    <w:rsid w:val="00652AB7"/>
    <w:rsid w:val="0065379F"/>
    <w:rsid w:val="00653C17"/>
    <w:rsid w:val="0065448D"/>
    <w:rsid w:val="00655D62"/>
    <w:rsid w:val="00656188"/>
    <w:rsid w:val="00656EDC"/>
    <w:rsid w:val="0065715A"/>
    <w:rsid w:val="00657222"/>
    <w:rsid w:val="006574A8"/>
    <w:rsid w:val="006577B1"/>
    <w:rsid w:val="00657994"/>
    <w:rsid w:val="006600C1"/>
    <w:rsid w:val="006610F1"/>
    <w:rsid w:val="00661C6B"/>
    <w:rsid w:val="006620BD"/>
    <w:rsid w:val="006621DA"/>
    <w:rsid w:val="00662B60"/>
    <w:rsid w:val="00662B72"/>
    <w:rsid w:val="00662B78"/>
    <w:rsid w:val="006630BE"/>
    <w:rsid w:val="00663451"/>
    <w:rsid w:val="00664428"/>
    <w:rsid w:val="006646EB"/>
    <w:rsid w:val="00664AD5"/>
    <w:rsid w:val="00665CB6"/>
    <w:rsid w:val="0066685A"/>
    <w:rsid w:val="00666A4D"/>
    <w:rsid w:val="00666C5F"/>
    <w:rsid w:val="0066718D"/>
    <w:rsid w:val="006674AC"/>
    <w:rsid w:val="006676EE"/>
    <w:rsid w:val="006705CB"/>
    <w:rsid w:val="00670A87"/>
    <w:rsid w:val="00671004"/>
    <w:rsid w:val="006712CC"/>
    <w:rsid w:val="00671BBA"/>
    <w:rsid w:val="00671FD9"/>
    <w:rsid w:val="00672561"/>
    <w:rsid w:val="00672646"/>
    <w:rsid w:val="00674B88"/>
    <w:rsid w:val="00674E42"/>
    <w:rsid w:val="00674F4B"/>
    <w:rsid w:val="00675489"/>
    <w:rsid w:val="00675868"/>
    <w:rsid w:val="00675EAD"/>
    <w:rsid w:val="0067712D"/>
    <w:rsid w:val="00677813"/>
    <w:rsid w:val="00677B5B"/>
    <w:rsid w:val="006813F8"/>
    <w:rsid w:val="00681762"/>
    <w:rsid w:val="00682112"/>
    <w:rsid w:val="00682436"/>
    <w:rsid w:val="00682BA6"/>
    <w:rsid w:val="00682C6E"/>
    <w:rsid w:val="00682F68"/>
    <w:rsid w:val="00683550"/>
    <w:rsid w:val="006838BB"/>
    <w:rsid w:val="0068407E"/>
    <w:rsid w:val="006845CA"/>
    <w:rsid w:val="00684617"/>
    <w:rsid w:val="00684A59"/>
    <w:rsid w:val="00686646"/>
    <w:rsid w:val="00686957"/>
    <w:rsid w:val="006872BA"/>
    <w:rsid w:val="00687A98"/>
    <w:rsid w:val="00687CB5"/>
    <w:rsid w:val="0069060D"/>
    <w:rsid w:val="00690795"/>
    <w:rsid w:val="00691648"/>
    <w:rsid w:val="006917D7"/>
    <w:rsid w:val="00691AE2"/>
    <w:rsid w:val="006925DD"/>
    <w:rsid w:val="00692C57"/>
    <w:rsid w:val="0069306B"/>
    <w:rsid w:val="0069434C"/>
    <w:rsid w:val="00694F44"/>
    <w:rsid w:val="006968AC"/>
    <w:rsid w:val="00696F51"/>
    <w:rsid w:val="0069716D"/>
    <w:rsid w:val="006979A5"/>
    <w:rsid w:val="006A0921"/>
    <w:rsid w:val="006A0FA0"/>
    <w:rsid w:val="006A1212"/>
    <w:rsid w:val="006A28EF"/>
    <w:rsid w:val="006A3761"/>
    <w:rsid w:val="006A3F11"/>
    <w:rsid w:val="006A3F85"/>
    <w:rsid w:val="006A57D4"/>
    <w:rsid w:val="006A5D01"/>
    <w:rsid w:val="006A6406"/>
    <w:rsid w:val="006A6B99"/>
    <w:rsid w:val="006A7C30"/>
    <w:rsid w:val="006A7E5F"/>
    <w:rsid w:val="006B104F"/>
    <w:rsid w:val="006B261B"/>
    <w:rsid w:val="006B29D7"/>
    <w:rsid w:val="006B2C90"/>
    <w:rsid w:val="006B328C"/>
    <w:rsid w:val="006B35E6"/>
    <w:rsid w:val="006B38D0"/>
    <w:rsid w:val="006B3AFB"/>
    <w:rsid w:val="006B465A"/>
    <w:rsid w:val="006B535E"/>
    <w:rsid w:val="006B66D0"/>
    <w:rsid w:val="006B6DD0"/>
    <w:rsid w:val="006B6EB2"/>
    <w:rsid w:val="006C0399"/>
    <w:rsid w:val="006C043B"/>
    <w:rsid w:val="006C0708"/>
    <w:rsid w:val="006C0C21"/>
    <w:rsid w:val="006C1ABB"/>
    <w:rsid w:val="006C1AE9"/>
    <w:rsid w:val="006C1C47"/>
    <w:rsid w:val="006C2A2C"/>
    <w:rsid w:val="006C2A8E"/>
    <w:rsid w:val="006C30A5"/>
    <w:rsid w:val="006C3255"/>
    <w:rsid w:val="006C32F6"/>
    <w:rsid w:val="006C3F26"/>
    <w:rsid w:val="006C6347"/>
    <w:rsid w:val="006C6CE4"/>
    <w:rsid w:val="006D0329"/>
    <w:rsid w:val="006D065B"/>
    <w:rsid w:val="006D0D17"/>
    <w:rsid w:val="006D0E17"/>
    <w:rsid w:val="006D10A8"/>
    <w:rsid w:val="006D272D"/>
    <w:rsid w:val="006D2A2F"/>
    <w:rsid w:val="006D3140"/>
    <w:rsid w:val="006D3C7D"/>
    <w:rsid w:val="006D41A1"/>
    <w:rsid w:val="006D4500"/>
    <w:rsid w:val="006D4659"/>
    <w:rsid w:val="006D491B"/>
    <w:rsid w:val="006D5460"/>
    <w:rsid w:val="006D57CD"/>
    <w:rsid w:val="006D5A44"/>
    <w:rsid w:val="006D5AA9"/>
    <w:rsid w:val="006D5CA4"/>
    <w:rsid w:val="006D5D0A"/>
    <w:rsid w:val="006D5D5F"/>
    <w:rsid w:val="006D6315"/>
    <w:rsid w:val="006D68FB"/>
    <w:rsid w:val="006D75BE"/>
    <w:rsid w:val="006D7B9F"/>
    <w:rsid w:val="006E01DB"/>
    <w:rsid w:val="006E050F"/>
    <w:rsid w:val="006E07C3"/>
    <w:rsid w:val="006E1250"/>
    <w:rsid w:val="006E2868"/>
    <w:rsid w:val="006E2AB3"/>
    <w:rsid w:val="006E2EE1"/>
    <w:rsid w:val="006E340A"/>
    <w:rsid w:val="006E3A7C"/>
    <w:rsid w:val="006E4AF1"/>
    <w:rsid w:val="006E4B93"/>
    <w:rsid w:val="006E609A"/>
    <w:rsid w:val="006E72C1"/>
    <w:rsid w:val="006E74CC"/>
    <w:rsid w:val="006F00C8"/>
    <w:rsid w:val="006F0D37"/>
    <w:rsid w:val="006F1FBE"/>
    <w:rsid w:val="006F306C"/>
    <w:rsid w:val="006F329D"/>
    <w:rsid w:val="006F4B58"/>
    <w:rsid w:val="006F5906"/>
    <w:rsid w:val="006F5EF6"/>
    <w:rsid w:val="006F63A5"/>
    <w:rsid w:val="006F6485"/>
    <w:rsid w:val="006F695C"/>
    <w:rsid w:val="006F7277"/>
    <w:rsid w:val="00701119"/>
    <w:rsid w:val="0070142B"/>
    <w:rsid w:val="0070157E"/>
    <w:rsid w:val="00701834"/>
    <w:rsid w:val="00701BF7"/>
    <w:rsid w:val="00702294"/>
    <w:rsid w:val="00702468"/>
    <w:rsid w:val="00702609"/>
    <w:rsid w:val="0070276E"/>
    <w:rsid w:val="00702F8F"/>
    <w:rsid w:val="0070470D"/>
    <w:rsid w:val="00705691"/>
    <w:rsid w:val="00705870"/>
    <w:rsid w:val="00705D44"/>
    <w:rsid w:val="007063F1"/>
    <w:rsid w:val="00706B80"/>
    <w:rsid w:val="0070780B"/>
    <w:rsid w:val="007079FC"/>
    <w:rsid w:val="00707CDC"/>
    <w:rsid w:val="0071039D"/>
    <w:rsid w:val="00710D8A"/>
    <w:rsid w:val="00711399"/>
    <w:rsid w:val="007117D2"/>
    <w:rsid w:val="00711A36"/>
    <w:rsid w:val="007129DF"/>
    <w:rsid w:val="0071349B"/>
    <w:rsid w:val="0071366D"/>
    <w:rsid w:val="00714C26"/>
    <w:rsid w:val="00714F66"/>
    <w:rsid w:val="0071529C"/>
    <w:rsid w:val="00715FDD"/>
    <w:rsid w:val="00716305"/>
    <w:rsid w:val="00716FD0"/>
    <w:rsid w:val="007170DA"/>
    <w:rsid w:val="007172AD"/>
    <w:rsid w:val="00717824"/>
    <w:rsid w:val="00717D8C"/>
    <w:rsid w:val="007204D8"/>
    <w:rsid w:val="00720801"/>
    <w:rsid w:val="00720864"/>
    <w:rsid w:val="00720A01"/>
    <w:rsid w:val="0072108E"/>
    <w:rsid w:val="00721795"/>
    <w:rsid w:val="00721D43"/>
    <w:rsid w:val="00721DCB"/>
    <w:rsid w:val="00721E28"/>
    <w:rsid w:val="0072291B"/>
    <w:rsid w:val="00722B1B"/>
    <w:rsid w:val="00722E10"/>
    <w:rsid w:val="00722F99"/>
    <w:rsid w:val="007232D1"/>
    <w:rsid w:val="00723C78"/>
    <w:rsid w:val="0072416F"/>
    <w:rsid w:val="007248AD"/>
    <w:rsid w:val="00724CBA"/>
    <w:rsid w:val="00725CA0"/>
    <w:rsid w:val="007277A0"/>
    <w:rsid w:val="00727C94"/>
    <w:rsid w:val="0073157D"/>
    <w:rsid w:val="00731B0A"/>
    <w:rsid w:val="00731D8B"/>
    <w:rsid w:val="00731EAE"/>
    <w:rsid w:val="00733073"/>
    <w:rsid w:val="007343F1"/>
    <w:rsid w:val="00734946"/>
    <w:rsid w:val="00735033"/>
    <w:rsid w:val="00735328"/>
    <w:rsid w:val="007359F7"/>
    <w:rsid w:val="00735B15"/>
    <w:rsid w:val="00736798"/>
    <w:rsid w:val="0073685B"/>
    <w:rsid w:val="007371C9"/>
    <w:rsid w:val="007375D2"/>
    <w:rsid w:val="00737619"/>
    <w:rsid w:val="00737634"/>
    <w:rsid w:val="00737CF1"/>
    <w:rsid w:val="007419C5"/>
    <w:rsid w:val="007419F2"/>
    <w:rsid w:val="00741ABD"/>
    <w:rsid w:val="00741EE2"/>
    <w:rsid w:val="007424E2"/>
    <w:rsid w:val="00742EBB"/>
    <w:rsid w:val="00742F33"/>
    <w:rsid w:val="00744182"/>
    <w:rsid w:val="007449BF"/>
    <w:rsid w:val="00744FCE"/>
    <w:rsid w:val="00745EA4"/>
    <w:rsid w:val="00746BC0"/>
    <w:rsid w:val="00746CD9"/>
    <w:rsid w:val="00747023"/>
    <w:rsid w:val="00747FA8"/>
    <w:rsid w:val="00750282"/>
    <w:rsid w:val="007510B4"/>
    <w:rsid w:val="007513F4"/>
    <w:rsid w:val="00751439"/>
    <w:rsid w:val="00751BEF"/>
    <w:rsid w:val="007520D4"/>
    <w:rsid w:val="00752142"/>
    <w:rsid w:val="007523F9"/>
    <w:rsid w:val="00752AEA"/>
    <w:rsid w:val="0075329A"/>
    <w:rsid w:val="00753366"/>
    <w:rsid w:val="0075357E"/>
    <w:rsid w:val="00753E45"/>
    <w:rsid w:val="00754264"/>
    <w:rsid w:val="0075489D"/>
    <w:rsid w:val="00754DA7"/>
    <w:rsid w:val="00754FFA"/>
    <w:rsid w:val="00756358"/>
    <w:rsid w:val="0075704D"/>
    <w:rsid w:val="007573E8"/>
    <w:rsid w:val="00757D67"/>
    <w:rsid w:val="00760C4E"/>
    <w:rsid w:val="00760CCB"/>
    <w:rsid w:val="00760F9E"/>
    <w:rsid w:val="0076108F"/>
    <w:rsid w:val="00762713"/>
    <w:rsid w:val="007627BE"/>
    <w:rsid w:val="00762CED"/>
    <w:rsid w:val="00762F28"/>
    <w:rsid w:val="00763224"/>
    <w:rsid w:val="00763C27"/>
    <w:rsid w:val="00764137"/>
    <w:rsid w:val="007645E3"/>
    <w:rsid w:val="00764F03"/>
    <w:rsid w:val="00765059"/>
    <w:rsid w:val="00765973"/>
    <w:rsid w:val="00765B1A"/>
    <w:rsid w:val="00765DA9"/>
    <w:rsid w:val="007661C8"/>
    <w:rsid w:val="00766346"/>
    <w:rsid w:val="00767550"/>
    <w:rsid w:val="00770A93"/>
    <w:rsid w:val="00770CE8"/>
    <w:rsid w:val="007728BB"/>
    <w:rsid w:val="00772A75"/>
    <w:rsid w:val="00772D9A"/>
    <w:rsid w:val="00772E34"/>
    <w:rsid w:val="007747A3"/>
    <w:rsid w:val="0077585D"/>
    <w:rsid w:val="0077626D"/>
    <w:rsid w:val="007771B9"/>
    <w:rsid w:val="00777335"/>
    <w:rsid w:val="00777495"/>
    <w:rsid w:val="00777825"/>
    <w:rsid w:val="00777DF6"/>
    <w:rsid w:val="00780095"/>
    <w:rsid w:val="0078230D"/>
    <w:rsid w:val="00782E0E"/>
    <w:rsid w:val="00782FE0"/>
    <w:rsid w:val="0078350B"/>
    <w:rsid w:val="0078376F"/>
    <w:rsid w:val="007843F2"/>
    <w:rsid w:val="00784B29"/>
    <w:rsid w:val="00784C85"/>
    <w:rsid w:val="00785A9F"/>
    <w:rsid w:val="00785ADB"/>
    <w:rsid w:val="00785CF2"/>
    <w:rsid w:val="00785F8F"/>
    <w:rsid w:val="00786E0A"/>
    <w:rsid w:val="00787240"/>
    <w:rsid w:val="00787E9C"/>
    <w:rsid w:val="0079092F"/>
    <w:rsid w:val="00791365"/>
    <w:rsid w:val="00791403"/>
    <w:rsid w:val="00791F55"/>
    <w:rsid w:val="007921C4"/>
    <w:rsid w:val="007925DF"/>
    <w:rsid w:val="00792D66"/>
    <w:rsid w:val="0079306A"/>
    <w:rsid w:val="007937E4"/>
    <w:rsid w:val="007939F4"/>
    <w:rsid w:val="00793A52"/>
    <w:rsid w:val="00793C3C"/>
    <w:rsid w:val="00794463"/>
    <w:rsid w:val="00794AD9"/>
    <w:rsid w:val="007950A9"/>
    <w:rsid w:val="00796DD5"/>
    <w:rsid w:val="007972CF"/>
    <w:rsid w:val="007A01BF"/>
    <w:rsid w:val="007A0320"/>
    <w:rsid w:val="007A08AA"/>
    <w:rsid w:val="007A0A12"/>
    <w:rsid w:val="007A132D"/>
    <w:rsid w:val="007A1345"/>
    <w:rsid w:val="007A1728"/>
    <w:rsid w:val="007A1FEB"/>
    <w:rsid w:val="007A281C"/>
    <w:rsid w:val="007A2DDB"/>
    <w:rsid w:val="007A32DF"/>
    <w:rsid w:val="007A3686"/>
    <w:rsid w:val="007A3750"/>
    <w:rsid w:val="007A39CF"/>
    <w:rsid w:val="007A4283"/>
    <w:rsid w:val="007A45D7"/>
    <w:rsid w:val="007A4D07"/>
    <w:rsid w:val="007A4F5B"/>
    <w:rsid w:val="007A6553"/>
    <w:rsid w:val="007A70BA"/>
    <w:rsid w:val="007A7E1A"/>
    <w:rsid w:val="007B0D68"/>
    <w:rsid w:val="007B131D"/>
    <w:rsid w:val="007B14FA"/>
    <w:rsid w:val="007B251D"/>
    <w:rsid w:val="007B3651"/>
    <w:rsid w:val="007B37E0"/>
    <w:rsid w:val="007B3AC8"/>
    <w:rsid w:val="007B406B"/>
    <w:rsid w:val="007B4086"/>
    <w:rsid w:val="007B4504"/>
    <w:rsid w:val="007B47D6"/>
    <w:rsid w:val="007B4BC9"/>
    <w:rsid w:val="007B4BD7"/>
    <w:rsid w:val="007B4F58"/>
    <w:rsid w:val="007B5113"/>
    <w:rsid w:val="007B528D"/>
    <w:rsid w:val="007B63CA"/>
    <w:rsid w:val="007B646A"/>
    <w:rsid w:val="007B69F9"/>
    <w:rsid w:val="007B720F"/>
    <w:rsid w:val="007B77D1"/>
    <w:rsid w:val="007B7A1C"/>
    <w:rsid w:val="007B7BE5"/>
    <w:rsid w:val="007C00C9"/>
    <w:rsid w:val="007C07C7"/>
    <w:rsid w:val="007C0B82"/>
    <w:rsid w:val="007C13E1"/>
    <w:rsid w:val="007C186E"/>
    <w:rsid w:val="007C1A15"/>
    <w:rsid w:val="007C1C94"/>
    <w:rsid w:val="007C1CD9"/>
    <w:rsid w:val="007C1E2A"/>
    <w:rsid w:val="007C2560"/>
    <w:rsid w:val="007C31FD"/>
    <w:rsid w:val="007C32EF"/>
    <w:rsid w:val="007C361D"/>
    <w:rsid w:val="007C4B84"/>
    <w:rsid w:val="007C6CB3"/>
    <w:rsid w:val="007C70FF"/>
    <w:rsid w:val="007C7C25"/>
    <w:rsid w:val="007D004F"/>
    <w:rsid w:val="007D00D4"/>
    <w:rsid w:val="007D0788"/>
    <w:rsid w:val="007D079E"/>
    <w:rsid w:val="007D0B38"/>
    <w:rsid w:val="007D1D2E"/>
    <w:rsid w:val="007D2F02"/>
    <w:rsid w:val="007D32F3"/>
    <w:rsid w:val="007D381A"/>
    <w:rsid w:val="007D3B70"/>
    <w:rsid w:val="007D4524"/>
    <w:rsid w:val="007D4809"/>
    <w:rsid w:val="007D4B3D"/>
    <w:rsid w:val="007D4CF3"/>
    <w:rsid w:val="007D4FB2"/>
    <w:rsid w:val="007D5440"/>
    <w:rsid w:val="007D5CBC"/>
    <w:rsid w:val="007D5E4F"/>
    <w:rsid w:val="007D61BC"/>
    <w:rsid w:val="007D69EB"/>
    <w:rsid w:val="007D6E54"/>
    <w:rsid w:val="007E04C3"/>
    <w:rsid w:val="007E051E"/>
    <w:rsid w:val="007E093E"/>
    <w:rsid w:val="007E0B08"/>
    <w:rsid w:val="007E128F"/>
    <w:rsid w:val="007E1BF4"/>
    <w:rsid w:val="007E2012"/>
    <w:rsid w:val="007E2410"/>
    <w:rsid w:val="007E2A1E"/>
    <w:rsid w:val="007E2EC5"/>
    <w:rsid w:val="007E3AD5"/>
    <w:rsid w:val="007E3CF7"/>
    <w:rsid w:val="007E3D24"/>
    <w:rsid w:val="007E503D"/>
    <w:rsid w:val="007E506D"/>
    <w:rsid w:val="007E58D9"/>
    <w:rsid w:val="007E593D"/>
    <w:rsid w:val="007E68E8"/>
    <w:rsid w:val="007E6B3D"/>
    <w:rsid w:val="007E6E65"/>
    <w:rsid w:val="007E752C"/>
    <w:rsid w:val="007E7A75"/>
    <w:rsid w:val="007F1017"/>
    <w:rsid w:val="007F109C"/>
    <w:rsid w:val="007F1FD8"/>
    <w:rsid w:val="007F3851"/>
    <w:rsid w:val="007F3B00"/>
    <w:rsid w:val="007F4969"/>
    <w:rsid w:val="007F4A3F"/>
    <w:rsid w:val="007F4A61"/>
    <w:rsid w:val="007F4C2B"/>
    <w:rsid w:val="007F5255"/>
    <w:rsid w:val="007F554B"/>
    <w:rsid w:val="007F56CC"/>
    <w:rsid w:val="007F5E36"/>
    <w:rsid w:val="007F61C2"/>
    <w:rsid w:val="007F6A16"/>
    <w:rsid w:val="007F6AED"/>
    <w:rsid w:val="007F72AA"/>
    <w:rsid w:val="008005B2"/>
    <w:rsid w:val="00800AC5"/>
    <w:rsid w:val="00800BEC"/>
    <w:rsid w:val="00800D4C"/>
    <w:rsid w:val="00801B49"/>
    <w:rsid w:val="00802563"/>
    <w:rsid w:val="00802D86"/>
    <w:rsid w:val="0080339B"/>
    <w:rsid w:val="00804147"/>
    <w:rsid w:val="00804B11"/>
    <w:rsid w:val="00805142"/>
    <w:rsid w:val="00805FCE"/>
    <w:rsid w:val="00806165"/>
    <w:rsid w:val="008065AA"/>
    <w:rsid w:val="008078A2"/>
    <w:rsid w:val="00807A8B"/>
    <w:rsid w:val="0081081B"/>
    <w:rsid w:val="0081093D"/>
    <w:rsid w:val="00811383"/>
    <w:rsid w:val="00811494"/>
    <w:rsid w:val="00812149"/>
    <w:rsid w:val="008123F6"/>
    <w:rsid w:val="0081286E"/>
    <w:rsid w:val="00812CAC"/>
    <w:rsid w:val="00812F76"/>
    <w:rsid w:val="00814E4C"/>
    <w:rsid w:val="00815AE4"/>
    <w:rsid w:val="00815D84"/>
    <w:rsid w:val="00816361"/>
    <w:rsid w:val="008166EF"/>
    <w:rsid w:val="008167DC"/>
    <w:rsid w:val="00816EA7"/>
    <w:rsid w:val="00816FEF"/>
    <w:rsid w:val="00817077"/>
    <w:rsid w:val="0081709E"/>
    <w:rsid w:val="008201F7"/>
    <w:rsid w:val="0082029B"/>
    <w:rsid w:val="0082075E"/>
    <w:rsid w:val="008208DB"/>
    <w:rsid w:val="00820A8C"/>
    <w:rsid w:val="0082127C"/>
    <w:rsid w:val="008214B6"/>
    <w:rsid w:val="008215FB"/>
    <w:rsid w:val="00821A41"/>
    <w:rsid w:val="00823174"/>
    <w:rsid w:val="008234D7"/>
    <w:rsid w:val="00823D86"/>
    <w:rsid w:val="0082504A"/>
    <w:rsid w:val="00825751"/>
    <w:rsid w:val="008264EB"/>
    <w:rsid w:val="00826EC8"/>
    <w:rsid w:val="008277B4"/>
    <w:rsid w:val="008306F6"/>
    <w:rsid w:val="00831112"/>
    <w:rsid w:val="00831422"/>
    <w:rsid w:val="00832AC6"/>
    <w:rsid w:val="0083357F"/>
    <w:rsid w:val="00833B05"/>
    <w:rsid w:val="00833F0F"/>
    <w:rsid w:val="008340EA"/>
    <w:rsid w:val="00834301"/>
    <w:rsid w:val="00835204"/>
    <w:rsid w:val="008355C7"/>
    <w:rsid w:val="00835900"/>
    <w:rsid w:val="008362B4"/>
    <w:rsid w:val="0083738F"/>
    <w:rsid w:val="00837B51"/>
    <w:rsid w:val="00837F0F"/>
    <w:rsid w:val="008406A4"/>
    <w:rsid w:val="00840CA2"/>
    <w:rsid w:val="0084231B"/>
    <w:rsid w:val="00842537"/>
    <w:rsid w:val="00842829"/>
    <w:rsid w:val="00842ED0"/>
    <w:rsid w:val="0084374F"/>
    <w:rsid w:val="00843757"/>
    <w:rsid w:val="008437B7"/>
    <w:rsid w:val="00844017"/>
    <w:rsid w:val="00844A22"/>
    <w:rsid w:val="00844E8B"/>
    <w:rsid w:val="00844FFE"/>
    <w:rsid w:val="008453E7"/>
    <w:rsid w:val="0084570D"/>
    <w:rsid w:val="0084624F"/>
    <w:rsid w:val="00846740"/>
    <w:rsid w:val="0084677B"/>
    <w:rsid w:val="00847703"/>
    <w:rsid w:val="00847DF5"/>
    <w:rsid w:val="0085212D"/>
    <w:rsid w:val="0085309D"/>
    <w:rsid w:val="00853EF7"/>
    <w:rsid w:val="0085439E"/>
    <w:rsid w:val="00854821"/>
    <w:rsid w:val="00855526"/>
    <w:rsid w:val="00856217"/>
    <w:rsid w:val="00856897"/>
    <w:rsid w:val="00856E9A"/>
    <w:rsid w:val="00857531"/>
    <w:rsid w:val="0085786E"/>
    <w:rsid w:val="00857FE7"/>
    <w:rsid w:val="0086001B"/>
    <w:rsid w:val="008606AD"/>
    <w:rsid w:val="0086075D"/>
    <w:rsid w:val="00860D09"/>
    <w:rsid w:val="008614FE"/>
    <w:rsid w:val="0086218F"/>
    <w:rsid w:val="00862502"/>
    <w:rsid w:val="00862A06"/>
    <w:rsid w:val="00862CC1"/>
    <w:rsid w:val="008646B4"/>
    <w:rsid w:val="0086523C"/>
    <w:rsid w:val="0086587B"/>
    <w:rsid w:val="008660D4"/>
    <w:rsid w:val="00866432"/>
    <w:rsid w:val="008667D9"/>
    <w:rsid w:val="00866AA3"/>
    <w:rsid w:val="0086707E"/>
    <w:rsid w:val="0086760B"/>
    <w:rsid w:val="00867F23"/>
    <w:rsid w:val="00870BF0"/>
    <w:rsid w:val="008718C8"/>
    <w:rsid w:val="00871FA9"/>
    <w:rsid w:val="008728E9"/>
    <w:rsid w:val="00873964"/>
    <w:rsid w:val="00874257"/>
    <w:rsid w:val="008750C4"/>
    <w:rsid w:val="00875405"/>
    <w:rsid w:val="00875DFD"/>
    <w:rsid w:val="00876FDB"/>
    <w:rsid w:val="008775D5"/>
    <w:rsid w:val="0087767C"/>
    <w:rsid w:val="008809F6"/>
    <w:rsid w:val="00882874"/>
    <w:rsid w:val="008828E1"/>
    <w:rsid w:val="00882BA5"/>
    <w:rsid w:val="00882E3C"/>
    <w:rsid w:val="00883787"/>
    <w:rsid w:val="00883DA2"/>
    <w:rsid w:val="00884B5C"/>
    <w:rsid w:val="00885543"/>
    <w:rsid w:val="008855E4"/>
    <w:rsid w:val="00885CC2"/>
    <w:rsid w:val="00886258"/>
    <w:rsid w:val="00886CD2"/>
    <w:rsid w:val="00886E84"/>
    <w:rsid w:val="00887040"/>
    <w:rsid w:val="0088764F"/>
    <w:rsid w:val="0089093A"/>
    <w:rsid w:val="00890B4B"/>
    <w:rsid w:val="00890D9B"/>
    <w:rsid w:val="00890F1C"/>
    <w:rsid w:val="00891316"/>
    <w:rsid w:val="00891654"/>
    <w:rsid w:val="00891B5D"/>
    <w:rsid w:val="00891D55"/>
    <w:rsid w:val="00891E6F"/>
    <w:rsid w:val="00891F10"/>
    <w:rsid w:val="00892586"/>
    <w:rsid w:val="0089275D"/>
    <w:rsid w:val="00892A36"/>
    <w:rsid w:val="00892AD2"/>
    <w:rsid w:val="00892B09"/>
    <w:rsid w:val="00893239"/>
    <w:rsid w:val="008939DE"/>
    <w:rsid w:val="00894489"/>
    <w:rsid w:val="00894874"/>
    <w:rsid w:val="00895032"/>
    <w:rsid w:val="008952E5"/>
    <w:rsid w:val="0089570F"/>
    <w:rsid w:val="0089575F"/>
    <w:rsid w:val="008958BD"/>
    <w:rsid w:val="00895B42"/>
    <w:rsid w:val="008963A5"/>
    <w:rsid w:val="00896649"/>
    <w:rsid w:val="0089674A"/>
    <w:rsid w:val="0089688B"/>
    <w:rsid w:val="00896D5D"/>
    <w:rsid w:val="0089736B"/>
    <w:rsid w:val="008977D0"/>
    <w:rsid w:val="008A00DB"/>
    <w:rsid w:val="008A0213"/>
    <w:rsid w:val="008A04E4"/>
    <w:rsid w:val="008A0A59"/>
    <w:rsid w:val="008A11BB"/>
    <w:rsid w:val="008A191B"/>
    <w:rsid w:val="008A2359"/>
    <w:rsid w:val="008A3005"/>
    <w:rsid w:val="008A3130"/>
    <w:rsid w:val="008A3363"/>
    <w:rsid w:val="008A3371"/>
    <w:rsid w:val="008A3772"/>
    <w:rsid w:val="008A3BEB"/>
    <w:rsid w:val="008A3C3E"/>
    <w:rsid w:val="008A402B"/>
    <w:rsid w:val="008A474D"/>
    <w:rsid w:val="008A4B75"/>
    <w:rsid w:val="008A4EF6"/>
    <w:rsid w:val="008A5C4F"/>
    <w:rsid w:val="008A5D42"/>
    <w:rsid w:val="008A65C2"/>
    <w:rsid w:val="008A6B29"/>
    <w:rsid w:val="008A7975"/>
    <w:rsid w:val="008A79DE"/>
    <w:rsid w:val="008A7EA8"/>
    <w:rsid w:val="008A7FA9"/>
    <w:rsid w:val="008B0505"/>
    <w:rsid w:val="008B06E9"/>
    <w:rsid w:val="008B1576"/>
    <w:rsid w:val="008B1757"/>
    <w:rsid w:val="008B2F3E"/>
    <w:rsid w:val="008B5AB4"/>
    <w:rsid w:val="008B6528"/>
    <w:rsid w:val="008B6652"/>
    <w:rsid w:val="008B6908"/>
    <w:rsid w:val="008B69E5"/>
    <w:rsid w:val="008B724F"/>
    <w:rsid w:val="008B7992"/>
    <w:rsid w:val="008B7D7E"/>
    <w:rsid w:val="008C031D"/>
    <w:rsid w:val="008C1E2B"/>
    <w:rsid w:val="008C2E0E"/>
    <w:rsid w:val="008C3FCD"/>
    <w:rsid w:val="008C49F9"/>
    <w:rsid w:val="008C52E0"/>
    <w:rsid w:val="008C54B7"/>
    <w:rsid w:val="008C5610"/>
    <w:rsid w:val="008C5739"/>
    <w:rsid w:val="008C63F1"/>
    <w:rsid w:val="008C6534"/>
    <w:rsid w:val="008C658E"/>
    <w:rsid w:val="008C6789"/>
    <w:rsid w:val="008C730F"/>
    <w:rsid w:val="008C7B0A"/>
    <w:rsid w:val="008C7ECB"/>
    <w:rsid w:val="008D0A7B"/>
    <w:rsid w:val="008D1AB5"/>
    <w:rsid w:val="008D29F2"/>
    <w:rsid w:val="008D36BC"/>
    <w:rsid w:val="008D3B86"/>
    <w:rsid w:val="008D4755"/>
    <w:rsid w:val="008D4C3D"/>
    <w:rsid w:val="008D4DD9"/>
    <w:rsid w:val="008D5536"/>
    <w:rsid w:val="008D59AF"/>
    <w:rsid w:val="008D6190"/>
    <w:rsid w:val="008D665B"/>
    <w:rsid w:val="008D6BAD"/>
    <w:rsid w:val="008D743C"/>
    <w:rsid w:val="008D7577"/>
    <w:rsid w:val="008E0670"/>
    <w:rsid w:val="008E0779"/>
    <w:rsid w:val="008E0C2C"/>
    <w:rsid w:val="008E0D3C"/>
    <w:rsid w:val="008E0FDA"/>
    <w:rsid w:val="008E11B8"/>
    <w:rsid w:val="008E1B9E"/>
    <w:rsid w:val="008E2325"/>
    <w:rsid w:val="008E2328"/>
    <w:rsid w:val="008E2395"/>
    <w:rsid w:val="008E263B"/>
    <w:rsid w:val="008E29DF"/>
    <w:rsid w:val="008E3590"/>
    <w:rsid w:val="008E3A3F"/>
    <w:rsid w:val="008E3F1A"/>
    <w:rsid w:val="008E434F"/>
    <w:rsid w:val="008E4922"/>
    <w:rsid w:val="008E544F"/>
    <w:rsid w:val="008E54CA"/>
    <w:rsid w:val="008E55AB"/>
    <w:rsid w:val="008E583A"/>
    <w:rsid w:val="008E6835"/>
    <w:rsid w:val="008E72CE"/>
    <w:rsid w:val="008E7715"/>
    <w:rsid w:val="008E7FB3"/>
    <w:rsid w:val="008F120A"/>
    <w:rsid w:val="008F1430"/>
    <w:rsid w:val="008F224F"/>
    <w:rsid w:val="008F27E0"/>
    <w:rsid w:val="008F3607"/>
    <w:rsid w:val="008F3F3D"/>
    <w:rsid w:val="008F4689"/>
    <w:rsid w:val="008F48EB"/>
    <w:rsid w:val="008F4F0B"/>
    <w:rsid w:val="008F6093"/>
    <w:rsid w:val="008F72A9"/>
    <w:rsid w:val="008F7348"/>
    <w:rsid w:val="00901E9D"/>
    <w:rsid w:val="00902F5C"/>
    <w:rsid w:val="009032DC"/>
    <w:rsid w:val="0090386F"/>
    <w:rsid w:val="009046C4"/>
    <w:rsid w:val="00905287"/>
    <w:rsid w:val="0090531F"/>
    <w:rsid w:val="009057BA"/>
    <w:rsid w:val="009062A5"/>
    <w:rsid w:val="0090712F"/>
    <w:rsid w:val="0090792A"/>
    <w:rsid w:val="009100DF"/>
    <w:rsid w:val="00910144"/>
    <w:rsid w:val="00910FA7"/>
    <w:rsid w:val="00911272"/>
    <w:rsid w:val="0091252F"/>
    <w:rsid w:val="009125C8"/>
    <w:rsid w:val="00912DF0"/>
    <w:rsid w:val="009135D6"/>
    <w:rsid w:val="00913CCD"/>
    <w:rsid w:val="009142B8"/>
    <w:rsid w:val="00914646"/>
    <w:rsid w:val="00914C77"/>
    <w:rsid w:val="0091525C"/>
    <w:rsid w:val="009157D7"/>
    <w:rsid w:val="00915A28"/>
    <w:rsid w:val="00917A01"/>
    <w:rsid w:val="00917A98"/>
    <w:rsid w:val="00917FE5"/>
    <w:rsid w:val="00920C5B"/>
    <w:rsid w:val="00921020"/>
    <w:rsid w:val="00921ACB"/>
    <w:rsid w:val="00921E80"/>
    <w:rsid w:val="00922A06"/>
    <w:rsid w:val="0092354A"/>
    <w:rsid w:val="0092369B"/>
    <w:rsid w:val="00923C01"/>
    <w:rsid w:val="00923D29"/>
    <w:rsid w:val="00925251"/>
    <w:rsid w:val="0092705C"/>
    <w:rsid w:val="009300C7"/>
    <w:rsid w:val="009314DC"/>
    <w:rsid w:val="00931F51"/>
    <w:rsid w:val="00933037"/>
    <w:rsid w:val="00933049"/>
    <w:rsid w:val="00934988"/>
    <w:rsid w:val="009349CD"/>
    <w:rsid w:val="00934AA5"/>
    <w:rsid w:val="00934DAF"/>
    <w:rsid w:val="009357B3"/>
    <w:rsid w:val="009358AD"/>
    <w:rsid w:val="00936A35"/>
    <w:rsid w:val="00937089"/>
    <w:rsid w:val="00940B4A"/>
    <w:rsid w:val="00940C6A"/>
    <w:rsid w:val="00940E2D"/>
    <w:rsid w:val="00940F76"/>
    <w:rsid w:val="009418E6"/>
    <w:rsid w:val="00941B17"/>
    <w:rsid w:val="00942128"/>
    <w:rsid w:val="00942E14"/>
    <w:rsid w:val="00942FD1"/>
    <w:rsid w:val="00943F59"/>
    <w:rsid w:val="0094413C"/>
    <w:rsid w:val="0094424A"/>
    <w:rsid w:val="00944781"/>
    <w:rsid w:val="00944E27"/>
    <w:rsid w:val="00944F27"/>
    <w:rsid w:val="00944F8A"/>
    <w:rsid w:val="0094556F"/>
    <w:rsid w:val="009455A7"/>
    <w:rsid w:val="00945D30"/>
    <w:rsid w:val="0094778F"/>
    <w:rsid w:val="00947BDB"/>
    <w:rsid w:val="00950788"/>
    <w:rsid w:val="00950CEA"/>
    <w:rsid w:val="009510A2"/>
    <w:rsid w:val="00951B99"/>
    <w:rsid w:val="009522FF"/>
    <w:rsid w:val="00953257"/>
    <w:rsid w:val="0095474C"/>
    <w:rsid w:val="00954E2B"/>
    <w:rsid w:val="009565A4"/>
    <w:rsid w:val="009571EA"/>
    <w:rsid w:val="00961D26"/>
    <w:rsid w:val="00961DB9"/>
    <w:rsid w:val="00962467"/>
    <w:rsid w:val="00962AE3"/>
    <w:rsid w:val="00962BBB"/>
    <w:rsid w:val="00962CB9"/>
    <w:rsid w:val="00964096"/>
    <w:rsid w:val="009641F1"/>
    <w:rsid w:val="00964312"/>
    <w:rsid w:val="00965B8A"/>
    <w:rsid w:val="009660CB"/>
    <w:rsid w:val="00967375"/>
    <w:rsid w:val="0096752E"/>
    <w:rsid w:val="00967C6A"/>
    <w:rsid w:val="0097071F"/>
    <w:rsid w:val="009715A8"/>
    <w:rsid w:val="009717AC"/>
    <w:rsid w:val="009719A3"/>
    <w:rsid w:val="00971B78"/>
    <w:rsid w:val="00971F78"/>
    <w:rsid w:val="00972435"/>
    <w:rsid w:val="00973082"/>
    <w:rsid w:val="00973405"/>
    <w:rsid w:val="0097426C"/>
    <w:rsid w:val="009751C1"/>
    <w:rsid w:val="009752AE"/>
    <w:rsid w:val="009753BC"/>
    <w:rsid w:val="00975433"/>
    <w:rsid w:val="00975B8F"/>
    <w:rsid w:val="00975EC2"/>
    <w:rsid w:val="00976ED0"/>
    <w:rsid w:val="009811F1"/>
    <w:rsid w:val="00983E57"/>
    <w:rsid w:val="00984354"/>
    <w:rsid w:val="00984462"/>
    <w:rsid w:val="00984FCC"/>
    <w:rsid w:val="00985DE2"/>
    <w:rsid w:val="0098675D"/>
    <w:rsid w:val="00986A5B"/>
    <w:rsid w:val="00986A88"/>
    <w:rsid w:val="00991496"/>
    <w:rsid w:val="00991689"/>
    <w:rsid w:val="009926E0"/>
    <w:rsid w:val="0099292D"/>
    <w:rsid w:val="009933C9"/>
    <w:rsid w:val="009934AD"/>
    <w:rsid w:val="00993588"/>
    <w:rsid w:val="0099451E"/>
    <w:rsid w:val="00994EAC"/>
    <w:rsid w:val="00995C0A"/>
    <w:rsid w:val="009963C2"/>
    <w:rsid w:val="00996644"/>
    <w:rsid w:val="009966D1"/>
    <w:rsid w:val="00996B1A"/>
    <w:rsid w:val="00996C2B"/>
    <w:rsid w:val="00996FB0"/>
    <w:rsid w:val="009A0C3A"/>
    <w:rsid w:val="009A157C"/>
    <w:rsid w:val="009A247C"/>
    <w:rsid w:val="009A2610"/>
    <w:rsid w:val="009A2DCC"/>
    <w:rsid w:val="009A4321"/>
    <w:rsid w:val="009A5ABC"/>
    <w:rsid w:val="009A5B6D"/>
    <w:rsid w:val="009A668A"/>
    <w:rsid w:val="009A6F8A"/>
    <w:rsid w:val="009A7F10"/>
    <w:rsid w:val="009B10DB"/>
    <w:rsid w:val="009B18F5"/>
    <w:rsid w:val="009B1A63"/>
    <w:rsid w:val="009B1B3E"/>
    <w:rsid w:val="009B1C1D"/>
    <w:rsid w:val="009B1E6C"/>
    <w:rsid w:val="009B3225"/>
    <w:rsid w:val="009B3E26"/>
    <w:rsid w:val="009B40EA"/>
    <w:rsid w:val="009B458E"/>
    <w:rsid w:val="009B4DCF"/>
    <w:rsid w:val="009B5104"/>
    <w:rsid w:val="009B6398"/>
    <w:rsid w:val="009C0B75"/>
    <w:rsid w:val="009C1260"/>
    <w:rsid w:val="009C1447"/>
    <w:rsid w:val="009C1689"/>
    <w:rsid w:val="009C278E"/>
    <w:rsid w:val="009C3706"/>
    <w:rsid w:val="009C3A3A"/>
    <w:rsid w:val="009C4935"/>
    <w:rsid w:val="009C4ED0"/>
    <w:rsid w:val="009C5725"/>
    <w:rsid w:val="009C61D2"/>
    <w:rsid w:val="009C643C"/>
    <w:rsid w:val="009C6CEA"/>
    <w:rsid w:val="009C7B85"/>
    <w:rsid w:val="009C7D77"/>
    <w:rsid w:val="009D0254"/>
    <w:rsid w:val="009D0E63"/>
    <w:rsid w:val="009D19E0"/>
    <w:rsid w:val="009D1A64"/>
    <w:rsid w:val="009D1B50"/>
    <w:rsid w:val="009D264C"/>
    <w:rsid w:val="009D267F"/>
    <w:rsid w:val="009D5235"/>
    <w:rsid w:val="009D5B91"/>
    <w:rsid w:val="009D638B"/>
    <w:rsid w:val="009D6EB8"/>
    <w:rsid w:val="009D792E"/>
    <w:rsid w:val="009E0299"/>
    <w:rsid w:val="009E0DFE"/>
    <w:rsid w:val="009E1569"/>
    <w:rsid w:val="009E1575"/>
    <w:rsid w:val="009E1E69"/>
    <w:rsid w:val="009E2B16"/>
    <w:rsid w:val="009E31F6"/>
    <w:rsid w:val="009E32C7"/>
    <w:rsid w:val="009E33E2"/>
    <w:rsid w:val="009E4BC5"/>
    <w:rsid w:val="009E4C07"/>
    <w:rsid w:val="009E634C"/>
    <w:rsid w:val="009E7500"/>
    <w:rsid w:val="009E77C7"/>
    <w:rsid w:val="009F07FA"/>
    <w:rsid w:val="009F10A5"/>
    <w:rsid w:val="009F1B60"/>
    <w:rsid w:val="009F2D8F"/>
    <w:rsid w:val="009F3EF4"/>
    <w:rsid w:val="009F4732"/>
    <w:rsid w:val="009F4FD7"/>
    <w:rsid w:val="009F5DFC"/>
    <w:rsid w:val="009F5FB8"/>
    <w:rsid w:val="009F6519"/>
    <w:rsid w:val="009F6D05"/>
    <w:rsid w:val="009F7586"/>
    <w:rsid w:val="00A008E0"/>
    <w:rsid w:val="00A00900"/>
    <w:rsid w:val="00A01184"/>
    <w:rsid w:val="00A0211A"/>
    <w:rsid w:val="00A02988"/>
    <w:rsid w:val="00A0363D"/>
    <w:rsid w:val="00A037C2"/>
    <w:rsid w:val="00A03D43"/>
    <w:rsid w:val="00A03E0C"/>
    <w:rsid w:val="00A04380"/>
    <w:rsid w:val="00A04452"/>
    <w:rsid w:val="00A05176"/>
    <w:rsid w:val="00A05472"/>
    <w:rsid w:val="00A05C32"/>
    <w:rsid w:val="00A05C84"/>
    <w:rsid w:val="00A060A8"/>
    <w:rsid w:val="00A0653F"/>
    <w:rsid w:val="00A0658A"/>
    <w:rsid w:val="00A06D6D"/>
    <w:rsid w:val="00A07C25"/>
    <w:rsid w:val="00A10B7D"/>
    <w:rsid w:val="00A1108B"/>
    <w:rsid w:val="00A115E3"/>
    <w:rsid w:val="00A11642"/>
    <w:rsid w:val="00A11CD0"/>
    <w:rsid w:val="00A12912"/>
    <w:rsid w:val="00A129D7"/>
    <w:rsid w:val="00A12AA6"/>
    <w:rsid w:val="00A12B6E"/>
    <w:rsid w:val="00A13050"/>
    <w:rsid w:val="00A13948"/>
    <w:rsid w:val="00A139A2"/>
    <w:rsid w:val="00A13F4B"/>
    <w:rsid w:val="00A14740"/>
    <w:rsid w:val="00A14A75"/>
    <w:rsid w:val="00A1555B"/>
    <w:rsid w:val="00A155C5"/>
    <w:rsid w:val="00A16AD8"/>
    <w:rsid w:val="00A20248"/>
    <w:rsid w:val="00A2067A"/>
    <w:rsid w:val="00A20860"/>
    <w:rsid w:val="00A21045"/>
    <w:rsid w:val="00A2190F"/>
    <w:rsid w:val="00A21C95"/>
    <w:rsid w:val="00A21CF3"/>
    <w:rsid w:val="00A23BFD"/>
    <w:rsid w:val="00A24813"/>
    <w:rsid w:val="00A253A3"/>
    <w:rsid w:val="00A26BC0"/>
    <w:rsid w:val="00A27AEC"/>
    <w:rsid w:val="00A30320"/>
    <w:rsid w:val="00A30723"/>
    <w:rsid w:val="00A30DD4"/>
    <w:rsid w:val="00A313B1"/>
    <w:rsid w:val="00A3157B"/>
    <w:rsid w:val="00A31EA4"/>
    <w:rsid w:val="00A320DB"/>
    <w:rsid w:val="00A323F3"/>
    <w:rsid w:val="00A32518"/>
    <w:rsid w:val="00A32730"/>
    <w:rsid w:val="00A337AC"/>
    <w:rsid w:val="00A33BC7"/>
    <w:rsid w:val="00A33ED6"/>
    <w:rsid w:val="00A34376"/>
    <w:rsid w:val="00A349FB"/>
    <w:rsid w:val="00A35D16"/>
    <w:rsid w:val="00A36917"/>
    <w:rsid w:val="00A3700A"/>
    <w:rsid w:val="00A37337"/>
    <w:rsid w:val="00A37644"/>
    <w:rsid w:val="00A37BCD"/>
    <w:rsid w:val="00A37D7F"/>
    <w:rsid w:val="00A401E3"/>
    <w:rsid w:val="00A41689"/>
    <w:rsid w:val="00A424B6"/>
    <w:rsid w:val="00A42592"/>
    <w:rsid w:val="00A4388B"/>
    <w:rsid w:val="00A43B41"/>
    <w:rsid w:val="00A43BA1"/>
    <w:rsid w:val="00A43C59"/>
    <w:rsid w:val="00A43DF2"/>
    <w:rsid w:val="00A43FAA"/>
    <w:rsid w:val="00A44180"/>
    <w:rsid w:val="00A45405"/>
    <w:rsid w:val="00A45B86"/>
    <w:rsid w:val="00A46D6E"/>
    <w:rsid w:val="00A470AE"/>
    <w:rsid w:val="00A4713B"/>
    <w:rsid w:val="00A475A9"/>
    <w:rsid w:val="00A4798B"/>
    <w:rsid w:val="00A47D99"/>
    <w:rsid w:val="00A50809"/>
    <w:rsid w:val="00A50843"/>
    <w:rsid w:val="00A508E2"/>
    <w:rsid w:val="00A50ECD"/>
    <w:rsid w:val="00A518F3"/>
    <w:rsid w:val="00A52729"/>
    <w:rsid w:val="00A52A98"/>
    <w:rsid w:val="00A5304D"/>
    <w:rsid w:val="00A53675"/>
    <w:rsid w:val="00A53835"/>
    <w:rsid w:val="00A53906"/>
    <w:rsid w:val="00A542E2"/>
    <w:rsid w:val="00A553AE"/>
    <w:rsid w:val="00A55586"/>
    <w:rsid w:val="00A55DA0"/>
    <w:rsid w:val="00A55F9D"/>
    <w:rsid w:val="00A55FE9"/>
    <w:rsid w:val="00A561EF"/>
    <w:rsid w:val="00A564D7"/>
    <w:rsid w:val="00A56A50"/>
    <w:rsid w:val="00A56B6A"/>
    <w:rsid w:val="00A56BBC"/>
    <w:rsid w:val="00A578DC"/>
    <w:rsid w:val="00A608FC"/>
    <w:rsid w:val="00A60D92"/>
    <w:rsid w:val="00A613DD"/>
    <w:rsid w:val="00A61814"/>
    <w:rsid w:val="00A61B38"/>
    <w:rsid w:val="00A61F8B"/>
    <w:rsid w:val="00A62AB0"/>
    <w:rsid w:val="00A62E6E"/>
    <w:rsid w:val="00A63BEB"/>
    <w:rsid w:val="00A640E2"/>
    <w:rsid w:val="00A64260"/>
    <w:rsid w:val="00A64D65"/>
    <w:rsid w:val="00A65018"/>
    <w:rsid w:val="00A6572B"/>
    <w:rsid w:val="00A659F6"/>
    <w:rsid w:val="00A66606"/>
    <w:rsid w:val="00A666FC"/>
    <w:rsid w:val="00A6694D"/>
    <w:rsid w:val="00A66BA0"/>
    <w:rsid w:val="00A670D5"/>
    <w:rsid w:val="00A6725B"/>
    <w:rsid w:val="00A67B5C"/>
    <w:rsid w:val="00A70605"/>
    <w:rsid w:val="00A719AF"/>
    <w:rsid w:val="00A71FC7"/>
    <w:rsid w:val="00A72146"/>
    <w:rsid w:val="00A72343"/>
    <w:rsid w:val="00A7280D"/>
    <w:rsid w:val="00A72E58"/>
    <w:rsid w:val="00A73134"/>
    <w:rsid w:val="00A749D2"/>
    <w:rsid w:val="00A75375"/>
    <w:rsid w:val="00A76001"/>
    <w:rsid w:val="00A763E4"/>
    <w:rsid w:val="00A76825"/>
    <w:rsid w:val="00A76F06"/>
    <w:rsid w:val="00A7770C"/>
    <w:rsid w:val="00A777B2"/>
    <w:rsid w:val="00A81595"/>
    <w:rsid w:val="00A81BC4"/>
    <w:rsid w:val="00A81E28"/>
    <w:rsid w:val="00A825D4"/>
    <w:rsid w:val="00A82778"/>
    <w:rsid w:val="00A827CB"/>
    <w:rsid w:val="00A828F6"/>
    <w:rsid w:val="00A82B73"/>
    <w:rsid w:val="00A83307"/>
    <w:rsid w:val="00A838FE"/>
    <w:rsid w:val="00A83A75"/>
    <w:rsid w:val="00A83BBD"/>
    <w:rsid w:val="00A84583"/>
    <w:rsid w:val="00A8534D"/>
    <w:rsid w:val="00A8637C"/>
    <w:rsid w:val="00A8655F"/>
    <w:rsid w:val="00A86C5C"/>
    <w:rsid w:val="00A86D6A"/>
    <w:rsid w:val="00A86E8B"/>
    <w:rsid w:val="00A87164"/>
    <w:rsid w:val="00A87196"/>
    <w:rsid w:val="00A87808"/>
    <w:rsid w:val="00A922A5"/>
    <w:rsid w:val="00A92352"/>
    <w:rsid w:val="00A924D9"/>
    <w:rsid w:val="00A929B3"/>
    <w:rsid w:val="00A93072"/>
    <w:rsid w:val="00A935C3"/>
    <w:rsid w:val="00A937D6"/>
    <w:rsid w:val="00A9384E"/>
    <w:rsid w:val="00A938BD"/>
    <w:rsid w:val="00A93953"/>
    <w:rsid w:val="00A959D8"/>
    <w:rsid w:val="00A96B36"/>
    <w:rsid w:val="00A96D53"/>
    <w:rsid w:val="00A97261"/>
    <w:rsid w:val="00AA0AAC"/>
    <w:rsid w:val="00AA113D"/>
    <w:rsid w:val="00AA247A"/>
    <w:rsid w:val="00AA2990"/>
    <w:rsid w:val="00AA2BA6"/>
    <w:rsid w:val="00AA32C3"/>
    <w:rsid w:val="00AA3433"/>
    <w:rsid w:val="00AA360D"/>
    <w:rsid w:val="00AA367A"/>
    <w:rsid w:val="00AA3812"/>
    <w:rsid w:val="00AA3CEC"/>
    <w:rsid w:val="00AA4551"/>
    <w:rsid w:val="00AA4CC9"/>
    <w:rsid w:val="00AA6B25"/>
    <w:rsid w:val="00AA6BD5"/>
    <w:rsid w:val="00AA6BD8"/>
    <w:rsid w:val="00AA6C7D"/>
    <w:rsid w:val="00AA6FB8"/>
    <w:rsid w:val="00AA797B"/>
    <w:rsid w:val="00AA7AFC"/>
    <w:rsid w:val="00AA7FD6"/>
    <w:rsid w:val="00AB0024"/>
    <w:rsid w:val="00AB032C"/>
    <w:rsid w:val="00AB042A"/>
    <w:rsid w:val="00AB0B9D"/>
    <w:rsid w:val="00AB1061"/>
    <w:rsid w:val="00AB19EF"/>
    <w:rsid w:val="00AB25DF"/>
    <w:rsid w:val="00AB268A"/>
    <w:rsid w:val="00AB2D34"/>
    <w:rsid w:val="00AB3430"/>
    <w:rsid w:val="00AB37B9"/>
    <w:rsid w:val="00AB45B6"/>
    <w:rsid w:val="00AB4AD1"/>
    <w:rsid w:val="00AB5E07"/>
    <w:rsid w:val="00AB62F0"/>
    <w:rsid w:val="00AB65E6"/>
    <w:rsid w:val="00AB6987"/>
    <w:rsid w:val="00AB7CFA"/>
    <w:rsid w:val="00AC0577"/>
    <w:rsid w:val="00AC077F"/>
    <w:rsid w:val="00AC1A81"/>
    <w:rsid w:val="00AC1DEE"/>
    <w:rsid w:val="00AC2400"/>
    <w:rsid w:val="00AC25B5"/>
    <w:rsid w:val="00AC2AAE"/>
    <w:rsid w:val="00AC2B04"/>
    <w:rsid w:val="00AC2CC6"/>
    <w:rsid w:val="00AC2EBE"/>
    <w:rsid w:val="00AC3180"/>
    <w:rsid w:val="00AC35A6"/>
    <w:rsid w:val="00AC3728"/>
    <w:rsid w:val="00AC3AC1"/>
    <w:rsid w:val="00AC4165"/>
    <w:rsid w:val="00AC4415"/>
    <w:rsid w:val="00AC46EB"/>
    <w:rsid w:val="00AC4ED1"/>
    <w:rsid w:val="00AC5B48"/>
    <w:rsid w:val="00AC72D2"/>
    <w:rsid w:val="00AC73A9"/>
    <w:rsid w:val="00AD07AE"/>
    <w:rsid w:val="00AD13F1"/>
    <w:rsid w:val="00AD1450"/>
    <w:rsid w:val="00AD1952"/>
    <w:rsid w:val="00AD1A83"/>
    <w:rsid w:val="00AD2007"/>
    <w:rsid w:val="00AD2042"/>
    <w:rsid w:val="00AD254D"/>
    <w:rsid w:val="00AD294A"/>
    <w:rsid w:val="00AD3AC7"/>
    <w:rsid w:val="00AD45CB"/>
    <w:rsid w:val="00AD4F2B"/>
    <w:rsid w:val="00AD54AA"/>
    <w:rsid w:val="00AD5873"/>
    <w:rsid w:val="00AD5CE2"/>
    <w:rsid w:val="00AD61AC"/>
    <w:rsid w:val="00AD61C1"/>
    <w:rsid w:val="00AD6502"/>
    <w:rsid w:val="00AD663F"/>
    <w:rsid w:val="00AD699B"/>
    <w:rsid w:val="00AD7E72"/>
    <w:rsid w:val="00AE0563"/>
    <w:rsid w:val="00AE0695"/>
    <w:rsid w:val="00AE2579"/>
    <w:rsid w:val="00AE325C"/>
    <w:rsid w:val="00AE3831"/>
    <w:rsid w:val="00AE3E7E"/>
    <w:rsid w:val="00AE512C"/>
    <w:rsid w:val="00AE5912"/>
    <w:rsid w:val="00AE67C8"/>
    <w:rsid w:val="00AE7385"/>
    <w:rsid w:val="00AE792F"/>
    <w:rsid w:val="00AF107F"/>
    <w:rsid w:val="00AF1315"/>
    <w:rsid w:val="00AF19BF"/>
    <w:rsid w:val="00AF201C"/>
    <w:rsid w:val="00AF2285"/>
    <w:rsid w:val="00AF230E"/>
    <w:rsid w:val="00AF2DC3"/>
    <w:rsid w:val="00AF44BE"/>
    <w:rsid w:val="00AF46F7"/>
    <w:rsid w:val="00AF5076"/>
    <w:rsid w:val="00AF50FB"/>
    <w:rsid w:val="00AF57D7"/>
    <w:rsid w:val="00AF5BBA"/>
    <w:rsid w:val="00AF6E64"/>
    <w:rsid w:val="00AF6F79"/>
    <w:rsid w:val="00AF7085"/>
    <w:rsid w:val="00B01731"/>
    <w:rsid w:val="00B01B90"/>
    <w:rsid w:val="00B01C7E"/>
    <w:rsid w:val="00B01E0D"/>
    <w:rsid w:val="00B01E69"/>
    <w:rsid w:val="00B02038"/>
    <w:rsid w:val="00B02B6E"/>
    <w:rsid w:val="00B0325B"/>
    <w:rsid w:val="00B033E5"/>
    <w:rsid w:val="00B03A63"/>
    <w:rsid w:val="00B04A72"/>
    <w:rsid w:val="00B04DDA"/>
    <w:rsid w:val="00B04E13"/>
    <w:rsid w:val="00B0523C"/>
    <w:rsid w:val="00B0544E"/>
    <w:rsid w:val="00B05570"/>
    <w:rsid w:val="00B055F4"/>
    <w:rsid w:val="00B057E9"/>
    <w:rsid w:val="00B10802"/>
    <w:rsid w:val="00B10B8A"/>
    <w:rsid w:val="00B11931"/>
    <w:rsid w:val="00B11ABA"/>
    <w:rsid w:val="00B12CF5"/>
    <w:rsid w:val="00B13F0F"/>
    <w:rsid w:val="00B13F4D"/>
    <w:rsid w:val="00B14834"/>
    <w:rsid w:val="00B14AC7"/>
    <w:rsid w:val="00B15123"/>
    <w:rsid w:val="00B1687E"/>
    <w:rsid w:val="00B1688B"/>
    <w:rsid w:val="00B16C1D"/>
    <w:rsid w:val="00B16CA0"/>
    <w:rsid w:val="00B16D3B"/>
    <w:rsid w:val="00B1726C"/>
    <w:rsid w:val="00B179E0"/>
    <w:rsid w:val="00B201A4"/>
    <w:rsid w:val="00B201D1"/>
    <w:rsid w:val="00B20BFB"/>
    <w:rsid w:val="00B20D70"/>
    <w:rsid w:val="00B213A6"/>
    <w:rsid w:val="00B213F0"/>
    <w:rsid w:val="00B235B0"/>
    <w:rsid w:val="00B23642"/>
    <w:rsid w:val="00B2373B"/>
    <w:rsid w:val="00B238C8"/>
    <w:rsid w:val="00B23E71"/>
    <w:rsid w:val="00B24DF6"/>
    <w:rsid w:val="00B262EE"/>
    <w:rsid w:val="00B26B3E"/>
    <w:rsid w:val="00B26B8B"/>
    <w:rsid w:val="00B27B03"/>
    <w:rsid w:val="00B31807"/>
    <w:rsid w:val="00B31A97"/>
    <w:rsid w:val="00B31D7B"/>
    <w:rsid w:val="00B3266E"/>
    <w:rsid w:val="00B33961"/>
    <w:rsid w:val="00B34BBB"/>
    <w:rsid w:val="00B34FE2"/>
    <w:rsid w:val="00B35166"/>
    <w:rsid w:val="00B3566E"/>
    <w:rsid w:val="00B357D8"/>
    <w:rsid w:val="00B360F4"/>
    <w:rsid w:val="00B364A9"/>
    <w:rsid w:val="00B365CD"/>
    <w:rsid w:val="00B36A00"/>
    <w:rsid w:val="00B377C7"/>
    <w:rsid w:val="00B37BFC"/>
    <w:rsid w:val="00B40221"/>
    <w:rsid w:val="00B40358"/>
    <w:rsid w:val="00B409F2"/>
    <w:rsid w:val="00B41406"/>
    <w:rsid w:val="00B41614"/>
    <w:rsid w:val="00B4191C"/>
    <w:rsid w:val="00B42574"/>
    <w:rsid w:val="00B42851"/>
    <w:rsid w:val="00B42DF2"/>
    <w:rsid w:val="00B42F80"/>
    <w:rsid w:val="00B435CB"/>
    <w:rsid w:val="00B4420C"/>
    <w:rsid w:val="00B44C64"/>
    <w:rsid w:val="00B45030"/>
    <w:rsid w:val="00B457A2"/>
    <w:rsid w:val="00B45CB9"/>
    <w:rsid w:val="00B466F3"/>
    <w:rsid w:val="00B46A74"/>
    <w:rsid w:val="00B46FE5"/>
    <w:rsid w:val="00B47F33"/>
    <w:rsid w:val="00B47FC3"/>
    <w:rsid w:val="00B505C8"/>
    <w:rsid w:val="00B50DB8"/>
    <w:rsid w:val="00B50FF7"/>
    <w:rsid w:val="00B53080"/>
    <w:rsid w:val="00B53654"/>
    <w:rsid w:val="00B53905"/>
    <w:rsid w:val="00B53D21"/>
    <w:rsid w:val="00B5422D"/>
    <w:rsid w:val="00B54B5B"/>
    <w:rsid w:val="00B54F82"/>
    <w:rsid w:val="00B5562E"/>
    <w:rsid w:val="00B55D65"/>
    <w:rsid w:val="00B56135"/>
    <w:rsid w:val="00B56D41"/>
    <w:rsid w:val="00B56FBF"/>
    <w:rsid w:val="00B57000"/>
    <w:rsid w:val="00B57AC6"/>
    <w:rsid w:val="00B603C2"/>
    <w:rsid w:val="00B60939"/>
    <w:rsid w:val="00B60AFD"/>
    <w:rsid w:val="00B6155E"/>
    <w:rsid w:val="00B615D0"/>
    <w:rsid w:val="00B622AF"/>
    <w:rsid w:val="00B625C5"/>
    <w:rsid w:val="00B62715"/>
    <w:rsid w:val="00B62B0E"/>
    <w:rsid w:val="00B63AF5"/>
    <w:rsid w:val="00B63EE7"/>
    <w:rsid w:val="00B64E5D"/>
    <w:rsid w:val="00B65611"/>
    <w:rsid w:val="00B65645"/>
    <w:rsid w:val="00B65C58"/>
    <w:rsid w:val="00B67144"/>
    <w:rsid w:val="00B703E3"/>
    <w:rsid w:val="00B70E8E"/>
    <w:rsid w:val="00B7180A"/>
    <w:rsid w:val="00B7199B"/>
    <w:rsid w:val="00B72A04"/>
    <w:rsid w:val="00B740F9"/>
    <w:rsid w:val="00B74A38"/>
    <w:rsid w:val="00B74E71"/>
    <w:rsid w:val="00B74F0D"/>
    <w:rsid w:val="00B762E9"/>
    <w:rsid w:val="00B76C92"/>
    <w:rsid w:val="00B77180"/>
    <w:rsid w:val="00B77273"/>
    <w:rsid w:val="00B8011C"/>
    <w:rsid w:val="00B80184"/>
    <w:rsid w:val="00B818A4"/>
    <w:rsid w:val="00B8197C"/>
    <w:rsid w:val="00B81E42"/>
    <w:rsid w:val="00B81F59"/>
    <w:rsid w:val="00B82BEF"/>
    <w:rsid w:val="00B84117"/>
    <w:rsid w:val="00B84863"/>
    <w:rsid w:val="00B84B4D"/>
    <w:rsid w:val="00B84DB0"/>
    <w:rsid w:val="00B858F0"/>
    <w:rsid w:val="00B85AA2"/>
    <w:rsid w:val="00B85FA3"/>
    <w:rsid w:val="00B86064"/>
    <w:rsid w:val="00B860F9"/>
    <w:rsid w:val="00B8636D"/>
    <w:rsid w:val="00B8649C"/>
    <w:rsid w:val="00B8695D"/>
    <w:rsid w:val="00B87173"/>
    <w:rsid w:val="00B87F0A"/>
    <w:rsid w:val="00B902FD"/>
    <w:rsid w:val="00B90346"/>
    <w:rsid w:val="00B9138A"/>
    <w:rsid w:val="00B92D0B"/>
    <w:rsid w:val="00B93FCD"/>
    <w:rsid w:val="00B947BA"/>
    <w:rsid w:val="00B94848"/>
    <w:rsid w:val="00B94945"/>
    <w:rsid w:val="00B94C54"/>
    <w:rsid w:val="00B94DD6"/>
    <w:rsid w:val="00B95559"/>
    <w:rsid w:val="00B9578B"/>
    <w:rsid w:val="00B95836"/>
    <w:rsid w:val="00B97652"/>
    <w:rsid w:val="00B97737"/>
    <w:rsid w:val="00B978CE"/>
    <w:rsid w:val="00B978D7"/>
    <w:rsid w:val="00BA007D"/>
    <w:rsid w:val="00BA026D"/>
    <w:rsid w:val="00BA0C29"/>
    <w:rsid w:val="00BA0DFD"/>
    <w:rsid w:val="00BA1382"/>
    <w:rsid w:val="00BA14FA"/>
    <w:rsid w:val="00BA1632"/>
    <w:rsid w:val="00BA1BF9"/>
    <w:rsid w:val="00BA1C2B"/>
    <w:rsid w:val="00BA2C8E"/>
    <w:rsid w:val="00BA322D"/>
    <w:rsid w:val="00BA553F"/>
    <w:rsid w:val="00BA5CC8"/>
    <w:rsid w:val="00BA63FA"/>
    <w:rsid w:val="00BA6C25"/>
    <w:rsid w:val="00BA7795"/>
    <w:rsid w:val="00BA7B8D"/>
    <w:rsid w:val="00BB00B3"/>
    <w:rsid w:val="00BB0165"/>
    <w:rsid w:val="00BB0365"/>
    <w:rsid w:val="00BB0BDD"/>
    <w:rsid w:val="00BB1260"/>
    <w:rsid w:val="00BB176C"/>
    <w:rsid w:val="00BB2125"/>
    <w:rsid w:val="00BB2A73"/>
    <w:rsid w:val="00BB34AB"/>
    <w:rsid w:val="00BB3A45"/>
    <w:rsid w:val="00BB419B"/>
    <w:rsid w:val="00BB4ACC"/>
    <w:rsid w:val="00BB541B"/>
    <w:rsid w:val="00BB54AB"/>
    <w:rsid w:val="00BB595B"/>
    <w:rsid w:val="00BB6AC3"/>
    <w:rsid w:val="00BB703E"/>
    <w:rsid w:val="00BB732D"/>
    <w:rsid w:val="00BB7405"/>
    <w:rsid w:val="00BB772D"/>
    <w:rsid w:val="00BB7B68"/>
    <w:rsid w:val="00BB7FC4"/>
    <w:rsid w:val="00BC1431"/>
    <w:rsid w:val="00BC15A7"/>
    <w:rsid w:val="00BC21E9"/>
    <w:rsid w:val="00BC27FD"/>
    <w:rsid w:val="00BC34E0"/>
    <w:rsid w:val="00BC3631"/>
    <w:rsid w:val="00BC4507"/>
    <w:rsid w:val="00BC5701"/>
    <w:rsid w:val="00BC591F"/>
    <w:rsid w:val="00BC7040"/>
    <w:rsid w:val="00BC7243"/>
    <w:rsid w:val="00BC7245"/>
    <w:rsid w:val="00BC727B"/>
    <w:rsid w:val="00BC762D"/>
    <w:rsid w:val="00BC773C"/>
    <w:rsid w:val="00BC77F4"/>
    <w:rsid w:val="00BC7CB7"/>
    <w:rsid w:val="00BC7D6D"/>
    <w:rsid w:val="00BD01EA"/>
    <w:rsid w:val="00BD0BD0"/>
    <w:rsid w:val="00BD148E"/>
    <w:rsid w:val="00BD154E"/>
    <w:rsid w:val="00BD2108"/>
    <w:rsid w:val="00BD2213"/>
    <w:rsid w:val="00BD2797"/>
    <w:rsid w:val="00BD2872"/>
    <w:rsid w:val="00BD33CA"/>
    <w:rsid w:val="00BD61C5"/>
    <w:rsid w:val="00BD623E"/>
    <w:rsid w:val="00BD6490"/>
    <w:rsid w:val="00BD68A3"/>
    <w:rsid w:val="00BD6938"/>
    <w:rsid w:val="00BD6CF3"/>
    <w:rsid w:val="00BD7474"/>
    <w:rsid w:val="00BE0313"/>
    <w:rsid w:val="00BE0AF8"/>
    <w:rsid w:val="00BE0C98"/>
    <w:rsid w:val="00BE0D90"/>
    <w:rsid w:val="00BE0ECA"/>
    <w:rsid w:val="00BE139A"/>
    <w:rsid w:val="00BE165B"/>
    <w:rsid w:val="00BE1B46"/>
    <w:rsid w:val="00BE20B2"/>
    <w:rsid w:val="00BE2180"/>
    <w:rsid w:val="00BE21F2"/>
    <w:rsid w:val="00BE2349"/>
    <w:rsid w:val="00BE2871"/>
    <w:rsid w:val="00BE3197"/>
    <w:rsid w:val="00BE336E"/>
    <w:rsid w:val="00BE33A5"/>
    <w:rsid w:val="00BE4275"/>
    <w:rsid w:val="00BE45F7"/>
    <w:rsid w:val="00BE4E40"/>
    <w:rsid w:val="00BE4FF7"/>
    <w:rsid w:val="00BE596E"/>
    <w:rsid w:val="00BE5B49"/>
    <w:rsid w:val="00BE6912"/>
    <w:rsid w:val="00BE78C7"/>
    <w:rsid w:val="00BE7928"/>
    <w:rsid w:val="00BF06AE"/>
    <w:rsid w:val="00BF0E0A"/>
    <w:rsid w:val="00BF0F95"/>
    <w:rsid w:val="00BF1604"/>
    <w:rsid w:val="00BF16A0"/>
    <w:rsid w:val="00BF2433"/>
    <w:rsid w:val="00BF29D1"/>
    <w:rsid w:val="00BF350D"/>
    <w:rsid w:val="00BF3B54"/>
    <w:rsid w:val="00BF4A6F"/>
    <w:rsid w:val="00BF4E7E"/>
    <w:rsid w:val="00BF54A9"/>
    <w:rsid w:val="00BF5ACC"/>
    <w:rsid w:val="00BF5DE5"/>
    <w:rsid w:val="00BF61C9"/>
    <w:rsid w:val="00BF63CA"/>
    <w:rsid w:val="00BF6C94"/>
    <w:rsid w:val="00BF7AA0"/>
    <w:rsid w:val="00C00424"/>
    <w:rsid w:val="00C00747"/>
    <w:rsid w:val="00C01652"/>
    <w:rsid w:val="00C01EBC"/>
    <w:rsid w:val="00C0330F"/>
    <w:rsid w:val="00C0332B"/>
    <w:rsid w:val="00C04266"/>
    <w:rsid w:val="00C047C3"/>
    <w:rsid w:val="00C04919"/>
    <w:rsid w:val="00C04A68"/>
    <w:rsid w:val="00C04F1F"/>
    <w:rsid w:val="00C06006"/>
    <w:rsid w:val="00C078E6"/>
    <w:rsid w:val="00C07C7B"/>
    <w:rsid w:val="00C07D03"/>
    <w:rsid w:val="00C07DEE"/>
    <w:rsid w:val="00C10E8A"/>
    <w:rsid w:val="00C1179F"/>
    <w:rsid w:val="00C120AE"/>
    <w:rsid w:val="00C12BC8"/>
    <w:rsid w:val="00C12C14"/>
    <w:rsid w:val="00C140D6"/>
    <w:rsid w:val="00C14578"/>
    <w:rsid w:val="00C147AA"/>
    <w:rsid w:val="00C15F04"/>
    <w:rsid w:val="00C16A99"/>
    <w:rsid w:val="00C16B13"/>
    <w:rsid w:val="00C173E7"/>
    <w:rsid w:val="00C17537"/>
    <w:rsid w:val="00C179B3"/>
    <w:rsid w:val="00C17E3F"/>
    <w:rsid w:val="00C200AA"/>
    <w:rsid w:val="00C204B2"/>
    <w:rsid w:val="00C20A1E"/>
    <w:rsid w:val="00C20BB6"/>
    <w:rsid w:val="00C2104C"/>
    <w:rsid w:val="00C225F5"/>
    <w:rsid w:val="00C22E8B"/>
    <w:rsid w:val="00C237ED"/>
    <w:rsid w:val="00C237F1"/>
    <w:rsid w:val="00C23CB3"/>
    <w:rsid w:val="00C24238"/>
    <w:rsid w:val="00C24632"/>
    <w:rsid w:val="00C2508E"/>
    <w:rsid w:val="00C25418"/>
    <w:rsid w:val="00C255EF"/>
    <w:rsid w:val="00C258A2"/>
    <w:rsid w:val="00C25D9C"/>
    <w:rsid w:val="00C26D50"/>
    <w:rsid w:val="00C27203"/>
    <w:rsid w:val="00C2759B"/>
    <w:rsid w:val="00C2778B"/>
    <w:rsid w:val="00C30A08"/>
    <w:rsid w:val="00C31649"/>
    <w:rsid w:val="00C318AB"/>
    <w:rsid w:val="00C32BAD"/>
    <w:rsid w:val="00C33354"/>
    <w:rsid w:val="00C33499"/>
    <w:rsid w:val="00C3379E"/>
    <w:rsid w:val="00C3434C"/>
    <w:rsid w:val="00C34522"/>
    <w:rsid w:val="00C348FB"/>
    <w:rsid w:val="00C354B1"/>
    <w:rsid w:val="00C35550"/>
    <w:rsid w:val="00C358FE"/>
    <w:rsid w:val="00C35A97"/>
    <w:rsid w:val="00C36584"/>
    <w:rsid w:val="00C37841"/>
    <w:rsid w:val="00C40385"/>
    <w:rsid w:val="00C4089C"/>
    <w:rsid w:val="00C41768"/>
    <w:rsid w:val="00C4306B"/>
    <w:rsid w:val="00C43767"/>
    <w:rsid w:val="00C43EEB"/>
    <w:rsid w:val="00C447B2"/>
    <w:rsid w:val="00C44D58"/>
    <w:rsid w:val="00C45170"/>
    <w:rsid w:val="00C45314"/>
    <w:rsid w:val="00C45920"/>
    <w:rsid w:val="00C459EB"/>
    <w:rsid w:val="00C46122"/>
    <w:rsid w:val="00C4637D"/>
    <w:rsid w:val="00C4683F"/>
    <w:rsid w:val="00C472D7"/>
    <w:rsid w:val="00C475AA"/>
    <w:rsid w:val="00C47E24"/>
    <w:rsid w:val="00C50C72"/>
    <w:rsid w:val="00C51777"/>
    <w:rsid w:val="00C517A3"/>
    <w:rsid w:val="00C517DB"/>
    <w:rsid w:val="00C5227B"/>
    <w:rsid w:val="00C523EB"/>
    <w:rsid w:val="00C5335B"/>
    <w:rsid w:val="00C53C98"/>
    <w:rsid w:val="00C545F9"/>
    <w:rsid w:val="00C5485A"/>
    <w:rsid w:val="00C54E12"/>
    <w:rsid w:val="00C562C3"/>
    <w:rsid w:val="00C56C32"/>
    <w:rsid w:val="00C56FCF"/>
    <w:rsid w:val="00C57120"/>
    <w:rsid w:val="00C57B6C"/>
    <w:rsid w:val="00C604A7"/>
    <w:rsid w:val="00C6056B"/>
    <w:rsid w:val="00C605C1"/>
    <w:rsid w:val="00C61013"/>
    <w:rsid w:val="00C6130F"/>
    <w:rsid w:val="00C615C6"/>
    <w:rsid w:val="00C623CC"/>
    <w:rsid w:val="00C627B1"/>
    <w:rsid w:val="00C628A6"/>
    <w:rsid w:val="00C63199"/>
    <w:rsid w:val="00C63CBD"/>
    <w:rsid w:val="00C64344"/>
    <w:rsid w:val="00C64913"/>
    <w:rsid w:val="00C65108"/>
    <w:rsid w:val="00C65576"/>
    <w:rsid w:val="00C660E1"/>
    <w:rsid w:val="00C66165"/>
    <w:rsid w:val="00C66928"/>
    <w:rsid w:val="00C7060A"/>
    <w:rsid w:val="00C70BCE"/>
    <w:rsid w:val="00C7105D"/>
    <w:rsid w:val="00C71440"/>
    <w:rsid w:val="00C7151A"/>
    <w:rsid w:val="00C717E3"/>
    <w:rsid w:val="00C71F60"/>
    <w:rsid w:val="00C72241"/>
    <w:rsid w:val="00C74678"/>
    <w:rsid w:val="00C750C8"/>
    <w:rsid w:val="00C75509"/>
    <w:rsid w:val="00C7560F"/>
    <w:rsid w:val="00C75C4D"/>
    <w:rsid w:val="00C76044"/>
    <w:rsid w:val="00C76FDD"/>
    <w:rsid w:val="00C80A0E"/>
    <w:rsid w:val="00C80D69"/>
    <w:rsid w:val="00C8164E"/>
    <w:rsid w:val="00C819F1"/>
    <w:rsid w:val="00C81A42"/>
    <w:rsid w:val="00C81BBF"/>
    <w:rsid w:val="00C8213F"/>
    <w:rsid w:val="00C82144"/>
    <w:rsid w:val="00C831F0"/>
    <w:rsid w:val="00C833F6"/>
    <w:rsid w:val="00C8366E"/>
    <w:rsid w:val="00C83E4C"/>
    <w:rsid w:val="00C84803"/>
    <w:rsid w:val="00C84C99"/>
    <w:rsid w:val="00C84CEB"/>
    <w:rsid w:val="00C850BD"/>
    <w:rsid w:val="00C85154"/>
    <w:rsid w:val="00C85719"/>
    <w:rsid w:val="00C8657E"/>
    <w:rsid w:val="00C8670D"/>
    <w:rsid w:val="00C8797A"/>
    <w:rsid w:val="00C87DAA"/>
    <w:rsid w:val="00C900B8"/>
    <w:rsid w:val="00C9061E"/>
    <w:rsid w:val="00C90794"/>
    <w:rsid w:val="00C909E9"/>
    <w:rsid w:val="00C90AA5"/>
    <w:rsid w:val="00C90C71"/>
    <w:rsid w:val="00C91FD1"/>
    <w:rsid w:val="00C9244F"/>
    <w:rsid w:val="00C9248C"/>
    <w:rsid w:val="00C931CF"/>
    <w:rsid w:val="00C935AA"/>
    <w:rsid w:val="00C938CF"/>
    <w:rsid w:val="00C93E66"/>
    <w:rsid w:val="00C94053"/>
    <w:rsid w:val="00C94C9C"/>
    <w:rsid w:val="00C95008"/>
    <w:rsid w:val="00C95D1F"/>
    <w:rsid w:val="00C9624D"/>
    <w:rsid w:val="00C969DA"/>
    <w:rsid w:val="00C97253"/>
    <w:rsid w:val="00C97421"/>
    <w:rsid w:val="00C9765E"/>
    <w:rsid w:val="00C97C33"/>
    <w:rsid w:val="00C97D8E"/>
    <w:rsid w:val="00CA079E"/>
    <w:rsid w:val="00CA2C77"/>
    <w:rsid w:val="00CA3ED8"/>
    <w:rsid w:val="00CA3F52"/>
    <w:rsid w:val="00CA444F"/>
    <w:rsid w:val="00CA4496"/>
    <w:rsid w:val="00CA4E4F"/>
    <w:rsid w:val="00CA51FA"/>
    <w:rsid w:val="00CA5245"/>
    <w:rsid w:val="00CA5269"/>
    <w:rsid w:val="00CA58C9"/>
    <w:rsid w:val="00CA59DC"/>
    <w:rsid w:val="00CA6021"/>
    <w:rsid w:val="00CA71F4"/>
    <w:rsid w:val="00CA7B09"/>
    <w:rsid w:val="00CB1173"/>
    <w:rsid w:val="00CB12A5"/>
    <w:rsid w:val="00CB1CAC"/>
    <w:rsid w:val="00CB2E21"/>
    <w:rsid w:val="00CB2F2A"/>
    <w:rsid w:val="00CB3F78"/>
    <w:rsid w:val="00CB3F9D"/>
    <w:rsid w:val="00CB5325"/>
    <w:rsid w:val="00CB5921"/>
    <w:rsid w:val="00CB5B1A"/>
    <w:rsid w:val="00CB61AB"/>
    <w:rsid w:val="00CB6328"/>
    <w:rsid w:val="00CB6B22"/>
    <w:rsid w:val="00CB790D"/>
    <w:rsid w:val="00CB7F5F"/>
    <w:rsid w:val="00CC189E"/>
    <w:rsid w:val="00CC1B39"/>
    <w:rsid w:val="00CC1FF0"/>
    <w:rsid w:val="00CC2038"/>
    <w:rsid w:val="00CC24D9"/>
    <w:rsid w:val="00CC25FE"/>
    <w:rsid w:val="00CC34FA"/>
    <w:rsid w:val="00CC35EA"/>
    <w:rsid w:val="00CC3848"/>
    <w:rsid w:val="00CC39C8"/>
    <w:rsid w:val="00CC3A59"/>
    <w:rsid w:val="00CC3DD1"/>
    <w:rsid w:val="00CC4692"/>
    <w:rsid w:val="00CC4F11"/>
    <w:rsid w:val="00CC5407"/>
    <w:rsid w:val="00CD090F"/>
    <w:rsid w:val="00CD225A"/>
    <w:rsid w:val="00CD2597"/>
    <w:rsid w:val="00CD3EC1"/>
    <w:rsid w:val="00CD3F77"/>
    <w:rsid w:val="00CD421B"/>
    <w:rsid w:val="00CD4569"/>
    <w:rsid w:val="00CD4DFE"/>
    <w:rsid w:val="00CD4FBC"/>
    <w:rsid w:val="00CD5282"/>
    <w:rsid w:val="00CD58C0"/>
    <w:rsid w:val="00CD58E3"/>
    <w:rsid w:val="00CD66AB"/>
    <w:rsid w:val="00CD6ADC"/>
    <w:rsid w:val="00CD6D8D"/>
    <w:rsid w:val="00CD6DD6"/>
    <w:rsid w:val="00CD7193"/>
    <w:rsid w:val="00CD77AB"/>
    <w:rsid w:val="00CD7A63"/>
    <w:rsid w:val="00CD7CF5"/>
    <w:rsid w:val="00CD7EAA"/>
    <w:rsid w:val="00CE018B"/>
    <w:rsid w:val="00CE058E"/>
    <w:rsid w:val="00CE06FA"/>
    <w:rsid w:val="00CE0C35"/>
    <w:rsid w:val="00CE38C8"/>
    <w:rsid w:val="00CE4445"/>
    <w:rsid w:val="00CE5999"/>
    <w:rsid w:val="00CE6274"/>
    <w:rsid w:val="00CE635F"/>
    <w:rsid w:val="00CE6379"/>
    <w:rsid w:val="00CE66A8"/>
    <w:rsid w:val="00CE6817"/>
    <w:rsid w:val="00CE77B6"/>
    <w:rsid w:val="00CF07AC"/>
    <w:rsid w:val="00CF28CE"/>
    <w:rsid w:val="00CF2B8D"/>
    <w:rsid w:val="00CF3220"/>
    <w:rsid w:val="00CF3CE7"/>
    <w:rsid w:val="00CF456B"/>
    <w:rsid w:val="00CF4B7D"/>
    <w:rsid w:val="00CF4F57"/>
    <w:rsid w:val="00CF56BE"/>
    <w:rsid w:val="00CF5A22"/>
    <w:rsid w:val="00CF5AC6"/>
    <w:rsid w:val="00CF6434"/>
    <w:rsid w:val="00CF7C3A"/>
    <w:rsid w:val="00D003A2"/>
    <w:rsid w:val="00D004F3"/>
    <w:rsid w:val="00D02063"/>
    <w:rsid w:val="00D0262E"/>
    <w:rsid w:val="00D0344C"/>
    <w:rsid w:val="00D03DEB"/>
    <w:rsid w:val="00D03E8D"/>
    <w:rsid w:val="00D0499E"/>
    <w:rsid w:val="00D04E81"/>
    <w:rsid w:val="00D051AD"/>
    <w:rsid w:val="00D05AD6"/>
    <w:rsid w:val="00D05E3D"/>
    <w:rsid w:val="00D06139"/>
    <w:rsid w:val="00D06492"/>
    <w:rsid w:val="00D06A7B"/>
    <w:rsid w:val="00D07C3D"/>
    <w:rsid w:val="00D102B7"/>
    <w:rsid w:val="00D10A41"/>
    <w:rsid w:val="00D10DBA"/>
    <w:rsid w:val="00D10FC9"/>
    <w:rsid w:val="00D110BD"/>
    <w:rsid w:val="00D112CF"/>
    <w:rsid w:val="00D11529"/>
    <w:rsid w:val="00D1187C"/>
    <w:rsid w:val="00D11F4C"/>
    <w:rsid w:val="00D12417"/>
    <w:rsid w:val="00D12B23"/>
    <w:rsid w:val="00D13675"/>
    <w:rsid w:val="00D141E1"/>
    <w:rsid w:val="00D146E7"/>
    <w:rsid w:val="00D14C27"/>
    <w:rsid w:val="00D150E8"/>
    <w:rsid w:val="00D15314"/>
    <w:rsid w:val="00D1568A"/>
    <w:rsid w:val="00D1574A"/>
    <w:rsid w:val="00D16566"/>
    <w:rsid w:val="00D16DE4"/>
    <w:rsid w:val="00D17050"/>
    <w:rsid w:val="00D177BC"/>
    <w:rsid w:val="00D17D6C"/>
    <w:rsid w:val="00D17D8E"/>
    <w:rsid w:val="00D20DAE"/>
    <w:rsid w:val="00D210C5"/>
    <w:rsid w:val="00D2142B"/>
    <w:rsid w:val="00D2155B"/>
    <w:rsid w:val="00D2167F"/>
    <w:rsid w:val="00D21879"/>
    <w:rsid w:val="00D21A82"/>
    <w:rsid w:val="00D22A07"/>
    <w:rsid w:val="00D23560"/>
    <w:rsid w:val="00D23D11"/>
    <w:rsid w:val="00D244B6"/>
    <w:rsid w:val="00D24CEE"/>
    <w:rsid w:val="00D24FE4"/>
    <w:rsid w:val="00D254FF"/>
    <w:rsid w:val="00D26A2E"/>
    <w:rsid w:val="00D26C2E"/>
    <w:rsid w:val="00D2754D"/>
    <w:rsid w:val="00D278A4"/>
    <w:rsid w:val="00D27AC7"/>
    <w:rsid w:val="00D27B27"/>
    <w:rsid w:val="00D27F2B"/>
    <w:rsid w:val="00D27F3E"/>
    <w:rsid w:val="00D30689"/>
    <w:rsid w:val="00D31125"/>
    <w:rsid w:val="00D31622"/>
    <w:rsid w:val="00D3280B"/>
    <w:rsid w:val="00D32CAA"/>
    <w:rsid w:val="00D33B96"/>
    <w:rsid w:val="00D33BE9"/>
    <w:rsid w:val="00D33F93"/>
    <w:rsid w:val="00D34571"/>
    <w:rsid w:val="00D34CD7"/>
    <w:rsid w:val="00D357FF"/>
    <w:rsid w:val="00D367F9"/>
    <w:rsid w:val="00D36DD0"/>
    <w:rsid w:val="00D37D66"/>
    <w:rsid w:val="00D404A8"/>
    <w:rsid w:val="00D408BF"/>
    <w:rsid w:val="00D408DB"/>
    <w:rsid w:val="00D40DC0"/>
    <w:rsid w:val="00D410EF"/>
    <w:rsid w:val="00D415A7"/>
    <w:rsid w:val="00D41D1F"/>
    <w:rsid w:val="00D424C7"/>
    <w:rsid w:val="00D425D2"/>
    <w:rsid w:val="00D43857"/>
    <w:rsid w:val="00D43B2A"/>
    <w:rsid w:val="00D43BEF"/>
    <w:rsid w:val="00D43D83"/>
    <w:rsid w:val="00D44A64"/>
    <w:rsid w:val="00D44FD2"/>
    <w:rsid w:val="00D45658"/>
    <w:rsid w:val="00D47575"/>
    <w:rsid w:val="00D5080A"/>
    <w:rsid w:val="00D50899"/>
    <w:rsid w:val="00D50B79"/>
    <w:rsid w:val="00D5147E"/>
    <w:rsid w:val="00D5243B"/>
    <w:rsid w:val="00D529C9"/>
    <w:rsid w:val="00D52B36"/>
    <w:rsid w:val="00D52B66"/>
    <w:rsid w:val="00D533EC"/>
    <w:rsid w:val="00D549D9"/>
    <w:rsid w:val="00D55509"/>
    <w:rsid w:val="00D5594F"/>
    <w:rsid w:val="00D56A95"/>
    <w:rsid w:val="00D56B17"/>
    <w:rsid w:val="00D56F1D"/>
    <w:rsid w:val="00D5788F"/>
    <w:rsid w:val="00D57E8E"/>
    <w:rsid w:val="00D60414"/>
    <w:rsid w:val="00D6180F"/>
    <w:rsid w:val="00D6187F"/>
    <w:rsid w:val="00D623A6"/>
    <w:rsid w:val="00D6249D"/>
    <w:rsid w:val="00D62B9B"/>
    <w:rsid w:val="00D63E61"/>
    <w:rsid w:val="00D64672"/>
    <w:rsid w:val="00D6589D"/>
    <w:rsid w:val="00D6591A"/>
    <w:rsid w:val="00D65CB1"/>
    <w:rsid w:val="00D66C38"/>
    <w:rsid w:val="00D700C6"/>
    <w:rsid w:val="00D70648"/>
    <w:rsid w:val="00D70F16"/>
    <w:rsid w:val="00D71FE4"/>
    <w:rsid w:val="00D7243D"/>
    <w:rsid w:val="00D72713"/>
    <w:rsid w:val="00D72CA0"/>
    <w:rsid w:val="00D72F57"/>
    <w:rsid w:val="00D730E2"/>
    <w:rsid w:val="00D73888"/>
    <w:rsid w:val="00D73BE4"/>
    <w:rsid w:val="00D73CF6"/>
    <w:rsid w:val="00D745FC"/>
    <w:rsid w:val="00D7497B"/>
    <w:rsid w:val="00D74F2D"/>
    <w:rsid w:val="00D7541E"/>
    <w:rsid w:val="00D7641F"/>
    <w:rsid w:val="00D76A44"/>
    <w:rsid w:val="00D76A5C"/>
    <w:rsid w:val="00D77378"/>
    <w:rsid w:val="00D809CD"/>
    <w:rsid w:val="00D80A08"/>
    <w:rsid w:val="00D80B3D"/>
    <w:rsid w:val="00D80EBC"/>
    <w:rsid w:val="00D815EF"/>
    <w:rsid w:val="00D81F26"/>
    <w:rsid w:val="00D8265E"/>
    <w:rsid w:val="00D82CA8"/>
    <w:rsid w:val="00D83ACF"/>
    <w:rsid w:val="00D8480D"/>
    <w:rsid w:val="00D84B18"/>
    <w:rsid w:val="00D84B54"/>
    <w:rsid w:val="00D85491"/>
    <w:rsid w:val="00D85669"/>
    <w:rsid w:val="00D86231"/>
    <w:rsid w:val="00D8630F"/>
    <w:rsid w:val="00D90289"/>
    <w:rsid w:val="00D90D8F"/>
    <w:rsid w:val="00D9137F"/>
    <w:rsid w:val="00D917AF"/>
    <w:rsid w:val="00D91923"/>
    <w:rsid w:val="00D92343"/>
    <w:rsid w:val="00D92A51"/>
    <w:rsid w:val="00D93559"/>
    <w:rsid w:val="00D93753"/>
    <w:rsid w:val="00D93C83"/>
    <w:rsid w:val="00D9407E"/>
    <w:rsid w:val="00D9456B"/>
    <w:rsid w:val="00D951F8"/>
    <w:rsid w:val="00D956AF"/>
    <w:rsid w:val="00D95862"/>
    <w:rsid w:val="00D95F4C"/>
    <w:rsid w:val="00D96E89"/>
    <w:rsid w:val="00D9707C"/>
    <w:rsid w:val="00DA08DE"/>
    <w:rsid w:val="00DA1310"/>
    <w:rsid w:val="00DA1854"/>
    <w:rsid w:val="00DA3167"/>
    <w:rsid w:val="00DA3B3C"/>
    <w:rsid w:val="00DA3C0E"/>
    <w:rsid w:val="00DA45DB"/>
    <w:rsid w:val="00DA4DC3"/>
    <w:rsid w:val="00DA55A8"/>
    <w:rsid w:val="00DA5720"/>
    <w:rsid w:val="00DA5DF6"/>
    <w:rsid w:val="00DA7286"/>
    <w:rsid w:val="00DA77A5"/>
    <w:rsid w:val="00DB115A"/>
    <w:rsid w:val="00DB1C1D"/>
    <w:rsid w:val="00DB1CCE"/>
    <w:rsid w:val="00DB2DB3"/>
    <w:rsid w:val="00DB3014"/>
    <w:rsid w:val="00DB32D0"/>
    <w:rsid w:val="00DB3DBF"/>
    <w:rsid w:val="00DB484F"/>
    <w:rsid w:val="00DB4A36"/>
    <w:rsid w:val="00DB4FF3"/>
    <w:rsid w:val="00DB659C"/>
    <w:rsid w:val="00DB6B12"/>
    <w:rsid w:val="00DB6C8C"/>
    <w:rsid w:val="00DB7BDF"/>
    <w:rsid w:val="00DC04F6"/>
    <w:rsid w:val="00DC05CE"/>
    <w:rsid w:val="00DC0690"/>
    <w:rsid w:val="00DC1D65"/>
    <w:rsid w:val="00DC1E10"/>
    <w:rsid w:val="00DC3953"/>
    <w:rsid w:val="00DC3C57"/>
    <w:rsid w:val="00DC47FF"/>
    <w:rsid w:val="00DC4A35"/>
    <w:rsid w:val="00DC5501"/>
    <w:rsid w:val="00DC5BCD"/>
    <w:rsid w:val="00DC5CAE"/>
    <w:rsid w:val="00DC6029"/>
    <w:rsid w:val="00DC6FD6"/>
    <w:rsid w:val="00DC7154"/>
    <w:rsid w:val="00DC7816"/>
    <w:rsid w:val="00DC7E87"/>
    <w:rsid w:val="00DC7E8A"/>
    <w:rsid w:val="00DD0F78"/>
    <w:rsid w:val="00DD2025"/>
    <w:rsid w:val="00DD2483"/>
    <w:rsid w:val="00DD273C"/>
    <w:rsid w:val="00DD2C9A"/>
    <w:rsid w:val="00DD3532"/>
    <w:rsid w:val="00DD3F28"/>
    <w:rsid w:val="00DD4537"/>
    <w:rsid w:val="00DD4BD1"/>
    <w:rsid w:val="00DD4E15"/>
    <w:rsid w:val="00DD4E29"/>
    <w:rsid w:val="00DD5101"/>
    <w:rsid w:val="00DD52D8"/>
    <w:rsid w:val="00DD5DD7"/>
    <w:rsid w:val="00DD75AE"/>
    <w:rsid w:val="00DD78A6"/>
    <w:rsid w:val="00DE0026"/>
    <w:rsid w:val="00DE01C1"/>
    <w:rsid w:val="00DE2304"/>
    <w:rsid w:val="00DE235C"/>
    <w:rsid w:val="00DE27F3"/>
    <w:rsid w:val="00DE2986"/>
    <w:rsid w:val="00DE3138"/>
    <w:rsid w:val="00DE37F8"/>
    <w:rsid w:val="00DE4377"/>
    <w:rsid w:val="00DE478B"/>
    <w:rsid w:val="00DE4FCB"/>
    <w:rsid w:val="00DE5D07"/>
    <w:rsid w:val="00DE63FA"/>
    <w:rsid w:val="00DE72A7"/>
    <w:rsid w:val="00DE7832"/>
    <w:rsid w:val="00DF0CD3"/>
    <w:rsid w:val="00DF0E01"/>
    <w:rsid w:val="00DF18FC"/>
    <w:rsid w:val="00DF1985"/>
    <w:rsid w:val="00DF20D3"/>
    <w:rsid w:val="00DF23A2"/>
    <w:rsid w:val="00DF241D"/>
    <w:rsid w:val="00DF2AF8"/>
    <w:rsid w:val="00DF2BFA"/>
    <w:rsid w:val="00DF3DE8"/>
    <w:rsid w:val="00DF40E8"/>
    <w:rsid w:val="00DF5BBC"/>
    <w:rsid w:val="00DF5D2B"/>
    <w:rsid w:val="00DF6E30"/>
    <w:rsid w:val="00DF6E49"/>
    <w:rsid w:val="00DF72F6"/>
    <w:rsid w:val="00E00618"/>
    <w:rsid w:val="00E00921"/>
    <w:rsid w:val="00E00C15"/>
    <w:rsid w:val="00E00E8E"/>
    <w:rsid w:val="00E010D4"/>
    <w:rsid w:val="00E01954"/>
    <w:rsid w:val="00E0195C"/>
    <w:rsid w:val="00E01999"/>
    <w:rsid w:val="00E01A85"/>
    <w:rsid w:val="00E01D96"/>
    <w:rsid w:val="00E027E6"/>
    <w:rsid w:val="00E02CA0"/>
    <w:rsid w:val="00E03C70"/>
    <w:rsid w:val="00E04030"/>
    <w:rsid w:val="00E05630"/>
    <w:rsid w:val="00E061F8"/>
    <w:rsid w:val="00E06DBB"/>
    <w:rsid w:val="00E10149"/>
    <w:rsid w:val="00E10706"/>
    <w:rsid w:val="00E10B42"/>
    <w:rsid w:val="00E11340"/>
    <w:rsid w:val="00E122A1"/>
    <w:rsid w:val="00E13919"/>
    <w:rsid w:val="00E1406F"/>
    <w:rsid w:val="00E14509"/>
    <w:rsid w:val="00E148A4"/>
    <w:rsid w:val="00E16372"/>
    <w:rsid w:val="00E16EA3"/>
    <w:rsid w:val="00E17A98"/>
    <w:rsid w:val="00E20A98"/>
    <w:rsid w:val="00E20E4D"/>
    <w:rsid w:val="00E20ED6"/>
    <w:rsid w:val="00E21358"/>
    <w:rsid w:val="00E21482"/>
    <w:rsid w:val="00E220DB"/>
    <w:rsid w:val="00E2249B"/>
    <w:rsid w:val="00E22A0D"/>
    <w:rsid w:val="00E23D6A"/>
    <w:rsid w:val="00E244F4"/>
    <w:rsid w:val="00E244F6"/>
    <w:rsid w:val="00E2618B"/>
    <w:rsid w:val="00E2656E"/>
    <w:rsid w:val="00E26A85"/>
    <w:rsid w:val="00E27347"/>
    <w:rsid w:val="00E27596"/>
    <w:rsid w:val="00E2771E"/>
    <w:rsid w:val="00E305D2"/>
    <w:rsid w:val="00E30AFB"/>
    <w:rsid w:val="00E311EF"/>
    <w:rsid w:val="00E31602"/>
    <w:rsid w:val="00E31713"/>
    <w:rsid w:val="00E31BCE"/>
    <w:rsid w:val="00E31C7B"/>
    <w:rsid w:val="00E32180"/>
    <w:rsid w:val="00E32682"/>
    <w:rsid w:val="00E33A59"/>
    <w:rsid w:val="00E3488E"/>
    <w:rsid w:val="00E34948"/>
    <w:rsid w:val="00E36163"/>
    <w:rsid w:val="00E3627C"/>
    <w:rsid w:val="00E36E73"/>
    <w:rsid w:val="00E37569"/>
    <w:rsid w:val="00E37800"/>
    <w:rsid w:val="00E37ECA"/>
    <w:rsid w:val="00E401B2"/>
    <w:rsid w:val="00E40410"/>
    <w:rsid w:val="00E40D32"/>
    <w:rsid w:val="00E41336"/>
    <w:rsid w:val="00E41E30"/>
    <w:rsid w:val="00E4290E"/>
    <w:rsid w:val="00E42F73"/>
    <w:rsid w:val="00E42FF4"/>
    <w:rsid w:val="00E43073"/>
    <w:rsid w:val="00E43685"/>
    <w:rsid w:val="00E43D70"/>
    <w:rsid w:val="00E43E7B"/>
    <w:rsid w:val="00E44987"/>
    <w:rsid w:val="00E45648"/>
    <w:rsid w:val="00E4570D"/>
    <w:rsid w:val="00E466F3"/>
    <w:rsid w:val="00E4740C"/>
    <w:rsid w:val="00E47B2C"/>
    <w:rsid w:val="00E5087C"/>
    <w:rsid w:val="00E50A27"/>
    <w:rsid w:val="00E50FF0"/>
    <w:rsid w:val="00E5132A"/>
    <w:rsid w:val="00E51560"/>
    <w:rsid w:val="00E518B1"/>
    <w:rsid w:val="00E51C41"/>
    <w:rsid w:val="00E52B75"/>
    <w:rsid w:val="00E53053"/>
    <w:rsid w:val="00E53FC8"/>
    <w:rsid w:val="00E54347"/>
    <w:rsid w:val="00E54C57"/>
    <w:rsid w:val="00E55424"/>
    <w:rsid w:val="00E55915"/>
    <w:rsid w:val="00E55BB5"/>
    <w:rsid w:val="00E56790"/>
    <w:rsid w:val="00E567CD"/>
    <w:rsid w:val="00E56998"/>
    <w:rsid w:val="00E56B78"/>
    <w:rsid w:val="00E56F3B"/>
    <w:rsid w:val="00E57599"/>
    <w:rsid w:val="00E60AA8"/>
    <w:rsid w:val="00E60F0D"/>
    <w:rsid w:val="00E6106C"/>
    <w:rsid w:val="00E6120F"/>
    <w:rsid w:val="00E6152E"/>
    <w:rsid w:val="00E6178C"/>
    <w:rsid w:val="00E62445"/>
    <w:rsid w:val="00E62913"/>
    <w:rsid w:val="00E62B55"/>
    <w:rsid w:val="00E635F8"/>
    <w:rsid w:val="00E63BB6"/>
    <w:rsid w:val="00E63DA9"/>
    <w:rsid w:val="00E65E79"/>
    <w:rsid w:val="00E65E9A"/>
    <w:rsid w:val="00E66BA2"/>
    <w:rsid w:val="00E67289"/>
    <w:rsid w:val="00E67416"/>
    <w:rsid w:val="00E67453"/>
    <w:rsid w:val="00E67563"/>
    <w:rsid w:val="00E679BA"/>
    <w:rsid w:val="00E67B7C"/>
    <w:rsid w:val="00E67E14"/>
    <w:rsid w:val="00E709AF"/>
    <w:rsid w:val="00E718B6"/>
    <w:rsid w:val="00E719BC"/>
    <w:rsid w:val="00E71DF9"/>
    <w:rsid w:val="00E72269"/>
    <w:rsid w:val="00E723BA"/>
    <w:rsid w:val="00E728AD"/>
    <w:rsid w:val="00E7297F"/>
    <w:rsid w:val="00E72E5E"/>
    <w:rsid w:val="00E73581"/>
    <w:rsid w:val="00E73D8B"/>
    <w:rsid w:val="00E746CB"/>
    <w:rsid w:val="00E747E2"/>
    <w:rsid w:val="00E75414"/>
    <w:rsid w:val="00E77477"/>
    <w:rsid w:val="00E77ADC"/>
    <w:rsid w:val="00E8005C"/>
    <w:rsid w:val="00E8023F"/>
    <w:rsid w:val="00E80539"/>
    <w:rsid w:val="00E81842"/>
    <w:rsid w:val="00E81C3C"/>
    <w:rsid w:val="00E81D19"/>
    <w:rsid w:val="00E821C5"/>
    <w:rsid w:val="00E82215"/>
    <w:rsid w:val="00E82DE4"/>
    <w:rsid w:val="00E82E81"/>
    <w:rsid w:val="00E8339F"/>
    <w:rsid w:val="00E833F7"/>
    <w:rsid w:val="00E83402"/>
    <w:rsid w:val="00E835BD"/>
    <w:rsid w:val="00E83BDF"/>
    <w:rsid w:val="00E840C0"/>
    <w:rsid w:val="00E8423E"/>
    <w:rsid w:val="00E84426"/>
    <w:rsid w:val="00E845E7"/>
    <w:rsid w:val="00E86CFC"/>
    <w:rsid w:val="00E87A1D"/>
    <w:rsid w:val="00E87B48"/>
    <w:rsid w:val="00E9094A"/>
    <w:rsid w:val="00E91346"/>
    <w:rsid w:val="00E91D35"/>
    <w:rsid w:val="00E92491"/>
    <w:rsid w:val="00E926A5"/>
    <w:rsid w:val="00E92F98"/>
    <w:rsid w:val="00E92FE3"/>
    <w:rsid w:val="00E93310"/>
    <w:rsid w:val="00E93BD8"/>
    <w:rsid w:val="00E93CF3"/>
    <w:rsid w:val="00E951DE"/>
    <w:rsid w:val="00E95661"/>
    <w:rsid w:val="00E96081"/>
    <w:rsid w:val="00E9615F"/>
    <w:rsid w:val="00E9621E"/>
    <w:rsid w:val="00E9728E"/>
    <w:rsid w:val="00E97DF7"/>
    <w:rsid w:val="00EA06B8"/>
    <w:rsid w:val="00EA17C3"/>
    <w:rsid w:val="00EA1B75"/>
    <w:rsid w:val="00EA1E7F"/>
    <w:rsid w:val="00EA1F92"/>
    <w:rsid w:val="00EA21F9"/>
    <w:rsid w:val="00EA2B8C"/>
    <w:rsid w:val="00EA2BCC"/>
    <w:rsid w:val="00EA2CAA"/>
    <w:rsid w:val="00EA2E1B"/>
    <w:rsid w:val="00EA3864"/>
    <w:rsid w:val="00EA3B5B"/>
    <w:rsid w:val="00EA42A4"/>
    <w:rsid w:val="00EA4F34"/>
    <w:rsid w:val="00EA5195"/>
    <w:rsid w:val="00EA7F1C"/>
    <w:rsid w:val="00EB15B6"/>
    <w:rsid w:val="00EB1EBC"/>
    <w:rsid w:val="00EB21D1"/>
    <w:rsid w:val="00EB2281"/>
    <w:rsid w:val="00EB250E"/>
    <w:rsid w:val="00EB3554"/>
    <w:rsid w:val="00EB3D06"/>
    <w:rsid w:val="00EB3E3A"/>
    <w:rsid w:val="00EB45DE"/>
    <w:rsid w:val="00EB4819"/>
    <w:rsid w:val="00EB4916"/>
    <w:rsid w:val="00EB64A6"/>
    <w:rsid w:val="00EB6975"/>
    <w:rsid w:val="00EB6CD0"/>
    <w:rsid w:val="00EB759D"/>
    <w:rsid w:val="00EC00C9"/>
    <w:rsid w:val="00EC0DD9"/>
    <w:rsid w:val="00EC15A7"/>
    <w:rsid w:val="00EC2026"/>
    <w:rsid w:val="00EC2172"/>
    <w:rsid w:val="00EC2483"/>
    <w:rsid w:val="00EC2506"/>
    <w:rsid w:val="00EC2649"/>
    <w:rsid w:val="00EC275E"/>
    <w:rsid w:val="00EC31DA"/>
    <w:rsid w:val="00EC31ED"/>
    <w:rsid w:val="00EC3F6A"/>
    <w:rsid w:val="00EC46AD"/>
    <w:rsid w:val="00EC5836"/>
    <w:rsid w:val="00EC688C"/>
    <w:rsid w:val="00EC6E6C"/>
    <w:rsid w:val="00EC72AD"/>
    <w:rsid w:val="00ED0391"/>
    <w:rsid w:val="00ED1750"/>
    <w:rsid w:val="00ED1FA3"/>
    <w:rsid w:val="00ED3852"/>
    <w:rsid w:val="00ED3A63"/>
    <w:rsid w:val="00ED3FAB"/>
    <w:rsid w:val="00ED48E8"/>
    <w:rsid w:val="00ED503E"/>
    <w:rsid w:val="00ED5789"/>
    <w:rsid w:val="00ED57EA"/>
    <w:rsid w:val="00ED5BD4"/>
    <w:rsid w:val="00ED6657"/>
    <w:rsid w:val="00ED686A"/>
    <w:rsid w:val="00ED6BF8"/>
    <w:rsid w:val="00ED6F23"/>
    <w:rsid w:val="00ED7A41"/>
    <w:rsid w:val="00ED7B1B"/>
    <w:rsid w:val="00EE0088"/>
    <w:rsid w:val="00EE07D3"/>
    <w:rsid w:val="00EE0973"/>
    <w:rsid w:val="00EE1996"/>
    <w:rsid w:val="00EE1C01"/>
    <w:rsid w:val="00EE1F5C"/>
    <w:rsid w:val="00EE22AF"/>
    <w:rsid w:val="00EE2949"/>
    <w:rsid w:val="00EE3A87"/>
    <w:rsid w:val="00EE4260"/>
    <w:rsid w:val="00EE4AFB"/>
    <w:rsid w:val="00EE5781"/>
    <w:rsid w:val="00EE578E"/>
    <w:rsid w:val="00EE58E5"/>
    <w:rsid w:val="00EE5CC2"/>
    <w:rsid w:val="00EE6128"/>
    <w:rsid w:val="00EE621F"/>
    <w:rsid w:val="00EE673A"/>
    <w:rsid w:val="00EE6750"/>
    <w:rsid w:val="00EE7353"/>
    <w:rsid w:val="00EE750A"/>
    <w:rsid w:val="00EE78C1"/>
    <w:rsid w:val="00EF0171"/>
    <w:rsid w:val="00EF18D3"/>
    <w:rsid w:val="00EF1B25"/>
    <w:rsid w:val="00EF1BD0"/>
    <w:rsid w:val="00EF1D26"/>
    <w:rsid w:val="00EF1DA0"/>
    <w:rsid w:val="00EF1DCC"/>
    <w:rsid w:val="00EF2040"/>
    <w:rsid w:val="00EF30B1"/>
    <w:rsid w:val="00EF367C"/>
    <w:rsid w:val="00EF3BDB"/>
    <w:rsid w:val="00EF4036"/>
    <w:rsid w:val="00EF41E5"/>
    <w:rsid w:val="00EF4747"/>
    <w:rsid w:val="00EF4BF8"/>
    <w:rsid w:val="00EF592B"/>
    <w:rsid w:val="00EF6D70"/>
    <w:rsid w:val="00EF7F24"/>
    <w:rsid w:val="00EF7F33"/>
    <w:rsid w:val="00F0149C"/>
    <w:rsid w:val="00F01BAA"/>
    <w:rsid w:val="00F01F3F"/>
    <w:rsid w:val="00F02151"/>
    <w:rsid w:val="00F02253"/>
    <w:rsid w:val="00F02432"/>
    <w:rsid w:val="00F024AA"/>
    <w:rsid w:val="00F02547"/>
    <w:rsid w:val="00F0275A"/>
    <w:rsid w:val="00F02E51"/>
    <w:rsid w:val="00F030E6"/>
    <w:rsid w:val="00F0385C"/>
    <w:rsid w:val="00F03C2E"/>
    <w:rsid w:val="00F03F5B"/>
    <w:rsid w:val="00F04094"/>
    <w:rsid w:val="00F0433B"/>
    <w:rsid w:val="00F04A66"/>
    <w:rsid w:val="00F04B4B"/>
    <w:rsid w:val="00F05050"/>
    <w:rsid w:val="00F0516C"/>
    <w:rsid w:val="00F065F8"/>
    <w:rsid w:val="00F067A2"/>
    <w:rsid w:val="00F072B3"/>
    <w:rsid w:val="00F07982"/>
    <w:rsid w:val="00F07B9E"/>
    <w:rsid w:val="00F1116F"/>
    <w:rsid w:val="00F113A9"/>
    <w:rsid w:val="00F1192F"/>
    <w:rsid w:val="00F1263A"/>
    <w:rsid w:val="00F126EE"/>
    <w:rsid w:val="00F13845"/>
    <w:rsid w:val="00F13C0D"/>
    <w:rsid w:val="00F15B77"/>
    <w:rsid w:val="00F20337"/>
    <w:rsid w:val="00F20721"/>
    <w:rsid w:val="00F2091D"/>
    <w:rsid w:val="00F20CAB"/>
    <w:rsid w:val="00F20F9B"/>
    <w:rsid w:val="00F2115B"/>
    <w:rsid w:val="00F218C3"/>
    <w:rsid w:val="00F2192D"/>
    <w:rsid w:val="00F21997"/>
    <w:rsid w:val="00F229D8"/>
    <w:rsid w:val="00F22E25"/>
    <w:rsid w:val="00F237E9"/>
    <w:rsid w:val="00F23F4E"/>
    <w:rsid w:val="00F243BA"/>
    <w:rsid w:val="00F24837"/>
    <w:rsid w:val="00F25116"/>
    <w:rsid w:val="00F253E0"/>
    <w:rsid w:val="00F2575F"/>
    <w:rsid w:val="00F266CE"/>
    <w:rsid w:val="00F27565"/>
    <w:rsid w:val="00F27C18"/>
    <w:rsid w:val="00F27CF5"/>
    <w:rsid w:val="00F30A71"/>
    <w:rsid w:val="00F30B10"/>
    <w:rsid w:val="00F30CD5"/>
    <w:rsid w:val="00F30D47"/>
    <w:rsid w:val="00F310D4"/>
    <w:rsid w:val="00F31770"/>
    <w:rsid w:val="00F319A1"/>
    <w:rsid w:val="00F31B4A"/>
    <w:rsid w:val="00F31D5A"/>
    <w:rsid w:val="00F32528"/>
    <w:rsid w:val="00F32DF3"/>
    <w:rsid w:val="00F33975"/>
    <w:rsid w:val="00F33DE9"/>
    <w:rsid w:val="00F35E6D"/>
    <w:rsid w:val="00F3619A"/>
    <w:rsid w:val="00F36311"/>
    <w:rsid w:val="00F36324"/>
    <w:rsid w:val="00F36D9F"/>
    <w:rsid w:val="00F37BD0"/>
    <w:rsid w:val="00F40052"/>
    <w:rsid w:val="00F40AAA"/>
    <w:rsid w:val="00F40BA7"/>
    <w:rsid w:val="00F40F9D"/>
    <w:rsid w:val="00F41ACD"/>
    <w:rsid w:val="00F41B08"/>
    <w:rsid w:val="00F42475"/>
    <w:rsid w:val="00F4261E"/>
    <w:rsid w:val="00F42BFE"/>
    <w:rsid w:val="00F4302E"/>
    <w:rsid w:val="00F43245"/>
    <w:rsid w:val="00F436E3"/>
    <w:rsid w:val="00F437BB"/>
    <w:rsid w:val="00F4394C"/>
    <w:rsid w:val="00F43D9B"/>
    <w:rsid w:val="00F43E35"/>
    <w:rsid w:val="00F44339"/>
    <w:rsid w:val="00F444BE"/>
    <w:rsid w:val="00F44B77"/>
    <w:rsid w:val="00F45285"/>
    <w:rsid w:val="00F46403"/>
    <w:rsid w:val="00F46CB6"/>
    <w:rsid w:val="00F4756D"/>
    <w:rsid w:val="00F47DE8"/>
    <w:rsid w:val="00F47FB3"/>
    <w:rsid w:val="00F505A3"/>
    <w:rsid w:val="00F508BB"/>
    <w:rsid w:val="00F50B6B"/>
    <w:rsid w:val="00F51C73"/>
    <w:rsid w:val="00F52263"/>
    <w:rsid w:val="00F523A2"/>
    <w:rsid w:val="00F5342A"/>
    <w:rsid w:val="00F53EBA"/>
    <w:rsid w:val="00F542C1"/>
    <w:rsid w:val="00F54FE9"/>
    <w:rsid w:val="00F55B98"/>
    <w:rsid w:val="00F55E73"/>
    <w:rsid w:val="00F55EDA"/>
    <w:rsid w:val="00F55FE2"/>
    <w:rsid w:val="00F562CC"/>
    <w:rsid w:val="00F567EF"/>
    <w:rsid w:val="00F56C80"/>
    <w:rsid w:val="00F57698"/>
    <w:rsid w:val="00F60092"/>
    <w:rsid w:val="00F60BEE"/>
    <w:rsid w:val="00F6136E"/>
    <w:rsid w:val="00F61C18"/>
    <w:rsid w:val="00F62154"/>
    <w:rsid w:val="00F62433"/>
    <w:rsid w:val="00F62871"/>
    <w:rsid w:val="00F6457B"/>
    <w:rsid w:val="00F651D5"/>
    <w:rsid w:val="00F65F4B"/>
    <w:rsid w:val="00F66377"/>
    <w:rsid w:val="00F665D5"/>
    <w:rsid w:val="00F67A69"/>
    <w:rsid w:val="00F70BFF"/>
    <w:rsid w:val="00F70C9D"/>
    <w:rsid w:val="00F70F4A"/>
    <w:rsid w:val="00F71739"/>
    <w:rsid w:val="00F71FAD"/>
    <w:rsid w:val="00F72361"/>
    <w:rsid w:val="00F72BBC"/>
    <w:rsid w:val="00F7469E"/>
    <w:rsid w:val="00F74CD9"/>
    <w:rsid w:val="00F75B81"/>
    <w:rsid w:val="00F77431"/>
    <w:rsid w:val="00F777DE"/>
    <w:rsid w:val="00F7788E"/>
    <w:rsid w:val="00F80530"/>
    <w:rsid w:val="00F80A7B"/>
    <w:rsid w:val="00F80ADE"/>
    <w:rsid w:val="00F80E5D"/>
    <w:rsid w:val="00F81347"/>
    <w:rsid w:val="00F81A31"/>
    <w:rsid w:val="00F81B34"/>
    <w:rsid w:val="00F81E78"/>
    <w:rsid w:val="00F81FF6"/>
    <w:rsid w:val="00F82AEC"/>
    <w:rsid w:val="00F830AD"/>
    <w:rsid w:val="00F83117"/>
    <w:rsid w:val="00F83300"/>
    <w:rsid w:val="00F84E58"/>
    <w:rsid w:val="00F851CE"/>
    <w:rsid w:val="00F851FF"/>
    <w:rsid w:val="00F87A93"/>
    <w:rsid w:val="00F90CAC"/>
    <w:rsid w:val="00F91219"/>
    <w:rsid w:val="00F91AF4"/>
    <w:rsid w:val="00F91E2C"/>
    <w:rsid w:val="00F92444"/>
    <w:rsid w:val="00F9245B"/>
    <w:rsid w:val="00F92C74"/>
    <w:rsid w:val="00F9370E"/>
    <w:rsid w:val="00F9393E"/>
    <w:rsid w:val="00F940D0"/>
    <w:rsid w:val="00F9571B"/>
    <w:rsid w:val="00F959E0"/>
    <w:rsid w:val="00F96B5D"/>
    <w:rsid w:val="00F96FD0"/>
    <w:rsid w:val="00F972D7"/>
    <w:rsid w:val="00F97A78"/>
    <w:rsid w:val="00FA04AF"/>
    <w:rsid w:val="00FA05C4"/>
    <w:rsid w:val="00FA0A74"/>
    <w:rsid w:val="00FA0B20"/>
    <w:rsid w:val="00FA16CE"/>
    <w:rsid w:val="00FA21D0"/>
    <w:rsid w:val="00FA24E7"/>
    <w:rsid w:val="00FA35B1"/>
    <w:rsid w:val="00FA38D8"/>
    <w:rsid w:val="00FA3983"/>
    <w:rsid w:val="00FA5C3C"/>
    <w:rsid w:val="00FA5EE6"/>
    <w:rsid w:val="00FA666D"/>
    <w:rsid w:val="00FA6721"/>
    <w:rsid w:val="00FA7956"/>
    <w:rsid w:val="00FA7E22"/>
    <w:rsid w:val="00FB0450"/>
    <w:rsid w:val="00FB0F40"/>
    <w:rsid w:val="00FB270E"/>
    <w:rsid w:val="00FB2981"/>
    <w:rsid w:val="00FB2994"/>
    <w:rsid w:val="00FB2FCB"/>
    <w:rsid w:val="00FB55FB"/>
    <w:rsid w:val="00FB5668"/>
    <w:rsid w:val="00FB5D27"/>
    <w:rsid w:val="00FB72EC"/>
    <w:rsid w:val="00FB7AE6"/>
    <w:rsid w:val="00FB7C55"/>
    <w:rsid w:val="00FB7D02"/>
    <w:rsid w:val="00FC1074"/>
    <w:rsid w:val="00FC1884"/>
    <w:rsid w:val="00FC1E64"/>
    <w:rsid w:val="00FC371D"/>
    <w:rsid w:val="00FC41BE"/>
    <w:rsid w:val="00FC44C6"/>
    <w:rsid w:val="00FC5150"/>
    <w:rsid w:val="00FC5F0B"/>
    <w:rsid w:val="00FC62BC"/>
    <w:rsid w:val="00FC7A4C"/>
    <w:rsid w:val="00FC7E42"/>
    <w:rsid w:val="00FD05AE"/>
    <w:rsid w:val="00FD05C3"/>
    <w:rsid w:val="00FD1797"/>
    <w:rsid w:val="00FD2100"/>
    <w:rsid w:val="00FD254B"/>
    <w:rsid w:val="00FD261D"/>
    <w:rsid w:val="00FD436C"/>
    <w:rsid w:val="00FD446D"/>
    <w:rsid w:val="00FD4F2C"/>
    <w:rsid w:val="00FD5B72"/>
    <w:rsid w:val="00FD6114"/>
    <w:rsid w:val="00FD6394"/>
    <w:rsid w:val="00FE0E6C"/>
    <w:rsid w:val="00FE0F3C"/>
    <w:rsid w:val="00FE1401"/>
    <w:rsid w:val="00FE1CDC"/>
    <w:rsid w:val="00FE2286"/>
    <w:rsid w:val="00FE2CFB"/>
    <w:rsid w:val="00FE2D09"/>
    <w:rsid w:val="00FE4595"/>
    <w:rsid w:val="00FE47BC"/>
    <w:rsid w:val="00FE49A5"/>
    <w:rsid w:val="00FE70C3"/>
    <w:rsid w:val="00FE7CCC"/>
    <w:rsid w:val="00FF0629"/>
    <w:rsid w:val="00FF0D12"/>
    <w:rsid w:val="00FF0FDA"/>
    <w:rsid w:val="00FF16A8"/>
    <w:rsid w:val="00FF282F"/>
    <w:rsid w:val="00FF2AD9"/>
    <w:rsid w:val="00FF2C05"/>
    <w:rsid w:val="00FF2C81"/>
    <w:rsid w:val="00FF3209"/>
    <w:rsid w:val="00FF359F"/>
    <w:rsid w:val="00FF3DCF"/>
    <w:rsid w:val="00FF41C9"/>
    <w:rsid w:val="00FF492C"/>
    <w:rsid w:val="00FF4A21"/>
    <w:rsid w:val="00FF4FA0"/>
    <w:rsid w:val="00FF5AA3"/>
    <w:rsid w:val="00FF5AD8"/>
    <w:rsid w:val="00FF70B3"/>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056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Caption Char Char,Char Char Char,Char Char1,Table caption,IB Caption,Medical Caption,Medical Caption Char,Caption Char1 Char Char,Caption Char Char Char Char,Caption Char Char Char Char Char,Caption Char1 Char1,c,Caption 3,appendix"/>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Char1 Char,Caption Char Char Char,Char Char Char Char,Char Char1 Char,Table caption Char,IB Caption Char,Medical Caption Char1,Medical Caption Char Char,Caption Char1 Char Char Char,Caption Char Char Char Char Char1,c Char"/>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 List,Table Legend,Bullet1,Bullet 1,Section 5,Styl moj,Akapit z listą11,L,Bullet Point"/>
    <w:next w:val="ListBullet"/>
    <w:link w:val="ListParagraphChar"/>
    <w:uiPriority w:val="34"/>
    <w:qFormat/>
    <w:rsid w:val="00BB00B3"/>
    <w:p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List Char,Table Legend Char,Bullet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PBAC table,HTAtableplain"/>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qFormat/>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character" w:customStyle="1" w:styleId="SmallBold">
    <w:name w:val="Small Bold"/>
    <w:basedOn w:val="DefaultParagraphFont"/>
    <w:uiPriority w:val="4"/>
    <w:qFormat/>
    <w:rsid w:val="00D21879"/>
    <w:rPr>
      <w:rFonts w:ascii="Calibri" w:hAnsi="Calibri"/>
      <w:b/>
      <w:sz w:val="20"/>
      <w:lang w:val="en-AU"/>
    </w:rPr>
  </w:style>
  <w:style w:type="paragraph" w:customStyle="1" w:styleId="TableCentre">
    <w:name w:val="Table Centre"/>
    <w:basedOn w:val="Normal"/>
    <w:link w:val="TableCentreChar"/>
    <w:qFormat/>
    <w:rsid w:val="00D21879"/>
    <w:pPr>
      <w:jc w:val="center"/>
    </w:pPr>
    <w:rPr>
      <w:rFonts w:eastAsiaTheme="majorEastAsia" w:cstheme="majorBidi"/>
      <w:sz w:val="20"/>
      <w:szCs w:val="22"/>
      <w:lang w:eastAsia="en-US" w:bidi="en-US"/>
    </w:rPr>
  </w:style>
  <w:style w:type="paragraph" w:customStyle="1" w:styleId="TableLeft">
    <w:name w:val="Table Left"/>
    <w:basedOn w:val="Normal"/>
    <w:link w:val="TableLeftChar"/>
    <w:uiPriority w:val="99"/>
    <w:qFormat/>
    <w:rsid w:val="00D21879"/>
    <w:pPr>
      <w:jc w:val="left"/>
    </w:pPr>
    <w:rPr>
      <w:rFonts w:cs="Times New Roman"/>
      <w:sz w:val="20"/>
      <w:szCs w:val="22"/>
      <w:lang w:eastAsia="en-US"/>
    </w:rPr>
  </w:style>
  <w:style w:type="character" w:customStyle="1" w:styleId="TableLeftChar">
    <w:name w:val="Table Left Char"/>
    <w:basedOn w:val="DefaultParagraphFont"/>
    <w:link w:val="TableLeft"/>
    <w:uiPriority w:val="99"/>
    <w:locked/>
    <w:rsid w:val="00D21879"/>
    <w:rPr>
      <w:rFonts w:ascii="Calibri" w:hAnsi="Calibri"/>
      <w:szCs w:val="22"/>
      <w:lang w:eastAsia="en-US"/>
    </w:rPr>
  </w:style>
  <w:style w:type="character" w:customStyle="1" w:styleId="Small">
    <w:name w:val="Small"/>
    <w:basedOn w:val="DefaultParagraphFont"/>
    <w:uiPriority w:val="4"/>
    <w:qFormat/>
    <w:rsid w:val="00BA553F"/>
    <w:rPr>
      <w:rFonts w:ascii="Calibri" w:hAnsi="Calibri"/>
      <w:sz w:val="20"/>
    </w:rPr>
  </w:style>
  <w:style w:type="character" w:customStyle="1" w:styleId="TableCentreChar">
    <w:name w:val="Table Centre Char"/>
    <w:basedOn w:val="DefaultParagraphFont"/>
    <w:link w:val="TableCentre"/>
    <w:rsid w:val="00BA553F"/>
    <w:rPr>
      <w:rFonts w:ascii="Calibri" w:eastAsiaTheme="majorEastAsia" w:hAnsi="Calibri" w:cstheme="majorBidi"/>
      <w:szCs w:val="22"/>
      <w:lang w:eastAsia="en-US" w:bidi="en-US"/>
    </w:rPr>
  </w:style>
  <w:style w:type="table" w:customStyle="1" w:styleId="Summarybox1">
    <w:name w:val="Summary box1"/>
    <w:basedOn w:val="TableNormal"/>
    <w:next w:val="TableGrid"/>
    <w:uiPriority w:val="39"/>
    <w:rsid w:val="007520D4"/>
    <w:rPr>
      <w:rFonts w:ascii="Arial" w:eastAsiaTheme="minorHAnsi" w:hAnsi="Arial"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NotesChar">
    <w:name w:val="Table Notes Char"/>
    <w:basedOn w:val="DefaultParagraphFont"/>
    <w:link w:val="TableNotes"/>
    <w:uiPriority w:val="6"/>
    <w:locked/>
    <w:rsid w:val="00053B8C"/>
    <w:rPr>
      <w:rFonts w:ascii="Arial Narrow" w:eastAsiaTheme="majorEastAsia" w:hAnsi="Arial Narrow" w:cstheme="majorBidi"/>
      <w:noProof/>
      <w:sz w:val="16"/>
      <w:lang w:bidi="en-US"/>
    </w:rPr>
  </w:style>
  <w:style w:type="paragraph" w:customStyle="1" w:styleId="TableNotes">
    <w:name w:val="Table Notes"/>
    <w:basedOn w:val="Normal"/>
    <w:link w:val="TableNotesChar"/>
    <w:uiPriority w:val="6"/>
    <w:qFormat/>
    <w:rsid w:val="00053B8C"/>
    <w:pPr>
      <w:spacing w:after="360"/>
      <w:ind w:firstLine="1"/>
      <w:contextualSpacing/>
    </w:pPr>
    <w:rPr>
      <w:rFonts w:ascii="Arial Narrow" w:eastAsiaTheme="majorEastAsia" w:hAnsi="Arial Narrow" w:cstheme="majorBidi"/>
      <w:noProof/>
      <w:sz w:val="16"/>
      <w:szCs w:val="20"/>
      <w:lang w:bidi="en-US"/>
    </w:rPr>
  </w:style>
  <w:style w:type="paragraph" w:customStyle="1" w:styleId="TableText1">
    <w:name w:val="TableText"/>
    <w:basedOn w:val="Normal"/>
    <w:link w:val="TableTextChar1"/>
    <w:uiPriority w:val="3"/>
    <w:qFormat/>
    <w:rsid w:val="009963C2"/>
    <w:pPr>
      <w:spacing w:before="120"/>
      <w:jc w:val="center"/>
    </w:pPr>
    <w:rPr>
      <w:rFonts w:ascii="Arial" w:eastAsiaTheme="minorHAnsi" w:hAnsi="Arial"/>
      <w:sz w:val="18"/>
      <w:szCs w:val="22"/>
      <w:lang w:eastAsia="en-US"/>
    </w:rPr>
  </w:style>
  <w:style w:type="character" w:customStyle="1" w:styleId="TableTextChar1">
    <w:name w:val="TableText Char"/>
    <w:link w:val="TableText1"/>
    <w:uiPriority w:val="3"/>
    <w:rsid w:val="009963C2"/>
    <w:rPr>
      <w:rFonts w:ascii="Arial" w:eastAsiaTheme="minorHAnsi" w:hAnsi="Arial" w:cs="Arial"/>
      <w:sz w:val="18"/>
      <w:szCs w:val="22"/>
      <w:lang w:eastAsia="en-US"/>
    </w:rPr>
  </w:style>
  <w:style w:type="paragraph" w:customStyle="1" w:styleId="Default">
    <w:name w:val="Default"/>
    <w:rsid w:val="00E00921"/>
    <w:pPr>
      <w:autoSpaceDE w:val="0"/>
      <w:autoSpaceDN w:val="0"/>
      <w:adjustRightInd w:val="0"/>
    </w:pPr>
    <w:rPr>
      <w:color w:val="000000"/>
      <w:sz w:val="24"/>
      <w:szCs w:val="24"/>
      <w:lang w:val="en-US" w:eastAsia="en-US"/>
    </w:rPr>
  </w:style>
  <w:style w:type="character" w:customStyle="1" w:styleId="Heading3Char">
    <w:name w:val="Heading 3 Char"/>
    <w:basedOn w:val="DefaultParagraphFont"/>
    <w:link w:val="Heading3"/>
    <w:rsid w:val="00D12B23"/>
    <w:rPr>
      <w:rFonts w:ascii="Calibri" w:hAnsi="Calibri" w:cs="Arial"/>
      <w:sz w:val="24"/>
      <w:szCs w:val="24"/>
      <w:u w:val="single"/>
    </w:rPr>
  </w:style>
  <w:style w:type="paragraph" w:customStyle="1" w:styleId="SourceNotes">
    <w:name w:val="SourceNotes"/>
    <w:basedOn w:val="Normal"/>
    <w:next w:val="Normal"/>
    <w:link w:val="SourceNotesChar"/>
    <w:uiPriority w:val="3"/>
    <w:qFormat/>
    <w:rsid w:val="00D12B23"/>
    <w:pPr>
      <w:tabs>
        <w:tab w:val="left" w:pos="1100"/>
      </w:tabs>
      <w:ind w:left="1100" w:hanging="1100"/>
      <w:jc w:val="left"/>
    </w:pPr>
    <w:rPr>
      <w:rFonts w:eastAsiaTheme="minorEastAsia" w:cstheme="minorBidi"/>
      <w:sz w:val="18"/>
      <w:szCs w:val="18"/>
      <w:lang w:eastAsia="en-US"/>
    </w:rPr>
  </w:style>
  <w:style w:type="character" w:customStyle="1" w:styleId="SourceNotesChar">
    <w:name w:val="SourceNotes Char"/>
    <w:basedOn w:val="DefaultParagraphFont"/>
    <w:link w:val="SourceNotes"/>
    <w:uiPriority w:val="3"/>
    <w:rsid w:val="00D12B23"/>
    <w:rPr>
      <w:rFonts w:ascii="Calibri" w:eastAsiaTheme="minorEastAsia" w:hAnsi="Calibri" w:cstheme="minorBidi"/>
      <w:sz w:val="18"/>
      <w:szCs w:val="18"/>
      <w:lang w:eastAsia="en-US"/>
    </w:rPr>
  </w:style>
  <w:style w:type="paragraph" w:customStyle="1" w:styleId="TableHeadingRow">
    <w:name w:val="TableHeadingRow"/>
    <w:basedOn w:val="TableText1"/>
    <w:uiPriority w:val="3"/>
    <w:qFormat/>
    <w:rsid w:val="00D12B23"/>
    <w:pPr>
      <w:keepNext/>
      <w:spacing w:before="40" w:after="40"/>
    </w:pPr>
    <w:rPr>
      <w:rFonts w:ascii="Calibri" w:eastAsia="Times New Roman" w:hAnsi="Calibri" w:cs="Calibri"/>
      <w:b/>
      <w:sz w:val="20"/>
      <w:szCs w:val="20"/>
      <w:lang w:eastAsia="zh-CN"/>
    </w:rPr>
  </w:style>
  <w:style w:type="paragraph" w:customStyle="1" w:styleId="ReporttextSource">
    <w:name w:val="Report text_Source"/>
    <w:basedOn w:val="Normal"/>
    <w:link w:val="ReporttextSourceChar"/>
    <w:qFormat/>
    <w:rsid w:val="00581224"/>
    <w:pPr>
      <w:spacing w:before="120" w:after="120" w:line="360" w:lineRule="auto"/>
    </w:pPr>
    <w:rPr>
      <w:rFonts w:asciiTheme="minorHAnsi" w:eastAsiaTheme="minorHAnsi" w:hAnsiTheme="minorHAnsi" w:cstheme="minorBidi"/>
      <w:sz w:val="22"/>
      <w:szCs w:val="22"/>
      <w:lang w:eastAsia="en-US"/>
    </w:rPr>
  </w:style>
  <w:style w:type="character" w:customStyle="1" w:styleId="ReporttextSourceChar">
    <w:name w:val="Report text_Source Char"/>
    <w:basedOn w:val="DefaultParagraphFont"/>
    <w:link w:val="ReporttextSource"/>
    <w:rsid w:val="00581224"/>
    <w:rPr>
      <w:rFonts w:asciiTheme="minorHAnsi" w:eastAsiaTheme="minorHAnsi" w:hAnsiTheme="minorHAnsi" w:cstheme="minorBidi"/>
      <w:sz w:val="22"/>
      <w:szCs w:val="22"/>
      <w:lang w:eastAsia="en-US"/>
    </w:rPr>
  </w:style>
  <w:style w:type="character" w:styleId="Strong">
    <w:name w:val="Strong"/>
    <w:basedOn w:val="DefaultParagraphFont"/>
    <w:uiPriority w:val="22"/>
    <w:qFormat/>
    <w:rsid w:val="007277A0"/>
    <w:rPr>
      <w:iCs/>
    </w:rPr>
  </w:style>
  <w:style w:type="paragraph" w:styleId="FootnoteText">
    <w:name w:val="footnote text"/>
    <w:basedOn w:val="Normal"/>
    <w:link w:val="FootnoteTextChar"/>
    <w:semiHidden/>
    <w:unhideWhenUsed/>
    <w:rsid w:val="00ED5789"/>
    <w:rPr>
      <w:sz w:val="20"/>
      <w:szCs w:val="20"/>
    </w:rPr>
  </w:style>
  <w:style w:type="character" w:customStyle="1" w:styleId="FootnoteTextChar">
    <w:name w:val="Footnote Text Char"/>
    <w:basedOn w:val="DefaultParagraphFont"/>
    <w:link w:val="FootnoteText"/>
    <w:semiHidden/>
    <w:rsid w:val="00ED5789"/>
    <w:rPr>
      <w:rFonts w:ascii="Calibri" w:hAnsi="Calibri" w:cs="Arial"/>
    </w:rPr>
  </w:style>
  <w:style w:type="character" w:styleId="FootnoteReference">
    <w:name w:val="footnote reference"/>
    <w:basedOn w:val="DefaultParagraphFont"/>
    <w:semiHidden/>
    <w:unhideWhenUsed/>
    <w:rsid w:val="00ED578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21274">
      <w:bodyDiv w:val="1"/>
      <w:marLeft w:val="0"/>
      <w:marRight w:val="0"/>
      <w:marTop w:val="0"/>
      <w:marBottom w:val="0"/>
      <w:divBdr>
        <w:top w:val="none" w:sz="0" w:space="0" w:color="auto"/>
        <w:left w:val="none" w:sz="0" w:space="0" w:color="auto"/>
        <w:bottom w:val="none" w:sz="0" w:space="0" w:color="auto"/>
        <w:right w:val="none" w:sz="0" w:space="0" w:color="auto"/>
      </w:divBdr>
    </w:div>
    <w:div w:id="28652006">
      <w:bodyDiv w:val="1"/>
      <w:marLeft w:val="0"/>
      <w:marRight w:val="0"/>
      <w:marTop w:val="0"/>
      <w:marBottom w:val="0"/>
      <w:divBdr>
        <w:top w:val="none" w:sz="0" w:space="0" w:color="auto"/>
        <w:left w:val="none" w:sz="0" w:space="0" w:color="auto"/>
        <w:bottom w:val="none" w:sz="0" w:space="0" w:color="auto"/>
        <w:right w:val="none" w:sz="0" w:space="0" w:color="auto"/>
      </w:divBdr>
    </w:div>
    <w:div w:id="99378984">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57061747">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93309288">
      <w:bodyDiv w:val="1"/>
      <w:marLeft w:val="0"/>
      <w:marRight w:val="0"/>
      <w:marTop w:val="0"/>
      <w:marBottom w:val="0"/>
      <w:divBdr>
        <w:top w:val="none" w:sz="0" w:space="0" w:color="auto"/>
        <w:left w:val="none" w:sz="0" w:space="0" w:color="auto"/>
        <w:bottom w:val="none" w:sz="0" w:space="0" w:color="auto"/>
        <w:right w:val="none" w:sz="0" w:space="0" w:color="auto"/>
      </w:divBdr>
    </w:div>
    <w:div w:id="454256146">
      <w:bodyDiv w:val="1"/>
      <w:marLeft w:val="0"/>
      <w:marRight w:val="0"/>
      <w:marTop w:val="0"/>
      <w:marBottom w:val="0"/>
      <w:divBdr>
        <w:top w:val="none" w:sz="0" w:space="0" w:color="auto"/>
        <w:left w:val="none" w:sz="0" w:space="0" w:color="auto"/>
        <w:bottom w:val="none" w:sz="0" w:space="0" w:color="auto"/>
        <w:right w:val="none" w:sz="0" w:space="0" w:color="auto"/>
      </w:divBdr>
    </w:div>
    <w:div w:id="490409810">
      <w:bodyDiv w:val="1"/>
      <w:marLeft w:val="0"/>
      <w:marRight w:val="0"/>
      <w:marTop w:val="0"/>
      <w:marBottom w:val="0"/>
      <w:divBdr>
        <w:top w:val="none" w:sz="0" w:space="0" w:color="auto"/>
        <w:left w:val="none" w:sz="0" w:space="0" w:color="auto"/>
        <w:bottom w:val="none" w:sz="0" w:space="0" w:color="auto"/>
        <w:right w:val="none" w:sz="0" w:space="0" w:color="auto"/>
      </w:divBdr>
    </w:div>
    <w:div w:id="516887470">
      <w:bodyDiv w:val="1"/>
      <w:marLeft w:val="0"/>
      <w:marRight w:val="0"/>
      <w:marTop w:val="0"/>
      <w:marBottom w:val="0"/>
      <w:divBdr>
        <w:top w:val="none" w:sz="0" w:space="0" w:color="auto"/>
        <w:left w:val="none" w:sz="0" w:space="0" w:color="auto"/>
        <w:bottom w:val="none" w:sz="0" w:space="0" w:color="auto"/>
        <w:right w:val="none" w:sz="0" w:space="0" w:color="auto"/>
      </w:divBdr>
    </w:div>
    <w:div w:id="517161690">
      <w:bodyDiv w:val="1"/>
      <w:marLeft w:val="0"/>
      <w:marRight w:val="0"/>
      <w:marTop w:val="0"/>
      <w:marBottom w:val="0"/>
      <w:divBdr>
        <w:top w:val="none" w:sz="0" w:space="0" w:color="auto"/>
        <w:left w:val="none" w:sz="0" w:space="0" w:color="auto"/>
        <w:bottom w:val="none" w:sz="0" w:space="0" w:color="auto"/>
        <w:right w:val="none" w:sz="0" w:space="0" w:color="auto"/>
      </w:divBdr>
    </w:div>
    <w:div w:id="536431887">
      <w:bodyDiv w:val="1"/>
      <w:marLeft w:val="0"/>
      <w:marRight w:val="0"/>
      <w:marTop w:val="0"/>
      <w:marBottom w:val="0"/>
      <w:divBdr>
        <w:top w:val="none" w:sz="0" w:space="0" w:color="auto"/>
        <w:left w:val="none" w:sz="0" w:space="0" w:color="auto"/>
        <w:bottom w:val="none" w:sz="0" w:space="0" w:color="auto"/>
        <w:right w:val="none" w:sz="0" w:space="0" w:color="auto"/>
      </w:divBdr>
    </w:div>
    <w:div w:id="610208054">
      <w:bodyDiv w:val="1"/>
      <w:marLeft w:val="0"/>
      <w:marRight w:val="0"/>
      <w:marTop w:val="0"/>
      <w:marBottom w:val="0"/>
      <w:divBdr>
        <w:top w:val="none" w:sz="0" w:space="0" w:color="auto"/>
        <w:left w:val="none" w:sz="0" w:space="0" w:color="auto"/>
        <w:bottom w:val="none" w:sz="0" w:space="0" w:color="auto"/>
        <w:right w:val="none" w:sz="0" w:space="0" w:color="auto"/>
      </w:divBdr>
    </w:div>
    <w:div w:id="621116746">
      <w:bodyDiv w:val="1"/>
      <w:marLeft w:val="0"/>
      <w:marRight w:val="0"/>
      <w:marTop w:val="0"/>
      <w:marBottom w:val="0"/>
      <w:divBdr>
        <w:top w:val="none" w:sz="0" w:space="0" w:color="auto"/>
        <w:left w:val="none" w:sz="0" w:space="0" w:color="auto"/>
        <w:bottom w:val="none" w:sz="0" w:space="0" w:color="auto"/>
        <w:right w:val="none" w:sz="0" w:space="0" w:color="auto"/>
      </w:divBdr>
    </w:div>
    <w:div w:id="694114673">
      <w:bodyDiv w:val="1"/>
      <w:marLeft w:val="0"/>
      <w:marRight w:val="0"/>
      <w:marTop w:val="0"/>
      <w:marBottom w:val="0"/>
      <w:divBdr>
        <w:top w:val="none" w:sz="0" w:space="0" w:color="auto"/>
        <w:left w:val="none" w:sz="0" w:space="0" w:color="auto"/>
        <w:bottom w:val="none" w:sz="0" w:space="0" w:color="auto"/>
        <w:right w:val="none" w:sz="0" w:space="0" w:color="auto"/>
      </w:divBdr>
    </w:div>
    <w:div w:id="746733262">
      <w:bodyDiv w:val="1"/>
      <w:marLeft w:val="0"/>
      <w:marRight w:val="0"/>
      <w:marTop w:val="0"/>
      <w:marBottom w:val="0"/>
      <w:divBdr>
        <w:top w:val="none" w:sz="0" w:space="0" w:color="auto"/>
        <w:left w:val="none" w:sz="0" w:space="0" w:color="auto"/>
        <w:bottom w:val="none" w:sz="0" w:space="0" w:color="auto"/>
        <w:right w:val="none" w:sz="0" w:space="0" w:color="auto"/>
      </w:divBdr>
    </w:div>
    <w:div w:id="804927649">
      <w:bodyDiv w:val="1"/>
      <w:marLeft w:val="0"/>
      <w:marRight w:val="0"/>
      <w:marTop w:val="0"/>
      <w:marBottom w:val="0"/>
      <w:divBdr>
        <w:top w:val="none" w:sz="0" w:space="0" w:color="auto"/>
        <w:left w:val="none" w:sz="0" w:space="0" w:color="auto"/>
        <w:bottom w:val="none" w:sz="0" w:space="0" w:color="auto"/>
        <w:right w:val="none" w:sz="0" w:space="0" w:color="auto"/>
      </w:divBdr>
    </w:div>
    <w:div w:id="807864399">
      <w:bodyDiv w:val="1"/>
      <w:marLeft w:val="0"/>
      <w:marRight w:val="0"/>
      <w:marTop w:val="0"/>
      <w:marBottom w:val="0"/>
      <w:divBdr>
        <w:top w:val="none" w:sz="0" w:space="0" w:color="auto"/>
        <w:left w:val="none" w:sz="0" w:space="0" w:color="auto"/>
        <w:bottom w:val="none" w:sz="0" w:space="0" w:color="auto"/>
        <w:right w:val="none" w:sz="0" w:space="0" w:color="auto"/>
      </w:divBdr>
    </w:div>
    <w:div w:id="829639644">
      <w:bodyDiv w:val="1"/>
      <w:marLeft w:val="0"/>
      <w:marRight w:val="0"/>
      <w:marTop w:val="0"/>
      <w:marBottom w:val="0"/>
      <w:divBdr>
        <w:top w:val="none" w:sz="0" w:space="0" w:color="auto"/>
        <w:left w:val="none" w:sz="0" w:space="0" w:color="auto"/>
        <w:bottom w:val="none" w:sz="0" w:space="0" w:color="auto"/>
        <w:right w:val="none" w:sz="0" w:space="0" w:color="auto"/>
      </w:divBdr>
    </w:div>
    <w:div w:id="1056011431">
      <w:bodyDiv w:val="1"/>
      <w:marLeft w:val="0"/>
      <w:marRight w:val="0"/>
      <w:marTop w:val="0"/>
      <w:marBottom w:val="0"/>
      <w:divBdr>
        <w:top w:val="none" w:sz="0" w:space="0" w:color="auto"/>
        <w:left w:val="none" w:sz="0" w:space="0" w:color="auto"/>
        <w:bottom w:val="none" w:sz="0" w:space="0" w:color="auto"/>
        <w:right w:val="none" w:sz="0" w:space="0" w:color="auto"/>
      </w:divBdr>
    </w:div>
    <w:div w:id="1059942621">
      <w:bodyDiv w:val="1"/>
      <w:marLeft w:val="0"/>
      <w:marRight w:val="0"/>
      <w:marTop w:val="0"/>
      <w:marBottom w:val="0"/>
      <w:divBdr>
        <w:top w:val="none" w:sz="0" w:space="0" w:color="auto"/>
        <w:left w:val="none" w:sz="0" w:space="0" w:color="auto"/>
        <w:bottom w:val="none" w:sz="0" w:space="0" w:color="auto"/>
        <w:right w:val="none" w:sz="0" w:space="0" w:color="auto"/>
      </w:divBdr>
    </w:div>
    <w:div w:id="1116021809">
      <w:bodyDiv w:val="1"/>
      <w:marLeft w:val="0"/>
      <w:marRight w:val="0"/>
      <w:marTop w:val="0"/>
      <w:marBottom w:val="0"/>
      <w:divBdr>
        <w:top w:val="none" w:sz="0" w:space="0" w:color="auto"/>
        <w:left w:val="none" w:sz="0" w:space="0" w:color="auto"/>
        <w:bottom w:val="none" w:sz="0" w:space="0" w:color="auto"/>
        <w:right w:val="none" w:sz="0" w:space="0" w:color="auto"/>
      </w:divBdr>
    </w:div>
    <w:div w:id="1116294359">
      <w:bodyDiv w:val="1"/>
      <w:marLeft w:val="0"/>
      <w:marRight w:val="0"/>
      <w:marTop w:val="0"/>
      <w:marBottom w:val="0"/>
      <w:divBdr>
        <w:top w:val="none" w:sz="0" w:space="0" w:color="auto"/>
        <w:left w:val="none" w:sz="0" w:space="0" w:color="auto"/>
        <w:bottom w:val="none" w:sz="0" w:space="0" w:color="auto"/>
        <w:right w:val="none" w:sz="0" w:space="0" w:color="auto"/>
      </w:divBdr>
    </w:div>
    <w:div w:id="1134179014">
      <w:bodyDiv w:val="1"/>
      <w:marLeft w:val="0"/>
      <w:marRight w:val="0"/>
      <w:marTop w:val="0"/>
      <w:marBottom w:val="0"/>
      <w:divBdr>
        <w:top w:val="none" w:sz="0" w:space="0" w:color="auto"/>
        <w:left w:val="none" w:sz="0" w:space="0" w:color="auto"/>
        <w:bottom w:val="none" w:sz="0" w:space="0" w:color="auto"/>
        <w:right w:val="none" w:sz="0" w:space="0" w:color="auto"/>
      </w:divBdr>
    </w:div>
    <w:div w:id="116014791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743816">
      <w:bodyDiv w:val="1"/>
      <w:marLeft w:val="0"/>
      <w:marRight w:val="0"/>
      <w:marTop w:val="0"/>
      <w:marBottom w:val="0"/>
      <w:divBdr>
        <w:top w:val="none" w:sz="0" w:space="0" w:color="auto"/>
        <w:left w:val="none" w:sz="0" w:space="0" w:color="auto"/>
        <w:bottom w:val="none" w:sz="0" w:space="0" w:color="auto"/>
        <w:right w:val="none" w:sz="0" w:space="0" w:color="auto"/>
      </w:divBdr>
    </w:div>
    <w:div w:id="1192111868">
      <w:bodyDiv w:val="1"/>
      <w:marLeft w:val="0"/>
      <w:marRight w:val="0"/>
      <w:marTop w:val="0"/>
      <w:marBottom w:val="0"/>
      <w:divBdr>
        <w:top w:val="none" w:sz="0" w:space="0" w:color="auto"/>
        <w:left w:val="none" w:sz="0" w:space="0" w:color="auto"/>
        <w:bottom w:val="none" w:sz="0" w:space="0" w:color="auto"/>
        <w:right w:val="none" w:sz="0" w:space="0" w:color="auto"/>
      </w:divBdr>
    </w:div>
    <w:div w:id="1246571908">
      <w:bodyDiv w:val="1"/>
      <w:marLeft w:val="0"/>
      <w:marRight w:val="0"/>
      <w:marTop w:val="0"/>
      <w:marBottom w:val="0"/>
      <w:divBdr>
        <w:top w:val="none" w:sz="0" w:space="0" w:color="auto"/>
        <w:left w:val="none" w:sz="0" w:space="0" w:color="auto"/>
        <w:bottom w:val="none" w:sz="0" w:space="0" w:color="auto"/>
        <w:right w:val="none" w:sz="0" w:space="0" w:color="auto"/>
      </w:divBdr>
    </w:div>
    <w:div w:id="1326326037">
      <w:bodyDiv w:val="1"/>
      <w:marLeft w:val="0"/>
      <w:marRight w:val="0"/>
      <w:marTop w:val="0"/>
      <w:marBottom w:val="0"/>
      <w:divBdr>
        <w:top w:val="none" w:sz="0" w:space="0" w:color="auto"/>
        <w:left w:val="none" w:sz="0" w:space="0" w:color="auto"/>
        <w:bottom w:val="none" w:sz="0" w:space="0" w:color="auto"/>
        <w:right w:val="none" w:sz="0" w:space="0" w:color="auto"/>
      </w:divBdr>
    </w:div>
    <w:div w:id="1333609225">
      <w:bodyDiv w:val="1"/>
      <w:marLeft w:val="0"/>
      <w:marRight w:val="0"/>
      <w:marTop w:val="0"/>
      <w:marBottom w:val="0"/>
      <w:divBdr>
        <w:top w:val="none" w:sz="0" w:space="0" w:color="auto"/>
        <w:left w:val="none" w:sz="0" w:space="0" w:color="auto"/>
        <w:bottom w:val="none" w:sz="0" w:space="0" w:color="auto"/>
        <w:right w:val="none" w:sz="0" w:space="0" w:color="auto"/>
      </w:divBdr>
    </w:div>
    <w:div w:id="1335648164">
      <w:bodyDiv w:val="1"/>
      <w:marLeft w:val="0"/>
      <w:marRight w:val="0"/>
      <w:marTop w:val="0"/>
      <w:marBottom w:val="0"/>
      <w:divBdr>
        <w:top w:val="none" w:sz="0" w:space="0" w:color="auto"/>
        <w:left w:val="none" w:sz="0" w:space="0" w:color="auto"/>
        <w:bottom w:val="none" w:sz="0" w:space="0" w:color="auto"/>
        <w:right w:val="none" w:sz="0" w:space="0" w:color="auto"/>
      </w:divBdr>
    </w:div>
    <w:div w:id="1351180424">
      <w:bodyDiv w:val="1"/>
      <w:marLeft w:val="0"/>
      <w:marRight w:val="0"/>
      <w:marTop w:val="0"/>
      <w:marBottom w:val="0"/>
      <w:divBdr>
        <w:top w:val="none" w:sz="0" w:space="0" w:color="auto"/>
        <w:left w:val="none" w:sz="0" w:space="0" w:color="auto"/>
        <w:bottom w:val="none" w:sz="0" w:space="0" w:color="auto"/>
        <w:right w:val="none" w:sz="0" w:space="0" w:color="auto"/>
      </w:divBdr>
    </w:div>
    <w:div w:id="1382557372">
      <w:bodyDiv w:val="1"/>
      <w:marLeft w:val="0"/>
      <w:marRight w:val="0"/>
      <w:marTop w:val="0"/>
      <w:marBottom w:val="0"/>
      <w:divBdr>
        <w:top w:val="none" w:sz="0" w:space="0" w:color="auto"/>
        <w:left w:val="none" w:sz="0" w:space="0" w:color="auto"/>
        <w:bottom w:val="none" w:sz="0" w:space="0" w:color="auto"/>
        <w:right w:val="none" w:sz="0" w:space="0" w:color="auto"/>
      </w:divBdr>
    </w:div>
    <w:div w:id="1428191667">
      <w:bodyDiv w:val="1"/>
      <w:marLeft w:val="0"/>
      <w:marRight w:val="0"/>
      <w:marTop w:val="0"/>
      <w:marBottom w:val="0"/>
      <w:divBdr>
        <w:top w:val="none" w:sz="0" w:space="0" w:color="auto"/>
        <w:left w:val="none" w:sz="0" w:space="0" w:color="auto"/>
        <w:bottom w:val="none" w:sz="0" w:space="0" w:color="auto"/>
        <w:right w:val="none" w:sz="0" w:space="0" w:color="auto"/>
      </w:divBdr>
    </w:div>
    <w:div w:id="1468206473">
      <w:bodyDiv w:val="1"/>
      <w:marLeft w:val="0"/>
      <w:marRight w:val="0"/>
      <w:marTop w:val="0"/>
      <w:marBottom w:val="0"/>
      <w:divBdr>
        <w:top w:val="none" w:sz="0" w:space="0" w:color="auto"/>
        <w:left w:val="none" w:sz="0" w:space="0" w:color="auto"/>
        <w:bottom w:val="none" w:sz="0" w:space="0" w:color="auto"/>
        <w:right w:val="none" w:sz="0" w:space="0" w:color="auto"/>
      </w:divBdr>
    </w:div>
    <w:div w:id="1471558143">
      <w:bodyDiv w:val="1"/>
      <w:marLeft w:val="0"/>
      <w:marRight w:val="0"/>
      <w:marTop w:val="0"/>
      <w:marBottom w:val="0"/>
      <w:divBdr>
        <w:top w:val="none" w:sz="0" w:space="0" w:color="auto"/>
        <w:left w:val="none" w:sz="0" w:space="0" w:color="auto"/>
        <w:bottom w:val="none" w:sz="0" w:space="0" w:color="auto"/>
        <w:right w:val="none" w:sz="0" w:space="0" w:color="auto"/>
      </w:divBdr>
    </w:div>
    <w:div w:id="1472211521">
      <w:bodyDiv w:val="1"/>
      <w:marLeft w:val="0"/>
      <w:marRight w:val="0"/>
      <w:marTop w:val="0"/>
      <w:marBottom w:val="0"/>
      <w:divBdr>
        <w:top w:val="none" w:sz="0" w:space="0" w:color="auto"/>
        <w:left w:val="none" w:sz="0" w:space="0" w:color="auto"/>
        <w:bottom w:val="none" w:sz="0" w:space="0" w:color="auto"/>
        <w:right w:val="none" w:sz="0" w:space="0" w:color="auto"/>
      </w:divBdr>
    </w:div>
    <w:div w:id="1547641387">
      <w:bodyDiv w:val="1"/>
      <w:marLeft w:val="0"/>
      <w:marRight w:val="0"/>
      <w:marTop w:val="0"/>
      <w:marBottom w:val="0"/>
      <w:divBdr>
        <w:top w:val="none" w:sz="0" w:space="0" w:color="auto"/>
        <w:left w:val="none" w:sz="0" w:space="0" w:color="auto"/>
        <w:bottom w:val="none" w:sz="0" w:space="0" w:color="auto"/>
        <w:right w:val="none" w:sz="0" w:space="0" w:color="auto"/>
      </w:divBdr>
    </w:div>
    <w:div w:id="1723752098">
      <w:bodyDiv w:val="1"/>
      <w:marLeft w:val="0"/>
      <w:marRight w:val="0"/>
      <w:marTop w:val="0"/>
      <w:marBottom w:val="0"/>
      <w:divBdr>
        <w:top w:val="none" w:sz="0" w:space="0" w:color="auto"/>
        <w:left w:val="none" w:sz="0" w:space="0" w:color="auto"/>
        <w:bottom w:val="none" w:sz="0" w:space="0" w:color="auto"/>
        <w:right w:val="none" w:sz="0" w:space="0" w:color="auto"/>
      </w:divBdr>
    </w:div>
    <w:div w:id="1750803821">
      <w:bodyDiv w:val="1"/>
      <w:marLeft w:val="0"/>
      <w:marRight w:val="0"/>
      <w:marTop w:val="0"/>
      <w:marBottom w:val="0"/>
      <w:divBdr>
        <w:top w:val="none" w:sz="0" w:space="0" w:color="auto"/>
        <w:left w:val="none" w:sz="0" w:space="0" w:color="auto"/>
        <w:bottom w:val="none" w:sz="0" w:space="0" w:color="auto"/>
        <w:right w:val="none" w:sz="0" w:space="0" w:color="auto"/>
      </w:divBdr>
    </w:div>
    <w:div w:id="1752315065">
      <w:bodyDiv w:val="1"/>
      <w:marLeft w:val="0"/>
      <w:marRight w:val="0"/>
      <w:marTop w:val="0"/>
      <w:marBottom w:val="0"/>
      <w:divBdr>
        <w:top w:val="none" w:sz="0" w:space="0" w:color="auto"/>
        <w:left w:val="none" w:sz="0" w:space="0" w:color="auto"/>
        <w:bottom w:val="none" w:sz="0" w:space="0" w:color="auto"/>
        <w:right w:val="none" w:sz="0" w:space="0" w:color="auto"/>
      </w:divBdr>
    </w:div>
    <w:div w:id="1761215967">
      <w:bodyDiv w:val="1"/>
      <w:marLeft w:val="0"/>
      <w:marRight w:val="0"/>
      <w:marTop w:val="0"/>
      <w:marBottom w:val="0"/>
      <w:divBdr>
        <w:top w:val="none" w:sz="0" w:space="0" w:color="auto"/>
        <w:left w:val="none" w:sz="0" w:space="0" w:color="auto"/>
        <w:bottom w:val="none" w:sz="0" w:space="0" w:color="auto"/>
        <w:right w:val="none" w:sz="0" w:space="0" w:color="auto"/>
      </w:divBdr>
    </w:div>
    <w:div w:id="1774590916">
      <w:bodyDiv w:val="1"/>
      <w:marLeft w:val="0"/>
      <w:marRight w:val="0"/>
      <w:marTop w:val="0"/>
      <w:marBottom w:val="0"/>
      <w:divBdr>
        <w:top w:val="none" w:sz="0" w:space="0" w:color="auto"/>
        <w:left w:val="none" w:sz="0" w:space="0" w:color="auto"/>
        <w:bottom w:val="none" w:sz="0" w:space="0" w:color="auto"/>
        <w:right w:val="none" w:sz="0" w:space="0" w:color="auto"/>
      </w:divBdr>
    </w:div>
    <w:div w:id="1778133635">
      <w:bodyDiv w:val="1"/>
      <w:marLeft w:val="0"/>
      <w:marRight w:val="0"/>
      <w:marTop w:val="0"/>
      <w:marBottom w:val="0"/>
      <w:divBdr>
        <w:top w:val="none" w:sz="0" w:space="0" w:color="auto"/>
        <w:left w:val="none" w:sz="0" w:space="0" w:color="auto"/>
        <w:bottom w:val="none" w:sz="0" w:space="0" w:color="auto"/>
        <w:right w:val="none" w:sz="0" w:space="0" w:color="auto"/>
      </w:divBdr>
    </w:div>
    <w:div w:id="1779249839">
      <w:bodyDiv w:val="1"/>
      <w:marLeft w:val="0"/>
      <w:marRight w:val="0"/>
      <w:marTop w:val="0"/>
      <w:marBottom w:val="0"/>
      <w:divBdr>
        <w:top w:val="none" w:sz="0" w:space="0" w:color="auto"/>
        <w:left w:val="none" w:sz="0" w:space="0" w:color="auto"/>
        <w:bottom w:val="none" w:sz="0" w:space="0" w:color="auto"/>
        <w:right w:val="none" w:sz="0" w:space="0" w:color="auto"/>
      </w:divBdr>
    </w:div>
    <w:div w:id="1788698197">
      <w:bodyDiv w:val="1"/>
      <w:marLeft w:val="0"/>
      <w:marRight w:val="0"/>
      <w:marTop w:val="0"/>
      <w:marBottom w:val="0"/>
      <w:divBdr>
        <w:top w:val="none" w:sz="0" w:space="0" w:color="auto"/>
        <w:left w:val="none" w:sz="0" w:space="0" w:color="auto"/>
        <w:bottom w:val="none" w:sz="0" w:space="0" w:color="auto"/>
        <w:right w:val="none" w:sz="0" w:space="0" w:color="auto"/>
      </w:divBdr>
    </w:div>
    <w:div w:id="1800954331">
      <w:bodyDiv w:val="1"/>
      <w:marLeft w:val="0"/>
      <w:marRight w:val="0"/>
      <w:marTop w:val="0"/>
      <w:marBottom w:val="0"/>
      <w:divBdr>
        <w:top w:val="none" w:sz="0" w:space="0" w:color="auto"/>
        <w:left w:val="none" w:sz="0" w:space="0" w:color="auto"/>
        <w:bottom w:val="none" w:sz="0" w:space="0" w:color="auto"/>
        <w:right w:val="none" w:sz="0" w:space="0" w:color="auto"/>
      </w:divBdr>
    </w:div>
    <w:div w:id="1810442109">
      <w:bodyDiv w:val="1"/>
      <w:marLeft w:val="0"/>
      <w:marRight w:val="0"/>
      <w:marTop w:val="0"/>
      <w:marBottom w:val="0"/>
      <w:divBdr>
        <w:top w:val="none" w:sz="0" w:space="0" w:color="auto"/>
        <w:left w:val="none" w:sz="0" w:space="0" w:color="auto"/>
        <w:bottom w:val="none" w:sz="0" w:space="0" w:color="auto"/>
        <w:right w:val="none" w:sz="0" w:space="0" w:color="auto"/>
      </w:divBdr>
    </w:div>
    <w:div w:id="1881479075">
      <w:bodyDiv w:val="1"/>
      <w:marLeft w:val="0"/>
      <w:marRight w:val="0"/>
      <w:marTop w:val="0"/>
      <w:marBottom w:val="0"/>
      <w:divBdr>
        <w:top w:val="none" w:sz="0" w:space="0" w:color="auto"/>
        <w:left w:val="none" w:sz="0" w:space="0" w:color="auto"/>
        <w:bottom w:val="none" w:sz="0" w:space="0" w:color="auto"/>
        <w:right w:val="none" w:sz="0" w:space="0" w:color="auto"/>
      </w:divBdr>
    </w:div>
    <w:div w:id="1927108245">
      <w:bodyDiv w:val="1"/>
      <w:marLeft w:val="0"/>
      <w:marRight w:val="0"/>
      <w:marTop w:val="0"/>
      <w:marBottom w:val="0"/>
      <w:divBdr>
        <w:top w:val="none" w:sz="0" w:space="0" w:color="auto"/>
        <w:left w:val="none" w:sz="0" w:space="0" w:color="auto"/>
        <w:bottom w:val="none" w:sz="0" w:space="0" w:color="auto"/>
        <w:right w:val="none" w:sz="0" w:space="0" w:color="auto"/>
      </w:divBdr>
    </w:div>
    <w:div w:id="1934512191">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93100990">
      <w:bodyDiv w:val="1"/>
      <w:marLeft w:val="0"/>
      <w:marRight w:val="0"/>
      <w:marTop w:val="0"/>
      <w:marBottom w:val="0"/>
      <w:divBdr>
        <w:top w:val="none" w:sz="0" w:space="0" w:color="auto"/>
        <w:left w:val="none" w:sz="0" w:space="0" w:color="auto"/>
        <w:bottom w:val="none" w:sz="0" w:space="0" w:color="auto"/>
        <w:right w:val="none" w:sz="0" w:space="0" w:color="auto"/>
      </w:divBdr>
    </w:div>
    <w:div w:id="2021659197">
      <w:bodyDiv w:val="1"/>
      <w:marLeft w:val="0"/>
      <w:marRight w:val="0"/>
      <w:marTop w:val="0"/>
      <w:marBottom w:val="0"/>
      <w:divBdr>
        <w:top w:val="none" w:sz="0" w:space="0" w:color="auto"/>
        <w:left w:val="none" w:sz="0" w:space="0" w:color="auto"/>
        <w:bottom w:val="none" w:sz="0" w:space="0" w:color="auto"/>
        <w:right w:val="none" w:sz="0" w:space="0" w:color="auto"/>
      </w:divBdr>
    </w:div>
    <w:div w:id="2060934130">
      <w:bodyDiv w:val="1"/>
      <w:marLeft w:val="0"/>
      <w:marRight w:val="0"/>
      <w:marTop w:val="0"/>
      <w:marBottom w:val="0"/>
      <w:divBdr>
        <w:top w:val="none" w:sz="0" w:space="0" w:color="auto"/>
        <w:left w:val="none" w:sz="0" w:space="0" w:color="auto"/>
        <w:bottom w:val="none" w:sz="0" w:space="0" w:color="auto"/>
        <w:right w:val="none" w:sz="0" w:space="0" w:color="auto"/>
      </w:divBdr>
    </w:div>
    <w:div w:id="2141916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3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31"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EF2E53-A49B-4E27-BB1B-CECE09268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15008</Words>
  <Characters>86719</Characters>
  <Application>Microsoft Office Word</Application>
  <DocSecurity>0</DocSecurity>
  <Lines>722</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2021-06-29T05:47:00Z</dcterms:created>
  <dcterms:modified xsi:type="dcterms:W3CDTF">2021-06-29T05:47:00Z</dcterms:modified>
</cp:coreProperties>
</file>